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09C" w:rsidRDefault="00C44FB9" w:rsidP="00763D8B">
      <w:pPr>
        <w:ind w:left="720" w:hanging="720"/>
        <w:jc w:val="left"/>
        <w:rPr>
          <w:b/>
          <w:sz w:val="36"/>
          <w:szCs w:val="36"/>
        </w:rPr>
      </w:pPr>
      <w:r>
        <w:rPr>
          <w:b/>
          <w:sz w:val="36"/>
          <w:szCs w:val="36"/>
        </w:rPr>
        <w:t>6</w:t>
      </w:r>
      <w:r w:rsidR="00BD1912" w:rsidRPr="00C12C14">
        <w:rPr>
          <w:b/>
          <w:sz w:val="36"/>
          <w:szCs w:val="36"/>
        </w:rPr>
        <w:t>.</w:t>
      </w:r>
      <w:r>
        <w:rPr>
          <w:b/>
          <w:sz w:val="36"/>
          <w:szCs w:val="36"/>
        </w:rPr>
        <w:t>01</w:t>
      </w:r>
      <w:r w:rsidR="00BD1912" w:rsidRPr="00C12C14">
        <w:rPr>
          <w:b/>
          <w:sz w:val="36"/>
          <w:szCs w:val="36"/>
        </w:rPr>
        <w:tab/>
      </w:r>
      <w:r w:rsidR="00BD1912">
        <w:rPr>
          <w:b/>
          <w:sz w:val="36"/>
          <w:szCs w:val="36"/>
        </w:rPr>
        <w:t>ALEMTUZUMAB</w:t>
      </w:r>
      <w:r w:rsidR="00BD1912" w:rsidRPr="00C12C14">
        <w:rPr>
          <w:b/>
          <w:sz w:val="36"/>
          <w:szCs w:val="36"/>
        </w:rPr>
        <w:t xml:space="preserve">, </w:t>
      </w:r>
      <w:r w:rsidR="00763D8B">
        <w:rPr>
          <w:b/>
          <w:sz w:val="36"/>
          <w:szCs w:val="36"/>
        </w:rPr>
        <w:tab/>
      </w:r>
      <w:r w:rsidR="00763D8B">
        <w:rPr>
          <w:b/>
          <w:sz w:val="36"/>
          <w:szCs w:val="36"/>
        </w:rPr>
        <w:br/>
      </w:r>
      <w:r w:rsidR="006934BF">
        <w:rPr>
          <w:b/>
          <w:sz w:val="36"/>
          <w:szCs w:val="36"/>
        </w:rPr>
        <w:t>S</w:t>
      </w:r>
      <w:r w:rsidR="00BD1912">
        <w:rPr>
          <w:b/>
          <w:sz w:val="36"/>
          <w:szCs w:val="36"/>
        </w:rPr>
        <w:t>olution</w:t>
      </w:r>
      <w:r w:rsidR="006934BF">
        <w:rPr>
          <w:b/>
          <w:sz w:val="36"/>
          <w:szCs w:val="36"/>
        </w:rPr>
        <w:t xml:space="preserve"> concentrate for I.V. infusion, </w:t>
      </w:r>
    </w:p>
    <w:p w:rsidR="00BD1912" w:rsidRPr="00C12C14" w:rsidRDefault="006934BF" w:rsidP="0064509C">
      <w:pPr>
        <w:ind w:left="720"/>
        <w:jc w:val="left"/>
        <w:rPr>
          <w:b/>
          <w:sz w:val="36"/>
          <w:szCs w:val="36"/>
        </w:rPr>
      </w:pPr>
      <w:r>
        <w:rPr>
          <w:b/>
          <w:sz w:val="36"/>
          <w:szCs w:val="36"/>
        </w:rPr>
        <w:t>12 mg in 1.2 mL vial</w:t>
      </w:r>
      <w:r w:rsidR="00BD1912" w:rsidRPr="00C12C14">
        <w:rPr>
          <w:b/>
          <w:sz w:val="36"/>
          <w:szCs w:val="36"/>
        </w:rPr>
        <w:t xml:space="preserve">, </w:t>
      </w:r>
      <w:r w:rsidR="00763D8B">
        <w:rPr>
          <w:b/>
          <w:sz w:val="36"/>
          <w:szCs w:val="36"/>
        </w:rPr>
        <w:br/>
      </w:r>
      <w:r w:rsidR="00BD1912">
        <w:rPr>
          <w:b/>
          <w:sz w:val="36"/>
          <w:szCs w:val="36"/>
        </w:rPr>
        <w:t>Lemtrada</w:t>
      </w:r>
      <w:r w:rsidR="00BD1912" w:rsidRPr="00C12C14">
        <w:rPr>
          <w:b/>
          <w:sz w:val="36"/>
          <w:szCs w:val="36"/>
          <w:vertAlign w:val="superscript"/>
        </w:rPr>
        <w:t>®</w:t>
      </w:r>
      <w:r w:rsidR="00BD1912" w:rsidRPr="00C12C14">
        <w:rPr>
          <w:b/>
          <w:sz w:val="36"/>
          <w:szCs w:val="36"/>
        </w:rPr>
        <w:t xml:space="preserve">, </w:t>
      </w:r>
      <w:r w:rsidR="00BD1912">
        <w:rPr>
          <w:b/>
          <w:sz w:val="36"/>
          <w:szCs w:val="36"/>
        </w:rPr>
        <w:t>Sanofi Aventis Australia</w:t>
      </w:r>
      <w:r w:rsidR="00BD1912" w:rsidRPr="00C12C14">
        <w:rPr>
          <w:b/>
          <w:sz w:val="36"/>
          <w:szCs w:val="36"/>
        </w:rPr>
        <w:t>.</w:t>
      </w:r>
    </w:p>
    <w:p w:rsidR="00BD1912" w:rsidRDefault="00BD1912" w:rsidP="00BD1912"/>
    <w:p w:rsidR="00BD1912" w:rsidRPr="00652AFF" w:rsidRDefault="00BD1912" w:rsidP="00652AFF">
      <w:pPr>
        <w:pStyle w:val="PBACHeading1"/>
        <w:spacing w:before="240" w:after="120"/>
        <w:outlineLvl w:val="0"/>
        <w:rPr>
          <w:rFonts w:asciiTheme="minorHAnsi" w:hAnsiTheme="minorHAnsi"/>
          <w:szCs w:val="32"/>
        </w:rPr>
      </w:pPr>
      <w:bookmarkStart w:id="0" w:name="_Toc524531619"/>
      <w:r w:rsidRPr="00652AFF">
        <w:rPr>
          <w:rFonts w:asciiTheme="minorHAnsi" w:hAnsiTheme="minorHAnsi"/>
          <w:szCs w:val="32"/>
        </w:rPr>
        <w:t>Purpose of Application</w:t>
      </w:r>
      <w:bookmarkEnd w:id="0"/>
    </w:p>
    <w:p w:rsidR="000A1410" w:rsidRDefault="000A1410" w:rsidP="00FD072C">
      <w:pPr>
        <w:pStyle w:val="ListParagraph"/>
        <w:widowControl/>
        <w:numPr>
          <w:ilvl w:val="1"/>
          <w:numId w:val="1"/>
        </w:numPr>
        <w:spacing w:after="0"/>
      </w:pPr>
      <w:r>
        <w:t xml:space="preserve">Two initial courses of alemtuzumab are currently listed on </w:t>
      </w:r>
      <w:r w:rsidR="00EE650C">
        <w:t xml:space="preserve">Section 100 of </w:t>
      </w:r>
      <w:r>
        <w:t>the PBS</w:t>
      </w:r>
      <w:r w:rsidR="00EE650C">
        <w:t xml:space="preserve"> </w:t>
      </w:r>
      <w:r w:rsidR="00EE650C" w:rsidRPr="004B3DDB">
        <w:t xml:space="preserve">for </w:t>
      </w:r>
      <w:r w:rsidR="00EE650C">
        <w:t xml:space="preserve">the </w:t>
      </w:r>
      <w:r w:rsidR="00EE650C" w:rsidRPr="004B3DDB">
        <w:t xml:space="preserve">treatment of </w:t>
      </w:r>
      <w:r w:rsidR="00EE650C">
        <w:t>relapsing remitting multiple sclerosis (RRMS)</w:t>
      </w:r>
      <w:r>
        <w:t>. The resubmission is seeking:</w:t>
      </w:r>
    </w:p>
    <w:p w:rsidR="000A1410" w:rsidRDefault="000A1410" w:rsidP="00FD072C">
      <w:pPr>
        <w:pStyle w:val="ListParagraph"/>
        <w:widowControl/>
        <w:numPr>
          <w:ilvl w:val="0"/>
          <w:numId w:val="9"/>
        </w:numPr>
        <w:spacing w:after="0"/>
        <w:ind w:left="993" w:hanging="284"/>
      </w:pPr>
      <w:r>
        <w:t>An increase in the price per vial based on a claim of extended clinical benefit from two years to six years; and</w:t>
      </w:r>
    </w:p>
    <w:p w:rsidR="000A1410" w:rsidRDefault="000A1410" w:rsidP="00FD072C">
      <w:pPr>
        <w:pStyle w:val="ListParagraph"/>
        <w:widowControl/>
        <w:numPr>
          <w:ilvl w:val="0"/>
          <w:numId w:val="9"/>
        </w:numPr>
        <w:spacing w:after="120"/>
        <w:ind w:left="993" w:hanging="284"/>
      </w:pPr>
      <w:r>
        <w:t xml:space="preserve">Reimbursement of up to two additional courses of treatment for patients who meet the proposed </w:t>
      </w:r>
      <w:r w:rsidR="00941A1B">
        <w:t>re-treatment</w:t>
      </w:r>
      <w:r>
        <w:t xml:space="preserve"> criteria.</w:t>
      </w:r>
    </w:p>
    <w:p w:rsidR="00BD1912" w:rsidRDefault="00BD1912" w:rsidP="00FD072C">
      <w:pPr>
        <w:pStyle w:val="ListParagraph"/>
        <w:widowControl/>
        <w:numPr>
          <w:ilvl w:val="1"/>
          <w:numId w:val="1"/>
        </w:numPr>
        <w:spacing w:after="120"/>
      </w:pPr>
      <w:r w:rsidRPr="00AB4522">
        <w:t>The first submission of alemtuzumab for RRMS</w:t>
      </w:r>
      <w:r>
        <w:t xml:space="preserve"> was in July 2014. Alemtuzumab was recommended for listing on the basis of non-inferiority to fingolimod and natalizumab over two years. A second minor submission was presented in November 2014 with the same trial data and interim CARE-MS extension trial data, requesting a price increase on the basis of greater durability of effect compared to natalizumab and fingolimod. </w:t>
      </w:r>
    </w:p>
    <w:p w:rsidR="00BD1912" w:rsidRDefault="00BD1912" w:rsidP="005363F0">
      <w:pPr>
        <w:keepNext/>
        <w:keepLines/>
        <w:rPr>
          <w:rStyle w:val="CommentReference"/>
        </w:rPr>
      </w:pPr>
      <w:r>
        <w:rPr>
          <w:rStyle w:val="CommentReference"/>
        </w:rPr>
        <w:t xml:space="preserve">Table </w:t>
      </w:r>
      <w:r w:rsidR="00A94F25">
        <w:rPr>
          <w:rFonts w:ascii="Arial Narrow" w:hAnsi="Arial Narrow"/>
          <w:b/>
          <w:noProof/>
          <w:sz w:val="20"/>
          <w:szCs w:val="16"/>
        </w:rPr>
        <w:t>1</w:t>
      </w:r>
      <w:r>
        <w:rPr>
          <w:rStyle w:val="CommentReference"/>
        </w:rPr>
        <w:t>:  Key components of the clinical issue addressed by the</w:t>
      </w:r>
      <w:r w:rsidR="00436C41">
        <w:rPr>
          <w:rStyle w:val="CommentReference"/>
        </w:rPr>
        <w:t xml:space="preserve"> resubmission</w:t>
      </w:r>
    </w:p>
    <w:tbl>
      <w:tblPr>
        <w:tblStyle w:val="TableGrid"/>
        <w:tblW w:w="5000" w:type="pct"/>
        <w:tblCellMar>
          <w:left w:w="29" w:type="dxa"/>
          <w:right w:w="29" w:type="dxa"/>
        </w:tblCellMar>
        <w:tblLook w:val="04A0" w:firstRow="1" w:lastRow="0" w:firstColumn="1" w:lastColumn="0" w:noHBand="0" w:noVBand="1"/>
        <w:tblCaption w:val="Key components of the clinical issue addressed by the resubmission"/>
      </w:tblPr>
      <w:tblGrid>
        <w:gridCol w:w="1697"/>
        <w:gridCol w:w="7319"/>
      </w:tblGrid>
      <w:tr w:rsidR="000A1410" w:rsidRPr="000F1070" w:rsidTr="00B6641A">
        <w:trPr>
          <w:cantSplit/>
          <w:tblHeader/>
        </w:trPr>
        <w:tc>
          <w:tcPr>
            <w:tcW w:w="941" w:type="pct"/>
            <w:shd w:val="clear" w:color="auto" w:fill="auto"/>
          </w:tcPr>
          <w:p w:rsidR="000A1410" w:rsidRPr="000F1070" w:rsidRDefault="000A1410" w:rsidP="005363F0">
            <w:pPr>
              <w:keepNext/>
              <w:keepLines/>
              <w:rPr>
                <w:rFonts w:ascii="Arial Narrow" w:hAnsi="Arial Narrow"/>
                <w:b/>
                <w:sz w:val="20"/>
              </w:rPr>
            </w:pPr>
            <w:r w:rsidRPr="000F1070">
              <w:rPr>
                <w:rFonts w:ascii="Arial Narrow" w:hAnsi="Arial Narrow"/>
                <w:b/>
                <w:sz w:val="20"/>
              </w:rPr>
              <w:t>Component</w:t>
            </w:r>
          </w:p>
        </w:tc>
        <w:tc>
          <w:tcPr>
            <w:tcW w:w="4059" w:type="pct"/>
            <w:shd w:val="clear" w:color="auto" w:fill="auto"/>
          </w:tcPr>
          <w:p w:rsidR="000A1410" w:rsidRPr="000F1070" w:rsidRDefault="000A1410" w:rsidP="005363F0">
            <w:pPr>
              <w:keepNext/>
              <w:keepLines/>
              <w:rPr>
                <w:rFonts w:ascii="Arial Narrow" w:hAnsi="Arial Narrow"/>
                <w:b/>
                <w:sz w:val="20"/>
              </w:rPr>
            </w:pPr>
            <w:r w:rsidRPr="000F1070">
              <w:rPr>
                <w:rFonts w:ascii="Arial Narrow" w:hAnsi="Arial Narrow"/>
                <w:b/>
                <w:sz w:val="20"/>
              </w:rPr>
              <w:t>Description</w:t>
            </w:r>
          </w:p>
        </w:tc>
      </w:tr>
      <w:tr w:rsidR="000A1410" w:rsidRPr="000F1070" w:rsidTr="000A1410">
        <w:trPr>
          <w:cantSplit/>
        </w:trPr>
        <w:tc>
          <w:tcPr>
            <w:tcW w:w="941" w:type="pct"/>
            <w:shd w:val="clear" w:color="auto" w:fill="auto"/>
          </w:tcPr>
          <w:p w:rsidR="000A1410" w:rsidRPr="000F1070" w:rsidRDefault="000A1410" w:rsidP="005363F0">
            <w:pPr>
              <w:keepNext/>
              <w:keepLines/>
              <w:rPr>
                <w:rFonts w:ascii="Arial Narrow" w:hAnsi="Arial Narrow"/>
                <w:sz w:val="20"/>
              </w:rPr>
            </w:pPr>
            <w:r w:rsidRPr="000F1070">
              <w:rPr>
                <w:rFonts w:ascii="Arial Narrow" w:hAnsi="Arial Narrow"/>
                <w:sz w:val="20"/>
              </w:rPr>
              <w:t>Population</w:t>
            </w:r>
          </w:p>
        </w:tc>
        <w:tc>
          <w:tcPr>
            <w:tcW w:w="4059" w:type="pct"/>
            <w:shd w:val="clear" w:color="auto" w:fill="auto"/>
          </w:tcPr>
          <w:p w:rsidR="000A1410" w:rsidRPr="00763D8B" w:rsidRDefault="000A1410" w:rsidP="005363F0">
            <w:pPr>
              <w:keepNext/>
              <w:keepLines/>
              <w:jc w:val="left"/>
              <w:rPr>
                <w:rFonts w:ascii="Arial Narrow" w:hAnsi="Arial Narrow"/>
                <w:sz w:val="20"/>
              </w:rPr>
            </w:pPr>
            <w:r w:rsidRPr="00763D8B">
              <w:rPr>
                <w:rFonts w:ascii="Arial Narrow" w:hAnsi="Arial Narrow"/>
                <w:sz w:val="20"/>
              </w:rPr>
              <w:t xml:space="preserve">Adult patients with relapsing remitting multiple sclerosis. </w:t>
            </w:r>
          </w:p>
          <w:p w:rsidR="000A1410" w:rsidRPr="00763D8B" w:rsidRDefault="000A1410" w:rsidP="005363F0">
            <w:pPr>
              <w:keepNext/>
              <w:keepLines/>
              <w:jc w:val="left"/>
              <w:rPr>
                <w:rFonts w:ascii="Arial Narrow" w:hAnsi="Arial Narrow"/>
                <w:sz w:val="20"/>
              </w:rPr>
            </w:pPr>
            <w:r w:rsidRPr="00763D8B">
              <w:rPr>
                <w:rFonts w:ascii="Arial Narrow" w:hAnsi="Arial Narrow"/>
                <w:sz w:val="20"/>
              </w:rPr>
              <w:t>There are two subpopulations of interest:</w:t>
            </w:r>
          </w:p>
          <w:p w:rsidR="000A1410" w:rsidRPr="00763D8B" w:rsidRDefault="000A1410" w:rsidP="00FD072C">
            <w:pPr>
              <w:pStyle w:val="ListParagraph"/>
              <w:keepNext/>
              <w:keepLines/>
              <w:numPr>
                <w:ilvl w:val="0"/>
                <w:numId w:val="11"/>
              </w:numPr>
              <w:spacing w:after="0"/>
              <w:ind w:left="255" w:hanging="255"/>
              <w:jc w:val="left"/>
              <w:rPr>
                <w:rFonts w:ascii="Arial Narrow" w:hAnsi="Arial Narrow" w:cs="Times New Roman"/>
                <w:sz w:val="20"/>
              </w:rPr>
            </w:pPr>
            <w:r w:rsidRPr="00763D8B">
              <w:rPr>
                <w:rFonts w:ascii="Arial Narrow" w:hAnsi="Arial Narrow"/>
                <w:sz w:val="20"/>
              </w:rPr>
              <w:t>Those who do NOT experience one or more relapses OR two or more new or enlarging brain or spinal cord lesions (with no continuing progression while on treatment) following two courses of PBS-subsidised alemtuzumab; and</w:t>
            </w:r>
          </w:p>
          <w:p w:rsidR="000A1410" w:rsidRPr="00763D8B" w:rsidRDefault="000A1410" w:rsidP="00FD072C">
            <w:pPr>
              <w:pStyle w:val="ListParagraph"/>
              <w:keepNext/>
              <w:keepLines/>
              <w:numPr>
                <w:ilvl w:val="0"/>
                <w:numId w:val="11"/>
              </w:numPr>
              <w:spacing w:after="0"/>
              <w:ind w:left="255" w:hanging="255"/>
              <w:jc w:val="left"/>
              <w:rPr>
                <w:rFonts w:ascii="Arial Narrow" w:hAnsi="Arial Narrow" w:cs="Times New Roman"/>
                <w:sz w:val="20"/>
              </w:rPr>
            </w:pPr>
            <w:r w:rsidRPr="00763D8B">
              <w:rPr>
                <w:rFonts w:ascii="Arial Narrow" w:hAnsi="Arial Narrow"/>
                <w:sz w:val="20"/>
              </w:rPr>
              <w:t>Those who experience one or more relapses OR two or more new or enlarging brain or spinal cord lesions (with no continuing progression while on treatment) following two courses of PBS-subsidised alemtuzumab.</w:t>
            </w:r>
          </w:p>
        </w:tc>
      </w:tr>
      <w:tr w:rsidR="000A1410" w:rsidRPr="000F1070" w:rsidTr="000A1410">
        <w:trPr>
          <w:cantSplit/>
        </w:trPr>
        <w:tc>
          <w:tcPr>
            <w:tcW w:w="941" w:type="pct"/>
            <w:shd w:val="clear" w:color="auto" w:fill="auto"/>
          </w:tcPr>
          <w:p w:rsidR="000A1410" w:rsidRPr="000F1070" w:rsidRDefault="000A1410" w:rsidP="005363F0">
            <w:pPr>
              <w:keepNext/>
              <w:keepLines/>
              <w:rPr>
                <w:rFonts w:ascii="Arial Narrow" w:hAnsi="Arial Narrow" w:cs="Times New Roman"/>
                <w:sz w:val="20"/>
              </w:rPr>
            </w:pPr>
            <w:r w:rsidRPr="000F1070">
              <w:rPr>
                <w:rFonts w:ascii="Arial Narrow" w:hAnsi="Arial Narrow"/>
                <w:sz w:val="20"/>
              </w:rPr>
              <w:t>Intervention</w:t>
            </w:r>
          </w:p>
        </w:tc>
        <w:tc>
          <w:tcPr>
            <w:tcW w:w="4059" w:type="pct"/>
            <w:shd w:val="clear" w:color="auto" w:fill="auto"/>
          </w:tcPr>
          <w:p w:rsidR="000A1410" w:rsidRPr="00763D8B" w:rsidRDefault="000A1410" w:rsidP="005363F0">
            <w:pPr>
              <w:keepNext/>
              <w:keepLines/>
              <w:jc w:val="left"/>
              <w:rPr>
                <w:rFonts w:ascii="Arial Narrow" w:hAnsi="Arial Narrow"/>
                <w:sz w:val="20"/>
              </w:rPr>
            </w:pPr>
            <w:r w:rsidRPr="00763D8B">
              <w:rPr>
                <w:rFonts w:ascii="Arial Narrow" w:hAnsi="Arial Narrow"/>
                <w:sz w:val="20"/>
              </w:rPr>
              <w:t>Consistent with the two subpopulations, two treatment regimens are relevant:</w:t>
            </w:r>
          </w:p>
          <w:p w:rsidR="000A1410" w:rsidRPr="00763D8B" w:rsidRDefault="000A1410" w:rsidP="00FD072C">
            <w:pPr>
              <w:pStyle w:val="ListParagraph"/>
              <w:keepNext/>
              <w:keepLines/>
              <w:numPr>
                <w:ilvl w:val="0"/>
                <w:numId w:val="12"/>
              </w:numPr>
              <w:spacing w:after="0"/>
              <w:ind w:left="255" w:hanging="255"/>
              <w:jc w:val="left"/>
              <w:rPr>
                <w:rFonts w:ascii="Arial Narrow" w:hAnsi="Arial Narrow" w:cs="Times New Roman"/>
                <w:sz w:val="20"/>
              </w:rPr>
            </w:pPr>
            <w:r w:rsidRPr="00763D8B">
              <w:rPr>
                <w:rFonts w:ascii="Arial Narrow" w:hAnsi="Arial Narrow"/>
                <w:sz w:val="20"/>
              </w:rPr>
              <w:t>Alemtuzumab 12</w:t>
            </w:r>
            <w:r w:rsidR="00C171CD">
              <w:rPr>
                <w:rFonts w:ascii="Arial Narrow" w:hAnsi="Arial Narrow"/>
                <w:sz w:val="20"/>
              </w:rPr>
              <w:t xml:space="preserve"> </w:t>
            </w:r>
            <w:r w:rsidRPr="00763D8B">
              <w:rPr>
                <w:rFonts w:ascii="Arial Narrow" w:hAnsi="Arial Narrow"/>
                <w:sz w:val="20"/>
              </w:rPr>
              <w:t xml:space="preserve">mg/day administered by IV infusion for 2 courses, with no further treatment; and </w:t>
            </w:r>
          </w:p>
          <w:p w:rsidR="000A1410" w:rsidRPr="00763D8B" w:rsidRDefault="000A1410" w:rsidP="00FD072C">
            <w:pPr>
              <w:pStyle w:val="ListParagraph"/>
              <w:keepNext/>
              <w:keepLines/>
              <w:numPr>
                <w:ilvl w:val="0"/>
                <w:numId w:val="12"/>
              </w:numPr>
              <w:spacing w:after="0"/>
              <w:ind w:left="255" w:hanging="255"/>
              <w:jc w:val="left"/>
              <w:rPr>
                <w:rFonts w:ascii="Arial Narrow" w:hAnsi="Arial Narrow" w:cs="Times New Roman"/>
                <w:sz w:val="20"/>
              </w:rPr>
            </w:pPr>
            <w:r w:rsidRPr="00763D8B">
              <w:rPr>
                <w:rFonts w:ascii="Arial Narrow" w:hAnsi="Arial Narrow"/>
                <w:sz w:val="20"/>
              </w:rPr>
              <w:t>Alemtuzumab 12</w:t>
            </w:r>
            <w:r w:rsidR="005752C7">
              <w:rPr>
                <w:rFonts w:ascii="Arial Narrow" w:hAnsi="Arial Narrow"/>
                <w:sz w:val="20"/>
              </w:rPr>
              <w:t xml:space="preserve"> </w:t>
            </w:r>
            <w:r w:rsidRPr="00763D8B">
              <w:rPr>
                <w:rFonts w:ascii="Arial Narrow" w:hAnsi="Arial Narrow"/>
                <w:sz w:val="20"/>
              </w:rPr>
              <w:t xml:space="preserve">mg/day administered by IV infusion for 2 courses with additional (up to four), as-needed, treatment courses given upon documented evidence of MS disease activity (relapse or MRI) at least 12 months after prior treatment </w:t>
            </w:r>
          </w:p>
        </w:tc>
      </w:tr>
      <w:tr w:rsidR="000A1410" w:rsidRPr="000F1070" w:rsidTr="000A1410">
        <w:trPr>
          <w:cantSplit/>
        </w:trPr>
        <w:tc>
          <w:tcPr>
            <w:tcW w:w="941" w:type="pct"/>
            <w:shd w:val="clear" w:color="auto" w:fill="auto"/>
          </w:tcPr>
          <w:p w:rsidR="000A1410" w:rsidRPr="000F1070" w:rsidRDefault="000A1410" w:rsidP="005363F0">
            <w:pPr>
              <w:keepNext/>
              <w:keepLines/>
              <w:rPr>
                <w:rFonts w:ascii="Arial Narrow" w:hAnsi="Arial Narrow" w:cs="Times New Roman"/>
                <w:sz w:val="20"/>
              </w:rPr>
            </w:pPr>
            <w:r w:rsidRPr="000F1070">
              <w:rPr>
                <w:rFonts w:ascii="Arial Narrow" w:hAnsi="Arial Narrow"/>
                <w:sz w:val="20"/>
              </w:rPr>
              <w:t>Comparator</w:t>
            </w:r>
          </w:p>
        </w:tc>
        <w:tc>
          <w:tcPr>
            <w:tcW w:w="4059" w:type="pct"/>
            <w:shd w:val="clear" w:color="auto" w:fill="auto"/>
          </w:tcPr>
          <w:p w:rsidR="000A1410" w:rsidRPr="008C526F" w:rsidRDefault="000A1410" w:rsidP="005363F0">
            <w:pPr>
              <w:keepNext/>
              <w:keepLines/>
              <w:jc w:val="left"/>
              <w:rPr>
                <w:rFonts w:ascii="Arial Narrow" w:hAnsi="Arial Narrow"/>
                <w:sz w:val="20"/>
              </w:rPr>
            </w:pPr>
            <w:r w:rsidRPr="00763D8B">
              <w:rPr>
                <w:rFonts w:ascii="Arial Narrow" w:hAnsi="Arial Narrow"/>
                <w:sz w:val="20"/>
              </w:rPr>
              <w:t>The resubmission nominate</w:t>
            </w:r>
            <w:r w:rsidR="000F2383" w:rsidRPr="00763D8B">
              <w:rPr>
                <w:rFonts w:ascii="Arial Narrow" w:hAnsi="Arial Narrow"/>
                <w:sz w:val="20"/>
              </w:rPr>
              <w:t>d</w:t>
            </w:r>
            <w:r w:rsidRPr="00763D8B">
              <w:rPr>
                <w:rFonts w:ascii="Arial Narrow" w:hAnsi="Arial Narrow"/>
                <w:sz w:val="20"/>
              </w:rPr>
              <w:t xml:space="preserve"> current standard of care, defined as two courses of alemtuzumab for all patients up to two additional courses in a minority of patients as-needed</w:t>
            </w:r>
            <w:r w:rsidR="00A05F11">
              <w:rPr>
                <w:rFonts w:ascii="Arial Narrow" w:hAnsi="Arial Narrow"/>
                <w:sz w:val="20"/>
              </w:rPr>
              <w:t>.</w:t>
            </w:r>
            <w:r w:rsidR="00A05F11">
              <w:rPr>
                <w:rFonts w:ascii="Arial Narrow" w:hAnsi="Arial Narrow"/>
                <w:sz w:val="20"/>
                <w:vertAlign w:val="superscript"/>
              </w:rPr>
              <w:t>a</w:t>
            </w:r>
          </w:p>
        </w:tc>
      </w:tr>
      <w:tr w:rsidR="000A1410" w:rsidRPr="000F1070" w:rsidTr="000A1410">
        <w:trPr>
          <w:cantSplit/>
        </w:trPr>
        <w:tc>
          <w:tcPr>
            <w:tcW w:w="941" w:type="pct"/>
            <w:shd w:val="clear" w:color="auto" w:fill="auto"/>
          </w:tcPr>
          <w:p w:rsidR="000A1410" w:rsidRPr="000F1070" w:rsidRDefault="000A1410" w:rsidP="005363F0">
            <w:pPr>
              <w:keepNext/>
              <w:keepLines/>
              <w:rPr>
                <w:rFonts w:ascii="Arial Narrow" w:hAnsi="Arial Narrow" w:cs="Times New Roman"/>
                <w:sz w:val="20"/>
              </w:rPr>
            </w:pPr>
            <w:r w:rsidRPr="000F1070">
              <w:rPr>
                <w:rFonts w:ascii="Arial Narrow" w:hAnsi="Arial Narrow"/>
                <w:sz w:val="20"/>
              </w:rPr>
              <w:t>Outcomes</w:t>
            </w:r>
          </w:p>
        </w:tc>
        <w:tc>
          <w:tcPr>
            <w:tcW w:w="4059" w:type="pct"/>
            <w:shd w:val="clear" w:color="auto" w:fill="auto"/>
          </w:tcPr>
          <w:p w:rsidR="000A1410" w:rsidRPr="00763D8B" w:rsidRDefault="000A1410" w:rsidP="005363F0">
            <w:pPr>
              <w:keepNext/>
              <w:keepLines/>
              <w:jc w:val="left"/>
              <w:rPr>
                <w:rFonts w:ascii="Arial Narrow" w:hAnsi="Arial Narrow" w:cs="Times New Roman"/>
                <w:sz w:val="20"/>
              </w:rPr>
            </w:pPr>
            <w:r w:rsidRPr="00763D8B">
              <w:rPr>
                <w:rFonts w:ascii="Arial Narrow" w:hAnsi="Arial Narrow" w:cs="Times New Roman"/>
                <w:sz w:val="20"/>
              </w:rPr>
              <w:t>Comparison of outcomes at two years versus outcomes at six years following an initial course of alemtuzumab treatment (sustained accumulation of disability, annualised relapse rate, proportion of subjects remaining free from relapses, subclinical measures of progression based on MRI).</w:t>
            </w:r>
          </w:p>
        </w:tc>
      </w:tr>
      <w:tr w:rsidR="000A1410" w:rsidRPr="000F1070" w:rsidTr="000A1410">
        <w:trPr>
          <w:cantSplit/>
        </w:trPr>
        <w:tc>
          <w:tcPr>
            <w:tcW w:w="941" w:type="pct"/>
            <w:shd w:val="clear" w:color="auto" w:fill="auto"/>
          </w:tcPr>
          <w:p w:rsidR="000A1410" w:rsidRPr="000F1070" w:rsidRDefault="000A1410" w:rsidP="005363F0">
            <w:pPr>
              <w:keepNext/>
              <w:keepLines/>
              <w:rPr>
                <w:rFonts w:ascii="Arial Narrow" w:hAnsi="Arial Narrow" w:cs="Times New Roman"/>
                <w:sz w:val="20"/>
              </w:rPr>
            </w:pPr>
            <w:r w:rsidRPr="000F1070">
              <w:rPr>
                <w:rFonts w:ascii="Arial Narrow" w:hAnsi="Arial Narrow"/>
                <w:sz w:val="20"/>
              </w:rPr>
              <w:t>Clinical claim</w:t>
            </w:r>
          </w:p>
        </w:tc>
        <w:tc>
          <w:tcPr>
            <w:tcW w:w="4059" w:type="pct"/>
            <w:shd w:val="clear" w:color="auto" w:fill="auto"/>
          </w:tcPr>
          <w:p w:rsidR="000A1410" w:rsidRPr="00763D8B" w:rsidRDefault="000A1410" w:rsidP="005363F0">
            <w:pPr>
              <w:keepNext/>
              <w:keepLines/>
              <w:jc w:val="left"/>
              <w:rPr>
                <w:rFonts w:ascii="Arial Narrow" w:hAnsi="Arial Narrow" w:cs="Times New Roman"/>
                <w:sz w:val="20"/>
              </w:rPr>
            </w:pPr>
            <w:r w:rsidRPr="00763D8B">
              <w:rPr>
                <w:rFonts w:ascii="Arial Narrow" w:hAnsi="Arial Narrow" w:cs="Times New Roman"/>
                <w:sz w:val="20"/>
              </w:rPr>
              <w:t xml:space="preserve">For a majority of patients, the clinical benefits in terms of annual rate of relapse and rate of accumulation of disability observed after two years of follow-up is maintained for a minimum of six years with no additional courses of treatment. For a small subset of patients, one or two additional courses of treatment are required to maintain the clinical benefit. </w:t>
            </w:r>
          </w:p>
        </w:tc>
      </w:tr>
    </w:tbl>
    <w:p w:rsidR="00BD1912" w:rsidRDefault="00BD1912" w:rsidP="005363F0">
      <w:pPr>
        <w:pStyle w:val="TableFooter"/>
        <w:keepNext/>
        <w:keepLines/>
      </w:pPr>
      <w:r>
        <w:t xml:space="preserve">Source: Table 1.1.1, p2 of the resubmission. </w:t>
      </w:r>
    </w:p>
    <w:p w:rsidR="00A05F11" w:rsidRDefault="00A05F11" w:rsidP="005363F0">
      <w:pPr>
        <w:pStyle w:val="TableFooter"/>
        <w:keepNext/>
        <w:keepLines/>
      </w:pPr>
      <w:r>
        <w:rPr>
          <w:vertAlign w:val="superscript"/>
        </w:rPr>
        <w:t xml:space="preserve">a </w:t>
      </w:r>
      <w:r>
        <w:t xml:space="preserve">Two additional courses included in definition of standard of care on </w:t>
      </w:r>
      <w:r w:rsidRPr="00A05F11">
        <w:t>the basis</w:t>
      </w:r>
      <w:r w:rsidRPr="00763D8B">
        <w:rPr>
          <w:sz w:val="20"/>
        </w:rPr>
        <w:t xml:space="preserve"> </w:t>
      </w:r>
      <w:r w:rsidRPr="00A05F11">
        <w:t>that the third and fourth courses are currently supplied by the sponsor under a compassionate supply arrangement</w:t>
      </w:r>
      <w:r>
        <w:t>.</w:t>
      </w:r>
    </w:p>
    <w:p w:rsidR="00BD1912" w:rsidRPr="00882085" w:rsidRDefault="00BD1912" w:rsidP="00BD1912"/>
    <w:p w:rsidR="00BD1912" w:rsidRPr="00652AFF" w:rsidRDefault="00BD1912" w:rsidP="00652AFF">
      <w:pPr>
        <w:pStyle w:val="PBACHeading1"/>
        <w:spacing w:before="240" w:after="120"/>
        <w:outlineLvl w:val="0"/>
        <w:rPr>
          <w:rFonts w:asciiTheme="minorHAnsi" w:hAnsiTheme="minorHAnsi"/>
          <w:szCs w:val="32"/>
        </w:rPr>
      </w:pPr>
      <w:bookmarkStart w:id="1" w:name="_Toc524531620"/>
      <w:r w:rsidRPr="00652AFF">
        <w:rPr>
          <w:rFonts w:asciiTheme="minorHAnsi" w:hAnsiTheme="minorHAnsi"/>
          <w:szCs w:val="32"/>
        </w:rPr>
        <w:lastRenderedPageBreak/>
        <w:t>Requested listing</w:t>
      </w:r>
      <w:bookmarkEnd w:id="1"/>
    </w:p>
    <w:p w:rsidR="006F2952" w:rsidRPr="00871992" w:rsidRDefault="006F2952" w:rsidP="00FD072C">
      <w:pPr>
        <w:pStyle w:val="ListParagraph"/>
        <w:widowControl/>
        <w:numPr>
          <w:ilvl w:val="1"/>
          <w:numId w:val="1"/>
        </w:numPr>
        <w:rPr>
          <w:color w:val="000000" w:themeColor="text1"/>
        </w:rPr>
      </w:pPr>
      <w:r>
        <w:t>The table below presents the requested restriction</w:t>
      </w:r>
      <w:r w:rsidRPr="00871992">
        <w:rPr>
          <w:color w:val="000000" w:themeColor="text1"/>
        </w:rPr>
        <w:t>.</w:t>
      </w:r>
      <w:r w:rsidR="00871992">
        <w:rPr>
          <w:color w:val="000000" w:themeColor="text1"/>
        </w:rPr>
        <w:t xml:space="preserve"> </w:t>
      </w:r>
      <w:r w:rsidR="00871992" w:rsidRPr="00871992">
        <w:rPr>
          <w:color w:val="000000" w:themeColor="text1"/>
        </w:rPr>
        <w:t>Underlined text represents criteria that is new to the requested restriction and that differs from the current alemtuzumab restriction for continuing treatment.</w:t>
      </w:r>
    </w:p>
    <w:p w:rsidR="00871992" w:rsidRDefault="00871992" w:rsidP="00871992">
      <w:pPr>
        <w:widowControl/>
      </w:pPr>
    </w:p>
    <w:tbl>
      <w:tblPr>
        <w:tblW w:w="5000" w:type="pct"/>
        <w:tblLook w:val="0000" w:firstRow="0" w:lastRow="0" w:firstColumn="0" w:lastColumn="0" w:noHBand="0" w:noVBand="0"/>
      </w:tblPr>
      <w:tblGrid>
        <w:gridCol w:w="1694"/>
        <w:gridCol w:w="898"/>
        <w:gridCol w:w="473"/>
        <w:gridCol w:w="208"/>
        <w:gridCol w:w="325"/>
        <w:gridCol w:w="1582"/>
        <w:gridCol w:w="1583"/>
        <w:gridCol w:w="909"/>
        <w:gridCol w:w="1354"/>
      </w:tblGrid>
      <w:tr w:rsidR="0064509C" w:rsidRPr="00763D8B" w:rsidTr="0064509C">
        <w:trPr>
          <w:cantSplit/>
          <w:trHeight w:val="471"/>
        </w:trPr>
        <w:tc>
          <w:tcPr>
            <w:tcW w:w="1441" w:type="pct"/>
            <w:gridSpan w:val="2"/>
            <w:tcBorders>
              <w:bottom w:val="single" w:sz="4" w:space="0" w:color="auto"/>
            </w:tcBorders>
          </w:tcPr>
          <w:p w:rsidR="0064509C" w:rsidRPr="00763D8B" w:rsidRDefault="0064509C" w:rsidP="00C4718C">
            <w:pPr>
              <w:keepNext/>
              <w:widowControl/>
              <w:ind w:left="-108"/>
              <w:rPr>
                <w:rFonts w:ascii="Arial Narrow" w:hAnsi="Arial Narrow"/>
                <w:b/>
                <w:snapToGrid/>
                <w:sz w:val="20"/>
                <w:szCs w:val="20"/>
                <w:lang w:eastAsia="en-AU"/>
              </w:rPr>
            </w:pPr>
            <w:r w:rsidRPr="00763D8B">
              <w:rPr>
                <w:rFonts w:ascii="Arial Narrow" w:hAnsi="Arial Narrow"/>
                <w:b/>
                <w:snapToGrid/>
                <w:sz w:val="20"/>
                <w:szCs w:val="20"/>
                <w:lang w:eastAsia="en-AU"/>
              </w:rPr>
              <w:t>Name, Restriction,</w:t>
            </w:r>
          </w:p>
          <w:p w:rsidR="0064509C" w:rsidRPr="00763D8B" w:rsidRDefault="0064509C" w:rsidP="00C4718C">
            <w:pPr>
              <w:keepNext/>
              <w:widowControl/>
              <w:ind w:left="-108"/>
              <w:rPr>
                <w:rFonts w:ascii="Arial Narrow" w:hAnsi="Arial Narrow"/>
                <w:b/>
                <w:snapToGrid/>
                <w:sz w:val="20"/>
                <w:szCs w:val="20"/>
                <w:lang w:eastAsia="en-AU"/>
              </w:rPr>
            </w:pPr>
            <w:r w:rsidRPr="00763D8B">
              <w:rPr>
                <w:rFonts w:ascii="Arial Narrow" w:hAnsi="Arial Narrow"/>
                <w:b/>
                <w:snapToGrid/>
                <w:sz w:val="20"/>
                <w:szCs w:val="20"/>
                <w:lang w:eastAsia="en-AU"/>
              </w:rPr>
              <w:t>Manner of administration and form</w:t>
            </w:r>
          </w:p>
        </w:tc>
        <w:tc>
          <w:tcPr>
            <w:tcW w:w="256" w:type="pct"/>
            <w:tcBorders>
              <w:bottom w:val="single" w:sz="4" w:space="0" w:color="auto"/>
            </w:tcBorders>
          </w:tcPr>
          <w:p w:rsidR="0064509C" w:rsidRPr="00763D8B" w:rsidRDefault="0064509C" w:rsidP="00C4718C">
            <w:pPr>
              <w:keepNext/>
              <w:widowControl/>
              <w:ind w:left="-108"/>
              <w:rPr>
                <w:rFonts w:ascii="Arial Narrow" w:hAnsi="Arial Narrow"/>
                <w:b/>
                <w:snapToGrid/>
                <w:sz w:val="20"/>
                <w:szCs w:val="20"/>
                <w:lang w:eastAsia="en-AU"/>
              </w:rPr>
            </w:pPr>
            <w:r w:rsidRPr="00763D8B">
              <w:rPr>
                <w:rFonts w:ascii="Arial Narrow" w:hAnsi="Arial Narrow"/>
                <w:b/>
                <w:snapToGrid/>
                <w:sz w:val="20"/>
                <w:szCs w:val="20"/>
                <w:lang w:eastAsia="en-AU"/>
              </w:rPr>
              <w:t>Max.</w:t>
            </w:r>
          </w:p>
          <w:p w:rsidR="0064509C" w:rsidRPr="00763D8B" w:rsidRDefault="0064509C" w:rsidP="00C4718C">
            <w:pPr>
              <w:keepNext/>
              <w:widowControl/>
              <w:ind w:left="-108"/>
              <w:rPr>
                <w:rFonts w:ascii="Arial Narrow" w:hAnsi="Arial Narrow"/>
                <w:b/>
                <w:snapToGrid/>
                <w:sz w:val="20"/>
                <w:szCs w:val="20"/>
                <w:lang w:eastAsia="en-AU"/>
              </w:rPr>
            </w:pPr>
            <w:r w:rsidRPr="00763D8B">
              <w:rPr>
                <w:rFonts w:ascii="Arial Narrow" w:hAnsi="Arial Narrow"/>
                <w:b/>
                <w:snapToGrid/>
                <w:sz w:val="20"/>
                <w:szCs w:val="20"/>
                <w:lang w:eastAsia="en-AU"/>
              </w:rPr>
              <w:t>Qty</w:t>
            </w:r>
          </w:p>
        </w:tc>
        <w:tc>
          <w:tcPr>
            <w:tcW w:w="301" w:type="pct"/>
            <w:gridSpan w:val="2"/>
            <w:tcBorders>
              <w:bottom w:val="single" w:sz="4" w:space="0" w:color="auto"/>
            </w:tcBorders>
          </w:tcPr>
          <w:p w:rsidR="0064509C" w:rsidRPr="00763D8B" w:rsidRDefault="0064509C" w:rsidP="00C4718C">
            <w:pPr>
              <w:keepNext/>
              <w:widowControl/>
              <w:ind w:left="-108"/>
              <w:rPr>
                <w:rFonts w:ascii="Arial Narrow" w:hAnsi="Arial Narrow"/>
                <w:b/>
                <w:snapToGrid/>
                <w:sz w:val="20"/>
                <w:szCs w:val="20"/>
                <w:lang w:eastAsia="en-AU"/>
              </w:rPr>
            </w:pPr>
            <w:r w:rsidRPr="00763D8B">
              <w:rPr>
                <w:rFonts w:ascii="Arial Narrow" w:hAnsi="Arial Narrow"/>
                <w:b/>
                <w:snapToGrid/>
                <w:sz w:val="20"/>
                <w:szCs w:val="20"/>
                <w:lang w:eastAsia="en-AU"/>
              </w:rPr>
              <w:t>№.of</w:t>
            </w:r>
          </w:p>
          <w:p w:rsidR="0064509C" w:rsidRPr="00763D8B" w:rsidRDefault="0064509C" w:rsidP="00C4718C">
            <w:pPr>
              <w:keepNext/>
              <w:widowControl/>
              <w:ind w:left="-108"/>
              <w:rPr>
                <w:rFonts w:ascii="Arial Narrow" w:hAnsi="Arial Narrow"/>
                <w:b/>
                <w:snapToGrid/>
                <w:sz w:val="20"/>
                <w:szCs w:val="20"/>
                <w:lang w:eastAsia="en-AU"/>
              </w:rPr>
            </w:pPr>
            <w:r w:rsidRPr="00763D8B">
              <w:rPr>
                <w:rFonts w:ascii="Arial Narrow" w:hAnsi="Arial Narrow"/>
                <w:b/>
                <w:snapToGrid/>
                <w:sz w:val="20"/>
                <w:szCs w:val="20"/>
                <w:lang w:eastAsia="en-AU"/>
              </w:rPr>
              <w:t>Rpts</w:t>
            </w:r>
          </w:p>
        </w:tc>
        <w:tc>
          <w:tcPr>
            <w:tcW w:w="879" w:type="pct"/>
            <w:tcBorders>
              <w:bottom w:val="single" w:sz="4" w:space="0" w:color="auto"/>
            </w:tcBorders>
          </w:tcPr>
          <w:p w:rsidR="0064509C" w:rsidRPr="00763D8B" w:rsidRDefault="0064509C" w:rsidP="00C4718C">
            <w:pPr>
              <w:keepNext/>
              <w:widowControl/>
              <w:ind w:left="-108"/>
              <w:jc w:val="left"/>
              <w:rPr>
                <w:rFonts w:ascii="Arial Narrow" w:hAnsi="Arial Narrow"/>
                <w:b/>
                <w:snapToGrid/>
                <w:sz w:val="20"/>
                <w:szCs w:val="20"/>
                <w:lang w:eastAsia="en-AU"/>
              </w:rPr>
            </w:pPr>
          </w:p>
        </w:tc>
        <w:tc>
          <w:tcPr>
            <w:tcW w:w="879" w:type="pct"/>
            <w:tcBorders>
              <w:bottom w:val="single" w:sz="4" w:space="0" w:color="auto"/>
            </w:tcBorders>
          </w:tcPr>
          <w:p w:rsidR="0064509C" w:rsidRPr="00763D8B" w:rsidRDefault="0064509C" w:rsidP="00C4718C">
            <w:pPr>
              <w:keepNext/>
              <w:widowControl/>
              <w:ind w:left="-108"/>
              <w:jc w:val="left"/>
              <w:rPr>
                <w:rFonts w:ascii="Arial Narrow" w:hAnsi="Arial Narrow"/>
                <w:b/>
                <w:snapToGrid/>
                <w:sz w:val="20"/>
                <w:szCs w:val="20"/>
                <w:lang w:eastAsia="en-AU"/>
              </w:rPr>
            </w:pPr>
            <w:r w:rsidRPr="00763D8B">
              <w:rPr>
                <w:rFonts w:ascii="Arial Narrow" w:hAnsi="Arial Narrow"/>
                <w:b/>
                <w:snapToGrid/>
                <w:sz w:val="20"/>
                <w:szCs w:val="20"/>
                <w:lang w:eastAsia="en-AU"/>
              </w:rPr>
              <w:t>Dispensed Price for Max. Qty</w:t>
            </w:r>
          </w:p>
        </w:tc>
        <w:tc>
          <w:tcPr>
            <w:tcW w:w="1245" w:type="pct"/>
            <w:gridSpan w:val="2"/>
            <w:tcBorders>
              <w:bottom w:val="single" w:sz="4" w:space="0" w:color="auto"/>
            </w:tcBorders>
          </w:tcPr>
          <w:p w:rsidR="0064509C" w:rsidRPr="00763D8B" w:rsidRDefault="0064509C" w:rsidP="00C4718C">
            <w:pPr>
              <w:keepNext/>
              <w:widowControl/>
              <w:jc w:val="left"/>
              <w:rPr>
                <w:rFonts w:ascii="Arial Narrow" w:hAnsi="Arial Narrow"/>
                <w:b/>
                <w:snapToGrid/>
                <w:sz w:val="20"/>
                <w:szCs w:val="20"/>
                <w:lang w:val="fr-FR" w:eastAsia="en-AU"/>
              </w:rPr>
            </w:pPr>
            <w:r w:rsidRPr="00763D8B">
              <w:rPr>
                <w:rFonts w:ascii="Arial Narrow" w:hAnsi="Arial Narrow"/>
                <w:b/>
                <w:snapToGrid/>
                <w:sz w:val="20"/>
                <w:szCs w:val="20"/>
                <w:lang w:eastAsia="en-AU"/>
              </w:rPr>
              <w:t>Proprietary Name and Manufacturer</w:t>
            </w:r>
          </w:p>
        </w:tc>
      </w:tr>
      <w:tr w:rsidR="0064509C" w:rsidRPr="00763D8B" w:rsidTr="0064509C">
        <w:trPr>
          <w:cantSplit/>
          <w:trHeight w:val="577"/>
        </w:trPr>
        <w:tc>
          <w:tcPr>
            <w:tcW w:w="1441" w:type="pct"/>
            <w:gridSpan w:val="2"/>
          </w:tcPr>
          <w:p w:rsidR="0064509C" w:rsidRPr="00763D8B" w:rsidRDefault="0064509C" w:rsidP="00C4718C">
            <w:pPr>
              <w:keepNext/>
              <w:widowControl/>
              <w:ind w:left="-108"/>
              <w:rPr>
                <w:rFonts w:ascii="Arial Narrow" w:hAnsi="Arial Narrow" w:cs="Times New Roman"/>
                <w:snapToGrid/>
                <w:szCs w:val="24"/>
                <w:lang w:eastAsia="en-AU"/>
              </w:rPr>
            </w:pPr>
            <w:r w:rsidRPr="00763D8B">
              <w:rPr>
                <w:rFonts w:ascii="Arial Narrow" w:hAnsi="Arial Narrow"/>
                <w:smallCaps/>
                <w:snapToGrid/>
                <w:sz w:val="20"/>
                <w:szCs w:val="20"/>
                <w:lang w:eastAsia="en-AU"/>
              </w:rPr>
              <w:t>ALEMTUZUMAB</w:t>
            </w:r>
            <w:r w:rsidRPr="00763D8B">
              <w:rPr>
                <w:rFonts w:ascii="Arial Narrow" w:hAnsi="Arial Narrow" w:cs="Times New Roman"/>
                <w:snapToGrid/>
                <w:szCs w:val="24"/>
                <w:lang w:eastAsia="en-AU"/>
              </w:rPr>
              <w:t xml:space="preserve"> </w:t>
            </w:r>
          </w:p>
          <w:p w:rsidR="0064509C" w:rsidRPr="00763D8B" w:rsidRDefault="0064509C" w:rsidP="00C4718C">
            <w:pPr>
              <w:keepNext/>
              <w:widowControl/>
              <w:ind w:left="-108"/>
              <w:rPr>
                <w:rFonts w:ascii="Arial Narrow" w:hAnsi="Arial Narrow"/>
                <w:smallCaps/>
                <w:snapToGrid/>
                <w:sz w:val="20"/>
                <w:szCs w:val="20"/>
                <w:lang w:eastAsia="en-AU"/>
              </w:rPr>
            </w:pPr>
            <w:r w:rsidRPr="00763D8B">
              <w:rPr>
                <w:rFonts w:ascii="Arial Narrow" w:hAnsi="Arial Narrow"/>
                <w:smallCaps/>
                <w:snapToGrid/>
                <w:sz w:val="20"/>
                <w:szCs w:val="20"/>
                <w:lang w:eastAsia="en-AU"/>
              </w:rPr>
              <w:t>Solution for infusion,</w:t>
            </w:r>
          </w:p>
          <w:p w:rsidR="0064509C" w:rsidRDefault="0064509C" w:rsidP="00C4718C">
            <w:pPr>
              <w:keepNext/>
              <w:widowControl/>
              <w:ind w:left="-108"/>
              <w:rPr>
                <w:rFonts w:ascii="Arial Narrow" w:hAnsi="Arial Narrow"/>
                <w:smallCaps/>
                <w:snapToGrid/>
                <w:sz w:val="20"/>
                <w:szCs w:val="20"/>
                <w:lang w:eastAsia="en-AU"/>
              </w:rPr>
            </w:pPr>
            <w:r w:rsidRPr="00763D8B">
              <w:rPr>
                <w:rFonts w:ascii="Arial Narrow" w:hAnsi="Arial Narrow"/>
                <w:smallCaps/>
                <w:snapToGrid/>
                <w:sz w:val="20"/>
                <w:szCs w:val="20"/>
                <w:lang w:eastAsia="en-AU"/>
              </w:rPr>
              <w:t>10 mg/mL; 2mL vial</w:t>
            </w:r>
          </w:p>
          <w:p w:rsidR="0064509C" w:rsidRPr="00763D8B" w:rsidRDefault="0064509C" w:rsidP="00C4718C">
            <w:pPr>
              <w:keepNext/>
              <w:widowControl/>
              <w:ind w:left="-108"/>
              <w:rPr>
                <w:rFonts w:ascii="Arial Narrow" w:hAnsi="Arial Narrow"/>
                <w:snapToGrid/>
                <w:sz w:val="20"/>
                <w:szCs w:val="20"/>
                <w:lang w:eastAsia="en-AU"/>
              </w:rPr>
            </w:pPr>
          </w:p>
        </w:tc>
        <w:tc>
          <w:tcPr>
            <w:tcW w:w="256" w:type="pct"/>
          </w:tcPr>
          <w:p w:rsidR="0064509C" w:rsidRPr="00763D8B" w:rsidRDefault="0064509C" w:rsidP="00C4718C">
            <w:pPr>
              <w:keepNext/>
              <w:widowControl/>
              <w:ind w:left="-108"/>
              <w:rPr>
                <w:rFonts w:ascii="Arial Narrow" w:hAnsi="Arial Narrow"/>
                <w:snapToGrid/>
                <w:sz w:val="20"/>
                <w:szCs w:val="20"/>
                <w:lang w:eastAsia="en-AU"/>
              </w:rPr>
            </w:pPr>
          </w:p>
          <w:p w:rsidR="0064509C" w:rsidRPr="00763D8B" w:rsidRDefault="0064509C" w:rsidP="00C4718C">
            <w:pPr>
              <w:keepNext/>
              <w:widowControl/>
              <w:ind w:left="-108"/>
              <w:rPr>
                <w:rFonts w:ascii="Arial Narrow" w:hAnsi="Arial Narrow"/>
                <w:snapToGrid/>
                <w:sz w:val="20"/>
                <w:szCs w:val="20"/>
                <w:lang w:eastAsia="en-AU"/>
              </w:rPr>
            </w:pPr>
            <w:r w:rsidRPr="00763D8B">
              <w:rPr>
                <w:rFonts w:ascii="Arial Narrow" w:hAnsi="Arial Narrow"/>
                <w:snapToGrid/>
                <w:sz w:val="20"/>
                <w:szCs w:val="20"/>
                <w:lang w:eastAsia="en-AU"/>
              </w:rPr>
              <w:t>3</w:t>
            </w:r>
          </w:p>
        </w:tc>
        <w:tc>
          <w:tcPr>
            <w:tcW w:w="301" w:type="pct"/>
            <w:gridSpan w:val="2"/>
          </w:tcPr>
          <w:p w:rsidR="0064509C" w:rsidRPr="00763D8B" w:rsidRDefault="0064509C" w:rsidP="00C4718C">
            <w:pPr>
              <w:keepNext/>
              <w:widowControl/>
              <w:ind w:left="-108"/>
              <w:rPr>
                <w:rFonts w:ascii="Arial Narrow" w:hAnsi="Arial Narrow"/>
                <w:snapToGrid/>
                <w:sz w:val="20"/>
                <w:szCs w:val="20"/>
                <w:lang w:eastAsia="en-AU"/>
              </w:rPr>
            </w:pPr>
          </w:p>
          <w:p w:rsidR="0064509C" w:rsidRPr="00763D8B" w:rsidRDefault="0064509C" w:rsidP="00C4718C">
            <w:pPr>
              <w:keepNext/>
              <w:widowControl/>
              <w:ind w:left="-108"/>
              <w:rPr>
                <w:rFonts w:ascii="Arial Narrow" w:hAnsi="Arial Narrow"/>
                <w:snapToGrid/>
                <w:sz w:val="20"/>
                <w:szCs w:val="20"/>
                <w:lang w:eastAsia="en-AU"/>
              </w:rPr>
            </w:pPr>
            <w:r w:rsidRPr="00763D8B">
              <w:rPr>
                <w:rFonts w:ascii="Arial Narrow" w:hAnsi="Arial Narrow"/>
                <w:snapToGrid/>
                <w:sz w:val="20"/>
                <w:szCs w:val="20"/>
                <w:lang w:eastAsia="en-AU"/>
              </w:rPr>
              <w:t>0</w:t>
            </w:r>
          </w:p>
        </w:tc>
        <w:tc>
          <w:tcPr>
            <w:tcW w:w="879" w:type="pct"/>
          </w:tcPr>
          <w:p w:rsidR="0064509C" w:rsidRPr="00763D8B" w:rsidRDefault="0064509C" w:rsidP="00C4718C">
            <w:pPr>
              <w:keepNext/>
              <w:widowControl/>
              <w:ind w:left="-108"/>
              <w:rPr>
                <w:rFonts w:ascii="Arial Narrow" w:hAnsi="Arial Narrow"/>
                <w:snapToGrid/>
                <w:sz w:val="20"/>
                <w:szCs w:val="20"/>
                <w:lang w:eastAsia="en-AU"/>
              </w:rPr>
            </w:pPr>
          </w:p>
        </w:tc>
        <w:tc>
          <w:tcPr>
            <w:tcW w:w="879" w:type="pct"/>
          </w:tcPr>
          <w:p w:rsidR="0064509C" w:rsidRPr="00763D8B" w:rsidRDefault="0064509C" w:rsidP="00C4718C">
            <w:pPr>
              <w:keepNext/>
              <w:widowControl/>
              <w:ind w:left="-108"/>
              <w:rPr>
                <w:rFonts w:ascii="Arial Narrow" w:hAnsi="Arial Narrow"/>
                <w:snapToGrid/>
                <w:sz w:val="20"/>
                <w:szCs w:val="20"/>
                <w:lang w:eastAsia="en-AU"/>
              </w:rPr>
            </w:pPr>
            <w:r>
              <w:rPr>
                <w:rFonts w:ascii="Arial Narrow" w:hAnsi="Arial Narrow"/>
                <w:snapToGrid/>
                <w:sz w:val="20"/>
                <w:szCs w:val="20"/>
                <w:lang w:eastAsia="en-AU"/>
              </w:rPr>
              <w:t>Effective: $</w:t>
            </w:r>
            <w:r w:rsidR="009D295A">
              <w:rPr>
                <w:rFonts w:ascii="Arial Narrow" w:hAnsi="Arial Narrow"/>
                <w:noProof/>
                <w:snapToGrid/>
                <w:color w:val="000000"/>
                <w:sz w:val="20"/>
                <w:szCs w:val="20"/>
                <w:highlight w:val="black"/>
                <w:lang w:eastAsia="en-AU"/>
              </w:rPr>
              <w:t>'''''''''''''''''''''''</w:t>
            </w:r>
            <w:r>
              <w:rPr>
                <w:rFonts w:ascii="Arial Narrow" w:hAnsi="Arial Narrow"/>
                <w:snapToGrid/>
                <w:sz w:val="20"/>
                <w:szCs w:val="20"/>
                <w:lang w:eastAsia="en-AU"/>
              </w:rPr>
              <w:t xml:space="preserve"> </w:t>
            </w:r>
          </w:p>
          <w:p w:rsidR="0064509C" w:rsidRPr="00763D8B" w:rsidRDefault="0064509C" w:rsidP="00C4718C">
            <w:pPr>
              <w:keepNext/>
              <w:widowControl/>
              <w:ind w:left="-108"/>
              <w:rPr>
                <w:rFonts w:ascii="Arial Narrow" w:hAnsi="Arial Narrow"/>
                <w:snapToGrid/>
                <w:sz w:val="20"/>
                <w:szCs w:val="20"/>
                <w:lang w:eastAsia="en-AU"/>
              </w:rPr>
            </w:pPr>
            <w:r>
              <w:rPr>
                <w:rFonts w:ascii="Arial Narrow" w:hAnsi="Arial Narrow"/>
                <w:snapToGrid/>
                <w:sz w:val="20"/>
                <w:szCs w:val="20"/>
                <w:lang w:eastAsia="en-AU"/>
              </w:rPr>
              <w:t>Published: $</w:t>
            </w:r>
            <w:r w:rsidR="009D295A">
              <w:rPr>
                <w:rFonts w:ascii="Arial Narrow" w:hAnsi="Arial Narrow"/>
                <w:noProof/>
                <w:snapToGrid/>
                <w:color w:val="000000"/>
                <w:sz w:val="20"/>
                <w:szCs w:val="20"/>
                <w:highlight w:val="black"/>
                <w:lang w:eastAsia="en-AU"/>
              </w:rPr>
              <w:t>'''''''''''''''''''''</w:t>
            </w:r>
          </w:p>
        </w:tc>
        <w:tc>
          <w:tcPr>
            <w:tcW w:w="492" w:type="pct"/>
          </w:tcPr>
          <w:p w:rsidR="0064509C" w:rsidRPr="00763D8B" w:rsidRDefault="0064509C" w:rsidP="00C4718C">
            <w:pPr>
              <w:keepNext/>
              <w:widowControl/>
              <w:rPr>
                <w:rFonts w:ascii="Arial Narrow" w:hAnsi="Arial Narrow"/>
                <w:snapToGrid/>
                <w:sz w:val="20"/>
                <w:szCs w:val="20"/>
                <w:lang w:eastAsia="en-AU"/>
              </w:rPr>
            </w:pPr>
            <w:r w:rsidRPr="00763D8B">
              <w:rPr>
                <w:rFonts w:ascii="Arial Narrow" w:hAnsi="Arial Narrow"/>
                <w:snapToGrid/>
                <w:sz w:val="20"/>
                <w:szCs w:val="20"/>
                <w:lang w:eastAsia="en-AU"/>
              </w:rPr>
              <w:t>Lemtrada</w:t>
            </w:r>
          </w:p>
        </w:tc>
        <w:tc>
          <w:tcPr>
            <w:tcW w:w="753" w:type="pct"/>
          </w:tcPr>
          <w:p w:rsidR="0064509C" w:rsidRPr="00763D8B" w:rsidRDefault="0064509C" w:rsidP="00C4718C">
            <w:pPr>
              <w:keepNext/>
              <w:widowControl/>
              <w:jc w:val="left"/>
              <w:rPr>
                <w:rFonts w:ascii="Arial Narrow" w:hAnsi="Arial Narrow"/>
                <w:snapToGrid/>
                <w:sz w:val="20"/>
                <w:szCs w:val="20"/>
                <w:lang w:eastAsia="en-AU"/>
              </w:rPr>
            </w:pPr>
            <w:r w:rsidRPr="00763D8B">
              <w:rPr>
                <w:rFonts w:ascii="Arial Narrow" w:hAnsi="Arial Narrow"/>
                <w:snapToGrid/>
                <w:sz w:val="20"/>
                <w:szCs w:val="20"/>
                <w:lang w:eastAsia="en-AU"/>
              </w:rPr>
              <w:t>Sanofi Aventis Australia</w:t>
            </w:r>
          </w:p>
        </w:tc>
      </w:tr>
      <w:tr w:rsidR="0064509C" w:rsidRPr="00FE700B" w:rsidTr="0064509C">
        <w:trPr>
          <w:cantSplit/>
          <w:trHeight w:val="360"/>
        </w:trPr>
        <w:tc>
          <w:tcPr>
            <w:tcW w:w="941" w:type="pct"/>
            <w:tcBorders>
              <w:top w:val="single" w:sz="4" w:space="0" w:color="auto"/>
              <w:left w:val="single" w:sz="4" w:space="0" w:color="auto"/>
              <w:bottom w:val="single" w:sz="4" w:space="0" w:color="auto"/>
              <w:right w:val="single" w:sz="4" w:space="0" w:color="auto"/>
            </w:tcBorders>
          </w:tcPr>
          <w:p w:rsidR="0064509C" w:rsidRPr="00763D8B" w:rsidRDefault="0064509C" w:rsidP="00C4718C">
            <w:pPr>
              <w:widowControl/>
              <w:rPr>
                <w:rFonts w:ascii="Arial Narrow" w:hAnsi="Arial Narrow"/>
                <w:b/>
                <w:snapToGrid/>
                <w:sz w:val="20"/>
                <w:szCs w:val="20"/>
                <w:lang w:eastAsia="en-AU"/>
              </w:rPr>
            </w:pPr>
            <w:r w:rsidRPr="00763D8B">
              <w:rPr>
                <w:rFonts w:ascii="Arial Narrow" w:hAnsi="Arial Narrow"/>
                <w:b/>
                <w:snapToGrid/>
                <w:sz w:val="20"/>
                <w:szCs w:val="20"/>
                <w:lang w:eastAsia="en-AU"/>
              </w:rPr>
              <w:t>Category / Program</w:t>
            </w:r>
          </w:p>
        </w:tc>
        <w:tc>
          <w:tcPr>
            <w:tcW w:w="874" w:type="pct"/>
            <w:gridSpan w:val="3"/>
            <w:tcBorders>
              <w:top w:val="single" w:sz="4" w:space="0" w:color="auto"/>
              <w:left w:val="single" w:sz="4" w:space="0" w:color="auto"/>
              <w:bottom w:val="single" w:sz="4" w:space="0" w:color="auto"/>
              <w:right w:val="single" w:sz="4" w:space="0" w:color="auto"/>
            </w:tcBorders>
          </w:tcPr>
          <w:p w:rsidR="0064509C" w:rsidRPr="00763D8B" w:rsidRDefault="0064509C" w:rsidP="00C4718C">
            <w:pPr>
              <w:widowControl/>
              <w:jc w:val="left"/>
              <w:rPr>
                <w:rFonts w:ascii="Arial Narrow" w:hAnsi="Arial Narrow"/>
                <w:snapToGrid/>
                <w:sz w:val="20"/>
                <w:szCs w:val="20"/>
                <w:lang w:eastAsia="en-AU"/>
              </w:rPr>
            </w:pPr>
          </w:p>
        </w:tc>
        <w:tc>
          <w:tcPr>
            <w:tcW w:w="3185" w:type="pct"/>
            <w:gridSpan w:val="5"/>
            <w:tcBorders>
              <w:top w:val="single" w:sz="4" w:space="0" w:color="auto"/>
              <w:left w:val="single" w:sz="4" w:space="0" w:color="auto"/>
              <w:bottom w:val="single" w:sz="4" w:space="0" w:color="auto"/>
              <w:right w:val="single" w:sz="4" w:space="0" w:color="auto"/>
            </w:tcBorders>
          </w:tcPr>
          <w:p w:rsidR="0064509C" w:rsidRPr="00763D8B" w:rsidRDefault="0064509C" w:rsidP="00C4718C">
            <w:pPr>
              <w:widowControl/>
              <w:jc w:val="left"/>
              <w:rPr>
                <w:rFonts w:ascii="Arial Narrow" w:hAnsi="Arial Narrow"/>
                <w:snapToGrid/>
                <w:sz w:val="20"/>
                <w:szCs w:val="20"/>
                <w:lang w:eastAsia="en-AU"/>
              </w:rPr>
            </w:pPr>
            <w:r w:rsidRPr="00763D8B">
              <w:rPr>
                <w:rFonts w:ascii="Arial Narrow" w:hAnsi="Arial Narrow"/>
                <w:snapToGrid/>
                <w:sz w:val="20"/>
                <w:szCs w:val="20"/>
                <w:lang w:eastAsia="en-AU"/>
              </w:rPr>
              <w:t>Section 100 – Highly Specialised Drugs Program</w:t>
            </w:r>
          </w:p>
        </w:tc>
      </w:tr>
      <w:tr w:rsidR="0064509C" w:rsidRPr="00FE700B" w:rsidTr="0064509C">
        <w:trPr>
          <w:cantSplit/>
          <w:trHeight w:val="360"/>
        </w:trPr>
        <w:tc>
          <w:tcPr>
            <w:tcW w:w="941" w:type="pct"/>
            <w:tcBorders>
              <w:top w:val="single" w:sz="4" w:space="0" w:color="auto"/>
              <w:left w:val="single" w:sz="4" w:space="0" w:color="auto"/>
              <w:bottom w:val="single" w:sz="4" w:space="0" w:color="auto"/>
              <w:right w:val="single" w:sz="4" w:space="0" w:color="auto"/>
            </w:tcBorders>
          </w:tcPr>
          <w:p w:rsidR="0064509C" w:rsidRPr="00763D8B" w:rsidRDefault="0064509C" w:rsidP="00C4718C">
            <w:pPr>
              <w:widowControl/>
              <w:rPr>
                <w:rFonts w:ascii="Arial Narrow" w:hAnsi="Arial Narrow"/>
                <w:b/>
                <w:snapToGrid/>
                <w:sz w:val="20"/>
                <w:szCs w:val="20"/>
                <w:lang w:eastAsia="en-AU"/>
              </w:rPr>
            </w:pPr>
            <w:r w:rsidRPr="00763D8B">
              <w:rPr>
                <w:rFonts w:ascii="Arial Narrow" w:hAnsi="Arial Narrow"/>
                <w:b/>
                <w:snapToGrid/>
                <w:sz w:val="20"/>
                <w:szCs w:val="20"/>
                <w:lang w:eastAsia="en-AU"/>
              </w:rPr>
              <w:t>Prescriber type:</w:t>
            </w:r>
          </w:p>
        </w:tc>
        <w:tc>
          <w:tcPr>
            <w:tcW w:w="874" w:type="pct"/>
            <w:gridSpan w:val="3"/>
            <w:tcBorders>
              <w:top w:val="single" w:sz="4" w:space="0" w:color="auto"/>
              <w:left w:val="single" w:sz="4" w:space="0" w:color="auto"/>
              <w:bottom w:val="single" w:sz="4" w:space="0" w:color="auto"/>
              <w:right w:val="single" w:sz="4" w:space="0" w:color="auto"/>
            </w:tcBorders>
          </w:tcPr>
          <w:p w:rsidR="0064509C" w:rsidRPr="00763D8B" w:rsidRDefault="0064509C" w:rsidP="00C4718C">
            <w:pPr>
              <w:widowControl/>
              <w:jc w:val="left"/>
              <w:rPr>
                <w:rFonts w:ascii="Arial Narrow" w:hAnsi="Arial Narrow"/>
                <w:snapToGrid/>
                <w:sz w:val="20"/>
                <w:szCs w:val="20"/>
                <w:lang w:eastAsia="en-AU"/>
              </w:rPr>
            </w:pPr>
          </w:p>
        </w:tc>
        <w:tc>
          <w:tcPr>
            <w:tcW w:w="3185" w:type="pct"/>
            <w:gridSpan w:val="5"/>
            <w:tcBorders>
              <w:top w:val="single" w:sz="4" w:space="0" w:color="auto"/>
              <w:left w:val="single" w:sz="4" w:space="0" w:color="auto"/>
              <w:bottom w:val="single" w:sz="4" w:space="0" w:color="auto"/>
              <w:right w:val="single" w:sz="4" w:space="0" w:color="auto"/>
            </w:tcBorders>
          </w:tcPr>
          <w:p w:rsidR="0064509C" w:rsidRPr="00763D8B" w:rsidRDefault="0064509C" w:rsidP="00C4718C">
            <w:pPr>
              <w:widowControl/>
              <w:jc w:val="left"/>
              <w:rPr>
                <w:rFonts w:ascii="Arial Narrow" w:hAnsi="Arial Narrow"/>
                <w:snapToGrid/>
                <w:sz w:val="20"/>
                <w:szCs w:val="20"/>
                <w:lang w:eastAsia="en-AU"/>
              </w:rPr>
            </w:pPr>
            <w:r w:rsidRPr="00763D8B">
              <w:rPr>
                <w:rFonts w:ascii="Arial Narrow" w:hAnsi="Arial Narrow"/>
                <w:snapToGrid/>
                <w:sz w:val="20"/>
                <w:szCs w:val="20"/>
                <w:lang w:eastAsia="en-AU"/>
              </w:rPr>
              <w:fldChar w:fldCharType="begin">
                <w:ffData>
                  <w:name w:val="Check1"/>
                  <w:enabled/>
                  <w:calcOnExit w:val="0"/>
                  <w:checkBox>
                    <w:sizeAuto/>
                    <w:default w:val="0"/>
                  </w:checkBox>
                </w:ffData>
              </w:fldChar>
            </w:r>
            <w:r w:rsidRPr="00763D8B">
              <w:rPr>
                <w:rFonts w:ascii="Arial Narrow" w:hAnsi="Arial Narrow"/>
                <w:snapToGrid/>
                <w:sz w:val="20"/>
                <w:szCs w:val="20"/>
                <w:lang w:eastAsia="en-AU"/>
              </w:rPr>
              <w:instrText xml:space="preserve"> FORMCHECKBOX </w:instrText>
            </w:r>
            <w:r w:rsidR="00B6641A">
              <w:rPr>
                <w:rFonts w:ascii="Arial Narrow" w:hAnsi="Arial Narrow"/>
                <w:snapToGrid/>
                <w:sz w:val="20"/>
                <w:szCs w:val="20"/>
                <w:lang w:eastAsia="en-AU"/>
              </w:rPr>
            </w:r>
            <w:r w:rsidR="00B6641A">
              <w:rPr>
                <w:rFonts w:ascii="Arial Narrow" w:hAnsi="Arial Narrow"/>
                <w:snapToGrid/>
                <w:sz w:val="20"/>
                <w:szCs w:val="20"/>
                <w:lang w:eastAsia="en-AU"/>
              </w:rPr>
              <w:fldChar w:fldCharType="separate"/>
            </w:r>
            <w:r w:rsidRPr="00763D8B">
              <w:rPr>
                <w:rFonts w:ascii="Arial Narrow" w:hAnsi="Arial Narrow"/>
                <w:snapToGrid/>
                <w:sz w:val="20"/>
                <w:szCs w:val="20"/>
                <w:lang w:eastAsia="en-AU"/>
              </w:rPr>
              <w:fldChar w:fldCharType="end"/>
            </w:r>
            <w:r w:rsidRPr="00763D8B">
              <w:rPr>
                <w:rFonts w:ascii="Arial Narrow" w:hAnsi="Arial Narrow"/>
                <w:snapToGrid/>
                <w:sz w:val="20"/>
                <w:szCs w:val="20"/>
                <w:lang w:eastAsia="en-AU"/>
              </w:rPr>
              <w:t xml:space="preserve">Dental  </w:t>
            </w:r>
            <w:r w:rsidRPr="00763D8B">
              <w:rPr>
                <w:rFonts w:ascii="Arial Narrow" w:hAnsi="Arial Narrow"/>
                <w:snapToGrid/>
                <w:sz w:val="20"/>
                <w:szCs w:val="20"/>
                <w:lang w:eastAsia="en-AU"/>
              </w:rPr>
              <w:fldChar w:fldCharType="begin">
                <w:ffData>
                  <w:name w:val=""/>
                  <w:enabled/>
                  <w:calcOnExit w:val="0"/>
                  <w:checkBox>
                    <w:sizeAuto/>
                    <w:default w:val="1"/>
                  </w:checkBox>
                </w:ffData>
              </w:fldChar>
            </w:r>
            <w:r w:rsidRPr="00763D8B">
              <w:rPr>
                <w:rFonts w:ascii="Arial Narrow" w:hAnsi="Arial Narrow"/>
                <w:snapToGrid/>
                <w:sz w:val="20"/>
                <w:szCs w:val="20"/>
                <w:lang w:eastAsia="en-AU"/>
              </w:rPr>
              <w:instrText xml:space="preserve"> FORMCHECKBOX </w:instrText>
            </w:r>
            <w:r w:rsidR="00B6641A">
              <w:rPr>
                <w:rFonts w:ascii="Arial Narrow" w:hAnsi="Arial Narrow"/>
                <w:snapToGrid/>
                <w:sz w:val="20"/>
                <w:szCs w:val="20"/>
                <w:lang w:eastAsia="en-AU"/>
              </w:rPr>
            </w:r>
            <w:r w:rsidR="00B6641A">
              <w:rPr>
                <w:rFonts w:ascii="Arial Narrow" w:hAnsi="Arial Narrow"/>
                <w:snapToGrid/>
                <w:sz w:val="20"/>
                <w:szCs w:val="20"/>
                <w:lang w:eastAsia="en-AU"/>
              </w:rPr>
              <w:fldChar w:fldCharType="separate"/>
            </w:r>
            <w:r w:rsidRPr="00763D8B">
              <w:rPr>
                <w:rFonts w:ascii="Arial Narrow" w:hAnsi="Arial Narrow"/>
                <w:snapToGrid/>
                <w:sz w:val="20"/>
                <w:szCs w:val="20"/>
                <w:lang w:eastAsia="en-AU"/>
              </w:rPr>
              <w:fldChar w:fldCharType="end"/>
            </w:r>
            <w:r w:rsidRPr="00763D8B">
              <w:rPr>
                <w:rFonts w:ascii="Arial Narrow" w:hAnsi="Arial Narrow"/>
                <w:snapToGrid/>
                <w:sz w:val="20"/>
                <w:szCs w:val="20"/>
                <w:lang w:eastAsia="en-AU"/>
              </w:rPr>
              <w:t xml:space="preserve">Medical Practitioners  </w:t>
            </w:r>
            <w:r w:rsidRPr="00763D8B">
              <w:rPr>
                <w:rFonts w:ascii="Arial Narrow" w:hAnsi="Arial Narrow"/>
                <w:snapToGrid/>
                <w:sz w:val="20"/>
                <w:szCs w:val="20"/>
                <w:lang w:eastAsia="en-AU"/>
              </w:rPr>
              <w:fldChar w:fldCharType="begin">
                <w:ffData>
                  <w:name w:val="Check3"/>
                  <w:enabled/>
                  <w:calcOnExit w:val="0"/>
                  <w:checkBox>
                    <w:sizeAuto/>
                    <w:default w:val="0"/>
                  </w:checkBox>
                </w:ffData>
              </w:fldChar>
            </w:r>
            <w:r w:rsidRPr="00763D8B">
              <w:rPr>
                <w:rFonts w:ascii="Arial Narrow" w:hAnsi="Arial Narrow"/>
                <w:snapToGrid/>
                <w:sz w:val="20"/>
                <w:szCs w:val="20"/>
                <w:lang w:eastAsia="en-AU"/>
              </w:rPr>
              <w:instrText xml:space="preserve"> FORMCHECKBOX </w:instrText>
            </w:r>
            <w:r w:rsidR="00B6641A">
              <w:rPr>
                <w:rFonts w:ascii="Arial Narrow" w:hAnsi="Arial Narrow"/>
                <w:snapToGrid/>
                <w:sz w:val="20"/>
                <w:szCs w:val="20"/>
                <w:lang w:eastAsia="en-AU"/>
              </w:rPr>
            </w:r>
            <w:r w:rsidR="00B6641A">
              <w:rPr>
                <w:rFonts w:ascii="Arial Narrow" w:hAnsi="Arial Narrow"/>
                <w:snapToGrid/>
                <w:sz w:val="20"/>
                <w:szCs w:val="20"/>
                <w:lang w:eastAsia="en-AU"/>
              </w:rPr>
              <w:fldChar w:fldCharType="separate"/>
            </w:r>
            <w:r w:rsidRPr="00763D8B">
              <w:rPr>
                <w:rFonts w:ascii="Arial Narrow" w:hAnsi="Arial Narrow"/>
                <w:snapToGrid/>
                <w:sz w:val="20"/>
                <w:szCs w:val="20"/>
                <w:lang w:eastAsia="en-AU"/>
              </w:rPr>
              <w:fldChar w:fldCharType="end"/>
            </w:r>
            <w:r w:rsidRPr="00763D8B">
              <w:rPr>
                <w:rFonts w:ascii="Arial Narrow" w:hAnsi="Arial Narrow"/>
                <w:snapToGrid/>
                <w:sz w:val="20"/>
                <w:szCs w:val="20"/>
                <w:lang w:eastAsia="en-AU"/>
              </w:rPr>
              <w:t xml:space="preserve">Nurse practitioners  </w:t>
            </w:r>
            <w:r w:rsidRPr="00763D8B">
              <w:rPr>
                <w:rFonts w:ascii="Arial Narrow" w:hAnsi="Arial Narrow"/>
                <w:snapToGrid/>
                <w:sz w:val="20"/>
                <w:szCs w:val="20"/>
                <w:lang w:eastAsia="en-AU"/>
              </w:rPr>
              <w:fldChar w:fldCharType="begin">
                <w:ffData>
                  <w:name w:val=""/>
                  <w:enabled/>
                  <w:calcOnExit w:val="0"/>
                  <w:checkBox>
                    <w:sizeAuto/>
                    <w:default w:val="0"/>
                  </w:checkBox>
                </w:ffData>
              </w:fldChar>
            </w:r>
            <w:r w:rsidRPr="00763D8B">
              <w:rPr>
                <w:rFonts w:ascii="Arial Narrow" w:hAnsi="Arial Narrow"/>
                <w:snapToGrid/>
                <w:sz w:val="20"/>
                <w:szCs w:val="20"/>
                <w:lang w:eastAsia="en-AU"/>
              </w:rPr>
              <w:instrText xml:space="preserve"> FORMCHECKBOX </w:instrText>
            </w:r>
            <w:r w:rsidR="00B6641A">
              <w:rPr>
                <w:rFonts w:ascii="Arial Narrow" w:hAnsi="Arial Narrow"/>
                <w:snapToGrid/>
                <w:sz w:val="20"/>
                <w:szCs w:val="20"/>
                <w:lang w:eastAsia="en-AU"/>
              </w:rPr>
            </w:r>
            <w:r w:rsidR="00B6641A">
              <w:rPr>
                <w:rFonts w:ascii="Arial Narrow" w:hAnsi="Arial Narrow"/>
                <w:snapToGrid/>
                <w:sz w:val="20"/>
                <w:szCs w:val="20"/>
                <w:lang w:eastAsia="en-AU"/>
              </w:rPr>
              <w:fldChar w:fldCharType="separate"/>
            </w:r>
            <w:r w:rsidRPr="00763D8B">
              <w:rPr>
                <w:rFonts w:ascii="Arial Narrow" w:hAnsi="Arial Narrow"/>
                <w:snapToGrid/>
                <w:sz w:val="20"/>
                <w:szCs w:val="20"/>
                <w:lang w:eastAsia="en-AU"/>
              </w:rPr>
              <w:fldChar w:fldCharType="end"/>
            </w:r>
            <w:r w:rsidRPr="00763D8B">
              <w:rPr>
                <w:rFonts w:ascii="Arial Narrow" w:hAnsi="Arial Narrow"/>
                <w:snapToGrid/>
                <w:sz w:val="20"/>
                <w:szCs w:val="20"/>
                <w:lang w:eastAsia="en-AU"/>
              </w:rPr>
              <w:t>Optometrists</w:t>
            </w:r>
            <w:r>
              <w:rPr>
                <w:rFonts w:ascii="Arial Narrow" w:hAnsi="Arial Narrow"/>
                <w:snapToGrid/>
                <w:sz w:val="20"/>
                <w:szCs w:val="20"/>
                <w:lang w:eastAsia="en-AU"/>
              </w:rPr>
              <w:t xml:space="preserve"> </w:t>
            </w:r>
            <w:r w:rsidRPr="00763D8B">
              <w:rPr>
                <w:rFonts w:ascii="Arial Narrow" w:hAnsi="Arial Narrow"/>
                <w:snapToGrid/>
                <w:sz w:val="20"/>
                <w:szCs w:val="20"/>
                <w:lang w:eastAsia="en-AU"/>
              </w:rPr>
              <w:fldChar w:fldCharType="begin">
                <w:ffData>
                  <w:name w:val="Check5"/>
                  <w:enabled/>
                  <w:calcOnExit w:val="0"/>
                  <w:checkBox>
                    <w:sizeAuto/>
                    <w:default w:val="0"/>
                  </w:checkBox>
                </w:ffData>
              </w:fldChar>
            </w:r>
            <w:r w:rsidRPr="00763D8B">
              <w:rPr>
                <w:rFonts w:ascii="Arial Narrow" w:hAnsi="Arial Narrow"/>
                <w:snapToGrid/>
                <w:sz w:val="20"/>
                <w:szCs w:val="20"/>
                <w:lang w:eastAsia="en-AU"/>
              </w:rPr>
              <w:instrText xml:space="preserve"> FORMCHECKBOX </w:instrText>
            </w:r>
            <w:r w:rsidR="00B6641A">
              <w:rPr>
                <w:rFonts w:ascii="Arial Narrow" w:hAnsi="Arial Narrow"/>
                <w:snapToGrid/>
                <w:sz w:val="20"/>
                <w:szCs w:val="20"/>
                <w:lang w:eastAsia="en-AU"/>
              </w:rPr>
            </w:r>
            <w:r w:rsidR="00B6641A">
              <w:rPr>
                <w:rFonts w:ascii="Arial Narrow" w:hAnsi="Arial Narrow"/>
                <w:snapToGrid/>
                <w:sz w:val="20"/>
                <w:szCs w:val="20"/>
                <w:lang w:eastAsia="en-AU"/>
              </w:rPr>
              <w:fldChar w:fldCharType="separate"/>
            </w:r>
            <w:r w:rsidRPr="00763D8B">
              <w:rPr>
                <w:rFonts w:ascii="Arial Narrow" w:hAnsi="Arial Narrow"/>
                <w:snapToGrid/>
                <w:sz w:val="20"/>
                <w:szCs w:val="20"/>
                <w:lang w:eastAsia="en-AU"/>
              </w:rPr>
              <w:fldChar w:fldCharType="end"/>
            </w:r>
            <w:r w:rsidRPr="00763D8B">
              <w:rPr>
                <w:rFonts w:ascii="Arial Narrow" w:hAnsi="Arial Narrow"/>
                <w:snapToGrid/>
                <w:sz w:val="20"/>
                <w:szCs w:val="20"/>
                <w:lang w:eastAsia="en-AU"/>
              </w:rPr>
              <w:t>Midwives</w:t>
            </w:r>
          </w:p>
        </w:tc>
      </w:tr>
      <w:tr w:rsidR="0064509C" w:rsidRPr="00FE700B" w:rsidTr="0064509C">
        <w:trPr>
          <w:cantSplit/>
          <w:trHeight w:val="360"/>
        </w:trPr>
        <w:tc>
          <w:tcPr>
            <w:tcW w:w="941" w:type="pct"/>
            <w:tcBorders>
              <w:top w:val="single" w:sz="4" w:space="0" w:color="auto"/>
              <w:left w:val="single" w:sz="4" w:space="0" w:color="auto"/>
              <w:bottom w:val="single" w:sz="4" w:space="0" w:color="auto"/>
              <w:right w:val="single" w:sz="4" w:space="0" w:color="auto"/>
            </w:tcBorders>
          </w:tcPr>
          <w:p w:rsidR="0064509C" w:rsidRPr="00763D8B" w:rsidRDefault="0064509C" w:rsidP="00C4718C">
            <w:pPr>
              <w:widowControl/>
              <w:rPr>
                <w:rFonts w:ascii="Arial Narrow" w:hAnsi="Arial Narrow"/>
                <w:b/>
                <w:snapToGrid/>
                <w:sz w:val="20"/>
                <w:szCs w:val="20"/>
                <w:lang w:eastAsia="en-AU"/>
              </w:rPr>
            </w:pPr>
            <w:r w:rsidRPr="00763D8B">
              <w:rPr>
                <w:rFonts w:ascii="Arial Narrow" w:hAnsi="Arial Narrow"/>
                <w:b/>
                <w:snapToGrid/>
                <w:sz w:val="20"/>
                <w:szCs w:val="20"/>
                <w:lang w:eastAsia="en-AU"/>
              </w:rPr>
              <w:t>Condition:</w:t>
            </w:r>
          </w:p>
        </w:tc>
        <w:tc>
          <w:tcPr>
            <w:tcW w:w="874" w:type="pct"/>
            <w:gridSpan w:val="3"/>
            <w:tcBorders>
              <w:top w:val="single" w:sz="4" w:space="0" w:color="auto"/>
              <w:left w:val="single" w:sz="4" w:space="0" w:color="auto"/>
              <w:bottom w:val="single" w:sz="4" w:space="0" w:color="auto"/>
              <w:right w:val="single" w:sz="4" w:space="0" w:color="auto"/>
            </w:tcBorders>
          </w:tcPr>
          <w:p w:rsidR="0064509C" w:rsidRPr="00763D8B" w:rsidRDefault="0064509C" w:rsidP="00C4718C">
            <w:pPr>
              <w:widowControl/>
              <w:jc w:val="left"/>
              <w:rPr>
                <w:rFonts w:ascii="Arial Narrow" w:hAnsi="Arial Narrow" w:cs="Calibri"/>
                <w:snapToGrid/>
                <w:sz w:val="20"/>
                <w:szCs w:val="20"/>
                <w:lang w:eastAsia="en-AU" w:bidi="en-US"/>
              </w:rPr>
            </w:pPr>
          </w:p>
        </w:tc>
        <w:tc>
          <w:tcPr>
            <w:tcW w:w="3185" w:type="pct"/>
            <w:gridSpan w:val="5"/>
            <w:tcBorders>
              <w:top w:val="single" w:sz="4" w:space="0" w:color="auto"/>
              <w:left w:val="single" w:sz="4" w:space="0" w:color="auto"/>
              <w:bottom w:val="single" w:sz="4" w:space="0" w:color="auto"/>
              <w:right w:val="single" w:sz="4" w:space="0" w:color="auto"/>
            </w:tcBorders>
          </w:tcPr>
          <w:p w:rsidR="0064509C" w:rsidRPr="00763D8B" w:rsidRDefault="0064509C" w:rsidP="00C4718C">
            <w:pPr>
              <w:widowControl/>
              <w:jc w:val="left"/>
              <w:rPr>
                <w:rFonts w:ascii="Arial Narrow" w:hAnsi="Arial Narrow" w:cs="Calibri"/>
                <w:snapToGrid/>
                <w:sz w:val="20"/>
                <w:szCs w:val="20"/>
                <w:lang w:eastAsia="en-AU"/>
              </w:rPr>
            </w:pPr>
            <w:r w:rsidRPr="00763D8B">
              <w:rPr>
                <w:rFonts w:ascii="Arial Narrow" w:hAnsi="Arial Narrow" w:cs="Calibri"/>
                <w:snapToGrid/>
                <w:sz w:val="20"/>
                <w:szCs w:val="20"/>
                <w:lang w:eastAsia="en-AU" w:bidi="en-US"/>
              </w:rPr>
              <w:t>Multiple Sclerosis</w:t>
            </w:r>
          </w:p>
        </w:tc>
      </w:tr>
      <w:tr w:rsidR="0064509C" w:rsidRPr="00FE700B" w:rsidTr="0064509C">
        <w:trPr>
          <w:cantSplit/>
          <w:trHeight w:val="408"/>
        </w:trPr>
        <w:tc>
          <w:tcPr>
            <w:tcW w:w="941" w:type="pct"/>
            <w:tcBorders>
              <w:top w:val="single" w:sz="4" w:space="0" w:color="auto"/>
              <w:left w:val="single" w:sz="4" w:space="0" w:color="auto"/>
              <w:bottom w:val="single" w:sz="4" w:space="0" w:color="auto"/>
              <w:right w:val="single" w:sz="4" w:space="0" w:color="auto"/>
            </w:tcBorders>
          </w:tcPr>
          <w:p w:rsidR="0064509C" w:rsidRPr="00763D8B" w:rsidRDefault="0064509C" w:rsidP="00C4718C">
            <w:pPr>
              <w:widowControl/>
              <w:rPr>
                <w:rFonts w:ascii="Arial Narrow" w:hAnsi="Arial Narrow"/>
                <w:b/>
                <w:snapToGrid/>
                <w:sz w:val="20"/>
                <w:szCs w:val="20"/>
                <w:lang w:eastAsia="en-AU"/>
              </w:rPr>
            </w:pPr>
            <w:r w:rsidRPr="00763D8B">
              <w:rPr>
                <w:rFonts w:ascii="Arial Narrow" w:hAnsi="Arial Narrow"/>
                <w:b/>
                <w:snapToGrid/>
                <w:sz w:val="20"/>
                <w:szCs w:val="20"/>
                <w:lang w:eastAsia="en-AU"/>
              </w:rPr>
              <w:t>PBS Indication:</w:t>
            </w:r>
          </w:p>
        </w:tc>
        <w:tc>
          <w:tcPr>
            <w:tcW w:w="874" w:type="pct"/>
            <w:gridSpan w:val="3"/>
            <w:tcBorders>
              <w:top w:val="single" w:sz="4" w:space="0" w:color="auto"/>
              <w:left w:val="single" w:sz="4" w:space="0" w:color="auto"/>
              <w:bottom w:val="single" w:sz="4" w:space="0" w:color="auto"/>
              <w:right w:val="single" w:sz="4" w:space="0" w:color="auto"/>
            </w:tcBorders>
          </w:tcPr>
          <w:p w:rsidR="0064509C" w:rsidRPr="00763D8B" w:rsidRDefault="0064509C" w:rsidP="00C4718C">
            <w:pPr>
              <w:widowControl/>
              <w:jc w:val="left"/>
              <w:rPr>
                <w:rFonts w:ascii="Arial Narrow" w:hAnsi="Arial Narrow" w:cs="Calibri"/>
                <w:snapToGrid/>
                <w:sz w:val="20"/>
                <w:szCs w:val="20"/>
                <w:lang w:eastAsia="en-AU" w:bidi="en-US"/>
              </w:rPr>
            </w:pPr>
          </w:p>
        </w:tc>
        <w:tc>
          <w:tcPr>
            <w:tcW w:w="3185" w:type="pct"/>
            <w:gridSpan w:val="5"/>
            <w:tcBorders>
              <w:top w:val="single" w:sz="4" w:space="0" w:color="auto"/>
              <w:left w:val="single" w:sz="4" w:space="0" w:color="auto"/>
              <w:bottom w:val="single" w:sz="4" w:space="0" w:color="auto"/>
              <w:right w:val="single" w:sz="4" w:space="0" w:color="auto"/>
            </w:tcBorders>
          </w:tcPr>
          <w:p w:rsidR="0064509C" w:rsidRPr="00763D8B" w:rsidRDefault="0064509C" w:rsidP="00C4718C">
            <w:pPr>
              <w:widowControl/>
              <w:jc w:val="left"/>
              <w:rPr>
                <w:rFonts w:ascii="Arial Narrow" w:hAnsi="Arial Narrow" w:cs="Calibri"/>
                <w:i/>
                <w:snapToGrid/>
                <w:sz w:val="20"/>
                <w:szCs w:val="20"/>
                <w:lang w:eastAsia="en-AU"/>
              </w:rPr>
            </w:pPr>
            <w:r w:rsidRPr="00763D8B">
              <w:rPr>
                <w:rFonts w:ascii="Arial Narrow" w:hAnsi="Arial Narrow" w:cs="Calibri"/>
                <w:snapToGrid/>
                <w:sz w:val="20"/>
                <w:szCs w:val="20"/>
                <w:lang w:eastAsia="en-AU" w:bidi="en-US"/>
              </w:rPr>
              <w:t>Multiple Sclerosis</w:t>
            </w:r>
          </w:p>
        </w:tc>
      </w:tr>
      <w:tr w:rsidR="0064509C" w:rsidRPr="00FE700B" w:rsidTr="0064509C">
        <w:trPr>
          <w:cantSplit/>
          <w:trHeight w:val="360"/>
        </w:trPr>
        <w:tc>
          <w:tcPr>
            <w:tcW w:w="941" w:type="pct"/>
            <w:tcBorders>
              <w:top w:val="single" w:sz="4" w:space="0" w:color="auto"/>
              <w:left w:val="single" w:sz="4" w:space="0" w:color="auto"/>
              <w:bottom w:val="single" w:sz="4" w:space="0" w:color="auto"/>
              <w:right w:val="single" w:sz="4" w:space="0" w:color="auto"/>
            </w:tcBorders>
          </w:tcPr>
          <w:p w:rsidR="0064509C" w:rsidRPr="00763D8B" w:rsidRDefault="0064509C" w:rsidP="00C4718C">
            <w:pPr>
              <w:widowControl/>
              <w:rPr>
                <w:rFonts w:ascii="Arial Narrow" w:hAnsi="Arial Narrow"/>
                <w:b/>
                <w:snapToGrid/>
                <w:sz w:val="20"/>
                <w:szCs w:val="20"/>
                <w:lang w:eastAsia="en-AU"/>
              </w:rPr>
            </w:pPr>
            <w:r w:rsidRPr="00763D8B">
              <w:rPr>
                <w:rFonts w:ascii="Arial Narrow" w:hAnsi="Arial Narrow"/>
                <w:b/>
                <w:snapToGrid/>
                <w:sz w:val="20"/>
                <w:szCs w:val="20"/>
                <w:lang w:eastAsia="en-AU"/>
              </w:rPr>
              <w:t>Treatment phase:</w:t>
            </w:r>
          </w:p>
        </w:tc>
        <w:tc>
          <w:tcPr>
            <w:tcW w:w="874" w:type="pct"/>
            <w:gridSpan w:val="3"/>
            <w:tcBorders>
              <w:top w:val="single" w:sz="4" w:space="0" w:color="auto"/>
              <w:left w:val="single" w:sz="4" w:space="0" w:color="auto"/>
              <w:bottom w:val="single" w:sz="4" w:space="0" w:color="auto"/>
              <w:right w:val="single" w:sz="4" w:space="0" w:color="auto"/>
            </w:tcBorders>
          </w:tcPr>
          <w:p w:rsidR="0064509C" w:rsidRPr="00763D8B" w:rsidRDefault="0064509C" w:rsidP="00C4718C">
            <w:pPr>
              <w:widowControl/>
              <w:jc w:val="left"/>
              <w:rPr>
                <w:rFonts w:ascii="Arial Narrow" w:hAnsi="Arial Narrow"/>
                <w:snapToGrid/>
                <w:sz w:val="20"/>
                <w:szCs w:val="20"/>
                <w:lang w:eastAsia="en-AU"/>
              </w:rPr>
            </w:pPr>
          </w:p>
        </w:tc>
        <w:tc>
          <w:tcPr>
            <w:tcW w:w="3185" w:type="pct"/>
            <w:gridSpan w:val="5"/>
            <w:tcBorders>
              <w:top w:val="single" w:sz="4" w:space="0" w:color="auto"/>
              <w:left w:val="single" w:sz="4" w:space="0" w:color="auto"/>
              <w:bottom w:val="single" w:sz="4" w:space="0" w:color="auto"/>
              <w:right w:val="single" w:sz="4" w:space="0" w:color="auto"/>
            </w:tcBorders>
          </w:tcPr>
          <w:p w:rsidR="0064509C" w:rsidRPr="00763D8B" w:rsidRDefault="0064509C" w:rsidP="00C4718C">
            <w:pPr>
              <w:widowControl/>
              <w:jc w:val="left"/>
              <w:rPr>
                <w:rFonts w:ascii="Arial Narrow" w:hAnsi="Arial Narrow"/>
                <w:snapToGrid/>
                <w:sz w:val="20"/>
                <w:szCs w:val="20"/>
                <w:lang w:eastAsia="en-AU"/>
              </w:rPr>
            </w:pPr>
            <w:r w:rsidRPr="00763D8B">
              <w:rPr>
                <w:rFonts w:ascii="Arial Narrow" w:hAnsi="Arial Narrow"/>
                <w:snapToGrid/>
                <w:sz w:val="20"/>
                <w:szCs w:val="20"/>
                <w:lang w:eastAsia="en-AU"/>
              </w:rPr>
              <w:t>Continuing</w:t>
            </w:r>
          </w:p>
        </w:tc>
      </w:tr>
      <w:tr w:rsidR="0064509C" w:rsidRPr="00FE700B" w:rsidTr="0064509C">
        <w:trPr>
          <w:cantSplit/>
          <w:trHeight w:val="360"/>
        </w:trPr>
        <w:tc>
          <w:tcPr>
            <w:tcW w:w="941" w:type="pct"/>
            <w:tcBorders>
              <w:top w:val="single" w:sz="4" w:space="0" w:color="auto"/>
              <w:left w:val="single" w:sz="4" w:space="0" w:color="auto"/>
              <w:bottom w:val="single" w:sz="4" w:space="0" w:color="auto"/>
              <w:right w:val="single" w:sz="4" w:space="0" w:color="auto"/>
            </w:tcBorders>
          </w:tcPr>
          <w:p w:rsidR="0064509C" w:rsidRPr="00763D8B" w:rsidRDefault="0064509C" w:rsidP="00C4718C">
            <w:pPr>
              <w:widowControl/>
              <w:jc w:val="left"/>
              <w:rPr>
                <w:rFonts w:ascii="Arial Narrow" w:hAnsi="Arial Narrow"/>
                <w:b/>
                <w:snapToGrid/>
                <w:sz w:val="20"/>
                <w:szCs w:val="20"/>
                <w:lang w:eastAsia="en-AU"/>
              </w:rPr>
            </w:pPr>
            <w:r w:rsidRPr="00763D8B">
              <w:rPr>
                <w:rFonts w:ascii="Arial Narrow" w:hAnsi="Arial Narrow"/>
                <w:b/>
                <w:snapToGrid/>
                <w:sz w:val="20"/>
                <w:szCs w:val="20"/>
                <w:lang w:eastAsia="en-AU"/>
              </w:rPr>
              <w:t>Restriction Level / Method:</w:t>
            </w:r>
          </w:p>
          <w:p w:rsidR="0064509C" w:rsidRPr="00763D8B" w:rsidRDefault="0064509C" w:rsidP="00C4718C">
            <w:pPr>
              <w:widowControl/>
              <w:jc w:val="left"/>
              <w:rPr>
                <w:rFonts w:ascii="Arial Narrow" w:hAnsi="Arial Narrow"/>
                <w:i/>
                <w:snapToGrid/>
                <w:sz w:val="20"/>
                <w:szCs w:val="20"/>
                <w:highlight w:val="yellow"/>
                <w:lang w:eastAsia="en-AU"/>
              </w:rPr>
            </w:pPr>
          </w:p>
          <w:p w:rsidR="0064509C" w:rsidRPr="00763D8B" w:rsidRDefault="0064509C" w:rsidP="00C4718C">
            <w:pPr>
              <w:widowControl/>
              <w:jc w:val="left"/>
              <w:rPr>
                <w:rFonts w:ascii="Arial Narrow" w:hAnsi="Arial Narrow"/>
                <w:i/>
                <w:snapToGrid/>
                <w:sz w:val="20"/>
                <w:szCs w:val="20"/>
                <w:lang w:eastAsia="en-AU"/>
              </w:rPr>
            </w:pPr>
          </w:p>
        </w:tc>
        <w:tc>
          <w:tcPr>
            <w:tcW w:w="874" w:type="pct"/>
            <w:gridSpan w:val="3"/>
            <w:tcBorders>
              <w:top w:val="single" w:sz="4" w:space="0" w:color="auto"/>
              <w:left w:val="single" w:sz="4" w:space="0" w:color="auto"/>
              <w:bottom w:val="single" w:sz="4" w:space="0" w:color="auto"/>
              <w:right w:val="single" w:sz="4" w:space="0" w:color="auto"/>
            </w:tcBorders>
          </w:tcPr>
          <w:p w:rsidR="0064509C" w:rsidRPr="00763D8B" w:rsidRDefault="0064509C" w:rsidP="00C4718C">
            <w:pPr>
              <w:widowControl/>
              <w:jc w:val="left"/>
              <w:rPr>
                <w:rFonts w:ascii="Arial Narrow" w:hAnsi="Arial Narrow"/>
                <w:snapToGrid/>
                <w:sz w:val="20"/>
                <w:szCs w:val="20"/>
                <w:lang w:eastAsia="en-AU"/>
              </w:rPr>
            </w:pPr>
          </w:p>
        </w:tc>
        <w:tc>
          <w:tcPr>
            <w:tcW w:w="3185" w:type="pct"/>
            <w:gridSpan w:val="5"/>
            <w:tcBorders>
              <w:top w:val="single" w:sz="4" w:space="0" w:color="auto"/>
              <w:left w:val="single" w:sz="4" w:space="0" w:color="auto"/>
              <w:bottom w:val="single" w:sz="4" w:space="0" w:color="auto"/>
              <w:right w:val="single" w:sz="4" w:space="0" w:color="auto"/>
            </w:tcBorders>
          </w:tcPr>
          <w:p w:rsidR="0064509C" w:rsidRPr="00763D8B" w:rsidRDefault="0064509C" w:rsidP="00C4718C">
            <w:pPr>
              <w:widowControl/>
              <w:jc w:val="left"/>
              <w:rPr>
                <w:rFonts w:ascii="Arial Narrow" w:hAnsi="Arial Narrow"/>
                <w:snapToGrid/>
                <w:sz w:val="20"/>
                <w:szCs w:val="20"/>
                <w:lang w:eastAsia="en-AU"/>
              </w:rPr>
            </w:pPr>
            <w:r w:rsidRPr="00763D8B">
              <w:rPr>
                <w:rFonts w:ascii="Arial Narrow" w:hAnsi="Arial Narrow"/>
                <w:snapToGrid/>
                <w:sz w:val="20"/>
                <w:szCs w:val="20"/>
                <w:lang w:eastAsia="en-AU"/>
              </w:rPr>
              <w:fldChar w:fldCharType="begin">
                <w:ffData>
                  <w:name w:val="Check1"/>
                  <w:enabled/>
                  <w:calcOnExit w:val="0"/>
                  <w:checkBox>
                    <w:sizeAuto/>
                    <w:default w:val="0"/>
                  </w:checkBox>
                </w:ffData>
              </w:fldChar>
            </w:r>
            <w:r w:rsidRPr="00763D8B">
              <w:rPr>
                <w:rFonts w:ascii="Arial Narrow" w:hAnsi="Arial Narrow"/>
                <w:snapToGrid/>
                <w:sz w:val="20"/>
                <w:szCs w:val="20"/>
                <w:lang w:eastAsia="en-AU"/>
              </w:rPr>
              <w:instrText xml:space="preserve"> FORMCHECKBOX </w:instrText>
            </w:r>
            <w:r w:rsidR="00B6641A">
              <w:rPr>
                <w:rFonts w:ascii="Arial Narrow" w:hAnsi="Arial Narrow"/>
                <w:snapToGrid/>
                <w:sz w:val="20"/>
                <w:szCs w:val="20"/>
                <w:lang w:eastAsia="en-AU"/>
              </w:rPr>
            </w:r>
            <w:r w:rsidR="00B6641A">
              <w:rPr>
                <w:rFonts w:ascii="Arial Narrow" w:hAnsi="Arial Narrow"/>
                <w:snapToGrid/>
                <w:sz w:val="20"/>
                <w:szCs w:val="20"/>
                <w:lang w:eastAsia="en-AU"/>
              </w:rPr>
              <w:fldChar w:fldCharType="separate"/>
            </w:r>
            <w:r w:rsidRPr="00763D8B">
              <w:rPr>
                <w:rFonts w:ascii="Arial Narrow" w:hAnsi="Arial Narrow"/>
                <w:snapToGrid/>
                <w:sz w:val="20"/>
                <w:szCs w:val="20"/>
                <w:lang w:eastAsia="en-AU"/>
              </w:rPr>
              <w:fldChar w:fldCharType="end"/>
            </w:r>
            <w:r w:rsidRPr="00763D8B">
              <w:rPr>
                <w:rFonts w:ascii="Arial Narrow" w:hAnsi="Arial Narrow"/>
                <w:snapToGrid/>
                <w:sz w:val="20"/>
                <w:szCs w:val="20"/>
                <w:lang w:eastAsia="en-AU"/>
              </w:rPr>
              <w:t>Restricted benefit</w:t>
            </w:r>
          </w:p>
          <w:p w:rsidR="0064509C" w:rsidRPr="00763D8B" w:rsidRDefault="0064509C" w:rsidP="00C4718C">
            <w:pPr>
              <w:widowControl/>
              <w:jc w:val="left"/>
              <w:rPr>
                <w:rFonts w:ascii="Arial Narrow" w:hAnsi="Arial Narrow"/>
                <w:snapToGrid/>
                <w:sz w:val="20"/>
                <w:szCs w:val="20"/>
                <w:lang w:eastAsia="en-AU"/>
              </w:rPr>
            </w:pPr>
            <w:r w:rsidRPr="00763D8B">
              <w:rPr>
                <w:rFonts w:ascii="Arial Narrow" w:hAnsi="Arial Narrow"/>
                <w:snapToGrid/>
                <w:sz w:val="20"/>
                <w:szCs w:val="20"/>
                <w:lang w:eastAsia="en-AU"/>
              </w:rPr>
              <w:fldChar w:fldCharType="begin">
                <w:ffData>
                  <w:name w:val=""/>
                  <w:enabled/>
                  <w:calcOnExit w:val="0"/>
                  <w:checkBox>
                    <w:sizeAuto/>
                    <w:default w:val="0"/>
                  </w:checkBox>
                </w:ffData>
              </w:fldChar>
            </w:r>
            <w:r w:rsidRPr="00763D8B">
              <w:rPr>
                <w:rFonts w:ascii="Arial Narrow" w:hAnsi="Arial Narrow"/>
                <w:snapToGrid/>
                <w:sz w:val="20"/>
                <w:szCs w:val="20"/>
                <w:lang w:eastAsia="en-AU"/>
              </w:rPr>
              <w:instrText xml:space="preserve"> FORMCHECKBOX </w:instrText>
            </w:r>
            <w:r w:rsidR="00B6641A">
              <w:rPr>
                <w:rFonts w:ascii="Arial Narrow" w:hAnsi="Arial Narrow"/>
                <w:snapToGrid/>
                <w:sz w:val="20"/>
                <w:szCs w:val="20"/>
                <w:lang w:eastAsia="en-AU"/>
              </w:rPr>
            </w:r>
            <w:r w:rsidR="00B6641A">
              <w:rPr>
                <w:rFonts w:ascii="Arial Narrow" w:hAnsi="Arial Narrow"/>
                <w:snapToGrid/>
                <w:sz w:val="20"/>
                <w:szCs w:val="20"/>
                <w:lang w:eastAsia="en-AU"/>
              </w:rPr>
              <w:fldChar w:fldCharType="separate"/>
            </w:r>
            <w:r w:rsidRPr="00763D8B">
              <w:rPr>
                <w:rFonts w:ascii="Arial Narrow" w:hAnsi="Arial Narrow"/>
                <w:snapToGrid/>
                <w:sz w:val="20"/>
                <w:szCs w:val="20"/>
                <w:lang w:eastAsia="en-AU"/>
              </w:rPr>
              <w:fldChar w:fldCharType="end"/>
            </w:r>
            <w:r w:rsidRPr="00763D8B">
              <w:rPr>
                <w:rFonts w:ascii="Arial Narrow" w:hAnsi="Arial Narrow"/>
                <w:snapToGrid/>
                <w:sz w:val="20"/>
                <w:szCs w:val="20"/>
                <w:lang w:eastAsia="en-AU"/>
              </w:rPr>
              <w:t>Authority Required - In Writing</w:t>
            </w:r>
          </w:p>
          <w:p w:rsidR="0064509C" w:rsidRPr="00763D8B" w:rsidRDefault="0064509C" w:rsidP="00C4718C">
            <w:pPr>
              <w:widowControl/>
              <w:jc w:val="left"/>
              <w:rPr>
                <w:rFonts w:ascii="Arial Narrow" w:hAnsi="Arial Narrow"/>
                <w:snapToGrid/>
                <w:sz w:val="20"/>
                <w:szCs w:val="20"/>
                <w:lang w:eastAsia="en-AU"/>
              </w:rPr>
            </w:pPr>
            <w:r w:rsidRPr="00763D8B">
              <w:rPr>
                <w:rFonts w:ascii="Arial Narrow" w:hAnsi="Arial Narrow"/>
                <w:snapToGrid/>
                <w:sz w:val="20"/>
                <w:szCs w:val="20"/>
                <w:lang w:eastAsia="en-AU"/>
              </w:rPr>
              <w:fldChar w:fldCharType="begin">
                <w:ffData>
                  <w:name w:val="Check3"/>
                  <w:enabled/>
                  <w:calcOnExit w:val="0"/>
                  <w:checkBox>
                    <w:sizeAuto/>
                    <w:default w:val="0"/>
                  </w:checkBox>
                </w:ffData>
              </w:fldChar>
            </w:r>
            <w:r w:rsidRPr="00763D8B">
              <w:rPr>
                <w:rFonts w:ascii="Arial Narrow" w:hAnsi="Arial Narrow"/>
                <w:snapToGrid/>
                <w:sz w:val="20"/>
                <w:szCs w:val="20"/>
                <w:lang w:eastAsia="en-AU"/>
              </w:rPr>
              <w:instrText xml:space="preserve"> FORMCHECKBOX </w:instrText>
            </w:r>
            <w:r w:rsidR="00B6641A">
              <w:rPr>
                <w:rFonts w:ascii="Arial Narrow" w:hAnsi="Arial Narrow"/>
                <w:snapToGrid/>
                <w:sz w:val="20"/>
                <w:szCs w:val="20"/>
                <w:lang w:eastAsia="en-AU"/>
              </w:rPr>
            </w:r>
            <w:r w:rsidR="00B6641A">
              <w:rPr>
                <w:rFonts w:ascii="Arial Narrow" w:hAnsi="Arial Narrow"/>
                <w:snapToGrid/>
                <w:sz w:val="20"/>
                <w:szCs w:val="20"/>
                <w:lang w:eastAsia="en-AU"/>
              </w:rPr>
              <w:fldChar w:fldCharType="separate"/>
            </w:r>
            <w:r w:rsidRPr="00763D8B">
              <w:rPr>
                <w:rFonts w:ascii="Arial Narrow" w:hAnsi="Arial Narrow"/>
                <w:snapToGrid/>
                <w:sz w:val="20"/>
                <w:szCs w:val="20"/>
                <w:lang w:eastAsia="en-AU"/>
              </w:rPr>
              <w:fldChar w:fldCharType="end"/>
            </w:r>
            <w:r w:rsidRPr="00763D8B">
              <w:rPr>
                <w:rFonts w:ascii="Arial Narrow" w:hAnsi="Arial Narrow"/>
                <w:snapToGrid/>
                <w:sz w:val="20"/>
                <w:szCs w:val="20"/>
                <w:lang w:eastAsia="en-AU"/>
              </w:rPr>
              <w:t>Authority Required - Telephone</w:t>
            </w:r>
          </w:p>
          <w:p w:rsidR="0064509C" w:rsidRPr="00763D8B" w:rsidRDefault="0064509C" w:rsidP="00C4718C">
            <w:pPr>
              <w:widowControl/>
              <w:jc w:val="left"/>
              <w:rPr>
                <w:rFonts w:ascii="Arial Narrow" w:hAnsi="Arial Narrow"/>
                <w:snapToGrid/>
                <w:sz w:val="20"/>
                <w:szCs w:val="20"/>
                <w:lang w:eastAsia="en-AU"/>
              </w:rPr>
            </w:pPr>
            <w:r w:rsidRPr="00763D8B">
              <w:rPr>
                <w:rFonts w:ascii="Arial Narrow" w:hAnsi="Arial Narrow"/>
                <w:snapToGrid/>
                <w:sz w:val="20"/>
                <w:szCs w:val="20"/>
                <w:lang w:eastAsia="en-AU"/>
              </w:rPr>
              <w:fldChar w:fldCharType="begin">
                <w:ffData>
                  <w:name w:val=""/>
                  <w:enabled/>
                  <w:calcOnExit w:val="0"/>
                  <w:checkBox>
                    <w:sizeAuto/>
                    <w:default w:val="0"/>
                  </w:checkBox>
                </w:ffData>
              </w:fldChar>
            </w:r>
            <w:r w:rsidRPr="00763D8B">
              <w:rPr>
                <w:rFonts w:ascii="Arial Narrow" w:hAnsi="Arial Narrow"/>
                <w:snapToGrid/>
                <w:sz w:val="20"/>
                <w:szCs w:val="20"/>
                <w:lang w:eastAsia="en-AU"/>
              </w:rPr>
              <w:instrText xml:space="preserve"> FORMCHECKBOX </w:instrText>
            </w:r>
            <w:r w:rsidR="00B6641A">
              <w:rPr>
                <w:rFonts w:ascii="Arial Narrow" w:hAnsi="Arial Narrow"/>
                <w:snapToGrid/>
                <w:sz w:val="20"/>
                <w:szCs w:val="20"/>
                <w:lang w:eastAsia="en-AU"/>
              </w:rPr>
            </w:r>
            <w:r w:rsidR="00B6641A">
              <w:rPr>
                <w:rFonts w:ascii="Arial Narrow" w:hAnsi="Arial Narrow"/>
                <w:snapToGrid/>
                <w:sz w:val="20"/>
                <w:szCs w:val="20"/>
                <w:lang w:eastAsia="en-AU"/>
              </w:rPr>
              <w:fldChar w:fldCharType="separate"/>
            </w:r>
            <w:r w:rsidRPr="00763D8B">
              <w:rPr>
                <w:rFonts w:ascii="Arial Narrow" w:hAnsi="Arial Narrow"/>
                <w:snapToGrid/>
                <w:sz w:val="20"/>
                <w:szCs w:val="20"/>
                <w:lang w:eastAsia="en-AU"/>
              </w:rPr>
              <w:fldChar w:fldCharType="end"/>
            </w:r>
            <w:r w:rsidRPr="00763D8B">
              <w:rPr>
                <w:rFonts w:ascii="Arial Narrow" w:hAnsi="Arial Narrow"/>
                <w:snapToGrid/>
                <w:sz w:val="20"/>
                <w:szCs w:val="20"/>
                <w:lang w:eastAsia="en-AU"/>
              </w:rPr>
              <w:t>Authority Required - Emergency</w:t>
            </w:r>
          </w:p>
          <w:p w:rsidR="0064509C" w:rsidRPr="00763D8B" w:rsidRDefault="0064509C" w:rsidP="00C4718C">
            <w:pPr>
              <w:widowControl/>
              <w:jc w:val="left"/>
              <w:rPr>
                <w:rFonts w:ascii="Arial Narrow" w:hAnsi="Arial Narrow"/>
                <w:snapToGrid/>
                <w:sz w:val="20"/>
                <w:szCs w:val="20"/>
                <w:lang w:eastAsia="en-AU"/>
              </w:rPr>
            </w:pPr>
            <w:r w:rsidRPr="00763D8B">
              <w:rPr>
                <w:rFonts w:ascii="Arial Narrow" w:hAnsi="Arial Narrow"/>
                <w:snapToGrid/>
                <w:sz w:val="20"/>
                <w:szCs w:val="20"/>
                <w:lang w:eastAsia="en-AU"/>
              </w:rPr>
              <w:fldChar w:fldCharType="begin">
                <w:ffData>
                  <w:name w:val="Check5"/>
                  <w:enabled/>
                  <w:calcOnExit w:val="0"/>
                  <w:checkBox>
                    <w:sizeAuto/>
                    <w:default w:val="0"/>
                  </w:checkBox>
                </w:ffData>
              </w:fldChar>
            </w:r>
            <w:r w:rsidRPr="00763D8B">
              <w:rPr>
                <w:rFonts w:ascii="Arial Narrow" w:hAnsi="Arial Narrow"/>
                <w:snapToGrid/>
                <w:sz w:val="20"/>
                <w:szCs w:val="20"/>
                <w:lang w:eastAsia="en-AU"/>
              </w:rPr>
              <w:instrText xml:space="preserve"> FORMCHECKBOX </w:instrText>
            </w:r>
            <w:r w:rsidR="00B6641A">
              <w:rPr>
                <w:rFonts w:ascii="Arial Narrow" w:hAnsi="Arial Narrow"/>
                <w:snapToGrid/>
                <w:sz w:val="20"/>
                <w:szCs w:val="20"/>
                <w:lang w:eastAsia="en-AU"/>
              </w:rPr>
            </w:r>
            <w:r w:rsidR="00B6641A">
              <w:rPr>
                <w:rFonts w:ascii="Arial Narrow" w:hAnsi="Arial Narrow"/>
                <w:snapToGrid/>
                <w:sz w:val="20"/>
                <w:szCs w:val="20"/>
                <w:lang w:eastAsia="en-AU"/>
              </w:rPr>
              <w:fldChar w:fldCharType="separate"/>
            </w:r>
            <w:r w:rsidRPr="00763D8B">
              <w:rPr>
                <w:rFonts w:ascii="Arial Narrow" w:hAnsi="Arial Narrow"/>
                <w:snapToGrid/>
                <w:sz w:val="20"/>
                <w:szCs w:val="20"/>
                <w:lang w:eastAsia="en-AU"/>
              </w:rPr>
              <w:fldChar w:fldCharType="end"/>
            </w:r>
            <w:r w:rsidRPr="00763D8B">
              <w:rPr>
                <w:rFonts w:ascii="Arial Narrow" w:hAnsi="Arial Narrow"/>
                <w:snapToGrid/>
                <w:sz w:val="20"/>
                <w:szCs w:val="20"/>
                <w:lang w:eastAsia="en-AU"/>
              </w:rPr>
              <w:t>Authority Required - Electronic</w:t>
            </w:r>
          </w:p>
          <w:p w:rsidR="0064509C" w:rsidRPr="00763D8B" w:rsidRDefault="0064509C" w:rsidP="00C4718C">
            <w:pPr>
              <w:widowControl/>
              <w:jc w:val="left"/>
              <w:rPr>
                <w:rFonts w:ascii="Arial Narrow" w:hAnsi="Arial Narrow"/>
                <w:snapToGrid/>
                <w:sz w:val="20"/>
                <w:szCs w:val="20"/>
                <w:lang w:eastAsia="en-AU"/>
              </w:rPr>
            </w:pPr>
            <w:r w:rsidRPr="00763D8B">
              <w:rPr>
                <w:rFonts w:ascii="Arial Narrow" w:hAnsi="Arial Narrow"/>
                <w:snapToGrid/>
                <w:sz w:val="20"/>
                <w:szCs w:val="20"/>
                <w:lang w:eastAsia="en-AU"/>
              </w:rPr>
              <w:fldChar w:fldCharType="begin">
                <w:ffData>
                  <w:name w:val="Check5"/>
                  <w:enabled/>
                  <w:calcOnExit w:val="0"/>
                  <w:checkBox>
                    <w:sizeAuto/>
                    <w:default w:val="1"/>
                  </w:checkBox>
                </w:ffData>
              </w:fldChar>
            </w:r>
            <w:r w:rsidRPr="00763D8B">
              <w:rPr>
                <w:rFonts w:ascii="Arial Narrow" w:hAnsi="Arial Narrow"/>
                <w:snapToGrid/>
                <w:sz w:val="20"/>
                <w:szCs w:val="20"/>
                <w:lang w:eastAsia="en-AU"/>
              </w:rPr>
              <w:instrText xml:space="preserve"> FORMCHECKBOX </w:instrText>
            </w:r>
            <w:r w:rsidR="00B6641A">
              <w:rPr>
                <w:rFonts w:ascii="Arial Narrow" w:hAnsi="Arial Narrow"/>
                <w:snapToGrid/>
                <w:sz w:val="20"/>
                <w:szCs w:val="20"/>
                <w:lang w:eastAsia="en-AU"/>
              </w:rPr>
            </w:r>
            <w:r w:rsidR="00B6641A">
              <w:rPr>
                <w:rFonts w:ascii="Arial Narrow" w:hAnsi="Arial Narrow"/>
                <w:snapToGrid/>
                <w:sz w:val="20"/>
                <w:szCs w:val="20"/>
                <w:lang w:eastAsia="en-AU"/>
              </w:rPr>
              <w:fldChar w:fldCharType="separate"/>
            </w:r>
            <w:r w:rsidRPr="00763D8B">
              <w:rPr>
                <w:rFonts w:ascii="Arial Narrow" w:hAnsi="Arial Narrow"/>
                <w:snapToGrid/>
                <w:sz w:val="20"/>
                <w:szCs w:val="20"/>
                <w:lang w:eastAsia="en-AU"/>
              </w:rPr>
              <w:fldChar w:fldCharType="end"/>
            </w:r>
            <w:r w:rsidRPr="00763D8B">
              <w:rPr>
                <w:rFonts w:ascii="Arial Narrow" w:hAnsi="Arial Narrow"/>
                <w:snapToGrid/>
                <w:sz w:val="20"/>
                <w:szCs w:val="20"/>
                <w:lang w:eastAsia="en-AU"/>
              </w:rPr>
              <w:t>Streamlined</w:t>
            </w:r>
          </w:p>
        </w:tc>
      </w:tr>
      <w:tr w:rsidR="0064509C" w:rsidRPr="00FE700B" w:rsidTr="0064509C">
        <w:trPr>
          <w:cantSplit/>
          <w:trHeight w:val="360"/>
        </w:trPr>
        <w:tc>
          <w:tcPr>
            <w:tcW w:w="941" w:type="pct"/>
            <w:tcBorders>
              <w:top w:val="single" w:sz="4" w:space="0" w:color="auto"/>
              <w:left w:val="single" w:sz="4" w:space="0" w:color="auto"/>
              <w:bottom w:val="single" w:sz="4" w:space="0" w:color="auto"/>
              <w:right w:val="single" w:sz="4" w:space="0" w:color="auto"/>
            </w:tcBorders>
          </w:tcPr>
          <w:p w:rsidR="0064509C" w:rsidRPr="00763D8B" w:rsidRDefault="0064509C" w:rsidP="00C4718C">
            <w:pPr>
              <w:widowControl/>
              <w:jc w:val="left"/>
              <w:rPr>
                <w:rFonts w:ascii="Arial Narrow" w:hAnsi="Arial Narrow"/>
                <w:b/>
                <w:snapToGrid/>
                <w:sz w:val="20"/>
                <w:szCs w:val="20"/>
                <w:lang w:eastAsia="en-AU"/>
              </w:rPr>
            </w:pPr>
            <w:r w:rsidRPr="00763D8B">
              <w:rPr>
                <w:rFonts w:ascii="Arial Narrow" w:hAnsi="Arial Narrow"/>
                <w:b/>
                <w:snapToGrid/>
                <w:sz w:val="20"/>
                <w:szCs w:val="20"/>
                <w:lang w:eastAsia="en-AU"/>
              </w:rPr>
              <w:t>Treatment criteria:</w:t>
            </w:r>
          </w:p>
        </w:tc>
        <w:tc>
          <w:tcPr>
            <w:tcW w:w="874" w:type="pct"/>
            <w:gridSpan w:val="3"/>
            <w:tcBorders>
              <w:top w:val="single" w:sz="4" w:space="0" w:color="auto"/>
              <w:left w:val="single" w:sz="4" w:space="0" w:color="auto"/>
              <w:bottom w:val="single" w:sz="4" w:space="0" w:color="auto"/>
              <w:right w:val="single" w:sz="4" w:space="0" w:color="auto"/>
            </w:tcBorders>
          </w:tcPr>
          <w:p w:rsidR="0064509C" w:rsidRPr="004866B5" w:rsidRDefault="0064509C" w:rsidP="00C4718C">
            <w:pPr>
              <w:widowControl/>
              <w:jc w:val="left"/>
              <w:rPr>
                <w:rFonts w:ascii="Arial Narrow" w:hAnsi="Arial Narrow"/>
                <w:sz w:val="20"/>
                <w:szCs w:val="20"/>
                <w:lang w:eastAsia="en-AU"/>
              </w:rPr>
            </w:pPr>
          </w:p>
        </w:tc>
        <w:tc>
          <w:tcPr>
            <w:tcW w:w="3185" w:type="pct"/>
            <w:gridSpan w:val="5"/>
            <w:tcBorders>
              <w:top w:val="single" w:sz="4" w:space="0" w:color="auto"/>
              <w:left w:val="single" w:sz="4" w:space="0" w:color="auto"/>
              <w:bottom w:val="single" w:sz="4" w:space="0" w:color="auto"/>
              <w:right w:val="single" w:sz="4" w:space="0" w:color="auto"/>
            </w:tcBorders>
          </w:tcPr>
          <w:p w:rsidR="0064509C" w:rsidRPr="00763D8B" w:rsidRDefault="0064509C" w:rsidP="00C4718C">
            <w:pPr>
              <w:widowControl/>
              <w:jc w:val="left"/>
              <w:rPr>
                <w:rFonts w:ascii="Arial Narrow" w:hAnsi="Arial Narrow"/>
                <w:snapToGrid/>
                <w:sz w:val="20"/>
                <w:szCs w:val="20"/>
                <w:lang w:eastAsia="en-AU"/>
              </w:rPr>
            </w:pPr>
            <w:r w:rsidRPr="004866B5">
              <w:rPr>
                <w:rFonts w:ascii="Arial Narrow" w:hAnsi="Arial Narrow"/>
                <w:sz w:val="20"/>
                <w:szCs w:val="20"/>
                <w:lang w:eastAsia="en-AU"/>
              </w:rPr>
              <w:t xml:space="preserve">Must </w:t>
            </w:r>
            <w:r w:rsidRPr="00EA3B04">
              <w:rPr>
                <w:rFonts w:ascii="Arial Narrow" w:hAnsi="Arial Narrow"/>
                <w:sz w:val="20"/>
                <w:szCs w:val="20"/>
                <w:lang w:eastAsia="en-AU"/>
              </w:rPr>
              <w:t xml:space="preserve">be treated </w:t>
            </w:r>
            <w:r w:rsidRPr="004866B5">
              <w:rPr>
                <w:rFonts w:ascii="Arial Narrow" w:hAnsi="Arial Narrow"/>
                <w:sz w:val="20"/>
                <w:szCs w:val="20"/>
                <w:lang w:eastAsia="en-AU"/>
              </w:rPr>
              <w:t>by a neurologist</w:t>
            </w:r>
            <w:r w:rsidRPr="00763D8B" w:rsidDel="00871992">
              <w:rPr>
                <w:rFonts w:ascii="Arial Narrow" w:hAnsi="Arial Narrow"/>
                <w:i/>
                <w:snapToGrid/>
                <w:sz w:val="20"/>
                <w:szCs w:val="20"/>
                <w:lang w:eastAsia="en-AU"/>
              </w:rPr>
              <w:t xml:space="preserve"> </w:t>
            </w:r>
          </w:p>
        </w:tc>
      </w:tr>
      <w:tr w:rsidR="0064509C" w:rsidRPr="00FE700B" w:rsidTr="0064509C">
        <w:trPr>
          <w:cantSplit/>
          <w:trHeight w:val="360"/>
        </w:trPr>
        <w:tc>
          <w:tcPr>
            <w:tcW w:w="941" w:type="pct"/>
            <w:tcBorders>
              <w:top w:val="single" w:sz="4" w:space="0" w:color="auto"/>
              <w:left w:val="single" w:sz="4" w:space="0" w:color="auto"/>
              <w:bottom w:val="single" w:sz="4" w:space="0" w:color="auto"/>
              <w:right w:val="single" w:sz="4" w:space="0" w:color="auto"/>
            </w:tcBorders>
          </w:tcPr>
          <w:p w:rsidR="0064509C" w:rsidRPr="00763D8B" w:rsidRDefault="0064509C" w:rsidP="00C4718C">
            <w:pPr>
              <w:widowControl/>
              <w:rPr>
                <w:rFonts w:ascii="Arial Narrow" w:hAnsi="Arial Narrow"/>
                <w:b/>
                <w:snapToGrid/>
                <w:sz w:val="20"/>
                <w:szCs w:val="20"/>
                <w:lang w:eastAsia="en-AU"/>
              </w:rPr>
            </w:pPr>
            <w:r w:rsidRPr="00763D8B">
              <w:rPr>
                <w:rFonts w:ascii="Arial Narrow" w:hAnsi="Arial Narrow"/>
                <w:b/>
                <w:snapToGrid/>
                <w:sz w:val="20"/>
                <w:szCs w:val="20"/>
                <w:lang w:eastAsia="en-AU"/>
              </w:rPr>
              <w:t>Clinical criteria:</w:t>
            </w:r>
          </w:p>
          <w:p w:rsidR="0064509C" w:rsidRPr="00763D8B" w:rsidRDefault="0064509C" w:rsidP="00C4718C">
            <w:pPr>
              <w:widowControl/>
              <w:rPr>
                <w:rFonts w:ascii="Arial Narrow" w:hAnsi="Arial Narrow"/>
                <w:i/>
                <w:snapToGrid/>
                <w:sz w:val="20"/>
                <w:szCs w:val="20"/>
                <w:lang w:eastAsia="en-AU"/>
              </w:rPr>
            </w:pPr>
          </w:p>
          <w:p w:rsidR="0064509C" w:rsidRPr="00763D8B" w:rsidRDefault="0064509C" w:rsidP="00C4718C">
            <w:pPr>
              <w:widowControl/>
              <w:rPr>
                <w:rFonts w:ascii="Arial Narrow" w:hAnsi="Arial Narrow"/>
                <w:snapToGrid/>
                <w:sz w:val="20"/>
                <w:szCs w:val="20"/>
                <w:lang w:eastAsia="en-AU"/>
              </w:rPr>
            </w:pPr>
          </w:p>
        </w:tc>
        <w:tc>
          <w:tcPr>
            <w:tcW w:w="874" w:type="pct"/>
            <w:gridSpan w:val="3"/>
            <w:tcBorders>
              <w:top w:val="single" w:sz="4" w:space="0" w:color="auto"/>
              <w:left w:val="single" w:sz="4" w:space="0" w:color="auto"/>
              <w:bottom w:val="single" w:sz="4" w:space="0" w:color="auto"/>
              <w:right w:val="single" w:sz="4" w:space="0" w:color="auto"/>
            </w:tcBorders>
          </w:tcPr>
          <w:p w:rsidR="0064509C" w:rsidRPr="006F2952" w:rsidRDefault="0064509C" w:rsidP="00871992">
            <w:pPr>
              <w:rPr>
                <w:rFonts w:ascii="Arial Narrow" w:hAnsi="Arial Narrow"/>
                <w:sz w:val="20"/>
                <w:szCs w:val="20"/>
                <w:u w:val="single"/>
                <w:lang w:eastAsia="en-AU"/>
              </w:rPr>
            </w:pPr>
          </w:p>
        </w:tc>
        <w:tc>
          <w:tcPr>
            <w:tcW w:w="3185" w:type="pct"/>
            <w:gridSpan w:val="5"/>
            <w:tcBorders>
              <w:top w:val="single" w:sz="4" w:space="0" w:color="auto"/>
              <w:left w:val="single" w:sz="4" w:space="0" w:color="auto"/>
              <w:bottom w:val="single" w:sz="4" w:space="0" w:color="auto"/>
              <w:right w:val="single" w:sz="4" w:space="0" w:color="auto"/>
            </w:tcBorders>
          </w:tcPr>
          <w:p w:rsidR="0064509C" w:rsidRPr="006F2952" w:rsidRDefault="0064509C" w:rsidP="00871992">
            <w:pPr>
              <w:rPr>
                <w:rFonts w:ascii="Arial Narrow" w:hAnsi="Arial Narrow"/>
                <w:sz w:val="20"/>
                <w:szCs w:val="20"/>
                <w:u w:val="single"/>
                <w:lang w:eastAsia="en-AU"/>
              </w:rPr>
            </w:pPr>
            <w:r w:rsidRPr="006F2952">
              <w:rPr>
                <w:rFonts w:ascii="Arial Narrow" w:hAnsi="Arial Narrow"/>
                <w:sz w:val="20"/>
                <w:szCs w:val="20"/>
                <w:u w:val="single"/>
                <w:lang w:eastAsia="en-AU"/>
              </w:rPr>
              <w:t>Patient must have previously received at least two courses of PBS-subsidised treatment with this drug for this condition (at least 12 months prior).</w:t>
            </w:r>
          </w:p>
          <w:p w:rsidR="0064509C" w:rsidRPr="004866B5" w:rsidRDefault="0064509C" w:rsidP="00871992">
            <w:pPr>
              <w:rPr>
                <w:rFonts w:ascii="Arial Narrow" w:hAnsi="Arial Narrow"/>
                <w:sz w:val="20"/>
                <w:szCs w:val="20"/>
                <w:lang w:eastAsia="en-AU"/>
              </w:rPr>
            </w:pPr>
            <w:r w:rsidRPr="004866B5">
              <w:rPr>
                <w:rFonts w:ascii="Arial Narrow" w:hAnsi="Arial Narrow"/>
                <w:sz w:val="20"/>
                <w:szCs w:val="20"/>
                <w:lang w:eastAsia="en-AU"/>
              </w:rPr>
              <w:t>AND</w:t>
            </w:r>
          </w:p>
          <w:p w:rsidR="0064509C" w:rsidRPr="006F2952" w:rsidRDefault="0064509C" w:rsidP="00871992">
            <w:pPr>
              <w:rPr>
                <w:rFonts w:ascii="Arial Narrow" w:hAnsi="Arial Narrow"/>
                <w:sz w:val="20"/>
                <w:szCs w:val="20"/>
                <w:u w:val="single"/>
                <w:lang w:eastAsia="en-AU"/>
              </w:rPr>
            </w:pPr>
            <w:r w:rsidRPr="006F2952">
              <w:rPr>
                <w:rFonts w:ascii="Arial Narrow" w:hAnsi="Arial Narrow"/>
                <w:sz w:val="20"/>
                <w:szCs w:val="20"/>
                <w:u w:val="single"/>
                <w:lang w:eastAsia="en-AU"/>
              </w:rPr>
              <w:t>Patient must have had one or more relapses OR two or more new or enlarging brain or spinal cord lesions</w:t>
            </w:r>
          </w:p>
          <w:p w:rsidR="0064509C" w:rsidRPr="004866B5" w:rsidRDefault="0064509C" w:rsidP="00871992">
            <w:pPr>
              <w:rPr>
                <w:rFonts w:ascii="Arial Narrow" w:hAnsi="Arial Narrow"/>
                <w:sz w:val="20"/>
                <w:szCs w:val="20"/>
                <w:lang w:eastAsia="en-AU"/>
              </w:rPr>
            </w:pPr>
            <w:r w:rsidRPr="004866B5">
              <w:rPr>
                <w:rFonts w:ascii="Arial Narrow" w:hAnsi="Arial Narrow"/>
                <w:sz w:val="20"/>
                <w:szCs w:val="20"/>
                <w:lang w:eastAsia="en-AU"/>
              </w:rPr>
              <w:t>AND</w:t>
            </w:r>
          </w:p>
          <w:p w:rsidR="0064509C" w:rsidRPr="004866B5" w:rsidRDefault="0064509C" w:rsidP="00871992">
            <w:pPr>
              <w:rPr>
                <w:rFonts w:ascii="Arial Narrow" w:hAnsi="Arial Narrow"/>
                <w:sz w:val="20"/>
                <w:szCs w:val="20"/>
                <w:lang w:eastAsia="en-AU"/>
              </w:rPr>
            </w:pPr>
            <w:r w:rsidRPr="004866B5">
              <w:rPr>
                <w:rFonts w:ascii="Arial Narrow" w:hAnsi="Arial Narrow"/>
                <w:sz w:val="20"/>
                <w:szCs w:val="20"/>
                <w:lang w:eastAsia="en-AU"/>
              </w:rPr>
              <w:t>Patient must not show continuing progression of disability while on treatment with this drug</w:t>
            </w:r>
          </w:p>
          <w:p w:rsidR="0064509C" w:rsidRPr="004866B5" w:rsidRDefault="0064509C" w:rsidP="00871992">
            <w:pPr>
              <w:rPr>
                <w:rFonts w:ascii="Arial Narrow" w:hAnsi="Arial Narrow"/>
                <w:sz w:val="20"/>
                <w:szCs w:val="20"/>
                <w:lang w:eastAsia="en-AU"/>
              </w:rPr>
            </w:pPr>
            <w:r w:rsidRPr="004866B5">
              <w:rPr>
                <w:rFonts w:ascii="Arial Narrow" w:hAnsi="Arial Narrow"/>
                <w:sz w:val="20"/>
                <w:szCs w:val="20"/>
                <w:lang w:eastAsia="en-AU"/>
              </w:rPr>
              <w:t>AND</w:t>
            </w:r>
          </w:p>
          <w:p w:rsidR="0064509C" w:rsidRPr="004866B5" w:rsidRDefault="0064509C" w:rsidP="00871992">
            <w:pPr>
              <w:rPr>
                <w:rFonts w:ascii="Arial Narrow" w:hAnsi="Arial Narrow"/>
                <w:sz w:val="20"/>
                <w:szCs w:val="20"/>
                <w:lang w:eastAsia="en-AU"/>
              </w:rPr>
            </w:pPr>
            <w:r w:rsidRPr="004866B5">
              <w:rPr>
                <w:rFonts w:ascii="Arial Narrow" w:hAnsi="Arial Narrow"/>
                <w:sz w:val="20"/>
                <w:szCs w:val="20"/>
                <w:lang w:eastAsia="en-AU"/>
              </w:rPr>
              <w:t>Patient must not receive more than one PBS-subsidised treatment per year</w:t>
            </w:r>
          </w:p>
          <w:p w:rsidR="0064509C" w:rsidRPr="004866B5" w:rsidRDefault="0064509C" w:rsidP="00871992">
            <w:pPr>
              <w:rPr>
                <w:rFonts w:ascii="Arial Narrow" w:hAnsi="Arial Narrow"/>
                <w:sz w:val="20"/>
                <w:szCs w:val="20"/>
                <w:lang w:eastAsia="en-AU"/>
              </w:rPr>
            </w:pPr>
            <w:r w:rsidRPr="004866B5">
              <w:rPr>
                <w:rFonts w:ascii="Arial Narrow" w:hAnsi="Arial Narrow"/>
                <w:sz w:val="20"/>
                <w:szCs w:val="20"/>
                <w:lang w:eastAsia="en-AU"/>
              </w:rPr>
              <w:t>AND</w:t>
            </w:r>
          </w:p>
          <w:p w:rsidR="0064509C" w:rsidRPr="004866B5" w:rsidRDefault="0064509C" w:rsidP="00871992">
            <w:pPr>
              <w:rPr>
                <w:rFonts w:ascii="Arial Narrow" w:hAnsi="Arial Narrow"/>
                <w:sz w:val="20"/>
                <w:szCs w:val="20"/>
                <w:lang w:eastAsia="en-AU"/>
              </w:rPr>
            </w:pPr>
            <w:r w:rsidRPr="004866B5">
              <w:rPr>
                <w:rFonts w:ascii="Arial Narrow" w:hAnsi="Arial Narrow"/>
                <w:sz w:val="20"/>
                <w:szCs w:val="20"/>
                <w:lang w:eastAsia="en-AU"/>
              </w:rPr>
              <w:t>The treatment must be a sole PBS-subsidised modifying therapy for this condition</w:t>
            </w:r>
          </w:p>
          <w:p w:rsidR="0064509C" w:rsidRPr="004866B5" w:rsidRDefault="0064509C" w:rsidP="00871992">
            <w:pPr>
              <w:rPr>
                <w:rFonts w:ascii="Arial Narrow" w:hAnsi="Arial Narrow"/>
                <w:sz w:val="20"/>
                <w:szCs w:val="20"/>
                <w:lang w:eastAsia="en-AU"/>
              </w:rPr>
            </w:pPr>
            <w:r w:rsidRPr="004866B5">
              <w:rPr>
                <w:rFonts w:ascii="Arial Narrow" w:hAnsi="Arial Narrow"/>
                <w:sz w:val="20"/>
                <w:szCs w:val="20"/>
                <w:lang w:eastAsia="en-AU"/>
              </w:rPr>
              <w:t>AND</w:t>
            </w:r>
          </w:p>
          <w:p w:rsidR="0064509C" w:rsidRPr="00763D8B" w:rsidRDefault="0064509C" w:rsidP="00C4718C">
            <w:pPr>
              <w:widowControl/>
              <w:jc w:val="left"/>
              <w:rPr>
                <w:rFonts w:ascii="Arial Narrow" w:hAnsi="Arial Narrow"/>
                <w:snapToGrid/>
                <w:sz w:val="20"/>
                <w:szCs w:val="20"/>
                <w:lang w:eastAsia="en-AU"/>
              </w:rPr>
            </w:pPr>
            <w:r w:rsidRPr="004866B5">
              <w:rPr>
                <w:rFonts w:ascii="Arial Narrow" w:hAnsi="Arial Narrow"/>
                <w:sz w:val="20"/>
                <w:szCs w:val="20"/>
                <w:lang w:eastAsia="en-AU"/>
              </w:rPr>
              <w:t>Patient must have demonstrated compliance with, and an ability to tolerate this therapy</w:t>
            </w:r>
          </w:p>
        </w:tc>
      </w:tr>
    </w:tbl>
    <w:p w:rsidR="00871992" w:rsidRDefault="00871992" w:rsidP="00871992">
      <w:pPr>
        <w:pStyle w:val="TableFooter"/>
      </w:pPr>
      <w:r>
        <w:t>Source: Table 1.4.2, p11 of the resubmission. PBS = Pharmaceutical Benefits Scheme</w:t>
      </w:r>
    </w:p>
    <w:p w:rsidR="00BD1912" w:rsidRPr="00882085" w:rsidRDefault="00BD1912" w:rsidP="00BD1912"/>
    <w:p w:rsidR="00BD1912" w:rsidRPr="0090725E" w:rsidRDefault="00BD1912" w:rsidP="00FD072C">
      <w:pPr>
        <w:pStyle w:val="ListParagraph"/>
        <w:widowControl/>
        <w:numPr>
          <w:ilvl w:val="1"/>
          <w:numId w:val="1"/>
        </w:numPr>
      </w:pPr>
      <w:r w:rsidRPr="00393850">
        <w:rPr>
          <w:color w:val="000000" w:themeColor="text1"/>
        </w:rPr>
        <w:t>The resubmission stated that under current reimbursement conditions, alemtuzumab is listed on the PBS with a special pricing arrangement (SPA:</w:t>
      </w:r>
      <w:r>
        <w:rPr>
          <w:color w:val="000000" w:themeColor="text1"/>
        </w:rPr>
        <w:t xml:space="preserve"> </w:t>
      </w:r>
      <w:r w:rsidR="009D295A">
        <w:rPr>
          <w:noProof/>
          <w:color w:val="000000"/>
          <w:highlight w:val="black"/>
        </w:rPr>
        <w:t>'''''</w:t>
      </w:r>
      <w:r>
        <w:rPr>
          <w:color w:val="000000" w:themeColor="text1"/>
        </w:rPr>
        <w:t>%</w:t>
      </w:r>
      <w:r w:rsidR="000A1410">
        <w:rPr>
          <w:color w:val="000000" w:themeColor="text1"/>
        </w:rPr>
        <w:t xml:space="preserve"> rebate) and stated that the </w:t>
      </w:r>
      <w:r w:rsidR="006F2952">
        <w:rPr>
          <w:color w:val="000000" w:themeColor="text1"/>
        </w:rPr>
        <w:t>s</w:t>
      </w:r>
      <w:r w:rsidRPr="00393850">
        <w:rPr>
          <w:color w:val="000000" w:themeColor="text1"/>
        </w:rPr>
        <w:t>ponsor’s intention was to retain this SPA following the requested changes to the current reimbursement.</w:t>
      </w:r>
    </w:p>
    <w:p w:rsidR="00BD1912" w:rsidRPr="00F92B0D" w:rsidRDefault="00BD1912" w:rsidP="00FD072C">
      <w:pPr>
        <w:pStyle w:val="ListParagraph"/>
        <w:widowControl/>
        <w:numPr>
          <w:ilvl w:val="1"/>
          <w:numId w:val="1"/>
        </w:numPr>
        <w:spacing w:after="0"/>
      </w:pPr>
      <w:bookmarkStart w:id="2" w:name="_Ref524484506"/>
      <w:r>
        <w:rPr>
          <w:color w:val="000000" w:themeColor="text1"/>
        </w:rPr>
        <w:lastRenderedPageBreak/>
        <w:t>Compared to the previous submissions, the current resubmission is for the same population. H</w:t>
      </w:r>
      <w:r w:rsidR="000A1410">
        <w:rPr>
          <w:color w:val="000000" w:themeColor="text1"/>
        </w:rPr>
        <w:t>owever, up to two additional as</w:t>
      </w:r>
      <w:r w:rsidR="0090725E">
        <w:rPr>
          <w:color w:val="000000" w:themeColor="text1"/>
        </w:rPr>
        <w:t>-</w:t>
      </w:r>
      <w:r>
        <w:rPr>
          <w:color w:val="000000" w:themeColor="text1"/>
        </w:rPr>
        <w:t>needed treatment courses are requested for listing for patients who</w:t>
      </w:r>
      <w:r w:rsidR="006F2952">
        <w:rPr>
          <w:color w:val="000000" w:themeColor="text1"/>
        </w:rPr>
        <w:t xml:space="preserve"> have</w:t>
      </w:r>
      <w:r>
        <w:rPr>
          <w:color w:val="000000" w:themeColor="text1"/>
        </w:rPr>
        <w:t>:</w:t>
      </w:r>
      <w:bookmarkEnd w:id="2"/>
    </w:p>
    <w:p w:rsidR="00BD1912" w:rsidRDefault="00BD1912" w:rsidP="00FD072C">
      <w:pPr>
        <w:pStyle w:val="ListParagraph"/>
        <w:widowControl/>
        <w:numPr>
          <w:ilvl w:val="0"/>
          <w:numId w:val="10"/>
        </w:numPr>
        <w:spacing w:after="0"/>
        <w:ind w:left="993" w:hanging="284"/>
      </w:pPr>
      <w:r>
        <w:t>had one or more relapses; or</w:t>
      </w:r>
    </w:p>
    <w:p w:rsidR="00BD1912" w:rsidRDefault="00BD1912" w:rsidP="00FD072C">
      <w:pPr>
        <w:pStyle w:val="ListParagraph"/>
        <w:widowControl/>
        <w:numPr>
          <w:ilvl w:val="0"/>
          <w:numId w:val="10"/>
        </w:numPr>
        <w:ind w:left="993" w:hanging="284"/>
      </w:pPr>
      <w:r>
        <w:t>two or more new enlarging brain or spinal cord lesions</w:t>
      </w:r>
      <w:r w:rsidR="0090725E">
        <w:t>.</w:t>
      </w:r>
    </w:p>
    <w:p w:rsidR="00E33DDF" w:rsidRDefault="00E33DDF" w:rsidP="00E33DDF">
      <w:pPr>
        <w:widowControl/>
        <w:ind w:left="709"/>
        <w:rPr>
          <w:i/>
        </w:rPr>
      </w:pPr>
      <w:r w:rsidRPr="00227132">
        <w:rPr>
          <w:i/>
        </w:rPr>
        <w:t>For more detail on PBAC’s view, see section 7 PBAC outcome.</w:t>
      </w:r>
    </w:p>
    <w:p w:rsidR="001E5A87" w:rsidRPr="00E33DDF" w:rsidRDefault="001E5A87" w:rsidP="00E33DDF">
      <w:pPr>
        <w:widowControl/>
        <w:ind w:left="709"/>
        <w:rPr>
          <w:i/>
        </w:rPr>
      </w:pPr>
    </w:p>
    <w:p w:rsidR="00BD1912" w:rsidRPr="00652AFF" w:rsidRDefault="00BD1912" w:rsidP="00652AFF">
      <w:pPr>
        <w:pStyle w:val="PBACHeading1"/>
        <w:spacing w:before="240" w:after="120"/>
        <w:outlineLvl w:val="0"/>
        <w:rPr>
          <w:rFonts w:asciiTheme="minorHAnsi" w:hAnsiTheme="minorHAnsi"/>
          <w:szCs w:val="32"/>
        </w:rPr>
      </w:pPr>
      <w:bookmarkStart w:id="3" w:name="_Toc524531621"/>
      <w:r w:rsidRPr="00652AFF">
        <w:rPr>
          <w:rFonts w:asciiTheme="minorHAnsi" w:hAnsiTheme="minorHAnsi"/>
          <w:szCs w:val="32"/>
        </w:rPr>
        <w:t>Background</w:t>
      </w:r>
      <w:bookmarkEnd w:id="3"/>
    </w:p>
    <w:p w:rsidR="00BD1912" w:rsidRPr="00FD072C" w:rsidRDefault="00BD1912" w:rsidP="001D3277">
      <w:pPr>
        <w:pStyle w:val="Heading2"/>
      </w:pPr>
      <w:r w:rsidRPr="00FD072C">
        <w:t>Registration status</w:t>
      </w:r>
    </w:p>
    <w:p w:rsidR="00BD1912" w:rsidRDefault="00BD1912" w:rsidP="00FD072C">
      <w:pPr>
        <w:pStyle w:val="ListParagraph"/>
        <w:widowControl/>
        <w:numPr>
          <w:ilvl w:val="1"/>
          <w:numId w:val="1"/>
        </w:numPr>
      </w:pPr>
      <w:r w:rsidRPr="00F92B0D">
        <w:rPr>
          <w:color w:val="000000" w:themeColor="text1"/>
        </w:rPr>
        <w:t xml:space="preserve">Alemtuzumab was </w:t>
      </w:r>
      <w:r>
        <w:rPr>
          <w:color w:val="000000" w:themeColor="text1"/>
        </w:rPr>
        <w:t xml:space="preserve">initially </w:t>
      </w:r>
      <w:r w:rsidRPr="00F92B0D">
        <w:rPr>
          <w:color w:val="000000" w:themeColor="text1"/>
        </w:rPr>
        <w:t>listed on the Australian Register of Therapeutic Goods (ARTG) for the treatment of RRMS on 18 December 2013</w:t>
      </w:r>
      <w:r>
        <w:t xml:space="preserve"> for two courses of treatment.</w:t>
      </w:r>
    </w:p>
    <w:p w:rsidR="00BD1912" w:rsidRDefault="002562BA" w:rsidP="00FD072C">
      <w:pPr>
        <w:pStyle w:val="ListParagraph"/>
        <w:widowControl/>
        <w:numPr>
          <w:ilvl w:val="1"/>
          <w:numId w:val="1"/>
        </w:numPr>
      </w:pPr>
      <w:r>
        <w:rPr>
          <w:color w:val="000000" w:themeColor="text1"/>
        </w:rPr>
        <w:t>The PBAC noted that a</w:t>
      </w:r>
      <w:r w:rsidR="00BD1912" w:rsidRPr="00F92B0D">
        <w:rPr>
          <w:color w:val="000000" w:themeColor="text1"/>
        </w:rPr>
        <w:t xml:space="preserve"> submission to the TGA requesting an update to the PI to allow for two additional treatment courses for patients experiencing a resumption of disease activity following the initial two courses of treatment was approved on 1 May 2018.</w:t>
      </w:r>
    </w:p>
    <w:p w:rsidR="00BD1912" w:rsidRPr="00FD072C" w:rsidRDefault="00BD1912" w:rsidP="001D3277">
      <w:pPr>
        <w:pStyle w:val="Heading2"/>
      </w:pPr>
      <w:r w:rsidRPr="00FD072C">
        <w:t>Previous PBAC consideration</w:t>
      </w:r>
    </w:p>
    <w:p w:rsidR="00BD1912" w:rsidRPr="008B7149" w:rsidRDefault="00A94F25" w:rsidP="00FD072C">
      <w:pPr>
        <w:pStyle w:val="ListParagraph"/>
        <w:widowControl/>
        <w:numPr>
          <w:ilvl w:val="1"/>
          <w:numId w:val="1"/>
        </w:numPr>
      </w:pPr>
      <w:r w:rsidRPr="00A94F25">
        <w:t>Table 2</w:t>
      </w:r>
      <w:r w:rsidR="00BD1912" w:rsidRPr="0090725E">
        <w:t xml:space="preserve"> </w:t>
      </w:r>
      <w:r w:rsidR="00BD1912">
        <w:t xml:space="preserve">presents </w:t>
      </w:r>
      <w:r w:rsidR="00871992">
        <w:t xml:space="preserve">a </w:t>
      </w:r>
      <w:r w:rsidR="00BD1912">
        <w:t>summary of outstanding matters of concern from the November 2014 minor resubmission of alemtuzumab</w:t>
      </w:r>
      <w:r w:rsidR="0090725E">
        <w:t>.</w:t>
      </w:r>
    </w:p>
    <w:p w:rsidR="00BD1912" w:rsidRPr="00822F8F" w:rsidRDefault="00BD1912" w:rsidP="00BD1912">
      <w:pPr>
        <w:keepNext/>
        <w:widowControl/>
        <w:rPr>
          <w:rStyle w:val="CommentReference"/>
        </w:rPr>
      </w:pPr>
      <w:bookmarkStart w:id="4" w:name="_Ref523869783"/>
      <w:r w:rsidRPr="00822F8F">
        <w:rPr>
          <w:rStyle w:val="CommentReference"/>
        </w:rPr>
        <w:t xml:space="preserve">Table </w:t>
      </w:r>
      <w:r w:rsidR="00A94F25">
        <w:rPr>
          <w:rFonts w:ascii="Arial Narrow" w:hAnsi="Arial Narrow"/>
          <w:b/>
          <w:noProof/>
          <w:sz w:val="20"/>
          <w:szCs w:val="16"/>
        </w:rPr>
        <w:t>2</w:t>
      </w:r>
      <w:bookmarkEnd w:id="4"/>
      <w:r w:rsidR="0090725E">
        <w:rPr>
          <w:rStyle w:val="CommentReference"/>
        </w:rPr>
        <w:t xml:space="preserve">: </w:t>
      </w:r>
      <w:r w:rsidRPr="00822F8F">
        <w:rPr>
          <w:rStyle w:val="CommentReference"/>
        </w:rPr>
        <w:t>Summary of outstanding matters of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043"/>
        <w:gridCol w:w="4881"/>
        <w:gridCol w:w="3092"/>
      </w:tblGrid>
      <w:tr w:rsidR="00BD1912" w:rsidRPr="00203181" w:rsidTr="001666A4">
        <w:trPr>
          <w:tblHeader/>
        </w:trPr>
        <w:tc>
          <w:tcPr>
            <w:tcW w:w="1043" w:type="dxa"/>
            <w:vAlign w:val="center"/>
          </w:tcPr>
          <w:p w:rsidR="00BD1912" w:rsidRPr="00822F8F" w:rsidRDefault="00BD1912" w:rsidP="001666A4">
            <w:pPr>
              <w:pStyle w:val="Tabletext"/>
              <w:keepNext/>
              <w:rPr>
                <w:b/>
              </w:rPr>
            </w:pPr>
            <w:r w:rsidRPr="00822F8F">
              <w:rPr>
                <w:b/>
              </w:rPr>
              <w:t>Component</w:t>
            </w:r>
          </w:p>
        </w:tc>
        <w:tc>
          <w:tcPr>
            <w:tcW w:w="4926" w:type="dxa"/>
            <w:vAlign w:val="center"/>
          </w:tcPr>
          <w:p w:rsidR="00BD1912" w:rsidRPr="00822F8F" w:rsidRDefault="00BD1912" w:rsidP="001666A4">
            <w:pPr>
              <w:pStyle w:val="Tabletext"/>
              <w:keepNext/>
              <w:jc w:val="center"/>
              <w:rPr>
                <w:b/>
              </w:rPr>
            </w:pPr>
            <w:r w:rsidRPr="00822F8F">
              <w:rPr>
                <w:b/>
              </w:rPr>
              <w:t>Matter of concern (November 2014 PSD)</w:t>
            </w:r>
          </w:p>
        </w:tc>
        <w:tc>
          <w:tcPr>
            <w:tcW w:w="3116" w:type="dxa"/>
            <w:vAlign w:val="center"/>
          </w:tcPr>
          <w:p w:rsidR="00BD1912" w:rsidRPr="00822F8F" w:rsidRDefault="00BD1912" w:rsidP="001666A4">
            <w:pPr>
              <w:pStyle w:val="Tabletext"/>
              <w:keepNext/>
              <w:jc w:val="center"/>
              <w:rPr>
                <w:b/>
              </w:rPr>
            </w:pPr>
            <w:r w:rsidRPr="00822F8F">
              <w:rPr>
                <w:b/>
              </w:rPr>
              <w:t>How the resubmission addresses it</w:t>
            </w:r>
          </w:p>
        </w:tc>
      </w:tr>
      <w:tr w:rsidR="00BD1912" w:rsidRPr="00203181" w:rsidTr="00B67D17">
        <w:tc>
          <w:tcPr>
            <w:tcW w:w="1043" w:type="dxa"/>
            <w:vAlign w:val="center"/>
          </w:tcPr>
          <w:p w:rsidR="00BD1912" w:rsidRPr="00822F8F" w:rsidRDefault="00BD1912" w:rsidP="00B67D17">
            <w:pPr>
              <w:pStyle w:val="Tabletext"/>
            </w:pPr>
            <w:r w:rsidRPr="00822F8F">
              <w:t>Clinical place of alemtuzumab</w:t>
            </w:r>
          </w:p>
        </w:tc>
        <w:tc>
          <w:tcPr>
            <w:tcW w:w="4926" w:type="dxa"/>
            <w:vAlign w:val="center"/>
          </w:tcPr>
          <w:p w:rsidR="00BD1912" w:rsidRPr="00763D8B" w:rsidRDefault="00BD1912" w:rsidP="001666A4">
            <w:pPr>
              <w:pStyle w:val="Tabletext"/>
            </w:pPr>
            <w:r w:rsidRPr="00763D8B">
              <w:t>PBAC noted that no new information was provided about the clinical place of alemtuzumab and recalled that the committee recognised that there may be a clinical need for the drug in patients with high disease activity but considered that thi</w:t>
            </w:r>
            <w:r w:rsidR="0090725E" w:rsidRPr="00763D8B">
              <w:t xml:space="preserve">s clinical place was uncertain </w:t>
            </w:r>
            <w:r w:rsidRPr="00763D8B">
              <w:t>(paragraph 7.2)</w:t>
            </w:r>
            <w:r w:rsidR="0090725E" w:rsidRPr="00763D8B">
              <w:t>.</w:t>
            </w:r>
          </w:p>
        </w:tc>
        <w:tc>
          <w:tcPr>
            <w:tcW w:w="3116" w:type="dxa"/>
            <w:vAlign w:val="center"/>
          </w:tcPr>
          <w:p w:rsidR="00BD1912" w:rsidRPr="00763D8B" w:rsidRDefault="00BD1912" w:rsidP="001666A4">
            <w:pPr>
              <w:pStyle w:val="Tabletext"/>
              <w:rPr>
                <w:color w:val="000000" w:themeColor="text1"/>
              </w:rPr>
            </w:pPr>
            <w:r w:rsidRPr="00763D8B">
              <w:rPr>
                <w:color w:val="000000" w:themeColor="text1"/>
              </w:rPr>
              <w:t>Not explicitly addressed. The</w:t>
            </w:r>
            <w:r w:rsidR="00436C41" w:rsidRPr="00763D8B">
              <w:rPr>
                <w:color w:val="000000" w:themeColor="text1"/>
              </w:rPr>
              <w:t xml:space="preserve"> resubmission</w:t>
            </w:r>
            <w:r w:rsidRPr="00763D8B">
              <w:rPr>
                <w:color w:val="000000" w:themeColor="text1"/>
              </w:rPr>
              <w:t xml:space="preserve"> considered the place of alemtuzumab therapy in terms of the two additional courses of as-needed therapy</w:t>
            </w:r>
            <w:r w:rsidR="000F2383" w:rsidRPr="00763D8B">
              <w:rPr>
                <w:color w:val="000000" w:themeColor="text1"/>
              </w:rPr>
              <w:t>.</w:t>
            </w:r>
          </w:p>
        </w:tc>
      </w:tr>
      <w:tr w:rsidR="00BD1912" w:rsidRPr="00203181" w:rsidTr="001666A4">
        <w:tc>
          <w:tcPr>
            <w:tcW w:w="1043" w:type="dxa"/>
            <w:vMerge w:val="restart"/>
            <w:vAlign w:val="center"/>
          </w:tcPr>
          <w:p w:rsidR="00BD1912" w:rsidRPr="00822F8F" w:rsidRDefault="00BD1912" w:rsidP="001666A4">
            <w:pPr>
              <w:pStyle w:val="Tabletext"/>
            </w:pPr>
            <w:r w:rsidRPr="00822F8F">
              <w:t>Clinical evidence</w:t>
            </w:r>
          </w:p>
        </w:tc>
        <w:tc>
          <w:tcPr>
            <w:tcW w:w="4926" w:type="dxa"/>
            <w:vAlign w:val="center"/>
          </w:tcPr>
          <w:p w:rsidR="00BD1912" w:rsidRPr="00763D8B" w:rsidRDefault="00BD1912" w:rsidP="001666A4">
            <w:pPr>
              <w:pStyle w:val="Tabletext"/>
            </w:pPr>
            <w:r w:rsidRPr="00763D8B">
              <w:t>The PBAC noted that no new data was presented in the submission to justify revising the dosing durability compared to the comparators... The PBAC recalled its concern regarding a high risk</w:t>
            </w:r>
            <w:r w:rsidR="0090725E" w:rsidRPr="00763D8B">
              <w:t xml:space="preserve"> of bias in the pivotal trials </w:t>
            </w:r>
            <w:r w:rsidRPr="00763D8B">
              <w:t>(paragraph 7.4)</w:t>
            </w:r>
            <w:r w:rsidR="0090725E" w:rsidRPr="00763D8B">
              <w:t>.</w:t>
            </w:r>
          </w:p>
        </w:tc>
        <w:tc>
          <w:tcPr>
            <w:tcW w:w="3116" w:type="dxa"/>
            <w:vAlign w:val="center"/>
          </w:tcPr>
          <w:p w:rsidR="00BD1912" w:rsidRPr="00763D8B" w:rsidRDefault="00BD1912" w:rsidP="001666A4">
            <w:pPr>
              <w:pStyle w:val="Tabletext"/>
              <w:rPr>
                <w:color w:val="000000" w:themeColor="text1"/>
              </w:rPr>
            </w:pPr>
            <w:r w:rsidRPr="00763D8B">
              <w:rPr>
                <w:color w:val="000000" w:themeColor="text1"/>
              </w:rPr>
              <w:t>The current resubmission included final results (six years) of the CARE-MS extension study to justify the dosing durability compared to itself rather than to previous comparators.</w:t>
            </w:r>
          </w:p>
        </w:tc>
      </w:tr>
      <w:tr w:rsidR="00BD1912" w:rsidRPr="00203181" w:rsidTr="001666A4">
        <w:tc>
          <w:tcPr>
            <w:tcW w:w="1043" w:type="dxa"/>
            <w:vMerge/>
            <w:vAlign w:val="center"/>
          </w:tcPr>
          <w:p w:rsidR="00BD1912" w:rsidRPr="00822F8F" w:rsidRDefault="00BD1912" w:rsidP="001666A4">
            <w:pPr>
              <w:pStyle w:val="Tabletext"/>
            </w:pPr>
          </w:p>
        </w:tc>
        <w:tc>
          <w:tcPr>
            <w:tcW w:w="4926" w:type="dxa"/>
            <w:vAlign w:val="center"/>
          </w:tcPr>
          <w:p w:rsidR="00BD1912" w:rsidRPr="00763D8B" w:rsidRDefault="00BD1912" w:rsidP="0090725E">
            <w:pPr>
              <w:pStyle w:val="Tabletext"/>
            </w:pPr>
            <w:r w:rsidRPr="00763D8B">
              <w:t>The PBAC reiterated its view from July 2014 of substantial concern regarding use of the extension study (CAMMS03409) to establish the durability of the effect of alemtuzumab. Final results are likely to be subject to many of the same limitations as the preliminary data: re-treatment rates do not account for patients switching to other therapies and patients lost to follow-up; waning of effects before re-treatment are not accounted for; it is unclear whether the re-trea</w:t>
            </w:r>
            <w:r w:rsidR="003F073A" w:rsidRPr="00763D8B">
              <w:t>tment criteria used in the CARE-</w:t>
            </w:r>
            <w:r w:rsidRPr="00763D8B">
              <w:t>MS extension studies are likely to be representative of clinical practice</w:t>
            </w:r>
            <w:r w:rsidR="0090725E" w:rsidRPr="00763D8B">
              <w:t xml:space="preserve"> </w:t>
            </w:r>
            <w:r w:rsidRPr="00763D8B">
              <w:t>(paragraph 7.5)</w:t>
            </w:r>
            <w:r w:rsidR="0090725E" w:rsidRPr="00763D8B">
              <w:t>.</w:t>
            </w:r>
          </w:p>
        </w:tc>
        <w:tc>
          <w:tcPr>
            <w:tcW w:w="3116" w:type="dxa"/>
            <w:vAlign w:val="center"/>
          </w:tcPr>
          <w:p w:rsidR="00BD1912" w:rsidRPr="00763D8B" w:rsidRDefault="00BD1912" w:rsidP="001666A4">
            <w:pPr>
              <w:pStyle w:val="Tabletext"/>
              <w:rPr>
                <w:color w:val="000000" w:themeColor="text1"/>
              </w:rPr>
            </w:pPr>
            <w:r w:rsidRPr="00763D8B">
              <w:rPr>
                <w:color w:val="000000" w:themeColor="text1"/>
              </w:rPr>
              <w:t>The</w:t>
            </w:r>
            <w:r w:rsidR="00436C41" w:rsidRPr="00763D8B">
              <w:rPr>
                <w:color w:val="000000" w:themeColor="text1"/>
              </w:rPr>
              <w:t xml:space="preserve"> resubmission</w:t>
            </w:r>
            <w:r w:rsidRPr="00763D8B">
              <w:rPr>
                <w:color w:val="000000" w:themeColor="text1"/>
              </w:rPr>
              <w:t xml:space="preserve">’s cost analysis attempted to explicitly address assumptions regarding </w:t>
            </w:r>
            <w:r w:rsidR="00941A1B" w:rsidRPr="00763D8B">
              <w:rPr>
                <w:color w:val="000000" w:themeColor="text1"/>
              </w:rPr>
              <w:t>re-treatment</w:t>
            </w:r>
            <w:r w:rsidRPr="00763D8B">
              <w:rPr>
                <w:color w:val="000000" w:themeColor="text1"/>
              </w:rPr>
              <w:t xml:space="preserve"> rates</w:t>
            </w:r>
            <w:r w:rsidR="008B3E68" w:rsidRPr="00763D8B">
              <w:rPr>
                <w:color w:val="000000" w:themeColor="text1"/>
              </w:rPr>
              <w:t xml:space="preserve"> and</w:t>
            </w:r>
            <w:r w:rsidRPr="00763D8B">
              <w:rPr>
                <w:color w:val="000000" w:themeColor="text1"/>
              </w:rPr>
              <w:t xml:space="preserve"> patients switching to other therapies. The cost analysis did not address waning effects before re-treatment, and whether re-treatment criteria used in CARE-MS extension would be representative of clinical practice.</w:t>
            </w:r>
          </w:p>
        </w:tc>
      </w:tr>
      <w:tr w:rsidR="00BD1912" w:rsidRPr="00203181" w:rsidTr="001666A4">
        <w:tc>
          <w:tcPr>
            <w:tcW w:w="1043" w:type="dxa"/>
            <w:vMerge/>
            <w:vAlign w:val="center"/>
          </w:tcPr>
          <w:p w:rsidR="00BD1912" w:rsidRPr="00822F8F" w:rsidRDefault="00BD1912" w:rsidP="001666A4">
            <w:pPr>
              <w:pStyle w:val="Tabletext"/>
            </w:pPr>
          </w:p>
        </w:tc>
        <w:tc>
          <w:tcPr>
            <w:tcW w:w="4926" w:type="dxa"/>
            <w:vAlign w:val="center"/>
          </w:tcPr>
          <w:p w:rsidR="00BD1912" w:rsidRPr="00763D8B" w:rsidRDefault="00BD1912" w:rsidP="001666A4">
            <w:pPr>
              <w:pStyle w:val="Tabletext"/>
            </w:pPr>
            <w:r w:rsidRPr="00763D8B">
              <w:t>The PBAC recalled that it considered that the proportion of patients remaining relapse-free may provide an informative basis for assessing durability of effect and as well as proportions of patents being re-treated if the necessary links between individual patients co</w:t>
            </w:r>
            <w:r w:rsidR="0090725E" w:rsidRPr="00763D8B">
              <w:t xml:space="preserve">uld be adequately demonstrated </w:t>
            </w:r>
            <w:r w:rsidRPr="00763D8B">
              <w:t>(paragraph 7.6)</w:t>
            </w:r>
            <w:r w:rsidR="0090725E" w:rsidRPr="00763D8B">
              <w:t>.</w:t>
            </w:r>
          </w:p>
        </w:tc>
        <w:tc>
          <w:tcPr>
            <w:tcW w:w="3116" w:type="dxa"/>
            <w:vAlign w:val="center"/>
          </w:tcPr>
          <w:p w:rsidR="00BD1912" w:rsidRPr="00763D8B" w:rsidRDefault="00BD1912" w:rsidP="001666A4">
            <w:pPr>
              <w:pStyle w:val="Tabletext"/>
              <w:rPr>
                <w:color w:val="000000" w:themeColor="text1"/>
              </w:rPr>
            </w:pPr>
            <w:r w:rsidRPr="00763D8B">
              <w:rPr>
                <w:color w:val="000000" w:themeColor="text1"/>
              </w:rPr>
              <w:t>The</w:t>
            </w:r>
            <w:r w:rsidR="00436C41" w:rsidRPr="00763D8B">
              <w:rPr>
                <w:color w:val="000000" w:themeColor="text1"/>
              </w:rPr>
              <w:t xml:space="preserve"> resubmission</w:t>
            </w:r>
            <w:r w:rsidRPr="00763D8B">
              <w:rPr>
                <w:color w:val="000000" w:themeColor="text1"/>
              </w:rPr>
              <w:t xml:space="preserve"> mostly based its clinical claim on annualised</w:t>
            </w:r>
            <w:r w:rsidR="008B3E68" w:rsidRPr="00763D8B">
              <w:rPr>
                <w:color w:val="000000" w:themeColor="text1"/>
              </w:rPr>
              <w:t xml:space="preserve"> relapse</w:t>
            </w:r>
            <w:r w:rsidRPr="00763D8B">
              <w:rPr>
                <w:color w:val="000000" w:themeColor="text1"/>
              </w:rPr>
              <w:t xml:space="preserve"> rates rather than patients remaining relapse</w:t>
            </w:r>
            <w:r w:rsidR="00941A1B" w:rsidRPr="00763D8B">
              <w:rPr>
                <w:color w:val="000000" w:themeColor="text1"/>
              </w:rPr>
              <w:t>-</w:t>
            </w:r>
            <w:r w:rsidRPr="00763D8B">
              <w:rPr>
                <w:color w:val="000000" w:themeColor="text1"/>
              </w:rPr>
              <w:t>free over the time period. It did not appear that the necessary links between individual patients were demonstrated.</w:t>
            </w:r>
          </w:p>
        </w:tc>
      </w:tr>
      <w:tr w:rsidR="00BD1912" w:rsidRPr="00203181" w:rsidTr="001666A4">
        <w:tc>
          <w:tcPr>
            <w:tcW w:w="1043" w:type="dxa"/>
            <w:vAlign w:val="center"/>
          </w:tcPr>
          <w:p w:rsidR="00BD1912" w:rsidRPr="00822F8F" w:rsidRDefault="00BD1912" w:rsidP="001666A4">
            <w:pPr>
              <w:pStyle w:val="Tabletext"/>
            </w:pPr>
            <w:r>
              <w:lastRenderedPageBreak/>
              <w:t>Economic evaluation</w:t>
            </w:r>
          </w:p>
        </w:tc>
        <w:tc>
          <w:tcPr>
            <w:tcW w:w="4926" w:type="dxa"/>
            <w:vAlign w:val="center"/>
          </w:tcPr>
          <w:p w:rsidR="00BD1912" w:rsidRPr="00763D8B" w:rsidRDefault="00BD1912" w:rsidP="001666A4">
            <w:pPr>
              <w:pStyle w:val="Tabletext"/>
            </w:pPr>
            <w:r w:rsidRPr="00763D8B">
              <w:t>The PBAC recalled that it had considered that a modelled cost-utility analysis may be an alternate way to value alemtuzumab to better account for the differences in the risk/benefit profile (both short-term an</w:t>
            </w:r>
            <w:r w:rsidR="0090725E" w:rsidRPr="00763D8B">
              <w:t xml:space="preserve">d long-term) between treatments </w:t>
            </w:r>
            <w:r w:rsidRPr="00763D8B">
              <w:t>(paragraph 7.8)</w:t>
            </w:r>
            <w:r w:rsidR="0090725E" w:rsidRPr="00763D8B">
              <w:t>.</w:t>
            </w:r>
          </w:p>
        </w:tc>
        <w:tc>
          <w:tcPr>
            <w:tcW w:w="3116" w:type="dxa"/>
            <w:vAlign w:val="center"/>
          </w:tcPr>
          <w:p w:rsidR="00BD1912" w:rsidRPr="00763D8B" w:rsidRDefault="00BD1912" w:rsidP="001666A4">
            <w:pPr>
              <w:pStyle w:val="Tabletext"/>
              <w:rPr>
                <w:color w:val="000000" w:themeColor="text1"/>
              </w:rPr>
            </w:pPr>
            <w:r w:rsidRPr="00763D8B">
              <w:rPr>
                <w:color w:val="000000" w:themeColor="text1"/>
              </w:rPr>
              <w:t>No cost-utility analysis was presented</w:t>
            </w:r>
          </w:p>
        </w:tc>
      </w:tr>
    </w:tbl>
    <w:p w:rsidR="00BD1912" w:rsidRDefault="00BD1912" w:rsidP="00BD1912">
      <w:pPr>
        <w:pStyle w:val="TableFooter"/>
      </w:pPr>
      <w:r w:rsidRPr="00822F8F">
        <w:t xml:space="preserve">Source: </w:t>
      </w:r>
      <w:r>
        <w:t>Alemtuzumab November 2014 PSD</w:t>
      </w:r>
    </w:p>
    <w:p w:rsidR="00BD1912" w:rsidRDefault="00BD1912" w:rsidP="00BD1912"/>
    <w:p w:rsidR="00E33DDF" w:rsidRPr="00E33DDF" w:rsidRDefault="00E33DDF" w:rsidP="00CA1D1B">
      <w:pPr>
        <w:spacing w:after="100" w:afterAutospacing="1"/>
        <w:rPr>
          <w:i/>
        </w:rPr>
      </w:pPr>
      <w:r>
        <w:tab/>
      </w:r>
      <w:r w:rsidRPr="00227132">
        <w:rPr>
          <w:i/>
        </w:rPr>
        <w:t>For more detail on PBAC’s view, see section 7 PBAC outcome.</w:t>
      </w:r>
    </w:p>
    <w:p w:rsidR="00BD1912" w:rsidRPr="00652AFF" w:rsidRDefault="00BD1912" w:rsidP="00652AFF">
      <w:pPr>
        <w:pStyle w:val="PBACHeading1"/>
        <w:spacing w:before="240" w:after="120"/>
        <w:outlineLvl w:val="0"/>
        <w:rPr>
          <w:rFonts w:asciiTheme="minorHAnsi" w:hAnsiTheme="minorHAnsi"/>
          <w:szCs w:val="32"/>
        </w:rPr>
      </w:pPr>
      <w:bookmarkStart w:id="5" w:name="_Toc524531622"/>
      <w:r w:rsidRPr="00652AFF">
        <w:rPr>
          <w:rFonts w:asciiTheme="minorHAnsi" w:hAnsiTheme="minorHAnsi"/>
          <w:szCs w:val="32"/>
        </w:rPr>
        <w:t>Population and disease</w:t>
      </w:r>
      <w:bookmarkEnd w:id="5"/>
    </w:p>
    <w:p w:rsidR="00BD1912" w:rsidRPr="007E6AC2" w:rsidRDefault="00BD1912" w:rsidP="00FD072C">
      <w:pPr>
        <w:pStyle w:val="ListParagraph"/>
        <w:widowControl/>
        <w:numPr>
          <w:ilvl w:val="1"/>
          <w:numId w:val="1"/>
        </w:numPr>
        <w:rPr>
          <w:color w:val="000000" w:themeColor="text1"/>
        </w:rPr>
      </w:pPr>
      <w:r w:rsidRPr="007E6AC2">
        <w:rPr>
          <w:color w:val="000000" w:themeColor="text1"/>
        </w:rPr>
        <w:t>Multiple sclerosis (MS) is an acquired, immune-mediated disorder of the central nervous system (CNS) characterised by inflammation, demyelination and axonal degeneration. The disease is progressive and eventually results in permanent CNS damage and ch</w:t>
      </w:r>
      <w:r w:rsidR="0090725E">
        <w:rPr>
          <w:color w:val="000000" w:themeColor="text1"/>
        </w:rPr>
        <w:t xml:space="preserve">ronic neurological disability. </w:t>
      </w:r>
      <w:r w:rsidRPr="007E6AC2">
        <w:rPr>
          <w:color w:val="000000" w:themeColor="text1"/>
        </w:rPr>
        <w:t>The cause of MS is not known.</w:t>
      </w:r>
    </w:p>
    <w:p w:rsidR="00BD1912" w:rsidRPr="007E6AC2" w:rsidRDefault="00BD1912" w:rsidP="00FD072C">
      <w:pPr>
        <w:pStyle w:val="ListParagraph"/>
        <w:widowControl/>
        <w:numPr>
          <w:ilvl w:val="1"/>
          <w:numId w:val="1"/>
        </w:numPr>
        <w:rPr>
          <w:color w:val="000000" w:themeColor="text1"/>
        </w:rPr>
      </w:pPr>
      <w:r w:rsidRPr="007E6AC2">
        <w:rPr>
          <w:color w:val="000000" w:themeColor="text1"/>
        </w:rPr>
        <w:t>The clinical course of MS is varied. Without treatment, more than 30% of patients with MS develop significant physical disability within 15-20 years of onset, with a shortened life expectancy directly related to the lev</w:t>
      </w:r>
      <w:r w:rsidR="0090725E">
        <w:rPr>
          <w:color w:val="000000" w:themeColor="text1"/>
        </w:rPr>
        <w:t xml:space="preserve">el of neurological disability. </w:t>
      </w:r>
      <w:r w:rsidRPr="007E6AC2">
        <w:rPr>
          <w:color w:val="000000" w:themeColor="text1"/>
        </w:rPr>
        <w:t>Clinical manifestations of the disease including sensory disturbances, fatigue and limb weakness, bladder and bowel symptoms and restrictions to mobility progressively reduce the quality of life for peopl</w:t>
      </w:r>
      <w:r>
        <w:rPr>
          <w:color w:val="000000" w:themeColor="text1"/>
        </w:rPr>
        <w:t>e with MS.</w:t>
      </w:r>
    </w:p>
    <w:p w:rsidR="00BD1912" w:rsidRDefault="00227132" w:rsidP="00FD072C">
      <w:pPr>
        <w:pStyle w:val="ListParagraph"/>
        <w:widowControl/>
        <w:numPr>
          <w:ilvl w:val="1"/>
          <w:numId w:val="1"/>
        </w:numPr>
      </w:pPr>
      <w:r>
        <w:rPr>
          <w:color w:val="000000" w:themeColor="text1"/>
        </w:rPr>
        <w:t>The PBAC noted that a</w:t>
      </w:r>
      <w:r w:rsidR="00BD1912" w:rsidRPr="00763D8B">
        <w:rPr>
          <w:color w:val="000000" w:themeColor="text1"/>
        </w:rPr>
        <w:t>lemt</w:t>
      </w:r>
      <w:r w:rsidR="0090725E" w:rsidRPr="00763D8B">
        <w:rPr>
          <w:color w:val="000000" w:themeColor="text1"/>
        </w:rPr>
        <w:t>uzumab is positioned as a first-</w:t>
      </w:r>
      <w:r w:rsidR="00BD1912" w:rsidRPr="00763D8B">
        <w:rPr>
          <w:color w:val="000000" w:themeColor="text1"/>
        </w:rPr>
        <w:t xml:space="preserve">line treatment in patients with aggressive disease, as well as a second-line treatment in patients failing other disease modifying therapies. </w:t>
      </w:r>
      <w:r w:rsidR="0090725E" w:rsidRPr="00763D8B">
        <w:rPr>
          <w:color w:val="000000" w:themeColor="text1"/>
        </w:rPr>
        <w:t>Alemtuzumab may be considered as a ‘high potency’</w:t>
      </w:r>
      <w:r w:rsidR="00F61D35" w:rsidRPr="00763D8B">
        <w:rPr>
          <w:color w:val="000000" w:themeColor="text1"/>
        </w:rPr>
        <w:t xml:space="preserve"> (those therapies listed on a cost-effectiveness basis to</w:t>
      </w:r>
      <w:r w:rsidR="00F61D35" w:rsidRPr="00763D8B">
        <w:t xml:space="preserve"> </w:t>
      </w:r>
      <w:r w:rsidR="00F61D35" w:rsidRPr="00763D8B">
        <w:rPr>
          <w:color w:val="000000" w:themeColor="text1"/>
        </w:rPr>
        <w:t>interferon beta, or subsequentl</w:t>
      </w:r>
      <w:r w:rsidR="0064744D" w:rsidRPr="00763D8B">
        <w:rPr>
          <w:color w:val="000000" w:themeColor="text1"/>
        </w:rPr>
        <w:t>y cost-minimised to one of these)</w:t>
      </w:r>
      <w:r w:rsidR="00F61D35" w:rsidRPr="00763D8B">
        <w:rPr>
          <w:color w:val="000000" w:themeColor="text1"/>
        </w:rPr>
        <w:t xml:space="preserve"> </w:t>
      </w:r>
      <w:r w:rsidR="0090725E" w:rsidRPr="00763D8B">
        <w:rPr>
          <w:color w:val="000000" w:themeColor="text1"/>
        </w:rPr>
        <w:t>disease modifying treatment (DMT) in RRMS. Other PBS-listed ‘high potency’ DMTs include fingolimod, natalizumab</w:t>
      </w:r>
      <w:r w:rsidR="002853A2" w:rsidRPr="00763D8B">
        <w:rPr>
          <w:color w:val="000000" w:themeColor="text1"/>
        </w:rPr>
        <w:t xml:space="preserve"> and</w:t>
      </w:r>
      <w:r w:rsidR="00B67D17" w:rsidRPr="00763D8B">
        <w:rPr>
          <w:color w:val="000000" w:themeColor="text1"/>
        </w:rPr>
        <w:t xml:space="preserve"> </w:t>
      </w:r>
      <w:r w:rsidR="0090725E" w:rsidRPr="00763D8B">
        <w:rPr>
          <w:color w:val="000000" w:themeColor="text1"/>
        </w:rPr>
        <w:t xml:space="preserve">ocrelizumab. </w:t>
      </w:r>
      <w:r w:rsidR="00BD1912" w:rsidRPr="00763D8B">
        <w:rPr>
          <w:color w:val="000000" w:themeColor="text1"/>
        </w:rPr>
        <w:t>The</w:t>
      </w:r>
      <w:r w:rsidR="00436C41" w:rsidRPr="00763D8B">
        <w:rPr>
          <w:color w:val="000000" w:themeColor="text1"/>
        </w:rPr>
        <w:t xml:space="preserve"> resubmission</w:t>
      </w:r>
      <w:r w:rsidR="00BD1912" w:rsidRPr="00763D8B">
        <w:rPr>
          <w:color w:val="000000" w:themeColor="text1"/>
        </w:rPr>
        <w:t>’s requested two additional courses of treatment as</w:t>
      </w:r>
      <w:r w:rsidR="002853A2" w:rsidRPr="00763D8B">
        <w:rPr>
          <w:color w:val="000000" w:themeColor="text1"/>
        </w:rPr>
        <w:t>-</w:t>
      </w:r>
      <w:r w:rsidR="00BD1912" w:rsidRPr="00763D8B">
        <w:rPr>
          <w:color w:val="000000" w:themeColor="text1"/>
        </w:rPr>
        <w:t xml:space="preserve">needed would be for patients with at least one relapse or at least two </w:t>
      </w:r>
      <w:r w:rsidR="00BD1912" w:rsidRPr="00763D8B">
        <w:t>new enlarging brain or spinal cord lesions after a previous course of alemtuzumab.</w:t>
      </w:r>
    </w:p>
    <w:p w:rsidR="00E33DDF" w:rsidRPr="00E33DDF" w:rsidRDefault="00E33DDF" w:rsidP="00E33DDF">
      <w:pPr>
        <w:pStyle w:val="ListParagraph"/>
        <w:widowControl/>
        <w:rPr>
          <w:i/>
        </w:rPr>
      </w:pPr>
      <w:r w:rsidRPr="00227132">
        <w:rPr>
          <w:i/>
          <w:color w:val="000000" w:themeColor="text1"/>
        </w:rPr>
        <w:t>For more detail on PBAC’s view, see section 7 PBAC outcome.</w:t>
      </w:r>
      <w:r w:rsidRPr="00E33DDF">
        <w:rPr>
          <w:i/>
          <w:color w:val="000000" w:themeColor="text1"/>
        </w:rPr>
        <w:t xml:space="preserve"> </w:t>
      </w:r>
    </w:p>
    <w:p w:rsidR="00BD1912" w:rsidRPr="00652AFF" w:rsidRDefault="00BD1912" w:rsidP="00652AFF">
      <w:pPr>
        <w:pStyle w:val="PBACHeading1"/>
        <w:spacing w:before="240" w:after="120"/>
        <w:outlineLvl w:val="0"/>
        <w:rPr>
          <w:rFonts w:asciiTheme="minorHAnsi" w:hAnsiTheme="minorHAnsi"/>
          <w:szCs w:val="32"/>
        </w:rPr>
      </w:pPr>
      <w:bookmarkStart w:id="6" w:name="_Toc524531623"/>
      <w:r w:rsidRPr="00652AFF">
        <w:rPr>
          <w:rFonts w:asciiTheme="minorHAnsi" w:hAnsiTheme="minorHAnsi"/>
          <w:szCs w:val="32"/>
        </w:rPr>
        <w:t>Comparator</w:t>
      </w:r>
      <w:bookmarkEnd w:id="6"/>
    </w:p>
    <w:p w:rsidR="00BD1912" w:rsidRPr="00763D8B" w:rsidRDefault="00BD1912" w:rsidP="00FD072C">
      <w:pPr>
        <w:pStyle w:val="ListParagraph"/>
        <w:widowControl/>
        <w:numPr>
          <w:ilvl w:val="1"/>
          <w:numId w:val="1"/>
        </w:numPr>
        <w:rPr>
          <w:rFonts w:cs="Calibri"/>
          <w:snapToGrid/>
          <w:color w:val="000000" w:themeColor="text1"/>
          <w:szCs w:val="24"/>
          <w:lang w:val="en-US" w:eastAsia="en-AU"/>
        </w:rPr>
      </w:pPr>
      <w:r w:rsidRPr="00763D8B">
        <w:rPr>
          <w:rFonts w:cs="Calibri"/>
          <w:snapToGrid/>
          <w:color w:val="000000" w:themeColor="text1"/>
          <w:szCs w:val="24"/>
          <w:lang w:val="en-US" w:eastAsia="en-AU"/>
        </w:rPr>
        <w:t xml:space="preserve">The resubmission nominated current standard of care, which includes two courses of PBS-funded alemtuzumab for the majority of patients and up to two additional courses of treatment as currently supplied by the </w:t>
      </w:r>
      <w:r w:rsidR="00B67D17" w:rsidRPr="00763D8B">
        <w:rPr>
          <w:rFonts w:cs="Calibri"/>
          <w:snapToGrid/>
          <w:color w:val="000000" w:themeColor="text1"/>
          <w:szCs w:val="24"/>
          <w:lang w:val="en-US" w:eastAsia="en-AU"/>
        </w:rPr>
        <w:t>s</w:t>
      </w:r>
      <w:r w:rsidRPr="00763D8B">
        <w:rPr>
          <w:rFonts w:cs="Calibri"/>
          <w:snapToGrid/>
          <w:color w:val="000000" w:themeColor="text1"/>
          <w:szCs w:val="24"/>
          <w:lang w:val="en-US" w:eastAsia="en-AU"/>
        </w:rPr>
        <w:t xml:space="preserve">ponsor as the main comparator. </w:t>
      </w:r>
      <w:r w:rsidR="0090725E" w:rsidRPr="00763D8B">
        <w:t>T</w:t>
      </w:r>
      <w:r w:rsidR="002C5D11">
        <w:t>he PBAC considered that the nominated comparator was</w:t>
      </w:r>
      <w:r w:rsidR="0090725E" w:rsidRPr="00763D8B">
        <w:t xml:space="preserve"> inappropriate as the treatment described </w:t>
      </w:r>
      <w:r w:rsidR="002C5D11">
        <w:t>was</w:t>
      </w:r>
      <w:r w:rsidR="0090725E" w:rsidRPr="00763D8B">
        <w:t xml:space="preserve"> the intervention for which listing </w:t>
      </w:r>
      <w:r w:rsidR="002C5D11">
        <w:t>was</w:t>
      </w:r>
      <w:r w:rsidR="0090725E" w:rsidRPr="00763D8B">
        <w:t xml:space="preserve"> sought in the resubmission. </w:t>
      </w:r>
    </w:p>
    <w:p w:rsidR="00067438" w:rsidRPr="00067438" w:rsidRDefault="0090725E" w:rsidP="00FD072C">
      <w:pPr>
        <w:pStyle w:val="ListParagraph"/>
        <w:widowControl/>
        <w:numPr>
          <w:ilvl w:val="1"/>
          <w:numId w:val="1"/>
        </w:numPr>
        <w:rPr>
          <w:rFonts w:cs="Calibri"/>
          <w:snapToGrid/>
          <w:color w:val="000000" w:themeColor="text1"/>
          <w:szCs w:val="24"/>
          <w:lang w:val="en-US" w:eastAsia="en-AU"/>
        </w:rPr>
      </w:pPr>
      <w:r w:rsidRPr="00763D8B">
        <w:t>The resubmission acknowledged that while the PBAC has previously accepted fingolimod and natalizumab as the comparators for alemtuzumab (</w:t>
      </w:r>
      <w:r w:rsidR="00E70AF6">
        <w:t>A</w:t>
      </w:r>
      <w:r w:rsidRPr="00763D8B">
        <w:t xml:space="preserve">lemtuzumab </w:t>
      </w:r>
      <w:r w:rsidR="00E70AF6">
        <w:t>July 2014 PSD, paragraph 7.3</w:t>
      </w:r>
      <w:r w:rsidRPr="00763D8B">
        <w:t xml:space="preserve">) the </w:t>
      </w:r>
      <w:r w:rsidR="00B67D17" w:rsidRPr="00763D8B">
        <w:t>s</w:t>
      </w:r>
      <w:r w:rsidRPr="00763D8B">
        <w:t xml:space="preserve">ponsor considered these two therapies not to be relevant primary comparators when considering the long-term efficacy of alemtuzumab as neither therapy currently substitute for extended use of </w:t>
      </w:r>
      <w:r w:rsidRPr="00763D8B">
        <w:lastRenderedPageBreak/>
        <w:t xml:space="preserve">alemtuzumab (beyond the second course of therapy), and therefore both therapies would not be replaced by listing a third and fourth course of alemtuzumab on the PBS. </w:t>
      </w:r>
      <w:r w:rsidR="00F37790">
        <w:t>The PBAC noted that b</w:t>
      </w:r>
      <w:r w:rsidRPr="00763D8B">
        <w:t xml:space="preserve">ased on the algorithm presented in the </w:t>
      </w:r>
      <w:r w:rsidR="00680F38">
        <w:t>re</w:t>
      </w:r>
      <w:r w:rsidRPr="00763D8B">
        <w:t xml:space="preserve">submission and the relevant PBS restrictions, patients should be able to be treated with another </w:t>
      </w:r>
      <w:r w:rsidR="002853A2" w:rsidRPr="00763D8B">
        <w:t xml:space="preserve">PBS-listed </w:t>
      </w:r>
      <w:r w:rsidRPr="00763D8B">
        <w:t>disease modifying therapy (DMT; e.g. fingolimod, natalizumab</w:t>
      </w:r>
      <w:r w:rsidR="003C3370">
        <w:t>,</w:t>
      </w:r>
      <w:r w:rsidRPr="00763D8B">
        <w:t xml:space="preserve"> or ocrelizumab</w:t>
      </w:r>
      <w:r w:rsidR="00B67D17" w:rsidRPr="00763D8B">
        <w:t>; and cladribine</w:t>
      </w:r>
      <w:r w:rsidR="002853A2" w:rsidRPr="00763D8B">
        <w:t xml:space="preserve"> with its positive recommendation for PBS-listing at the July 2018 PBAC meeting</w:t>
      </w:r>
      <w:r w:rsidRPr="00763D8B">
        <w:t xml:space="preserve">) </w:t>
      </w:r>
      <w:r w:rsidRPr="00057575">
        <w:t xml:space="preserve">after a second course of alemtuzumab and therefore </w:t>
      </w:r>
      <w:r w:rsidR="00F37790">
        <w:t xml:space="preserve">considered </w:t>
      </w:r>
      <w:r w:rsidRPr="00057575">
        <w:t xml:space="preserve">other DMTs </w:t>
      </w:r>
      <w:r w:rsidR="00F66598" w:rsidRPr="00057575">
        <w:t>are</w:t>
      </w:r>
      <w:r w:rsidRPr="00057575">
        <w:t xml:space="preserve"> valid comparators. </w:t>
      </w:r>
    </w:p>
    <w:p w:rsidR="0090725E" w:rsidRPr="00057575" w:rsidRDefault="008A63CC" w:rsidP="00FD072C">
      <w:pPr>
        <w:pStyle w:val="ListParagraph"/>
        <w:widowControl/>
        <w:numPr>
          <w:ilvl w:val="1"/>
          <w:numId w:val="1"/>
        </w:numPr>
        <w:rPr>
          <w:rFonts w:cs="Calibri"/>
          <w:snapToGrid/>
          <w:color w:val="000000" w:themeColor="text1"/>
          <w:szCs w:val="24"/>
          <w:lang w:val="en-US" w:eastAsia="en-AU"/>
        </w:rPr>
      </w:pPr>
      <w:r w:rsidRPr="00057575">
        <w:t xml:space="preserve">The ESC noted that if treatment with alemtuzumab is substantially more costly than an alternative therapy or alternative therapies, the PBAC could only recommend alemtuzumab if it is satisfied that alemtuzumab provides, for some patients, a significant improvement in efficacy or reduction of toxicity over the alternative therapy or therapies. The alternative therapies in this case may include fingolimod, natalizumab, ocrelizumab, cladribine or any other DMT PBS-listed for RRMS. </w:t>
      </w:r>
      <w:r w:rsidR="00E15947">
        <w:t xml:space="preserve"> The pre-PBAC response (p1) argued that the </w:t>
      </w:r>
      <w:r w:rsidR="00F37790">
        <w:t>requested price increase did</w:t>
      </w:r>
      <w:r w:rsidR="00E15947">
        <w:t xml:space="preserve"> not represent a price premium over other high potency DMTs. The pre-PBAC </w:t>
      </w:r>
      <w:r w:rsidR="00067438">
        <w:t>response</w:t>
      </w:r>
      <w:r w:rsidR="005D2F03">
        <w:t xml:space="preserve"> (p1)</w:t>
      </w:r>
      <w:r w:rsidR="00067438">
        <w:t xml:space="preserve"> </w:t>
      </w:r>
      <w:r w:rsidR="00E15947">
        <w:t>instead argued that the current price of the two courses of al</w:t>
      </w:r>
      <w:r w:rsidR="00E7446F">
        <w:t>e</w:t>
      </w:r>
      <w:r w:rsidR="00E15947">
        <w:t>mtuzumab was based on cost-minimisation to 2 years of ongoing treatment with fingolimod or natalizumab</w:t>
      </w:r>
      <w:r w:rsidR="00067438">
        <w:t>. Hence, the pre-PBAC response</w:t>
      </w:r>
      <w:r w:rsidR="005D2F03">
        <w:t xml:space="preserve"> (p1)</w:t>
      </w:r>
      <w:r w:rsidR="00067438">
        <w:t xml:space="preserve"> argued that the </w:t>
      </w:r>
      <w:r w:rsidR="00F37790">
        <w:t>price increase represented</w:t>
      </w:r>
      <w:r w:rsidR="00067438">
        <w:t xml:space="preserve"> a price consistent with ongoing treatment with these alternative DMTs over the period of clinical benefit achieved. The PBAC considered that an assessment of the claim of extended benefit put forward by the resubmission would require data against the comparison of interest outlined in </w:t>
      </w:r>
      <w:r w:rsidR="00F37790">
        <w:t xml:space="preserve">paragraph 5.4. </w:t>
      </w:r>
    </w:p>
    <w:p w:rsidR="004F53A6" w:rsidRPr="00763D8B" w:rsidRDefault="004F53A6" w:rsidP="00FD072C">
      <w:pPr>
        <w:pStyle w:val="ListParagraph"/>
        <w:widowControl/>
        <w:numPr>
          <w:ilvl w:val="1"/>
          <w:numId w:val="1"/>
        </w:numPr>
      </w:pPr>
      <w:r w:rsidRPr="00763D8B">
        <w:t>The resubmission assert</w:t>
      </w:r>
      <w:r w:rsidR="00A53344">
        <w:t>ed</w:t>
      </w:r>
      <w:r w:rsidRPr="00763D8B">
        <w:t xml:space="preserve"> that two courses of alemtuzumab are sufficient for six years of therapy in a majority of patients. In its cost analysis, the resubmission assumes that the cost of these two courses of alemtuzumab should be equivalent to six years of continuous use of fingolimod or natalizumab (</w:t>
      </w:r>
      <w:r w:rsidR="0090725E" w:rsidRPr="00763D8B">
        <w:t xml:space="preserve">ocrelizumab </w:t>
      </w:r>
      <w:r w:rsidR="002853A2" w:rsidRPr="00763D8B">
        <w:t xml:space="preserve">and cladribine </w:t>
      </w:r>
      <w:r w:rsidR="0090725E" w:rsidRPr="00763D8B">
        <w:t>ha</w:t>
      </w:r>
      <w:r w:rsidR="002853A2" w:rsidRPr="00763D8B">
        <w:t>ve</w:t>
      </w:r>
      <w:r w:rsidR="0090725E" w:rsidRPr="00763D8B">
        <w:t xml:space="preserve"> also become relevant comparator</w:t>
      </w:r>
      <w:r w:rsidR="002853A2" w:rsidRPr="00763D8B">
        <w:t>s</w:t>
      </w:r>
      <w:r w:rsidRPr="00763D8B">
        <w:t xml:space="preserve">). Thus, </w:t>
      </w:r>
      <w:r w:rsidR="0090725E" w:rsidRPr="00763D8B">
        <w:t xml:space="preserve">for patients not requiring further treatment following two courses of PBS-subsidised alemtuzumab, the relevant comparison to support the approach to the cost-minimisation analysis, predicated on the demonstration of non-inferior effectiveness and safety, </w:t>
      </w:r>
      <w:r w:rsidRPr="00763D8B">
        <w:t xml:space="preserve">would be that described in </w:t>
      </w:r>
      <w:r w:rsidR="00A94F25" w:rsidRPr="00A94F25">
        <w:t>Table 3</w:t>
      </w:r>
      <w:r w:rsidR="0090725E" w:rsidRPr="00763D8B">
        <w:t>.</w:t>
      </w:r>
      <w:r w:rsidRPr="00763D8B">
        <w:t xml:space="preserve"> </w:t>
      </w:r>
    </w:p>
    <w:p w:rsidR="004F53A6" w:rsidRPr="00763D8B" w:rsidRDefault="004F53A6" w:rsidP="004F53A6">
      <w:pPr>
        <w:widowControl/>
        <w:rPr>
          <w:rFonts w:ascii="Arial Narrow" w:hAnsi="Arial Narrow"/>
          <w:b/>
          <w:sz w:val="20"/>
        </w:rPr>
      </w:pPr>
      <w:bookmarkStart w:id="7" w:name="_Ref523870147"/>
      <w:r w:rsidRPr="00763D8B">
        <w:rPr>
          <w:rStyle w:val="CommentReference"/>
        </w:rPr>
        <w:t xml:space="preserve">Table </w:t>
      </w:r>
      <w:r w:rsidR="00A94F25">
        <w:rPr>
          <w:rFonts w:ascii="Arial Narrow" w:hAnsi="Arial Narrow"/>
          <w:b/>
          <w:noProof/>
          <w:sz w:val="20"/>
          <w:szCs w:val="16"/>
        </w:rPr>
        <w:t>3</w:t>
      </w:r>
      <w:bookmarkEnd w:id="7"/>
      <w:r w:rsidRPr="00763D8B">
        <w:rPr>
          <w:rFonts w:ascii="Arial Narrow" w:hAnsi="Arial Narrow"/>
          <w:b/>
          <w:sz w:val="20"/>
          <w:szCs w:val="16"/>
        </w:rPr>
        <w:t xml:space="preserve">: </w:t>
      </w:r>
      <w:r w:rsidRPr="00763D8B">
        <w:rPr>
          <w:rFonts w:ascii="Arial Narrow" w:hAnsi="Arial Narrow"/>
          <w:b/>
          <w:sz w:val="20"/>
        </w:rPr>
        <w:t>Comparison of interest for those who do not experience one or more relapses OR two or more new or enlarging brain or spinal cord lesions (with no continuing progression while on treatment) following two courses of PBS-subsidised alemtuzumab</w:t>
      </w:r>
    </w:p>
    <w:tbl>
      <w:tblPr>
        <w:tblStyle w:val="TableGrid"/>
        <w:tblW w:w="0" w:type="auto"/>
        <w:tblLayout w:type="fixed"/>
        <w:tblCellMar>
          <w:left w:w="28" w:type="dxa"/>
          <w:right w:w="28" w:type="dxa"/>
        </w:tblCellMar>
        <w:tblLook w:val="04A0" w:firstRow="1" w:lastRow="0" w:firstColumn="1" w:lastColumn="0" w:noHBand="0" w:noVBand="1"/>
        <w:tblCaption w:val="Comparison of interest for those who do not experience one or more relapses OR two or more new or enlarging brain or spinal cord lesions (with no continuing progression while on treatment) following two courses of PBS-subsidised alemtuzumab"/>
      </w:tblPr>
      <w:tblGrid>
        <w:gridCol w:w="4106"/>
        <w:gridCol w:w="850"/>
        <w:gridCol w:w="851"/>
        <w:gridCol w:w="802"/>
        <w:gridCol w:w="802"/>
        <w:gridCol w:w="802"/>
        <w:gridCol w:w="803"/>
      </w:tblGrid>
      <w:tr w:rsidR="002853A2" w:rsidRPr="00763D8B" w:rsidTr="00B6641A">
        <w:trPr>
          <w:cantSplit/>
          <w:tblHeader/>
        </w:trPr>
        <w:tc>
          <w:tcPr>
            <w:tcW w:w="4106" w:type="dxa"/>
          </w:tcPr>
          <w:p w:rsidR="002853A2" w:rsidRPr="00763D8B" w:rsidRDefault="002853A2" w:rsidP="00941A1B">
            <w:pPr>
              <w:spacing w:before="40" w:after="40"/>
              <w:rPr>
                <w:rFonts w:ascii="Arial Narrow" w:hAnsi="Arial Narrow"/>
                <w:sz w:val="20"/>
              </w:rPr>
            </w:pPr>
          </w:p>
        </w:tc>
        <w:tc>
          <w:tcPr>
            <w:tcW w:w="850" w:type="dxa"/>
            <w:vAlign w:val="center"/>
          </w:tcPr>
          <w:p w:rsidR="002853A2" w:rsidRPr="00763D8B" w:rsidRDefault="002853A2" w:rsidP="00941A1B">
            <w:pPr>
              <w:spacing w:before="40" w:after="40"/>
              <w:jc w:val="center"/>
              <w:rPr>
                <w:rFonts w:ascii="Arial Narrow" w:hAnsi="Arial Narrow"/>
                <w:sz w:val="20"/>
              </w:rPr>
            </w:pPr>
            <w:r w:rsidRPr="00763D8B">
              <w:rPr>
                <w:rFonts w:ascii="Arial Narrow" w:hAnsi="Arial Narrow"/>
                <w:b/>
                <w:sz w:val="20"/>
              </w:rPr>
              <w:t>Year 1</w:t>
            </w:r>
          </w:p>
        </w:tc>
        <w:tc>
          <w:tcPr>
            <w:tcW w:w="851" w:type="dxa"/>
            <w:vAlign w:val="center"/>
          </w:tcPr>
          <w:p w:rsidR="002853A2" w:rsidRPr="00763D8B" w:rsidRDefault="002853A2" w:rsidP="00941A1B">
            <w:pPr>
              <w:spacing w:before="40" w:after="40"/>
              <w:jc w:val="center"/>
              <w:rPr>
                <w:rFonts w:ascii="Arial Narrow" w:hAnsi="Arial Narrow"/>
                <w:sz w:val="20"/>
              </w:rPr>
            </w:pPr>
            <w:r w:rsidRPr="00763D8B">
              <w:rPr>
                <w:rFonts w:ascii="Arial Narrow" w:hAnsi="Arial Narrow"/>
                <w:b/>
                <w:sz w:val="20"/>
              </w:rPr>
              <w:t>Year 2</w:t>
            </w:r>
          </w:p>
        </w:tc>
        <w:tc>
          <w:tcPr>
            <w:tcW w:w="802" w:type="dxa"/>
            <w:vAlign w:val="center"/>
          </w:tcPr>
          <w:p w:rsidR="002853A2" w:rsidRPr="00763D8B" w:rsidRDefault="002853A2" w:rsidP="00941A1B">
            <w:pPr>
              <w:spacing w:before="40" w:after="40"/>
              <w:jc w:val="center"/>
              <w:rPr>
                <w:rFonts w:ascii="Arial Narrow" w:hAnsi="Arial Narrow"/>
                <w:sz w:val="20"/>
              </w:rPr>
            </w:pPr>
            <w:r w:rsidRPr="00763D8B">
              <w:rPr>
                <w:rFonts w:ascii="Arial Narrow" w:hAnsi="Arial Narrow"/>
                <w:b/>
                <w:sz w:val="20"/>
              </w:rPr>
              <w:t>Year 3</w:t>
            </w:r>
          </w:p>
        </w:tc>
        <w:tc>
          <w:tcPr>
            <w:tcW w:w="802" w:type="dxa"/>
            <w:vAlign w:val="center"/>
          </w:tcPr>
          <w:p w:rsidR="002853A2" w:rsidRPr="00763D8B" w:rsidRDefault="002853A2" w:rsidP="00941A1B">
            <w:pPr>
              <w:spacing w:before="40" w:after="40"/>
              <w:jc w:val="center"/>
              <w:rPr>
                <w:rFonts w:ascii="Arial Narrow" w:hAnsi="Arial Narrow"/>
                <w:sz w:val="20"/>
              </w:rPr>
            </w:pPr>
            <w:r w:rsidRPr="00763D8B">
              <w:rPr>
                <w:rFonts w:ascii="Arial Narrow" w:hAnsi="Arial Narrow"/>
                <w:b/>
                <w:sz w:val="20"/>
              </w:rPr>
              <w:t>Year 4</w:t>
            </w:r>
          </w:p>
        </w:tc>
        <w:tc>
          <w:tcPr>
            <w:tcW w:w="802" w:type="dxa"/>
            <w:vAlign w:val="center"/>
          </w:tcPr>
          <w:p w:rsidR="002853A2" w:rsidRPr="00763D8B" w:rsidRDefault="002853A2" w:rsidP="00941A1B">
            <w:pPr>
              <w:spacing w:before="40" w:after="40"/>
              <w:jc w:val="center"/>
              <w:rPr>
                <w:rFonts w:ascii="Arial Narrow" w:hAnsi="Arial Narrow"/>
                <w:sz w:val="20"/>
              </w:rPr>
            </w:pPr>
            <w:r w:rsidRPr="00763D8B">
              <w:rPr>
                <w:rFonts w:ascii="Arial Narrow" w:hAnsi="Arial Narrow"/>
                <w:b/>
                <w:sz w:val="20"/>
              </w:rPr>
              <w:t>Year 5</w:t>
            </w:r>
          </w:p>
        </w:tc>
        <w:tc>
          <w:tcPr>
            <w:tcW w:w="803" w:type="dxa"/>
            <w:vAlign w:val="center"/>
          </w:tcPr>
          <w:p w:rsidR="002853A2" w:rsidRPr="00763D8B" w:rsidRDefault="002853A2" w:rsidP="00941A1B">
            <w:pPr>
              <w:spacing w:before="40" w:after="40"/>
              <w:jc w:val="center"/>
              <w:rPr>
                <w:rFonts w:ascii="Arial Narrow" w:hAnsi="Arial Narrow"/>
                <w:sz w:val="20"/>
              </w:rPr>
            </w:pPr>
            <w:r w:rsidRPr="00763D8B">
              <w:rPr>
                <w:rFonts w:ascii="Arial Narrow" w:hAnsi="Arial Narrow"/>
                <w:b/>
                <w:sz w:val="20"/>
              </w:rPr>
              <w:t>Year 6</w:t>
            </w:r>
          </w:p>
        </w:tc>
      </w:tr>
      <w:tr w:rsidR="002853A2" w:rsidRPr="00763D8B" w:rsidTr="00941A1B">
        <w:tc>
          <w:tcPr>
            <w:tcW w:w="4106" w:type="dxa"/>
          </w:tcPr>
          <w:p w:rsidR="002853A2" w:rsidRPr="00763D8B" w:rsidRDefault="002853A2" w:rsidP="00941A1B">
            <w:pPr>
              <w:spacing w:before="40" w:after="40"/>
              <w:rPr>
                <w:rFonts w:ascii="Arial Narrow" w:hAnsi="Arial Narrow"/>
                <w:sz w:val="20"/>
              </w:rPr>
            </w:pPr>
            <w:r w:rsidRPr="00763D8B">
              <w:rPr>
                <w:rFonts w:ascii="Arial Narrow" w:hAnsi="Arial Narrow"/>
                <w:sz w:val="20"/>
              </w:rPr>
              <w:t xml:space="preserve">Alemtuzumab </w:t>
            </w:r>
          </w:p>
        </w:tc>
        <w:tc>
          <w:tcPr>
            <w:tcW w:w="850" w:type="dxa"/>
            <w:vAlign w:val="center"/>
          </w:tcPr>
          <w:p w:rsidR="002853A2" w:rsidRPr="00763D8B" w:rsidRDefault="002853A2" w:rsidP="00941A1B">
            <w:pPr>
              <w:spacing w:before="40" w:after="40"/>
              <w:jc w:val="center"/>
              <w:rPr>
                <w:rFonts w:ascii="Arial Narrow" w:hAnsi="Arial Narrow"/>
                <w:sz w:val="20"/>
              </w:rPr>
            </w:pPr>
            <w:r w:rsidRPr="00763D8B">
              <w:rPr>
                <w:rFonts w:ascii="Arial Narrow" w:hAnsi="Arial Narrow"/>
                <w:sz w:val="20"/>
              </w:rPr>
              <w:t>Course 1</w:t>
            </w:r>
          </w:p>
        </w:tc>
        <w:tc>
          <w:tcPr>
            <w:tcW w:w="851" w:type="dxa"/>
            <w:vAlign w:val="center"/>
          </w:tcPr>
          <w:p w:rsidR="002853A2" w:rsidRPr="00763D8B" w:rsidRDefault="002853A2" w:rsidP="00941A1B">
            <w:pPr>
              <w:spacing w:before="40" w:after="40"/>
              <w:jc w:val="center"/>
              <w:rPr>
                <w:rFonts w:ascii="Arial Narrow" w:hAnsi="Arial Narrow"/>
                <w:sz w:val="20"/>
              </w:rPr>
            </w:pPr>
            <w:r w:rsidRPr="00763D8B">
              <w:rPr>
                <w:rFonts w:ascii="Arial Narrow" w:hAnsi="Arial Narrow"/>
                <w:sz w:val="20"/>
              </w:rPr>
              <w:t>Course 2</w:t>
            </w:r>
          </w:p>
        </w:tc>
        <w:tc>
          <w:tcPr>
            <w:tcW w:w="3209" w:type="dxa"/>
            <w:gridSpan w:val="4"/>
            <w:vAlign w:val="center"/>
          </w:tcPr>
          <w:p w:rsidR="002853A2" w:rsidRPr="00763D8B" w:rsidRDefault="002853A2" w:rsidP="00941A1B">
            <w:pPr>
              <w:spacing w:before="40" w:after="40"/>
              <w:jc w:val="center"/>
              <w:rPr>
                <w:rFonts w:ascii="Arial Narrow" w:hAnsi="Arial Narrow"/>
                <w:sz w:val="20"/>
              </w:rPr>
            </w:pPr>
            <w:r w:rsidRPr="00763D8B">
              <w:rPr>
                <w:rFonts w:ascii="Arial Narrow" w:hAnsi="Arial Narrow"/>
                <w:sz w:val="20"/>
              </w:rPr>
              <w:t>No further treatment</w:t>
            </w:r>
          </w:p>
        </w:tc>
      </w:tr>
      <w:tr w:rsidR="002853A2" w:rsidRPr="00763D8B" w:rsidTr="00941A1B">
        <w:tc>
          <w:tcPr>
            <w:tcW w:w="9016" w:type="dxa"/>
            <w:gridSpan w:val="7"/>
          </w:tcPr>
          <w:p w:rsidR="002853A2" w:rsidRPr="00763D8B" w:rsidRDefault="002853A2" w:rsidP="00941A1B">
            <w:pPr>
              <w:spacing w:before="40" w:after="40"/>
              <w:jc w:val="center"/>
              <w:rPr>
                <w:rFonts w:ascii="Arial Narrow" w:hAnsi="Arial Narrow"/>
                <w:sz w:val="20"/>
              </w:rPr>
            </w:pPr>
            <w:r w:rsidRPr="00763D8B">
              <w:rPr>
                <w:rFonts w:ascii="Arial Narrow" w:hAnsi="Arial Narrow"/>
                <w:sz w:val="20"/>
              </w:rPr>
              <w:t>versus</w:t>
            </w:r>
          </w:p>
        </w:tc>
      </w:tr>
      <w:tr w:rsidR="002853A2" w:rsidRPr="00763D8B" w:rsidTr="00941A1B">
        <w:tc>
          <w:tcPr>
            <w:tcW w:w="4106" w:type="dxa"/>
          </w:tcPr>
          <w:p w:rsidR="002853A2" w:rsidRPr="00763D8B" w:rsidRDefault="002853A2" w:rsidP="00941A1B">
            <w:pPr>
              <w:spacing w:before="40" w:after="40"/>
              <w:jc w:val="left"/>
              <w:rPr>
                <w:rFonts w:ascii="Arial Narrow" w:hAnsi="Arial Narrow"/>
                <w:sz w:val="20"/>
              </w:rPr>
            </w:pPr>
            <w:r w:rsidRPr="00763D8B">
              <w:rPr>
                <w:rFonts w:ascii="Arial Narrow" w:hAnsi="Arial Narrow"/>
                <w:sz w:val="20"/>
              </w:rPr>
              <w:t>Fingolimod, natalizumab (and ocrelizumab, cladribine)</w:t>
            </w:r>
          </w:p>
        </w:tc>
        <w:tc>
          <w:tcPr>
            <w:tcW w:w="4910" w:type="dxa"/>
            <w:gridSpan w:val="6"/>
            <w:vAlign w:val="center"/>
          </w:tcPr>
          <w:p w:rsidR="002853A2" w:rsidRPr="00763D8B" w:rsidRDefault="002853A2" w:rsidP="00941A1B">
            <w:pPr>
              <w:spacing w:before="40" w:after="40"/>
              <w:jc w:val="center"/>
              <w:rPr>
                <w:rFonts w:ascii="Arial Narrow" w:hAnsi="Arial Narrow"/>
                <w:sz w:val="20"/>
              </w:rPr>
            </w:pPr>
            <w:r w:rsidRPr="00763D8B">
              <w:rPr>
                <w:rFonts w:ascii="Arial Narrow" w:hAnsi="Arial Narrow"/>
                <w:sz w:val="20"/>
              </w:rPr>
              <w:t>Continuous treatment</w:t>
            </w:r>
          </w:p>
        </w:tc>
      </w:tr>
    </w:tbl>
    <w:p w:rsidR="004F53A6" w:rsidRDefault="004F53A6" w:rsidP="004F53A6">
      <w:pPr>
        <w:widowControl/>
        <w:rPr>
          <w:rFonts w:cs="Calibri"/>
          <w:snapToGrid/>
          <w:color w:val="000000" w:themeColor="text1"/>
          <w:szCs w:val="24"/>
          <w:lang w:val="en-US" w:eastAsia="en-AU"/>
        </w:rPr>
      </w:pPr>
    </w:p>
    <w:p w:rsidR="004F53A6" w:rsidRPr="00763D8B" w:rsidRDefault="004F53A6" w:rsidP="00FD072C">
      <w:pPr>
        <w:pStyle w:val="ListParagraph"/>
        <w:widowControl/>
        <w:numPr>
          <w:ilvl w:val="1"/>
          <w:numId w:val="1"/>
        </w:numPr>
      </w:pPr>
      <w:r w:rsidRPr="00763D8B">
        <w:t xml:space="preserve">The requested restriction for the third and fourth courses of alemtuzumab is for those who “had one or more relapses OR two or more new or enlarging brain or spinal cord lesions (with no continuing progression while on treatment)”, with the third and fourth courses being administered </w:t>
      </w:r>
      <w:r w:rsidRPr="00763D8B">
        <w:rPr>
          <w:u w:val="single"/>
        </w:rPr>
        <w:t>at least</w:t>
      </w:r>
      <w:r w:rsidRPr="00763D8B">
        <w:t xml:space="preserve"> 12 months after the last (e.g. the third (and </w:t>
      </w:r>
      <w:r w:rsidRPr="00763D8B">
        <w:lastRenderedPageBreak/>
        <w:t xml:space="preserve">subsequently fourth) course could be administered in Year 3 or </w:t>
      </w:r>
      <w:r w:rsidR="001A1113">
        <w:rPr>
          <w:rFonts w:cs="Calibri"/>
        </w:rPr>
        <w:t>later</w:t>
      </w:r>
      <w:r w:rsidRPr="00763D8B">
        <w:t xml:space="preserve">). Patients experiencing relapses and the accumulation of new lesions may generally signal that patients should be switching therapy. There are no preclusions or special requirements for treatment switching with RRMS medicines, however there are preclusions to concomitant use of some therapies on the PBS (the dimethyl fumarate, teriflunomide, natalizumab, fingolimod, alemtuzumab and ocrelizumab PBS listings each specify that the therapy is the “sole PBS-subsidised disease modifying therapy for this condition”). Thus, for patients experiencing relapses or accumulation of new lesions, the relevant comparison to determine the comparative effectiveness and safety and cost-effectiveness would be that described in </w:t>
      </w:r>
      <w:r w:rsidR="00A94F25" w:rsidRPr="00A94F25">
        <w:t>Table 4</w:t>
      </w:r>
      <w:r w:rsidR="00F373AC" w:rsidRPr="00763D8B">
        <w:t>.</w:t>
      </w:r>
      <w:r w:rsidRPr="00763D8B">
        <w:t xml:space="preserve"> </w:t>
      </w:r>
    </w:p>
    <w:p w:rsidR="004F53A6" w:rsidRPr="00763D8B" w:rsidRDefault="004F53A6" w:rsidP="002C5D11">
      <w:pPr>
        <w:keepNext/>
        <w:keepLines/>
        <w:widowControl/>
        <w:rPr>
          <w:rFonts w:ascii="Arial Narrow" w:hAnsi="Arial Narrow"/>
          <w:b/>
          <w:sz w:val="20"/>
        </w:rPr>
      </w:pPr>
      <w:bookmarkStart w:id="8" w:name="_Ref523870283"/>
      <w:r w:rsidRPr="00763D8B">
        <w:rPr>
          <w:rStyle w:val="CommentReference"/>
        </w:rPr>
        <w:t xml:space="preserve">Table </w:t>
      </w:r>
      <w:r w:rsidR="00A94F25">
        <w:rPr>
          <w:rFonts w:ascii="Arial Narrow" w:hAnsi="Arial Narrow"/>
          <w:b/>
          <w:noProof/>
          <w:sz w:val="20"/>
          <w:szCs w:val="16"/>
        </w:rPr>
        <w:t>4</w:t>
      </w:r>
      <w:bookmarkEnd w:id="8"/>
      <w:r w:rsidRPr="00763D8B">
        <w:rPr>
          <w:rFonts w:ascii="Arial Narrow" w:hAnsi="Arial Narrow"/>
          <w:b/>
          <w:sz w:val="20"/>
        </w:rPr>
        <w:t>: Comparison of interest for those who experience one or more relapses OR two or more new or enlarging brain or spinal cord lesions (with no continuing progression while on treatment) following two courses of PBS-subsidised alemtuzumab</w:t>
      </w:r>
    </w:p>
    <w:tbl>
      <w:tblPr>
        <w:tblStyle w:val="TableGrid"/>
        <w:tblW w:w="0" w:type="auto"/>
        <w:tblCellMar>
          <w:left w:w="28" w:type="dxa"/>
          <w:right w:w="28" w:type="dxa"/>
        </w:tblCellMar>
        <w:tblLook w:val="04A0" w:firstRow="1" w:lastRow="0" w:firstColumn="1" w:lastColumn="0" w:noHBand="0" w:noVBand="1"/>
        <w:tblCaption w:val="Comparison of interest for those who experience one or more relapses OR two or more new or enlarging brain or spinal cord lesions (with no continuing progression while on treatment) following two courses of PBS-subsidised alemtuzumab"/>
      </w:tblPr>
      <w:tblGrid>
        <w:gridCol w:w="1918"/>
        <w:gridCol w:w="1013"/>
        <w:gridCol w:w="1013"/>
        <w:gridCol w:w="1013"/>
        <w:gridCol w:w="1028"/>
        <w:gridCol w:w="1084"/>
        <w:gridCol w:w="1007"/>
        <w:gridCol w:w="940"/>
      </w:tblGrid>
      <w:tr w:rsidR="004F53A6" w:rsidRPr="00763D8B" w:rsidTr="00B6641A">
        <w:trPr>
          <w:cantSplit/>
          <w:tblHeader/>
        </w:trPr>
        <w:tc>
          <w:tcPr>
            <w:tcW w:w="1918" w:type="dxa"/>
          </w:tcPr>
          <w:p w:rsidR="004F53A6" w:rsidRPr="00763D8B" w:rsidRDefault="004F53A6" w:rsidP="002C5D11">
            <w:pPr>
              <w:keepNext/>
              <w:keepLines/>
              <w:spacing w:before="40" w:after="40"/>
              <w:rPr>
                <w:rFonts w:ascii="Arial Narrow" w:hAnsi="Arial Narrow"/>
                <w:sz w:val="20"/>
              </w:rPr>
            </w:pPr>
          </w:p>
        </w:tc>
        <w:tc>
          <w:tcPr>
            <w:tcW w:w="1013" w:type="dxa"/>
            <w:vAlign w:val="center"/>
          </w:tcPr>
          <w:p w:rsidR="004F53A6" w:rsidRPr="00763D8B" w:rsidRDefault="004F53A6" w:rsidP="002C5D11">
            <w:pPr>
              <w:keepNext/>
              <w:keepLines/>
              <w:spacing w:before="40" w:after="40"/>
              <w:jc w:val="center"/>
              <w:rPr>
                <w:rFonts w:ascii="Arial Narrow" w:hAnsi="Arial Narrow"/>
                <w:sz w:val="20"/>
              </w:rPr>
            </w:pPr>
            <w:r w:rsidRPr="00763D8B">
              <w:rPr>
                <w:rFonts w:ascii="Arial Narrow" w:hAnsi="Arial Narrow"/>
                <w:b/>
                <w:sz w:val="20"/>
              </w:rPr>
              <w:t>Year 1</w:t>
            </w:r>
          </w:p>
        </w:tc>
        <w:tc>
          <w:tcPr>
            <w:tcW w:w="1013" w:type="dxa"/>
            <w:vAlign w:val="center"/>
          </w:tcPr>
          <w:p w:rsidR="004F53A6" w:rsidRPr="00763D8B" w:rsidRDefault="004F53A6" w:rsidP="002C5D11">
            <w:pPr>
              <w:keepNext/>
              <w:keepLines/>
              <w:spacing w:before="40" w:after="40"/>
              <w:jc w:val="center"/>
              <w:rPr>
                <w:rFonts w:ascii="Arial Narrow" w:hAnsi="Arial Narrow"/>
                <w:sz w:val="20"/>
              </w:rPr>
            </w:pPr>
            <w:r w:rsidRPr="00763D8B">
              <w:rPr>
                <w:rFonts w:ascii="Arial Narrow" w:hAnsi="Arial Narrow"/>
                <w:b/>
                <w:sz w:val="20"/>
              </w:rPr>
              <w:t>Year 2</w:t>
            </w:r>
          </w:p>
        </w:tc>
        <w:tc>
          <w:tcPr>
            <w:tcW w:w="1013" w:type="dxa"/>
            <w:vAlign w:val="center"/>
          </w:tcPr>
          <w:p w:rsidR="004F53A6" w:rsidRPr="00763D8B" w:rsidRDefault="004F53A6" w:rsidP="002C5D11">
            <w:pPr>
              <w:keepNext/>
              <w:keepLines/>
              <w:spacing w:before="40" w:after="40"/>
              <w:jc w:val="center"/>
              <w:rPr>
                <w:rFonts w:ascii="Arial Narrow" w:hAnsi="Arial Narrow"/>
                <w:sz w:val="20"/>
              </w:rPr>
            </w:pPr>
            <w:r w:rsidRPr="00763D8B">
              <w:rPr>
                <w:rFonts w:ascii="Arial Narrow" w:hAnsi="Arial Narrow"/>
                <w:b/>
                <w:sz w:val="20"/>
              </w:rPr>
              <w:t>Year 3</w:t>
            </w:r>
          </w:p>
        </w:tc>
        <w:tc>
          <w:tcPr>
            <w:tcW w:w="1028" w:type="dxa"/>
            <w:vAlign w:val="center"/>
          </w:tcPr>
          <w:p w:rsidR="004F53A6" w:rsidRPr="00763D8B" w:rsidRDefault="004F53A6" w:rsidP="002C5D11">
            <w:pPr>
              <w:keepNext/>
              <w:keepLines/>
              <w:spacing w:before="40" w:after="40"/>
              <w:jc w:val="center"/>
              <w:rPr>
                <w:rFonts w:ascii="Arial Narrow" w:hAnsi="Arial Narrow"/>
                <w:sz w:val="20"/>
              </w:rPr>
            </w:pPr>
            <w:r w:rsidRPr="00763D8B">
              <w:rPr>
                <w:rFonts w:ascii="Arial Narrow" w:hAnsi="Arial Narrow"/>
                <w:b/>
                <w:sz w:val="20"/>
              </w:rPr>
              <w:t>Year 4</w:t>
            </w:r>
          </w:p>
        </w:tc>
        <w:tc>
          <w:tcPr>
            <w:tcW w:w="1084" w:type="dxa"/>
            <w:vAlign w:val="center"/>
          </w:tcPr>
          <w:p w:rsidR="004F53A6" w:rsidRPr="00763D8B" w:rsidRDefault="004F53A6" w:rsidP="002C5D11">
            <w:pPr>
              <w:keepNext/>
              <w:keepLines/>
              <w:spacing w:before="40" w:after="40"/>
              <w:jc w:val="center"/>
              <w:rPr>
                <w:rFonts w:ascii="Arial Narrow" w:hAnsi="Arial Narrow"/>
                <w:sz w:val="20"/>
              </w:rPr>
            </w:pPr>
            <w:r w:rsidRPr="00763D8B">
              <w:rPr>
                <w:rFonts w:ascii="Arial Narrow" w:hAnsi="Arial Narrow"/>
                <w:b/>
                <w:sz w:val="20"/>
              </w:rPr>
              <w:t>Year 5</w:t>
            </w:r>
          </w:p>
        </w:tc>
        <w:tc>
          <w:tcPr>
            <w:tcW w:w="1007" w:type="dxa"/>
            <w:vAlign w:val="center"/>
          </w:tcPr>
          <w:p w:rsidR="004F53A6" w:rsidRPr="00763D8B" w:rsidRDefault="004F53A6" w:rsidP="002C5D11">
            <w:pPr>
              <w:keepNext/>
              <w:keepLines/>
              <w:spacing w:before="40" w:after="40"/>
              <w:jc w:val="center"/>
              <w:rPr>
                <w:rFonts w:ascii="Arial Narrow" w:hAnsi="Arial Narrow"/>
                <w:sz w:val="20"/>
              </w:rPr>
            </w:pPr>
            <w:r w:rsidRPr="00763D8B">
              <w:rPr>
                <w:rFonts w:ascii="Arial Narrow" w:hAnsi="Arial Narrow"/>
                <w:b/>
                <w:sz w:val="20"/>
              </w:rPr>
              <w:t>Year 6</w:t>
            </w:r>
          </w:p>
        </w:tc>
        <w:tc>
          <w:tcPr>
            <w:tcW w:w="940" w:type="dxa"/>
          </w:tcPr>
          <w:p w:rsidR="004F53A6" w:rsidRPr="00763D8B" w:rsidRDefault="004F53A6" w:rsidP="002C5D11">
            <w:pPr>
              <w:keepNext/>
              <w:keepLines/>
              <w:spacing w:before="40" w:after="40"/>
              <w:jc w:val="center"/>
              <w:rPr>
                <w:rFonts w:ascii="Arial Narrow" w:hAnsi="Arial Narrow"/>
                <w:b/>
                <w:sz w:val="20"/>
              </w:rPr>
            </w:pPr>
            <w:r w:rsidRPr="00763D8B">
              <w:rPr>
                <w:rFonts w:ascii="Arial Narrow" w:hAnsi="Arial Narrow"/>
                <w:b/>
                <w:sz w:val="20"/>
              </w:rPr>
              <w:t>Year ∞</w:t>
            </w:r>
          </w:p>
        </w:tc>
      </w:tr>
      <w:tr w:rsidR="004F53A6" w:rsidRPr="00763D8B" w:rsidTr="005549E8">
        <w:tc>
          <w:tcPr>
            <w:tcW w:w="1918" w:type="dxa"/>
          </w:tcPr>
          <w:p w:rsidR="004F53A6" w:rsidRPr="00763D8B" w:rsidRDefault="004F53A6" w:rsidP="002C5D11">
            <w:pPr>
              <w:keepNext/>
              <w:keepLines/>
              <w:spacing w:before="40" w:after="40"/>
              <w:rPr>
                <w:rFonts w:ascii="Arial Narrow" w:hAnsi="Arial Narrow"/>
                <w:sz w:val="20"/>
              </w:rPr>
            </w:pPr>
            <w:r w:rsidRPr="00763D8B">
              <w:rPr>
                <w:rFonts w:ascii="Arial Narrow" w:hAnsi="Arial Narrow"/>
                <w:sz w:val="20"/>
              </w:rPr>
              <w:t xml:space="preserve">Alemtuzumab </w:t>
            </w:r>
          </w:p>
        </w:tc>
        <w:tc>
          <w:tcPr>
            <w:tcW w:w="1013" w:type="dxa"/>
            <w:vAlign w:val="center"/>
          </w:tcPr>
          <w:p w:rsidR="004F53A6" w:rsidRPr="00763D8B" w:rsidRDefault="004F53A6" w:rsidP="002C5D11">
            <w:pPr>
              <w:keepNext/>
              <w:keepLines/>
              <w:spacing w:before="40" w:after="40"/>
              <w:jc w:val="center"/>
              <w:rPr>
                <w:rFonts w:ascii="Arial Narrow" w:hAnsi="Arial Narrow"/>
                <w:sz w:val="20"/>
              </w:rPr>
            </w:pPr>
            <w:r w:rsidRPr="00763D8B">
              <w:rPr>
                <w:rFonts w:ascii="Arial Narrow" w:hAnsi="Arial Narrow"/>
                <w:sz w:val="20"/>
              </w:rPr>
              <w:t>Course 1</w:t>
            </w:r>
          </w:p>
        </w:tc>
        <w:tc>
          <w:tcPr>
            <w:tcW w:w="1013" w:type="dxa"/>
            <w:vAlign w:val="center"/>
          </w:tcPr>
          <w:p w:rsidR="004F53A6" w:rsidRPr="00763D8B" w:rsidRDefault="004F53A6" w:rsidP="002C5D11">
            <w:pPr>
              <w:keepNext/>
              <w:keepLines/>
              <w:spacing w:before="40" w:after="40"/>
              <w:jc w:val="center"/>
              <w:rPr>
                <w:rFonts w:ascii="Arial Narrow" w:hAnsi="Arial Narrow"/>
                <w:sz w:val="20"/>
              </w:rPr>
            </w:pPr>
            <w:r w:rsidRPr="00763D8B">
              <w:rPr>
                <w:rFonts w:ascii="Arial Narrow" w:hAnsi="Arial Narrow"/>
                <w:sz w:val="20"/>
              </w:rPr>
              <w:t>Course 2</w:t>
            </w:r>
          </w:p>
        </w:tc>
        <w:tc>
          <w:tcPr>
            <w:tcW w:w="5072" w:type="dxa"/>
            <w:gridSpan w:val="5"/>
            <w:vAlign w:val="center"/>
          </w:tcPr>
          <w:p w:rsidR="004F53A6" w:rsidRPr="00763D8B" w:rsidRDefault="004F53A6" w:rsidP="002C5D11">
            <w:pPr>
              <w:keepNext/>
              <w:keepLines/>
              <w:spacing w:before="40" w:after="40"/>
              <w:jc w:val="center"/>
              <w:rPr>
                <w:rFonts w:ascii="Arial Narrow" w:hAnsi="Arial Narrow"/>
                <w:sz w:val="20"/>
              </w:rPr>
            </w:pPr>
            <w:r w:rsidRPr="00763D8B">
              <w:rPr>
                <w:rFonts w:ascii="Arial Narrow" w:hAnsi="Arial Narrow"/>
                <w:sz w:val="20"/>
              </w:rPr>
              <w:t>Course 3</w:t>
            </w:r>
          </w:p>
        </w:tc>
      </w:tr>
      <w:tr w:rsidR="004F53A6" w:rsidRPr="00763D8B" w:rsidTr="005549E8">
        <w:tc>
          <w:tcPr>
            <w:tcW w:w="9016" w:type="dxa"/>
            <w:gridSpan w:val="8"/>
          </w:tcPr>
          <w:p w:rsidR="004F53A6" w:rsidRPr="00763D8B" w:rsidRDefault="004F53A6" w:rsidP="002C5D11">
            <w:pPr>
              <w:keepNext/>
              <w:keepLines/>
              <w:spacing w:before="40" w:after="40"/>
              <w:jc w:val="center"/>
              <w:rPr>
                <w:rFonts w:ascii="Arial Narrow" w:hAnsi="Arial Narrow"/>
                <w:sz w:val="20"/>
              </w:rPr>
            </w:pPr>
            <w:r w:rsidRPr="00763D8B">
              <w:rPr>
                <w:rFonts w:ascii="Arial Narrow" w:hAnsi="Arial Narrow"/>
                <w:sz w:val="20"/>
              </w:rPr>
              <w:t>and</w:t>
            </w:r>
          </w:p>
        </w:tc>
      </w:tr>
      <w:tr w:rsidR="004F53A6" w:rsidRPr="00763D8B" w:rsidTr="005549E8">
        <w:tc>
          <w:tcPr>
            <w:tcW w:w="1918" w:type="dxa"/>
          </w:tcPr>
          <w:p w:rsidR="004F53A6" w:rsidRPr="00763D8B" w:rsidRDefault="004F53A6" w:rsidP="002C5D11">
            <w:pPr>
              <w:keepNext/>
              <w:keepLines/>
              <w:spacing w:before="40" w:after="40"/>
              <w:rPr>
                <w:rFonts w:ascii="Arial Narrow" w:hAnsi="Arial Narrow"/>
                <w:sz w:val="20"/>
              </w:rPr>
            </w:pPr>
            <w:r w:rsidRPr="00763D8B">
              <w:rPr>
                <w:rFonts w:ascii="Arial Narrow" w:hAnsi="Arial Narrow"/>
                <w:sz w:val="20"/>
              </w:rPr>
              <w:t xml:space="preserve">Alemtuzumab </w:t>
            </w:r>
          </w:p>
        </w:tc>
        <w:tc>
          <w:tcPr>
            <w:tcW w:w="1013" w:type="dxa"/>
            <w:vAlign w:val="center"/>
          </w:tcPr>
          <w:p w:rsidR="004F53A6" w:rsidRPr="00763D8B" w:rsidRDefault="004F53A6" w:rsidP="002C5D11">
            <w:pPr>
              <w:keepNext/>
              <w:keepLines/>
              <w:spacing w:before="40" w:after="40"/>
              <w:jc w:val="center"/>
              <w:rPr>
                <w:rFonts w:ascii="Arial Narrow" w:hAnsi="Arial Narrow"/>
                <w:sz w:val="20"/>
              </w:rPr>
            </w:pPr>
            <w:r w:rsidRPr="00763D8B">
              <w:rPr>
                <w:rFonts w:ascii="Arial Narrow" w:hAnsi="Arial Narrow"/>
                <w:sz w:val="20"/>
              </w:rPr>
              <w:t>Course 1</w:t>
            </w:r>
          </w:p>
        </w:tc>
        <w:tc>
          <w:tcPr>
            <w:tcW w:w="1013" w:type="dxa"/>
            <w:vAlign w:val="center"/>
          </w:tcPr>
          <w:p w:rsidR="004F53A6" w:rsidRPr="00763D8B" w:rsidRDefault="004F53A6" w:rsidP="002C5D11">
            <w:pPr>
              <w:keepNext/>
              <w:keepLines/>
              <w:spacing w:before="40" w:after="40"/>
              <w:jc w:val="center"/>
              <w:rPr>
                <w:rFonts w:ascii="Arial Narrow" w:hAnsi="Arial Narrow"/>
                <w:sz w:val="20"/>
              </w:rPr>
            </w:pPr>
            <w:r w:rsidRPr="00763D8B">
              <w:rPr>
                <w:rFonts w:ascii="Arial Narrow" w:hAnsi="Arial Narrow"/>
                <w:sz w:val="20"/>
              </w:rPr>
              <w:t>Course 2</w:t>
            </w:r>
          </w:p>
        </w:tc>
        <w:tc>
          <w:tcPr>
            <w:tcW w:w="5072" w:type="dxa"/>
            <w:gridSpan w:val="5"/>
            <w:vAlign w:val="center"/>
          </w:tcPr>
          <w:p w:rsidR="004F53A6" w:rsidRPr="00763D8B" w:rsidRDefault="004F53A6" w:rsidP="002C5D11">
            <w:pPr>
              <w:keepNext/>
              <w:keepLines/>
              <w:spacing w:before="40" w:after="40"/>
              <w:jc w:val="center"/>
              <w:rPr>
                <w:rFonts w:ascii="Arial Narrow" w:hAnsi="Arial Narrow"/>
                <w:sz w:val="20"/>
              </w:rPr>
            </w:pPr>
            <w:r w:rsidRPr="00763D8B">
              <w:rPr>
                <w:rFonts w:ascii="Arial Narrow" w:hAnsi="Arial Narrow"/>
                <w:sz w:val="20"/>
              </w:rPr>
              <w:t>Courses 3 and 4</w:t>
            </w:r>
          </w:p>
        </w:tc>
      </w:tr>
      <w:tr w:rsidR="004F53A6" w:rsidRPr="00763D8B" w:rsidTr="005549E8">
        <w:tc>
          <w:tcPr>
            <w:tcW w:w="9016" w:type="dxa"/>
            <w:gridSpan w:val="8"/>
          </w:tcPr>
          <w:p w:rsidR="004F53A6" w:rsidRPr="00763D8B" w:rsidRDefault="004F53A6" w:rsidP="002C5D11">
            <w:pPr>
              <w:keepNext/>
              <w:keepLines/>
              <w:spacing w:before="40" w:after="40"/>
              <w:jc w:val="center"/>
              <w:rPr>
                <w:rFonts w:ascii="Arial Narrow" w:hAnsi="Arial Narrow"/>
                <w:sz w:val="20"/>
              </w:rPr>
            </w:pPr>
            <w:r w:rsidRPr="00763D8B">
              <w:rPr>
                <w:rFonts w:ascii="Arial Narrow" w:hAnsi="Arial Narrow"/>
                <w:sz w:val="20"/>
              </w:rPr>
              <w:t>versus</w:t>
            </w:r>
          </w:p>
        </w:tc>
      </w:tr>
      <w:tr w:rsidR="004F53A6" w:rsidRPr="00763D8B" w:rsidTr="005549E8">
        <w:tc>
          <w:tcPr>
            <w:tcW w:w="1918" w:type="dxa"/>
          </w:tcPr>
          <w:p w:rsidR="004F53A6" w:rsidRPr="00763D8B" w:rsidRDefault="004F53A6" w:rsidP="002C5D11">
            <w:pPr>
              <w:keepNext/>
              <w:keepLines/>
              <w:spacing w:before="40" w:after="40"/>
              <w:rPr>
                <w:rFonts w:ascii="Arial Narrow" w:hAnsi="Arial Narrow"/>
                <w:sz w:val="20"/>
              </w:rPr>
            </w:pPr>
            <w:r w:rsidRPr="00763D8B">
              <w:rPr>
                <w:rFonts w:ascii="Arial Narrow" w:hAnsi="Arial Narrow"/>
                <w:sz w:val="20"/>
              </w:rPr>
              <w:t xml:space="preserve">Alemtuzumab </w:t>
            </w:r>
          </w:p>
        </w:tc>
        <w:tc>
          <w:tcPr>
            <w:tcW w:w="1013" w:type="dxa"/>
            <w:vAlign w:val="center"/>
          </w:tcPr>
          <w:p w:rsidR="004F53A6" w:rsidRPr="00763D8B" w:rsidRDefault="004F53A6" w:rsidP="002C5D11">
            <w:pPr>
              <w:keepNext/>
              <w:keepLines/>
              <w:spacing w:before="40" w:after="40"/>
              <w:jc w:val="center"/>
              <w:rPr>
                <w:rFonts w:ascii="Arial Narrow" w:hAnsi="Arial Narrow"/>
                <w:sz w:val="20"/>
              </w:rPr>
            </w:pPr>
            <w:r w:rsidRPr="00763D8B">
              <w:rPr>
                <w:rFonts w:ascii="Arial Narrow" w:hAnsi="Arial Narrow"/>
                <w:sz w:val="20"/>
              </w:rPr>
              <w:t>Course 1</w:t>
            </w:r>
          </w:p>
        </w:tc>
        <w:tc>
          <w:tcPr>
            <w:tcW w:w="1013" w:type="dxa"/>
            <w:vAlign w:val="center"/>
          </w:tcPr>
          <w:p w:rsidR="004F53A6" w:rsidRPr="00763D8B" w:rsidRDefault="004F53A6" w:rsidP="002C5D11">
            <w:pPr>
              <w:keepNext/>
              <w:keepLines/>
              <w:spacing w:before="40" w:after="40"/>
              <w:jc w:val="center"/>
              <w:rPr>
                <w:rFonts w:ascii="Arial Narrow" w:hAnsi="Arial Narrow"/>
                <w:sz w:val="20"/>
              </w:rPr>
            </w:pPr>
            <w:r w:rsidRPr="00763D8B">
              <w:rPr>
                <w:rFonts w:ascii="Arial Narrow" w:hAnsi="Arial Narrow"/>
                <w:sz w:val="20"/>
              </w:rPr>
              <w:t>Course 2</w:t>
            </w:r>
          </w:p>
        </w:tc>
        <w:tc>
          <w:tcPr>
            <w:tcW w:w="5072" w:type="dxa"/>
            <w:gridSpan w:val="5"/>
            <w:vAlign w:val="center"/>
          </w:tcPr>
          <w:p w:rsidR="004F53A6" w:rsidRPr="00763D8B" w:rsidRDefault="004F53A6" w:rsidP="002C5D11">
            <w:pPr>
              <w:keepNext/>
              <w:keepLines/>
              <w:spacing w:before="40" w:after="40"/>
              <w:jc w:val="center"/>
              <w:rPr>
                <w:rFonts w:ascii="Arial Narrow" w:hAnsi="Arial Narrow"/>
                <w:sz w:val="20"/>
              </w:rPr>
            </w:pPr>
            <w:r w:rsidRPr="00763D8B">
              <w:rPr>
                <w:rFonts w:ascii="Arial Narrow" w:hAnsi="Arial Narrow"/>
                <w:sz w:val="20"/>
              </w:rPr>
              <w:t>Switch to alternative RRMS medicine</w:t>
            </w:r>
            <w:r w:rsidRPr="00763D8B">
              <w:rPr>
                <w:rFonts w:ascii="Arial Narrow" w:hAnsi="Arial Narrow"/>
                <w:sz w:val="20"/>
                <w:vertAlign w:val="superscript"/>
              </w:rPr>
              <w:t xml:space="preserve">a </w:t>
            </w:r>
            <w:r w:rsidRPr="00763D8B">
              <w:rPr>
                <w:rFonts w:ascii="Arial Narrow" w:hAnsi="Arial Narrow"/>
                <w:sz w:val="20"/>
              </w:rPr>
              <w:t>or no further treatment</w:t>
            </w:r>
          </w:p>
        </w:tc>
      </w:tr>
    </w:tbl>
    <w:p w:rsidR="004F53A6" w:rsidRPr="00763D8B" w:rsidRDefault="004F53A6" w:rsidP="002C5D11">
      <w:pPr>
        <w:keepNext/>
        <w:keepLines/>
        <w:tabs>
          <w:tab w:val="left" w:pos="284"/>
        </w:tabs>
        <w:ind w:left="284" w:hanging="284"/>
      </w:pPr>
      <w:r w:rsidRPr="00763D8B">
        <w:rPr>
          <w:rFonts w:ascii="Arial Narrow" w:hAnsi="Arial Narrow"/>
          <w:sz w:val="18"/>
          <w:vertAlign w:val="superscript"/>
        </w:rPr>
        <w:t>a</w:t>
      </w:r>
      <w:r w:rsidRPr="00763D8B">
        <w:rPr>
          <w:rFonts w:ascii="Arial Narrow" w:hAnsi="Arial Narrow"/>
          <w:sz w:val="18"/>
          <w:vertAlign w:val="superscript"/>
        </w:rPr>
        <w:tab/>
      </w:r>
      <w:r w:rsidRPr="00763D8B">
        <w:rPr>
          <w:rFonts w:ascii="Arial Narrow" w:hAnsi="Arial Narrow"/>
          <w:sz w:val="18"/>
        </w:rPr>
        <w:t>may be a preference for other ‘high potency’ treatments (fingolimod, natalizumab, ocrelizumab</w:t>
      </w:r>
      <w:r w:rsidR="002853A2" w:rsidRPr="00763D8B">
        <w:rPr>
          <w:rFonts w:ascii="Arial Narrow" w:hAnsi="Arial Narrow"/>
          <w:sz w:val="18"/>
        </w:rPr>
        <w:t>, cladribine</w:t>
      </w:r>
      <w:r w:rsidRPr="00763D8B">
        <w:rPr>
          <w:rFonts w:ascii="Arial Narrow" w:hAnsi="Arial Narrow"/>
          <w:sz w:val="18"/>
        </w:rPr>
        <w:t>) but all PBS-listed therapies for RRMS are relevant, or possibly other ‘third line’ agents such as mitoxantrone or cyclophosphamide</w:t>
      </w:r>
      <w:r w:rsidR="002853A2" w:rsidRPr="00763D8B">
        <w:rPr>
          <w:rFonts w:ascii="Arial Narrow" w:hAnsi="Arial Narrow"/>
          <w:sz w:val="18"/>
        </w:rPr>
        <w:t xml:space="preserve">. This should include those who switch to an alternative therapy within 12 months of the second course of alemtuzumab. </w:t>
      </w:r>
    </w:p>
    <w:p w:rsidR="00BD1912" w:rsidRDefault="00BD1912" w:rsidP="00BD1912"/>
    <w:p w:rsidR="00CD10FC" w:rsidRPr="00057575" w:rsidRDefault="00AA1525" w:rsidP="00E15947">
      <w:pPr>
        <w:pStyle w:val="ListParagraph"/>
        <w:widowControl/>
        <w:numPr>
          <w:ilvl w:val="1"/>
          <w:numId w:val="1"/>
        </w:numPr>
      </w:pPr>
      <w:r w:rsidRPr="00057575">
        <w:t xml:space="preserve">The PSCR </w:t>
      </w:r>
      <w:r w:rsidR="00E15947">
        <w:t>(p1)</w:t>
      </w:r>
      <w:r w:rsidRPr="00057575">
        <w:t xml:space="preserve"> argued that for the proportion of patients who do relapse following two courses of alemtuzumab, an alternative DMT would be an unlikely treatment option noting that in the extension study only </w:t>
      </w:r>
      <w:r w:rsidR="009D295A">
        <w:rPr>
          <w:noProof/>
          <w:color w:val="000000"/>
          <w:highlight w:val="black"/>
        </w:rPr>
        <w:t>'''''</w:t>
      </w:r>
      <w:r w:rsidRPr="00057575">
        <w:t>% of patients were treated with other DMTs and that investigators in the study made this decision independently.</w:t>
      </w:r>
      <w:r w:rsidR="00E15947">
        <w:t xml:space="preserve"> </w:t>
      </w:r>
      <w:r w:rsidR="00E15947">
        <w:rPr>
          <w:rFonts w:asciiTheme="minorHAnsi" w:hAnsiTheme="minorHAnsi"/>
          <w:bCs/>
        </w:rPr>
        <w:t>The PBAC disagreed with the sponsor and advised that</w:t>
      </w:r>
      <w:r w:rsidR="00E15947" w:rsidRPr="00217CEF">
        <w:rPr>
          <w:rFonts w:asciiTheme="minorHAnsi" w:hAnsiTheme="minorHAnsi"/>
          <w:bCs/>
        </w:rPr>
        <w:t xml:space="preserve"> an assessment of any incremental benefit provided by the administration of up to two additional courses of alemt</w:t>
      </w:r>
      <w:r w:rsidR="00E15947">
        <w:rPr>
          <w:rFonts w:asciiTheme="minorHAnsi" w:hAnsiTheme="minorHAnsi"/>
          <w:bCs/>
        </w:rPr>
        <w:t xml:space="preserve">uzumab would require </w:t>
      </w:r>
      <w:r w:rsidR="00E15947" w:rsidRPr="00217CEF">
        <w:rPr>
          <w:rFonts w:asciiTheme="minorHAnsi" w:hAnsiTheme="minorHAnsi"/>
          <w:bCs/>
        </w:rPr>
        <w:t>comparison with an alternative RMMS medicine or no further treatment after the initial two courses of alemtuzumab.</w:t>
      </w:r>
    </w:p>
    <w:p w:rsidR="00FA3FFA" w:rsidRDefault="00CD10FC" w:rsidP="00E15947">
      <w:pPr>
        <w:pStyle w:val="ListParagraph"/>
        <w:widowControl/>
        <w:numPr>
          <w:ilvl w:val="1"/>
          <w:numId w:val="1"/>
        </w:numPr>
      </w:pPr>
      <w:r w:rsidRPr="00E15947">
        <w:t>The ESC considered that the comparison of</w:t>
      </w:r>
      <w:r w:rsidR="00405017" w:rsidRPr="00E15947">
        <w:t xml:space="preserve"> up to two additional courses of treatment with the currently reimbursed two courses of treatment was not a sufficient basis</w:t>
      </w:r>
      <w:r w:rsidR="001F6FAB" w:rsidRPr="00E15947">
        <w:t xml:space="preserve"> upon which to request a </w:t>
      </w:r>
      <w:r w:rsidR="00616B2C" w:rsidRPr="00E15947">
        <w:t>price increase.</w:t>
      </w:r>
      <w:r w:rsidR="00BF2195" w:rsidRPr="00E15947">
        <w:t xml:space="preserve"> The </w:t>
      </w:r>
      <w:r w:rsidR="00E15947">
        <w:t xml:space="preserve">PBAC agreed with the </w:t>
      </w:r>
      <w:r w:rsidR="000A0C6B" w:rsidRPr="00E15947">
        <w:t xml:space="preserve">ESC </w:t>
      </w:r>
      <w:r w:rsidR="00E15947">
        <w:t xml:space="preserve">that </w:t>
      </w:r>
      <w:r w:rsidR="007B2E68" w:rsidRPr="00E15947">
        <w:t xml:space="preserve">it was </w:t>
      </w:r>
      <w:r w:rsidR="004513EC" w:rsidRPr="00E15947">
        <w:t>unreasonable</w:t>
      </w:r>
      <w:r w:rsidR="007B2E68" w:rsidRPr="00E15947">
        <w:t xml:space="preserve"> to conflate </w:t>
      </w:r>
      <w:r w:rsidR="000A0C6B" w:rsidRPr="00E15947">
        <w:t>the requested price increase</w:t>
      </w:r>
      <w:r w:rsidR="006D4134" w:rsidRPr="00E15947">
        <w:t xml:space="preserve"> </w:t>
      </w:r>
      <w:r w:rsidR="00384FA9" w:rsidRPr="00E15947">
        <w:t>which is based on the assumption of the same level of benefit being maintained in all patients,</w:t>
      </w:r>
      <w:r w:rsidR="000A0C6B" w:rsidRPr="00E15947">
        <w:t xml:space="preserve"> with the request for</w:t>
      </w:r>
      <w:r w:rsidR="007B2E68" w:rsidRPr="00E15947">
        <w:t xml:space="preserve"> up to</w:t>
      </w:r>
      <w:r w:rsidR="000A0C6B" w:rsidRPr="00E15947">
        <w:t xml:space="preserve"> two additional courses of </w:t>
      </w:r>
      <w:r w:rsidR="007B2E68" w:rsidRPr="00E15947">
        <w:t xml:space="preserve">treatment as the requirement for additional courses of treatment </w:t>
      </w:r>
      <w:r w:rsidR="00A14EE8" w:rsidRPr="00E15947">
        <w:t>indicates</w:t>
      </w:r>
      <w:r w:rsidR="00DE37D2" w:rsidRPr="00E15947">
        <w:t xml:space="preserve"> that the extent of </w:t>
      </w:r>
      <w:r w:rsidR="004513EC" w:rsidRPr="00E15947">
        <w:t xml:space="preserve">sustained </w:t>
      </w:r>
      <w:r w:rsidR="00DE37D2" w:rsidRPr="00E15947">
        <w:t xml:space="preserve">treatment benefit is not equivalent for all patients. </w:t>
      </w:r>
      <w:r w:rsidR="007B2E68" w:rsidRPr="00E15947">
        <w:t xml:space="preserve"> </w:t>
      </w:r>
    </w:p>
    <w:p w:rsidR="00E33DDF" w:rsidRPr="00E33DDF" w:rsidRDefault="00E33DDF" w:rsidP="00E33DDF">
      <w:pPr>
        <w:pStyle w:val="ListParagraph"/>
        <w:widowControl/>
        <w:rPr>
          <w:i/>
        </w:rPr>
      </w:pPr>
      <w:r w:rsidRPr="00227132">
        <w:rPr>
          <w:i/>
        </w:rPr>
        <w:t>For more detail on PBAC’s view, see section 7 PBAC outcome.</w:t>
      </w:r>
    </w:p>
    <w:p w:rsidR="00CA1D1B" w:rsidRDefault="00CA1D1B">
      <w:pPr>
        <w:widowControl/>
        <w:jc w:val="left"/>
        <w:rPr>
          <w:rFonts w:asciiTheme="minorHAnsi" w:hAnsiTheme="minorHAnsi"/>
          <w:b/>
          <w:sz w:val="32"/>
          <w:szCs w:val="32"/>
        </w:rPr>
      </w:pPr>
      <w:bookmarkStart w:id="9" w:name="_Toc524531624"/>
      <w:r>
        <w:rPr>
          <w:rFonts w:asciiTheme="minorHAnsi" w:hAnsiTheme="minorHAnsi"/>
          <w:szCs w:val="32"/>
        </w:rPr>
        <w:br w:type="page"/>
      </w:r>
    </w:p>
    <w:p w:rsidR="00BD1912" w:rsidRPr="00652AFF" w:rsidRDefault="00BD1912" w:rsidP="00652AFF">
      <w:pPr>
        <w:pStyle w:val="PBACHeading1"/>
        <w:spacing w:before="240" w:after="120"/>
        <w:outlineLvl w:val="0"/>
        <w:rPr>
          <w:rFonts w:asciiTheme="minorHAnsi" w:hAnsiTheme="minorHAnsi"/>
          <w:szCs w:val="32"/>
        </w:rPr>
      </w:pPr>
      <w:r w:rsidRPr="00652AFF">
        <w:rPr>
          <w:rFonts w:asciiTheme="minorHAnsi" w:hAnsiTheme="minorHAnsi"/>
          <w:szCs w:val="32"/>
        </w:rPr>
        <w:lastRenderedPageBreak/>
        <w:t>Consideration of the evidence</w:t>
      </w:r>
      <w:bookmarkEnd w:id="9"/>
    </w:p>
    <w:p w:rsidR="00E33DDF" w:rsidRPr="00525B39" w:rsidRDefault="00E33DDF" w:rsidP="001D3277">
      <w:pPr>
        <w:pStyle w:val="Heading2"/>
      </w:pPr>
      <w:r w:rsidRPr="00525B39">
        <w:t>Sponsor hearing</w:t>
      </w:r>
    </w:p>
    <w:p w:rsidR="00E33DDF" w:rsidRPr="00525B39" w:rsidRDefault="00E33DDF" w:rsidP="00E33DDF">
      <w:pPr>
        <w:numPr>
          <w:ilvl w:val="1"/>
          <w:numId w:val="1"/>
        </w:numPr>
        <w:spacing w:after="120"/>
        <w:rPr>
          <w:rFonts w:asciiTheme="minorHAnsi" w:hAnsiTheme="minorHAnsi"/>
          <w:bCs/>
        </w:rPr>
      </w:pPr>
      <w:r w:rsidRPr="00525B39">
        <w:rPr>
          <w:rFonts w:asciiTheme="minorHAnsi" w:hAnsiTheme="minorHAnsi"/>
          <w:bCs/>
        </w:rPr>
        <w:t>The</w:t>
      </w:r>
      <w:r w:rsidR="00AB7A8B">
        <w:rPr>
          <w:rFonts w:asciiTheme="minorHAnsi" w:hAnsiTheme="minorHAnsi"/>
          <w:bCs/>
        </w:rPr>
        <w:t>re was no hearing for this item</w:t>
      </w:r>
      <w:r w:rsidRPr="00525B39">
        <w:rPr>
          <w:rFonts w:asciiTheme="minorHAnsi" w:hAnsiTheme="minorHAnsi"/>
          <w:bCs/>
        </w:rPr>
        <w:t>.</w:t>
      </w:r>
    </w:p>
    <w:p w:rsidR="00E33DDF" w:rsidRPr="00525B39" w:rsidRDefault="00E33DDF" w:rsidP="001D3277">
      <w:pPr>
        <w:pStyle w:val="Heading2"/>
      </w:pPr>
      <w:r w:rsidRPr="00525B39">
        <w:t>Consumer comments</w:t>
      </w:r>
    </w:p>
    <w:p w:rsidR="00E33DDF" w:rsidRPr="00525B39" w:rsidRDefault="00E33DDF" w:rsidP="00E33DDF">
      <w:pPr>
        <w:numPr>
          <w:ilvl w:val="1"/>
          <w:numId w:val="1"/>
        </w:numPr>
        <w:spacing w:after="120"/>
        <w:rPr>
          <w:rFonts w:asciiTheme="minorHAnsi" w:hAnsiTheme="minorHAnsi"/>
          <w:bCs/>
        </w:rPr>
      </w:pPr>
      <w:r w:rsidRPr="00525B39">
        <w:rPr>
          <w:rFonts w:asciiTheme="minorHAnsi" w:hAnsiTheme="minorHAnsi"/>
          <w:bCs/>
        </w:rPr>
        <w:t xml:space="preserve">The PBAC noted and welcomed the input from </w:t>
      </w:r>
      <w:r w:rsidR="00937E82">
        <w:rPr>
          <w:rFonts w:asciiTheme="minorHAnsi" w:hAnsiTheme="minorHAnsi"/>
          <w:bCs/>
        </w:rPr>
        <w:t>the organisation MS Research Australia</w:t>
      </w:r>
      <w:r w:rsidRPr="00525B39">
        <w:rPr>
          <w:rFonts w:asciiTheme="minorHAnsi" w:hAnsiTheme="minorHAnsi"/>
          <w:bCs/>
        </w:rPr>
        <w:t xml:space="preserve"> via the Consumer Comments facility on the PBS website.  The comments described a range of benefits of treatment with </w:t>
      </w:r>
      <w:r w:rsidR="00AF3A1D">
        <w:rPr>
          <w:rFonts w:asciiTheme="minorHAnsi" w:hAnsiTheme="minorHAnsi"/>
          <w:bCs/>
        </w:rPr>
        <w:t>alemtuz</w:t>
      </w:r>
      <w:r w:rsidR="00937E82">
        <w:rPr>
          <w:rFonts w:asciiTheme="minorHAnsi" w:hAnsiTheme="minorHAnsi"/>
          <w:bCs/>
        </w:rPr>
        <w:t>umab including stabilising or improving disabilities (as demonstrated by EDSS</w:t>
      </w:r>
      <w:r w:rsidRPr="00525B39">
        <w:rPr>
          <w:rFonts w:asciiTheme="minorHAnsi" w:hAnsiTheme="minorHAnsi"/>
          <w:bCs/>
        </w:rPr>
        <w:t xml:space="preserve"> </w:t>
      </w:r>
      <w:r w:rsidR="00937E82">
        <w:rPr>
          <w:rFonts w:asciiTheme="minorHAnsi" w:hAnsiTheme="minorHAnsi"/>
          <w:bCs/>
        </w:rPr>
        <w:t xml:space="preserve">scores) and its impact on conversion from RRMS to secondary progressive MS reported in the </w:t>
      </w:r>
      <w:r w:rsidR="00A62C1D">
        <w:rPr>
          <w:rFonts w:asciiTheme="minorHAnsi" w:hAnsiTheme="minorHAnsi"/>
          <w:bCs/>
        </w:rPr>
        <w:t>CARE-</w:t>
      </w:r>
      <w:r w:rsidR="00937E82">
        <w:rPr>
          <w:rFonts w:asciiTheme="minorHAnsi" w:hAnsiTheme="minorHAnsi"/>
          <w:bCs/>
        </w:rPr>
        <w:t xml:space="preserve">MS </w:t>
      </w:r>
      <w:r w:rsidR="00A62C1D">
        <w:rPr>
          <w:rFonts w:asciiTheme="minorHAnsi" w:hAnsiTheme="minorHAnsi"/>
          <w:bCs/>
        </w:rPr>
        <w:t xml:space="preserve">I and II </w:t>
      </w:r>
      <w:r w:rsidR="00937E82">
        <w:rPr>
          <w:rFonts w:asciiTheme="minorHAnsi" w:hAnsiTheme="minorHAnsi"/>
          <w:bCs/>
        </w:rPr>
        <w:t xml:space="preserve">trials. </w:t>
      </w:r>
      <w:r w:rsidR="00A62C1D">
        <w:rPr>
          <w:rFonts w:asciiTheme="minorHAnsi" w:hAnsiTheme="minorHAnsi"/>
          <w:bCs/>
        </w:rPr>
        <w:t xml:space="preserve">The comments supported the inclusion of </w:t>
      </w:r>
      <w:r w:rsidR="00AF3A1D">
        <w:rPr>
          <w:rFonts w:asciiTheme="minorHAnsi" w:hAnsiTheme="minorHAnsi"/>
          <w:bCs/>
        </w:rPr>
        <w:t>the additional dosage of alemtuz</w:t>
      </w:r>
      <w:r w:rsidR="00A62C1D">
        <w:rPr>
          <w:rFonts w:asciiTheme="minorHAnsi" w:hAnsiTheme="minorHAnsi"/>
          <w:bCs/>
        </w:rPr>
        <w:t>umab on the PBS to maximise the treatment options for people with this condition stating that reducing the frequency of disabling responses will improve quality of life for people with MS and their families.</w:t>
      </w:r>
      <w:r w:rsidRPr="00525B39">
        <w:rPr>
          <w:rFonts w:asciiTheme="minorHAnsi" w:hAnsiTheme="minorHAnsi"/>
          <w:bCs/>
        </w:rPr>
        <w:t xml:space="preserve"> </w:t>
      </w:r>
    </w:p>
    <w:p w:rsidR="00BD1912" w:rsidRPr="001D3277" w:rsidRDefault="00BD1912" w:rsidP="001D3277">
      <w:pPr>
        <w:pStyle w:val="Heading2"/>
      </w:pPr>
      <w:bookmarkStart w:id="10" w:name="_Toc524531625"/>
      <w:r w:rsidRPr="001D3277">
        <w:t>Clinical trials</w:t>
      </w:r>
      <w:bookmarkEnd w:id="10"/>
    </w:p>
    <w:p w:rsidR="00BD1912" w:rsidRPr="00862502" w:rsidRDefault="00BD1912" w:rsidP="00FD072C">
      <w:pPr>
        <w:pStyle w:val="ListParagraph"/>
        <w:widowControl/>
        <w:numPr>
          <w:ilvl w:val="1"/>
          <w:numId w:val="1"/>
        </w:numPr>
      </w:pPr>
      <w:r>
        <w:rPr>
          <w:rFonts w:cs="Calibri"/>
          <w:snapToGrid/>
          <w:szCs w:val="24"/>
          <w:lang w:val="en-US" w:eastAsia="en-AU"/>
        </w:rPr>
        <w:t xml:space="preserve">The resubmission </w:t>
      </w:r>
      <w:r w:rsidR="00C96BEA">
        <w:rPr>
          <w:rFonts w:cs="Calibri"/>
          <w:snapToGrid/>
          <w:szCs w:val="24"/>
          <w:lang w:val="en-US" w:eastAsia="en-AU"/>
        </w:rPr>
        <w:t>wa</w:t>
      </w:r>
      <w:r>
        <w:rPr>
          <w:rFonts w:cs="Calibri"/>
          <w:snapToGrid/>
          <w:szCs w:val="24"/>
          <w:lang w:val="en-US" w:eastAsia="en-AU"/>
        </w:rPr>
        <w:t xml:space="preserve">s based on an extension study to the </w:t>
      </w:r>
      <w:r w:rsidR="007E302B">
        <w:rPr>
          <w:rFonts w:cs="Calibri"/>
          <w:snapToGrid/>
          <w:szCs w:val="24"/>
          <w:lang w:val="en-US" w:eastAsia="en-AU"/>
        </w:rPr>
        <w:t xml:space="preserve">core CARE-MS </w:t>
      </w:r>
      <w:r>
        <w:rPr>
          <w:rFonts w:cs="Calibri"/>
          <w:snapToGrid/>
          <w:szCs w:val="24"/>
          <w:lang w:val="en-US" w:eastAsia="en-AU"/>
        </w:rPr>
        <w:t xml:space="preserve">I and II trials comparing immediate alemtuzumab treatment to delayed alemtuzumab treatment (n=1,314) </w:t>
      </w:r>
      <w:r w:rsidRPr="00FD50D7">
        <w:rPr>
          <w:rFonts w:cs="Calibri"/>
          <w:snapToGrid/>
          <w:color w:val="000000" w:themeColor="text1"/>
          <w:szCs w:val="24"/>
          <w:lang w:val="en-US" w:eastAsia="en-AU"/>
        </w:rPr>
        <w:t xml:space="preserve">as well as the core </w:t>
      </w:r>
      <w:r w:rsidR="007E302B" w:rsidRPr="00FD50D7">
        <w:rPr>
          <w:rFonts w:cs="Calibri"/>
          <w:snapToGrid/>
          <w:color w:val="000000" w:themeColor="text1"/>
          <w:szCs w:val="24"/>
          <w:lang w:val="en-US" w:eastAsia="en-AU"/>
        </w:rPr>
        <w:t>CARE</w:t>
      </w:r>
      <w:r w:rsidR="007E302B">
        <w:rPr>
          <w:rFonts w:cs="Calibri"/>
          <w:snapToGrid/>
          <w:color w:val="000000" w:themeColor="text1"/>
          <w:szCs w:val="24"/>
          <w:lang w:val="en-US" w:eastAsia="en-AU"/>
        </w:rPr>
        <w:t xml:space="preserve">-MS </w:t>
      </w:r>
      <w:r w:rsidRPr="00FD50D7">
        <w:rPr>
          <w:rFonts w:cs="Calibri"/>
          <w:snapToGrid/>
          <w:color w:val="000000" w:themeColor="text1"/>
          <w:szCs w:val="24"/>
          <w:lang w:val="en-US" w:eastAsia="en-AU"/>
        </w:rPr>
        <w:t>I and II trials</w:t>
      </w:r>
      <w:r w:rsidRPr="00FB35D2">
        <w:rPr>
          <w:rFonts w:cs="Calibri"/>
          <w:snapToGrid/>
          <w:color w:val="000000" w:themeColor="text1"/>
          <w:szCs w:val="24"/>
          <w:lang w:val="en-US" w:eastAsia="en-AU"/>
        </w:rPr>
        <w:t>.</w:t>
      </w:r>
      <w:r>
        <w:rPr>
          <w:rFonts w:cs="Calibri"/>
          <w:snapToGrid/>
          <w:color w:val="000000" w:themeColor="text1"/>
          <w:szCs w:val="24"/>
          <w:lang w:val="en-US" w:eastAsia="en-AU"/>
        </w:rPr>
        <w:t xml:space="preserve"> All of this evidence had previously been presented in the July and November 2014 alemtuzumab submissions. However, the current resubmission presented final results</w:t>
      </w:r>
      <w:r w:rsidR="00EB39DA">
        <w:rPr>
          <w:rFonts w:cs="Calibri"/>
          <w:snapToGrid/>
          <w:color w:val="000000" w:themeColor="text1"/>
          <w:szCs w:val="24"/>
          <w:lang w:val="en-US" w:eastAsia="en-AU"/>
        </w:rPr>
        <w:t xml:space="preserve"> from CARE-MS extensions that were</w:t>
      </w:r>
      <w:r>
        <w:rPr>
          <w:rFonts w:cs="Calibri"/>
          <w:snapToGrid/>
          <w:color w:val="000000" w:themeColor="text1"/>
          <w:szCs w:val="24"/>
          <w:lang w:val="en-US" w:eastAsia="en-AU"/>
        </w:rPr>
        <w:t xml:space="preserve"> not available for the previous submissions.</w:t>
      </w:r>
    </w:p>
    <w:p w:rsidR="00BD1912" w:rsidRPr="00B50DB8" w:rsidRDefault="00BD1912" w:rsidP="00FD072C">
      <w:pPr>
        <w:pStyle w:val="ListParagraph"/>
        <w:widowControl/>
        <w:numPr>
          <w:ilvl w:val="1"/>
          <w:numId w:val="1"/>
        </w:numPr>
      </w:pPr>
      <w:r>
        <w:rPr>
          <w:rFonts w:cs="Calibri"/>
          <w:snapToGrid/>
          <w:szCs w:val="24"/>
          <w:lang w:val="en-US" w:eastAsia="en-AU"/>
        </w:rPr>
        <w:t>Details of the trials presented in the</w:t>
      </w:r>
      <w:r w:rsidR="00436C41">
        <w:rPr>
          <w:rFonts w:cs="Calibri"/>
          <w:snapToGrid/>
          <w:szCs w:val="24"/>
          <w:lang w:val="en-US" w:eastAsia="en-AU"/>
        </w:rPr>
        <w:t xml:space="preserve"> resubmission</w:t>
      </w:r>
      <w:r>
        <w:rPr>
          <w:rFonts w:cs="Calibri"/>
          <w:snapToGrid/>
          <w:szCs w:val="24"/>
          <w:lang w:val="en-US" w:eastAsia="en-AU"/>
        </w:rPr>
        <w:t xml:space="preserve"> are provided in</w:t>
      </w:r>
      <w:r w:rsidR="00E70AF6">
        <w:rPr>
          <w:rFonts w:cs="Calibri"/>
          <w:snapToGrid/>
          <w:szCs w:val="24"/>
          <w:lang w:val="en-US" w:eastAsia="en-AU"/>
        </w:rPr>
        <w:t xml:space="preserve"> Table 5.</w:t>
      </w:r>
    </w:p>
    <w:p w:rsidR="00BD1912" w:rsidRPr="008E0D3C" w:rsidRDefault="00BD1912" w:rsidP="00F37790">
      <w:pPr>
        <w:keepNext/>
        <w:rPr>
          <w:rStyle w:val="CommentReference"/>
        </w:rPr>
      </w:pPr>
      <w:r w:rsidRPr="008E0D3C">
        <w:rPr>
          <w:rStyle w:val="CommentReference"/>
        </w:rPr>
        <w:lastRenderedPageBreak/>
        <w:t xml:space="preserve">Table </w:t>
      </w:r>
      <w:r w:rsidR="00A94F25">
        <w:rPr>
          <w:rFonts w:ascii="Arial Narrow" w:hAnsi="Arial Narrow"/>
          <w:b/>
          <w:noProof/>
          <w:sz w:val="20"/>
          <w:szCs w:val="16"/>
        </w:rPr>
        <w:t>5</w:t>
      </w:r>
      <w:r w:rsidRPr="008E0D3C">
        <w:rPr>
          <w:rStyle w:val="CommentReference"/>
        </w:rPr>
        <w:t>:  Trials and associated reports presented in the</w:t>
      </w:r>
      <w:r w:rsidR="00436C41">
        <w:rPr>
          <w:rStyle w:val="CommentReference"/>
        </w:rPr>
        <w:t xml:space="preserv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5851"/>
        <w:gridCol w:w="1933"/>
      </w:tblGrid>
      <w:tr w:rsidR="00BD1912" w:rsidRPr="00F373AC" w:rsidTr="00F373AC">
        <w:tc>
          <w:tcPr>
            <w:tcW w:w="683" w:type="pct"/>
          </w:tcPr>
          <w:p w:rsidR="00BD1912" w:rsidRPr="00F373AC" w:rsidRDefault="00BD1912" w:rsidP="00F37790">
            <w:pPr>
              <w:keepNext/>
              <w:rPr>
                <w:rFonts w:ascii="Arial Narrow" w:hAnsi="Arial Narrow"/>
                <w:b/>
                <w:sz w:val="20"/>
                <w:szCs w:val="20"/>
              </w:rPr>
            </w:pPr>
            <w:r w:rsidRPr="00F373AC">
              <w:rPr>
                <w:rFonts w:ascii="Arial Narrow" w:hAnsi="Arial Narrow"/>
                <w:b/>
                <w:sz w:val="20"/>
                <w:szCs w:val="20"/>
              </w:rPr>
              <w:t>Trial ID</w:t>
            </w:r>
          </w:p>
        </w:tc>
        <w:tc>
          <w:tcPr>
            <w:tcW w:w="3245" w:type="pct"/>
          </w:tcPr>
          <w:p w:rsidR="00BD1912" w:rsidRPr="00F373AC" w:rsidRDefault="00BD1912" w:rsidP="00F37790">
            <w:pPr>
              <w:keepNext/>
              <w:jc w:val="center"/>
              <w:rPr>
                <w:rFonts w:ascii="Arial Narrow" w:hAnsi="Arial Narrow"/>
                <w:b/>
                <w:sz w:val="20"/>
                <w:szCs w:val="20"/>
              </w:rPr>
            </w:pPr>
            <w:r w:rsidRPr="00F373AC">
              <w:rPr>
                <w:rFonts w:ascii="Arial Narrow" w:hAnsi="Arial Narrow"/>
                <w:b/>
                <w:sz w:val="20"/>
                <w:szCs w:val="20"/>
              </w:rPr>
              <w:t>Protocol title/ Publication title</w:t>
            </w:r>
          </w:p>
        </w:tc>
        <w:tc>
          <w:tcPr>
            <w:tcW w:w="1072" w:type="pct"/>
          </w:tcPr>
          <w:p w:rsidR="00BD1912" w:rsidRPr="00F373AC" w:rsidRDefault="00BD1912" w:rsidP="00F37790">
            <w:pPr>
              <w:keepNext/>
              <w:jc w:val="center"/>
              <w:rPr>
                <w:rFonts w:ascii="Arial Narrow" w:hAnsi="Arial Narrow"/>
                <w:b/>
                <w:sz w:val="20"/>
                <w:szCs w:val="20"/>
              </w:rPr>
            </w:pPr>
            <w:r w:rsidRPr="00F373AC">
              <w:rPr>
                <w:rFonts w:ascii="Arial Narrow" w:hAnsi="Arial Narrow"/>
                <w:b/>
                <w:sz w:val="20"/>
                <w:szCs w:val="20"/>
              </w:rPr>
              <w:t>Publication citation</w:t>
            </w:r>
          </w:p>
        </w:tc>
      </w:tr>
      <w:tr w:rsidR="00BD1912" w:rsidRPr="00F373AC" w:rsidTr="001666A4">
        <w:tc>
          <w:tcPr>
            <w:tcW w:w="5000" w:type="pct"/>
            <w:gridSpan w:val="3"/>
            <w:tcBorders>
              <w:bottom w:val="single" w:sz="4" w:space="0" w:color="auto"/>
            </w:tcBorders>
          </w:tcPr>
          <w:p w:rsidR="00BD1912" w:rsidRPr="00F373AC" w:rsidRDefault="00F373AC" w:rsidP="00F37790">
            <w:pPr>
              <w:keepNext/>
              <w:rPr>
                <w:rFonts w:ascii="Arial Narrow" w:hAnsi="Arial Narrow"/>
                <w:b/>
                <w:sz w:val="20"/>
                <w:szCs w:val="20"/>
              </w:rPr>
            </w:pPr>
            <w:r>
              <w:rPr>
                <w:rFonts w:ascii="Arial Narrow" w:hAnsi="Arial Narrow"/>
                <w:b/>
                <w:sz w:val="20"/>
                <w:szCs w:val="20"/>
              </w:rPr>
              <w:t>Direct randomised trials</w:t>
            </w:r>
          </w:p>
        </w:tc>
      </w:tr>
      <w:tr w:rsidR="00BD1912" w:rsidRPr="00F373AC" w:rsidTr="00F373AC">
        <w:tc>
          <w:tcPr>
            <w:tcW w:w="683" w:type="pct"/>
            <w:tcBorders>
              <w:bottom w:val="nil"/>
            </w:tcBorders>
          </w:tcPr>
          <w:p w:rsidR="00BD1912" w:rsidRPr="00F373AC" w:rsidRDefault="00BD1912" w:rsidP="00F37790">
            <w:pPr>
              <w:keepNext/>
              <w:rPr>
                <w:rFonts w:ascii="Arial Narrow" w:hAnsi="Arial Narrow"/>
                <w:sz w:val="20"/>
                <w:szCs w:val="20"/>
              </w:rPr>
            </w:pPr>
            <w:r w:rsidRPr="00F373AC">
              <w:rPr>
                <w:rFonts w:ascii="Arial Narrow" w:hAnsi="Arial Narrow"/>
                <w:sz w:val="20"/>
                <w:szCs w:val="20"/>
              </w:rPr>
              <w:t>CAMMS323</w:t>
            </w:r>
          </w:p>
          <w:p w:rsidR="00BD1912" w:rsidRPr="00F373AC" w:rsidRDefault="00BD1912" w:rsidP="00F37790">
            <w:pPr>
              <w:keepNext/>
              <w:rPr>
                <w:rFonts w:ascii="Arial Narrow" w:hAnsi="Arial Narrow"/>
                <w:sz w:val="20"/>
                <w:szCs w:val="20"/>
              </w:rPr>
            </w:pPr>
            <w:r w:rsidRPr="00F373AC">
              <w:rPr>
                <w:rFonts w:ascii="Arial Narrow" w:hAnsi="Arial Narrow"/>
                <w:sz w:val="20"/>
                <w:szCs w:val="20"/>
              </w:rPr>
              <w:t>(CARE-MS-I)</w:t>
            </w:r>
          </w:p>
        </w:tc>
        <w:tc>
          <w:tcPr>
            <w:tcW w:w="3245" w:type="pct"/>
            <w:tcBorders>
              <w:bottom w:val="nil"/>
            </w:tcBorders>
          </w:tcPr>
          <w:p w:rsidR="00BD1912" w:rsidRPr="00F373AC" w:rsidRDefault="00BD1912" w:rsidP="00F37790">
            <w:pPr>
              <w:keepNext/>
              <w:jc w:val="left"/>
              <w:rPr>
                <w:rFonts w:ascii="Arial Narrow" w:hAnsi="Arial Narrow"/>
                <w:sz w:val="20"/>
                <w:szCs w:val="20"/>
              </w:rPr>
            </w:pPr>
            <w:r w:rsidRPr="00F373AC">
              <w:rPr>
                <w:rFonts w:ascii="Arial Narrow" w:hAnsi="Arial Narrow"/>
                <w:sz w:val="20"/>
                <w:szCs w:val="20"/>
              </w:rPr>
              <w:t>Clinical Study Re</w:t>
            </w:r>
            <w:r w:rsidR="006934BF">
              <w:rPr>
                <w:rFonts w:ascii="Arial Narrow" w:hAnsi="Arial Narrow"/>
                <w:sz w:val="20"/>
                <w:szCs w:val="20"/>
              </w:rPr>
              <w:t>port: A Phase 3 randomised rater</w:t>
            </w:r>
            <w:r w:rsidRPr="00F373AC">
              <w:rPr>
                <w:rFonts w:ascii="Arial Narrow" w:hAnsi="Arial Narrow"/>
                <w:sz w:val="20"/>
                <w:szCs w:val="20"/>
              </w:rPr>
              <w:t xml:space="preserve"> blinded study comparing two annual cycles of intravenous alemtuzumab to three-times weekly subcutaneous interferon beta-1a (Rebif®) in treatment naïve patients with relapse-remitting multiple sclerosis (CARE-MS I)</w:t>
            </w:r>
          </w:p>
          <w:p w:rsidR="00BD1912" w:rsidRPr="00F373AC" w:rsidRDefault="00BD1912" w:rsidP="00F37790">
            <w:pPr>
              <w:keepNext/>
              <w:jc w:val="left"/>
              <w:rPr>
                <w:rFonts w:ascii="Arial Narrow" w:hAnsi="Arial Narrow"/>
                <w:sz w:val="20"/>
                <w:szCs w:val="20"/>
              </w:rPr>
            </w:pPr>
          </w:p>
        </w:tc>
        <w:tc>
          <w:tcPr>
            <w:tcW w:w="1072" w:type="pct"/>
            <w:tcBorders>
              <w:bottom w:val="nil"/>
            </w:tcBorders>
          </w:tcPr>
          <w:p w:rsidR="00BD1912" w:rsidRPr="00F373AC" w:rsidRDefault="00BD1912" w:rsidP="00F37790">
            <w:pPr>
              <w:keepNext/>
              <w:jc w:val="left"/>
              <w:rPr>
                <w:rFonts w:ascii="Arial Narrow" w:hAnsi="Arial Narrow"/>
                <w:sz w:val="20"/>
                <w:szCs w:val="20"/>
              </w:rPr>
            </w:pPr>
            <w:r w:rsidRPr="00F373AC">
              <w:rPr>
                <w:rFonts w:ascii="Arial Narrow" w:hAnsi="Arial Narrow"/>
                <w:sz w:val="20"/>
                <w:szCs w:val="20"/>
              </w:rPr>
              <w:t>2012</w:t>
            </w:r>
          </w:p>
        </w:tc>
      </w:tr>
      <w:tr w:rsidR="00BD1912" w:rsidRPr="00F373AC" w:rsidTr="00F373AC">
        <w:tc>
          <w:tcPr>
            <w:tcW w:w="683" w:type="pct"/>
            <w:tcBorders>
              <w:top w:val="nil"/>
              <w:bottom w:val="single" w:sz="4" w:space="0" w:color="auto"/>
            </w:tcBorders>
          </w:tcPr>
          <w:p w:rsidR="00BD1912" w:rsidRPr="00F373AC" w:rsidRDefault="00BD1912" w:rsidP="00F37790">
            <w:pPr>
              <w:keepNext/>
              <w:rPr>
                <w:rFonts w:ascii="Arial Narrow" w:hAnsi="Arial Narrow"/>
                <w:sz w:val="20"/>
                <w:szCs w:val="20"/>
              </w:rPr>
            </w:pPr>
          </w:p>
        </w:tc>
        <w:tc>
          <w:tcPr>
            <w:tcW w:w="3245" w:type="pct"/>
            <w:tcBorders>
              <w:top w:val="nil"/>
              <w:bottom w:val="single" w:sz="4" w:space="0" w:color="auto"/>
            </w:tcBorders>
          </w:tcPr>
          <w:p w:rsidR="00BD1912" w:rsidRPr="00F373AC" w:rsidRDefault="00BD1912" w:rsidP="00F37790">
            <w:pPr>
              <w:keepNext/>
              <w:jc w:val="left"/>
              <w:rPr>
                <w:rFonts w:ascii="Arial Narrow" w:hAnsi="Arial Narrow"/>
                <w:sz w:val="20"/>
                <w:szCs w:val="20"/>
              </w:rPr>
            </w:pPr>
            <w:r w:rsidRPr="00F373AC">
              <w:rPr>
                <w:rFonts w:ascii="Arial Narrow" w:hAnsi="Arial Narrow"/>
                <w:sz w:val="20"/>
                <w:szCs w:val="20"/>
              </w:rPr>
              <w:t>Cohen JA, Coles AJ, Arnold DL, Confavreux C, Fox EJ, Hartung HP, et al. Alemtuzumab versus interferon beta 1a as first-line treatment for patients with relapsing-remitting multiple sclerosis: A randomised controlled phase 3 trial.</w:t>
            </w:r>
          </w:p>
        </w:tc>
        <w:tc>
          <w:tcPr>
            <w:tcW w:w="1072" w:type="pct"/>
            <w:tcBorders>
              <w:top w:val="nil"/>
              <w:bottom w:val="single" w:sz="4" w:space="0" w:color="auto"/>
            </w:tcBorders>
          </w:tcPr>
          <w:p w:rsidR="00BD1912" w:rsidRPr="00F373AC" w:rsidRDefault="00BD1912" w:rsidP="00F37790">
            <w:pPr>
              <w:keepNext/>
              <w:jc w:val="left"/>
              <w:rPr>
                <w:rFonts w:ascii="Arial Narrow" w:hAnsi="Arial Narrow"/>
                <w:sz w:val="20"/>
                <w:szCs w:val="20"/>
              </w:rPr>
            </w:pPr>
            <w:r w:rsidRPr="00F373AC">
              <w:rPr>
                <w:rFonts w:ascii="Arial Narrow" w:hAnsi="Arial Narrow"/>
                <w:i/>
                <w:sz w:val="20"/>
                <w:szCs w:val="20"/>
              </w:rPr>
              <w:t>Lancet.</w:t>
            </w:r>
            <w:r w:rsidRPr="00F373AC">
              <w:rPr>
                <w:rFonts w:ascii="Arial Narrow" w:hAnsi="Arial Narrow"/>
                <w:sz w:val="20"/>
                <w:szCs w:val="20"/>
              </w:rPr>
              <w:t xml:space="preserve"> </w:t>
            </w:r>
            <w:r w:rsidR="00F373AC">
              <w:rPr>
                <w:rFonts w:ascii="Arial Narrow" w:hAnsi="Arial Narrow"/>
                <w:sz w:val="20"/>
                <w:szCs w:val="20"/>
              </w:rPr>
              <w:t>2</w:t>
            </w:r>
            <w:r w:rsidRPr="00F373AC">
              <w:rPr>
                <w:rFonts w:ascii="Arial Narrow" w:hAnsi="Arial Narrow"/>
                <w:sz w:val="20"/>
                <w:szCs w:val="20"/>
              </w:rPr>
              <w:t>012;</w:t>
            </w:r>
            <w:r w:rsidR="00F373AC">
              <w:rPr>
                <w:rFonts w:ascii="Arial Narrow" w:hAnsi="Arial Narrow"/>
                <w:sz w:val="20"/>
                <w:szCs w:val="20"/>
              </w:rPr>
              <w:t xml:space="preserve"> </w:t>
            </w:r>
            <w:r w:rsidRPr="00F373AC">
              <w:rPr>
                <w:rFonts w:ascii="Arial Narrow" w:hAnsi="Arial Narrow"/>
                <w:sz w:val="20"/>
                <w:szCs w:val="20"/>
              </w:rPr>
              <w:t>380(9856):1819-28</w:t>
            </w:r>
          </w:p>
        </w:tc>
      </w:tr>
      <w:tr w:rsidR="00BD1912" w:rsidRPr="00F373AC" w:rsidTr="00F373AC">
        <w:tc>
          <w:tcPr>
            <w:tcW w:w="683" w:type="pct"/>
            <w:tcBorders>
              <w:bottom w:val="nil"/>
            </w:tcBorders>
          </w:tcPr>
          <w:p w:rsidR="00BD1912" w:rsidRPr="00F373AC" w:rsidRDefault="00BD1912" w:rsidP="00F37790">
            <w:pPr>
              <w:keepNext/>
              <w:rPr>
                <w:rFonts w:ascii="Arial Narrow" w:hAnsi="Arial Narrow"/>
                <w:sz w:val="20"/>
                <w:szCs w:val="20"/>
              </w:rPr>
            </w:pPr>
            <w:r w:rsidRPr="00F373AC">
              <w:rPr>
                <w:rFonts w:ascii="Arial Narrow" w:hAnsi="Arial Narrow"/>
                <w:sz w:val="20"/>
                <w:szCs w:val="20"/>
              </w:rPr>
              <w:t>CAMMS324</w:t>
            </w:r>
          </w:p>
          <w:p w:rsidR="00BD1912" w:rsidRPr="00F373AC" w:rsidRDefault="00BD1912" w:rsidP="00F37790">
            <w:pPr>
              <w:keepNext/>
              <w:rPr>
                <w:rFonts w:ascii="Arial Narrow" w:hAnsi="Arial Narrow"/>
                <w:sz w:val="20"/>
                <w:szCs w:val="20"/>
              </w:rPr>
            </w:pPr>
            <w:r w:rsidRPr="00F373AC">
              <w:rPr>
                <w:rFonts w:ascii="Arial Narrow" w:hAnsi="Arial Narrow"/>
                <w:sz w:val="20"/>
                <w:szCs w:val="20"/>
              </w:rPr>
              <w:t>(CARE-MS-II)</w:t>
            </w:r>
          </w:p>
        </w:tc>
        <w:tc>
          <w:tcPr>
            <w:tcW w:w="3245" w:type="pct"/>
            <w:tcBorders>
              <w:bottom w:val="nil"/>
            </w:tcBorders>
          </w:tcPr>
          <w:p w:rsidR="00BD1912" w:rsidRPr="00F373AC" w:rsidRDefault="00BD1912" w:rsidP="00F37790">
            <w:pPr>
              <w:keepNext/>
              <w:jc w:val="left"/>
              <w:rPr>
                <w:rFonts w:ascii="Arial Narrow" w:hAnsi="Arial Narrow"/>
                <w:sz w:val="20"/>
                <w:szCs w:val="20"/>
              </w:rPr>
            </w:pPr>
            <w:r w:rsidRPr="00F373AC">
              <w:rPr>
                <w:rFonts w:ascii="Arial Narrow" w:hAnsi="Arial Narrow"/>
                <w:sz w:val="20"/>
                <w:szCs w:val="20"/>
              </w:rPr>
              <w:t>Clinical study report: A Phase 3 randomised rater and dose-blinded study comparing two annual cycles of intravenous low- and high-dose alemtuzumab to three-times weekly subcutaneous interferon beta 1a (Rebif®) in patients with relapsing-remitting multiple sclerosis who have relapsed on therapy (CARE-MS II)</w:t>
            </w:r>
          </w:p>
        </w:tc>
        <w:tc>
          <w:tcPr>
            <w:tcW w:w="1072" w:type="pct"/>
            <w:tcBorders>
              <w:bottom w:val="nil"/>
            </w:tcBorders>
          </w:tcPr>
          <w:p w:rsidR="00BD1912" w:rsidRPr="00F373AC" w:rsidRDefault="00BD1912" w:rsidP="00F37790">
            <w:pPr>
              <w:keepNext/>
              <w:jc w:val="left"/>
              <w:rPr>
                <w:rFonts w:ascii="Arial Narrow" w:hAnsi="Arial Narrow"/>
                <w:sz w:val="20"/>
                <w:szCs w:val="20"/>
              </w:rPr>
            </w:pPr>
            <w:r w:rsidRPr="00F373AC">
              <w:rPr>
                <w:rFonts w:ascii="Arial Narrow" w:hAnsi="Arial Narrow"/>
                <w:sz w:val="20"/>
                <w:szCs w:val="20"/>
              </w:rPr>
              <w:t>2012</w:t>
            </w:r>
          </w:p>
        </w:tc>
      </w:tr>
      <w:tr w:rsidR="00BD1912" w:rsidRPr="00F373AC" w:rsidTr="00F373AC">
        <w:tc>
          <w:tcPr>
            <w:tcW w:w="683" w:type="pct"/>
            <w:tcBorders>
              <w:top w:val="nil"/>
            </w:tcBorders>
          </w:tcPr>
          <w:p w:rsidR="00BD1912" w:rsidRPr="00F373AC" w:rsidRDefault="00BD1912" w:rsidP="00F37790">
            <w:pPr>
              <w:keepNext/>
              <w:rPr>
                <w:rFonts w:ascii="Arial Narrow" w:hAnsi="Arial Narrow"/>
                <w:sz w:val="20"/>
                <w:szCs w:val="20"/>
              </w:rPr>
            </w:pPr>
          </w:p>
        </w:tc>
        <w:tc>
          <w:tcPr>
            <w:tcW w:w="3245" w:type="pct"/>
            <w:tcBorders>
              <w:top w:val="nil"/>
            </w:tcBorders>
          </w:tcPr>
          <w:p w:rsidR="00BD1912" w:rsidRPr="00F373AC" w:rsidRDefault="00BD1912" w:rsidP="00F37790">
            <w:pPr>
              <w:keepNext/>
              <w:jc w:val="left"/>
              <w:rPr>
                <w:rFonts w:ascii="Arial Narrow" w:hAnsi="Arial Narrow"/>
                <w:sz w:val="20"/>
                <w:szCs w:val="20"/>
              </w:rPr>
            </w:pPr>
            <w:r w:rsidRPr="00F373AC">
              <w:rPr>
                <w:rFonts w:ascii="Arial Narrow" w:hAnsi="Arial Narrow"/>
                <w:sz w:val="20"/>
                <w:szCs w:val="20"/>
              </w:rPr>
              <w:t>Coles AJ, Twyman CL, Arnold DL, Cohen JA, Confavreux C, Fox EJ, et al. Alemtuzumab for patients with relapsing multiple sclerosis after disease-modifying therapy: A randomised controlled phase 3 trial.</w:t>
            </w:r>
          </w:p>
        </w:tc>
        <w:tc>
          <w:tcPr>
            <w:tcW w:w="1072" w:type="pct"/>
            <w:tcBorders>
              <w:top w:val="nil"/>
            </w:tcBorders>
          </w:tcPr>
          <w:p w:rsidR="00BD1912" w:rsidRPr="00F373AC" w:rsidRDefault="00BD1912" w:rsidP="00F37790">
            <w:pPr>
              <w:keepNext/>
              <w:jc w:val="left"/>
              <w:rPr>
                <w:rFonts w:ascii="Arial Narrow" w:hAnsi="Arial Narrow"/>
                <w:sz w:val="20"/>
                <w:szCs w:val="20"/>
              </w:rPr>
            </w:pPr>
            <w:r w:rsidRPr="00F373AC">
              <w:rPr>
                <w:rFonts w:ascii="Arial Narrow" w:hAnsi="Arial Narrow"/>
                <w:i/>
                <w:sz w:val="20"/>
                <w:szCs w:val="20"/>
              </w:rPr>
              <w:t>Lancet.</w:t>
            </w:r>
            <w:r w:rsidRPr="00F373AC">
              <w:rPr>
                <w:rFonts w:ascii="Arial Narrow" w:hAnsi="Arial Narrow"/>
                <w:sz w:val="20"/>
                <w:szCs w:val="20"/>
              </w:rPr>
              <w:t xml:space="preserve"> 2012;</w:t>
            </w:r>
            <w:r w:rsidR="00F373AC">
              <w:rPr>
                <w:rFonts w:ascii="Arial Narrow" w:hAnsi="Arial Narrow"/>
                <w:sz w:val="20"/>
                <w:szCs w:val="20"/>
              </w:rPr>
              <w:t xml:space="preserve"> </w:t>
            </w:r>
            <w:r w:rsidRPr="00F373AC">
              <w:rPr>
                <w:rFonts w:ascii="Arial Narrow" w:hAnsi="Arial Narrow"/>
                <w:sz w:val="20"/>
                <w:szCs w:val="20"/>
              </w:rPr>
              <w:t>380(9856):1829-39</w:t>
            </w:r>
          </w:p>
        </w:tc>
      </w:tr>
      <w:tr w:rsidR="00BD1912" w:rsidRPr="00F373AC" w:rsidTr="001666A4">
        <w:tc>
          <w:tcPr>
            <w:tcW w:w="5000" w:type="pct"/>
            <w:gridSpan w:val="3"/>
            <w:tcBorders>
              <w:bottom w:val="single" w:sz="4" w:space="0" w:color="auto"/>
            </w:tcBorders>
          </w:tcPr>
          <w:p w:rsidR="00BD1912" w:rsidRPr="00F373AC" w:rsidRDefault="00BD1912" w:rsidP="00F37790">
            <w:pPr>
              <w:keepNext/>
              <w:jc w:val="left"/>
              <w:rPr>
                <w:rFonts w:ascii="Arial Narrow" w:hAnsi="Arial Narrow"/>
                <w:b/>
                <w:sz w:val="20"/>
                <w:szCs w:val="20"/>
              </w:rPr>
            </w:pPr>
            <w:r w:rsidRPr="00F373AC">
              <w:rPr>
                <w:rFonts w:ascii="Arial Narrow" w:hAnsi="Arial Narrow"/>
                <w:b/>
                <w:sz w:val="20"/>
                <w:szCs w:val="20"/>
              </w:rPr>
              <w:t>Extension studies</w:t>
            </w:r>
          </w:p>
        </w:tc>
      </w:tr>
      <w:tr w:rsidR="00BD1912" w:rsidRPr="00F373AC" w:rsidTr="00F373AC">
        <w:tc>
          <w:tcPr>
            <w:tcW w:w="683" w:type="pct"/>
            <w:tcBorders>
              <w:bottom w:val="nil"/>
            </w:tcBorders>
          </w:tcPr>
          <w:p w:rsidR="00BD1912" w:rsidRDefault="00BD1912" w:rsidP="00F37790">
            <w:pPr>
              <w:keepNext/>
              <w:rPr>
                <w:rFonts w:ascii="Arial Narrow" w:hAnsi="Arial Narrow"/>
                <w:sz w:val="20"/>
                <w:szCs w:val="20"/>
              </w:rPr>
            </w:pPr>
            <w:r w:rsidRPr="00F373AC">
              <w:rPr>
                <w:rFonts w:ascii="Arial Narrow" w:hAnsi="Arial Narrow"/>
                <w:sz w:val="20"/>
                <w:szCs w:val="20"/>
              </w:rPr>
              <w:t>CAMMS(03409)</w:t>
            </w:r>
          </w:p>
          <w:p w:rsidR="00F373AC" w:rsidRPr="00F373AC" w:rsidRDefault="00F373AC" w:rsidP="00F37790">
            <w:pPr>
              <w:keepNext/>
              <w:rPr>
                <w:rFonts w:ascii="Arial Narrow" w:hAnsi="Arial Narrow"/>
                <w:sz w:val="20"/>
                <w:szCs w:val="20"/>
              </w:rPr>
            </w:pPr>
            <w:r w:rsidRPr="00F373AC">
              <w:rPr>
                <w:rFonts w:ascii="Arial Narrow" w:hAnsi="Arial Narrow"/>
                <w:sz w:val="20"/>
              </w:rPr>
              <w:t>CARE-MS extension</w:t>
            </w:r>
          </w:p>
        </w:tc>
        <w:tc>
          <w:tcPr>
            <w:tcW w:w="3245" w:type="pct"/>
            <w:tcBorders>
              <w:bottom w:val="nil"/>
            </w:tcBorders>
          </w:tcPr>
          <w:p w:rsidR="00BD1912" w:rsidRPr="00F373AC" w:rsidRDefault="00BD1912" w:rsidP="00F37790">
            <w:pPr>
              <w:keepNext/>
              <w:jc w:val="left"/>
              <w:rPr>
                <w:rFonts w:ascii="Arial Narrow" w:hAnsi="Arial Narrow"/>
                <w:sz w:val="20"/>
                <w:szCs w:val="20"/>
              </w:rPr>
            </w:pPr>
            <w:r w:rsidRPr="00F373AC">
              <w:rPr>
                <w:rFonts w:ascii="Arial Narrow" w:hAnsi="Arial Narrow"/>
                <w:sz w:val="20"/>
                <w:szCs w:val="20"/>
              </w:rPr>
              <w:t>Clinical Study Report: An extension protocol for multiple sclerosis patients who participated in Genzyme-sponsored studies of alemtuzumab.</w:t>
            </w:r>
          </w:p>
        </w:tc>
        <w:tc>
          <w:tcPr>
            <w:tcW w:w="1072" w:type="pct"/>
            <w:tcBorders>
              <w:bottom w:val="nil"/>
            </w:tcBorders>
          </w:tcPr>
          <w:p w:rsidR="00BD1912" w:rsidRPr="00F373AC" w:rsidRDefault="00BD1912" w:rsidP="00F37790">
            <w:pPr>
              <w:keepNext/>
              <w:jc w:val="left"/>
              <w:rPr>
                <w:rFonts w:ascii="Arial Narrow" w:hAnsi="Arial Narrow"/>
                <w:sz w:val="20"/>
                <w:szCs w:val="20"/>
              </w:rPr>
            </w:pPr>
            <w:r w:rsidRPr="00F373AC">
              <w:rPr>
                <w:rFonts w:ascii="Arial Narrow" w:hAnsi="Arial Narrow"/>
                <w:sz w:val="20"/>
                <w:szCs w:val="20"/>
              </w:rPr>
              <w:t>2017</w:t>
            </w:r>
          </w:p>
        </w:tc>
      </w:tr>
      <w:tr w:rsidR="00BD1912" w:rsidRPr="00F373AC" w:rsidTr="00F373AC">
        <w:tc>
          <w:tcPr>
            <w:tcW w:w="683" w:type="pct"/>
            <w:tcBorders>
              <w:top w:val="nil"/>
              <w:bottom w:val="nil"/>
            </w:tcBorders>
          </w:tcPr>
          <w:p w:rsidR="00BD1912" w:rsidRPr="00F373AC" w:rsidRDefault="00BD1912" w:rsidP="00F37790">
            <w:pPr>
              <w:keepNext/>
              <w:rPr>
                <w:rFonts w:ascii="Arial Narrow" w:hAnsi="Arial Narrow"/>
                <w:sz w:val="20"/>
                <w:szCs w:val="20"/>
              </w:rPr>
            </w:pPr>
          </w:p>
        </w:tc>
        <w:tc>
          <w:tcPr>
            <w:tcW w:w="3245" w:type="pct"/>
            <w:tcBorders>
              <w:top w:val="nil"/>
              <w:bottom w:val="nil"/>
            </w:tcBorders>
          </w:tcPr>
          <w:p w:rsidR="00BD1912" w:rsidRPr="00F373AC" w:rsidRDefault="00BD1912" w:rsidP="00F37790">
            <w:pPr>
              <w:keepNext/>
              <w:jc w:val="left"/>
              <w:rPr>
                <w:rFonts w:ascii="Arial Narrow" w:hAnsi="Arial Narrow"/>
                <w:sz w:val="20"/>
                <w:szCs w:val="20"/>
              </w:rPr>
            </w:pPr>
            <w:r w:rsidRPr="00F373AC">
              <w:rPr>
                <w:rFonts w:ascii="Arial Narrow" w:hAnsi="Arial Narrow"/>
                <w:sz w:val="20"/>
                <w:szCs w:val="20"/>
              </w:rPr>
              <w:t>Havrdova E et al. Alemtuzumab CARE-MS I 5-year follow-up: Durable efficacy in the absence of continuous MS therapy.</w:t>
            </w:r>
          </w:p>
        </w:tc>
        <w:tc>
          <w:tcPr>
            <w:tcW w:w="1072" w:type="pct"/>
            <w:tcBorders>
              <w:top w:val="nil"/>
              <w:bottom w:val="nil"/>
            </w:tcBorders>
          </w:tcPr>
          <w:p w:rsidR="00BD1912" w:rsidRPr="00F373AC" w:rsidRDefault="00BD1912" w:rsidP="00F37790">
            <w:pPr>
              <w:keepNext/>
              <w:jc w:val="left"/>
              <w:rPr>
                <w:rFonts w:ascii="Arial Narrow" w:hAnsi="Arial Narrow"/>
                <w:sz w:val="20"/>
                <w:szCs w:val="20"/>
              </w:rPr>
            </w:pPr>
            <w:r w:rsidRPr="00F373AC">
              <w:rPr>
                <w:rFonts w:ascii="Arial Narrow" w:hAnsi="Arial Narrow"/>
                <w:i/>
                <w:sz w:val="20"/>
                <w:szCs w:val="20"/>
              </w:rPr>
              <w:t>Neurology</w:t>
            </w:r>
            <w:r w:rsidRPr="00F373AC">
              <w:rPr>
                <w:rFonts w:ascii="Arial Narrow" w:hAnsi="Arial Narrow"/>
                <w:sz w:val="20"/>
                <w:szCs w:val="20"/>
              </w:rPr>
              <w:t>. 2017;</w:t>
            </w:r>
            <w:r w:rsidR="00F373AC">
              <w:rPr>
                <w:rFonts w:ascii="Arial Narrow" w:hAnsi="Arial Narrow"/>
                <w:sz w:val="20"/>
                <w:szCs w:val="20"/>
              </w:rPr>
              <w:t xml:space="preserve"> </w:t>
            </w:r>
            <w:r w:rsidRPr="00F373AC">
              <w:rPr>
                <w:rFonts w:ascii="Arial Narrow" w:hAnsi="Arial Narrow"/>
                <w:sz w:val="20"/>
                <w:szCs w:val="20"/>
              </w:rPr>
              <w:t>89(11):1107-16.</w:t>
            </w:r>
          </w:p>
        </w:tc>
      </w:tr>
      <w:tr w:rsidR="00BD1912" w:rsidRPr="00F373AC" w:rsidTr="00F373AC">
        <w:tc>
          <w:tcPr>
            <w:tcW w:w="683" w:type="pct"/>
            <w:tcBorders>
              <w:top w:val="nil"/>
            </w:tcBorders>
          </w:tcPr>
          <w:p w:rsidR="00BD1912" w:rsidRPr="00F373AC" w:rsidRDefault="00BD1912" w:rsidP="00F37790">
            <w:pPr>
              <w:keepNext/>
              <w:rPr>
                <w:rFonts w:ascii="Arial Narrow" w:hAnsi="Arial Narrow"/>
                <w:sz w:val="20"/>
                <w:szCs w:val="20"/>
              </w:rPr>
            </w:pPr>
          </w:p>
        </w:tc>
        <w:tc>
          <w:tcPr>
            <w:tcW w:w="3245" w:type="pct"/>
            <w:tcBorders>
              <w:top w:val="nil"/>
            </w:tcBorders>
          </w:tcPr>
          <w:p w:rsidR="00BD1912" w:rsidRPr="00F373AC" w:rsidRDefault="00BD1912" w:rsidP="00F37790">
            <w:pPr>
              <w:keepNext/>
              <w:jc w:val="left"/>
              <w:rPr>
                <w:rFonts w:ascii="Arial Narrow" w:hAnsi="Arial Narrow"/>
                <w:sz w:val="20"/>
                <w:szCs w:val="20"/>
              </w:rPr>
            </w:pPr>
            <w:r w:rsidRPr="00F373AC">
              <w:rPr>
                <w:rFonts w:ascii="Arial Narrow" w:hAnsi="Arial Narrow"/>
                <w:sz w:val="20"/>
                <w:szCs w:val="20"/>
              </w:rPr>
              <w:t>Coles AJ et al. Alemtuzumab CARE-MS II 5-year follow-up: Efficacy and safety findings.</w:t>
            </w:r>
          </w:p>
        </w:tc>
        <w:tc>
          <w:tcPr>
            <w:tcW w:w="1072" w:type="pct"/>
            <w:tcBorders>
              <w:top w:val="nil"/>
            </w:tcBorders>
          </w:tcPr>
          <w:p w:rsidR="00BD1912" w:rsidRPr="00F373AC" w:rsidRDefault="00BD1912" w:rsidP="00F37790">
            <w:pPr>
              <w:keepNext/>
              <w:jc w:val="left"/>
              <w:rPr>
                <w:rFonts w:ascii="Arial Narrow" w:hAnsi="Arial Narrow"/>
                <w:sz w:val="20"/>
                <w:szCs w:val="20"/>
              </w:rPr>
            </w:pPr>
            <w:r w:rsidRPr="00F373AC">
              <w:rPr>
                <w:rFonts w:ascii="Arial Narrow" w:hAnsi="Arial Narrow"/>
                <w:i/>
                <w:sz w:val="20"/>
                <w:szCs w:val="20"/>
              </w:rPr>
              <w:t>Neurology</w:t>
            </w:r>
            <w:r w:rsidRPr="00F373AC">
              <w:rPr>
                <w:rFonts w:ascii="Arial Narrow" w:hAnsi="Arial Narrow"/>
                <w:sz w:val="20"/>
                <w:szCs w:val="20"/>
              </w:rPr>
              <w:t>. 2017;</w:t>
            </w:r>
            <w:r w:rsidR="00F373AC">
              <w:rPr>
                <w:rFonts w:ascii="Arial Narrow" w:hAnsi="Arial Narrow"/>
                <w:sz w:val="20"/>
                <w:szCs w:val="20"/>
              </w:rPr>
              <w:t xml:space="preserve"> </w:t>
            </w:r>
            <w:r w:rsidRPr="00F373AC">
              <w:rPr>
                <w:rFonts w:ascii="Arial Narrow" w:hAnsi="Arial Narrow"/>
                <w:sz w:val="20"/>
                <w:szCs w:val="20"/>
              </w:rPr>
              <w:t>89(11):1117-26.</w:t>
            </w:r>
          </w:p>
        </w:tc>
      </w:tr>
    </w:tbl>
    <w:p w:rsidR="00BD1912" w:rsidRDefault="00BD1912" w:rsidP="00F37790">
      <w:pPr>
        <w:pStyle w:val="TableFooter"/>
        <w:keepNext/>
      </w:pPr>
      <w:r w:rsidRPr="00D13A3E">
        <w:t xml:space="preserve">Source: </w:t>
      </w:r>
      <w:r w:rsidRPr="00F4045E">
        <w:t xml:space="preserve">Source: </w:t>
      </w:r>
      <w:r>
        <w:t>Table 2.2.1, p16 of the resubmission.</w:t>
      </w:r>
    </w:p>
    <w:p w:rsidR="00FD072C" w:rsidRPr="008F120A" w:rsidRDefault="00FD072C" w:rsidP="00FD072C">
      <w:pPr>
        <w:pStyle w:val="TableFooter"/>
      </w:pPr>
    </w:p>
    <w:p w:rsidR="00F373AC" w:rsidRPr="00763D8B" w:rsidRDefault="00F373AC" w:rsidP="00FD072C">
      <w:pPr>
        <w:pStyle w:val="ListParagraph"/>
        <w:widowControl/>
        <w:numPr>
          <w:ilvl w:val="1"/>
          <w:numId w:val="1"/>
        </w:numPr>
        <w:rPr>
          <w:rFonts w:cs="Calibri"/>
          <w:snapToGrid/>
          <w:color w:val="000000" w:themeColor="text1"/>
          <w:szCs w:val="24"/>
          <w:lang w:val="en-US" w:eastAsia="en-AU"/>
        </w:rPr>
      </w:pPr>
      <w:r w:rsidRPr="00763D8B">
        <w:t xml:space="preserve">The resubmission stated that a statistically robust indirect comparison of the long-term efficacy and safety of alemtuzumab versus fingolimod or natalizumab was hampered by lack of comparators, lack of data, and differences in trial design, patient cohorts and lengths of follow up. The resubmission stated that a naïve indirect comparison of the efficacy and safety over an extended time period with alemtuzumab compared to continuous fingolimod or natalizumab was presented in an Attachment to the resubmission. </w:t>
      </w:r>
      <w:r w:rsidR="00281339" w:rsidRPr="00763D8B">
        <w:t xml:space="preserve">The </w:t>
      </w:r>
      <w:r w:rsidR="00680F38">
        <w:t>re</w:t>
      </w:r>
      <w:r w:rsidR="00281339" w:rsidRPr="00763D8B">
        <w:t>submission provided the results of literature searches however a formal indirect comparison was not provided</w:t>
      </w:r>
      <w:r w:rsidRPr="00763D8B">
        <w:t xml:space="preserve">. </w:t>
      </w:r>
      <w:r w:rsidR="00B8287F" w:rsidRPr="00A62C1D">
        <w:t xml:space="preserve">The </w:t>
      </w:r>
      <w:r w:rsidR="00227132">
        <w:t>PBAC</w:t>
      </w:r>
      <w:r w:rsidR="00B8287F" w:rsidRPr="00A62C1D">
        <w:t xml:space="preserve"> noted that a</w:t>
      </w:r>
      <w:r w:rsidRPr="00A62C1D">
        <w:t xml:space="preserve"> matched cohort study comparing interferon beta, fingolimod,</w:t>
      </w:r>
      <w:r w:rsidRPr="00763D8B">
        <w:t xml:space="preserve"> natalizumab and alemtuzumab in patients with RRMS for up to 4 years (Kalincik et al 2017</w:t>
      </w:r>
      <w:r w:rsidRPr="00763D8B">
        <w:rPr>
          <w:rStyle w:val="FootnoteReference"/>
        </w:rPr>
        <w:footnoteReference w:id="1"/>
      </w:r>
      <w:r w:rsidRPr="00763D8B">
        <w:t xml:space="preserve">) was identified during the evaluation.  </w:t>
      </w:r>
    </w:p>
    <w:p w:rsidR="00BD1912" w:rsidRPr="00763D8B" w:rsidRDefault="00BD1912" w:rsidP="00FD072C">
      <w:pPr>
        <w:pStyle w:val="ListParagraph"/>
        <w:widowControl/>
        <w:numPr>
          <w:ilvl w:val="1"/>
          <w:numId w:val="1"/>
        </w:numPr>
      </w:pPr>
      <w:r w:rsidRPr="00763D8B">
        <w:t xml:space="preserve">The key features of the direct randomised trials and extension study are summarised in </w:t>
      </w:r>
      <w:r w:rsidR="00A94F25" w:rsidRPr="00A94F25">
        <w:t>Table 6</w:t>
      </w:r>
      <w:r w:rsidRPr="00763D8B">
        <w:t xml:space="preserve">. </w:t>
      </w:r>
    </w:p>
    <w:p w:rsidR="00BD1912" w:rsidRPr="00E2771E" w:rsidRDefault="00BD1912" w:rsidP="00F37790">
      <w:pPr>
        <w:keepNext/>
        <w:rPr>
          <w:rStyle w:val="CommentReference"/>
        </w:rPr>
      </w:pPr>
      <w:bookmarkStart w:id="11" w:name="_Ref523870624"/>
      <w:r w:rsidRPr="008B7149">
        <w:rPr>
          <w:rFonts w:ascii="Arial Narrow" w:hAnsi="Arial Narrow"/>
          <w:b/>
          <w:sz w:val="20"/>
          <w:szCs w:val="16"/>
        </w:rPr>
        <w:lastRenderedPageBreak/>
        <w:t xml:space="preserve">Table </w:t>
      </w:r>
      <w:r w:rsidR="00A94F25">
        <w:rPr>
          <w:rFonts w:ascii="Arial Narrow" w:hAnsi="Arial Narrow"/>
          <w:b/>
          <w:noProof/>
          <w:sz w:val="20"/>
          <w:szCs w:val="16"/>
        </w:rPr>
        <w:t>6</w:t>
      </w:r>
      <w:bookmarkEnd w:id="11"/>
      <w:r w:rsidRPr="00E2771E">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2"/>
        <w:gridCol w:w="840"/>
        <w:gridCol w:w="1410"/>
        <w:gridCol w:w="1120"/>
        <w:gridCol w:w="1545"/>
        <w:gridCol w:w="1122"/>
        <w:gridCol w:w="1697"/>
      </w:tblGrid>
      <w:tr w:rsidR="00BD1912" w:rsidRPr="00B41614" w:rsidTr="001666A4">
        <w:tc>
          <w:tcPr>
            <w:tcW w:w="711" w:type="pct"/>
            <w:shd w:val="clear" w:color="auto" w:fill="auto"/>
            <w:vAlign w:val="center"/>
          </w:tcPr>
          <w:p w:rsidR="00BD1912" w:rsidRPr="00B41614" w:rsidRDefault="00BD1912" w:rsidP="00F37790">
            <w:pPr>
              <w:pStyle w:val="Tabletext"/>
              <w:keepNext/>
              <w:rPr>
                <w:b/>
                <w:lang w:val="en-US"/>
              </w:rPr>
            </w:pPr>
            <w:r w:rsidRPr="00B41614">
              <w:rPr>
                <w:b/>
                <w:lang w:val="en-US"/>
              </w:rPr>
              <w:t>Trial</w:t>
            </w:r>
          </w:p>
        </w:tc>
        <w:tc>
          <w:tcPr>
            <w:tcW w:w="466" w:type="pct"/>
            <w:shd w:val="clear" w:color="auto" w:fill="auto"/>
            <w:vAlign w:val="center"/>
          </w:tcPr>
          <w:p w:rsidR="00BD1912" w:rsidRPr="00B41614" w:rsidRDefault="00BD1912" w:rsidP="00F37790">
            <w:pPr>
              <w:pStyle w:val="Tabletext"/>
              <w:keepNext/>
              <w:jc w:val="center"/>
              <w:rPr>
                <w:b/>
                <w:lang w:val="en-US"/>
              </w:rPr>
            </w:pPr>
            <w:r w:rsidRPr="00B41614">
              <w:rPr>
                <w:b/>
                <w:lang w:val="en-US"/>
              </w:rPr>
              <w:t>N</w:t>
            </w:r>
          </w:p>
        </w:tc>
        <w:tc>
          <w:tcPr>
            <w:tcW w:w="782" w:type="pct"/>
            <w:shd w:val="clear" w:color="auto" w:fill="auto"/>
            <w:vAlign w:val="center"/>
          </w:tcPr>
          <w:p w:rsidR="00BD1912" w:rsidRPr="00B41614" w:rsidRDefault="00BD1912" w:rsidP="00F37790">
            <w:pPr>
              <w:pStyle w:val="Tabletext"/>
              <w:keepNext/>
              <w:jc w:val="center"/>
              <w:rPr>
                <w:b/>
                <w:lang w:val="en-US"/>
              </w:rPr>
            </w:pPr>
            <w:r w:rsidRPr="00B41614">
              <w:rPr>
                <w:b/>
                <w:lang w:val="en-US"/>
              </w:rPr>
              <w:t>Design/ duration</w:t>
            </w:r>
          </w:p>
        </w:tc>
        <w:tc>
          <w:tcPr>
            <w:tcW w:w="621" w:type="pct"/>
            <w:shd w:val="clear" w:color="auto" w:fill="auto"/>
            <w:vAlign w:val="center"/>
          </w:tcPr>
          <w:p w:rsidR="00BD1912" w:rsidRPr="00B41614" w:rsidRDefault="00BD1912" w:rsidP="00F37790">
            <w:pPr>
              <w:pStyle w:val="Tabletext"/>
              <w:keepNext/>
              <w:jc w:val="center"/>
              <w:rPr>
                <w:b/>
                <w:lang w:val="en-US"/>
              </w:rPr>
            </w:pPr>
            <w:r w:rsidRPr="00B41614">
              <w:rPr>
                <w:b/>
                <w:lang w:val="en-US"/>
              </w:rPr>
              <w:t>Risk of bias</w:t>
            </w:r>
          </w:p>
        </w:tc>
        <w:tc>
          <w:tcPr>
            <w:tcW w:w="857" w:type="pct"/>
            <w:shd w:val="clear" w:color="auto" w:fill="auto"/>
            <w:vAlign w:val="center"/>
          </w:tcPr>
          <w:p w:rsidR="00BD1912" w:rsidRPr="00B41614" w:rsidRDefault="00BD1912" w:rsidP="00F37790">
            <w:pPr>
              <w:pStyle w:val="Tabletext"/>
              <w:keepNext/>
              <w:jc w:val="center"/>
              <w:rPr>
                <w:b/>
                <w:lang w:val="en-US"/>
              </w:rPr>
            </w:pPr>
            <w:r w:rsidRPr="00B41614">
              <w:rPr>
                <w:b/>
                <w:lang w:val="en-US"/>
              </w:rPr>
              <w:t>Patient population</w:t>
            </w:r>
          </w:p>
        </w:tc>
        <w:tc>
          <w:tcPr>
            <w:tcW w:w="622" w:type="pct"/>
            <w:shd w:val="clear" w:color="auto" w:fill="auto"/>
            <w:vAlign w:val="center"/>
          </w:tcPr>
          <w:p w:rsidR="00BD1912" w:rsidRPr="00B41614" w:rsidRDefault="00BD1912" w:rsidP="00F37790">
            <w:pPr>
              <w:pStyle w:val="Tabletext"/>
              <w:keepNext/>
              <w:jc w:val="center"/>
              <w:rPr>
                <w:b/>
                <w:lang w:val="en-US"/>
              </w:rPr>
            </w:pPr>
            <w:r w:rsidRPr="00B41614">
              <w:rPr>
                <w:b/>
                <w:lang w:val="en-US"/>
              </w:rPr>
              <w:t>Outcome(s)</w:t>
            </w:r>
          </w:p>
        </w:tc>
        <w:tc>
          <w:tcPr>
            <w:tcW w:w="941" w:type="pct"/>
            <w:shd w:val="clear" w:color="auto" w:fill="auto"/>
            <w:vAlign w:val="center"/>
          </w:tcPr>
          <w:p w:rsidR="00BD1912" w:rsidRPr="00B41614" w:rsidRDefault="00BD1912" w:rsidP="00F37790">
            <w:pPr>
              <w:pStyle w:val="Tabletext"/>
              <w:keepNext/>
              <w:jc w:val="center"/>
              <w:rPr>
                <w:b/>
                <w:lang w:val="en-US"/>
              </w:rPr>
            </w:pPr>
            <w:r w:rsidRPr="00B41614">
              <w:rPr>
                <w:b/>
                <w:lang w:val="en-US"/>
              </w:rPr>
              <w:t xml:space="preserve">Use in </w:t>
            </w:r>
            <w:r>
              <w:rPr>
                <w:b/>
                <w:lang w:val="en-US"/>
              </w:rPr>
              <w:t>cost analysis</w:t>
            </w:r>
          </w:p>
        </w:tc>
      </w:tr>
      <w:tr w:rsidR="00BD1912" w:rsidRPr="00E2771E" w:rsidTr="001666A4">
        <w:tc>
          <w:tcPr>
            <w:tcW w:w="5000" w:type="pct"/>
            <w:gridSpan w:val="7"/>
            <w:shd w:val="clear" w:color="auto" w:fill="auto"/>
            <w:vAlign w:val="center"/>
          </w:tcPr>
          <w:p w:rsidR="00BD1912" w:rsidRPr="00B41614" w:rsidRDefault="00F373AC" w:rsidP="00F37790">
            <w:pPr>
              <w:pStyle w:val="Tabletext"/>
              <w:keepNext/>
              <w:rPr>
                <w:b/>
                <w:lang w:val="en-US"/>
              </w:rPr>
            </w:pPr>
            <w:r>
              <w:rPr>
                <w:b/>
                <w:lang w:val="en-US"/>
              </w:rPr>
              <w:t>Alemtuzumab versus interferon beta</w:t>
            </w:r>
          </w:p>
        </w:tc>
      </w:tr>
      <w:tr w:rsidR="00BD1912" w:rsidRPr="00E2771E" w:rsidTr="001666A4">
        <w:tc>
          <w:tcPr>
            <w:tcW w:w="711" w:type="pct"/>
            <w:shd w:val="clear" w:color="auto" w:fill="auto"/>
            <w:vAlign w:val="center"/>
          </w:tcPr>
          <w:p w:rsidR="00BD1912" w:rsidRPr="00E2771E" w:rsidRDefault="003F073A" w:rsidP="00F37790">
            <w:pPr>
              <w:pStyle w:val="Tabletext"/>
              <w:keepNext/>
              <w:rPr>
                <w:lang w:val="en-US"/>
              </w:rPr>
            </w:pPr>
            <w:r>
              <w:rPr>
                <w:lang w:val="en-US"/>
              </w:rPr>
              <w:t>CARE-</w:t>
            </w:r>
            <w:r w:rsidR="00BD1912">
              <w:rPr>
                <w:lang w:val="en-US"/>
              </w:rPr>
              <w:t>MS I</w:t>
            </w:r>
          </w:p>
        </w:tc>
        <w:tc>
          <w:tcPr>
            <w:tcW w:w="466" w:type="pct"/>
            <w:shd w:val="clear" w:color="auto" w:fill="auto"/>
            <w:vAlign w:val="center"/>
          </w:tcPr>
          <w:p w:rsidR="00BD1912" w:rsidRPr="00E2771E" w:rsidRDefault="00BD1912" w:rsidP="00F37790">
            <w:pPr>
              <w:pStyle w:val="Tabletext"/>
              <w:keepNext/>
              <w:jc w:val="center"/>
              <w:rPr>
                <w:lang w:val="en-US"/>
              </w:rPr>
            </w:pPr>
            <w:r>
              <w:rPr>
                <w:lang w:val="en-US"/>
              </w:rPr>
              <w:t>581</w:t>
            </w:r>
          </w:p>
        </w:tc>
        <w:tc>
          <w:tcPr>
            <w:tcW w:w="782" w:type="pct"/>
            <w:shd w:val="clear" w:color="auto" w:fill="auto"/>
            <w:vAlign w:val="center"/>
          </w:tcPr>
          <w:p w:rsidR="00BD1912" w:rsidRPr="00E2771E" w:rsidRDefault="00BD1912" w:rsidP="00F37790">
            <w:pPr>
              <w:pStyle w:val="Tabletext"/>
              <w:keepNext/>
              <w:jc w:val="center"/>
              <w:rPr>
                <w:lang w:val="en-US"/>
              </w:rPr>
            </w:pPr>
            <w:r>
              <w:rPr>
                <w:lang w:val="en-US"/>
              </w:rPr>
              <w:t>OL 2 years</w:t>
            </w:r>
          </w:p>
        </w:tc>
        <w:tc>
          <w:tcPr>
            <w:tcW w:w="621" w:type="pct"/>
            <w:shd w:val="clear" w:color="auto" w:fill="auto"/>
            <w:vAlign w:val="center"/>
          </w:tcPr>
          <w:p w:rsidR="00BD1912" w:rsidRPr="00E2771E" w:rsidRDefault="00BD1912" w:rsidP="00F37790">
            <w:pPr>
              <w:pStyle w:val="Tabletext"/>
              <w:keepNext/>
              <w:jc w:val="center"/>
              <w:rPr>
                <w:lang w:val="en-US"/>
              </w:rPr>
            </w:pPr>
            <w:r>
              <w:rPr>
                <w:lang w:val="en-US"/>
              </w:rPr>
              <w:t>High</w:t>
            </w:r>
          </w:p>
        </w:tc>
        <w:tc>
          <w:tcPr>
            <w:tcW w:w="857" w:type="pct"/>
            <w:shd w:val="clear" w:color="auto" w:fill="auto"/>
            <w:vAlign w:val="center"/>
          </w:tcPr>
          <w:p w:rsidR="00BD1912" w:rsidRPr="00E2771E" w:rsidRDefault="00BD1912" w:rsidP="00F37790">
            <w:pPr>
              <w:pStyle w:val="Tabletext"/>
              <w:keepNext/>
              <w:jc w:val="center"/>
              <w:rPr>
                <w:lang w:val="en-US"/>
              </w:rPr>
            </w:pPr>
            <w:r>
              <w:rPr>
                <w:lang w:val="en-US"/>
              </w:rPr>
              <w:t>Treatment Naive RRMS</w:t>
            </w:r>
          </w:p>
        </w:tc>
        <w:tc>
          <w:tcPr>
            <w:tcW w:w="622" w:type="pct"/>
            <w:vMerge w:val="restart"/>
            <w:shd w:val="clear" w:color="auto" w:fill="auto"/>
            <w:vAlign w:val="center"/>
          </w:tcPr>
          <w:p w:rsidR="00BD1912" w:rsidRPr="00E2771E" w:rsidRDefault="00BD1912" w:rsidP="00F37790">
            <w:pPr>
              <w:pStyle w:val="Tabletext"/>
              <w:keepNext/>
              <w:jc w:val="center"/>
              <w:rPr>
                <w:lang w:val="en-US"/>
              </w:rPr>
            </w:pPr>
            <w:r>
              <w:rPr>
                <w:lang w:val="en-US"/>
              </w:rPr>
              <w:t xml:space="preserve">ARR, SAD, </w:t>
            </w:r>
            <w:r w:rsidR="00941A1B">
              <w:rPr>
                <w:lang w:val="en-US"/>
              </w:rPr>
              <w:t>re-treatment</w:t>
            </w:r>
            <w:r>
              <w:rPr>
                <w:lang w:val="en-US"/>
              </w:rPr>
              <w:t xml:space="preserve"> rates </w:t>
            </w:r>
          </w:p>
        </w:tc>
        <w:tc>
          <w:tcPr>
            <w:tcW w:w="941" w:type="pct"/>
            <w:shd w:val="clear" w:color="auto" w:fill="auto"/>
            <w:vAlign w:val="center"/>
          </w:tcPr>
          <w:p w:rsidR="00BD1912" w:rsidRPr="00E2771E" w:rsidRDefault="00BD1912" w:rsidP="00F37790">
            <w:pPr>
              <w:pStyle w:val="Tabletext"/>
              <w:keepNext/>
              <w:jc w:val="center"/>
              <w:rPr>
                <w:lang w:val="en-US"/>
              </w:rPr>
            </w:pPr>
            <w:r>
              <w:rPr>
                <w:lang w:val="en-US"/>
              </w:rPr>
              <w:t>Not used</w:t>
            </w:r>
          </w:p>
        </w:tc>
      </w:tr>
      <w:tr w:rsidR="00BD1912" w:rsidRPr="00E2771E" w:rsidTr="001666A4">
        <w:tc>
          <w:tcPr>
            <w:tcW w:w="711" w:type="pct"/>
            <w:shd w:val="clear" w:color="auto" w:fill="auto"/>
            <w:vAlign w:val="center"/>
          </w:tcPr>
          <w:p w:rsidR="00BD1912" w:rsidRPr="00E2771E" w:rsidRDefault="00BD1912" w:rsidP="00F37790">
            <w:pPr>
              <w:pStyle w:val="Tabletext"/>
              <w:keepNext/>
              <w:rPr>
                <w:lang w:val="en-US"/>
              </w:rPr>
            </w:pPr>
            <w:r>
              <w:rPr>
                <w:lang w:val="en-US"/>
              </w:rPr>
              <w:t>CARE-MS II</w:t>
            </w:r>
          </w:p>
        </w:tc>
        <w:tc>
          <w:tcPr>
            <w:tcW w:w="466" w:type="pct"/>
            <w:shd w:val="clear" w:color="auto" w:fill="auto"/>
            <w:vAlign w:val="center"/>
          </w:tcPr>
          <w:p w:rsidR="00BD1912" w:rsidRPr="00E2771E" w:rsidRDefault="00BD1912" w:rsidP="00F37790">
            <w:pPr>
              <w:pStyle w:val="Tabletext"/>
              <w:keepNext/>
              <w:jc w:val="center"/>
              <w:rPr>
                <w:lang w:val="en-US"/>
              </w:rPr>
            </w:pPr>
            <w:r>
              <w:rPr>
                <w:lang w:val="en-US"/>
              </w:rPr>
              <w:t>840</w:t>
            </w:r>
          </w:p>
        </w:tc>
        <w:tc>
          <w:tcPr>
            <w:tcW w:w="782" w:type="pct"/>
            <w:shd w:val="clear" w:color="auto" w:fill="auto"/>
            <w:vAlign w:val="center"/>
          </w:tcPr>
          <w:p w:rsidR="00BD1912" w:rsidRPr="00E2771E" w:rsidRDefault="00BD1912" w:rsidP="00F37790">
            <w:pPr>
              <w:pStyle w:val="Tabletext"/>
              <w:keepNext/>
              <w:jc w:val="center"/>
              <w:rPr>
                <w:lang w:val="en-US"/>
              </w:rPr>
            </w:pPr>
            <w:r>
              <w:rPr>
                <w:lang w:val="en-US"/>
              </w:rPr>
              <w:t>OL 2 years</w:t>
            </w:r>
          </w:p>
        </w:tc>
        <w:tc>
          <w:tcPr>
            <w:tcW w:w="621" w:type="pct"/>
            <w:shd w:val="clear" w:color="auto" w:fill="auto"/>
            <w:vAlign w:val="center"/>
          </w:tcPr>
          <w:p w:rsidR="00BD1912" w:rsidRPr="00E2771E" w:rsidRDefault="00BD1912" w:rsidP="00F37790">
            <w:pPr>
              <w:pStyle w:val="Tabletext"/>
              <w:keepNext/>
              <w:jc w:val="center"/>
              <w:rPr>
                <w:lang w:val="en-US"/>
              </w:rPr>
            </w:pPr>
            <w:r w:rsidRPr="00E2771E">
              <w:rPr>
                <w:lang w:val="en-US"/>
              </w:rPr>
              <w:t>High</w:t>
            </w:r>
          </w:p>
        </w:tc>
        <w:tc>
          <w:tcPr>
            <w:tcW w:w="857" w:type="pct"/>
            <w:shd w:val="clear" w:color="auto" w:fill="auto"/>
            <w:vAlign w:val="center"/>
          </w:tcPr>
          <w:p w:rsidR="00BD1912" w:rsidRPr="00E2771E" w:rsidRDefault="00BD1912" w:rsidP="00F37790">
            <w:pPr>
              <w:pStyle w:val="Tabletext"/>
              <w:keepNext/>
              <w:jc w:val="center"/>
              <w:rPr>
                <w:lang w:val="en-US"/>
              </w:rPr>
            </w:pPr>
            <w:r>
              <w:rPr>
                <w:lang w:val="en-US"/>
              </w:rPr>
              <w:t xml:space="preserve">Treatment experienced RRMS </w:t>
            </w:r>
          </w:p>
        </w:tc>
        <w:tc>
          <w:tcPr>
            <w:tcW w:w="622" w:type="pct"/>
            <w:vMerge/>
            <w:shd w:val="clear" w:color="auto" w:fill="auto"/>
            <w:vAlign w:val="center"/>
          </w:tcPr>
          <w:p w:rsidR="00BD1912" w:rsidRPr="00E2771E" w:rsidRDefault="00BD1912" w:rsidP="00F37790">
            <w:pPr>
              <w:pStyle w:val="Tabletext"/>
              <w:keepNext/>
              <w:jc w:val="center"/>
              <w:rPr>
                <w:lang w:val="en-US"/>
              </w:rPr>
            </w:pPr>
          </w:p>
        </w:tc>
        <w:tc>
          <w:tcPr>
            <w:tcW w:w="941" w:type="pct"/>
            <w:shd w:val="clear" w:color="auto" w:fill="auto"/>
            <w:vAlign w:val="center"/>
          </w:tcPr>
          <w:p w:rsidR="00BD1912" w:rsidRPr="00E2771E" w:rsidRDefault="00BD1912" w:rsidP="00F37790">
            <w:pPr>
              <w:pStyle w:val="Tabletext"/>
              <w:keepNext/>
              <w:jc w:val="center"/>
              <w:rPr>
                <w:lang w:val="en-US"/>
              </w:rPr>
            </w:pPr>
            <w:r w:rsidRPr="00E2771E">
              <w:rPr>
                <w:lang w:val="en-US"/>
              </w:rPr>
              <w:t>Not used</w:t>
            </w:r>
          </w:p>
        </w:tc>
      </w:tr>
      <w:tr w:rsidR="00F373AC" w:rsidRPr="00E2771E" w:rsidTr="00F373AC">
        <w:tc>
          <w:tcPr>
            <w:tcW w:w="3437" w:type="pct"/>
            <w:gridSpan w:val="5"/>
            <w:shd w:val="clear" w:color="auto" w:fill="auto"/>
          </w:tcPr>
          <w:p w:rsidR="00F373AC" w:rsidRPr="00F373AC" w:rsidRDefault="00F373AC" w:rsidP="00F37790">
            <w:pPr>
              <w:pStyle w:val="Tabletext"/>
              <w:keepNext/>
              <w:rPr>
                <w:b/>
                <w:lang w:val="en-US"/>
              </w:rPr>
            </w:pPr>
            <w:r w:rsidRPr="00F373AC">
              <w:rPr>
                <w:b/>
                <w:lang w:val="en-US"/>
              </w:rPr>
              <w:t>Alemtuzumab</w:t>
            </w:r>
          </w:p>
        </w:tc>
        <w:tc>
          <w:tcPr>
            <w:tcW w:w="622" w:type="pct"/>
            <w:vMerge/>
            <w:shd w:val="clear" w:color="auto" w:fill="auto"/>
            <w:vAlign w:val="center"/>
          </w:tcPr>
          <w:p w:rsidR="00F373AC" w:rsidRPr="00E2771E" w:rsidRDefault="00F373AC" w:rsidP="00F37790">
            <w:pPr>
              <w:pStyle w:val="Tabletext"/>
              <w:keepNext/>
              <w:jc w:val="center"/>
              <w:rPr>
                <w:lang w:val="en-US"/>
              </w:rPr>
            </w:pPr>
          </w:p>
        </w:tc>
        <w:tc>
          <w:tcPr>
            <w:tcW w:w="941" w:type="pct"/>
            <w:shd w:val="clear" w:color="auto" w:fill="auto"/>
            <w:vAlign w:val="center"/>
          </w:tcPr>
          <w:p w:rsidR="00F373AC" w:rsidRDefault="00F373AC" w:rsidP="00F37790">
            <w:pPr>
              <w:pStyle w:val="Tabletext"/>
              <w:keepNext/>
              <w:jc w:val="center"/>
              <w:rPr>
                <w:lang w:val="en-US"/>
              </w:rPr>
            </w:pPr>
          </w:p>
        </w:tc>
      </w:tr>
      <w:tr w:rsidR="00BD1912" w:rsidRPr="00E2771E" w:rsidTr="001666A4">
        <w:tc>
          <w:tcPr>
            <w:tcW w:w="711" w:type="pct"/>
            <w:shd w:val="clear" w:color="auto" w:fill="auto"/>
            <w:vAlign w:val="center"/>
          </w:tcPr>
          <w:p w:rsidR="00BD1912" w:rsidRPr="00E2771E" w:rsidRDefault="00BD1912" w:rsidP="00F37790">
            <w:pPr>
              <w:pStyle w:val="Tabletext"/>
              <w:keepNext/>
              <w:rPr>
                <w:lang w:val="en-US"/>
              </w:rPr>
            </w:pPr>
            <w:r>
              <w:rPr>
                <w:lang w:val="en-US"/>
              </w:rPr>
              <w:t>CARE-MS extension</w:t>
            </w:r>
          </w:p>
        </w:tc>
        <w:tc>
          <w:tcPr>
            <w:tcW w:w="466" w:type="pct"/>
            <w:shd w:val="clear" w:color="auto" w:fill="auto"/>
            <w:vAlign w:val="center"/>
          </w:tcPr>
          <w:p w:rsidR="00BD1912" w:rsidRPr="00E2771E" w:rsidRDefault="00BD1912" w:rsidP="00F37790">
            <w:pPr>
              <w:pStyle w:val="Tabletext"/>
              <w:keepNext/>
              <w:jc w:val="center"/>
              <w:rPr>
                <w:lang w:val="en-US"/>
              </w:rPr>
            </w:pPr>
            <w:r>
              <w:rPr>
                <w:lang w:val="en-US"/>
              </w:rPr>
              <w:t>1,314</w:t>
            </w:r>
          </w:p>
        </w:tc>
        <w:tc>
          <w:tcPr>
            <w:tcW w:w="782" w:type="pct"/>
            <w:shd w:val="clear" w:color="auto" w:fill="auto"/>
            <w:vAlign w:val="center"/>
          </w:tcPr>
          <w:p w:rsidR="00BD1912" w:rsidRPr="00E2771E" w:rsidRDefault="00BD1912" w:rsidP="00F37790">
            <w:pPr>
              <w:pStyle w:val="Tabletext"/>
              <w:keepNext/>
              <w:jc w:val="center"/>
              <w:rPr>
                <w:lang w:val="en-US"/>
              </w:rPr>
            </w:pPr>
            <w:r>
              <w:rPr>
                <w:lang w:val="en-US"/>
              </w:rPr>
              <w:t>OL</w:t>
            </w:r>
          </w:p>
          <w:p w:rsidR="00BD1912" w:rsidRPr="00E2771E" w:rsidRDefault="00BD1912" w:rsidP="00F37790">
            <w:pPr>
              <w:pStyle w:val="Tabletext"/>
              <w:keepNext/>
              <w:jc w:val="center"/>
              <w:rPr>
                <w:lang w:val="en-US"/>
              </w:rPr>
            </w:pPr>
            <w:r>
              <w:rPr>
                <w:lang w:val="en-US"/>
              </w:rPr>
              <w:t>6 years</w:t>
            </w:r>
          </w:p>
        </w:tc>
        <w:tc>
          <w:tcPr>
            <w:tcW w:w="621" w:type="pct"/>
            <w:shd w:val="clear" w:color="auto" w:fill="auto"/>
            <w:vAlign w:val="center"/>
          </w:tcPr>
          <w:p w:rsidR="00BD1912" w:rsidRPr="00E2771E" w:rsidRDefault="00BD1912" w:rsidP="00F37790">
            <w:pPr>
              <w:pStyle w:val="Tabletext"/>
              <w:keepNext/>
              <w:jc w:val="center"/>
              <w:rPr>
                <w:lang w:val="en-US"/>
              </w:rPr>
            </w:pPr>
            <w:r>
              <w:rPr>
                <w:lang w:val="en-US"/>
              </w:rPr>
              <w:t>High</w:t>
            </w:r>
          </w:p>
        </w:tc>
        <w:tc>
          <w:tcPr>
            <w:tcW w:w="857" w:type="pct"/>
            <w:shd w:val="clear" w:color="auto" w:fill="auto"/>
            <w:vAlign w:val="center"/>
          </w:tcPr>
          <w:p w:rsidR="00BD1912" w:rsidRPr="00E2771E" w:rsidRDefault="00BD1912" w:rsidP="00F37790">
            <w:pPr>
              <w:pStyle w:val="Tabletext"/>
              <w:keepNext/>
              <w:jc w:val="center"/>
              <w:rPr>
                <w:lang w:val="en-US"/>
              </w:rPr>
            </w:pPr>
            <w:r>
              <w:rPr>
                <w:lang w:val="en-US"/>
              </w:rPr>
              <w:t>Patients enrolled in core CARE-MS trials</w:t>
            </w:r>
          </w:p>
        </w:tc>
        <w:tc>
          <w:tcPr>
            <w:tcW w:w="622" w:type="pct"/>
            <w:vMerge/>
            <w:shd w:val="clear" w:color="auto" w:fill="auto"/>
            <w:vAlign w:val="center"/>
          </w:tcPr>
          <w:p w:rsidR="00BD1912" w:rsidRPr="00E2771E" w:rsidRDefault="00BD1912" w:rsidP="00F37790">
            <w:pPr>
              <w:pStyle w:val="Tabletext"/>
              <w:keepNext/>
              <w:jc w:val="center"/>
              <w:rPr>
                <w:lang w:val="en-US"/>
              </w:rPr>
            </w:pPr>
          </w:p>
        </w:tc>
        <w:tc>
          <w:tcPr>
            <w:tcW w:w="941" w:type="pct"/>
            <w:shd w:val="clear" w:color="auto" w:fill="auto"/>
            <w:vAlign w:val="center"/>
          </w:tcPr>
          <w:p w:rsidR="00BD1912" w:rsidRPr="00E2771E" w:rsidRDefault="00BD1912" w:rsidP="00F37790">
            <w:pPr>
              <w:pStyle w:val="Tabletext"/>
              <w:keepNext/>
              <w:jc w:val="center"/>
              <w:rPr>
                <w:lang w:val="en-US"/>
              </w:rPr>
            </w:pPr>
            <w:r>
              <w:rPr>
                <w:lang w:val="en-US"/>
              </w:rPr>
              <w:t>Re</w:t>
            </w:r>
            <w:r w:rsidR="00856134">
              <w:rPr>
                <w:lang w:val="en-US"/>
              </w:rPr>
              <w:t>-</w:t>
            </w:r>
            <w:r>
              <w:rPr>
                <w:lang w:val="en-US"/>
              </w:rPr>
              <w:t>treatment rates</w:t>
            </w:r>
          </w:p>
        </w:tc>
      </w:tr>
    </w:tbl>
    <w:p w:rsidR="00BD1912" w:rsidRDefault="00BD1912" w:rsidP="00F37790">
      <w:pPr>
        <w:pStyle w:val="TableFooter"/>
        <w:keepNext/>
      </w:pPr>
      <w:r>
        <w:t>Source: pp17-22 of the</w:t>
      </w:r>
      <w:r w:rsidR="00436C41">
        <w:t xml:space="preserve"> resubmission</w:t>
      </w:r>
      <w:r>
        <w:t>.</w:t>
      </w:r>
    </w:p>
    <w:p w:rsidR="00BD1912" w:rsidRPr="0072416F" w:rsidRDefault="000B2DE8" w:rsidP="00F37790">
      <w:pPr>
        <w:pStyle w:val="TableFooter"/>
        <w:keepNext/>
        <w:spacing w:after="120"/>
      </w:pPr>
      <w:r>
        <w:t xml:space="preserve">ARR=annualised relapse rate; </w:t>
      </w:r>
      <w:r w:rsidR="00BD1912" w:rsidRPr="0072416F">
        <w:t>DB=double blind; MC=multi-centre; OL=open label;</w:t>
      </w:r>
      <w:r>
        <w:t xml:space="preserve"> SAD=</w:t>
      </w:r>
      <w:r w:rsidR="00D550F5" w:rsidRPr="00D550F5">
        <w:rPr>
          <w:szCs w:val="20"/>
        </w:rPr>
        <w:t xml:space="preserve"> </w:t>
      </w:r>
      <w:r w:rsidR="00D550F5" w:rsidRPr="00D805E7">
        <w:rPr>
          <w:szCs w:val="20"/>
        </w:rPr>
        <w:t>sustained accumulation of disability</w:t>
      </w:r>
      <w:r w:rsidR="00BD1912" w:rsidRPr="0072416F">
        <w:t xml:space="preserve"> </w:t>
      </w:r>
    </w:p>
    <w:p w:rsidR="00BD1912" w:rsidRPr="00057575" w:rsidRDefault="00BD1912" w:rsidP="00FD072C">
      <w:pPr>
        <w:pStyle w:val="ListParagraph"/>
        <w:widowControl/>
        <w:numPr>
          <w:ilvl w:val="1"/>
          <w:numId w:val="1"/>
        </w:numPr>
      </w:pPr>
      <w:r w:rsidRPr="00763D8B">
        <w:t xml:space="preserve">The comparison of alemtuzumab over two years versus over six years was </w:t>
      </w:r>
      <w:r w:rsidR="00F373AC" w:rsidRPr="00763D8B">
        <w:t xml:space="preserve">conducted </w:t>
      </w:r>
      <w:r w:rsidRPr="00763D8B">
        <w:t xml:space="preserve">post-hoc, </w:t>
      </w:r>
      <w:r w:rsidR="00F373AC" w:rsidRPr="00763D8B">
        <w:t xml:space="preserve">was </w:t>
      </w:r>
      <w:r w:rsidRPr="00763D8B">
        <w:t xml:space="preserve">descriptive </w:t>
      </w:r>
      <w:r w:rsidR="00F373AC" w:rsidRPr="00763D8B">
        <w:t xml:space="preserve">with no statistical testing </w:t>
      </w:r>
      <w:r w:rsidRPr="00763D8B">
        <w:t>and based on the unblinded, single intervention CARE-MS extension study, which made it susceptible to bias.</w:t>
      </w:r>
      <w:r w:rsidR="00580C61">
        <w:t xml:space="preserve"> </w:t>
      </w:r>
      <w:r w:rsidR="00580C61" w:rsidRPr="00057575">
        <w:t xml:space="preserve">The PSCR (p1) stated that the extension study was analysed according to a pre-planned statistical analysis plan and therefore was not post-hoc. The ESC noted the specific comparison of results at two and six years was not presented in the Clinical Study Report and appeared to be post-hoc. The </w:t>
      </w:r>
      <w:r w:rsidR="00227132">
        <w:t>PBAC</w:t>
      </w:r>
      <w:r w:rsidR="00580C61" w:rsidRPr="00057575">
        <w:t xml:space="preserve"> </w:t>
      </w:r>
      <w:r w:rsidR="00E70AF6">
        <w:t>considered</w:t>
      </w:r>
      <w:r w:rsidR="00580C61" w:rsidRPr="00057575">
        <w:t xml:space="preserve"> that because it was a single arm study the efficacy and safety of the additional courses of alemtuzumab versus no additional treatment or switching to an alternative treatment could not be assessed.</w:t>
      </w:r>
    </w:p>
    <w:p w:rsidR="00BD1912" w:rsidRPr="00057575" w:rsidRDefault="00BD1912" w:rsidP="00FD072C">
      <w:pPr>
        <w:pStyle w:val="ListParagraph"/>
        <w:widowControl/>
        <w:numPr>
          <w:ilvl w:val="1"/>
          <w:numId w:val="1"/>
        </w:numPr>
      </w:pPr>
      <w:r w:rsidRPr="00763D8B">
        <w:t>The resubmission’s choice of analysis sets from the CARE-MS extension was inconsistent and not clearly discussed. The resubmission described the full analysis set (FAS) as including all patients who received at least one intervention in the core CARE-MS trial</w:t>
      </w:r>
      <w:r w:rsidR="00B8287F">
        <w:t>s</w:t>
      </w:r>
      <w:r w:rsidRPr="00763D8B">
        <w:t xml:space="preserve">. However, the resubmission presented most of the </w:t>
      </w:r>
      <w:r w:rsidR="00941A1B" w:rsidRPr="00763D8B">
        <w:t>re-treatment</w:t>
      </w:r>
      <w:r w:rsidR="00E7508E" w:rsidRPr="00763D8B">
        <w:t xml:space="preserve"> rate </w:t>
      </w:r>
      <w:r w:rsidRPr="00763D8B">
        <w:t xml:space="preserve">comparisons from the immediate alemtuzumab treatment (IAT) </w:t>
      </w:r>
      <w:r w:rsidR="00D550F5" w:rsidRPr="00763D8B">
        <w:t>subgroup (those treated with alemtuzumab in the core trials and enrolled in the extension for possible treatment with a third to sixth course). The delayed alemtuzumab treatment (DAT) subgroup were those treated with interferon beta in the core trials and enrol</w:t>
      </w:r>
      <w:r w:rsidR="002615E5" w:rsidRPr="00763D8B">
        <w:t>led in the extension study for possible treatment with a first to fourth course of alemtuzumab. The IAT and DAT subgroups</w:t>
      </w:r>
      <w:r w:rsidRPr="00763D8B">
        <w:t xml:space="preserve"> appeared to be based on the set of patients who enrolled in the</w:t>
      </w:r>
      <w:r w:rsidR="008F7277" w:rsidRPr="00763D8B">
        <w:t xml:space="preserve"> CARE-MS</w:t>
      </w:r>
      <w:r w:rsidRPr="00763D8B">
        <w:t xml:space="preserve"> extension study</w:t>
      </w:r>
      <w:r w:rsidR="002633B0" w:rsidRPr="00763D8B">
        <w:t xml:space="preserve"> only</w:t>
      </w:r>
      <w:r w:rsidRPr="00763D8B">
        <w:t>.</w:t>
      </w:r>
      <w:r w:rsidR="00A96235" w:rsidRPr="00A96235">
        <w:rPr>
          <w:i/>
        </w:rPr>
        <w:t xml:space="preserve"> </w:t>
      </w:r>
      <w:r w:rsidR="00A96235" w:rsidRPr="00057575">
        <w:t>The PSCR stated ‘</w:t>
      </w:r>
      <w:r w:rsidR="009D295A">
        <w:rPr>
          <w:noProof/>
          <w:color w:val="000000"/>
          <w:highlight w:val="black"/>
        </w:rPr>
        <w:t>''''''</w:t>
      </w:r>
      <w:r w:rsidR="00A96235" w:rsidRPr="00057575">
        <w:t xml:space="preserve"> patients who completed the study did not enrol in the extension study’. The ESC noted of the 822 patients randomised to receive 12 mg alemtuzumab in the </w:t>
      </w:r>
      <w:r w:rsidR="003C5C5A" w:rsidRPr="00057575">
        <w:t xml:space="preserve">IAT subgroup of the </w:t>
      </w:r>
      <w:r w:rsidR="00A96235" w:rsidRPr="00057575">
        <w:t xml:space="preserve">CARE-MS trials, </w:t>
      </w:r>
      <w:r w:rsidR="009D295A">
        <w:rPr>
          <w:noProof/>
          <w:color w:val="000000"/>
          <w:highlight w:val="black"/>
        </w:rPr>
        <w:t xml:space="preserve">'''''''' '''''''''''' </w:t>
      </w:r>
      <w:r w:rsidR="00A96235" w:rsidRPr="00057575">
        <w:t xml:space="preserve">enrolled in the extension study (MS-CARE extension study CSR, Table 10). Thus, </w:t>
      </w:r>
      <w:r w:rsidR="009D295A">
        <w:rPr>
          <w:noProof/>
          <w:color w:val="000000"/>
          <w:highlight w:val="black"/>
        </w:rPr>
        <w:t>''''''</w:t>
      </w:r>
      <w:r w:rsidR="00A96235" w:rsidRPr="00057575">
        <w:t xml:space="preserve">% of patients may have derived less than 2 years of benefit. </w:t>
      </w:r>
    </w:p>
    <w:p w:rsidR="00864205" w:rsidRDefault="00227132" w:rsidP="00FD072C">
      <w:pPr>
        <w:pStyle w:val="ListParagraph"/>
        <w:widowControl/>
        <w:numPr>
          <w:ilvl w:val="1"/>
          <w:numId w:val="1"/>
        </w:numPr>
      </w:pPr>
      <w:r>
        <w:t>The PBAC considered that g</w:t>
      </w:r>
      <w:r w:rsidR="008355BA" w:rsidRPr="00763D8B">
        <w:t xml:space="preserve">iven the differences in inclusion criteria and the baseline characteristics of the patients recruited in CARE-MS I and CARE-MS II, it may not be reasonable to pool the results of the two patient groups. Patients in CARE-MS I </w:t>
      </w:r>
      <w:r w:rsidR="002633B0" w:rsidRPr="00763D8B">
        <w:t xml:space="preserve">were </w:t>
      </w:r>
      <w:r w:rsidR="008355BA" w:rsidRPr="00763D8B">
        <w:t>younger,</w:t>
      </w:r>
      <w:r w:rsidR="002633B0" w:rsidRPr="00763D8B">
        <w:t xml:space="preserve"> had</w:t>
      </w:r>
      <w:r w:rsidR="008355BA" w:rsidRPr="00763D8B">
        <w:t xml:space="preserve"> less severe disease</w:t>
      </w:r>
      <w:r w:rsidR="005F293E" w:rsidRPr="00763D8B">
        <w:t xml:space="preserve"> (measured by baseline EDSS), a </w:t>
      </w:r>
      <w:r w:rsidR="008355BA" w:rsidRPr="00763D8B">
        <w:t>more recent diagnosis</w:t>
      </w:r>
      <w:r w:rsidR="005F293E" w:rsidRPr="00763D8B">
        <w:t xml:space="preserve"> and </w:t>
      </w:r>
      <w:r w:rsidR="008355BA" w:rsidRPr="00763D8B">
        <w:t>reported a lower re-treatment rate than patients in CARE-MS II (</w:t>
      </w:r>
      <w:r w:rsidR="008355BA" w:rsidRPr="00271EFE">
        <w:t>33.0% vs 40.9%), which the</w:t>
      </w:r>
      <w:r w:rsidR="00436C41" w:rsidRPr="00271EFE">
        <w:t xml:space="preserve"> resubmission</w:t>
      </w:r>
      <w:r w:rsidR="008355BA" w:rsidRPr="00271EFE">
        <w:t xml:space="preserve"> has pooled together with no weighting. Should</w:t>
      </w:r>
      <w:r w:rsidR="008355BA" w:rsidRPr="00763D8B">
        <w:t xml:space="preserve"> the relative patient mix in the proposed PBS population be different to the relative patient mix in CARE-MS I compared to CARE-MS II, the re-treatment rate in the proposed PBS population would be different to that reported in CARE-MS extension. </w:t>
      </w:r>
    </w:p>
    <w:p w:rsidR="00BD1912" w:rsidRPr="00C9624D" w:rsidRDefault="00BD1912" w:rsidP="001D3277">
      <w:pPr>
        <w:pStyle w:val="Heading2"/>
      </w:pPr>
      <w:bookmarkStart w:id="12" w:name="_Toc524531626"/>
      <w:r w:rsidRPr="00C9624D">
        <w:lastRenderedPageBreak/>
        <w:t>Comparative effectiveness</w:t>
      </w:r>
      <w:bookmarkEnd w:id="12"/>
    </w:p>
    <w:p w:rsidR="001E325C" w:rsidRPr="00763D8B" w:rsidRDefault="001E325C" w:rsidP="00FD072C">
      <w:pPr>
        <w:pStyle w:val="ListParagraph"/>
        <w:widowControl/>
        <w:numPr>
          <w:ilvl w:val="1"/>
          <w:numId w:val="1"/>
        </w:numPr>
      </w:pPr>
      <w:r w:rsidRPr="00763D8B">
        <w:t>The resubmission presented a comparison of outcomes at two years versus outcomes after 3-6 years among patients enrolled in the CARE-MS (CAMMS03409) extension study who were treated with two to six courses of alemtuzumab. The PBAC has previously expressed concern in using the CARE-MS (CAMMS03409) extension study in assessing sustained benefit due to the risk of bias (Alemtuzumab November 2014 PSD, paragraph 7.5). Additionally, the comparison</w:t>
      </w:r>
      <w:r w:rsidR="00452236" w:rsidRPr="00763D8B">
        <w:t xml:space="preserve"> of re-treatment rates without annualising the rates</w:t>
      </w:r>
      <w:r w:rsidRPr="00763D8B">
        <w:t xml:space="preserve"> presented challenges in interpreting key outcomes (relapse and disability progression) over time specifically in light of the fact that the PBAC has previously stated its preference for the outcome of proportion of patients remaining relapse</w:t>
      </w:r>
      <w:r w:rsidR="00941A1B" w:rsidRPr="00763D8B">
        <w:t>-</w:t>
      </w:r>
      <w:r w:rsidRPr="00763D8B">
        <w:t>free (</w:t>
      </w:r>
      <w:r w:rsidR="0065368E">
        <w:t xml:space="preserve">Alemtuzumab July 2014 PSD, paragraph 6.10, </w:t>
      </w:r>
      <w:r w:rsidRPr="00763D8B">
        <w:t xml:space="preserve">Alemtuzumab November 2014 PSD, paragraph 7.6) as an outcome of sustained benefit. </w:t>
      </w:r>
    </w:p>
    <w:p w:rsidR="001E325C" w:rsidRDefault="001E325C" w:rsidP="00FD072C">
      <w:pPr>
        <w:pStyle w:val="ListParagraph"/>
        <w:widowControl/>
        <w:numPr>
          <w:ilvl w:val="1"/>
          <w:numId w:val="1"/>
        </w:numPr>
      </w:pPr>
      <w:r>
        <w:t xml:space="preserve">Only data from patients in the “immediate alemtuzumab treatment” (IAT) group, which consisted </w:t>
      </w:r>
      <w:r w:rsidR="00AB5A21">
        <w:t xml:space="preserve">of </w:t>
      </w:r>
      <w:r w:rsidRPr="00671CC2">
        <w:t xml:space="preserve">patients who had received treatment with two courses of alemtuzumab </w:t>
      </w:r>
      <w:r>
        <w:t>12</w:t>
      </w:r>
      <w:r w:rsidR="00C171CD">
        <w:t xml:space="preserve"> </w:t>
      </w:r>
      <w:r>
        <w:t xml:space="preserve">mg </w:t>
      </w:r>
      <w:r w:rsidRPr="00671CC2">
        <w:t>in the phase III RCTs</w:t>
      </w:r>
      <w:r>
        <w:t>, were included in the resubmission.</w:t>
      </w:r>
    </w:p>
    <w:p w:rsidR="008355BA" w:rsidRPr="00763D8B" w:rsidRDefault="008355BA" w:rsidP="00FD072C">
      <w:pPr>
        <w:pStyle w:val="ListParagraph"/>
        <w:widowControl/>
        <w:numPr>
          <w:ilvl w:val="1"/>
          <w:numId w:val="1"/>
        </w:numPr>
      </w:pPr>
      <w:r w:rsidRPr="00763D8B">
        <w:t>The proportion of patients remaining relapse</w:t>
      </w:r>
      <w:r w:rsidR="002615E5" w:rsidRPr="00763D8B">
        <w:t>-</w:t>
      </w:r>
      <w:r w:rsidRPr="00763D8B">
        <w:t>free (</w:t>
      </w:r>
      <w:r w:rsidR="001E325C" w:rsidRPr="00763D8B">
        <w:t xml:space="preserve">patients were </w:t>
      </w:r>
      <w:r w:rsidRPr="00763D8B">
        <w:t>considered relapse</w:t>
      </w:r>
      <w:r w:rsidR="002615E5" w:rsidRPr="00763D8B">
        <w:t>-</w:t>
      </w:r>
      <w:r w:rsidRPr="00763D8B">
        <w:t xml:space="preserve">free if they did not experience a relapse in the relevant time period) are presented in </w:t>
      </w:r>
      <w:r w:rsidR="00A94F25">
        <w:t>Table</w:t>
      </w:r>
      <w:r w:rsidR="00A94F25" w:rsidRPr="008B7149">
        <w:t xml:space="preserve"> </w:t>
      </w:r>
      <w:r w:rsidR="00A94F25">
        <w:t>7</w:t>
      </w:r>
      <w:r w:rsidRPr="00763D8B">
        <w:t>.</w:t>
      </w:r>
      <w:r w:rsidR="001707F5" w:rsidRPr="00763D8B">
        <w:t xml:space="preserve"> </w:t>
      </w:r>
    </w:p>
    <w:p w:rsidR="008355BA" w:rsidRPr="00315BCB" w:rsidRDefault="008355BA" w:rsidP="008355BA">
      <w:pPr>
        <w:pStyle w:val="TableHeading0"/>
      </w:pPr>
      <w:bookmarkStart w:id="13" w:name="_Ref523870968"/>
      <w:r>
        <w:t>Table</w:t>
      </w:r>
      <w:r w:rsidRPr="008B7149">
        <w:t xml:space="preserve"> </w:t>
      </w:r>
      <w:r w:rsidR="00A94F25">
        <w:rPr>
          <w:noProof/>
        </w:rPr>
        <w:t>7</w:t>
      </w:r>
      <w:bookmarkEnd w:id="13"/>
      <w:r>
        <w:t>: Proportion of patients relapse</w:t>
      </w:r>
      <w:r w:rsidR="00B23E41">
        <w:t>-</w:t>
      </w:r>
      <w:r>
        <w:t>free, IAT subgroup from CARE-MS I and CARE-MS II populations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96"/>
        <w:gridCol w:w="2460"/>
        <w:gridCol w:w="1886"/>
        <w:gridCol w:w="1886"/>
        <w:gridCol w:w="1888"/>
      </w:tblGrid>
      <w:tr w:rsidR="008355BA" w:rsidRPr="00EF3278" w:rsidTr="00323888">
        <w:tc>
          <w:tcPr>
            <w:tcW w:w="497" w:type="pct"/>
            <w:shd w:val="clear" w:color="auto" w:fill="auto"/>
          </w:tcPr>
          <w:p w:rsidR="008355BA" w:rsidRPr="00EF3278" w:rsidRDefault="008355BA" w:rsidP="005549E8">
            <w:pPr>
              <w:pStyle w:val="TableText0"/>
              <w:rPr>
                <w:b/>
              </w:rPr>
            </w:pPr>
            <w:r>
              <w:rPr>
                <w:b/>
              </w:rPr>
              <w:t>Time period</w:t>
            </w:r>
          </w:p>
        </w:tc>
        <w:tc>
          <w:tcPr>
            <w:tcW w:w="1364" w:type="pct"/>
            <w:shd w:val="clear" w:color="auto" w:fill="auto"/>
            <w:vAlign w:val="center"/>
          </w:tcPr>
          <w:p w:rsidR="008355BA" w:rsidRPr="00EF3278" w:rsidRDefault="008355BA" w:rsidP="005549E8">
            <w:pPr>
              <w:pStyle w:val="TableText0"/>
              <w:jc w:val="center"/>
              <w:rPr>
                <w:b/>
              </w:rPr>
            </w:pPr>
            <w:r>
              <w:rPr>
                <w:b/>
              </w:rPr>
              <w:t>Outcome</w:t>
            </w:r>
          </w:p>
        </w:tc>
        <w:tc>
          <w:tcPr>
            <w:tcW w:w="1046" w:type="pct"/>
            <w:shd w:val="clear" w:color="auto" w:fill="auto"/>
            <w:vAlign w:val="center"/>
          </w:tcPr>
          <w:p w:rsidR="008355BA" w:rsidRPr="00271EFE" w:rsidRDefault="003F073A" w:rsidP="005549E8">
            <w:pPr>
              <w:pStyle w:val="TableText0"/>
              <w:jc w:val="center"/>
              <w:rPr>
                <w:b/>
              </w:rPr>
            </w:pPr>
            <w:r w:rsidRPr="00271EFE">
              <w:rPr>
                <w:b/>
              </w:rPr>
              <w:t>CARE-</w:t>
            </w:r>
            <w:r w:rsidR="008355BA" w:rsidRPr="00271EFE">
              <w:rPr>
                <w:b/>
              </w:rPr>
              <w:t>MS I IAT</w:t>
            </w:r>
          </w:p>
          <w:p w:rsidR="008355BA" w:rsidRPr="00271EFE" w:rsidRDefault="008355BA" w:rsidP="005549E8">
            <w:pPr>
              <w:pStyle w:val="TableText0"/>
              <w:jc w:val="center"/>
              <w:rPr>
                <w:b/>
              </w:rPr>
            </w:pPr>
            <w:r w:rsidRPr="00271EFE">
              <w:rPr>
                <w:b/>
              </w:rPr>
              <w:t>N=376</w:t>
            </w:r>
          </w:p>
        </w:tc>
        <w:tc>
          <w:tcPr>
            <w:tcW w:w="1046" w:type="pct"/>
            <w:vAlign w:val="center"/>
          </w:tcPr>
          <w:p w:rsidR="008355BA" w:rsidRPr="00271EFE" w:rsidRDefault="008355BA" w:rsidP="005549E8">
            <w:pPr>
              <w:pStyle w:val="TableText0"/>
              <w:jc w:val="center"/>
              <w:rPr>
                <w:b/>
              </w:rPr>
            </w:pPr>
            <w:r w:rsidRPr="00271EFE">
              <w:rPr>
                <w:b/>
              </w:rPr>
              <w:t>CARE-MS II IAT</w:t>
            </w:r>
          </w:p>
          <w:p w:rsidR="008355BA" w:rsidRPr="00271EFE" w:rsidRDefault="008355BA" w:rsidP="005549E8">
            <w:pPr>
              <w:pStyle w:val="TableText0"/>
              <w:jc w:val="center"/>
              <w:rPr>
                <w:b/>
              </w:rPr>
            </w:pPr>
            <w:r w:rsidRPr="00271EFE">
              <w:rPr>
                <w:b/>
              </w:rPr>
              <w:t>N=426</w:t>
            </w:r>
          </w:p>
        </w:tc>
        <w:tc>
          <w:tcPr>
            <w:tcW w:w="1047" w:type="pct"/>
            <w:vAlign w:val="center"/>
          </w:tcPr>
          <w:p w:rsidR="008355BA" w:rsidRPr="00271EFE" w:rsidRDefault="008355BA" w:rsidP="005549E8">
            <w:pPr>
              <w:pStyle w:val="TableText0"/>
              <w:jc w:val="center"/>
              <w:rPr>
                <w:b/>
              </w:rPr>
            </w:pPr>
            <w:r w:rsidRPr="00271EFE">
              <w:rPr>
                <w:b/>
              </w:rPr>
              <w:t>IAT</w:t>
            </w:r>
          </w:p>
          <w:p w:rsidR="008355BA" w:rsidRPr="00271EFE" w:rsidRDefault="008355BA" w:rsidP="005549E8">
            <w:pPr>
              <w:pStyle w:val="TableText0"/>
              <w:jc w:val="center"/>
              <w:rPr>
                <w:b/>
              </w:rPr>
            </w:pPr>
            <w:r w:rsidRPr="00271EFE">
              <w:rPr>
                <w:b/>
              </w:rPr>
              <w:t>N=802</w:t>
            </w:r>
          </w:p>
        </w:tc>
      </w:tr>
      <w:tr w:rsidR="008355BA" w:rsidTr="00323888">
        <w:tc>
          <w:tcPr>
            <w:tcW w:w="497" w:type="pct"/>
            <w:vMerge w:val="restart"/>
          </w:tcPr>
          <w:p w:rsidR="008355BA" w:rsidRPr="00184DBD" w:rsidRDefault="008355BA" w:rsidP="005549E8">
            <w:pPr>
              <w:pStyle w:val="TableText0"/>
            </w:pPr>
            <w:r>
              <w:t>Year 0-2</w:t>
            </w:r>
          </w:p>
        </w:tc>
        <w:tc>
          <w:tcPr>
            <w:tcW w:w="1364" w:type="pct"/>
          </w:tcPr>
          <w:p w:rsidR="008355BA" w:rsidRPr="008F6C60" w:rsidRDefault="008355BA" w:rsidP="005549E8">
            <w:pPr>
              <w:pStyle w:val="TableText0"/>
            </w:pPr>
            <w:r>
              <w:t>Patient with event, n</w:t>
            </w:r>
          </w:p>
        </w:tc>
        <w:tc>
          <w:tcPr>
            <w:tcW w:w="1046" w:type="pct"/>
            <w:vAlign w:val="center"/>
          </w:tcPr>
          <w:p w:rsidR="008355BA" w:rsidRPr="00271EFE" w:rsidRDefault="008355BA" w:rsidP="005549E8">
            <w:pPr>
              <w:pStyle w:val="TableText0"/>
              <w:jc w:val="center"/>
            </w:pPr>
            <w:r w:rsidRPr="00271EFE">
              <w:t>82</w:t>
            </w:r>
          </w:p>
        </w:tc>
        <w:tc>
          <w:tcPr>
            <w:tcW w:w="1046" w:type="pct"/>
            <w:vAlign w:val="center"/>
          </w:tcPr>
          <w:p w:rsidR="008355BA" w:rsidRPr="00271EFE" w:rsidRDefault="008355BA" w:rsidP="005549E8">
            <w:pPr>
              <w:pStyle w:val="TableText0"/>
              <w:jc w:val="center"/>
            </w:pPr>
            <w:r w:rsidRPr="00271EFE">
              <w:t>147</w:t>
            </w:r>
          </w:p>
        </w:tc>
        <w:tc>
          <w:tcPr>
            <w:tcW w:w="1047" w:type="pct"/>
            <w:vMerge w:val="restart"/>
            <w:vAlign w:val="center"/>
          </w:tcPr>
          <w:p w:rsidR="008355BA" w:rsidRPr="00271EFE" w:rsidRDefault="008355BA" w:rsidP="005549E8">
            <w:pPr>
              <w:pStyle w:val="TableText0"/>
              <w:jc w:val="center"/>
            </w:pPr>
            <w:r w:rsidRPr="00271EFE">
              <w:t>NA</w:t>
            </w:r>
          </w:p>
        </w:tc>
      </w:tr>
      <w:tr w:rsidR="00323888" w:rsidTr="00323888">
        <w:tc>
          <w:tcPr>
            <w:tcW w:w="497" w:type="pct"/>
            <w:vMerge/>
          </w:tcPr>
          <w:p w:rsidR="00323888" w:rsidRPr="00184DBD" w:rsidRDefault="00323888" w:rsidP="00323888">
            <w:pPr>
              <w:pStyle w:val="TableText0"/>
            </w:pPr>
          </w:p>
        </w:tc>
        <w:tc>
          <w:tcPr>
            <w:tcW w:w="1364" w:type="pct"/>
          </w:tcPr>
          <w:p w:rsidR="00323888" w:rsidRPr="008F6C60" w:rsidRDefault="00323888" w:rsidP="00323888">
            <w:pPr>
              <w:pStyle w:val="TableText0"/>
            </w:pPr>
            <w:r>
              <w:t>KM estimate of event (95% CI)</w:t>
            </w:r>
          </w:p>
        </w:tc>
        <w:tc>
          <w:tcPr>
            <w:tcW w:w="1046" w:type="pct"/>
            <w:vAlign w:val="center"/>
          </w:tcPr>
          <w:p w:rsidR="00323888" w:rsidRPr="00271EFE" w:rsidRDefault="00323888" w:rsidP="00323888">
            <w:pPr>
              <w:pStyle w:val="TableText0"/>
              <w:jc w:val="center"/>
            </w:pPr>
            <w:r w:rsidRPr="00271EFE">
              <w:t>NR</w:t>
            </w:r>
          </w:p>
        </w:tc>
        <w:tc>
          <w:tcPr>
            <w:tcW w:w="1046" w:type="pct"/>
            <w:vAlign w:val="center"/>
          </w:tcPr>
          <w:p w:rsidR="00323888" w:rsidRPr="00271EFE" w:rsidRDefault="00323888" w:rsidP="00323888">
            <w:pPr>
              <w:pStyle w:val="TableText0"/>
              <w:jc w:val="center"/>
            </w:pPr>
            <w:r w:rsidRPr="00271EFE">
              <w:t>NR</w:t>
            </w:r>
          </w:p>
        </w:tc>
        <w:tc>
          <w:tcPr>
            <w:tcW w:w="1047" w:type="pct"/>
            <w:vMerge/>
            <w:vAlign w:val="center"/>
          </w:tcPr>
          <w:p w:rsidR="00323888" w:rsidRPr="001469A0" w:rsidRDefault="00323888" w:rsidP="00323888">
            <w:pPr>
              <w:pStyle w:val="TableText0"/>
              <w:jc w:val="center"/>
              <w:rPr>
                <w:highlight w:val="yellow"/>
              </w:rPr>
            </w:pPr>
          </w:p>
        </w:tc>
      </w:tr>
      <w:tr w:rsidR="008355BA" w:rsidTr="00323888">
        <w:tc>
          <w:tcPr>
            <w:tcW w:w="497" w:type="pct"/>
            <w:vMerge/>
          </w:tcPr>
          <w:p w:rsidR="008355BA" w:rsidRPr="00184DBD" w:rsidRDefault="008355BA" w:rsidP="005549E8">
            <w:pPr>
              <w:pStyle w:val="TableText0"/>
            </w:pPr>
          </w:p>
        </w:tc>
        <w:tc>
          <w:tcPr>
            <w:tcW w:w="1364" w:type="pct"/>
          </w:tcPr>
          <w:p w:rsidR="008355BA" w:rsidRPr="008F6C60" w:rsidRDefault="008355BA" w:rsidP="005549E8">
            <w:pPr>
              <w:pStyle w:val="TableText0"/>
            </w:pPr>
            <w:r>
              <w:t>KM no event (95% CI)</w:t>
            </w:r>
          </w:p>
        </w:tc>
        <w:tc>
          <w:tcPr>
            <w:tcW w:w="1046" w:type="pct"/>
            <w:vAlign w:val="center"/>
          </w:tcPr>
          <w:p w:rsidR="008355BA" w:rsidRPr="00271EFE" w:rsidRDefault="008355BA" w:rsidP="005549E8">
            <w:pPr>
              <w:pStyle w:val="TableText0"/>
              <w:jc w:val="center"/>
            </w:pPr>
            <w:r w:rsidRPr="00271EFE">
              <w:t>77.6 (72.9, 81.6)</w:t>
            </w:r>
          </w:p>
        </w:tc>
        <w:tc>
          <w:tcPr>
            <w:tcW w:w="1046" w:type="pct"/>
            <w:vAlign w:val="center"/>
          </w:tcPr>
          <w:p w:rsidR="008355BA" w:rsidRPr="00271EFE" w:rsidRDefault="008355BA" w:rsidP="005549E8">
            <w:pPr>
              <w:pStyle w:val="TableText0"/>
              <w:jc w:val="center"/>
            </w:pPr>
            <w:r w:rsidRPr="00271EFE">
              <w:t>65.4 (60.7, 69.7)</w:t>
            </w:r>
          </w:p>
        </w:tc>
        <w:tc>
          <w:tcPr>
            <w:tcW w:w="1047" w:type="pct"/>
            <w:vMerge/>
            <w:vAlign w:val="center"/>
          </w:tcPr>
          <w:p w:rsidR="008355BA" w:rsidRPr="001469A0" w:rsidRDefault="008355BA" w:rsidP="005549E8">
            <w:pPr>
              <w:pStyle w:val="TableText0"/>
              <w:jc w:val="center"/>
              <w:rPr>
                <w:highlight w:val="yellow"/>
              </w:rPr>
            </w:pPr>
          </w:p>
        </w:tc>
      </w:tr>
      <w:tr w:rsidR="008355BA" w:rsidTr="00323888">
        <w:tc>
          <w:tcPr>
            <w:tcW w:w="497" w:type="pct"/>
            <w:vMerge w:val="restart"/>
          </w:tcPr>
          <w:p w:rsidR="008355BA" w:rsidRPr="00184DBD" w:rsidRDefault="008355BA" w:rsidP="005549E8">
            <w:pPr>
              <w:pStyle w:val="TableText0"/>
            </w:pPr>
            <w:r>
              <w:t>Year 0-4</w:t>
            </w:r>
          </w:p>
        </w:tc>
        <w:tc>
          <w:tcPr>
            <w:tcW w:w="1364" w:type="pct"/>
          </w:tcPr>
          <w:p w:rsidR="008355BA" w:rsidRPr="008F6C60" w:rsidRDefault="008355BA" w:rsidP="005549E8">
            <w:pPr>
              <w:pStyle w:val="TableText0"/>
            </w:pPr>
            <w:r>
              <w:t>Patient with event, n</w:t>
            </w:r>
          </w:p>
        </w:tc>
        <w:tc>
          <w:tcPr>
            <w:tcW w:w="1046" w:type="pct"/>
            <w:vAlign w:val="center"/>
          </w:tcPr>
          <w:p w:rsidR="008355BA" w:rsidRPr="009D295A" w:rsidRDefault="009D295A" w:rsidP="005549E8">
            <w:pPr>
              <w:pStyle w:val="TableText0"/>
              <w:jc w:val="center"/>
              <w:rPr>
                <w:highlight w:val="black"/>
              </w:rPr>
            </w:pPr>
            <w:r>
              <w:rPr>
                <w:noProof/>
                <w:color w:val="000000"/>
                <w:highlight w:val="black"/>
              </w:rPr>
              <w:t>''''''''''</w:t>
            </w:r>
          </w:p>
        </w:tc>
        <w:tc>
          <w:tcPr>
            <w:tcW w:w="1046" w:type="pct"/>
            <w:vAlign w:val="center"/>
          </w:tcPr>
          <w:p w:rsidR="008355BA" w:rsidRPr="009D295A" w:rsidRDefault="009D295A" w:rsidP="005549E8">
            <w:pPr>
              <w:pStyle w:val="TableText0"/>
              <w:jc w:val="center"/>
              <w:rPr>
                <w:highlight w:val="black"/>
              </w:rPr>
            </w:pPr>
            <w:r>
              <w:rPr>
                <w:noProof/>
                <w:color w:val="000000"/>
                <w:highlight w:val="black"/>
              </w:rPr>
              <w:t>'''''''''</w:t>
            </w:r>
          </w:p>
        </w:tc>
        <w:tc>
          <w:tcPr>
            <w:tcW w:w="1047" w:type="pct"/>
            <w:vAlign w:val="center"/>
          </w:tcPr>
          <w:p w:rsidR="008355BA" w:rsidRPr="009D295A" w:rsidRDefault="009D295A" w:rsidP="005549E8">
            <w:pPr>
              <w:pStyle w:val="TableText0"/>
              <w:jc w:val="center"/>
              <w:rPr>
                <w:highlight w:val="black"/>
              </w:rPr>
            </w:pPr>
            <w:r>
              <w:rPr>
                <w:noProof/>
                <w:color w:val="000000"/>
                <w:highlight w:val="black"/>
              </w:rPr>
              <w:t>''''''''''</w:t>
            </w:r>
          </w:p>
        </w:tc>
      </w:tr>
      <w:tr w:rsidR="008355BA" w:rsidTr="00323888">
        <w:tc>
          <w:tcPr>
            <w:tcW w:w="497" w:type="pct"/>
            <w:vMerge/>
          </w:tcPr>
          <w:p w:rsidR="008355BA" w:rsidRPr="00184DBD" w:rsidRDefault="008355BA" w:rsidP="005549E8">
            <w:pPr>
              <w:pStyle w:val="TableText0"/>
            </w:pPr>
          </w:p>
        </w:tc>
        <w:tc>
          <w:tcPr>
            <w:tcW w:w="1364" w:type="pct"/>
          </w:tcPr>
          <w:p w:rsidR="008355BA" w:rsidRPr="008F6C60" w:rsidRDefault="008355BA" w:rsidP="005549E8">
            <w:pPr>
              <w:pStyle w:val="TableText0"/>
            </w:pPr>
            <w:r>
              <w:t>KM estimate of event (95% CI)</w:t>
            </w:r>
          </w:p>
        </w:tc>
        <w:tc>
          <w:tcPr>
            <w:tcW w:w="1046" w:type="pct"/>
            <w:vAlign w:val="center"/>
          </w:tcPr>
          <w:p w:rsidR="008355BA" w:rsidRPr="009D295A" w:rsidRDefault="009D295A" w:rsidP="005549E8">
            <w:pPr>
              <w:pStyle w:val="TableText0"/>
              <w:jc w:val="center"/>
              <w:rPr>
                <w:highlight w:val="black"/>
              </w:rPr>
            </w:pPr>
            <w:r>
              <w:rPr>
                <w:noProof/>
                <w:color w:val="000000"/>
                <w:highlight w:val="black"/>
              </w:rPr>
              <w:t>''''''''''''' ''''''''''''''' ''''''''''''''</w:t>
            </w:r>
          </w:p>
        </w:tc>
        <w:tc>
          <w:tcPr>
            <w:tcW w:w="1046" w:type="pct"/>
            <w:vAlign w:val="center"/>
          </w:tcPr>
          <w:p w:rsidR="008355BA" w:rsidRPr="009D295A" w:rsidRDefault="009D295A" w:rsidP="005549E8">
            <w:pPr>
              <w:pStyle w:val="TableText0"/>
              <w:jc w:val="center"/>
              <w:rPr>
                <w:highlight w:val="black"/>
              </w:rPr>
            </w:pPr>
            <w:r>
              <w:rPr>
                <w:noProof/>
                <w:color w:val="000000"/>
                <w:highlight w:val="black"/>
              </w:rPr>
              <w:t>''''''''''''' '''''''''''''''' '''''''''''''''</w:t>
            </w:r>
          </w:p>
        </w:tc>
        <w:tc>
          <w:tcPr>
            <w:tcW w:w="1047" w:type="pct"/>
            <w:vAlign w:val="center"/>
          </w:tcPr>
          <w:p w:rsidR="008355BA" w:rsidRPr="009D295A" w:rsidRDefault="009D295A" w:rsidP="005549E8">
            <w:pPr>
              <w:pStyle w:val="TableText0"/>
              <w:jc w:val="center"/>
              <w:rPr>
                <w:highlight w:val="black"/>
              </w:rPr>
            </w:pPr>
            <w:r>
              <w:rPr>
                <w:noProof/>
                <w:color w:val="000000"/>
                <w:highlight w:val="black"/>
              </w:rPr>
              <w:t>''''''''''''' '''''''''''''''' ''''''''''''''</w:t>
            </w:r>
          </w:p>
        </w:tc>
      </w:tr>
      <w:tr w:rsidR="008355BA" w:rsidTr="00323888">
        <w:tc>
          <w:tcPr>
            <w:tcW w:w="497" w:type="pct"/>
            <w:vMerge/>
          </w:tcPr>
          <w:p w:rsidR="008355BA" w:rsidRPr="00184DBD" w:rsidRDefault="008355BA" w:rsidP="005549E8">
            <w:pPr>
              <w:pStyle w:val="TableText0"/>
            </w:pPr>
          </w:p>
        </w:tc>
        <w:tc>
          <w:tcPr>
            <w:tcW w:w="1364" w:type="pct"/>
          </w:tcPr>
          <w:p w:rsidR="008355BA" w:rsidRPr="008F6C60" w:rsidRDefault="008355BA" w:rsidP="005549E8">
            <w:pPr>
              <w:pStyle w:val="TableText0"/>
            </w:pPr>
            <w:r>
              <w:t>KM no event (95% CI)</w:t>
            </w:r>
          </w:p>
        </w:tc>
        <w:tc>
          <w:tcPr>
            <w:tcW w:w="1046" w:type="pct"/>
            <w:vAlign w:val="center"/>
          </w:tcPr>
          <w:p w:rsidR="008355BA" w:rsidRPr="009D295A" w:rsidRDefault="009D295A" w:rsidP="005549E8">
            <w:pPr>
              <w:pStyle w:val="TableText0"/>
              <w:jc w:val="center"/>
              <w:rPr>
                <w:highlight w:val="black"/>
              </w:rPr>
            </w:pPr>
            <w:r>
              <w:rPr>
                <w:noProof/>
                <w:color w:val="000000"/>
                <w:highlight w:val="black"/>
              </w:rPr>
              <w:t>'''''''''''' '''''''''''''''''' ''''''''''''''''</w:t>
            </w:r>
          </w:p>
        </w:tc>
        <w:tc>
          <w:tcPr>
            <w:tcW w:w="1046" w:type="pct"/>
            <w:vAlign w:val="center"/>
          </w:tcPr>
          <w:p w:rsidR="008355BA" w:rsidRPr="009D295A" w:rsidRDefault="009D295A" w:rsidP="005549E8">
            <w:pPr>
              <w:pStyle w:val="TableText0"/>
              <w:jc w:val="center"/>
              <w:rPr>
                <w:highlight w:val="black"/>
              </w:rPr>
            </w:pPr>
            <w:r>
              <w:rPr>
                <w:noProof/>
                <w:color w:val="000000"/>
                <w:highlight w:val="black"/>
              </w:rPr>
              <w:t>''''''''''''''' '''''''''''''''' ''''''''''''''</w:t>
            </w:r>
          </w:p>
        </w:tc>
        <w:tc>
          <w:tcPr>
            <w:tcW w:w="1047" w:type="pct"/>
            <w:vAlign w:val="center"/>
          </w:tcPr>
          <w:p w:rsidR="008355BA" w:rsidRPr="009D295A" w:rsidRDefault="009D295A" w:rsidP="005549E8">
            <w:pPr>
              <w:pStyle w:val="TableText0"/>
              <w:jc w:val="center"/>
              <w:rPr>
                <w:highlight w:val="black"/>
              </w:rPr>
            </w:pPr>
            <w:r>
              <w:rPr>
                <w:noProof/>
                <w:color w:val="000000"/>
                <w:highlight w:val="black"/>
              </w:rPr>
              <w:t>'''''''''''' '''''''''''''''' ''''''''''''''''</w:t>
            </w:r>
          </w:p>
        </w:tc>
      </w:tr>
      <w:tr w:rsidR="008355BA" w:rsidTr="00323888">
        <w:tc>
          <w:tcPr>
            <w:tcW w:w="497" w:type="pct"/>
            <w:vMerge w:val="restart"/>
          </w:tcPr>
          <w:p w:rsidR="008355BA" w:rsidRPr="00184DBD" w:rsidRDefault="008355BA" w:rsidP="005549E8">
            <w:pPr>
              <w:pStyle w:val="TableText0"/>
            </w:pPr>
            <w:r>
              <w:t>Year 0-6</w:t>
            </w:r>
          </w:p>
        </w:tc>
        <w:tc>
          <w:tcPr>
            <w:tcW w:w="1364" w:type="pct"/>
          </w:tcPr>
          <w:p w:rsidR="008355BA" w:rsidRPr="008F6C60" w:rsidRDefault="008355BA" w:rsidP="005549E8">
            <w:pPr>
              <w:pStyle w:val="TableText0"/>
            </w:pPr>
            <w:r>
              <w:t>Patient with event, n</w:t>
            </w:r>
          </w:p>
        </w:tc>
        <w:tc>
          <w:tcPr>
            <w:tcW w:w="1046" w:type="pct"/>
            <w:vAlign w:val="center"/>
          </w:tcPr>
          <w:p w:rsidR="008355BA" w:rsidRPr="009D295A" w:rsidRDefault="009D295A" w:rsidP="005549E8">
            <w:pPr>
              <w:pStyle w:val="TableText0"/>
              <w:jc w:val="center"/>
              <w:rPr>
                <w:highlight w:val="black"/>
              </w:rPr>
            </w:pPr>
            <w:r>
              <w:rPr>
                <w:noProof/>
                <w:color w:val="000000"/>
                <w:highlight w:val="black"/>
              </w:rPr>
              <w:t>''''''''''</w:t>
            </w:r>
          </w:p>
        </w:tc>
        <w:tc>
          <w:tcPr>
            <w:tcW w:w="1046" w:type="pct"/>
            <w:vAlign w:val="center"/>
          </w:tcPr>
          <w:p w:rsidR="008355BA" w:rsidRPr="009D295A" w:rsidRDefault="009D295A" w:rsidP="005549E8">
            <w:pPr>
              <w:pStyle w:val="TableText0"/>
              <w:jc w:val="center"/>
              <w:rPr>
                <w:highlight w:val="black"/>
              </w:rPr>
            </w:pPr>
            <w:r>
              <w:rPr>
                <w:noProof/>
                <w:color w:val="000000"/>
                <w:highlight w:val="black"/>
              </w:rPr>
              <w:t>''''''''''</w:t>
            </w:r>
          </w:p>
        </w:tc>
        <w:tc>
          <w:tcPr>
            <w:tcW w:w="1047" w:type="pct"/>
            <w:vAlign w:val="center"/>
          </w:tcPr>
          <w:p w:rsidR="008355BA" w:rsidRPr="009D295A" w:rsidRDefault="009D295A" w:rsidP="005549E8">
            <w:pPr>
              <w:pStyle w:val="TableText0"/>
              <w:jc w:val="center"/>
              <w:rPr>
                <w:highlight w:val="black"/>
              </w:rPr>
            </w:pPr>
            <w:r>
              <w:rPr>
                <w:noProof/>
                <w:color w:val="000000"/>
                <w:highlight w:val="black"/>
              </w:rPr>
              <w:t>'''''''''</w:t>
            </w:r>
          </w:p>
        </w:tc>
      </w:tr>
      <w:tr w:rsidR="008355BA" w:rsidTr="00323888">
        <w:tc>
          <w:tcPr>
            <w:tcW w:w="497" w:type="pct"/>
            <w:vMerge/>
          </w:tcPr>
          <w:p w:rsidR="008355BA" w:rsidRPr="00184DBD" w:rsidRDefault="008355BA" w:rsidP="005549E8">
            <w:pPr>
              <w:pStyle w:val="TableText0"/>
            </w:pPr>
          </w:p>
        </w:tc>
        <w:tc>
          <w:tcPr>
            <w:tcW w:w="1364" w:type="pct"/>
          </w:tcPr>
          <w:p w:rsidR="008355BA" w:rsidRPr="008F6C60" w:rsidRDefault="008355BA" w:rsidP="005549E8">
            <w:pPr>
              <w:pStyle w:val="TableText0"/>
            </w:pPr>
            <w:r>
              <w:t>KM estimate of event (95% CI)</w:t>
            </w:r>
          </w:p>
        </w:tc>
        <w:tc>
          <w:tcPr>
            <w:tcW w:w="1046" w:type="pct"/>
            <w:vAlign w:val="center"/>
          </w:tcPr>
          <w:p w:rsidR="008355BA" w:rsidRPr="009D295A" w:rsidRDefault="009D295A" w:rsidP="005549E8">
            <w:pPr>
              <w:pStyle w:val="TableText0"/>
              <w:jc w:val="center"/>
              <w:rPr>
                <w:highlight w:val="black"/>
              </w:rPr>
            </w:pPr>
            <w:r>
              <w:rPr>
                <w:noProof/>
                <w:color w:val="000000"/>
                <w:highlight w:val="black"/>
              </w:rPr>
              <w:t>'''''''''''''' '''''''''''''''' ''''''''''''''''</w:t>
            </w:r>
          </w:p>
        </w:tc>
        <w:tc>
          <w:tcPr>
            <w:tcW w:w="1046" w:type="pct"/>
            <w:vAlign w:val="center"/>
          </w:tcPr>
          <w:p w:rsidR="008355BA" w:rsidRPr="009D295A" w:rsidRDefault="009D295A" w:rsidP="005549E8">
            <w:pPr>
              <w:pStyle w:val="TableText0"/>
              <w:jc w:val="center"/>
              <w:rPr>
                <w:highlight w:val="black"/>
              </w:rPr>
            </w:pPr>
            <w:r>
              <w:rPr>
                <w:noProof/>
                <w:color w:val="000000"/>
                <w:highlight w:val="black"/>
              </w:rPr>
              <w:t>''''''''''''' '''''''''''''''''' ''''''''''''''</w:t>
            </w:r>
          </w:p>
        </w:tc>
        <w:tc>
          <w:tcPr>
            <w:tcW w:w="1047" w:type="pct"/>
            <w:vAlign w:val="center"/>
          </w:tcPr>
          <w:p w:rsidR="008355BA" w:rsidRPr="009D295A" w:rsidRDefault="009D295A" w:rsidP="005549E8">
            <w:pPr>
              <w:pStyle w:val="TableText0"/>
              <w:jc w:val="center"/>
              <w:rPr>
                <w:highlight w:val="black"/>
              </w:rPr>
            </w:pPr>
            <w:r>
              <w:rPr>
                <w:noProof/>
                <w:color w:val="000000"/>
                <w:highlight w:val="black"/>
              </w:rPr>
              <w:t>''''''''''''''' ''''''''''''''''' ''''''''''''''</w:t>
            </w:r>
          </w:p>
        </w:tc>
      </w:tr>
      <w:tr w:rsidR="008355BA" w:rsidTr="00323888">
        <w:tc>
          <w:tcPr>
            <w:tcW w:w="497" w:type="pct"/>
            <w:vMerge/>
          </w:tcPr>
          <w:p w:rsidR="008355BA" w:rsidRPr="00184DBD" w:rsidRDefault="008355BA" w:rsidP="005549E8">
            <w:pPr>
              <w:pStyle w:val="TableText0"/>
            </w:pPr>
          </w:p>
        </w:tc>
        <w:tc>
          <w:tcPr>
            <w:tcW w:w="1364" w:type="pct"/>
          </w:tcPr>
          <w:p w:rsidR="008355BA" w:rsidRPr="008F6C60" w:rsidRDefault="008355BA" w:rsidP="005549E8">
            <w:pPr>
              <w:pStyle w:val="TableText0"/>
            </w:pPr>
            <w:r>
              <w:t>KM no event (95% CI)</w:t>
            </w:r>
          </w:p>
        </w:tc>
        <w:tc>
          <w:tcPr>
            <w:tcW w:w="1046" w:type="pct"/>
            <w:vAlign w:val="center"/>
          </w:tcPr>
          <w:p w:rsidR="008355BA" w:rsidRPr="009D295A" w:rsidRDefault="009D295A" w:rsidP="005549E8">
            <w:pPr>
              <w:pStyle w:val="TableText0"/>
              <w:jc w:val="center"/>
              <w:rPr>
                <w:highlight w:val="black"/>
              </w:rPr>
            </w:pPr>
            <w:r>
              <w:rPr>
                <w:noProof/>
                <w:color w:val="000000"/>
                <w:highlight w:val="black"/>
              </w:rPr>
              <w:t>''''''''''''' '''''''''''''''' '''''''''''''''</w:t>
            </w:r>
          </w:p>
        </w:tc>
        <w:tc>
          <w:tcPr>
            <w:tcW w:w="1046" w:type="pct"/>
            <w:vAlign w:val="center"/>
          </w:tcPr>
          <w:p w:rsidR="008355BA" w:rsidRPr="009D295A" w:rsidRDefault="009D295A" w:rsidP="005549E8">
            <w:pPr>
              <w:pStyle w:val="TableText0"/>
              <w:jc w:val="center"/>
              <w:rPr>
                <w:highlight w:val="black"/>
              </w:rPr>
            </w:pPr>
            <w:r>
              <w:rPr>
                <w:noProof/>
                <w:color w:val="000000"/>
                <w:highlight w:val="black"/>
              </w:rPr>
              <w:t>''''''''''''' ''''''''''''''''' ''''''''''''''''</w:t>
            </w:r>
          </w:p>
        </w:tc>
        <w:tc>
          <w:tcPr>
            <w:tcW w:w="1047" w:type="pct"/>
            <w:vAlign w:val="center"/>
          </w:tcPr>
          <w:p w:rsidR="008355BA" w:rsidRPr="009D295A" w:rsidRDefault="009D295A" w:rsidP="005549E8">
            <w:pPr>
              <w:pStyle w:val="TableText0"/>
              <w:jc w:val="center"/>
              <w:rPr>
                <w:highlight w:val="black"/>
              </w:rPr>
            </w:pPr>
            <w:r>
              <w:rPr>
                <w:noProof/>
                <w:color w:val="000000"/>
                <w:highlight w:val="black"/>
              </w:rPr>
              <w:t>'''''''''''''' '''''''''''''''' ''''''''''''''''</w:t>
            </w:r>
          </w:p>
        </w:tc>
      </w:tr>
    </w:tbl>
    <w:p w:rsidR="008355BA" w:rsidRDefault="008355BA" w:rsidP="008355BA">
      <w:pPr>
        <w:pStyle w:val="TableFooter"/>
      </w:pPr>
      <w:r>
        <w:t>Source: Table 2.5.6, p43 of the</w:t>
      </w:r>
      <w:r w:rsidR="00436C41">
        <w:t xml:space="preserve"> resubmission</w:t>
      </w:r>
      <w:r>
        <w:t>.</w:t>
      </w:r>
      <w:r w:rsidRPr="0039798B">
        <w:t xml:space="preserve"> </w:t>
      </w:r>
    </w:p>
    <w:p w:rsidR="008355BA" w:rsidRDefault="008355BA" w:rsidP="008355BA">
      <w:pPr>
        <w:pStyle w:val="TableFooter"/>
      </w:pPr>
      <w:r>
        <w:t>CI = confidence interval; IAT = immediate alemtuzumab group; KM = Kaplan Meier; NA = not available</w:t>
      </w:r>
      <w:r w:rsidR="002615E5">
        <w:t>; NR=not reported</w:t>
      </w:r>
      <w:r>
        <w:t>.</w:t>
      </w:r>
    </w:p>
    <w:p w:rsidR="008355BA" w:rsidRPr="001E325C" w:rsidRDefault="008355BA" w:rsidP="008355BA">
      <w:pPr>
        <w:widowControl/>
      </w:pPr>
    </w:p>
    <w:p w:rsidR="008355BA" w:rsidRPr="00763D8B" w:rsidRDefault="001E325C" w:rsidP="00FD072C">
      <w:pPr>
        <w:pStyle w:val="ListParagraph"/>
        <w:widowControl/>
        <w:numPr>
          <w:ilvl w:val="1"/>
          <w:numId w:val="1"/>
        </w:numPr>
      </w:pPr>
      <w:r w:rsidRPr="00271EFE">
        <w:t xml:space="preserve">Around </w:t>
      </w:r>
      <w:r w:rsidR="009D295A">
        <w:rPr>
          <w:noProof/>
          <w:color w:val="000000"/>
          <w:highlight w:val="black"/>
        </w:rPr>
        <w:t>'''''''' '''''''''''</w:t>
      </w:r>
      <w:r w:rsidRPr="00271EFE">
        <w:t xml:space="preserve"> of all patients who remained relapse</w:t>
      </w:r>
      <w:r w:rsidR="002615E5" w:rsidRPr="00271EFE">
        <w:t>-</w:t>
      </w:r>
      <w:r w:rsidRPr="00271EFE">
        <w:t xml:space="preserve">free </w:t>
      </w:r>
      <w:r w:rsidR="00323888" w:rsidRPr="00271EFE">
        <w:t xml:space="preserve">over </w:t>
      </w:r>
      <w:r w:rsidRPr="00271EFE">
        <w:t>two years (77.6% in CARE-MS I and 65.4% in CARE-MS II) remained relapse</w:t>
      </w:r>
      <w:r w:rsidR="002615E5" w:rsidRPr="00271EFE">
        <w:t>-</w:t>
      </w:r>
      <w:r w:rsidRPr="00271EFE">
        <w:t xml:space="preserve">free </w:t>
      </w:r>
      <w:r w:rsidR="00323888" w:rsidRPr="00271EFE">
        <w:t xml:space="preserve">over </w:t>
      </w:r>
      <w:r w:rsidRPr="00271EFE">
        <w:t>six years (</w:t>
      </w:r>
      <w:r w:rsidR="009D295A">
        <w:rPr>
          <w:noProof/>
          <w:color w:val="000000"/>
          <w:highlight w:val="black"/>
        </w:rPr>
        <w:t>''''''''</w:t>
      </w:r>
      <w:r w:rsidRPr="00271EFE">
        <w:t xml:space="preserve">% in CARE-MS I and </w:t>
      </w:r>
      <w:r w:rsidR="009D295A">
        <w:rPr>
          <w:noProof/>
          <w:color w:val="000000"/>
          <w:highlight w:val="black"/>
        </w:rPr>
        <w:t>''''''''</w:t>
      </w:r>
      <w:r w:rsidRPr="00271EFE">
        <w:t>% in CARE-MS II). This indicated that while rates of</w:t>
      </w:r>
      <w:r w:rsidRPr="00763D8B">
        <w:t xml:space="preserve"> relapse may have been consistent, in the aggregate, the benefit was not maintained from two to six years. This was to be expected given the natural history of MS, but it is important as the cost-analysis assumed that efficacy is maintained for six years. Moreover, there appears to be tangible differences between patients enrolled in CARE-MS I and CARE-MS II, with a larger proportion of patients enrolled in CARE-MS I reporting no event at 6 years than patients enrolled in CARE-MS II.</w:t>
      </w:r>
      <w:r w:rsidR="008355BA" w:rsidRPr="00763D8B">
        <w:t xml:space="preserve"> </w:t>
      </w:r>
      <w:r w:rsidR="002265EE" w:rsidRPr="00057575">
        <w:t xml:space="preserve">The ESC considered that the data presented </w:t>
      </w:r>
      <w:r w:rsidR="00961FD1" w:rsidRPr="00057575">
        <w:t>su</w:t>
      </w:r>
      <w:r w:rsidR="00B8287F" w:rsidRPr="00057575">
        <w:t>ggested</w:t>
      </w:r>
      <w:r w:rsidR="00961FD1" w:rsidRPr="00057575">
        <w:t xml:space="preserve"> that a proportion of patients may receive some benefit from </w:t>
      </w:r>
      <w:r w:rsidR="00961FD1" w:rsidRPr="00057575">
        <w:lastRenderedPageBreak/>
        <w:t xml:space="preserve">treatment with alemtuzumab beyond two years. </w:t>
      </w:r>
      <w:r w:rsidR="00197F24" w:rsidRPr="00057575">
        <w:t>However, a substantial proportion of patients (22-35%) had a relapse event within the first 2 years of treatment.</w:t>
      </w:r>
      <w:r w:rsidR="00A617BC" w:rsidRPr="00A617BC">
        <w:t xml:space="preserve"> </w:t>
      </w:r>
      <w:r w:rsidR="00534A49">
        <w:t xml:space="preserve">The PBAC reaffirmed its July 2014 and November 2014 </w:t>
      </w:r>
      <w:r w:rsidR="0065368E">
        <w:t xml:space="preserve">advice regarding its preference for the outcome of proportion of patients remaining relapse free as the basis for assessing durability of effect. </w:t>
      </w:r>
      <w:r w:rsidR="00534A49" w:rsidRPr="000478B6">
        <w:t xml:space="preserve">The </w:t>
      </w:r>
      <w:r w:rsidR="0065368E">
        <w:t xml:space="preserve">PBAC noted that the </w:t>
      </w:r>
      <w:r w:rsidR="00534A49" w:rsidRPr="000478B6">
        <w:t xml:space="preserve">proportion of patients remaining free of accumulated disability (or free of relapse) in CARE-MS extension decreased over time </w:t>
      </w:r>
      <w:r w:rsidR="00534A49" w:rsidRPr="00271EFE">
        <w:t xml:space="preserve">(77.6%/65.4% at Year 2, </w:t>
      </w:r>
      <w:r w:rsidR="009D295A">
        <w:rPr>
          <w:noProof/>
          <w:color w:val="000000"/>
          <w:highlight w:val="black"/>
        </w:rPr>
        <w:t>''''''''</w:t>
      </w:r>
      <w:r w:rsidR="00534A49" w:rsidRPr="00271EFE">
        <w:t xml:space="preserve">% at Year 4 and </w:t>
      </w:r>
      <w:r w:rsidR="009D295A">
        <w:rPr>
          <w:noProof/>
          <w:color w:val="000000"/>
          <w:highlight w:val="black"/>
        </w:rPr>
        <w:t>''''''''</w:t>
      </w:r>
      <w:r w:rsidR="00534A49" w:rsidRPr="00271EFE">
        <w:t>% at Year 6). The PBAC considered that this was inconsistent</w:t>
      </w:r>
      <w:r w:rsidR="00534A49" w:rsidRPr="000478B6">
        <w:t xml:space="preserve"> with a claim of sustained benefit</w:t>
      </w:r>
      <w:r w:rsidR="00534A49">
        <w:t>.</w:t>
      </w:r>
    </w:p>
    <w:p w:rsidR="00BD1912" w:rsidRPr="00763D8B" w:rsidRDefault="00A94F25" w:rsidP="00FD072C">
      <w:pPr>
        <w:pStyle w:val="ListParagraph"/>
        <w:widowControl/>
        <w:numPr>
          <w:ilvl w:val="1"/>
          <w:numId w:val="1"/>
        </w:numPr>
      </w:pPr>
      <w:r>
        <w:t>Table 8</w:t>
      </w:r>
      <w:r w:rsidR="00BD1912" w:rsidRPr="00763D8B">
        <w:t xml:space="preserve"> presents </w:t>
      </w:r>
      <w:r w:rsidR="00941A1B" w:rsidRPr="00763D8B">
        <w:t>re-treatment</w:t>
      </w:r>
      <w:r w:rsidR="00BD1912" w:rsidRPr="00763D8B">
        <w:t xml:space="preserve"> rates from </w:t>
      </w:r>
      <w:r w:rsidR="001E325C" w:rsidRPr="00763D8B">
        <w:t>the extension study</w:t>
      </w:r>
      <w:r w:rsidR="00BD1912" w:rsidRPr="00763D8B">
        <w:t xml:space="preserve"> as well as </w:t>
      </w:r>
      <w:r w:rsidR="00941A1B" w:rsidRPr="00763D8B">
        <w:t>re-treatment</w:t>
      </w:r>
      <w:r w:rsidR="00BD1912" w:rsidRPr="00763D8B">
        <w:t xml:space="preserve"> rates recalculated during the evaluation.</w:t>
      </w:r>
    </w:p>
    <w:p w:rsidR="00BD1912" w:rsidRPr="00271EFE" w:rsidRDefault="00BD1912" w:rsidP="00BD1912">
      <w:pPr>
        <w:pStyle w:val="TableHeading0"/>
      </w:pPr>
      <w:bookmarkStart w:id="14" w:name="_Ref523871082"/>
      <w:r>
        <w:t xml:space="preserve">Table </w:t>
      </w:r>
      <w:r w:rsidR="00A94F25">
        <w:rPr>
          <w:noProof/>
        </w:rPr>
        <w:t>8</w:t>
      </w:r>
      <w:bookmarkEnd w:id="14"/>
      <w:r>
        <w:t>:  Re</w:t>
      </w:r>
      <w:r w:rsidR="00856134">
        <w:t>-</w:t>
      </w:r>
      <w:r>
        <w:t xml:space="preserve">treatment rates (safety IAT; </w:t>
      </w:r>
      <w:r w:rsidRPr="00271EFE">
        <w:t xml:space="preserve">n = 802) as per </w:t>
      </w:r>
      <w:r w:rsidR="00941A1B" w:rsidRPr="00271EFE">
        <w:t>re-treatment</w:t>
      </w:r>
      <w:r w:rsidRPr="00271EFE">
        <w:t xml:space="preserve"> memo and CSR</w:t>
      </w:r>
      <w:r w:rsidR="00FA1B17" w:rsidRPr="00271EFE">
        <w:t xml:space="preserve"> (and revised in PSCR)</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660"/>
        <w:gridCol w:w="1306"/>
        <w:gridCol w:w="1278"/>
        <w:gridCol w:w="1306"/>
        <w:gridCol w:w="2010"/>
      </w:tblGrid>
      <w:tr w:rsidR="00BD1912" w:rsidRPr="00271EFE" w:rsidTr="001666A4">
        <w:tc>
          <w:tcPr>
            <w:tcW w:w="787" w:type="pct"/>
            <w:shd w:val="clear" w:color="auto" w:fill="auto"/>
          </w:tcPr>
          <w:p w:rsidR="00BD1912" w:rsidRPr="00271EFE" w:rsidRDefault="00BD1912" w:rsidP="001666A4">
            <w:pPr>
              <w:pStyle w:val="TableText0"/>
              <w:rPr>
                <w:b/>
              </w:rPr>
            </w:pPr>
            <w:r w:rsidRPr="00271EFE">
              <w:rPr>
                <w:b/>
              </w:rPr>
              <w:t>Trial cohort</w:t>
            </w:r>
          </w:p>
        </w:tc>
        <w:tc>
          <w:tcPr>
            <w:tcW w:w="925" w:type="pct"/>
            <w:shd w:val="clear" w:color="auto" w:fill="auto"/>
          </w:tcPr>
          <w:p w:rsidR="00BD1912" w:rsidRPr="00271EFE" w:rsidRDefault="00BD1912" w:rsidP="001666A4">
            <w:pPr>
              <w:pStyle w:val="TableText0"/>
              <w:rPr>
                <w:b/>
              </w:rPr>
            </w:pPr>
            <w:r w:rsidRPr="00271EFE">
              <w:rPr>
                <w:b/>
              </w:rPr>
              <w:t>Course</w:t>
            </w:r>
          </w:p>
        </w:tc>
        <w:tc>
          <w:tcPr>
            <w:tcW w:w="728" w:type="pct"/>
            <w:shd w:val="clear" w:color="auto" w:fill="auto"/>
          </w:tcPr>
          <w:p w:rsidR="00BD1912" w:rsidRPr="00271EFE" w:rsidRDefault="00BD1912" w:rsidP="001666A4">
            <w:pPr>
              <w:pStyle w:val="TableText0"/>
              <w:jc w:val="center"/>
              <w:rPr>
                <w:b/>
              </w:rPr>
            </w:pPr>
            <w:r w:rsidRPr="00271EFE">
              <w:rPr>
                <w:b/>
              </w:rPr>
              <w:t>Over 3 years</w:t>
            </w:r>
          </w:p>
        </w:tc>
        <w:tc>
          <w:tcPr>
            <w:tcW w:w="712" w:type="pct"/>
          </w:tcPr>
          <w:p w:rsidR="00BD1912" w:rsidRPr="00271EFE" w:rsidRDefault="00BD1912" w:rsidP="001666A4">
            <w:pPr>
              <w:pStyle w:val="TableText0"/>
              <w:jc w:val="center"/>
              <w:rPr>
                <w:b/>
              </w:rPr>
            </w:pPr>
            <w:r w:rsidRPr="00271EFE">
              <w:rPr>
                <w:b/>
              </w:rPr>
              <w:t>Over 4 years</w:t>
            </w:r>
          </w:p>
        </w:tc>
        <w:tc>
          <w:tcPr>
            <w:tcW w:w="728" w:type="pct"/>
          </w:tcPr>
          <w:p w:rsidR="00BD1912" w:rsidRPr="00271EFE" w:rsidRDefault="00BD1912" w:rsidP="001666A4">
            <w:pPr>
              <w:pStyle w:val="TableText0"/>
              <w:jc w:val="center"/>
              <w:rPr>
                <w:b/>
              </w:rPr>
            </w:pPr>
            <w:r w:rsidRPr="00271EFE">
              <w:rPr>
                <w:b/>
              </w:rPr>
              <w:t>Over 5 years</w:t>
            </w:r>
          </w:p>
        </w:tc>
        <w:tc>
          <w:tcPr>
            <w:tcW w:w="1120" w:type="pct"/>
          </w:tcPr>
          <w:p w:rsidR="00BD1912" w:rsidRPr="00271EFE" w:rsidRDefault="00BD1912" w:rsidP="001666A4">
            <w:pPr>
              <w:pStyle w:val="TableText0"/>
              <w:jc w:val="center"/>
              <w:rPr>
                <w:b/>
              </w:rPr>
            </w:pPr>
            <w:r w:rsidRPr="00271EFE">
              <w:rPr>
                <w:b/>
              </w:rPr>
              <w:t>Over 6 years</w:t>
            </w:r>
          </w:p>
        </w:tc>
      </w:tr>
      <w:tr w:rsidR="00BD1912" w:rsidRPr="00271EFE" w:rsidTr="001666A4">
        <w:tc>
          <w:tcPr>
            <w:tcW w:w="5000" w:type="pct"/>
            <w:gridSpan w:val="6"/>
            <w:shd w:val="clear" w:color="auto" w:fill="auto"/>
          </w:tcPr>
          <w:p w:rsidR="00BD1912" w:rsidRPr="00271EFE" w:rsidRDefault="00BD1912" w:rsidP="001666A4">
            <w:pPr>
              <w:pStyle w:val="TableText0"/>
              <w:jc w:val="center"/>
              <w:rPr>
                <w:b/>
              </w:rPr>
            </w:pPr>
            <w:r w:rsidRPr="00271EFE">
              <w:rPr>
                <w:b/>
              </w:rPr>
              <w:t xml:space="preserve">As per </w:t>
            </w:r>
            <w:r w:rsidR="00941A1B" w:rsidRPr="00271EFE">
              <w:rPr>
                <w:b/>
              </w:rPr>
              <w:t>re-treatment</w:t>
            </w:r>
            <w:r w:rsidRPr="00271EFE">
              <w:rPr>
                <w:b/>
              </w:rPr>
              <w:t xml:space="preserve"> memo</w:t>
            </w:r>
          </w:p>
        </w:tc>
      </w:tr>
      <w:tr w:rsidR="00BD1912" w:rsidRPr="00271EFE" w:rsidTr="001666A4">
        <w:tc>
          <w:tcPr>
            <w:tcW w:w="787" w:type="pct"/>
            <w:vMerge w:val="restart"/>
          </w:tcPr>
          <w:p w:rsidR="00BD1912" w:rsidRPr="00271EFE" w:rsidRDefault="00BD1912" w:rsidP="001666A4">
            <w:pPr>
              <w:pStyle w:val="TableText0"/>
            </w:pPr>
            <w:r w:rsidRPr="00271EFE">
              <w:t>CARE-MS I</w:t>
            </w:r>
          </w:p>
        </w:tc>
        <w:tc>
          <w:tcPr>
            <w:tcW w:w="925" w:type="pct"/>
          </w:tcPr>
          <w:p w:rsidR="00BD1912" w:rsidRPr="00271EFE" w:rsidRDefault="00BD1912" w:rsidP="001666A4">
            <w:pPr>
              <w:pStyle w:val="TableText0"/>
            </w:pPr>
            <w:r w:rsidRPr="00271EFE">
              <w:t>3rd</w:t>
            </w:r>
          </w:p>
        </w:tc>
        <w:tc>
          <w:tcPr>
            <w:tcW w:w="728" w:type="pct"/>
          </w:tcPr>
          <w:p w:rsidR="00BD1912" w:rsidRPr="009D295A" w:rsidRDefault="009D295A" w:rsidP="001666A4">
            <w:pPr>
              <w:pStyle w:val="TableText0"/>
              <w:jc w:val="center"/>
              <w:rPr>
                <w:highlight w:val="black"/>
              </w:rPr>
            </w:pPr>
            <w:r>
              <w:rPr>
                <w:noProof/>
                <w:color w:val="000000"/>
                <w:highlight w:val="black"/>
              </w:rPr>
              <w:t>''''''''''''''''</w:t>
            </w:r>
          </w:p>
        </w:tc>
        <w:tc>
          <w:tcPr>
            <w:tcW w:w="712" w:type="pct"/>
          </w:tcPr>
          <w:p w:rsidR="00BD1912" w:rsidRPr="009D295A" w:rsidRDefault="009D295A" w:rsidP="001666A4">
            <w:pPr>
              <w:pStyle w:val="TableText0"/>
              <w:jc w:val="center"/>
              <w:rPr>
                <w:highlight w:val="black"/>
              </w:rPr>
            </w:pPr>
            <w:r>
              <w:rPr>
                <w:noProof/>
                <w:color w:val="000000"/>
                <w:highlight w:val="black"/>
              </w:rPr>
              <w:t>''''''''''''''</w:t>
            </w:r>
          </w:p>
        </w:tc>
        <w:tc>
          <w:tcPr>
            <w:tcW w:w="728" w:type="pct"/>
          </w:tcPr>
          <w:p w:rsidR="00BD1912" w:rsidRPr="009D295A" w:rsidRDefault="009D295A" w:rsidP="001666A4">
            <w:pPr>
              <w:pStyle w:val="TableText0"/>
              <w:jc w:val="center"/>
              <w:rPr>
                <w:highlight w:val="black"/>
              </w:rPr>
            </w:pPr>
            <w:r>
              <w:rPr>
                <w:noProof/>
                <w:color w:val="000000"/>
                <w:highlight w:val="black"/>
              </w:rPr>
              <w:t>''''''''''''''''</w:t>
            </w:r>
          </w:p>
        </w:tc>
        <w:tc>
          <w:tcPr>
            <w:tcW w:w="1120" w:type="pct"/>
          </w:tcPr>
          <w:p w:rsidR="00BD1912" w:rsidRPr="009D295A" w:rsidRDefault="009D295A" w:rsidP="001666A4">
            <w:pPr>
              <w:pStyle w:val="TableText0"/>
              <w:jc w:val="center"/>
              <w:rPr>
                <w:highlight w:val="black"/>
              </w:rPr>
            </w:pPr>
            <w:r>
              <w:rPr>
                <w:noProof/>
                <w:color w:val="000000"/>
                <w:highlight w:val="black"/>
              </w:rPr>
              <w:t>''''''''''''''</w:t>
            </w:r>
          </w:p>
        </w:tc>
      </w:tr>
      <w:tr w:rsidR="00BD1912" w:rsidRPr="00271EFE" w:rsidTr="001666A4">
        <w:tc>
          <w:tcPr>
            <w:tcW w:w="787" w:type="pct"/>
            <w:vMerge/>
          </w:tcPr>
          <w:p w:rsidR="00BD1912" w:rsidRPr="00271EFE" w:rsidRDefault="00BD1912" w:rsidP="001666A4">
            <w:pPr>
              <w:pStyle w:val="TableText0"/>
            </w:pPr>
          </w:p>
        </w:tc>
        <w:tc>
          <w:tcPr>
            <w:tcW w:w="925" w:type="pct"/>
          </w:tcPr>
          <w:p w:rsidR="00BD1912" w:rsidRPr="00271EFE" w:rsidRDefault="00BD1912" w:rsidP="001666A4">
            <w:pPr>
              <w:pStyle w:val="TableText0"/>
            </w:pPr>
            <w:r w:rsidRPr="00271EFE">
              <w:t>4th</w:t>
            </w:r>
          </w:p>
        </w:tc>
        <w:tc>
          <w:tcPr>
            <w:tcW w:w="728" w:type="pct"/>
          </w:tcPr>
          <w:p w:rsidR="00BD1912" w:rsidRPr="009D295A" w:rsidRDefault="009D295A" w:rsidP="001666A4">
            <w:pPr>
              <w:pStyle w:val="TableText0"/>
              <w:jc w:val="center"/>
              <w:rPr>
                <w:highlight w:val="black"/>
              </w:rPr>
            </w:pPr>
            <w:r>
              <w:rPr>
                <w:noProof/>
                <w:color w:val="000000"/>
                <w:highlight w:val="black"/>
              </w:rPr>
              <w:t>''</w:t>
            </w:r>
          </w:p>
        </w:tc>
        <w:tc>
          <w:tcPr>
            <w:tcW w:w="712" w:type="pct"/>
          </w:tcPr>
          <w:p w:rsidR="00BD1912" w:rsidRPr="009D295A" w:rsidRDefault="009D295A" w:rsidP="001666A4">
            <w:pPr>
              <w:pStyle w:val="TableText0"/>
              <w:jc w:val="center"/>
              <w:rPr>
                <w:highlight w:val="black"/>
              </w:rPr>
            </w:pPr>
            <w:r>
              <w:rPr>
                <w:noProof/>
                <w:color w:val="000000"/>
                <w:highlight w:val="black"/>
              </w:rPr>
              <w:t>'''''''''''</w:t>
            </w:r>
          </w:p>
        </w:tc>
        <w:tc>
          <w:tcPr>
            <w:tcW w:w="728" w:type="pct"/>
          </w:tcPr>
          <w:p w:rsidR="00BD1912" w:rsidRPr="009D295A" w:rsidRDefault="009D295A" w:rsidP="001666A4">
            <w:pPr>
              <w:pStyle w:val="TableText0"/>
              <w:jc w:val="center"/>
              <w:rPr>
                <w:highlight w:val="black"/>
              </w:rPr>
            </w:pPr>
            <w:r>
              <w:rPr>
                <w:noProof/>
                <w:color w:val="000000"/>
                <w:highlight w:val="black"/>
              </w:rPr>
              <w:t>'''''''''''</w:t>
            </w:r>
          </w:p>
        </w:tc>
        <w:tc>
          <w:tcPr>
            <w:tcW w:w="1120" w:type="pct"/>
          </w:tcPr>
          <w:p w:rsidR="00BD1912" w:rsidRPr="009D295A" w:rsidRDefault="009D295A" w:rsidP="001666A4">
            <w:pPr>
              <w:pStyle w:val="TableText0"/>
              <w:jc w:val="center"/>
              <w:rPr>
                <w:highlight w:val="black"/>
              </w:rPr>
            </w:pPr>
            <w:r>
              <w:rPr>
                <w:noProof/>
                <w:color w:val="000000"/>
                <w:highlight w:val="black"/>
              </w:rPr>
              <w:t>'''''''''''''</w:t>
            </w:r>
          </w:p>
        </w:tc>
      </w:tr>
      <w:tr w:rsidR="00BD1912" w:rsidRPr="00271EFE" w:rsidTr="001666A4">
        <w:tc>
          <w:tcPr>
            <w:tcW w:w="787" w:type="pct"/>
            <w:vMerge/>
          </w:tcPr>
          <w:p w:rsidR="00BD1912" w:rsidRPr="00271EFE" w:rsidRDefault="00BD1912" w:rsidP="001666A4">
            <w:pPr>
              <w:pStyle w:val="TableText0"/>
            </w:pPr>
          </w:p>
        </w:tc>
        <w:tc>
          <w:tcPr>
            <w:tcW w:w="925" w:type="pct"/>
          </w:tcPr>
          <w:p w:rsidR="00BD1912" w:rsidRPr="00271EFE" w:rsidRDefault="00BD1912" w:rsidP="001666A4">
            <w:pPr>
              <w:pStyle w:val="TableText0"/>
            </w:pPr>
            <w:r w:rsidRPr="00271EFE">
              <w:t>5th</w:t>
            </w:r>
          </w:p>
        </w:tc>
        <w:tc>
          <w:tcPr>
            <w:tcW w:w="728" w:type="pct"/>
          </w:tcPr>
          <w:p w:rsidR="00BD1912" w:rsidRPr="009D295A" w:rsidRDefault="009D295A" w:rsidP="001666A4">
            <w:pPr>
              <w:pStyle w:val="TableText0"/>
              <w:jc w:val="center"/>
              <w:rPr>
                <w:highlight w:val="black"/>
              </w:rPr>
            </w:pPr>
            <w:r>
              <w:rPr>
                <w:noProof/>
                <w:color w:val="000000"/>
                <w:highlight w:val="black"/>
              </w:rPr>
              <w:t>'''</w:t>
            </w:r>
          </w:p>
        </w:tc>
        <w:tc>
          <w:tcPr>
            <w:tcW w:w="712" w:type="pct"/>
          </w:tcPr>
          <w:p w:rsidR="00BD1912" w:rsidRPr="009D295A" w:rsidRDefault="009D295A" w:rsidP="001666A4">
            <w:pPr>
              <w:pStyle w:val="TableText0"/>
              <w:jc w:val="center"/>
              <w:rPr>
                <w:highlight w:val="black"/>
              </w:rPr>
            </w:pPr>
            <w:r>
              <w:rPr>
                <w:noProof/>
                <w:color w:val="000000"/>
                <w:highlight w:val="black"/>
              </w:rPr>
              <w:t>'''</w:t>
            </w:r>
          </w:p>
        </w:tc>
        <w:tc>
          <w:tcPr>
            <w:tcW w:w="728" w:type="pct"/>
          </w:tcPr>
          <w:p w:rsidR="00BD1912" w:rsidRPr="009D295A" w:rsidRDefault="009D295A" w:rsidP="001666A4">
            <w:pPr>
              <w:pStyle w:val="TableText0"/>
              <w:jc w:val="center"/>
              <w:rPr>
                <w:highlight w:val="black"/>
              </w:rPr>
            </w:pPr>
            <w:r>
              <w:rPr>
                <w:noProof/>
                <w:color w:val="000000"/>
                <w:highlight w:val="black"/>
              </w:rPr>
              <w:t>''''''''''''</w:t>
            </w:r>
          </w:p>
        </w:tc>
        <w:tc>
          <w:tcPr>
            <w:tcW w:w="1120" w:type="pct"/>
          </w:tcPr>
          <w:p w:rsidR="00BD1912" w:rsidRPr="009D295A" w:rsidRDefault="009D295A" w:rsidP="001666A4">
            <w:pPr>
              <w:pStyle w:val="TableText0"/>
              <w:jc w:val="center"/>
              <w:rPr>
                <w:highlight w:val="black"/>
              </w:rPr>
            </w:pPr>
            <w:r>
              <w:rPr>
                <w:noProof/>
                <w:color w:val="000000"/>
                <w:highlight w:val="black"/>
              </w:rPr>
              <w:t>''''''''''''''</w:t>
            </w:r>
          </w:p>
        </w:tc>
      </w:tr>
      <w:tr w:rsidR="00BD1912" w:rsidRPr="00271EFE" w:rsidTr="001666A4">
        <w:tc>
          <w:tcPr>
            <w:tcW w:w="787" w:type="pct"/>
            <w:vMerge/>
          </w:tcPr>
          <w:p w:rsidR="00BD1912" w:rsidRPr="00271EFE" w:rsidRDefault="00BD1912" w:rsidP="001666A4">
            <w:pPr>
              <w:pStyle w:val="TableText0"/>
            </w:pPr>
          </w:p>
        </w:tc>
        <w:tc>
          <w:tcPr>
            <w:tcW w:w="925" w:type="pct"/>
          </w:tcPr>
          <w:p w:rsidR="00BD1912" w:rsidRPr="00271EFE" w:rsidRDefault="00BD1912" w:rsidP="001666A4">
            <w:pPr>
              <w:pStyle w:val="TableText0"/>
            </w:pPr>
            <w:r w:rsidRPr="00271EFE">
              <w:t>6th</w:t>
            </w:r>
          </w:p>
        </w:tc>
        <w:tc>
          <w:tcPr>
            <w:tcW w:w="728" w:type="pct"/>
          </w:tcPr>
          <w:p w:rsidR="00BD1912" w:rsidRPr="009D295A" w:rsidRDefault="009D295A" w:rsidP="001666A4">
            <w:pPr>
              <w:pStyle w:val="TableText0"/>
              <w:jc w:val="center"/>
              <w:rPr>
                <w:highlight w:val="black"/>
              </w:rPr>
            </w:pPr>
            <w:r>
              <w:rPr>
                <w:noProof/>
                <w:color w:val="000000"/>
                <w:highlight w:val="black"/>
              </w:rPr>
              <w:t>'''</w:t>
            </w:r>
          </w:p>
        </w:tc>
        <w:tc>
          <w:tcPr>
            <w:tcW w:w="712" w:type="pct"/>
          </w:tcPr>
          <w:p w:rsidR="00BD1912" w:rsidRPr="009D295A" w:rsidRDefault="009D295A" w:rsidP="001666A4">
            <w:pPr>
              <w:pStyle w:val="TableText0"/>
              <w:jc w:val="center"/>
              <w:rPr>
                <w:highlight w:val="black"/>
              </w:rPr>
            </w:pPr>
            <w:r>
              <w:rPr>
                <w:noProof/>
                <w:color w:val="000000"/>
                <w:highlight w:val="black"/>
              </w:rPr>
              <w:t>''</w:t>
            </w:r>
          </w:p>
        </w:tc>
        <w:tc>
          <w:tcPr>
            <w:tcW w:w="728" w:type="pct"/>
          </w:tcPr>
          <w:p w:rsidR="00BD1912" w:rsidRPr="009D295A" w:rsidRDefault="009D295A" w:rsidP="001666A4">
            <w:pPr>
              <w:pStyle w:val="TableText0"/>
              <w:jc w:val="center"/>
              <w:rPr>
                <w:highlight w:val="black"/>
              </w:rPr>
            </w:pPr>
            <w:r>
              <w:rPr>
                <w:noProof/>
                <w:color w:val="000000"/>
                <w:highlight w:val="black"/>
              </w:rPr>
              <w:t>''</w:t>
            </w:r>
          </w:p>
        </w:tc>
        <w:tc>
          <w:tcPr>
            <w:tcW w:w="1120" w:type="pct"/>
          </w:tcPr>
          <w:p w:rsidR="00BD1912" w:rsidRPr="009D295A" w:rsidRDefault="009D295A" w:rsidP="001666A4">
            <w:pPr>
              <w:pStyle w:val="TableText0"/>
              <w:jc w:val="center"/>
              <w:rPr>
                <w:highlight w:val="black"/>
              </w:rPr>
            </w:pPr>
            <w:r>
              <w:rPr>
                <w:noProof/>
                <w:color w:val="000000"/>
                <w:highlight w:val="black"/>
              </w:rPr>
              <w:t>''''''''''''''</w:t>
            </w:r>
          </w:p>
        </w:tc>
      </w:tr>
      <w:tr w:rsidR="00BD1912" w:rsidRPr="00271EFE" w:rsidTr="001666A4">
        <w:tc>
          <w:tcPr>
            <w:tcW w:w="787" w:type="pct"/>
            <w:vMerge/>
          </w:tcPr>
          <w:p w:rsidR="00BD1912" w:rsidRPr="00271EFE" w:rsidRDefault="00BD1912" w:rsidP="001666A4">
            <w:pPr>
              <w:pStyle w:val="TableText0"/>
            </w:pPr>
          </w:p>
        </w:tc>
        <w:tc>
          <w:tcPr>
            <w:tcW w:w="925" w:type="pct"/>
          </w:tcPr>
          <w:p w:rsidR="00BD1912" w:rsidRPr="00271EFE" w:rsidRDefault="00BD1912" w:rsidP="001666A4">
            <w:pPr>
              <w:pStyle w:val="TableText0"/>
            </w:pPr>
            <w:r w:rsidRPr="00271EFE">
              <w:t xml:space="preserve">Total </w:t>
            </w:r>
            <w:r w:rsidR="00941A1B" w:rsidRPr="00271EFE">
              <w:t>re-treatment</w:t>
            </w:r>
          </w:p>
        </w:tc>
        <w:tc>
          <w:tcPr>
            <w:tcW w:w="728" w:type="pct"/>
          </w:tcPr>
          <w:p w:rsidR="00BD1912" w:rsidRPr="009D295A" w:rsidRDefault="00BD1912" w:rsidP="001666A4">
            <w:pPr>
              <w:pStyle w:val="TableText0"/>
              <w:jc w:val="center"/>
            </w:pPr>
          </w:p>
        </w:tc>
        <w:tc>
          <w:tcPr>
            <w:tcW w:w="712" w:type="pct"/>
          </w:tcPr>
          <w:p w:rsidR="00BD1912" w:rsidRPr="009D295A" w:rsidRDefault="00BD1912" w:rsidP="001666A4">
            <w:pPr>
              <w:pStyle w:val="TableText0"/>
              <w:jc w:val="center"/>
            </w:pPr>
          </w:p>
        </w:tc>
        <w:tc>
          <w:tcPr>
            <w:tcW w:w="728" w:type="pct"/>
          </w:tcPr>
          <w:p w:rsidR="00BD1912" w:rsidRPr="009D295A" w:rsidRDefault="00BD1912" w:rsidP="001666A4">
            <w:pPr>
              <w:pStyle w:val="TableText0"/>
              <w:jc w:val="center"/>
            </w:pPr>
          </w:p>
        </w:tc>
        <w:tc>
          <w:tcPr>
            <w:tcW w:w="1120" w:type="pct"/>
          </w:tcPr>
          <w:p w:rsidR="00BD1912" w:rsidRPr="009D295A" w:rsidRDefault="009D295A" w:rsidP="001666A4">
            <w:pPr>
              <w:pStyle w:val="TableText0"/>
              <w:jc w:val="center"/>
              <w:rPr>
                <w:highlight w:val="black"/>
              </w:rPr>
            </w:pPr>
            <w:r>
              <w:rPr>
                <w:noProof/>
                <w:color w:val="000000"/>
                <w:highlight w:val="black"/>
              </w:rPr>
              <w:t>'''''''''''''''</w:t>
            </w:r>
          </w:p>
        </w:tc>
      </w:tr>
      <w:tr w:rsidR="00BD1912" w:rsidRPr="00271EFE" w:rsidTr="001666A4">
        <w:tc>
          <w:tcPr>
            <w:tcW w:w="787" w:type="pct"/>
            <w:vMerge w:val="restart"/>
          </w:tcPr>
          <w:p w:rsidR="00BD1912" w:rsidRPr="00271EFE" w:rsidRDefault="00BD1912" w:rsidP="001666A4">
            <w:pPr>
              <w:pStyle w:val="TableText0"/>
            </w:pPr>
            <w:r w:rsidRPr="00271EFE">
              <w:t>CARE-MS II</w:t>
            </w:r>
          </w:p>
        </w:tc>
        <w:tc>
          <w:tcPr>
            <w:tcW w:w="925" w:type="pct"/>
          </w:tcPr>
          <w:p w:rsidR="00BD1912" w:rsidRPr="00271EFE" w:rsidRDefault="00BD1912" w:rsidP="001666A4">
            <w:pPr>
              <w:pStyle w:val="TableText0"/>
            </w:pPr>
            <w:r w:rsidRPr="00271EFE">
              <w:t>3rd</w:t>
            </w:r>
          </w:p>
        </w:tc>
        <w:tc>
          <w:tcPr>
            <w:tcW w:w="728" w:type="pct"/>
          </w:tcPr>
          <w:p w:rsidR="00BD1912" w:rsidRPr="009D295A" w:rsidRDefault="009D295A" w:rsidP="001666A4">
            <w:pPr>
              <w:pStyle w:val="TableText0"/>
              <w:jc w:val="center"/>
              <w:rPr>
                <w:highlight w:val="black"/>
              </w:rPr>
            </w:pPr>
            <w:r>
              <w:rPr>
                <w:noProof/>
                <w:color w:val="000000"/>
                <w:highlight w:val="black"/>
              </w:rPr>
              <w:t>'''''''''''''''</w:t>
            </w:r>
          </w:p>
        </w:tc>
        <w:tc>
          <w:tcPr>
            <w:tcW w:w="712" w:type="pct"/>
          </w:tcPr>
          <w:p w:rsidR="00F91333" w:rsidRPr="009D295A" w:rsidRDefault="009D295A" w:rsidP="001666A4">
            <w:pPr>
              <w:pStyle w:val="TableText0"/>
              <w:jc w:val="center"/>
              <w:rPr>
                <w:highlight w:val="black"/>
              </w:rPr>
            </w:pPr>
            <w:r>
              <w:rPr>
                <w:noProof/>
                <w:color w:val="000000"/>
                <w:highlight w:val="black"/>
              </w:rPr>
              <w:t>''''''''''''''</w:t>
            </w:r>
          </w:p>
          <w:p w:rsidR="00BD1912" w:rsidRPr="009D295A" w:rsidRDefault="009D295A" w:rsidP="001666A4">
            <w:pPr>
              <w:pStyle w:val="TableText0"/>
              <w:jc w:val="center"/>
              <w:rPr>
                <w:highlight w:val="black"/>
              </w:rPr>
            </w:pPr>
            <w:r>
              <w:rPr>
                <w:noProof/>
                <w:color w:val="000000"/>
                <w:highlight w:val="black"/>
              </w:rPr>
              <w:t>'''''''''''''''' '''''</w:t>
            </w:r>
          </w:p>
        </w:tc>
        <w:tc>
          <w:tcPr>
            <w:tcW w:w="728" w:type="pct"/>
          </w:tcPr>
          <w:p w:rsidR="00BD1912" w:rsidRPr="009D295A" w:rsidRDefault="009D295A" w:rsidP="001666A4">
            <w:pPr>
              <w:pStyle w:val="TableText0"/>
              <w:jc w:val="center"/>
              <w:rPr>
                <w:highlight w:val="black"/>
              </w:rPr>
            </w:pPr>
            <w:r>
              <w:rPr>
                <w:noProof/>
                <w:color w:val="000000"/>
                <w:highlight w:val="black"/>
              </w:rPr>
              <w:t>'''''''''''''''' '''''''''''''''''''''''</w:t>
            </w:r>
          </w:p>
        </w:tc>
        <w:tc>
          <w:tcPr>
            <w:tcW w:w="1120" w:type="pct"/>
          </w:tcPr>
          <w:p w:rsidR="008C526F" w:rsidRPr="009D295A" w:rsidRDefault="009D295A" w:rsidP="008C526F">
            <w:pPr>
              <w:pStyle w:val="TableText0"/>
              <w:jc w:val="center"/>
              <w:rPr>
                <w:highlight w:val="black"/>
              </w:rPr>
            </w:pPr>
            <w:r>
              <w:rPr>
                <w:noProof/>
                <w:color w:val="000000"/>
                <w:highlight w:val="black"/>
              </w:rPr>
              <w:t>''''''''''''''''</w:t>
            </w:r>
          </w:p>
          <w:p w:rsidR="00BD1912" w:rsidRPr="009D295A" w:rsidRDefault="009D295A" w:rsidP="008C526F">
            <w:pPr>
              <w:pStyle w:val="TableText0"/>
              <w:jc w:val="center"/>
              <w:rPr>
                <w:highlight w:val="black"/>
              </w:rPr>
            </w:pPr>
            <w:r>
              <w:rPr>
                <w:noProof/>
                <w:color w:val="000000"/>
                <w:highlight w:val="black"/>
              </w:rPr>
              <w:t xml:space="preserve">''''''''''''''''''''' </w:t>
            </w:r>
          </w:p>
        </w:tc>
      </w:tr>
      <w:tr w:rsidR="00BD1912" w:rsidRPr="00271EFE" w:rsidTr="001666A4">
        <w:tc>
          <w:tcPr>
            <w:tcW w:w="787" w:type="pct"/>
            <w:vMerge/>
          </w:tcPr>
          <w:p w:rsidR="00BD1912" w:rsidRPr="00271EFE" w:rsidRDefault="00BD1912" w:rsidP="001666A4">
            <w:pPr>
              <w:pStyle w:val="TableText0"/>
            </w:pPr>
          </w:p>
        </w:tc>
        <w:tc>
          <w:tcPr>
            <w:tcW w:w="925" w:type="pct"/>
          </w:tcPr>
          <w:p w:rsidR="00BD1912" w:rsidRPr="00271EFE" w:rsidRDefault="00BD1912" w:rsidP="001666A4">
            <w:pPr>
              <w:pStyle w:val="TableText0"/>
            </w:pPr>
            <w:r w:rsidRPr="00271EFE">
              <w:t>4th</w:t>
            </w:r>
          </w:p>
        </w:tc>
        <w:tc>
          <w:tcPr>
            <w:tcW w:w="728" w:type="pct"/>
          </w:tcPr>
          <w:p w:rsidR="00BD1912" w:rsidRPr="009D295A" w:rsidRDefault="009D295A" w:rsidP="001666A4">
            <w:pPr>
              <w:pStyle w:val="TableText0"/>
              <w:jc w:val="center"/>
              <w:rPr>
                <w:highlight w:val="black"/>
              </w:rPr>
            </w:pPr>
            <w:r>
              <w:rPr>
                <w:noProof/>
                <w:color w:val="000000"/>
                <w:highlight w:val="black"/>
              </w:rPr>
              <w:t>''</w:t>
            </w:r>
          </w:p>
        </w:tc>
        <w:tc>
          <w:tcPr>
            <w:tcW w:w="712" w:type="pct"/>
          </w:tcPr>
          <w:p w:rsidR="00BD1912" w:rsidRPr="009D295A" w:rsidRDefault="009D295A" w:rsidP="001666A4">
            <w:pPr>
              <w:pStyle w:val="TableText0"/>
              <w:jc w:val="center"/>
              <w:rPr>
                <w:highlight w:val="black"/>
              </w:rPr>
            </w:pPr>
            <w:r>
              <w:rPr>
                <w:noProof/>
                <w:color w:val="000000"/>
                <w:highlight w:val="black"/>
              </w:rPr>
              <w:t>''''''''''''' ''''''''''''''''''</w:t>
            </w:r>
          </w:p>
        </w:tc>
        <w:tc>
          <w:tcPr>
            <w:tcW w:w="728" w:type="pct"/>
          </w:tcPr>
          <w:p w:rsidR="00BD1912" w:rsidRPr="009D295A" w:rsidRDefault="009D295A" w:rsidP="001666A4">
            <w:pPr>
              <w:pStyle w:val="TableText0"/>
              <w:jc w:val="center"/>
              <w:rPr>
                <w:highlight w:val="black"/>
              </w:rPr>
            </w:pPr>
            <w:r>
              <w:rPr>
                <w:noProof/>
                <w:color w:val="000000"/>
                <w:highlight w:val="black"/>
              </w:rPr>
              <w:t>'''''''''''</w:t>
            </w:r>
          </w:p>
        </w:tc>
        <w:tc>
          <w:tcPr>
            <w:tcW w:w="1120" w:type="pct"/>
          </w:tcPr>
          <w:p w:rsidR="00BD1912" w:rsidRPr="009D295A" w:rsidRDefault="009D295A" w:rsidP="001666A4">
            <w:pPr>
              <w:pStyle w:val="TableText0"/>
              <w:jc w:val="center"/>
              <w:rPr>
                <w:highlight w:val="black"/>
              </w:rPr>
            </w:pPr>
            <w:r>
              <w:rPr>
                <w:noProof/>
                <w:color w:val="000000"/>
                <w:highlight w:val="black"/>
              </w:rPr>
              <w:t>'''''''''''''''</w:t>
            </w:r>
          </w:p>
        </w:tc>
      </w:tr>
      <w:tr w:rsidR="00BD1912" w:rsidRPr="00271EFE" w:rsidTr="001666A4">
        <w:tc>
          <w:tcPr>
            <w:tcW w:w="787" w:type="pct"/>
            <w:vMerge/>
          </w:tcPr>
          <w:p w:rsidR="00BD1912" w:rsidRPr="00271EFE" w:rsidRDefault="00BD1912" w:rsidP="001666A4">
            <w:pPr>
              <w:pStyle w:val="TableText0"/>
            </w:pPr>
          </w:p>
        </w:tc>
        <w:tc>
          <w:tcPr>
            <w:tcW w:w="925" w:type="pct"/>
          </w:tcPr>
          <w:p w:rsidR="00BD1912" w:rsidRPr="00271EFE" w:rsidRDefault="00BD1912" w:rsidP="001666A4">
            <w:pPr>
              <w:pStyle w:val="TableText0"/>
            </w:pPr>
            <w:r w:rsidRPr="00271EFE">
              <w:t>5th</w:t>
            </w:r>
          </w:p>
        </w:tc>
        <w:tc>
          <w:tcPr>
            <w:tcW w:w="728" w:type="pct"/>
          </w:tcPr>
          <w:p w:rsidR="00BD1912" w:rsidRPr="009D295A" w:rsidRDefault="009D295A" w:rsidP="001666A4">
            <w:pPr>
              <w:pStyle w:val="TableText0"/>
              <w:jc w:val="center"/>
              <w:rPr>
                <w:highlight w:val="black"/>
              </w:rPr>
            </w:pPr>
            <w:r>
              <w:rPr>
                <w:noProof/>
                <w:color w:val="000000"/>
                <w:highlight w:val="black"/>
              </w:rPr>
              <w:t>''</w:t>
            </w:r>
          </w:p>
        </w:tc>
        <w:tc>
          <w:tcPr>
            <w:tcW w:w="712" w:type="pct"/>
          </w:tcPr>
          <w:p w:rsidR="00BD1912" w:rsidRPr="009D295A" w:rsidRDefault="009D295A" w:rsidP="001666A4">
            <w:pPr>
              <w:pStyle w:val="TableText0"/>
              <w:jc w:val="center"/>
              <w:rPr>
                <w:highlight w:val="black"/>
              </w:rPr>
            </w:pPr>
            <w:r>
              <w:rPr>
                <w:noProof/>
                <w:color w:val="000000"/>
                <w:highlight w:val="black"/>
              </w:rPr>
              <w:t>'''</w:t>
            </w:r>
          </w:p>
        </w:tc>
        <w:tc>
          <w:tcPr>
            <w:tcW w:w="728" w:type="pct"/>
          </w:tcPr>
          <w:p w:rsidR="00BD1912" w:rsidRPr="009D295A" w:rsidRDefault="009D295A" w:rsidP="001666A4">
            <w:pPr>
              <w:pStyle w:val="TableText0"/>
              <w:jc w:val="center"/>
              <w:rPr>
                <w:highlight w:val="black"/>
              </w:rPr>
            </w:pPr>
            <w:r>
              <w:rPr>
                <w:noProof/>
                <w:color w:val="000000"/>
                <w:highlight w:val="black"/>
              </w:rPr>
              <w:t>'''''''''''</w:t>
            </w:r>
          </w:p>
        </w:tc>
        <w:tc>
          <w:tcPr>
            <w:tcW w:w="1120" w:type="pct"/>
          </w:tcPr>
          <w:p w:rsidR="00BD1912" w:rsidRPr="009D295A" w:rsidRDefault="009D295A" w:rsidP="001666A4">
            <w:pPr>
              <w:pStyle w:val="TableText0"/>
              <w:jc w:val="center"/>
              <w:rPr>
                <w:highlight w:val="black"/>
              </w:rPr>
            </w:pPr>
            <w:r>
              <w:rPr>
                <w:noProof/>
                <w:color w:val="000000"/>
                <w:highlight w:val="black"/>
              </w:rPr>
              <w:t>''''''''''''</w:t>
            </w:r>
          </w:p>
        </w:tc>
      </w:tr>
      <w:tr w:rsidR="00BD1912" w:rsidRPr="00271EFE" w:rsidTr="001666A4">
        <w:tc>
          <w:tcPr>
            <w:tcW w:w="787" w:type="pct"/>
            <w:vMerge/>
          </w:tcPr>
          <w:p w:rsidR="00BD1912" w:rsidRPr="00271EFE" w:rsidRDefault="00BD1912" w:rsidP="001666A4">
            <w:pPr>
              <w:pStyle w:val="TableText0"/>
            </w:pPr>
          </w:p>
        </w:tc>
        <w:tc>
          <w:tcPr>
            <w:tcW w:w="925" w:type="pct"/>
          </w:tcPr>
          <w:p w:rsidR="00BD1912" w:rsidRPr="00271EFE" w:rsidRDefault="00BD1912" w:rsidP="001666A4">
            <w:pPr>
              <w:pStyle w:val="TableText0"/>
            </w:pPr>
            <w:r w:rsidRPr="00271EFE">
              <w:t>6th</w:t>
            </w:r>
          </w:p>
        </w:tc>
        <w:tc>
          <w:tcPr>
            <w:tcW w:w="728" w:type="pct"/>
          </w:tcPr>
          <w:p w:rsidR="00BD1912" w:rsidRPr="009D295A" w:rsidRDefault="009D295A" w:rsidP="001666A4">
            <w:pPr>
              <w:pStyle w:val="TableText0"/>
              <w:jc w:val="center"/>
              <w:rPr>
                <w:highlight w:val="black"/>
              </w:rPr>
            </w:pPr>
            <w:r>
              <w:rPr>
                <w:noProof/>
                <w:color w:val="000000"/>
                <w:highlight w:val="black"/>
              </w:rPr>
              <w:t>''</w:t>
            </w:r>
          </w:p>
        </w:tc>
        <w:tc>
          <w:tcPr>
            <w:tcW w:w="712" w:type="pct"/>
          </w:tcPr>
          <w:p w:rsidR="00BD1912" w:rsidRPr="009D295A" w:rsidRDefault="009D295A" w:rsidP="001666A4">
            <w:pPr>
              <w:pStyle w:val="TableText0"/>
              <w:jc w:val="center"/>
              <w:rPr>
                <w:highlight w:val="black"/>
              </w:rPr>
            </w:pPr>
            <w:r>
              <w:rPr>
                <w:noProof/>
                <w:color w:val="000000"/>
                <w:highlight w:val="black"/>
              </w:rPr>
              <w:t>''</w:t>
            </w:r>
          </w:p>
        </w:tc>
        <w:tc>
          <w:tcPr>
            <w:tcW w:w="728" w:type="pct"/>
          </w:tcPr>
          <w:p w:rsidR="00BD1912" w:rsidRPr="009D295A" w:rsidRDefault="009D295A" w:rsidP="001666A4">
            <w:pPr>
              <w:pStyle w:val="TableText0"/>
              <w:jc w:val="center"/>
              <w:rPr>
                <w:highlight w:val="black"/>
              </w:rPr>
            </w:pPr>
            <w:r>
              <w:rPr>
                <w:noProof/>
                <w:color w:val="000000"/>
                <w:highlight w:val="black"/>
              </w:rPr>
              <w:t>'''</w:t>
            </w:r>
          </w:p>
        </w:tc>
        <w:tc>
          <w:tcPr>
            <w:tcW w:w="1120" w:type="pct"/>
          </w:tcPr>
          <w:p w:rsidR="00BD1912" w:rsidRPr="009D295A" w:rsidRDefault="009D295A" w:rsidP="001666A4">
            <w:pPr>
              <w:pStyle w:val="TableText0"/>
              <w:jc w:val="center"/>
              <w:rPr>
                <w:highlight w:val="black"/>
              </w:rPr>
            </w:pPr>
            <w:r>
              <w:rPr>
                <w:noProof/>
                <w:color w:val="000000"/>
                <w:highlight w:val="black"/>
              </w:rPr>
              <w:t>'''''''''''''</w:t>
            </w:r>
          </w:p>
        </w:tc>
      </w:tr>
      <w:tr w:rsidR="00BD1912" w:rsidRPr="00271EFE" w:rsidTr="001666A4">
        <w:tc>
          <w:tcPr>
            <w:tcW w:w="787" w:type="pct"/>
            <w:vMerge/>
          </w:tcPr>
          <w:p w:rsidR="00BD1912" w:rsidRPr="00271EFE" w:rsidRDefault="00BD1912" w:rsidP="001666A4">
            <w:pPr>
              <w:pStyle w:val="TableText0"/>
            </w:pPr>
          </w:p>
        </w:tc>
        <w:tc>
          <w:tcPr>
            <w:tcW w:w="925" w:type="pct"/>
          </w:tcPr>
          <w:p w:rsidR="00BD1912" w:rsidRPr="00271EFE" w:rsidRDefault="00BD1912" w:rsidP="001666A4">
            <w:pPr>
              <w:pStyle w:val="TableText0"/>
            </w:pPr>
            <w:r w:rsidRPr="00271EFE">
              <w:t xml:space="preserve">Total </w:t>
            </w:r>
            <w:r w:rsidR="00941A1B" w:rsidRPr="00271EFE">
              <w:t>re-treatment</w:t>
            </w:r>
          </w:p>
        </w:tc>
        <w:tc>
          <w:tcPr>
            <w:tcW w:w="728" w:type="pct"/>
          </w:tcPr>
          <w:p w:rsidR="00BD1912" w:rsidRPr="009D295A" w:rsidRDefault="00BD1912" w:rsidP="001666A4">
            <w:pPr>
              <w:pStyle w:val="TableText0"/>
              <w:jc w:val="center"/>
            </w:pPr>
          </w:p>
        </w:tc>
        <w:tc>
          <w:tcPr>
            <w:tcW w:w="712" w:type="pct"/>
          </w:tcPr>
          <w:p w:rsidR="00BD1912" w:rsidRPr="009D295A" w:rsidRDefault="00BD1912" w:rsidP="001666A4">
            <w:pPr>
              <w:pStyle w:val="TableText0"/>
              <w:jc w:val="center"/>
            </w:pPr>
          </w:p>
        </w:tc>
        <w:tc>
          <w:tcPr>
            <w:tcW w:w="728" w:type="pct"/>
          </w:tcPr>
          <w:p w:rsidR="00BD1912" w:rsidRPr="009D295A" w:rsidRDefault="00BD1912" w:rsidP="001666A4">
            <w:pPr>
              <w:pStyle w:val="TableText0"/>
              <w:jc w:val="center"/>
            </w:pPr>
          </w:p>
        </w:tc>
        <w:tc>
          <w:tcPr>
            <w:tcW w:w="1120" w:type="pct"/>
          </w:tcPr>
          <w:p w:rsidR="00BD1912" w:rsidRPr="009D295A" w:rsidRDefault="009D295A" w:rsidP="001666A4">
            <w:pPr>
              <w:pStyle w:val="TableText0"/>
              <w:jc w:val="center"/>
              <w:rPr>
                <w:highlight w:val="black"/>
              </w:rPr>
            </w:pPr>
            <w:r>
              <w:rPr>
                <w:noProof/>
                <w:color w:val="000000"/>
                <w:highlight w:val="black"/>
              </w:rPr>
              <w:t>'''''''''''''' '''''''''''''''''''''</w:t>
            </w:r>
          </w:p>
        </w:tc>
      </w:tr>
      <w:tr w:rsidR="00BD1912" w:rsidRPr="00271EFE" w:rsidTr="001666A4">
        <w:tc>
          <w:tcPr>
            <w:tcW w:w="787" w:type="pct"/>
            <w:vMerge w:val="restart"/>
          </w:tcPr>
          <w:p w:rsidR="00BD1912" w:rsidRPr="00271EFE" w:rsidRDefault="00BD1912" w:rsidP="001666A4">
            <w:pPr>
              <w:pStyle w:val="TableText0"/>
            </w:pPr>
            <w:r w:rsidRPr="00271EFE">
              <w:t>Pooled</w:t>
            </w:r>
          </w:p>
        </w:tc>
        <w:tc>
          <w:tcPr>
            <w:tcW w:w="925" w:type="pct"/>
          </w:tcPr>
          <w:p w:rsidR="00BD1912" w:rsidRPr="00271EFE" w:rsidRDefault="00BD1912" w:rsidP="001666A4">
            <w:pPr>
              <w:pStyle w:val="TableText0"/>
            </w:pPr>
            <w:r w:rsidRPr="00271EFE">
              <w:t>3rd</w:t>
            </w:r>
          </w:p>
        </w:tc>
        <w:tc>
          <w:tcPr>
            <w:tcW w:w="728" w:type="pct"/>
          </w:tcPr>
          <w:p w:rsidR="00BD1912" w:rsidRPr="009D295A" w:rsidRDefault="009D295A" w:rsidP="001666A4">
            <w:pPr>
              <w:pStyle w:val="TableText0"/>
              <w:jc w:val="center"/>
              <w:rPr>
                <w:highlight w:val="black"/>
              </w:rPr>
            </w:pPr>
            <w:r>
              <w:rPr>
                <w:noProof/>
                <w:color w:val="000000"/>
                <w:highlight w:val="black"/>
              </w:rPr>
              <w:t>'''''''''''''' '''''''''''''''''''''''</w:t>
            </w:r>
          </w:p>
        </w:tc>
        <w:tc>
          <w:tcPr>
            <w:tcW w:w="712" w:type="pct"/>
          </w:tcPr>
          <w:p w:rsidR="00BD1912" w:rsidRPr="009D295A" w:rsidRDefault="009D295A" w:rsidP="001666A4">
            <w:pPr>
              <w:pStyle w:val="TableText0"/>
              <w:jc w:val="center"/>
              <w:rPr>
                <w:highlight w:val="black"/>
              </w:rPr>
            </w:pPr>
            <w:r>
              <w:rPr>
                <w:noProof/>
                <w:color w:val="000000"/>
                <w:highlight w:val="black"/>
              </w:rPr>
              <w:t>'''''''''''''''' '''''''''''''''''''''''</w:t>
            </w:r>
          </w:p>
        </w:tc>
        <w:tc>
          <w:tcPr>
            <w:tcW w:w="728" w:type="pct"/>
          </w:tcPr>
          <w:p w:rsidR="00BD1912" w:rsidRPr="009D295A" w:rsidRDefault="009D295A" w:rsidP="001666A4">
            <w:pPr>
              <w:pStyle w:val="TableText0"/>
              <w:jc w:val="center"/>
              <w:rPr>
                <w:highlight w:val="black"/>
              </w:rPr>
            </w:pPr>
            <w:r>
              <w:rPr>
                <w:noProof/>
                <w:color w:val="000000"/>
                <w:highlight w:val="black"/>
              </w:rPr>
              <w:t>'''''''''''''' '''''''''''''''''''''''</w:t>
            </w:r>
          </w:p>
        </w:tc>
        <w:tc>
          <w:tcPr>
            <w:tcW w:w="1120" w:type="pct"/>
          </w:tcPr>
          <w:p w:rsidR="008C526F" w:rsidRPr="009D295A" w:rsidRDefault="009D295A" w:rsidP="001666A4">
            <w:pPr>
              <w:pStyle w:val="TableText0"/>
              <w:jc w:val="center"/>
              <w:rPr>
                <w:highlight w:val="black"/>
              </w:rPr>
            </w:pPr>
            <w:r>
              <w:rPr>
                <w:noProof/>
                <w:color w:val="000000"/>
                <w:highlight w:val="black"/>
              </w:rPr>
              <w:t>''''''''''''''</w:t>
            </w:r>
          </w:p>
          <w:p w:rsidR="00BD1912" w:rsidRPr="009D295A" w:rsidRDefault="009D295A" w:rsidP="001666A4">
            <w:pPr>
              <w:pStyle w:val="TableText0"/>
              <w:jc w:val="center"/>
              <w:rPr>
                <w:highlight w:val="black"/>
              </w:rPr>
            </w:pPr>
            <w:r>
              <w:rPr>
                <w:noProof/>
                <w:color w:val="000000"/>
                <w:highlight w:val="black"/>
              </w:rPr>
              <w:t>''''''''''''''''''''''</w:t>
            </w:r>
          </w:p>
        </w:tc>
      </w:tr>
      <w:tr w:rsidR="00BD1912" w:rsidRPr="00271EFE" w:rsidTr="001666A4">
        <w:tc>
          <w:tcPr>
            <w:tcW w:w="787" w:type="pct"/>
            <w:vMerge/>
          </w:tcPr>
          <w:p w:rsidR="00BD1912" w:rsidRPr="00271EFE" w:rsidRDefault="00BD1912" w:rsidP="001666A4">
            <w:pPr>
              <w:pStyle w:val="TableText0"/>
            </w:pPr>
          </w:p>
        </w:tc>
        <w:tc>
          <w:tcPr>
            <w:tcW w:w="925" w:type="pct"/>
          </w:tcPr>
          <w:p w:rsidR="00BD1912" w:rsidRPr="00271EFE" w:rsidRDefault="00BD1912" w:rsidP="001666A4">
            <w:pPr>
              <w:pStyle w:val="TableText0"/>
            </w:pPr>
            <w:r w:rsidRPr="00271EFE">
              <w:t>4th</w:t>
            </w:r>
          </w:p>
        </w:tc>
        <w:tc>
          <w:tcPr>
            <w:tcW w:w="728" w:type="pct"/>
          </w:tcPr>
          <w:p w:rsidR="00BD1912" w:rsidRPr="009D295A" w:rsidRDefault="009D295A" w:rsidP="001666A4">
            <w:pPr>
              <w:pStyle w:val="TableText0"/>
              <w:jc w:val="center"/>
              <w:rPr>
                <w:highlight w:val="black"/>
              </w:rPr>
            </w:pPr>
            <w:r>
              <w:rPr>
                <w:noProof/>
                <w:color w:val="000000"/>
                <w:highlight w:val="black"/>
              </w:rPr>
              <w:t>''</w:t>
            </w:r>
          </w:p>
        </w:tc>
        <w:tc>
          <w:tcPr>
            <w:tcW w:w="712" w:type="pct"/>
          </w:tcPr>
          <w:p w:rsidR="00BD1912" w:rsidRPr="009D295A" w:rsidRDefault="009D295A" w:rsidP="001666A4">
            <w:pPr>
              <w:pStyle w:val="TableText0"/>
              <w:jc w:val="center"/>
              <w:rPr>
                <w:highlight w:val="black"/>
              </w:rPr>
            </w:pPr>
            <w:r>
              <w:rPr>
                <w:noProof/>
                <w:color w:val="000000"/>
                <w:highlight w:val="black"/>
              </w:rPr>
              <w:t>'''''''''''''''</w:t>
            </w:r>
          </w:p>
        </w:tc>
        <w:tc>
          <w:tcPr>
            <w:tcW w:w="728" w:type="pct"/>
          </w:tcPr>
          <w:p w:rsidR="00BD1912" w:rsidRPr="009D295A" w:rsidRDefault="009D295A" w:rsidP="001666A4">
            <w:pPr>
              <w:pStyle w:val="TableText0"/>
              <w:jc w:val="center"/>
              <w:rPr>
                <w:highlight w:val="black"/>
              </w:rPr>
            </w:pPr>
            <w:r>
              <w:rPr>
                <w:noProof/>
                <w:color w:val="000000"/>
                <w:highlight w:val="black"/>
              </w:rPr>
              <w:t>''''''''''''</w:t>
            </w:r>
          </w:p>
        </w:tc>
        <w:tc>
          <w:tcPr>
            <w:tcW w:w="1120" w:type="pct"/>
          </w:tcPr>
          <w:p w:rsidR="00BD1912" w:rsidRPr="009D295A" w:rsidRDefault="009D295A" w:rsidP="001666A4">
            <w:pPr>
              <w:pStyle w:val="TableText0"/>
              <w:jc w:val="center"/>
              <w:rPr>
                <w:highlight w:val="black"/>
              </w:rPr>
            </w:pPr>
            <w:r>
              <w:rPr>
                <w:noProof/>
                <w:color w:val="000000"/>
                <w:highlight w:val="black"/>
              </w:rPr>
              <w:t>''''''''''''</w:t>
            </w:r>
          </w:p>
        </w:tc>
      </w:tr>
      <w:tr w:rsidR="00BD1912" w:rsidRPr="00271EFE" w:rsidTr="001666A4">
        <w:tc>
          <w:tcPr>
            <w:tcW w:w="787" w:type="pct"/>
            <w:vMerge/>
          </w:tcPr>
          <w:p w:rsidR="00BD1912" w:rsidRPr="00271EFE" w:rsidRDefault="00BD1912" w:rsidP="001666A4">
            <w:pPr>
              <w:pStyle w:val="TableText0"/>
            </w:pPr>
          </w:p>
        </w:tc>
        <w:tc>
          <w:tcPr>
            <w:tcW w:w="925" w:type="pct"/>
          </w:tcPr>
          <w:p w:rsidR="00BD1912" w:rsidRPr="00271EFE" w:rsidRDefault="00BD1912" w:rsidP="001666A4">
            <w:pPr>
              <w:pStyle w:val="TableText0"/>
            </w:pPr>
            <w:r w:rsidRPr="00271EFE">
              <w:t>5th</w:t>
            </w:r>
          </w:p>
        </w:tc>
        <w:tc>
          <w:tcPr>
            <w:tcW w:w="728" w:type="pct"/>
          </w:tcPr>
          <w:p w:rsidR="00BD1912" w:rsidRPr="009D295A" w:rsidRDefault="009D295A" w:rsidP="001666A4">
            <w:pPr>
              <w:pStyle w:val="TableText0"/>
              <w:jc w:val="center"/>
              <w:rPr>
                <w:highlight w:val="black"/>
              </w:rPr>
            </w:pPr>
            <w:r>
              <w:rPr>
                <w:noProof/>
                <w:color w:val="000000"/>
                <w:highlight w:val="black"/>
              </w:rPr>
              <w:t>'''</w:t>
            </w:r>
          </w:p>
        </w:tc>
        <w:tc>
          <w:tcPr>
            <w:tcW w:w="712" w:type="pct"/>
          </w:tcPr>
          <w:p w:rsidR="00BD1912" w:rsidRPr="009D295A" w:rsidRDefault="009D295A" w:rsidP="001666A4">
            <w:pPr>
              <w:pStyle w:val="TableText0"/>
              <w:jc w:val="center"/>
              <w:rPr>
                <w:highlight w:val="black"/>
              </w:rPr>
            </w:pPr>
            <w:r>
              <w:rPr>
                <w:noProof/>
                <w:color w:val="000000"/>
                <w:highlight w:val="black"/>
              </w:rPr>
              <w:t>'''</w:t>
            </w:r>
          </w:p>
        </w:tc>
        <w:tc>
          <w:tcPr>
            <w:tcW w:w="728" w:type="pct"/>
          </w:tcPr>
          <w:p w:rsidR="00BD1912" w:rsidRPr="009D295A" w:rsidRDefault="009D295A" w:rsidP="001666A4">
            <w:pPr>
              <w:pStyle w:val="TableText0"/>
              <w:jc w:val="center"/>
              <w:rPr>
                <w:highlight w:val="black"/>
              </w:rPr>
            </w:pPr>
            <w:r>
              <w:rPr>
                <w:noProof/>
                <w:color w:val="000000"/>
                <w:highlight w:val="black"/>
              </w:rPr>
              <w:t>'''''''''''''</w:t>
            </w:r>
          </w:p>
        </w:tc>
        <w:tc>
          <w:tcPr>
            <w:tcW w:w="1120" w:type="pct"/>
          </w:tcPr>
          <w:p w:rsidR="00BD1912" w:rsidRPr="009D295A" w:rsidRDefault="009D295A" w:rsidP="001666A4">
            <w:pPr>
              <w:pStyle w:val="TableText0"/>
              <w:jc w:val="center"/>
              <w:rPr>
                <w:highlight w:val="black"/>
              </w:rPr>
            </w:pPr>
            <w:r>
              <w:rPr>
                <w:noProof/>
                <w:color w:val="000000"/>
                <w:highlight w:val="black"/>
              </w:rPr>
              <w:t>'''''''''''</w:t>
            </w:r>
          </w:p>
        </w:tc>
      </w:tr>
      <w:tr w:rsidR="00BD1912" w:rsidRPr="00271EFE" w:rsidTr="001666A4">
        <w:tc>
          <w:tcPr>
            <w:tcW w:w="787" w:type="pct"/>
            <w:vMerge/>
          </w:tcPr>
          <w:p w:rsidR="00BD1912" w:rsidRPr="00271EFE" w:rsidRDefault="00BD1912" w:rsidP="001666A4">
            <w:pPr>
              <w:pStyle w:val="TableText0"/>
            </w:pPr>
          </w:p>
        </w:tc>
        <w:tc>
          <w:tcPr>
            <w:tcW w:w="925" w:type="pct"/>
          </w:tcPr>
          <w:p w:rsidR="00BD1912" w:rsidRPr="00271EFE" w:rsidRDefault="00BD1912" w:rsidP="001666A4">
            <w:pPr>
              <w:pStyle w:val="TableText0"/>
            </w:pPr>
            <w:r w:rsidRPr="00271EFE">
              <w:t>6th</w:t>
            </w:r>
          </w:p>
        </w:tc>
        <w:tc>
          <w:tcPr>
            <w:tcW w:w="728" w:type="pct"/>
          </w:tcPr>
          <w:p w:rsidR="00BD1912" w:rsidRPr="009D295A" w:rsidRDefault="009D295A" w:rsidP="001666A4">
            <w:pPr>
              <w:pStyle w:val="TableText0"/>
              <w:jc w:val="center"/>
              <w:rPr>
                <w:highlight w:val="black"/>
              </w:rPr>
            </w:pPr>
            <w:r>
              <w:rPr>
                <w:noProof/>
                <w:color w:val="000000"/>
                <w:highlight w:val="black"/>
              </w:rPr>
              <w:t>'''</w:t>
            </w:r>
          </w:p>
        </w:tc>
        <w:tc>
          <w:tcPr>
            <w:tcW w:w="712" w:type="pct"/>
          </w:tcPr>
          <w:p w:rsidR="00BD1912" w:rsidRPr="009D295A" w:rsidRDefault="009D295A" w:rsidP="001666A4">
            <w:pPr>
              <w:pStyle w:val="TableText0"/>
              <w:jc w:val="center"/>
              <w:rPr>
                <w:highlight w:val="black"/>
              </w:rPr>
            </w:pPr>
            <w:r>
              <w:rPr>
                <w:noProof/>
                <w:color w:val="000000"/>
                <w:highlight w:val="black"/>
              </w:rPr>
              <w:t>'''</w:t>
            </w:r>
          </w:p>
        </w:tc>
        <w:tc>
          <w:tcPr>
            <w:tcW w:w="728" w:type="pct"/>
          </w:tcPr>
          <w:p w:rsidR="00BD1912" w:rsidRPr="009D295A" w:rsidRDefault="009D295A" w:rsidP="001666A4">
            <w:pPr>
              <w:pStyle w:val="TableText0"/>
              <w:jc w:val="center"/>
              <w:rPr>
                <w:highlight w:val="black"/>
              </w:rPr>
            </w:pPr>
            <w:r>
              <w:rPr>
                <w:noProof/>
                <w:color w:val="000000"/>
                <w:highlight w:val="black"/>
              </w:rPr>
              <w:t>'''</w:t>
            </w:r>
          </w:p>
        </w:tc>
        <w:tc>
          <w:tcPr>
            <w:tcW w:w="1120" w:type="pct"/>
          </w:tcPr>
          <w:p w:rsidR="00BD1912" w:rsidRPr="009D295A" w:rsidRDefault="009D295A" w:rsidP="001666A4">
            <w:pPr>
              <w:pStyle w:val="TableText0"/>
              <w:jc w:val="center"/>
              <w:rPr>
                <w:highlight w:val="black"/>
              </w:rPr>
            </w:pPr>
            <w:r>
              <w:rPr>
                <w:noProof/>
                <w:color w:val="000000"/>
                <w:highlight w:val="black"/>
              </w:rPr>
              <w:t>''''''''''''</w:t>
            </w:r>
          </w:p>
        </w:tc>
      </w:tr>
      <w:tr w:rsidR="00BD1912" w:rsidTr="001666A4">
        <w:tc>
          <w:tcPr>
            <w:tcW w:w="787" w:type="pct"/>
            <w:vMerge/>
          </w:tcPr>
          <w:p w:rsidR="00BD1912" w:rsidRPr="00271EFE" w:rsidRDefault="00BD1912" w:rsidP="001666A4">
            <w:pPr>
              <w:pStyle w:val="TableText0"/>
            </w:pPr>
          </w:p>
        </w:tc>
        <w:tc>
          <w:tcPr>
            <w:tcW w:w="925" w:type="pct"/>
          </w:tcPr>
          <w:p w:rsidR="00BD1912" w:rsidRPr="00271EFE" w:rsidRDefault="00BD1912" w:rsidP="001666A4">
            <w:pPr>
              <w:pStyle w:val="TableText0"/>
            </w:pPr>
            <w:r w:rsidRPr="00271EFE">
              <w:t xml:space="preserve">Total </w:t>
            </w:r>
            <w:r w:rsidR="00941A1B" w:rsidRPr="00271EFE">
              <w:t>re-treatment</w:t>
            </w:r>
          </w:p>
        </w:tc>
        <w:tc>
          <w:tcPr>
            <w:tcW w:w="728" w:type="pct"/>
          </w:tcPr>
          <w:p w:rsidR="00BD1912" w:rsidRPr="009D295A" w:rsidRDefault="00BD1912" w:rsidP="001666A4">
            <w:pPr>
              <w:pStyle w:val="TableText0"/>
              <w:jc w:val="center"/>
            </w:pPr>
          </w:p>
        </w:tc>
        <w:tc>
          <w:tcPr>
            <w:tcW w:w="712" w:type="pct"/>
          </w:tcPr>
          <w:p w:rsidR="00BD1912" w:rsidRPr="009D295A" w:rsidRDefault="00BD1912" w:rsidP="001666A4">
            <w:pPr>
              <w:pStyle w:val="TableText0"/>
              <w:jc w:val="center"/>
            </w:pPr>
          </w:p>
        </w:tc>
        <w:tc>
          <w:tcPr>
            <w:tcW w:w="728" w:type="pct"/>
          </w:tcPr>
          <w:p w:rsidR="00BD1912" w:rsidRPr="009D295A" w:rsidRDefault="00BD1912" w:rsidP="001666A4">
            <w:pPr>
              <w:pStyle w:val="TableText0"/>
              <w:jc w:val="center"/>
            </w:pPr>
          </w:p>
        </w:tc>
        <w:tc>
          <w:tcPr>
            <w:tcW w:w="1120" w:type="pct"/>
          </w:tcPr>
          <w:p w:rsidR="00BD1912" w:rsidRPr="009D295A" w:rsidRDefault="009D295A" w:rsidP="001666A4">
            <w:pPr>
              <w:pStyle w:val="TableText0"/>
              <w:jc w:val="center"/>
              <w:rPr>
                <w:highlight w:val="black"/>
              </w:rPr>
            </w:pPr>
            <w:r>
              <w:rPr>
                <w:noProof/>
                <w:color w:val="000000"/>
                <w:highlight w:val="black"/>
              </w:rPr>
              <w:t>''''''''''''''' ''''''''''''''''''''''''</w:t>
            </w:r>
          </w:p>
        </w:tc>
      </w:tr>
      <w:tr w:rsidR="00BD1912" w:rsidTr="001666A4">
        <w:tc>
          <w:tcPr>
            <w:tcW w:w="5000" w:type="pct"/>
            <w:gridSpan w:val="6"/>
          </w:tcPr>
          <w:p w:rsidR="00BD1912" w:rsidRDefault="00BD1912" w:rsidP="001666A4">
            <w:pPr>
              <w:pStyle w:val="TableText0"/>
              <w:jc w:val="center"/>
            </w:pPr>
            <w:r w:rsidRPr="00A53C44">
              <w:t>Re-treatment as per CSR</w:t>
            </w:r>
          </w:p>
        </w:tc>
      </w:tr>
      <w:tr w:rsidR="00BD1912" w:rsidTr="001666A4">
        <w:tc>
          <w:tcPr>
            <w:tcW w:w="787" w:type="pct"/>
            <w:vMerge w:val="restart"/>
          </w:tcPr>
          <w:p w:rsidR="00BD1912" w:rsidRDefault="00BD1912" w:rsidP="001666A4">
            <w:pPr>
              <w:pStyle w:val="TableText0"/>
            </w:pPr>
            <w:r>
              <w:t>Pooled IAT</w:t>
            </w:r>
          </w:p>
        </w:tc>
        <w:tc>
          <w:tcPr>
            <w:tcW w:w="1653" w:type="pct"/>
            <w:gridSpan w:val="2"/>
          </w:tcPr>
          <w:p w:rsidR="00BD1912" w:rsidRPr="00271EFE" w:rsidRDefault="00BD1912" w:rsidP="001666A4">
            <w:pPr>
              <w:pStyle w:val="TableText0"/>
            </w:pPr>
            <w:r w:rsidRPr="00271EFE">
              <w:t>Patients who complete course n (%)</w:t>
            </w:r>
          </w:p>
          <w:p w:rsidR="00BD1912" w:rsidRPr="00271EFE" w:rsidRDefault="00BD1912" w:rsidP="001666A4">
            <w:pPr>
              <w:pStyle w:val="TableText0"/>
            </w:pPr>
            <w:r w:rsidRPr="00271EFE">
              <w:t>N=742</w:t>
            </w:r>
          </w:p>
        </w:tc>
        <w:tc>
          <w:tcPr>
            <w:tcW w:w="2560" w:type="pct"/>
            <w:gridSpan w:val="3"/>
          </w:tcPr>
          <w:p w:rsidR="00BD1912" w:rsidRPr="00271EFE" w:rsidRDefault="00BD1912" w:rsidP="001666A4">
            <w:pPr>
              <w:pStyle w:val="TableText0"/>
              <w:jc w:val="center"/>
            </w:pPr>
            <w:r w:rsidRPr="00271EFE">
              <w:t>Reconstructing memo methodology: N=802; subtracting subsequent courses</w:t>
            </w:r>
          </w:p>
        </w:tc>
      </w:tr>
      <w:tr w:rsidR="008355BA" w:rsidTr="001666A4">
        <w:tc>
          <w:tcPr>
            <w:tcW w:w="787" w:type="pct"/>
            <w:vMerge/>
          </w:tcPr>
          <w:p w:rsidR="008355BA" w:rsidRPr="00184DBD" w:rsidRDefault="008355BA" w:rsidP="008355BA">
            <w:pPr>
              <w:pStyle w:val="TableText0"/>
            </w:pPr>
          </w:p>
        </w:tc>
        <w:tc>
          <w:tcPr>
            <w:tcW w:w="925" w:type="pct"/>
          </w:tcPr>
          <w:p w:rsidR="008355BA" w:rsidRPr="00271EFE" w:rsidRDefault="008355BA" w:rsidP="008355BA">
            <w:pPr>
              <w:pStyle w:val="TableText0"/>
            </w:pPr>
            <w:r w:rsidRPr="00271EFE">
              <w:t>Course 3</w:t>
            </w:r>
          </w:p>
        </w:tc>
        <w:tc>
          <w:tcPr>
            <w:tcW w:w="728" w:type="pct"/>
          </w:tcPr>
          <w:p w:rsidR="008355BA" w:rsidRPr="009D295A" w:rsidRDefault="009D295A" w:rsidP="008355BA">
            <w:pPr>
              <w:pStyle w:val="TableText0"/>
              <w:jc w:val="center"/>
              <w:rPr>
                <w:highlight w:val="black"/>
              </w:rPr>
            </w:pPr>
            <w:r>
              <w:rPr>
                <w:noProof/>
                <w:color w:val="000000"/>
                <w:highlight w:val="black"/>
              </w:rPr>
              <w:t>'''''''''' '''''''''''''</w:t>
            </w:r>
          </w:p>
        </w:tc>
        <w:tc>
          <w:tcPr>
            <w:tcW w:w="2560" w:type="pct"/>
            <w:gridSpan w:val="3"/>
          </w:tcPr>
          <w:p w:rsidR="008355BA" w:rsidRPr="009D295A" w:rsidRDefault="009D295A" w:rsidP="008355BA">
            <w:pPr>
              <w:pStyle w:val="TableText0"/>
              <w:jc w:val="center"/>
              <w:rPr>
                <w:highlight w:val="black"/>
              </w:rPr>
            </w:pPr>
            <w:r>
              <w:rPr>
                <w:noProof/>
                <w:color w:val="000000"/>
                <w:highlight w:val="black"/>
              </w:rPr>
              <w:t>''''''''''''''</w:t>
            </w:r>
          </w:p>
        </w:tc>
      </w:tr>
      <w:tr w:rsidR="008355BA" w:rsidTr="001666A4">
        <w:tc>
          <w:tcPr>
            <w:tcW w:w="787" w:type="pct"/>
            <w:vMerge/>
          </w:tcPr>
          <w:p w:rsidR="008355BA" w:rsidRPr="00184DBD" w:rsidRDefault="008355BA" w:rsidP="008355BA">
            <w:pPr>
              <w:pStyle w:val="TableText0"/>
            </w:pPr>
          </w:p>
        </w:tc>
        <w:tc>
          <w:tcPr>
            <w:tcW w:w="925" w:type="pct"/>
          </w:tcPr>
          <w:p w:rsidR="008355BA" w:rsidRPr="00271EFE" w:rsidRDefault="008355BA" w:rsidP="008355BA">
            <w:pPr>
              <w:pStyle w:val="TableText0"/>
            </w:pPr>
            <w:r w:rsidRPr="00271EFE">
              <w:t>Course 4</w:t>
            </w:r>
          </w:p>
        </w:tc>
        <w:tc>
          <w:tcPr>
            <w:tcW w:w="728" w:type="pct"/>
          </w:tcPr>
          <w:p w:rsidR="008355BA" w:rsidRPr="009D295A" w:rsidRDefault="009D295A" w:rsidP="008355BA">
            <w:pPr>
              <w:pStyle w:val="TableText0"/>
              <w:jc w:val="center"/>
              <w:rPr>
                <w:highlight w:val="black"/>
              </w:rPr>
            </w:pPr>
            <w:r>
              <w:rPr>
                <w:noProof/>
                <w:color w:val="000000"/>
                <w:highlight w:val="black"/>
              </w:rPr>
              <w:t>'''''''''' ''''''''''''''''</w:t>
            </w:r>
          </w:p>
        </w:tc>
        <w:tc>
          <w:tcPr>
            <w:tcW w:w="2560" w:type="pct"/>
            <w:gridSpan w:val="3"/>
          </w:tcPr>
          <w:p w:rsidR="008355BA" w:rsidRPr="009D295A" w:rsidRDefault="009D295A" w:rsidP="008355BA">
            <w:pPr>
              <w:pStyle w:val="TableText0"/>
              <w:jc w:val="center"/>
              <w:rPr>
                <w:highlight w:val="black"/>
              </w:rPr>
            </w:pPr>
            <w:r>
              <w:rPr>
                <w:noProof/>
                <w:color w:val="000000"/>
                <w:highlight w:val="black"/>
              </w:rPr>
              <w:t>''''''''''''</w:t>
            </w:r>
          </w:p>
        </w:tc>
      </w:tr>
      <w:tr w:rsidR="00BD1912" w:rsidTr="001666A4">
        <w:tc>
          <w:tcPr>
            <w:tcW w:w="787" w:type="pct"/>
            <w:vMerge/>
          </w:tcPr>
          <w:p w:rsidR="00BD1912" w:rsidRPr="00184DBD" w:rsidRDefault="00BD1912" w:rsidP="001666A4">
            <w:pPr>
              <w:pStyle w:val="TableText0"/>
            </w:pPr>
          </w:p>
        </w:tc>
        <w:tc>
          <w:tcPr>
            <w:tcW w:w="925" w:type="pct"/>
          </w:tcPr>
          <w:p w:rsidR="00BD1912" w:rsidRPr="00271EFE" w:rsidRDefault="00BD1912" w:rsidP="001666A4">
            <w:pPr>
              <w:pStyle w:val="TableText0"/>
            </w:pPr>
            <w:r w:rsidRPr="00271EFE">
              <w:t>Course 5</w:t>
            </w:r>
          </w:p>
        </w:tc>
        <w:tc>
          <w:tcPr>
            <w:tcW w:w="728" w:type="pct"/>
          </w:tcPr>
          <w:p w:rsidR="00BD1912" w:rsidRPr="009D295A" w:rsidRDefault="009D295A" w:rsidP="001666A4">
            <w:pPr>
              <w:pStyle w:val="TableText0"/>
              <w:jc w:val="center"/>
              <w:rPr>
                <w:highlight w:val="black"/>
              </w:rPr>
            </w:pPr>
            <w:r>
              <w:rPr>
                <w:noProof/>
                <w:color w:val="000000"/>
                <w:highlight w:val="black"/>
              </w:rPr>
              <w:t>''''''' '''''''''''</w:t>
            </w:r>
          </w:p>
        </w:tc>
        <w:tc>
          <w:tcPr>
            <w:tcW w:w="2560" w:type="pct"/>
            <w:gridSpan w:val="3"/>
          </w:tcPr>
          <w:p w:rsidR="00BD1912" w:rsidRPr="009D295A" w:rsidRDefault="009D295A" w:rsidP="001666A4">
            <w:pPr>
              <w:pStyle w:val="TableText0"/>
              <w:jc w:val="center"/>
              <w:rPr>
                <w:highlight w:val="black"/>
              </w:rPr>
            </w:pPr>
            <w:r>
              <w:rPr>
                <w:noProof/>
                <w:color w:val="000000"/>
                <w:highlight w:val="black"/>
              </w:rPr>
              <w:t>''''''''''''''''</w:t>
            </w:r>
          </w:p>
        </w:tc>
      </w:tr>
      <w:tr w:rsidR="00BD1912" w:rsidTr="001666A4">
        <w:tc>
          <w:tcPr>
            <w:tcW w:w="787" w:type="pct"/>
            <w:vMerge/>
          </w:tcPr>
          <w:p w:rsidR="00BD1912" w:rsidRPr="00184DBD" w:rsidRDefault="00BD1912" w:rsidP="001666A4">
            <w:pPr>
              <w:pStyle w:val="TableText0"/>
            </w:pPr>
          </w:p>
        </w:tc>
        <w:tc>
          <w:tcPr>
            <w:tcW w:w="925" w:type="pct"/>
          </w:tcPr>
          <w:p w:rsidR="00BD1912" w:rsidRPr="00271EFE" w:rsidRDefault="00BD1912" w:rsidP="001666A4">
            <w:pPr>
              <w:pStyle w:val="TableText0"/>
            </w:pPr>
            <w:r w:rsidRPr="00271EFE">
              <w:t>Course 6</w:t>
            </w:r>
          </w:p>
        </w:tc>
        <w:tc>
          <w:tcPr>
            <w:tcW w:w="728" w:type="pct"/>
          </w:tcPr>
          <w:p w:rsidR="00BD1912" w:rsidRPr="009D295A" w:rsidRDefault="009D295A" w:rsidP="001666A4">
            <w:pPr>
              <w:pStyle w:val="TableText0"/>
              <w:jc w:val="center"/>
              <w:rPr>
                <w:highlight w:val="black"/>
              </w:rPr>
            </w:pPr>
            <w:r>
              <w:rPr>
                <w:noProof/>
                <w:color w:val="000000"/>
                <w:highlight w:val="black"/>
              </w:rPr>
              <w:t>'''' '''''''''''</w:t>
            </w:r>
          </w:p>
        </w:tc>
        <w:tc>
          <w:tcPr>
            <w:tcW w:w="2560" w:type="pct"/>
            <w:gridSpan w:val="3"/>
          </w:tcPr>
          <w:p w:rsidR="00BD1912" w:rsidRPr="009D295A" w:rsidRDefault="009D295A" w:rsidP="001666A4">
            <w:pPr>
              <w:pStyle w:val="TableText0"/>
              <w:jc w:val="center"/>
              <w:rPr>
                <w:highlight w:val="black"/>
              </w:rPr>
            </w:pPr>
            <w:r>
              <w:rPr>
                <w:noProof/>
                <w:color w:val="000000"/>
                <w:highlight w:val="black"/>
              </w:rPr>
              <w:t>''''''''''''''''</w:t>
            </w:r>
          </w:p>
        </w:tc>
      </w:tr>
    </w:tbl>
    <w:p w:rsidR="00BD1912" w:rsidRDefault="00BD1912" w:rsidP="00BD1912">
      <w:pPr>
        <w:pStyle w:val="TableFooter"/>
      </w:pPr>
      <w:r>
        <w:t>Source: Table 2.5.1, p32-33 of the</w:t>
      </w:r>
      <w:r w:rsidR="00436C41">
        <w:t xml:space="preserve"> resubmission</w:t>
      </w:r>
      <w:r>
        <w:t>.  Table 25, p 127 of the CARE-MS extension CSR. IAT = immediate alemtuzumab group. CSR = clinical study report</w:t>
      </w:r>
    </w:p>
    <w:p w:rsidR="00744659" w:rsidRPr="00CA1D1B" w:rsidRDefault="00BD1912" w:rsidP="00BD1912">
      <w:pPr>
        <w:pStyle w:val="TableFooter"/>
        <w:rPr>
          <w:szCs w:val="18"/>
        </w:rPr>
      </w:pPr>
      <w:r w:rsidRPr="00271EFE">
        <w:t>Note: The</w:t>
      </w:r>
      <w:r w:rsidR="00436C41" w:rsidRPr="00271EFE">
        <w:t xml:space="preserve"> resubmission</w:t>
      </w:r>
      <w:r w:rsidRPr="00271EFE">
        <w:t xml:space="preserve"> noted that in order to calculate the number of patients receiving only a third course over each year, the fourth, fifth and sixth course (as required) have to be subtracted from the total of patients that received three courses to avoid double counting; to calculate the number of patients receiving only a fourth course overreach years, the number of patients receiving the fifth and sixth course (as required have to be subtracted from the total patients that received four courses to avoid double counting; and in order to calculate the number of patients receiving only a fifth course over each year, the number of patients receiving sixth course (as required) have to be subtracted from the total of patients that received five courses to avoid double counting. </w:t>
      </w:r>
      <w:r w:rsidR="00744659" w:rsidRPr="00CA1D1B">
        <w:rPr>
          <w:szCs w:val="18"/>
          <w:vertAlign w:val="superscript"/>
        </w:rPr>
        <w:t>a</w:t>
      </w:r>
      <w:r w:rsidR="00744659" w:rsidRPr="00CA1D1B">
        <w:rPr>
          <w:szCs w:val="18"/>
        </w:rPr>
        <w:t xml:space="preserve"> revised in PSCR (Table 1, p6)</w:t>
      </w:r>
    </w:p>
    <w:p w:rsidR="00BD1912" w:rsidRPr="001E325C" w:rsidRDefault="00BD1912" w:rsidP="00BD1912">
      <w:pPr>
        <w:widowControl/>
      </w:pPr>
    </w:p>
    <w:p w:rsidR="001707F5" w:rsidRPr="00057575" w:rsidRDefault="00BD1912" w:rsidP="00FD072C">
      <w:pPr>
        <w:pStyle w:val="ListParagraph"/>
        <w:widowControl/>
        <w:numPr>
          <w:ilvl w:val="1"/>
          <w:numId w:val="1"/>
        </w:numPr>
      </w:pPr>
      <w:r w:rsidRPr="00DE0340">
        <w:t>Re</w:t>
      </w:r>
      <w:r w:rsidR="00856134" w:rsidRPr="00DE0340">
        <w:t>-</w:t>
      </w:r>
      <w:r w:rsidRPr="00DE0340">
        <w:t xml:space="preserve">treatment rates were based on </w:t>
      </w:r>
      <w:r w:rsidR="001E325C" w:rsidRPr="00DE0340">
        <w:t xml:space="preserve">a </w:t>
      </w:r>
      <w:r w:rsidR="002615E5" w:rsidRPr="00DE0340">
        <w:t>s</w:t>
      </w:r>
      <w:r w:rsidRPr="00DE0340">
        <w:t>ponsor ‘</w:t>
      </w:r>
      <w:r w:rsidR="00941A1B" w:rsidRPr="00DE0340">
        <w:t>re-treatment</w:t>
      </w:r>
      <w:r w:rsidRPr="00DE0340">
        <w:t xml:space="preserve"> memo.’ The resubmission stated that some results may differ from what was presented in the CARE-MS extension clinical study report</w:t>
      </w:r>
      <w:r w:rsidR="004D2E13" w:rsidRPr="00DE0340">
        <w:t xml:space="preserve"> but</w:t>
      </w:r>
      <w:r w:rsidRPr="00DE0340">
        <w:t xml:space="preserve"> the </w:t>
      </w:r>
      <w:r w:rsidR="00941A1B" w:rsidRPr="00DE0340">
        <w:t>re-treatment</w:t>
      </w:r>
      <w:r w:rsidRPr="00DE0340">
        <w:t xml:space="preserve"> rates presented </w:t>
      </w:r>
      <w:r w:rsidR="00197F24">
        <w:t>in the resubmission</w:t>
      </w:r>
      <w:r w:rsidR="00197F24" w:rsidRPr="00DE0340">
        <w:t xml:space="preserve"> </w:t>
      </w:r>
      <w:r w:rsidRPr="00DE0340">
        <w:t xml:space="preserve">should be considered final. Review of the CARE-MS extension CSR indicated that the results in the CSR were final and included results after the database lock. Consequently, discrepancies between the pre-specified protocol defined analyses of </w:t>
      </w:r>
      <w:r w:rsidR="00941A1B" w:rsidRPr="00DE0340">
        <w:t>re-treatment</w:t>
      </w:r>
      <w:r w:rsidRPr="00DE0340">
        <w:t xml:space="preserve"> in the CSR and the post-hoc update in the </w:t>
      </w:r>
      <w:r w:rsidR="00941A1B" w:rsidRPr="00DE0340">
        <w:t>re-treatment</w:t>
      </w:r>
      <w:r w:rsidRPr="00DE0340">
        <w:t xml:space="preserve"> memo were not adequately accounted for. The</w:t>
      </w:r>
      <w:r w:rsidR="00436C41" w:rsidRPr="00DE0340">
        <w:t xml:space="preserve"> resubmission</w:t>
      </w:r>
      <w:r w:rsidRPr="00DE0340">
        <w:t xml:space="preserve"> and the </w:t>
      </w:r>
      <w:r w:rsidR="00941A1B" w:rsidRPr="00DE0340">
        <w:t>re-treatment</w:t>
      </w:r>
      <w:r w:rsidRPr="00DE0340">
        <w:t xml:space="preserve"> memo included very little information regarding the methodology for recalculating the </w:t>
      </w:r>
      <w:r w:rsidR="00941A1B" w:rsidRPr="00DE0340">
        <w:t>re-treatment</w:t>
      </w:r>
      <w:r w:rsidRPr="00DE0340">
        <w:t xml:space="preserve"> rates, nor any data except for percentages.</w:t>
      </w:r>
      <w:r w:rsidR="0021167B">
        <w:t xml:space="preserve"> </w:t>
      </w:r>
      <w:r w:rsidR="0021167B" w:rsidRPr="00057575">
        <w:t xml:space="preserve">The PSCR (p5-6) provided a table detailing the calculation of retreatment rates in the </w:t>
      </w:r>
      <w:r w:rsidR="00EA37AB" w:rsidRPr="00057575">
        <w:t>r</w:t>
      </w:r>
      <w:r w:rsidR="0021167B" w:rsidRPr="00057575">
        <w:t>e</w:t>
      </w:r>
      <w:r w:rsidR="00EA37AB" w:rsidRPr="00057575">
        <w:t>-</w:t>
      </w:r>
      <w:r w:rsidR="0021167B" w:rsidRPr="00057575">
        <w:t xml:space="preserve">treatment </w:t>
      </w:r>
      <w:r w:rsidR="00BA7CB6">
        <w:t>m</w:t>
      </w:r>
      <w:r w:rsidR="0021167B" w:rsidRPr="00057575">
        <w:t>emo.</w:t>
      </w:r>
      <w:r w:rsidR="00C67AA1" w:rsidRPr="00057575">
        <w:t xml:space="preserve"> The treatment percentages </w:t>
      </w:r>
      <w:r w:rsidR="00813B9B" w:rsidRPr="00057575">
        <w:t xml:space="preserve">for each course in each year </w:t>
      </w:r>
      <w:r w:rsidR="00C67AA1" w:rsidRPr="00057575">
        <w:t>was calculated by dividing the number of patients initiating the relevant course i</w:t>
      </w:r>
      <w:r w:rsidR="00813B9B" w:rsidRPr="00057575">
        <w:t>n</w:t>
      </w:r>
      <w:r w:rsidR="007A7E6A" w:rsidRPr="00057575">
        <w:t xml:space="preserve"> the</w:t>
      </w:r>
      <w:r w:rsidR="00813B9B" w:rsidRPr="00057575">
        <w:t xml:space="preserve"> corresponding year by the total number of participants from CARE MS I/II in the CARE-MS extension trial. </w:t>
      </w:r>
      <w:r w:rsidR="00744659" w:rsidRPr="00057575">
        <w:t>A number of the retreatment rates reported in the PSCR differed slightly to those presented in the resubmission (see Table 8).</w:t>
      </w:r>
      <w:r w:rsidR="00813B9B" w:rsidRPr="00057575">
        <w:t xml:space="preserve"> </w:t>
      </w:r>
    </w:p>
    <w:p w:rsidR="00BD1912" w:rsidRPr="00DE0340" w:rsidRDefault="00BD1912" w:rsidP="00FD072C">
      <w:pPr>
        <w:pStyle w:val="ListParagraph"/>
        <w:widowControl/>
        <w:numPr>
          <w:ilvl w:val="1"/>
          <w:numId w:val="1"/>
        </w:numPr>
      </w:pPr>
      <w:r w:rsidRPr="00DE0340">
        <w:t xml:space="preserve">The </w:t>
      </w:r>
      <w:r w:rsidR="00941A1B" w:rsidRPr="00DE0340">
        <w:t>re-treatment</w:t>
      </w:r>
      <w:r w:rsidRPr="00DE0340">
        <w:t xml:space="preserve"> memo </w:t>
      </w:r>
      <w:r w:rsidR="004D2E13" w:rsidRPr="00DE0340">
        <w:t xml:space="preserve">assumed a total of </w:t>
      </w:r>
      <w:r w:rsidR="004D2E13" w:rsidRPr="00271EFE">
        <w:t>802</w:t>
      </w:r>
      <w:r w:rsidR="004D2E13" w:rsidRPr="00DE0340">
        <w:t xml:space="preserve"> patients</w:t>
      </w:r>
      <w:r w:rsidRPr="00DE0340">
        <w:t xml:space="preserve"> to calculate </w:t>
      </w:r>
      <w:r w:rsidR="00941A1B" w:rsidRPr="00DE0340">
        <w:t>re-treatment</w:t>
      </w:r>
      <w:r w:rsidRPr="00DE0340">
        <w:t>, reflective of the total patients who received an intervention</w:t>
      </w:r>
      <w:r w:rsidR="004D2E13" w:rsidRPr="00DE0340">
        <w:t xml:space="preserve"> </w:t>
      </w:r>
      <w:r w:rsidRPr="00DE0340">
        <w:t>in one of the core CARE</w:t>
      </w:r>
      <w:r w:rsidR="003F073A" w:rsidRPr="00DE0340">
        <w:t>-</w:t>
      </w:r>
      <w:r w:rsidR="00D913E0" w:rsidRPr="00DE0340">
        <w:t xml:space="preserve">MS </w:t>
      </w:r>
      <w:r w:rsidRPr="00DE0340">
        <w:t>studies. This, however, was inconsistent with the use of the IAT group</w:t>
      </w:r>
      <w:r w:rsidR="0031201C" w:rsidRPr="00DE0340">
        <w:t xml:space="preserve"> in calculating the proportion of patients remaining relapse</w:t>
      </w:r>
      <w:r w:rsidR="002615E5" w:rsidRPr="00DE0340">
        <w:t>-</w:t>
      </w:r>
      <w:r w:rsidR="0031201C" w:rsidRPr="00DE0340">
        <w:t>free, 6 month sustained accumulation of disability and annualised relapse rate</w:t>
      </w:r>
      <w:r w:rsidRPr="00DE0340">
        <w:t xml:space="preserve"> as the IAT subgroup was defined on the basis of patients who enrolled in the extension studies (N</w:t>
      </w:r>
      <w:r w:rsidRPr="00271EFE">
        <w:t>=742).</w:t>
      </w:r>
      <w:r w:rsidRPr="00DE0340">
        <w:t xml:space="preserve"> While it would be reasonable to assume that many of</w:t>
      </w:r>
      <w:r w:rsidR="000A75CF" w:rsidRPr="00DE0340">
        <w:t xml:space="preserve"> the</w:t>
      </w:r>
      <w:r w:rsidRPr="00DE0340">
        <w:t xml:space="preserve"> patients who did not enrol in the extension study would not have been re-treated, it may also be reasonable to assume that many of those patients were lost to follow up for many reasons including lack of benefit, and thus may not be reasonable to include in the analysis. Using only patients enrolled in the CARE-MS extension, results in significantly higher </w:t>
      </w:r>
      <w:r w:rsidR="00941A1B" w:rsidRPr="00DE0340">
        <w:t>re-treatment</w:t>
      </w:r>
      <w:r w:rsidRPr="00DE0340">
        <w:t xml:space="preserve"> rates.</w:t>
      </w:r>
      <w:r w:rsidR="002F301B">
        <w:t xml:space="preserve"> </w:t>
      </w:r>
      <w:r w:rsidR="002F301B" w:rsidRPr="00E70AF6">
        <w:t>The PBAC considered that inconsistency in applying a methodology for calculating re-treatment percentages suggested that outcomes sourced from t</w:t>
      </w:r>
      <w:r w:rsidR="00D25F86">
        <w:t>he re-treatment memo may be at</w:t>
      </w:r>
      <w:r w:rsidR="002F301B" w:rsidRPr="00E70AF6">
        <w:t xml:space="preserve"> </w:t>
      </w:r>
      <w:r w:rsidR="00E70AF6">
        <w:t>increased risk of bias</w:t>
      </w:r>
      <w:r w:rsidR="002F301B" w:rsidRPr="00E70AF6">
        <w:t>.</w:t>
      </w:r>
      <w:r w:rsidR="002F301B">
        <w:t xml:space="preserve"> </w:t>
      </w:r>
    </w:p>
    <w:p w:rsidR="00052855" w:rsidRDefault="00E70AF6" w:rsidP="00FD072C">
      <w:pPr>
        <w:pStyle w:val="ListParagraph"/>
        <w:widowControl/>
        <w:numPr>
          <w:ilvl w:val="1"/>
          <w:numId w:val="1"/>
        </w:numPr>
      </w:pPr>
      <w:r>
        <w:t>The PBAC noted that</w:t>
      </w:r>
      <w:r w:rsidR="00052855" w:rsidRPr="00DE0340">
        <w:t xml:space="preserve"> the </w:t>
      </w:r>
      <w:r w:rsidR="00834D6F" w:rsidRPr="00DE0340">
        <w:t>alemtuzumab re</w:t>
      </w:r>
      <w:r w:rsidR="00D913E0" w:rsidRPr="00DE0340">
        <w:t>-</w:t>
      </w:r>
      <w:r w:rsidR="00834D6F" w:rsidRPr="00DE0340">
        <w:t xml:space="preserve">treatment </w:t>
      </w:r>
      <w:r w:rsidR="00052855" w:rsidRPr="00DE0340">
        <w:t xml:space="preserve">percentages were based on number of </w:t>
      </w:r>
      <w:r w:rsidR="003067D0" w:rsidRPr="00DE0340">
        <w:t>patients</w:t>
      </w:r>
      <w:r w:rsidR="00052855" w:rsidRPr="00DE0340">
        <w:t xml:space="preserve"> who received an intervention in one of the core CARE</w:t>
      </w:r>
      <w:r w:rsidR="003F073A" w:rsidRPr="00DE0340">
        <w:t>-</w:t>
      </w:r>
      <w:r w:rsidR="00D913E0" w:rsidRPr="00DE0340">
        <w:t>MS</w:t>
      </w:r>
      <w:r w:rsidR="00052855" w:rsidRPr="00DE0340">
        <w:t xml:space="preserve"> trials, patients who discontinued or were lost to follow-up without being re</w:t>
      </w:r>
      <w:r w:rsidR="00D913E0" w:rsidRPr="00DE0340">
        <w:t>-</w:t>
      </w:r>
      <w:r w:rsidR="00052855" w:rsidRPr="00DE0340">
        <w:t xml:space="preserve">treated </w:t>
      </w:r>
      <w:r w:rsidR="000708A0" w:rsidRPr="00DE0340">
        <w:t>were</w:t>
      </w:r>
      <w:r w:rsidR="00052855" w:rsidRPr="00DE0340">
        <w:t xml:space="preserve"> assumed to not require alemtuzumab re-treatment. </w:t>
      </w:r>
    </w:p>
    <w:p w:rsidR="002F301B" w:rsidRPr="00DE0340" w:rsidRDefault="00D77E3F" w:rsidP="00D77E3F">
      <w:pPr>
        <w:pStyle w:val="ListParagraph"/>
        <w:widowControl/>
        <w:numPr>
          <w:ilvl w:val="1"/>
          <w:numId w:val="1"/>
        </w:numPr>
      </w:pPr>
      <w:r>
        <w:t xml:space="preserve">The PBAC </w:t>
      </w:r>
      <w:r w:rsidR="00E70AF6">
        <w:t xml:space="preserve">also </w:t>
      </w:r>
      <w:r>
        <w:t xml:space="preserve">noted that according to the re-treatment memo </w:t>
      </w:r>
      <w:r w:rsidR="009D295A">
        <w:rPr>
          <w:noProof/>
          <w:color w:val="000000"/>
          <w:highlight w:val="black"/>
        </w:rPr>
        <w:t>'''''''''</w:t>
      </w:r>
      <w:r w:rsidRPr="00271EFE">
        <w:t>%</w:t>
      </w:r>
      <w:r>
        <w:t xml:space="preserve"> of patients in </w:t>
      </w:r>
      <w:r w:rsidR="004803F4">
        <w:t>the CARE-MS extension trial required</w:t>
      </w:r>
      <w:r w:rsidRPr="00DE0340">
        <w:t xml:space="preserve"> one or two</w:t>
      </w:r>
      <w:r w:rsidR="004803F4">
        <w:t xml:space="preserve"> additional courses of alemtuzumab</w:t>
      </w:r>
      <w:r w:rsidRPr="00DE0340">
        <w:t xml:space="preserve"> to maintain clinical </w:t>
      </w:r>
      <w:r w:rsidRPr="00057575">
        <w:t>benefit</w:t>
      </w:r>
      <w:r w:rsidR="004803F4">
        <w:t xml:space="preserve">. </w:t>
      </w:r>
    </w:p>
    <w:p w:rsidR="00C643E8" w:rsidRDefault="00052855" w:rsidP="004A691D">
      <w:pPr>
        <w:pStyle w:val="ListParagraph"/>
        <w:widowControl/>
        <w:numPr>
          <w:ilvl w:val="1"/>
          <w:numId w:val="1"/>
        </w:numPr>
      </w:pPr>
      <w:r w:rsidRPr="00DE0340">
        <w:t>The resubmission include</w:t>
      </w:r>
      <w:r w:rsidR="00D66EC6" w:rsidRPr="00DE0340">
        <w:t>d</w:t>
      </w:r>
      <w:r w:rsidRPr="00DE0340">
        <w:t xml:space="preserve"> proportions of patients receiving alternative DMTs from the re</w:t>
      </w:r>
      <w:r w:rsidR="00D913E0" w:rsidRPr="00DE0340">
        <w:t>-</w:t>
      </w:r>
      <w:r w:rsidRPr="00DE0340">
        <w:t>treatment memo</w:t>
      </w:r>
      <w:r w:rsidR="00D66EC6" w:rsidRPr="00DE0340">
        <w:t xml:space="preserve">. The </w:t>
      </w:r>
      <w:r w:rsidR="00D913E0" w:rsidRPr="00DE0340">
        <w:t>re</w:t>
      </w:r>
      <w:r w:rsidR="00D66EC6" w:rsidRPr="00DE0340">
        <w:t>submission’s re</w:t>
      </w:r>
      <w:r w:rsidR="00D913E0" w:rsidRPr="00DE0340">
        <w:t>-</w:t>
      </w:r>
      <w:r w:rsidR="00D66EC6" w:rsidRPr="00DE0340">
        <w:t xml:space="preserve">treatment memo considered that approximately </w:t>
      </w:r>
      <w:r w:rsidR="009D295A" w:rsidRPr="00C643E8">
        <w:rPr>
          <w:noProof/>
          <w:color w:val="000000"/>
          <w:highlight w:val="black"/>
        </w:rPr>
        <w:t>'''''</w:t>
      </w:r>
      <w:r w:rsidR="00D66EC6" w:rsidRPr="00DE0340">
        <w:t>% of patients switched to an alternative DMT during the extension. The CSR included data on concomitant DMT use</w:t>
      </w:r>
      <w:r w:rsidR="00AA3B02" w:rsidRPr="00DE0340">
        <w:t xml:space="preserve">, but no information was given regarding when a switch occurred. The </w:t>
      </w:r>
      <w:r w:rsidR="00D913E0" w:rsidRPr="00DE0340">
        <w:t>re</w:t>
      </w:r>
      <w:r w:rsidR="00AA3B02" w:rsidRPr="00DE0340">
        <w:t xml:space="preserve">submission did not address whether </w:t>
      </w:r>
      <w:r w:rsidR="00D913E0" w:rsidRPr="00DE0340">
        <w:t xml:space="preserve">the </w:t>
      </w:r>
      <w:r w:rsidR="00AA3B02" w:rsidRPr="00DE0340">
        <w:lastRenderedPageBreak/>
        <w:t>CARE</w:t>
      </w:r>
      <w:r w:rsidR="003F073A" w:rsidRPr="00DE0340">
        <w:t>-</w:t>
      </w:r>
      <w:r w:rsidR="00D913E0" w:rsidRPr="00DE0340">
        <w:t xml:space="preserve">MS </w:t>
      </w:r>
      <w:r w:rsidR="00AA3B02" w:rsidRPr="00DE0340">
        <w:t>extension would provide estimates of DMT use applicable to the current Australian setting.</w:t>
      </w:r>
      <w:r w:rsidR="003067D0" w:rsidRPr="00DE0340">
        <w:t xml:space="preserve"> It could be reasonable to assume that treatment switch was lower in an open</w:t>
      </w:r>
      <w:r w:rsidR="00D913E0" w:rsidRPr="00DE0340">
        <w:t>-</w:t>
      </w:r>
      <w:r w:rsidR="003067D0" w:rsidRPr="00DE0340">
        <w:t xml:space="preserve">label extension study designed specifically to study long term efficacy of alemtuzumab than in the Australian population. </w:t>
      </w:r>
      <w:r w:rsidR="00D913E0" w:rsidRPr="00DE0340">
        <w:t>A</w:t>
      </w:r>
      <w:r w:rsidR="003067D0" w:rsidRPr="00DE0340">
        <w:t xml:space="preserve">dditionally, the CARE-MS extension estimates would not account for possible increases in switching due to more recently recommended treatments such as ocrelizumab or cladribine. </w:t>
      </w:r>
      <w:r w:rsidR="006C47CE" w:rsidRPr="00057575">
        <w:t>The ESC agreed with the evaluation that the proportion of patients that would switch to alternative DMTs in clinical practice was uncertain as retreatment rates were derived from an extension study investigating the long term efficacy of alemtuzumab</w:t>
      </w:r>
      <w:r w:rsidR="0012599B" w:rsidRPr="00057575">
        <w:t>. Further, the possibility of</w:t>
      </w:r>
      <w:r w:rsidR="006C47CE" w:rsidRPr="00057575">
        <w:t xml:space="preserve"> additional patients switching to </w:t>
      </w:r>
      <w:r w:rsidR="0012599B" w:rsidRPr="00057575">
        <w:t xml:space="preserve">newer treatments such as </w:t>
      </w:r>
      <w:r w:rsidR="006C47CE" w:rsidRPr="00057575">
        <w:t xml:space="preserve">ocrelizumab or cladribine </w:t>
      </w:r>
      <w:r w:rsidR="0012599B" w:rsidRPr="00057575">
        <w:t>has not been considered</w:t>
      </w:r>
      <w:r w:rsidR="006C47CE" w:rsidRPr="00057575">
        <w:t xml:space="preserve">.  </w:t>
      </w:r>
    </w:p>
    <w:p w:rsidR="00BD1912" w:rsidRPr="00DE0340" w:rsidRDefault="00BD1912" w:rsidP="004A691D">
      <w:pPr>
        <w:pStyle w:val="ListParagraph"/>
        <w:widowControl/>
        <w:numPr>
          <w:ilvl w:val="1"/>
          <w:numId w:val="1"/>
        </w:numPr>
      </w:pPr>
      <w:r w:rsidRPr="00C643E8">
        <w:rPr>
          <w:rFonts w:cs="Calibri"/>
          <w:snapToGrid/>
          <w:szCs w:val="24"/>
          <w:lang w:val="en-US" w:eastAsia="en-AU"/>
        </w:rPr>
        <w:t>Details of the six-month sustained accumulated disability results presented in the</w:t>
      </w:r>
      <w:r w:rsidR="00436C41" w:rsidRPr="00C643E8">
        <w:rPr>
          <w:rFonts w:cs="Calibri"/>
          <w:snapToGrid/>
          <w:szCs w:val="24"/>
          <w:lang w:val="en-US" w:eastAsia="en-AU"/>
        </w:rPr>
        <w:t xml:space="preserve"> resubmission</w:t>
      </w:r>
      <w:r w:rsidRPr="00C643E8">
        <w:rPr>
          <w:rFonts w:cs="Calibri"/>
          <w:snapToGrid/>
          <w:szCs w:val="24"/>
          <w:lang w:val="en-US" w:eastAsia="en-AU"/>
        </w:rPr>
        <w:t xml:space="preserve"> are provided </w:t>
      </w:r>
      <w:r w:rsidRPr="00DE0340">
        <w:t xml:space="preserve">in </w:t>
      </w:r>
      <w:r w:rsidR="00A94F25">
        <w:t>Table</w:t>
      </w:r>
      <w:r w:rsidR="00A94F25" w:rsidRPr="008B7149">
        <w:t xml:space="preserve"> </w:t>
      </w:r>
      <w:r w:rsidR="00A94F25">
        <w:t>9</w:t>
      </w:r>
      <w:r w:rsidRPr="00DE0340">
        <w:t>.</w:t>
      </w:r>
      <w:r w:rsidRPr="00C643E8">
        <w:rPr>
          <w:rFonts w:cs="Calibri"/>
          <w:snapToGrid/>
          <w:szCs w:val="24"/>
          <w:lang w:val="en-US" w:eastAsia="en-AU"/>
        </w:rPr>
        <w:t xml:space="preserve">  </w:t>
      </w:r>
    </w:p>
    <w:p w:rsidR="00BD1912" w:rsidRPr="00315BCB" w:rsidRDefault="00BD1912" w:rsidP="00BD1912">
      <w:pPr>
        <w:pStyle w:val="TableHeading0"/>
      </w:pPr>
      <w:bookmarkStart w:id="15" w:name="_Ref523871479"/>
      <w:r>
        <w:t>Table</w:t>
      </w:r>
      <w:r w:rsidRPr="008B7149">
        <w:t xml:space="preserve"> </w:t>
      </w:r>
      <w:r w:rsidR="00A94F25">
        <w:rPr>
          <w:noProof/>
        </w:rPr>
        <w:t>9</w:t>
      </w:r>
      <w:bookmarkEnd w:id="15"/>
      <w:r w:rsidR="004D2E13">
        <w:t>:</w:t>
      </w:r>
      <w:r>
        <w:t xml:space="preserve"> Six-month </w:t>
      </w:r>
      <w:r w:rsidR="002615E5" w:rsidRPr="002615E5">
        <w:t xml:space="preserve">sustained accumulated disability </w:t>
      </w:r>
      <w:r w:rsidR="002615E5">
        <w:t>(</w:t>
      </w:r>
      <w:r>
        <w:t>SAD</w:t>
      </w:r>
      <w:r w:rsidR="002615E5">
        <w:t>)</w:t>
      </w:r>
      <w:r>
        <w:t>, IAT subgroup from CARE-MS extension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96"/>
        <w:gridCol w:w="2460"/>
        <w:gridCol w:w="1886"/>
        <w:gridCol w:w="1886"/>
        <w:gridCol w:w="1888"/>
      </w:tblGrid>
      <w:tr w:rsidR="004D2E13" w:rsidRPr="00EF3278" w:rsidTr="004D2E13">
        <w:tc>
          <w:tcPr>
            <w:tcW w:w="497" w:type="pct"/>
            <w:shd w:val="clear" w:color="auto" w:fill="auto"/>
          </w:tcPr>
          <w:p w:rsidR="004D2E13" w:rsidRPr="00EF3278" w:rsidRDefault="004D2E13" w:rsidP="00CB755D">
            <w:pPr>
              <w:pStyle w:val="TableText0"/>
              <w:rPr>
                <w:b/>
              </w:rPr>
            </w:pPr>
            <w:r>
              <w:rPr>
                <w:b/>
              </w:rPr>
              <w:t>Time period</w:t>
            </w:r>
          </w:p>
        </w:tc>
        <w:tc>
          <w:tcPr>
            <w:tcW w:w="1364" w:type="pct"/>
            <w:shd w:val="clear" w:color="auto" w:fill="auto"/>
          </w:tcPr>
          <w:p w:rsidR="004D2E13" w:rsidRPr="00EF3278" w:rsidRDefault="004D2E13" w:rsidP="00CB755D">
            <w:pPr>
              <w:pStyle w:val="TableText0"/>
              <w:rPr>
                <w:b/>
              </w:rPr>
            </w:pPr>
            <w:r>
              <w:rPr>
                <w:b/>
              </w:rPr>
              <w:t>Outcome</w:t>
            </w:r>
          </w:p>
        </w:tc>
        <w:tc>
          <w:tcPr>
            <w:tcW w:w="1046" w:type="pct"/>
            <w:shd w:val="clear" w:color="auto" w:fill="auto"/>
          </w:tcPr>
          <w:p w:rsidR="004D2E13" w:rsidRPr="00271EFE" w:rsidRDefault="003F073A" w:rsidP="00CB755D">
            <w:pPr>
              <w:pStyle w:val="TableText0"/>
              <w:jc w:val="center"/>
              <w:rPr>
                <w:b/>
              </w:rPr>
            </w:pPr>
            <w:r w:rsidRPr="00271EFE">
              <w:rPr>
                <w:b/>
              </w:rPr>
              <w:t>CARE-</w:t>
            </w:r>
            <w:r w:rsidR="004D2E13" w:rsidRPr="00271EFE">
              <w:rPr>
                <w:b/>
              </w:rPr>
              <w:t>MS I IAT</w:t>
            </w:r>
          </w:p>
          <w:p w:rsidR="004D2E13" w:rsidRPr="00271EFE" w:rsidRDefault="004D2E13" w:rsidP="00CB755D">
            <w:pPr>
              <w:pStyle w:val="TableText0"/>
              <w:jc w:val="center"/>
              <w:rPr>
                <w:b/>
              </w:rPr>
            </w:pPr>
            <w:r w:rsidRPr="00271EFE">
              <w:rPr>
                <w:b/>
              </w:rPr>
              <w:t>N=376</w:t>
            </w:r>
          </w:p>
        </w:tc>
        <w:tc>
          <w:tcPr>
            <w:tcW w:w="1046" w:type="pct"/>
          </w:tcPr>
          <w:p w:rsidR="004D2E13" w:rsidRPr="00271EFE" w:rsidRDefault="004D2E13" w:rsidP="00CB755D">
            <w:pPr>
              <w:pStyle w:val="TableText0"/>
              <w:jc w:val="center"/>
              <w:rPr>
                <w:b/>
              </w:rPr>
            </w:pPr>
            <w:r w:rsidRPr="00271EFE">
              <w:rPr>
                <w:b/>
              </w:rPr>
              <w:t>CARE-MS II IAT</w:t>
            </w:r>
          </w:p>
          <w:p w:rsidR="004D2E13" w:rsidRPr="00271EFE" w:rsidRDefault="004D2E13" w:rsidP="00CB755D">
            <w:pPr>
              <w:pStyle w:val="TableText0"/>
              <w:jc w:val="center"/>
              <w:rPr>
                <w:b/>
              </w:rPr>
            </w:pPr>
            <w:r w:rsidRPr="00271EFE">
              <w:rPr>
                <w:b/>
              </w:rPr>
              <w:t>N=426</w:t>
            </w:r>
          </w:p>
        </w:tc>
        <w:tc>
          <w:tcPr>
            <w:tcW w:w="1047" w:type="pct"/>
          </w:tcPr>
          <w:p w:rsidR="004D2E13" w:rsidRDefault="004D2E13" w:rsidP="00CB755D">
            <w:pPr>
              <w:pStyle w:val="TableText0"/>
              <w:jc w:val="center"/>
              <w:rPr>
                <w:b/>
              </w:rPr>
            </w:pPr>
            <w:r>
              <w:rPr>
                <w:b/>
              </w:rPr>
              <w:t>IAT</w:t>
            </w:r>
          </w:p>
          <w:p w:rsidR="004D2E13" w:rsidRPr="00EF3278" w:rsidRDefault="004D2E13" w:rsidP="00CB755D">
            <w:pPr>
              <w:pStyle w:val="TableText0"/>
              <w:jc w:val="center"/>
              <w:rPr>
                <w:b/>
              </w:rPr>
            </w:pPr>
            <w:r w:rsidRPr="00271EFE">
              <w:rPr>
                <w:b/>
              </w:rPr>
              <w:t>N=802</w:t>
            </w:r>
          </w:p>
        </w:tc>
      </w:tr>
      <w:tr w:rsidR="004D2E13" w:rsidTr="004D2E13">
        <w:tc>
          <w:tcPr>
            <w:tcW w:w="497" w:type="pct"/>
            <w:vMerge w:val="restart"/>
          </w:tcPr>
          <w:p w:rsidR="004D2E13" w:rsidRPr="00184DBD" w:rsidRDefault="004D2E13" w:rsidP="00CB755D">
            <w:pPr>
              <w:pStyle w:val="TableText0"/>
            </w:pPr>
            <w:r>
              <w:t>Year 0-2</w:t>
            </w:r>
          </w:p>
        </w:tc>
        <w:tc>
          <w:tcPr>
            <w:tcW w:w="1364" w:type="pct"/>
          </w:tcPr>
          <w:p w:rsidR="004D2E13" w:rsidRPr="008F6C60" w:rsidRDefault="004D2E13" w:rsidP="00CB755D">
            <w:pPr>
              <w:pStyle w:val="TableText0"/>
            </w:pPr>
            <w:r>
              <w:t>Patient with event, n</w:t>
            </w:r>
          </w:p>
        </w:tc>
        <w:tc>
          <w:tcPr>
            <w:tcW w:w="1046" w:type="pct"/>
          </w:tcPr>
          <w:p w:rsidR="004D2E13" w:rsidRPr="00271EFE" w:rsidRDefault="004D2E13" w:rsidP="00CB755D">
            <w:pPr>
              <w:pStyle w:val="TableText0"/>
              <w:jc w:val="center"/>
            </w:pPr>
            <w:r w:rsidRPr="00271EFE">
              <w:t>30</w:t>
            </w:r>
          </w:p>
        </w:tc>
        <w:tc>
          <w:tcPr>
            <w:tcW w:w="1046" w:type="pct"/>
          </w:tcPr>
          <w:p w:rsidR="004D2E13" w:rsidRPr="00271EFE" w:rsidRDefault="004D2E13" w:rsidP="00CB755D">
            <w:pPr>
              <w:pStyle w:val="TableText0"/>
              <w:jc w:val="center"/>
            </w:pPr>
            <w:r w:rsidRPr="00271EFE">
              <w:t>54</w:t>
            </w:r>
          </w:p>
        </w:tc>
        <w:tc>
          <w:tcPr>
            <w:tcW w:w="1047" w:type="pct"/>
            <w:vMerge w:val="restart"/>
            <w:vAlign w:val="center"/>
          </w:tcPr>
          <w:p w:rsidR="004D2E13" w:rsidRPr="00346A5B" w:rsidRDefault="004D2E13" w:rsidP="00CB755D">
            <w:pPr>
              <w:pStyle w:val="TableText0"/>
              <w:jc w:val="center"/>
              <w:rPr>
                <w:highlight w:val="yellow"/>
              </w:rPr>
            </w:pPr>
            <w:r w:rsidRPr="00271EFE">
              <w:t>NA</w:t>
            </w:r>
          </w:p>
        </w:tc>
      </w:tr>
      <w:tr w:rsidR="004D2E13" w:rsidTr="004D2E13">
        <w:tc>
          <w:tcPr>
            <w:tcW w:w="497" w:type="pct"/>
            <w:vMerge/>
          </w:tcPr>
          <w:p w:rsidR="004D2E13" w:rsidRPr="00184DBD" w:rsidRDefault="004D2E13" w:rsidP="00CB755D">
            <w:pPr>
              <w:pStyle w:val="TableText0"/>
            </w:pPr>
          </w:p>
        </w:tc>
        <w:tc>
          <w:tcPr>
            <w:tcW w:w="1364" w:type="pct"/>
          </w:tcPr>
          <w:p w:rsidR="004D2E13" w:rsidRPr="008F6C60" w:rsidRDefault="004D2E13" w:rsidP="00CB755D">
            <w:pPr>
              <w:pStyle w:val="TableText0"/>
            </w:pPr>
            <w:r>
              <w:t>KM estimate of event (95% CI)</w:t>
            </w:r>
          </w:p>
        </w:tc>
        <w:tc>
          <w:tcPr>
            <w:tcW w:w="1046" w:type="pct"/>
          </w:tcPr>
          <w:p w:rsidR="004D2E13" w:rsidRPr="00271EFE" w:rsidRDefault="004D2E13" w:rsidP="00CB755D">
            <w:pPr>
              <w:pStyle w:val="TableText0"/>
              <w:jc w:val="center"/>
            </w:pPr>
            <w:r w:rsidRPr="00271EFE">
              <w:t>8.00 (5.66, 11.24)</w:t>
            </w:r>
          </w:p>
        </w:tc>
        <w:tc>
          <w:tcPr>
            <w:tcW w:w="1046" w:type="pct"/>
          </w:tcPr>
          <w:p w:rsidR="004D2E13" w:rsidRPr="00271EFE" w:rsidRDefault="004D2E13" w:rsidP="00CB755D">
            <w:pPr>
              <w:pStyle w:val="TableText0"/>
              <w:jc w:val="center"/>
            </w:pPr>
            <w:r w:rsidRPr="00271EFE">
              <w:t>12.71 (9.89, 16.27)</w:t>
            </w:r>
          </w:p>
        </w:tc>
        <w:tc>
          <w:tcPr>
            <w:tcW w:w="1047" w:type="pct"/>
            <w:vMerge/>
          </w:tcPr>
          <w:p w:rsidR="004D2E13" w:rsidRPr="00346A5B" w:rsidRDefault="004D2E13" w:rsidP="00CB755D">
            <w:pPr>
              <w:pStyle w:val="TableText0"/>
              <w:jc w:val="center"/>
              <w:rPr>
                <w:highlight w:val="yellow"/>
              </w:rPr>
            </w:pPr>
          </w:p>
        </w:tc>
      </w:tr>
      <w:tr w:rsidR="004D2E13" w:rsidTr="004D2E13">
        <w:tc>
          <w:tcPr>
            <w:tcW w:w="497" w:type="pct"/>
            <w:vMerge/>
          </w:tcPr>
          <w:p w:rsidR="004D2E13" w:rsidRPr="00184DBD" w:rsidRDefault="004D2E13" w:rsidP="00CB755D">
            <w:pPr>
              <w:pStyle w:val="TableText0"/>
            </w:pPr>
          </w:p>
        </w:tc>
        <w:tc>
          <w:tcPr>
            <w:tcW w:w="1364" w:type="pct"/>
          </w:tcPr>
          <w:p w:rsidR="004D2E13" w:rsidRPr="008F6C60" w:rsidRDefault="004D2E13" w:rsidP="00CB755D">
            <w:pPr>
              <w:pStyle w:val="TableText0"/>
            </w:pPr>
            <w:r>
              <w:t>KM no event (95%CI)</w:t>
            </w:r>
          </w:p>
        </w:tc>
        <w:tc>
          <w:tcPr>
            <w:tcW w:w="1046" w:type="pct"/>
          </w:tcPr>
          <w:p w:rsidR="004D2E13" w:rsidRPr="009D295A" w:rsidRDefault="009D295A" w:rsidP="00CB755D">
            <w:pPr>
              <w:pStyle w:val="TableText0"/>
              <w:jc w:val="center"/>
              <w:rPr>
                <w:highlight w:val="black"/>
              </w:rPr>
            </w:pPr>
            <w:r>
              <w:rPr>
                <w:noProof/>
                <w:color w:val="000000"/>
                <w:highlight w:val="black"/>
              </w:rPr>
              <w:t>'''''''''''' '''''''''''''''''' ''''''''''''''''</w:t>
            </w:r>
          </w:p>
        </w:tc>
        <w:tc>
          <w:tcPr>
            <w:tcW w:w="1046" w:type="pct"/>
          </w:tcPr>
          <w:p w:rsidR="004D2E13" w:rsidRPr="009D295A" w:rsidRDefault="009D295A" w:rsidP="00CB755D">
            <w:pPr>
              <w:pStyle w:val="TableText0"/>
              <w:jc w:val="center"/>
              <w:rPr>
                <w:highlight w:val="black"/>
              </w:rPr>
            </w:pPr>
            <w:r>
              <w:rPr>
                <w:noProof/>
                <w:color w:val="000000"/>
                <w:highlight w:val="black"/>
              </w:rPr>
              <w:t>'''''''''''' '''''''''''''''''' '''''''''''''''</w:t>
            </w:r>
          </w:p>
        </w:tc>
        <w:tc>
          <w:tcPr>
            <w:tcW w:w="1047" w:type="pct"/>
            <w:vMerge/>
          </w:tcPr>
          <w:p w:rsidR="004D2E13" w:rsidRPr="00271EFE" w:rsidRDefault="004D2E13" w:rsidP="00CB755D">
            <w:pPr>
              <w:pStyle w:val="TableText0"/>
              <w:jc w:val="center"/>
            </w:pPr>
          </w:p>
        </w:tc>
      </w:tr>
      <w:tr w:rsidR="004D2E13" w:rsidTr="004D2E13">
        <w:tc>
          <w:tcPr>
            <w:tcW w:w="497" w:type="pct"/>
            <w:vMerge/>
          </w:tcPr>
          <w:p w:rsidR="004D2E13" w:rsidRPr="00184DBD" w:rsidRDefault="004D2E13" w:rsidP="00CB755D">
            <w:pPr>
              <w:pStyle w:val="TableText0"/>
            </w:pPr>
          </w:p>
        </w:tc>
        <w:tc>
          <w:tcPr>
            <w:tcW w:w="1364" w:type="pct"/>
          </w:tcPr>
          <w:p w:rsidR="004D2E13" w:rsidRPr="008F6C60" w:rsidRDefault="004D2E13" w:rsidP="00CB755D">
            <w:pPr>
              <w:pStyle w:val="TableText0"/>
            </w:pPr>
            <w:r>
              <w:t>Annual rate of SAD</w:t>
            </w:r>
          </w:p>
        </w:tc>
        <w:tc>
          <w:tcPr>
            <w:tcW w:w="1046" w:type="pct"/>
          </w:tcPr>
          <w:p w:rsidR="004D2E13" w:rsidRPr="009D295A" w:rsidRDefault="009D295A" w:rsidP="00CB755D">
            <w:pPr>
              <w:pStyle w:val="TableText0"/>
              <w:jc w:val="center"/>
              <w:rPr>
                <w:highlight w:val="black"/>
              </w:rPr>
            </w:pPr>
            <w:r>
              <w:rPr>
                <w:noProof/>
                <w:color w:val="000000"/>
                <w:highlight w:val="black"/>
              </w:rPr>
              <w:t>''''''''''</w:t>
            </w:r>
          </w:p>
        </w:tc>
        <w:tc>
          <w:tcPr>
            <w:tcW w:w="1046" w:type="pct"/>
          </w:tcPr>
          <w:p w:rsidR="004D2E13" w:rsidRPr="009D295A" w:rsidRDefault="009D295A" w:rsidP="00CB755D">
            <w:pPr>
              <w:pStyle w:val="TableText0"/>
              <w:jc w:val="center"/>
              <w:rPr>
                <w:highlight w:val="black"/>
              </w:rPr>
            </w:pPr>
            <w:r>
              <w:rPr>
                <w:noProof/>
                <w:color w:val="000000"/>
                <w:highlight w:val="black"/>
              </w:rPr>
              <w:t>'''''''''''</w:t>
            </w:r>
          </w:p>
        </w:tc>
        <w:tc>
          <w:tcPr>
            <w:tcW w:w="1047" w:type="pct"/>
            <w:vMerge/>
          </w:tcPr>
          <w:p w:rsidR="004D2E13" w:rsidRPr="00271EFE" w:rsidRDefault="004D2E13" w:rsidP="00CB755D">
            <w:pPr>
              <w:pStyle w:val="TableText0"/>
              <w:jc w:val="center"/>
            </w:pPr>
          </w:p>
        </w:tc>
      </w:tr>
      <w:tr w:rsidR="004D2E13" w:rsidTr="004D2E13">
        <w:tc>
          <w:tcPr>
            <w:tcW w:w="497" w:type="pct"/>
            <w:vMerge w:val="restart"/>
          </w:tcPr>
          <w:p w:rsidR="004D2E13" w:rsidRPr="00184DBD" w:rsidRDefault="004D2E13" w:rsidP="00CB755D">
            <w:pPr>
              <w:pStyle w:val="TableText0"/>
            </w:pPr>
            <w:r>
              <w:t>Year 0-4</w:t>
            </w:r>
          </w:p>
        </w:tc>
        <w:tc>
          <w:tcPr>
            <w:tcW w:w="1364" w:type="pct"/>
          </w:tcPr>
          <w:p w:rsidR="004D2E13" w:rsidRPr="008F6C60" w:rsidRDefault="004D2E13" w:rsidP="00CB755D">
            <w:pPr>
              <w:pStyle w:val="TableText0"/>
            </w:pPr>
            <w:r>
              <w:t>Patient with event, n</w:t>
            </w:r>
          </w:p>
        </w:tc>
        <w:tc>
          <w:tcPr>
            <w:tcW w:w="1046" w:type="pct"/>
          </w:tcPr>
          <w:p w:rsidR="004D2E13" w:rsidRPr="009D295A" w:rsidRDefault="009D295A" w:rsidP="00CB755D">
            <w:pPr>
              <w:pStyle w:val="TableText0"/>
              <w:jc w:val="center"/>
              <w:rPr>
                <w:highlight w:val="black"/>
              </w:rPr>
            </w:pPr>
            <w:r>
              <w:rPr>
                <w:noProof/>
                <w:color w:val="000000"/>
                <w:highlight w:val="black"/>
              </w:rPr>
              <w:t>''''''</w:t>
            </w:r>
          </w:p>
        </w:tc>
        <w:tc>
          <w:tcPr>
            <w:tcW w:w="1046" w:type="pct"/>
          </w:tcPr>
          <w:p w:rsidR="004D2E13" w:rsidRPr="009D295A" w:rsidRDefault="009D295A" w:rsidP="00CB755D">
            <w:pPr>
              <w:pStyle w:val="TableText0"/>
              <w:jc w:val="center"/>
              <w:rPr>
                <w:highlight w:val="black"/>
              </w:rPr>
            </w:pPr>
            <w:r>
              <w:rPr>
                <w:noProof/>
                <w:color w:val="000000"/>
                <w:highlight w:val="black"/>
              </w:rPr>
              <w:t>'''''</w:t>
            </w:r>
          </w:p>
        </w:tc>
        <w:tc>
          <w:tcPr>
            <w:tcW w:w="1047" w:type="pct"/>
          </w:tcPr>
          <w:p w:rsidR="004D2E13" w:rsidRPr="009D295A" w:rsidRDefault="009D295A" w:rsidP="00CB755D">
            <w:pPr>
              <w:pStyle w:val="TableText0"/>
              <w:jc w:val="center"/>
              <w:rPr>
                <w:highlight w:val="black"/>
              </w:rPr>
            </w:pPr>
            <w:r>
              <w:rPr>
                <w:noProof/>
                <w:color w:val="000000"/>
                <w:highlight w:val="black"/>
              </w:rPr>
              <w:t>''''''''''</w:t>
            </w:r>
          </w:p>
        </w:tc>
      </w:tr>
      <w:tr w:rsidR="004D2E13" w:rsidTr="004D2E13">
        <w:tc>
          <w:tcPr>
            <w:tcW w:w="497" w:type="pct"/>
            <w:vMerge/>
          </w:tcPr>
          <w:p w:rsidR="004D2E13" w:rsidRPr="00184DBD" w:rsidRDefault="004D2E13" w:rsidP="00CB755D">
            <w:pPr>
              <w:pStyle w:val="TableText0"/>
            </w:pPr>
          </w:p>
        </w:tc>
        <w:tc>
          <w:tcPr>
            <w:tcW w:w="1364" w:type="pct"/>
          </w:tcPr>
          <w:p w:rsidR="004D2E13" w:rsidRPr="008F6C60" w:rsidRDefault="004D2E13" w:rsidP="00CB755D">
            <w:pPr>
              <w:pStyle w:val="TableText0"/>
            </w:pPr>
            <w:r>
              <w:t>KM estimate of event (95% CI)</w:t>
            </w:r>
          </w:p>
        </w:tc>
        <w:tc>
          <w:tcPr>
            <w:tcW w:w="1046" w:type="pct"/>
          </w:tcPr>
          <w:p w:rsidR="004D2E13" w:rsidRPr="009D295A" w:rsidRDefault="009D295A" w:rsidP="00CB755D">
            <w:pPr>
              <w:pStyle w:val="TableText0"/>
              <w:jc w:val="center"/>
              <w:rPr>
                <w:highlight w:val="black"/>
              </w:rPr>
            </w:pPr>
            <w:r>
              <w:rPr>
                <w:noProof/>
                <w:color w:val="000000"/>
                <w:highlight w:val="black"/>
              </w:rPr>
              <w:t>''''''''''''''' ''''''''''''''''' ''''''''''''''</w:t>
            </w:r>
          </w:p>
        </w:tc>
        <w:tc>
          <w:tcPr>
            <w:tcW w:w="1046" w:type="pct"/>
          </w:tcPr>
          <w:p w:rsidR="004D2E13" w:rsidRPr="009D295A" w:rsidRDefault="009D295A" w:rsidP="00CB755D">
            <w:pPr>
              <w:pStyle w:val="TableText0"/>
              <w:jc w:val="center"/>
              <w:rPr>
                <w:highlight w:val="black"/>
              </w:rPr>
            </w:pPr>
            <w:r>
              <w:rPr>
                <w:noProof/>
                <w:color w:val="000000"/>
                <w:highlight w:val="black"/>
              </w:rPr>
              <w:t>'''''''''''''' ''''''''''''''' ''''''''''''''''</w:t>
            </w:r>
          </w:p>
        </w:tc>
        <w:tc>
          <w:tcPr>
            <w:tcW w:w="1047" w:type="pct"/>
          </w:tcPr>
          <w:p w:rsidR="004D2E13" w:rsidRPr="009D295A" w:rsidRDefault="009D295A" w:rsidP="00CB755D">
            <w:pPr>
              <w:pStyle w:val="TableText0"/>
              <w:jc w:val="center"/>
              <w:rPr>
                <w:highlight w:val="black"/>
              </w:rPr>
            </w:pPr>
            <w:r>
              <w:rPr>
                <w:noProof/>
                <w:color w:val="000000"/>
                <w:highlight w:val="black"/>
              </w:rPr>
              <w:t>''''''''''''' '''''''''''''''' ''''''''''''''</w:t>
            </w:r>
          </w:p>
        </w:tc>
      </w:tr>
      <w:tr w:rsidR="004D2E13" w:rsidTr="004D2E13">
        <w:tc>
          <w:tcPr>
            <w:tcW w:w="497" w:type="pct"/>
            <w:vMerge/>
          </w:tcPr>
          <w:p w:rsidR="004D2E13" w:rsidRPr="00184DBD" w:rsidRDefault="004D2E13" w:rsidP="00CB755D">
            <w:pPr>
              <w:pStyle w:val="TableText0"/>
            </w:pPr>
          </w:p>
        </w:tc>
        <w:tc>
          <w:tcPr>
            <w:tcW w:w="1364" w:type="pct"/>
          </w:tcPr>
          <w:p w:rsidR="004D2E13" w:rsidRPr="008F6C60" w:rsidRDefault="004D2E13" w:rsidP="00CB755D">
            <w:pPr>
              <w:pStyle w:val="TableText0"/>
            </w:pPr>
            <w:r>
              <w:t>KM no event (95%CI)</w:t>
            </w:r>
          </w:p>
        </w:tc>
        <w:tc>
          <w:tcPr>
            <w:tcW w:w="1046" w:type="pct"/>
          </w:tcPr>
          <w:p w:rsidR="004D2E13" w:rsidRPr="009D295A" w:rsidRDefault="009D295A" w:rsidP="00CB755D">
            <w:pPr>
              <w:pStyle w:val="TableText0"/>
              <w:jc w:val="center"/>
              <w:rPr>
                <w:highlight w:val="black"/>
              </w:rPr>
            </w:pPr>
            <w:r>
              <w:rPr>
                <w:noProof/>
                <w:color w:val="000000"/>
                <w:highlight w:val="black"/>
              </w:rPr>
              <w:t>'''''''''''''' ''''''''''''''' '''''''''''''''</w:t>
            </w:r>
          </w:p>
        </w:tc>
        <w:tc>
          <w:tcPr>
            <w:tcW w:w="1046" w:type="pct"/>
          </w:tcPr>
          <w:p w:rsidR="004D2E13" w:rsidRPr="009D295A" w:rsidRDefault="009D295A" w:rsidP="00CB755D">
            <w:pPr>
              <w:pStyle w:val="TableText0"/>
              <w:jc w:val="center"/>
              <w:rPr>
                <w:highlight w:val="black"/>
              </w:rPr>
            </w:pPr>
            <w:r>
              <w:rPr>
                <w:noProof/>
                <w:color w:val="000000"/>
                <w:highlight w:val="black"/>
              </w:rPr>
              <w:t>''''''''''''' '''''''''''''''''' '''''''''''''''</w:t>
            </w:r>
          </w:p>
        </w:tc>
        <w:tc>
          <w:tcPr>
            <w:tcW w:w="1047" w:type="pct"/>
          </w:tcPr>
          <w:p w:rsidR="004D2E13" w:rsidRPr="009D295A" w:rsidRDefault="009D295A" w:rsidP="00CB755D">
            <w:pPr>
              <w:pStyle w:val="TableText0"/>
              <w:jc w:val="center"/>
              <w:rPr>
                <w:highlight w:val="black"/>
              </w:rPr>
            </w:pPr>
            <w:r>
              <w:rPr>
                <w:noProof/>
                <w:color w:val="000000"/>
                <w:highlight w:val="black"/>
              </w:rPr>
              <w:t>''''''''''''''' ''''''''''''''' ''''''''''''''</w:t>
            </w:r>
          </w:p>
        </w:tc>
      </w:tr>
      <w:tr w:rsidR="004D2E13" w:rsidTr="004D2E13">
        <w:tc>
          <w:tcPr>
            <w:tcW w:w="497" w:type="pct"/>
            <w:vMerge/>
          </w:tcPr>
          <w:p w:rsidR="004D2E13" w:rsidRPr="00184DBD" w:rsidRDefault="004D2E13" w:rsidP="00CB755D">
            <w:pPr>
              <w:pStyle w:val="TableText0"/>
            </w:pPr>
          </w:p>
        </w:tc>
        <w:tc>
          <w:tcPr>
            <w:tcW w:w="1364" w:type="pct"/>
          </w:tcPr>
          <w:p w:rsidR="004D2E13" w:rsidRPr="008F6C60" w:rsidRDefault="004D2E13" w:rsidP="00CB755D">
            <w:pPr>
              <w:pStyle w:val="TableText0"/>
            </w:pPr>
            <w:r>
              <w:t>Annual rate of SAD</w:t>
            </w:r>
          </w:p>
        </w:tc>
        <w:tc>
          <w:tcPr>
            <w:tcW w:w="1046" w:type="pct"/>
          </w:tcPr>
          <w:p w:rsidR="004D2E13" w:rsidRPr="009D295A" w:rsidRDefault="009D295A" w:rsidP="00CB755D">
            <w:pPr>
              <w:pStyle w:val="TableText0"/>
              <w:jc w:val="center"/>
              <w:rPr>
                <w:highlight w:val="black"/>
              </w:rPr>
            </w:pPr>
            <w:r>
              <w:rPr>
                <w:noProof/>
                <w:color w:val="000000"/>
                <w:highlight w:val="black"/>
              </w:rPr>
              <w:t>''''''''''</w:t>
            </w:r>
          </w:p>
        </w:tc>
        <w:tc>
          <w:tcPr>
            <w:tcW w:w="1046" w:type="pct"/>
          </w:tcPr>
          <w:p w:rsidR="004D2E13" w:rsidRPr="009D295A" w:rsidRDefault="009D295A" w:rsidP="00CB755D">
            <w:pPr>
              <w:pStyle w:val="TableText0"/>
              <w:jc w:val="center"/>
              <w:rPr>
                <w:highlight w:val="black"/>
              </w:rPr>
            </w:pPr>
            <w:r>
              <w:rPr>
                <w:noProof/>
                <w:color w:val="000000"/>
                <w:highlight w:val="black"/>
              </w:rPr>
              <w:t>''''''''''</w:t>
            </w:r>
          </w:p>
        </w:tc>
        <w:tc>
          <w:tcPr>
            <w:tcW w:w="1047" w:type="pct"/>
          </w:tcPr>
          <w:p w:rsidR="004D2E13" w:rsidRPr="009D295A" w:rsidRDefault="009D295A" w:rsidP="00CB755D">
            <w:pPr>
              <w:pStyle w:val="TableText0"/>
              <w:jc w:val="center"/>
              <w:rPr>
                <w:highlight w:val="black"/>
              </w:rPr>
            </w:pPr>
            <w:r>
              <w:rPr>
                <w:noProof/>
                <w:color w:val="000000"/>
                <w:highlight w:val="black"/>
              </w:rPr>
              <w:t>'''''''''''</w:t>
            </w:r>
          </w:p>
        </w:tc>
      </w:tr>
      <w:tr w:rsidR="004D2E13" w:rsidTr="004D2E13">
        <w:tc>
          <w:tcPr>
            <w:tcW w:w="497" w:type="pct"/>
            <w:vMerge w:val="restart"/>
          </w:tcPr>
          <w:p w:rsidR="004D2E13" w:rsidRPr="00184DBD" w:rsidRDefault="004D2E13" w:rsidP="00CB755D">
            <w:pPr>
              <w:pStyle w:val="TableText0"/>
            </w:pPr>
            <w:r>
              <w:t>Year 0-6</w:t>
            </w:r>
          </w:p>
        </w:tc>
        <w:tc>
          <w:tcPr>
            <w:tcW w:w="1364" w:type="pct"/>
          </w:tcPr>
          <w:p w:rsidR="004D2E13" w:rsidRPr="008F6C60" w:rsidRDefault="004D2E13" w:rsidP="00CB755D">
            <w:pPr>
              <w:pStyle w:val="TableText0"/>
            </w:pPr>
            <w:r>
              <w:t>Patient with event, n</w:t>
            </w:r>
          </w:p>
        </w:tc>
        <w:tc>
          <w:tcPr>
            <w:tcW w:w="1046" w:type="pct"/>
          </w:tcPr>
          <w:p w:rsidR="004D2E13" w:rsidRPr="009D295A" w:rsidRDefault="009D295A" w:rsidP="00CB755D">
            <w:pPr>
              <w:pStyle w:val="TableText0"/>
              <w:jc w:val="center"/>
              <w:rPr>
                <w:highlight w:val="black"/>
              </w:rPr>
            </w:pPr>
            <w:r>
              <w:rPr>
                <w:noProof/>
                <w:color w:val="000000"/>
                <w:highlight w:val="black"/>
              </w:rPr>
              <w:t>'''''''</w:t>
            </w:r>
          </w:p>
        </w:tc>
        <w:tc>
          <w:tcPr>
            <w:tcW w:w="1046" w:type="pct"/>
          </w:tcPr>
          <w:p w:rsidR="004D2E13" w:rsidRPr="009D295A" w:rsidRDefault="009D295A" w:rsidP="00CB755D">
            <w:pPr>
              <w:pStyle w:val="TableText0"/>
              <w:jc w:val="center"/>
              <w:rPr>
                <w:highlight w:val="black"/>
              </w:rPr>
            </w:pPr>
            <w:r>
              <w:rPr>
                <w:noProof/>
                <w:color w:val="000000"/>
                <w:highlight w:val="black"/>
              </w:rPr>
              <w:t>''''''''''</w:t>
            </w:r>
          </w:p>
        </w:tc>
        <w:tc>
          <w:tcPr>
            <w:tcW w:w="1047" w:type="pct"/>
          </w:tcPr>
          <w:p w:rsidR="004D2E13" w:rsidRPr="009D295A" w:rsidRDefault="009D295A" w:rsidP="00CB755D">
            <w:pPr>
              <w:pStyle w:val="TableText0"/>
              <w:jc w:val="center"/>
              <w:rPr>
                <w:highlight w:val="black"/>
              </w:rPr>
            </w:pPr>
            <w:r>
              <w:rPr>
                <w:noProof/>
                <w:color w:val="000000"/>
                <w:highlight w:val="black"/>
              </w:rPr>
              <w:t>''''''''''</w:t>
            </w:r>
          </w:p>
        </w:tc>
      </w:tr>
      <w:tr w:rsidR="004D2E13" w:rsidTr="004D2E13">
        <w:tc>
          <w:tcPr>
            <w:tcW w:w="497" w:type="pct"/>
            <w:vMerge/>
          </w:tcPr>
          <w:p w:rsidR="004D2E13" w:rsidRPr="00184DBD" w:rsidRDefault="004D2E13" w:rsidP="00CB755D">
            <w:pPr>
              <w:pStyle w:val="TableText0"/>
            </w:pPr>
          </w:p>
        </w:tc>
        <w:tc>
          <w:tcPr>
            <w:tcW w:w="1364" w:type="pct"/>
          </w:tcPr>
          <w:p w:rsidR="004D2E13" w:rsidRPr="008F6C60" w:rsidRDefault="004D2E13" w:rsidP="00CB755D">
            <w:pPr>
              <w:pStyle w:val="TableText0"/>
            </w:pPr>
            <w:r>
              <w:t>KM estimate of event (95% CI)</w:t>
            </w:r>
          </w:p>
        </w:tc>
        <w:tc>
          <w:tcPr>
            <w:tcW w:w="1046" w:type="pct"/>
          </w:tcPr>
          <w:p w:rsidR="004D2E13" w:rsidRPr="009D295A" w:rsidRDefault="009D295A" w:rsidP="00CB755D">
            <w:pPr>
              <w:pStyle w:val="TableText0"/>
              <w:jc w:val="center"/>
              <w:rPr>
                <w:highlight w:val="black"/>
              </w:rPr>
            </w:pPr>
            <w:r>
              <w:rPr>
                <w:noProof/>
                <w:color w:val="000000"/>
                <w:highlight w:val="black"/>
              </w:rPr>
              <w:t>''''''''''''' ''''''''''''''''' '''''''''''''''</w:t>
            </w:r>
          </w:p>
        </w:tc>
        <w:tc>
          <w:tcPr>
            <w:tcW w:w="1046" w:type="pct"/>
          </w:tcPr>
          <w:p w:rsidR="004D2E13" w:rsidRPr="009D295A" w:rsidRDefault="009D295A" w:rsidP="00CB755D">
            <w:pPr>
              <w:pStyle w:val="TableText0"/>
              <w:jc w:val="center"/>
              <w:rPr>
                <w:highlight w:val="black"/>
              </w:rPr>
            </w:pPr>
            <w:r>
              <w:rPr>
                <w:noProof/>
                <w:color w:val="000000"/>
                <w:highlight w:val="black"/>
              </w:rPr>
              <w:t>''''''''''''' ''''''''''''''''' '''''''''''''''</w:t>
            </w:r>
          </w:p>
        </w:tc>
        <w:tc>
          <w:tcPr>
            <w:tcW w:w="1047" w:type="pct"/>
          </w:tcPr>
          <w:p w:rsidR="004D2E13" w:rsidRPr="009D295A" w:rsidRDefault="009D295A" w:rsidP="00CB755D">
            <w:pPr>
              <w:pStyle w:val="TableText0"/>
              <w:jc w:val="center"/>
              <w:rPr>
                <w:highlight w:val="black"/>
              </w:rPr>
            </w:pPr>
            <w:r>
              <w:rPr>
                <w:noProof/>
                <w:color w:val="000000"/>
                <w:highlight w:val="black"/>
              </w:rPr>
              <w:t>''''''''''''' ''''''''''''''''' ''''''''''''''</w:t>
            </w:r>
          </w:p>
        </w:tc>
      </w:tr>
      <w:tr w:rsidR="004D2E13" w:rsidTr="004D2E13">
        <w:tc>
          <w:tcPr>
            <w:tcW w:w="497" w:type="pct"/>
            <w:vMerge/>
          </w:tcPr>
          <w:p w:rsidR="004D2E13" w:rsidRPr="00184DBD" w:rsidRDefault="004D2E13" w:rsidP="00CB755D">
            <w:pPr>
              <w:pStyle w:val="TableText0"/>
            </w:pPr>
          </w:p>
        </w:tc>
        <w:tc>
          <w:tcPr>
            <w:tcW w:w="1364" w:type="pct"/>
          </w:tcPr>
          <w:p w:rsidR="004D2E13" w:rsidRPr="008F6C60" w:rsidRDefault="004D2E13" w:rsidP="00CB755D">
            <w:pPr>
              <w:pStyle w:val="TableText0"/>
            </w:pPr>
            <w:r>
              <w:t>KM no event (95%CI)</w:t>
            </w:r>
          </w:p>
        </w:tc>
        <w:tc>
          <w:tcPr>
            <w:tcW w:w="1046" w:type="pct"/>
          </w:tcPr>
          <w:p w:rsidR="004D2E13" w:rsidRPr="009D295A" w:rsidRDefault="009D295A" w:rsidP="00CB755D">
            <w:pPr>
              <w:pStyle w:val="TableText0"/>
              <w:jc w:val="center"/>
              <w:rPr>
                <w:highlight w:val="black"/>
              </w:rPr>
            </w:pPr>
            <w:r>
              <w:rPr>
                <w:noProof/>
                <w:color w:val="000000"/>
                <w:highlight w:val="black"/>
              </w:rPr>
              <w:t>''''''''''''' ''''''''''''''''' '''''''''''''''</w:t>
            </w:r>
          </w:p>
        </w:tc>
        <w:tc>
          <w:tcPr>
            <w:tcW w:w="1046" w:type="pct"/>
          </w:tcPr>
          <w:p w:rsidR="004D2E13" w:rsidRPr="009D295A" w:rsidRDefault="009D295A" w:rsidP="00CB755D">
            <w:pPr>
              <w:pStyle w:val="TableText0"/>
              <w:jc w:val="center"/>
              <w:rPr>
                <w:highlight w:val="black"/>
              </w:rPr>
            </w:pPr>
            <w:r>
              <w:rPr>
                <w:noProof/>
                <w:color w:val="000000"/>
                <w:highlight w:val="black"/>
              </w:rPr>
              <w:t>''''''''''''' ''''''''''''''''' ''''''''''''''</w:t>
            </w:r>
          </w:p>
        </w:tc>
        <w:tc>
          <w:tcPr>
            <w:tcW w:w="1047" w:type="pct"/>
          </w:tcPr>
          <w:p w:rsidR="004D2E13" w:rsidRPr="009D295A" w:rsidRDefault="009D295A" w:rsidP="00CB755D">
            <w:pPr>
              <w:pStyle w:val="TableText0"/>
              <w:jc w:val="center"/>
              <w:rPr>
                <w:highlight w:val="black"/>
              </w:rPr>
            </w:pPr>
            <w:r>
              <w:rPr>
                <w:noProof/>
                <w:color w:val="000000"/>
                <w:highlight w:val="black"/>
              </w:rPr>
              <w:t>'''''''''''''' ''''''''''''''''' ''''''''''''''</w:t>
            </w:r>
          </w:p>
        </w:tc>
      </w:tr>
      <w:tr w:rsidR="004D2E13" w:rsidTr="004D2E13">
        <w:tc>
          <w:tcPr>
            <w:tcW w:w="497" w:type="pct"/>
            <w:vMerge/>
          </w:tcPr>
          <w:p w:rsidR="004D2E13" w:rsidRPr="00184DBD" w:rsidRDefault="004D2E13" w:rsidP="00CB755D">
            <w:pPr>
              <w:pStyle w:val="TableText0"/>
            </w:pPr>
          </w:p>
        </w:tc>
        <w:tc>
          <w:tcPr>
            <w:tcW w:w="1364" w:type="pct"/>
          </w:tcPr>
          <w:p w:rsidR="004D2E13" w:rsidRPr="008F6C60" w:rsidRDefault="004D2E13" w:rsidP="00CB755D">
            <w:pPr>
              <w:pStyle w:val="TableText0"/>
            </w:pPr>
            <w:r>
              <w:t>Annual rate of SAD</w:t>
            </w:r>
          </w:p>
        </w:tc>
        <w:tc>
          <w:tcPr>
            <w:tcW w:w="1046" w:type="pct"/>
          </w:tcPr>
          <w:p w:rsidR="004D2E13" w:rsidRPr="009D295A" w:rsidRDefault="009D295A" w:rsidP="00CB755D">
            <w:pPr>
              <w:pStyle w:val="TableText0"/>
              <w:jc w:val="center"/>
              <w:rPr>
                <w:highlight w:val="black"/>
              </w:rPr>
            </w:pPr>
            <w:r>
              <w:rPr>
                <w:noProof/>
                <w:color w:val="000000"/>
                <w:highlight w:val="black"/>
              </w:rPr>
              <w:t>''''''''''</w:t>
            </w:r>
          </w:p>
        </w:tc>
        <w:tc>
          <w:tcPr>
            <w:tcW w:w="1046" w:type="pct"/>
          </w:tcPr>
          <w:p w:rsidR="004D2E13" w:rsidRPr="009D295A" w:rsidRDefault="009D295A" w:rsidP="00CB755D">
            <w:pPr>
              <w:pStyle w:val="TableText0"/>
              <w:jc w:val="center"/>
              <w:rPr>
                <w:highlight w:val="black"/>
              </w:rPr>
            </w:pPr>
            <w:r>
              <w:rPr>
                <w:noProof/>
                <w:color w:val="000000"/>
                <w:highlight w:val="black"/>
              </w:rPr>
              <w:t>''''''''''</w:t>
            </w:r>
          </w:p>
        </w:tc>
        <w:tc>
          <w:tcPr>
            <w:tcW w:w="1047" w:type="pct"/>
          </w:tcPr>
          <w:p w:rsidR="004D2E13" w:rsidRPr="009D295A" w:rsidRDefault="009D295A" w:rsidP="00CB755D">
            <w:pPr>
              <w:pStyle w:val="TableText0"/>
              <w:jc w:val="center"/>
              <w:rPr>
                <w:highlight w:val="black"/>
              </w:rPr>
            </w:pPr>
            <w:r>
              <w:rPr>
                <w:noProof/>
                <w:color w:val="000000"/>
                <w:highlight w:val="black"/>
              </w:rPr>
              <w:t>''''''''''</w:t>
            </w:r>
          </w:p>
        </w:tc>
      </w:tr>
    </w:tbl>
    <w:p w:rsidR="00BD1912" w:rsidRDefault="00BD1912" w:rsidP="00BD1912">
      <w:pPr>
        <w:pStyle w:val="TableFooter"/>
      </w:pPr>
      <w:r>
        <w:t>Source: Table 2.5.3, p34 of the resubmission. CI = confidence interval; IAT = immediate alemtuzumab group; KM = Kaplan Meier; NA = not available; SAD =sustained accumulation of disability.</w:t>
      </w:r>
    </w:p>
    <w:p w:rsidR="00BD1912" w:rsidRPr="008A43F0" w:rsidRDefault="00BD1912" w:rsidP="00BD1912">
      <w:pPr>
        <w:widowControl/>
      </w:pPr>
    </w:p>
    <w:p w:rsidR="00BD1912" w:rsidRPr="00551B0E" w:rsidRDefault="00A94F25" w:rsidP="00FD072C">
      <w:pPr>
        <w:pStyle w:val="ListParagraph"/>
        <w:widowControl/>
        <w:numPr>
          <w:ilvl w:val="1"/>
          <w:numId w:val="1"/>
        </w:numPr>
        <w:rPr>
          <w:color w:val="000000" w:themeColor="text1"/>
        </w:rPr>
      </w:pPr>
      <w:r>
        <w:t xml:space="preserve">Table </w:t>
      </w:r>
      <w:r>
        <w:rPr>
          <w:noProof/>
        </w:rPr>
        <w:t>10</w:t>
      </w:r>
      <w:r w:rsidR="00BD1912">
        <w:t xml:space="preserve"> presents annualised relapse rates in the IAT subgroup of CARE-MS extension</w:t>
      </w:r>
      <w:r w:rsidR="008A43F0">
        <w:t>.</w:t>
      </w:r>
    </w:p>
    <w:p w:rsidR="00BD1912" w:rsidRPr="00315BCB" w:rsidRDefault="00BD1912" w:rsidP="00BD1912">
      <w:pPr>
        <w:pStyle w:val="TableHeading0"/>
      </w:pPr>
      <w:bookmarkStart w:id="16" w:name="_Ref524482374"/>
      <w:r>
        <w:lastRenderedPageBreak/>
        <w:t xml:space="preserve">Table </w:t>
      </w:r>
      <w:r w:rsidR="00A94F25">
        <w:rPr>
          <w:noProof/>
        </w:rPr>
        <w:t>10</w:t>
      </w:r>
      <w:bookmarkEnd w:id="16"/>
      <w:r>
        <w:t>: Annualised relapse rate, IAT subgroup from CARE-MS extension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97"/>
        <w:gridCol w:w="2459"/>
        <w:gridCol w:w="1886"/>
        <w:gridCol w:w="1886"/>
        <w:gridCol w:w="1888"/>
      </w:tblGrid>
      <w:tr w:rsidR="008A43F0" w:rsidRPr="00EF3278" w:rsidTr="00CB755D">
        <w:tc>
          <w:tcPr>
            <w:tcW w:w="497" w:type="pct"/>
            <w:shd w:val="clear" w:color="auto" w:fill="auto"/>
          </w:tcPr>
          <w:p w:rsidR="008A43F0" w:rsidRPr="00EF3278" w:rsidRDefault="008A43F0" w:rsidP="00CB755D">
            <w:pPr>
              <w:pStyle w:val="TableText0"/>
              <w:rPr>
                <w:b/>
              </w:rPr>
            </w:pPr>
            <w:r>
              <w:rPr>
                <w:b/>
              </w:rPr>
              <w:t>Time period</w:t>
            </w:r>
          </w:p>
        </w:tc>
        <w:tc>
          <w:tcPr>
            <w:tcW w:w="1363" w:type="pct"/>
            <w:shd w:val="clear" w:color="auto" w:fill="auto"/>
            <w:vAlign w:val="center"/>
          </w:tcPr>
          <w:p w:rsidR="008A43F0" w:rsidRPr="00EF3278" w:rsidRDefault="008A43F0" w:rsidP="00CB755D">
            <w:pPr>
              <w:pStyle w:val="TableText0"/>
              <w:jc w:val="center"/>
              <w:rPr>
                <w:b/>
              </w:rPr>
            </w:pPr>
            <w:r>
              <w:rPr>
                <w:b/>
              </w:rPr>
              <w:t>Outcome</w:t>
            </w:r>
          </w:p>
        </w:tc>
        <w:tc>
          <w:tcPr>
            <w:tcW w:w="1046" w:type="pct"/>
            <w:shd w:val="clear" w:color="auto" w:fill="auto"/>
          </w:tcPr>
          <w:p w:rsidR="008A43F0" w:rsidRPr="00271EFE" w:rsidRDefault="003F073A" w:rsidP="00CB755D">
            <w:pPr>
              <w:pStyle w:val="TableText0"/>
              <w:jc w:val="center"/>
              <w:rPr>
                <w:b/>
              </w:rPr>
            </w:pPr>
            <w:r w:rsidRPr="00271EFE">
              <w:rPr>
                <w:b/>
              </w:rPr>
              <w:t>CARE-</w:t>
            </w:r>
            <w:r w:rsidR="008A43F0" w:rsidRPr="00271EFE">
              <w:rPr>
                <w:b/>
              </w:rPr>
              <w:t>MS I IAT</w:t>
            </w:r>
          </w:p>
          <w:p w:rsidR="008A43F0" w:rsidRPr="00271EFE" w:rsidRDefault="008A43F0" w:rsidP="00CB755D">
            <w:pPr>
              <w:pStyle w:val="TableText0"/>
              <w:jc w:val="center"/>
              <w:rPr>
                <w:b/>
              </w:rPr>
            </w:pPr>
            <w:r w:rsidRPr="00271EFE">
              <w:rPr>
                <w:b/>
              </w:rPr>
              <w:t>N=376</w:t>
            </w:r>
          </w:p>
        </w:tc>
        <w:tc>
          <w:tcPr>
            <w:tcW w:w="1046" w:type="pct"/>
          </w:tcPr>
          <w:p w:rsidR="008A43F0" w:rsidRPr="00271EFE" w:rsidRDefault="008A43F0" w:rsidP="00CB755D">
            <w:pPr>
              <w:pStyle w:val="TableText0"/>
              <w:jc w:val="center"/>
              <w:rPr>
                <w:b/>
              </w:rPr>
            </w:pPr>
            <w:r w:rsidRPr="00271EFE">
              <w:rPr>
                <w:b/>
              </w:rPr>
              <w:t>CARE-MS II IAT</w:t>
            </w:r>
          </w:p>
          <w:p w:rsidR="008A43F0" w:rsidRPr="00271EFE" w:rsidRDefault="008A43F0" w:rsidP="00CB755D">
            <w:pPr>
              <w:pStyle w:val="TableText0"/>
              <w:jc w:val="center"/>
              <w:rPr>
                <w:b/>
              </w:rPr>
            </w:pPr>
            <w:r w:rsidRPr="00271EFE">
              <w:rPr>
                <w:b/>
              </w:rPr>
              <w:t>N=426</w:t>
            </w:r>
          </w:p>
        </w:tc>
        <w:tc>
          <w:tcPr>
            <w:tcW w:w="1047" w:type="pct"/>
          </w:tcPr>
          <w:p w:rsidR="008A43F0" w:rsidRPr="00271EFE" w:rsidRDefault="008A43F0" w:rsidP="00CB755D">
            <w:pPr>
              <w:pStyle w:val="TableText0"/>
              <w:jc w:val="center"/>
              <w:rPr>
                <w:b/>
              </w:rPr>
            </w:pPr>
            <w:r w:rsidRPr="00271EFE">
              <w:rPr>
                <w:b/>
              </w:rPr>
              <w:t>IAT</w:t>
            </w:r>
          </w:p>
          <w:p w:rsidR="008A43F0" w:rsidRPr="00271EFE" w:rsidRDefault="008A43F0" w:rsidP="00CB755D">
            <w:pPr>
              <w:pStyle w:val="TableText0"/>
              <w:jc w:val="center"/>
              <w:rPr>
                <w:b/>
              </w:rPr>
            </w:pPr>
            <w:r w:rsidRPr="00271EFE">
              <w:rPr>
                <w:b/>
              </w:rPr>
              <w:t>N=802</w:t>
            </w:r>
          </w:p>
        </w:tc>
      </w:tr>
      <w:tr w:rsidR="008A43F0" w:rsidTr="00CB755D">
        <w:tc>
          <w:tcPr>
            <w:tcW w:w="497" w:type="pct"/>
            <w:vMerge w:val="restart"/>
          </w:tcPr>
          <w:p w:rsidR="008A43F0" w:rsidRPr="00184DBD" w:rsidRDefault="008A43F0" w:rsidP="00CB755D">
            <w:pPr>
              <w:pStyle w:val="TableText0"/>
            </w:pPr>
            <w:r>
              <w:t>Year 0-2</w:t>
            </w:r>
          </w:p>
        </w:tc>
        <w:tc>
          <w:tcPr>
            <w:tcW w:w="1363" w:type="pct"/>
          </w:tcPr>
          <w:p w:rsidR="008A43F0" w:rsidRPr="008F6C60" w:rsidRDefault="008A43F0" w:rsidP="00CB755D">
            <w:pPr>
              <w:pStyle w:val="TableText0"/>
            </w:pPr>
            <w:r>
              <w:t>Patient with any event, n</w:t>
            </w:r>
          </w:p>
        </w:tc>
        <w:tc>
          <w:tcPr>
            <w:tcW w:w="1046" w:type="pct"/>
          </w:tcPr>
          <w:p w:rsidR="008A43F0" w:rsidRPr="00271EFE" w:rsidRDefault="008A43F0" w:rsidP="00CB755D">
            <w:pPr>
              <w:pStyle w:val="TableText0"/>
              <w:jc w:val="center"/>
            </w:pPr>
            <w:r w:rsidRPr="00271EFE">
              <w:t>25</w:t>
            </w:r>
          </w:p>
        </w:tc>
        <w:tc>
          <w:tcPr>
            <w:tcW w:w="1046" w:type="pct"/>
          </w:tcPr>
          <w:p w:rsidR="008A43F0" w:rsidRPr="00271EFE" w:rsidRDefault="008A43F0" w:rsidP="00CB755D">
            <w:pPr>
              <w:pStyle w:val="TableText0"/>
              <w:jc w:val="center"/>
            </w:pPr>
            <w:r w:rsidRPr="00271EFE">
              <w:t>147</w:t>
            </w:r>
          </w:p>
        </w:tc>
        <w:tc>
          <w:tcPr>
            <w:tcW w:w="1047" w:type="pct"/>
            <w:vMerge w:val="restart"/>
            <w:vAlign w:val="center"/>
          </w:tcPr>
          <w:p w:rsidR="008A43F0" w:rsidRPr="00271EFE" w:rsidRDefault="008A43F0" w:rsidP="00CB755D">
            <w:pPr>
              <w:pStyle w:val="TableText0"/>
              <w:jc w:val="center"/>
            </w:pPr>
            <w:r w:rsidRPr="00271EFE">
              <w:t>NA</w:t>
            </w:r>
          </w:p>
        </w:tc>
      </w:tr>
      <w:tr w:rsidR="008A43F0" w:rsidTr="00CB755D">
        <w:tc>
          <w:tcPr>
            <w:tcW w:w="497" w:type="pct"/>
            <w:vMerge/>
          </w:tcPr>
          <w:p w:rsidR="008A43F0" w:rsidRPr="00184DBD" w:rsidRDefault="008A43F0" w:rsidP="00CB755D">
            <w:pPr>
              <w:pStyle w:val="TableText0"/>
            </w:pPr>
          </w:p>
        </w:tc>
        <w:tc>
          <w:tcPr>
            <w:tcW w:w="1363" w:type="pct"/>
          </w:tcPr>
          <w:p w:rsidR="008A43F0" w:rsidRPr="008F6C60" w:rsidRDefault="008A43F0" w:rsidP="00CB755D">
            <w:pPr>
              <w:pStyle w:val="TableText0"/>
            </w:pPr>
            <w:r>
              <w:t>Total number of events</w:t>
            </w:r>
          </w:p>
        </w:tc>
        <w:tc>
          <w:tcPr>
            <w:tcW w:w="1046" w:type="pct"/>
          </w:tcPr>
          <w:p w:rsidR="008A43F0" w:rsidRPr="00271EFE" w:rsidRDefault="008A43F0" w:rsidP="00CB755D">
            <w:pPr>
              <w:pStyle w:val="TableText0"/>
              <w:jc w:val="center"/>
            </w:pPr>
            <w:r w:rsidRPr="00271EFE">
              <w:t>38</w:t>
            </w:r>
          </w:p>
        </w:tc>
        <w:tc>
          <w:tcPr>
            <w:tcW w:w="1046" w:type="pct"/>
          </w:tcPr>
          <w:p w:rsidR="008A43F0" w:rsidRPr="00271EFE" w:rsidRDefault="008A43F0" w:rsidP="00CB755D">
            <w:pPr>
              <w:pStyle w:val="TableText0"/>
              <w:jc w:val="center"/>
            </w:pPr>
            <w:r w:rsidRPr="00271EFE">
              <w:t>236</w:t>
            </w:r>
          </w:p>
        </w:tc>
        <w:tc>
          <w:tcPr>
            <w:tcW w:w="1047" w:type="pct"/>
            <w:vMerge/>
          </w:tcPr>
          <w:p w:rsidR="008A43F0" w:rsidRPr="00271EFE" w:rsidRDefault="008A43F0" w:rsidP="00CB755D">
            <w:pPr>
              <w:pStyle w:val="TableText0"/>
              <w:jc w:val="center"/>
            </w:pPr>
          </w:p>
        </w:tc>
      </w:tr>
      <w:tr w:rsidR="008A43F0" w:rsidTr="00CB755D">
        <w:tc>
          <w:tcPr>
            <w:tcW w:w="497" w:type="pct"/>
            <w:vMerge/>
          </w:tcPr>
          <w:p w:rsidR="008A43F0" w:rsidRPr="00184DBD" w:rsidRDefault="008A43F0" w:rsidP="00CB755D">
            <w:pPr>
              <w:pStyle w:val="TableText0"/>
            </w:pPr>
          </w:p>
        </w:tc>
        <w:tc>
          <w:tcPr>
            <w:tcW w:w="1363" w:type="pct"/>
          </w:tcPr>
          <w:p w:rsidR="008A43F0" w:rsidRPr="008F6C60" w:rsidRDefault="008A43F0" w:rsidP="00CB755D">
            <w:pPr>
              <w:pStyle w:val="TableText0"/>
            </w:pPr>
            <w:r>
              <w:t>Annualised rate (95%CI)</w:t>
            </w:r>
          </w:p>
        </w:tc>
        <w:tc>
          <w:tcPr>
            <w:tcW w:w="1046" w:type="pct"/>
          </w:tcPr>
          <w:p w:rsidR="008A43F0" w:rsidRPr="00271EFE" w:rsidRDefault="008A43F0" w:rsidP="00CB755D">
            <w:pPr>
              <w:pStyle w:val="TableText0"/>
              <w:jc w:val="center"/>
            </w:pPr>
            <w:r w:rsidRPr="00271EFE">
              <w:t>0.18 (0.13, 0.23)</w:t>
            </w:r>
          </w:p>
        </w:tc>
        <w:tc>
          <w:tcPr>
            <w:tcW w:w="1046" w:type="pct"/>
          </w:tcPr>
          <w:p w:rsidR="008A43F0" w:rsidRPr="00271EFE" w:rsidRDefault="008A43F0" w:rsidP="00CB755D">
            <w:pPr>
              <w:pStyle w:val="TableText0"/>
              <w:jc w:val="center"/>
            </w:pPr>
            <w:r w:rsidRPr="00271EFE">
              <w:t>0.26 (0.21, 0.33)</w:t>
            </w:r>
          </w:p>
        </w:tc>
        <w:tc>
          <w:tcPr>
            <w:tcW w:w="1047" w:type="pct"/>
            <w:vMerge/>
          </w:tcPr>
          <w:p w:rsidR="008A43F0" w:rsidRPr="00271EFE" w:rsidRDefault="008A43F0" w:rsidP="00CB755D">
            <w:pPr>
              <w:pStyle w:val="TableText0"/>
              <w:jc w:val="center"/>
            </w:pPr>
          </w:p>
        </w:tc>
      </w:tr>
      <w:tr w:rsidR="008A43F0" w:rsidTr="00CB755D">
        <w:tc>
          <w:tcPr>
            <w:tcW w:w="497" w:type="pct"/>
            <w:vMerge w:val="restart"/>
          </w:tcPr>
          <w:p w:rsidR="008A43F0" w:rsidRPr="00184DBD" w:rsidRDefault="008A43F0" w:rsidP="00CB755D">
            <w:pPr>
              <w:pStyle w:val="TableText0"/>
            </w:pPr>
            <w:r>
              <w:t>Year 0-4</w:t>
            </w:r>
          </w:p>
        </w:tc>
        <w:tc>
          <w:tcPr>
            <w:tcW w:w="1363" w:type="pct"/>
          </w:tcPr>
          <w:p w:rsidR="008A43F0" w:rsidRPr="008F6C60" w:rsidRDefault="008A43F0" w:rsidP="00CB755D">
            <w:pPr>
              <w:pStyle w:val="TableText0"/>
            </w:pPr>
            <w:r>
              <w:t>Patient with any event, n</w:t>
            </w:r>
          </w:p>
        </w:tc>
        <w:tc>
          <w:tcPr>
            <w:tcW w:w="1046" w:type="pct"/>
          </w:tcPr>
          <w:p w:rsidR="008A43F0" w:rsidRPr="009D295A" w:rsidRDefault="009D295A" w:rsidP="00CB755D">
            <w:pPr>
              <w:pStyle w:val="TableText0"/>
              <w:jc w:val="center"/>
              <w:rPr>
                <w:highlight w:val="black"/>
              </w:rPr>
            </w:pPr>
            <w:r>
              <w:rPr>
                <w:noProof/>
                <w:color w:val="000000"/>
                <w:highlight w:val="black"/>
              </w:rPr>
              <w:t>'''''''''</w:t>
            </w:r>
          </w:p>
        </w:tc>
        <w:tc>
          <w:tcPr>
            <w:tcW w:w="1046" w:type="pct"/>
          </w:tcPr>
          <w:p w:rsidR="008A43F0" w:rsidRPr="009D295A" w:rsidRDefault="009D295A" w:rsidP="00CB755D">
            <w:pPr>
              <w:pStyle w:val="TableText0"/>
              <w:jc w:val="center"/>
              <w:rPr>
                <w:highlight w:val="black"/>
              </w:rPr>
            </w:pPr>
            <w:r>
              <w:rPr>
                <w:noProof/>
                <w:color w:val="000000"/>
                <w:highlight w:val="black"/>
              </w:rPr>
              <w:t>''''''''''</w:t>
            </w:r>
          </w:p>
        </w:tc>
        <w:tc>
          <w:tcPr>
            <w:tcW w:w="1047" w:type="pct"/>
          </w:tcPr>
          <w:p w:rsidR="008A43F0" w:rsidRPr="009D295A" w:rsidRDefault="009D295A" w:rsidP="00CB755D">
            <w:pPr>
              <w:pStyle w:val="TableText0"/>
              <w:jc w:val="center"/>
              <w:rPr>
                <w:highlight w:val="black"/>
              </w:rPr>
            </w:pPr>
            <w:r>
              <w:rPr>
                <w:noProof/>
                <w:color w:val="000000"/>
                <w:highlight w:val="black"/>
              </w:rPr>
              <w:t>'''''''''</w:t>
            </w:r>
          </w:p>
        </w:tc>
      </w:tr>
      <w:tr w:rsidR="008A43F0" w:rsidTr="00CB755D">
        <w:tc>
          <w:tcPr>
            <w:tcW w:w="497" w:type="pct"/>
            <w:vMerge/>
          </w:tcPr>
          <w:p w:rsidR="008A43F0" w:rsidRPr="00184DBD" w:rsidRDefault="008A43F0" w:rsidP="00CB755D">
            <w:pPr>
              <w:pStyle w:val="TableText0"/>
            </w:pPr>
          </w:p>
        </w:tc>
        <w:tc>
          <w:tcPr>
            <w:tcW w:w="1363" w:type="pct"/>
          </w:tcPr>
          <w:p w:rsidR="008A43F0" w:rsidRPr="008F6C60" w:rsidRDefault="008A43F0" w:rsidP="00CB755D">
            <w:pPr>
              <w:pStyle w:val="TableText0"/>
            </w:pPr>
            <w:r>
              <w:t>Total number of events</w:t>
            </w:r>
          </w:p>
        </w:tc>
        <w:tc>
          <w:tcPr>
            <w:tcW w:w="1046" w:type="pct"/>
          </w:tcPr>
          <w:p w:rsidR="008A43F0" w:rsidRPr="009D295A" w:rsidRDefault="009D295A" w:rsidP="00CB755D">
            <w:pPr>
              <w:pStyle w:val="TableText0"/>
              <w:jc w:val="center"/>
              <w:rPr>
                <w:highlight w:val="black"/>
              </w:rPr>
            </w:pPr>
            <w:r>
              <w:rPr>
                <w:noProof/>
                <w:color w:val="000000"/>
                <w:highlight w:val="black"/>
              </w:rPr>
              <w:t>'''''''''</w:t>
            </w:r>
          </w:p>
        </w:tc>
        <w:tc>
          <w:tcPr>
            <w:tcW w:w="1046" w:type="pct"/>
          </w:tcPr>
          <w:p w:rsidR="008A43F0" w:rsidRPr="009D295A" w:rsidRDefault="009D295A" w:rsidP="00CB755D">
            <w:pPr>
              <w:pStyle w:val="TableText0"/>
              <w:jc w:val="center"/>
              <w:rPr>
                <w:highlight w:val="black"/>
              </w:rPr>
            </w:pPr>
            <w:r>
              <w:rPr>
                <w:noProof/>
                <w:color w:val="000000"/>
                <w:highlight w:val="black"/>
              </w:rPr>
              <w:t>''''''''''</w:t>
            </w:r>
          </w:p>
        </w:tc>
        <w:tc>
          <w:tcPr>
            <w:tcW w:w="1047" w:type="pct"/>
          </w:tcPr>
          <w:p w:rsidR="008A43F0" w:rsidRPr="009D295A" w:rsidRDefault="009D295A" w:rsidP="00CB755D">
            <w:pPr>
              <w:pStyle w:val="TableText0"/>
              <w:jc w:val="center"/>
              <w:rPr>
                <w:highlight w:val="black"/>
              </w:rPr>
            </w:pPr>
            <w:r>
              <w:rPr>
                <w:noProof/>
                <w:color w:val="000000"/>
                <w:highlight w:val="black"/>
              </w:rPr>
              <w:t>''''''''''</w:t>
            </w:r>
          </w:p>
        </w:tc>
      </w:tr>
      <w:tr w:rsidR="008A43F0" w:rsidTr="00CB755D">
        <w:tc>
          <w:tcPr>
            <w:tcW w:w="497" w:type="pct"/>
            <w:vMerge/>
          </w:tcPr>
          <w:p w:rsidR="008A43F0" w:rsidRPr="00184DBD" w:rsidRDefault="008A43F0" w:rsidP="00CB755D">
            <w:pPr>
              <w:pStyle w:val="TableText0"/>
            </w:pPr>
          </w:p>
        </w:tc>
        <w:tc>
          <w:tcPr>
            <w:tcW w:w="1363" w:type="pct"/>
          </w:tcPr>
          <w:p w:rsidR="008A43F0" w:rsidRPr="008F6C60" w:rsidRDefault="008A43F0" w:rsidP="00CB755D">
            <w:pPr>
              <w:pStyle w:val="TableText0"/>
            </w:pPr>
            <w:r>
              <w:t>Annualised rate (95%CI)</w:t>
            </w:r>
          </w:p>
        </w:tc>
        <w:tc>
          <w:tcPr>
            <w:tcW w:w="1046" w:type="pct"/>
          </w:tcPr>
          <w:p w:rsidR="008A43F0" w:rsidRPr="009D295A" w:rsidRDefault="009D295A" w:rsidP="00CB755D">
            <w:pPr>
              <w:pStyle w:val="TableText0"/>
              <w:jc w:val="center"/>
              <w:rPr>
                <w:highlight w:val="black"/>
              </w:rPr>
            </w:pPr>
            <w:r>
              <w:rPr>
                <w:noProof/>
                <w:color w:val="000000"/>
                <w:highlight w:val="black"/>
              </w:rPr>
              <w:t>'''''''''' ''''''''''''' ''''''''''''</w:t>
            </w:r>
          </w:p>
        </w:tc>
        <w:tc>
          <w:tcPr>
            <w:tcW w:w="1046" w:type="pct"/>
          </w:tcPr>
          <w:p w:rsidR="008A43F0" w:rsidRPr="009D295A" w:rsidRDefault="009D295A" w:rsidP="00CB755D">
            <w:pPr>
              <w:pStyle w:val="TableText0"/>
              <w:jc w:val="center"/>
              <w:rPr>
                <w:highlight w:val="black"/>
              </w:rPr>
            </w:pPr>
            <w:r>
              <w:rPr>
                <w:noProof/>
                <w:color w:val="000000"/>
                <w:highlight w:val="black"/>
              </w:rPr>
              <w:t>'''''''''' ''''''''''''' '''''''''''</w:t>
            </w:r>
          </w:p>
        </w:tc>
        <w:tc>
          <w:tcPr>
            <w:tcW w:w="1047" w:type="pct"/>
          </w:tcPr>
          <w:p w:rsidR="008A43F0" w:rsidRPr="009D295A" w:rsidRDefault="009D295A" w:rsidP="00CB755D">
            <w:pPr>
              <w:pStyle w:val="TableText0"/>
              <w:jc w:val="center"/>
              <w:rPr>
                <w:highlight w:val="black"/>
              </w:rPr>
            </w:pPr>
            <w:r>
              <w:rPr>
                <w:noProof/>
                <w:color w:val="000000"/>
                <w:highlight w:val="black"/>
              </w:rPr>
              <w:t>'''''''''' '''''''''''''' ''''''''''''</w:t>
            </w:r>
          </w:p>
        </w:tc>
      </w:tr>
      <w:tr w:rsidR="008A43F0" w:rsidTr="00CB755D">
        <w:tc>
          <w:tcPr>
            <w:tcW w:w="497" w:type="pct"/>
            <w:vMerge w:val="restart"/>
          </w:tcPr>
          <w:p w:rsidR="008A43F0" w:rsidRPr="00184DBD" w:rsidRDefault="008A43F0" w:rsidP="00CB755D">
            <w:pPr>
              <w:pStyle w:val="TableText0"/>
            </w:pPr>
            <w:r>
              <w:t>Year 0-6</w:t>
            </w:r>
          </w:p>
        </w:tc>
        <w:tc>
          <w:tcPr>
            <w:tcW w:w="1363" w:type="pct"/>
          </w:tcPr>
          <w:p w:rsidR="008A43F0" w:rsidRPr="008F6C60" w:rsidRDefault="008A43F0" w:rsidP="00CB755D">
            <w:pPr>
              <w:pStyle w:val="TableText0"/>
            </w:pPr>
            <w:r>
              <w:t>Patient with any event, n</w:t>
            </w:r>
          </w:p>
        </w:tc>
        <w:tc>
          <w:tcPr>
            <w:tcW w:w="1046" w:type="pct"/>
          </w:tcPr>
          <w:p w:rsidR="008A43F0" w:rsidRPr="009D295A" w:rsidRDefault="009D295A" w:rsidP="00CB755D">
            <w:pPr>
              <w:pStyle w:val="TableText0"/>
              <w:jc w:val="center"/>
              <w:rPr>
                <w:highlight w:val="black"/>
              </w:rPr>
            </w:pPr>
            <w:r>
              <w:rPr>
                <w:noProof/>
                <w:color w:val="000000"/>
                <w:highlight w:val="black"/>
              </w:rPr>
              <w:t>'''''''''</w:t>
            </w:r>
          </w:p>
        </w:tc>
        <w:tc>
          <w:tcPr>
            <w:tcW w:w="1046" w:type="pct"/>
          </w:tcPr>
          <w:p w:rsidR="008A43F0" w:rsidRPr="009D295A" w:rsidRDefault="009D295A" w:rsidP="00CB755D">
            <w:pPr>
              <w:pStyle w:val="TableText0"/>
              <w:jc w:val="center"/>
              <w:rPr>
                <w:highlight w:val="black"/>
              </w:rPr>
            </w:pPr>
            <w:r>
              <w:rPr>
                <w:noProof/>
                <w:color w:val="000000"/>
                <w:highlight w:val="black"/>
              </w:rPr>
              <w:t>'''''''''</w:t>
            </w:r>
          </w:p>
        </w:tc>
        <w:tc>
          <w:tcPr>
            <w:tcW w:w="1047" w:type="pct"/>
          </w:tcPr>
          <w:p w:rsidR="008A43F0" w:rsidRPr="009D295A" w:rsidRDefault="009D295A" w:rsidP="00CB755D">
            <w:pPr>
              <w:pStyle w:val="TableText0"/>
              <w:jc w:val="center"/>
              <w:rPr>
                <w:highlight w:val="black"/>
              </w:rPr>
            </w:pPr>
            <w:r>
              <w:rPr>
                <w:noProof/>
                <w:color w:val="000000"/>
                <w:highlight w:val="black"/>
              </w:rPr>
              <w:t>''''''''''</w:t>
            </w:r>
          </w:p>
        </w:tc>
      </w:tr>
      <w:tr w:rsidR="008A43F0" w:rsidTr="00CB755D">
        <w:tc>
          <w:tcPr>
            <w:tcW w:w="497" w:type="pct"/>
            <w:vMerge/>
          </w:tcPr>
          <w:p w:rsidR="008A43F0" w:rsidRPr="00184DBD" w:rsidRDefault="008A43F0" w:rsidP="00CB755D">
            <w:pPr>
              <w:pStyle w:val="TableText0"/>
            </w:pPr>
          </w:p>
        </w:tc>
        <w:tc>
          <w:tcPr>
            <w:tcW w:w="1363" w:type="pct"/>
          </w:tcPr>
          <w:p w:rsidR="008A43F0" w:rsidRPr="008F6C60" w:rsidRDefault="008A43F0" w:rsidP="00CB755D">
            <w:pPr>
              <w:pStyle w:val="TableText0"/>
            </w:pPr>
            <w:r>
              <w:t>Total number of events</w:t>
            </w:r>
          </w:p>
        </w:tc>
        <w:tc>
          <w:tcPr>
            <w:tcW w:w="1046" w:type="pct"/>
          </w:tcPr>
          <w:p w:rsidR="008A43F0" w:rsidRPr="009D295A" w:rsidRDefault="009D295A" w:rsidP="00CB755D">
            <w:pPr>
              <w:pStyle w:val="TableText0"/>
              <w:jc w:val="center"/>
              <w:rPr>
                <w:highlight w:val="black"/>
              </w:rPr>
            </w:pPr>
            <w:r>
              <w:rPr>
                <w:noProof/>
                <w:color w:val="000000"/>
                <w:highlight w:val="black"/>
              </w:rPr>
              <w:t>''''''''''</w:t>
            </w:r>
          </w:p>
        </w:tc>
        <w:tc>
          <w:tcPr>
            <w:tcW w:w="1046" w:type="pct"/>
          </w:tcPr>
          <w:p w:rsidR="008A43F0" w:rsidRPr="009D295A" w:rsidRDefault="009D295A" w:rsidP="00CB755D">
            <w:pPr>
              <w:pStyle w:val="TableText0"/>
              <w:jc w:val="center"/>
              <w:rPr>
                <w:highlight w:val="black"/>
              </w:rPr>
            </w:pPr>
            <w:r>
              <w:rPr>
                <w:noProof/>
                <w:color w:val="000000"/>
                <w:highlight w:val="black"/>
              </w:rPr>
              <w:t>'''''''''</w:t>
            </w:r>
          </w:p>
        </w:tc>
        <w:tc>
          <w:tcPr>
            <w:tcW w:w="1047" w:type="pct"/>
          </w:tcPr>
          <w:p w:rsidR="008A43F0" w:rsidRPr="009D295A" w:rsidRDefault="009D295A" w:rsidP="00CB755D">
            <w:pPr>
              <w:pStyle w:val="TableText0"/>
              <w:jc w:val="center"/>
              <w:rPr>
                <w:highlight w:val="black"/>
              </w:rPr>
            </w:pPr>
            <w:r>
              <w:rPr>
                <w:noProof/>
                <w:color w:val="000000"/>
                <w:highlight w:val="black"/>
              </w:rPr>
              <w:t>'''''''''</w:t>
            </w:r>
          </w:p>
        </w:tc>
      </w:tr>
      <w:tr w:rsidR="008A43F0" w:rsidTr="00CB755D">
        <w:tc>
          <w:tcPr>
            <w:tcW w:w="497" w:type="pct"/>
            <w:vMerge/>
          </w:tcPr>
          <w:p w:rsidR="008A43F0" w:rsidRPr="00184DBD" w:rsidRDefault="008A43F0" w:rsidP="00CB755D">
            <w:pPr>
              <w:pStyle w:val="TableText0"/>
            </w:pPr>
          </w:p>
        </w:tc>
        <w:tc>
          <w:tcPr>
            <w:tcW w:w="1363" w:type="pct"/>
          </w:tcPr>
          <w:p w:rsidR="008A43F0" w:rsidRPr="008F6C60" w:rsidRDefault="008A43F0" w:rsidP="00CB755D">
            <w:pPr>
              <w:pStyle w:val="TableText0"/>
            </w:pPr>
            <w:r>
              <w:t>Annualised rate (95%CI)</w:t>
            </w:r>
          </w:p>
        </w:tc>
        <w:tc>
          <w:tcPr>
            <w:tcW w:w="1046" w:type="pct"/>
          </w:tcPr>
          <w:p w:rsidR="008A43F0" w:rsidRPr="009D295A" w:rsidRDefault="009D295A" w:rsidP="00CB755D">
            <w:pPr>
              <w:pStyle w:val="TableText0"/>
              <w:jc w:val="center"/>
              <w:rPr>
                <w:highlight w:val="black"/>
              </w:rPr>
            </w:pPr>
            <w:r>
              <w:rPr>
                <w:noProof/>
                <w:color w:val="000000"/>
                <w:highlight w:val="black"/>
              </w:rPr>
              <w:t>''''''''''' ''''''''''''''' ''''''''''''</w:t>
            </w:r>
          </w:p>
        </w:tc>
        <w:tc>
          <w:tcPr>
            <w:tcW w:w="1046" w:type="pct"/>
          </w:tcPr>
          <w:p w:rsidR="008A43F0" w:rsidRPr="009D295A" w:rsidRDefault="009D295A" w:rsidP="00CB755D">
            <w:pPr>
              <w:pStyle w:val="TableText0"/>
              <w:jc w:val="center"/>
              <w:rPr>
                <w:highlight w:val="black"/>
              </w:rPr>
            </w:pPr>
            <w:r>
              <w:rPr>
                <w:noProof/>
                <w:color w:val="000000"/>
                <w:highlight w:val="black"/>
              </w:rPr>
              <w:t>''''''''''' ''''''''''''''' '''''''''''</w:t>
            </w:r>
          </w:p>
        </w:tc>
        <w:tc>
          <w:tcPr>
            <w:tcW w:w="1047" w:type="pct"/>
          </w:tcPr>
          <w:p w:rsidR="008A43F0" w:rsidRPr="009D295A" w:rsidRDefault="009D295A" w:rsidP="00CB755D">
            <w:pPr>
              <w:pStyle w:val="TableText0"/>
              <w:jc w:val="center"/>
              <w:rPr>
                <w:highlight w:val="black"/>
              </w:rPr>
            </w:pPr>
            <w:r>
              <w:rPr>
                <w:noProof/>
                <w:color w:val="000000"/>
                <w:highlight w:val="black"/>
              </w:rPr>
              <w:t>''''''''''' ''''''''''''''' ''''''''''''''</w:t>
            </w:r>
          </w:p>
        </w:tc>
      </w:tr>
    </w:tbl>
    <w:p w:rsidR="00BD1912" w:rsidRDefault="00BD1912" w:rsidP="00BD1912">
      <w:pPr>
        <w:pStyle w:val="TableFooter"/>
      </w:pPr>
      <w:r>
        <w:t>Source: Table 2.5.5, p41 of the resubmission.CI = confidence interval; IAT = immediate alemtuzumab treatment group; NA = not available</w:t>
      </w:r>
    </w:p>
    <w:p w:rsidR="00BD1912" w:rsidRPr="008A43F0" w:rsidRDefault="00BD1912" w:rsidP="00BD1912">
      <w:pPr>
        <w:widowControl/>
      </w:pPr>
    </w:p>
    <w:p w:rsidR="00BB217F" w:rsidRPr="00DE0340" w:rsidRDefault="00BB217F" w:rsidP="00FD072C">
      <w:pPr>
        <w:pStyle w:val="ListParagraph"/>
        <w:widowControl/>
        <w:numPr>
          <w:ilvl w:val="1"/>
          <w:numId w:val="1"/>
        </w:numPr>
      </w:pPr>
      <w:r w:rsidRPr="00DE0340">
        <w:t>Overall, these results show that disease progression</w:t>
      </w:r>
      <w:r w:rsidR="0012599B">
        <w:t xml:space="preserve"> continues over the 6 year period</w:t>
      </w:r>
      <w:r w:rsidRPr="00DE0340">
        <w:t>, though the resubmission claim</w:t>
      </w:r>
      <w:r w:rsidR="0031201C" w:rsidRPr="00DE0340">
        <w:t>ed</w:t>
      </w:r>
      <w:r w:rsidRPr="00DE0340">
        <w:t xml:space="preserve"> that the rate of disease progression was low. However</w:t>
      </w:r>
      <w:r w:rsidR="008A43F0" w:rsidRPr="00DE0340">
        <w:t>,</w:t>
      </w:r>
      <w:r w:rsidRPr="00DE0340">
        <w:t xml:space="preserve"> without an appropriate comparator this is impossible to verify.  </w:t>
      </w:r>
    </w:p>
    <w:p w:rsidR="00BB217F" w:rsidRPr="00DE0340" w:rsidRDefault="00BB217F" w:rsidP="00FD072C">
      <w:pPr>
        <w:pStyle w:val="ListParagraph"/>
        <w:widowControl/>
        <w:numPr>
          <w:ilvl w:val="1"/>
          <w:numId w:val="1"/>
        </w:numPr>
        <w:spacing w:after="0"/>
      </w:pPr>
      <w:r w:rsidRPr="00DE0340">
        <w:t xml:space="preserve">Overall, based on the CARE-MS extension efficacy data presented in the resubmission, the </w:t>
      </w:r>
      <w:r w:rsidR="004803F4">
        <w:t xml:space="preserve">PBAC considered the </w:t>
      </w:r>
      <w:r w:rsidRPr="00DE0340">
        <w:t>following may be reasonably concluded:</w:t>
      </w:r>
    </w:p>
    <w:p w:rsidR="00BB217F" w:rsidRPr="00DE0340" w:rsidRDefault="00BB217F" w:rsidP="00FD072C">
      <w:pPr>
        <w:pStyle w:val="ListParagraph"/>
        <w:widowControl/>
        <w:numPr>
          <w:ilvl w:val="0"/>
          <w:numId w:val="4"/>
        </w:numPr>
        <w:spacing w:after="0"/>
        <w:ind w:left="1008" w:hanging="288"/>
      </w:pPr>
      <w:r w:rsidRPr="00DE0340">
        <w:t xml:space="preserve">patients will continue to </w:t>
      </w:r>
      <w:r w:rsidR="0012599B">
        <w:t>progress</w:t>
      </w:r>
      <w:r w:rsidR="0012599B" w:rsidRPr="00DE0340">
        <w:t xml:space="preserve"> </w:t>
      </w:r>
      <w:r w:rsidRPr="00DE0340">
        <w:t>over time at a reasonably steady rate;</w:t>
      </w:r>
    </w:p>
    <w:p w:rsidR="00BB217F" w:rsidRPr="00DE0340" w:rsidRDefault="00DD6C2D" w:rsidP="00FD072C">
      <w:pPr>
        <w:pStyle w:val="ListParagraph"/>
        <w:widowControl/>
        <w:numPr>
          <w:ilvl w:val="0"/>
          <w:numId w:val="4"/>
        </w:numPr>
        <w:spacing w:after="0"/>
        <w:ind w:left="1008" w:hanging="288"/>
      </w:pPr>
      <w:r w:rsidRPr="00DE0340">
        <w:t xml:space="preserve">a </w:t>
      </w:r>
      <w:r w:rsidR="0012599B" w:rsidRPr="00057575">
        <w:t xml:space="preserve">significant </w:t>
      </w:r>
      <w:r w:rsidRPr="00DE0340">
        <w:t>proportion of patients</w:t>
      </w:r>
      <w:r w:rsidR="00140D45" w:rsidRPr="00DE0340">
        <w:t xml:space="preserve"> </w:t>
      </w:r>
      <w:r w:rsidR="0012599B" w:rsidRPr="00057575">
        <w:t>(</w:t>
      </w:r>
      <w:r w:rsidR="009D295A">
        <w:rPr>
          <w:noProof/>
          <w:color w:val="000000"/>
          <w:highlight w:val="black"/>
        </w:rPr>
        <w:t>''''''''</w:t>
      </w:r>
      <w:r w:rsidR="0012599B" w:rsidRPr="00271EFE">
        <w:t>%)</w:t>
      </w:r>
      <w:r w:rsidR="0012599B" w:rsidRPr="00271EFE">
        <w:rPr>
          <w:i/>
        </w:rPr>
        <w:t xml:space="preserve"> </w:t>
      </w:r>
      <w:r w:rsidR="00140D45" w:rsidRPr="00271EFE">
        <w:t>would</w:t>
      </w:r>
      <w:r w:rsidRPr="00DE0340">
        <w:t xml:space="preserve"> </w:t>
      </w:r>
      <w:r w:rsidR="00BB217F" w:rsidRPr="00DE0340">
        <w:t>require at least one additional course of alemtuzumab</w:t>
      </w:r>
      <w:r w:rsidR="00FA1B17">
        <w:t xml:space="preserve"> or an alternative DMT</w:t>
      </w:r>
      <w:r w:rsidR="00BB217F" w:rsidRPr="00DE0340">
        <w:t>;</w:t>
      </w:r>
      <w:r w:rsidR="00710A63" w:rsidRPr="00DE0340">
        <w:t xml:space="preserve"> and</w:t>
      </w:r>
    </w:p>
    <w:p w:rsidR="00BB217F" w:rsidRPr="00DE0340" w:rsidRDefault="00BB217F" w:rsidP="00FD072C">
      <w:pPr>
        <w:pStyle w:val="ListParagraph"/>
        <w:widowControl/>
        <w:numPr>
          <w:ilvl w:val="0"/>
          <w:numId w:val="4"/>
        </w:numPr>
        <w:ind w:left="1009" w:hanging="289"/>
      </w:pPr>
      <w:r w:rsidRPr="00DE0340">
        <w:t>older patients who have more severe disease (represented by patients enrolled in CARE-MS II) potentially respond differently to younger patients with less severe disease (represented by patients enrolled in CARE-MS I</w:t>
      </w:r>
      <w:r w:rsidR="00710A63" w:rsidRPr="00DE0340">
        <w:t>)</w:t>
      </w:r>
      <w:r w:rsidRPr="00DE0340">
        <w:t xml:space="preserve">. </w:t>
      </w:r>
    </w:p>
    <w:p w:rsidR="00BB217F" w:rsidRPr="00DE0340" w:rsidRDefault="00BB217F" w:rsidP="00FD072C">
      <w:pPr>
        <w:pStyle w:val="ListParagraph"/>
        <w:widowControl/>
        <w:numPr>
          <w:ilvl w:val="1"/>
          <w:numId w:val="1"/>
        </w:numPr>
        <w:spacing w:after="0"/>
      </w:pPr>
      <w:r w:rsidRPr="00DE0340">
        <w:t>Based on the results presented in the resubmission, the following are still unknown:</w:t>
      </w:r>
    </w:p>
    <w:p w:rsidR="00BB217F" w:rsidRPr="00DE0340" w:rsidRDefault="00BB217F" w:rsidP="00FD072C">
      <w:pPr>
        <w:pStyle w:val="ListParagraph"/>
        <w:widowControl/>
        <w:numPr>
          <w:ilvl w:val="0"/>
          <w:numId w:val="5"/>
        </w:numPr>
        <w:spacing w:after="0"/>
        <w:ind w:left="1008" w:hanging="288"/>
      </w:pPr>
      <w:r w:rsidRPr="00DE0340">
        <w:t xml:space="preserve">the disease progression of patients </w:t>
      </w:r>
      <w:r w:rsidR="0012599B">
        <w:t>without</w:t>
      </w:r>
      <w:r w:rsidRPr="00DE0340">
        <w:t xml:space="preserve"> the third and fourth course of alemtuzumab (i.e. the current PBS</w:t>
      </w:r>
      <w:r w:rsidR="00710A63" w:rsidRPr="00DE0340">
        <w:t>-</w:t>
      </w:r>
      <w:r w:rsidRPr="00DE0340">
        <w:t>subsidised population) and whether the third and fourth courses of alemtuzumab provided any incremental benefit; and</w:t>
      </w:r>
    </w:p>
    <w:p w:rsidR="00BB217F" w:rsidRDefault="00BB217F" w:rsidP="00FD072C">
      <w:pPr>
        <w:pStyle w:val="ListParagraph"/>
        <w:widowControl/>
        <w:numPr>
          <w:ilvl w:val="0"/>
          <w:numId w:val="5"/>
        </w:numPr>
        <w:spacing w:after="120"/>
        <w:ind w:left="1009" w:hanging="289"/>
      </w:pPr>
      <w:r w:rsidRPr="00DE0340">
        <w:t>how the response rate over time for alemtuzumab compares to other medications in the same place of the algorithm (i.e. fingolimod, natalizumab, ocrelizumab</w:t>
      </w:r>
      <w:r w:rsidR="00710A63" w:rsidRPr="00DE0340">
        <w:t xml:space="preserve"> or cladribine</w:t>
      </w:r>
      <w:r w:rsidRPr="00DE0340">
        <w:t>).</w:t>
      </w:r>
    </w:p>
    <w:p w:rsidR="00B517DE" w:rsidRPr="00057575" w:rsidRDefault="00B517DE" w:rsidP="00B517DE">
      <w:pPr>
        <w:pStyle w:val="ListParagraph"/>
        <w:widowControl/>
        <w:spacing w:after="120"/>
        <w:ind w:left="1009"/>
      </w:pPr>
      <w:r w:rsidRPr="00057575">
        <w:t xml:space="preserve">The ESC considered </w:t>
      </w:r>
      <w:r w:rsidR="005A3BA3" w:rsidRPr="00057575">
        <w:t>that</w:t>
      </w:r>
      <w:r w:rsidR="00437D5D" w:rsidRPr="00057575">
        <w:t xml:space="preserve"> comparative data against either two courses of alemtuzumab or other DMTs</w:t>
      </w:r>
      <w:r w:rsidR="00B75B3D" w:rsidRPr="00057575">
        <w:t xml:space="preserve"> to support </w:t>
      </w:r>
      <w:r w:rsidR="004D28B5" w:rsidRPr="00057575">
        <w:t>the claimed durability of benefit</w:t>
      </w:r>
      <w:r w:rsidR="005C054A" w:rsidRPr="00057575">
        <w:t xml:space="preserve"> </w:t>
      </w:r>
      <w:r w:rsidR="00B75B3D" w:rsidRPr="00057575">
        <w:t>with</w:t>
      </w:r>
      <w:r w:rsidR="005C054A" w:rsidRPr="00057575">
        <w:t xml:space="preserve"> up to</w:t>
      </w:r>
      <w:r w:rsidR="00B75B3D" w:rsidRPr="00057575">
        <w:t xml:space="preserve"> two additional courses of alemtuzumab</w:t>
      </w:r>
      <w:r w:rsidR="005A3BA3" w:rsidRPr="00057575">
        <w:t xml:space="preserve"> would </w:t>
      </w:r>
      <w:r w:rsidR="00C871B9" w:rsidRPr="00057575">
        <w:t>be</w:t>
      </w:r>
      <w:r w:rsidR="005A3BA3" w:rsidRPr="00057575">
        <w:t xml:space="preserve"> informative</w:t>
      </w:r>
      <w:r w:rsidR="00B75B3D" w:rsidRPr="00057575">
        <w:t>.</w:t>
      </w:r>
      <w:r w:rsidR="00437D5D" w:rsidRPr="00057575">
        <w:t xml:space="preserve"> </w:t>
      </w:r>
      <w:r w:rsidR="00C871B9" w:rsidRPr="00057575">
        <w:t>Without this,</w:t>
      </w:r>
      <w:r w:rsidR="00B75B3D" w:rsidRPr="00057575">
        <w:t xml:space="preserve"> the response rate for alemtuzumab over time compared to other DMTs</w:t>
      </w:r>
      <w:r w:rsidR="005C054A" w:rsidRPr="00057575">
        <w:t xml:space="preserve"> and the progression of patients who would not have received any additional courses of </w:t>
      </w:r>
      <w:r w:rsidR="004D28B5" w:rsidRPr="00057575">
        <w:t>alemtuzumab beyond</w:t>
      </w:r>
      <w:r w:rsidR="00F02CFC" w:rsidRPr="00057575">
        <w:t xml:space="preserve"> the initial two doses </w:t>
      </w:r>
      <w:r w:rsidR="005C054A" w:rsidRPr="00057575">
        <w:t xml:space="preserve">are unknown. </w:t>
      </w:r>
    </w:p>
    <w:p w:rsidR="00BB217F" w:rsidRPr="00DE0340" w:rsidRDefault="00BB217F" w:rsidP="00FD072C">
      <w:pPr>
        <w:pStyle w:val="ListParagraph"/>
        <w:widowControl/>
        <w:numPr>
          <w:ilvl w:val="1"/>
          <w:numId w:val="1"/>
        </w:numPr>
      </w:pPr>
      <w:r w:rsidRPr="00DE0340">
        <w:t>Kalincik et al 2017</w:t>
      </w:r>
      <w:r w:rsidR="008A43F0" w:rsidRPr="00DE0340">
        <w:t xml:space="preserve">, identified during the evaluation, </w:t>
      </w:r>
      <w:r w:rsidRPr="00DE0340">
        <w:t xml:space="preserve">reported results from an international cohort study (21 countries, including Australia) using longitudinal data from propensity-matched patients with RRMS. Patients must have been treated with one of alemtuzumab (n=189), interferon beta (n=2155), fingolimod (n=828) or </w:t>
      </w:r>
      <w:r w:rsidRPr="00DE0340">
        <w:lastRenderedPageBreak/>
        <w:t>nat</w:t>
      </w:r>
      <w:r w:rsidR="008A43F0" w:rsidRPr="00DE0340">
        <w:t>al</w:t>
      </w:r>
      <w:r w:rsidRPr="00DE0340">
        <w:t xml:space="preserve">izumab (n=1160), aged 65 years or younger with EDSS score of 6.5 or lower. The results from Kalincik et al 2017 are summarised in </w:t>
      </w:r>
      <w:r w:rsidR="00A94F25" w:rsidRPr="00A94F25">
        <w:t>Table 11</w:t>
      </w:r>
      <w:r w:rsidR="001707F5" w:rsidRPr="00DE0340">
        <w:t xml:space="preserve">. </w:t>
      </w:r>
      <w:r w:rsidRPr="00DE0340">
        <w:t>The number of patients treated with alemtuzumab differed in each comparison as patients were matched based on a propensity score calculated via a multivariate logistic regression including sex, age, time from first multiple sclerosis symptom, EDSS, number of relapses in the previous 12 months, number of previous courses of treatment for multiple sclerosis, and the most effective previous treatment for multiple sclerosis as variables.</w:t>
      </w:r>
      <w:r w:rsidR="001707F5" w:rsidRPr="00DE0340">
        <w:t xml:space="preserve"> </w:t>
      </w:r>
    </w:p>
    <w:p w:rsidR="00BB217F" w:rsidRPr="00BD751C" w:rsidRDefault="00BB217F" w:rsidP="00FD072C">
      <w:pPr>
        <w:keepNext/>
        <w:rPr>
          <w:rFonts w:ascii="Arial Narrow" w:hAnsi="Arial Narrow"/>
          <w:b/>
          <w:sz w:val="20"/>
          <w:szCs w:val="20"/>
        </w:rPr>
      </w:pPr>
      <w:bookmarkStart w:id="17" w:name="_Ref523871678"/>
      <w:r w:rsidRPr="00BB217F">
        <w:rPr>
          <w:rFonts w:ascii="Arial Narrow" w:hAnsi="Arial Narrow"/>
          <w:b/>
          <w:sz w:val="20"/>
          <w:szCs w:val="20"/>
        </w:rPr>
        <w:t xml:space="preserve">Table </w:t>
      </w:r>
      <w:r w:rsidR="00A94F25">
        <w:rPr>
          <w:rFonts w:ascii="Arial Narrow" w:hAnsi="Arial Narrow"/>
          <w:b/>
          <w:noProof/>
          <w:sz w:val="20"/>
          <w:szCs w:val="20"/>
        </w:rPr>
        <w:t>11</w:t>
      </w:r>
      <w:bookmarkEnd w:id="17"/>
      <w:r>
        <w:rPr>
          <w:rFonts w:ascii="Arial Narrow" w:hAnsi="Arial Narrow"/>
          <w:b/>
          <w:sz w:val="20"/>
          <w:szCs w:val="20"/>
        </w:rPr>
        <w:t>:</w:t>
      </w:r>
      <w:r w:rsidRPr="00BD751C">
        <w:rPr>
          <w:rFonts w:ascii="Arial Narrow" w:hAnsi="Arial Narrow"/>
          <w:b/>
          <w:sz w:val="20"/>
          <w:szCs w:val="20"/>
        </w:rPr>
        <w:t xml:space="preserve"> </w:t>
      </w:r>
      <w:r>
        <w:rPr>
          <w:rFonts w:ascii="Arial Narrow" w:hAnsi="Arial Narrow"/>
          <w:b/>
          <w:sz w:val="20"/>
          <w:szCs w:val="20"/>
        </w:rPr>
        <w:t>S</w:t>
      </w:r>
      <w:r w:rsidRPr="00BD751C">
        <w:rPr>
          <w:rFonts w:ascii="Arial Narrow" w:hAnsi="Arial Narrow"/>
          <w:b/>
          <w:sz w:val="20"/>
          <w:szCs w:val="20"/>
        </w:rPr>
        <w:t>ummary of results from Kalincik et al 2017</w:t>
      </w:r>
    </w:p>
    <w:tbl>
      <w:tblPr>
        <w:tblStyle w:val="TableGrid"/>
        <w:tblW w:w="0" w:type="auto"/>
        <w:tblCellMar>
          <w:left w:w="28" w:type="dxa"/>
          <w:right w:w="28" w:type="dxa"/>
        </w:tblCellMar>
        <w:tblLook w:val="04A0" w:firstRow="1" w:lastRow="0" w:firstColumn="1" w:lastColumn="0" w:noHBand="0" w:noVBand="1"/>
        <w:tblCaption w:val="Summary of results from Kalincik et al 2017"/>
      </w:tblPr>
      <w:tblGrid>
        <w:gridCol w:w="5098"/>
        <w:gridCol w:w="1418"/>
        <w:gridCol w:w="1276"/>
        <w:gridCol w:w="1224"/>
      </w:tblGrid>
      <w:tr w:rsidR="00BB217F" w:rsidRPr="00DF3DBE" w:rsidTr="006934BF">
        <w:trPr>
          <w:tblHeader/>
        </w:trPr>
        <w:tc>
          <w:tcPr>
            <w:tcW w:w="5098" w:type="dxa"/>
            <w:shd w:val="clear" w:color="auto" w:fill="auto"/>
            <w:vAlign w:val="center"/>
          </w:tcPr>
          <w:p w:rsidR="00BB217F" w:rsidRPr="00DE0340" w:rsidRDefault="00BB217F" w:rsidP="00FD072C">
            <w:pPr>
              <w:keepNext/>
              <w:spacing w:before="40" w:after="40"/>
              <w:jc w:val="left"/>
              <w:rPr>
                <w:rFonts w:ascii="Arial Narrow" w:hAnsi="Arial Narrow"/>
                <w:b/>
                <w:sz w:val="20"/>
                <w:szCs w:val="20"/>
              </w:rPr>
            </w:pPr>
            <w:r w:rsidRPr="00DE0340">
              <w:rPr>
                <w:rFonts w:ascii="Arial Narrow" w:hAnsi="Arial Narrow"/>
                <w:b/>
                <w:sz w:val="20"/>
                <w:szCs w:val="20"/>
              </w:rPr>
              <w:t>Comparison</w:t>
            </w:r>
          </w:p>
        </w:tc>
        <w:tc>
          <w:tcPr>
            <w:tcW w:w="1418" w:type="dxa"/>
            <w:shd w:val="clear" w:color="auto" w:fill="auto"/>
            <w:vAlign w:val="center"/>
          </w:tcPr>
          <w:p w:rsidR="00BB217F" w:rsidRPr="00DE0340" w:rsidRDefault="00BB217F" w:rsidP="00FD072C">
            <w:pPr>
              <w:keepNext/>
              <w:spacing w:before="40" w:after="40"/>
              <w:jc w:val="center"/>
              <w:rPr>
                <w:rFonts w:ascii="Arial Narrow" w:hAnsi="Arial Narrow"/>
                <w:b/>
                <w:sz w:val="20"/>
                <w:szCs w:val="20"/>
              </w:rPr>
            </w:pPr>
            <w:r w:rsidRPr="00DE0340">
              <w:rPr>
                <w:rFonts w:ascii="Arial Narrow" w:hAnsi="Arial Narrow"/>
                <w:b/>
                <w:sz w:val="20"/>
                <w:szCs w:val="20"/>
              </w:rPr>
              <w:t>Alemtuzumab</w:t>
            </w:r>
          </w:p>
        </w:tc>
        <w:tc>
          <w:tcPr>
            <w:tcW w:w="1276" w:type="dxa"/>
            <w:shd w:val="clear" w:color="auto" w:fill="auto"/>
            <w:vAlign w:val="center"/>
          </w:tcPr>
          <w:p w:rsidR="00BB217F" w:rsidRPr="00DE0340" w:rsidRDefault="00BB217F" w:rsidP="00FD072C">
            <w:pPr>
              <w:keepNext/>
              <w:spacing w:before="40" w:after="40"/>
              <w:jc w:val="center"/>
              <w:rPr>
                <w:rFonts w:ascii="Arial Narrow" w:hAnsi="Arial Narrow"/>
                <w:b/>
                <w:sz w:val="20"/>
                <w:szCs w:val="20"/>
              </w:rPr>
            </w:pPr>
            <w:r w:rsidRPr="00DE0340">
              <w:rPr>
                <w:rFonts w:ascii="Arial Narrow" w:hAnsi="Arial Narrow"/>
                <w:b/>
                <w:sz w:val="20"/>
                <w:szCs w:val="20"/>
              </w:rPr>
              <w:t>Comparator</w:t>
            </w:r>
          </w:p>
        </w:tc>
        <w:tc>
          <w:tcPr>
            <w:tcW w:w="1224" w:type="dxa"/>
            <w:shd w:val="clear" w:color="auto" w:fill="auto"/>
            <w:vAlign w:val="center"/>
          </w:tcPr>
          <w:p w:rsidR="00BB217F" w:rsidRPr="00DE0340" w:rsidRDefault="00BB217F" w:rsidP="00FD072C">
            <w:pPr>
              <w:keepNext/>
              <w:spacing w:before="40" w:after="40"/>
              <w:jc w:val="center"/>
              <w:rPr>
                <w:rFonts w:ascii="Arial Narrow" w:hAnsi="Arial Narrow"/>
                <w:b/>
                <w:sz w:val="20"/>
                <w:szCs w:val="20"/>
              </w:rPr>
            </w:pPr>
            <w:r w:rsidRPr="00DE0340">
              <w:rPr>
                <w:rFonts w:ascii="Arial Narrow" w:hAnsi="Arial Narrow"/>
                <w:b/>
                <w:sz w:val="20"/>
                <w:szCs w:val="20"/>
              </w:rPr>
              <w:t>Comparative statistics</w:t>
            </w:r>
          </w:p>
        </w:tc>
      </w:tr>
      <w:tr w:rsidR="00BB217F" w:rsidRPr="00DF3DBE" w:rsidTr="005549E8">
        <w:tc>
          <w:tcPr>
            <w:tcW w:w="9016" w:type="dxa"/>
            <w:gridSpan w:val="4"/>
            <w:shd w:val="clear" w:color="auto" w:fill="auto"/>
          </w:tcPr>
          <w:p w:rsidR="00BB217F" w:rsidRPr="00DE0340" w:rsidRDefault="00BB217F" w:rsidP="00FD072C">
            <w:pPr>
              <w:keepNext/>
              <w:spacing w:before="40" w:after="40"/>
              <w:jc w:val="left"/>
              <w:rPr>
                <w:rFonts w:ascii="Arial Narrow" w:hAnsi="Arial Narrow"/>
                <w:b/>
                <w:sz w:val="20"/>
                <w:szCs w:val="20"/>
              </w:rPr>
            </w:pPr>
            <w:r w:rsidRPr="00DE0340">
              <w:rPr>
                <w:rFonts w:ascii="Arial Narrow" w:hAnsi="Arial Narrow"/>
                <w:b/>
                <w:sz w:val="20"/>
                <w:szCs w:val="20"/>
              </w:rPr>
              <w:t>Overall annualised relapse rate</w:t>
            </w:r>
          </w:p>
        </w:tc>
      </w:tr>
      <w:tr w:rsidR="00BB217F" w:rsidRPr="00DF3DBE" w:rsidTr="005549E8">
        <w:tc>
          <w:tcPr>
            <w:tcW w:w="5098" w:type="dxa"/>
            <w:shd w:val="clear" w:color="auto" w:fill="auto"/>
          </w:tcPr>
          <w:p w:rsidR="00BB217F" w:rsidRPr="00DE0340" w:rsidRDefault="00BB217F" w:rsidP="00FD072C">
            <w:pPr>
              <w:keepNext/>
              <w:spacing w:before="40" w:after="40"/>
              <w:jc w:val="left"/>
              <w:rPr>
                <w:rFonts w:ascii="Arial Narrow" w:hAnsi="Arial Narrow"/>
                <w:sz w:val="20"/>
                <w:szCs w:val="20"/>
              </w:rPr>
            </w:pPr>
            <w:r w:rsidRPr="00DE0340">
              <w:rPr>
                <w:rFonts w:ascii="Arial Narrow" w:hAnsi="Arial Narrow"/>
                <w:sz w:val="20"/>
                <w:szCs w:val="20"/>
              </w:rPr>
              <w:t>Alemtuzumab (n=156) vs interferon beta (n=282) (mean, over 5 yrs)</w:t>
            </w:r>
          </w:p>
        </w:tc>
        <w:tc>
          <w:tcPr>
            <w:tcW w:w="1418" w:type="dxa"/>
            <w:shd w:val="clear" w:color="auto" w:fill="auto"/>
          </w:tcPr>
          <w:p w:rsidR="00BB217F" w:rsidRPr="00DE0340" w:rsidRDefault="00BB217F" w:rsidP="00FD072C">
            <w:pPr>
              <w:keepNext/>
              <w:spacing w:before="40" w:after="40"/>
              <w:jc w:val="center"/>
              <w:rPr>
                <w:rFonts w:ascii="Arial Narrow" w:hAnsi="Arial Narrow"/>
                <w:b/>
                <w:sz w:val="20"/>
                <w:szCs w:val="20"/>
              </w:rPr>
            </w:pPr>
            <w:r w:rsidRPr="00DE0340">
              <w:rPr>
                <w:rFonts w:ascii="Arial Narrow" w:hAnsi="Arial Narrow"/>
                <w:b/>
                <w:sz w:val="20"/>
                <w:szCs w:val="20"/>
              </w:rPr>
              <w:t>0.19 (0.14, 0.23)</w:t>
            </w:r>
          </w:p>
        </w:tc>
        <w:tc>
          <w:tcPr>
            <w:tcW w:w="1276" w:type="dxa"/>
            <w:shd w:val="clear" w:color="auto" w:fill="auto"/>
          </w:tcPr>
          <w:p w:rsidR="00BB217F" w:rsidRPr="00DE0340" w:rsidRDefault="00BB217F" w:rsidP="00FD072C">
            <w:pPr>
              <w:keepNext/>
              <w:spacing w:before="40" w:after="40"/>
              <w:jc w:val="center"/>
              <w:rPr>
                <w:rFonts w:ascii="Arial Narrow" w:hAnsi="Arial Narrow"/>
                <w:b/>
                <w:sz w:val="20"/>
                <w:szCs w:val="20"/>
              </w:rPr>
            </w:pPr>
            <w:r w:rsidRPr="00DE0340">
              <w:rPr>
                <w:rFonts w:ascii="Arial Narrow" w:hAnsi="Arial Narrow"/>
                <w:b/>
                <w:sz w:val="20"/>
                <w:szCs w:val="20"/>
              </w:rPr>
              <w:t>0.53 (0.46, 0.61)</w:t>
            </w:r>
          </w:p>
        </w:tc>
        <w:tc>
          <w:tcPr>
            <w:tcW w:w="1224" w:type="dxa"/>
            <w:shd w:val="clear" w:color="auto" w:fill="auto"/>
          </w:tcPr>
          <w:p w:rsidR="00BB217F" w:rsidRPr="00DE0340" w:rsidRDefault="00856134" w:rsidP="00FD072C">
            <w:pPr>
              <w:keepNext/>
              <w:spacing w:before="40" w:after="40"/>
              <w:jc w:val="center"/>
              <w:rPr>
                <w:rFonts w:ascii="Arial Narrow" w:hAnsi="Arial Narrow"/>
                <w:b/>
                <w:sz w:val="20"/>
                <w:szCs w:val="20"/>
              </w:rPr>
            </w:pPr>
            <w:r w:rsidRPr="00DE0340">
              <w:rPr>
                <w:rFonts w:ascii="Arial Narrow" w:hAnsi="Arial Narrow"/>
                <w:b/>
                <w:sz w:val="20"/>
                <w:szCs w:val="20"/>
              </w:rPr>
              <w:t>p&lt;</w:t>
            </w:r>
            <w:r w:rsidR="00BB217F" w:rsidRPr="00DE0340">
              <w:rPr>
                <w:rFonts w:ascii="Arial Narrow" w:hAnsi="Arial Narrow"/>
                <w:b/>
                <w:sz w:val="20"/>
                <w:szCs w:val="20"/>
              </w:rPr>
              <w:t>0.0001</w:t>
            </w:r>
          </w:p>
        </w:tc>
      </w:tr>
      <w:tr w:rsidR="00BB217F" w:rsidRPr="00DF3DBE" w:rsidTr="005549E8">
        <w:tc>
          <w:tcPr>
            <w:tcW w:w="5098" w:type="dxa"/>
            <w:shd w:val="clear" w:color="auto" w:fill="auto"/>
          </w:tcPr>
          <w:p w:rsidR="00BB217F" w:rsidRPr="00DE0340" w:rsidRDefault="00BB217F" w:rsidP="00FD072C">
            <w:pPr>
              <w:keepNext/>
              <w:spacing w:before="40" w:after="40"/>
              <w:jc w:val="left"/>
              <w:rPr>
                <w:rFonts w:ascii="Arial Narrow" w:hAnsi="Arial Narrow"/>
                <w:sz w:val="20"/>
                <w:szCs w:val="20"/>
              </w:rPr>
            </w:pPr>
            <w:r w:rsidRPr="00DE0340">
              <w:rPr>
                <w:rFonts w:ascii="Arial Narrow" w:hAnsi="Arial Narrow"/>
                <w:sz w:val="20"/>
                <w:szCs w:val="20"/>
              </w:rPr>
              <w:t>Alemtuzumab (n=114) vs fingolimod (n=195) (mean, over 3 yrs)</w:t>
            </w:r>
          </w:p>
        </w:tc>
        <w:tc>
          <w:tcPr>
            <w:tcW w:w="1418" w:type="dxa"/>
            <w:shd w:val="clear" w:color="auto" w:fill="auto"/>
          </w:tcPr>
          <w:p w:rsidR="00BB217F" w:rsidRPr="00DE0340" w:rsidRDefault="00BB217F" w:rsidP="00FD072C">
            <w:pPr>
              <w:keepNext/>
              <w:spacing w:before="40" w:after="40"/>
              <w:jc w:val="center"/>
              <w:rPr>
                <w:rFonts w:ascii="Arial Narrow" w:hAnsi="Arial Narrow"/>
                <w:b/>
                <w:sz w:val="20"/>
                <w:szCs w:val="20"/>
              </w:rPr>
            </w:pPr>
            <w:r w:rsidRPr="00DE0340">
              <w:rPr>
                <w:rFonts w:ascii="Arial Narrow" w:hAnsi="Arial Narrow"/>
                <w:b/>
                <w:sz w:val="20"/>
                <w:szCs w:val="20"/>
              </w:rPr>
              <w:t>0.15 (0.10, 0.20)</w:t>
            </w:r>
          </w:p>
        </w:tc>
        <w:tc>
          <w:tcPr>
            <w:tcW w:w="1276" w:type="dxa"/>
            <w:shd w:val="clear" w:color="auto" w:fill="auto"/>
          </w:tcPr>
          <w:p w:rsidR="00BB217F" w:rsidRPr="00DE0340" w:rsidRDefault="00BB217F" w:rsidP="00FD072C">
            <w:pPr>
              <w:keepNext/>
              <w:spacing w:before="40" w:after="40"/>
              <w:jc w:val="center"/>
              <w:rPr>
                <w:rFonts w:ascii="Arial Narrow" w:hAnsi="Arial Narrow"/>
                <w:b/>
                <w:sz w:val="20"/>
                <w:szCs w:val="20"/>
              </w:rPr>
            </w:pPr>
            <w:r w:rsidRPr="00DE0340">
              <w:rPr>
                <w:rFonts w:ascii="Arial Narrow" w:hAnsi="Arial Narrow"/>
                <w:b/>
                <w:sz w:val="20"/>
                <w:szCs w:val="20"/>
              </w:rPr>
              <w:t>0.34 (0.26,0.41)</w:t>
            </w:r>
          </w:p>
        </w:tc>
        <w:tc>
          <w:tcPr>
            <w:tcW w:w="1224" w:type="dxa"/>
            <w:shd w:val="clear" w:color="auto" w:fill="auto"/>
          </w:tcPr>
          <w:p w:rsidR="00BB217F" w:rsidRPr="00DE0340" w:rsidRDefault="00BB217F" w:rsidP="00FD072C">
            <w:pPr>
              <w:keepNext/>
              <w:spacing w:before="40" w:after="40"/>
              <w:jc w:val="center"/>
              <w:rPr>
                <w:rFonts w:ascii="Arial Narrow" w:hAnsi="Arial Narrow"/>
                <w:b/>
                <w:sz w:val="20"/>
                <w:szCs w:val="20"/>
              </w:rPr>
            </w:pPr>
            <w:r w:rsidRPr="00DE0340">
              <w:rPr>
                <w:rFonts w:ascii="Arial Narrow" w:hAnsi="Arial Narrow"/>
                <w:b/>
                <w:sz w:val="20"/>
                <w:szCs w:val="20"/>
              </w:rPr>
              <w:t>p&lt;0.0001</w:t>
            </w:r>
          </w:p>
        </w:tc>
      </w:tr>
      <w:tr w:rsidR="00BB217F" w:rsidRPr="00DF3DBE" w:rsidTr="005549E8">
        <w:tc>
          <w:tcPr>
            <w:tcW w:w="5098" w:type="dxa"/>
            <w:shd w:val="clear" w:color="auto" w:fill="auto"/>
          </w:tcPr>
          <w:p w:rsidR="00BB217F" w:rsidRPr="00DE0340" w:rsidRDefault="00BB217F" w:rsidP="00FD072C">
            <w:pPr>
              <w:keepNext/>
              <w:spacing w:before="40" w:after="40"/>
              <w:jc w:val="left"/>
              <w:rPr>
                <w:rFonts w:ascii="Arial Narrow" w:hAnsi="Arial Narrow"/>
                <w:sz w:val="20"/>
                <w:szCs w:val="20"/>
              </w:rPr>
            </w:pPr>
            <w:r w:rsidRPr="00DE0340">
              <w:rPr>
                <w:rFonts w:ascii="Arial Narrow" w:hAnsi="Arial Narrow"/>
                <w:sz w:val="20"/>
                <w:szCs w:val="20"/>
              </w:rPr>
              <w:t>Alemtuzumab (n=138) vs natalizumab (n=223) (mean, over 4 yrs)</w:t>
            </w:r>
          </w:p>
        </w:tc>
        <w:tc>
          <w:tcPr>
            <w:tcW w:w="1418" w:type="dxa"/>
            <w:shd w:val="clear" w:color="auto" w:fill="auto"/>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0.20 (0.14, 0.26)</w:t>
            </w:r>
          </w:p>
        </w:tc>
        <w:tc>
          <w:tcPr>
            <w:tcW w:w="1276" w:type="dxa"/>
            <w:shd w:val="clear" w:color="auto" w:fill="auto"/>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0.19 (0.15, 0.23)</w:t>
            </w:r>
          </w:p>
        </w:tc>
        <w:tc>
          <w:tcPr>
            <w:tcW w:w="1224" w:type="dxa"/>
            <w:shd w:val="clear" w:color="auto" w:fill="auto"/>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p=0.78</w:t>
            </w:r>
          </w:p>
        </w:tc>
      </w:tr>
      <w:tr w:rsidR="00BB217F" w:rsidRPr="00DF3DBE" w:rsidTr="005549E8">
        <w:tc>
          <w:tcPr>
            <w:tcW w:w="9016" w:type="dxa"/>
            <w:gridSpan w:val="4"/>
            <w:shd w:val="clear" w:color="auto" w:fill="auto"/>
          </w:tcPr>
          <w:p w:rsidR="00BB217F" w:rsidRPr="00DE0340" w:rsidRDefault="00BB217F" w:rsidP="00FD072C">
            <w:pPr>
              <w:keepNext/>
              <w:spacing w:before="40" w:after="40"/>
              <w:jc w:val="left"/>
              <w:rPr>
                <w:rFonts w:ascii="Arial Narrow" w:hAnsi="Arial Narrow"/>
                <w:b/>
                <w:sz w:val="20"/>
                <w:szCs w:val="20"/>
              </w:rPr>
            </w:pPr>
            <w:r w:rsidRPr="00DE0340">
              <w:rPr>
                <w:rFonts w:ascii="Arial Narrow" w:hAnsi="Arial Narrow"/>
                <w:b/>
                <w:sz w:val="20"/>
                <w:szCs w:val="20"/>
              </w:rPr>
              <w:t>Probability of remaining free from relapse</w:t>
            </w:r>
          </w:p>
        </w:tc>
      </w:tr>
      <w:tr w:rsidR="00BB217F" w:rsidRPr="00DF3DBE" w:rsidTr="00710A63">
        <w:tc>
          <w:tcPr>
            <w:tcW w:w="5098" w:type="dxa"/>
            <w:shd w:val="clear" w:color="auto" w:fill="auto"/>
            <w:vAlign w:val="center"/>
          </w:tcPr>
          <w:p w:rsidR="00BB217F" w:rsidRPr="00DE0340" w:rsidRDefault="00BB217F" w:rsidP="00FD072C">
            <w:pPr>
              <w:keepNext/>
              <w:spacing w:before="40" w:after="40"/>
              <w:jc w:val="left"/>
              <w:rPr>
                <w:rFonts w:ascii="Arial Narrow" w:hAnsi="Arial Narrow"/>
                <w:sz w:val="20"/>
                <w:szCs w:val="20"/>
              </w:rPr>
            </w:pPr>
            <w:r w:rsidRPr="00DE0340">
              <w:rPr>
                <w:rFonts w:ascii="Arial Narrow" w:hAnsi="Arial Narrow"/>
                <w:sz w:val="20"/>
                <w:szCs w:val="20"/>
              </w:rPr>
              <w:t xml:space="preserve">Alemtuzumab vs interferon beta </w:t>
            </w:r>
          </w:p>
        </w:tc>
        <w:tc>
          <w:tcPr>
            <w:tcW w:w="1418" w:type="dxa"/>
            <w:shd w:val="clear" w:color="auto" w:fill="auto"/>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2 years: 80%</w:t>
            </w:r>
          </w:p>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5 years: 74%</w:t>
            </w:r>
          </w:p>
        </w:tc>
        <w:tc>
          <w:tcPr>
            <w:tcW w:w="1276" w:type="dxa"/>
            <w:shd w:val="clear" w:color="auto" w:fill="auto"/>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2 years: 40%</w:t>
            </w:r>
          </w:p>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5 years: 31%</w:t>
            </w:r>
          </w:p>
        </w:tc>
        <w:tc>
          <w:tcPr>
            <w:tcW w:w="1224" w:type="dxa"/>
            <w:shd w:val="clear" w:color="auto" w:fill="auto"/>
            <w:vAlign w:val="center"/>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NR</w:t>
            </w:r>
            <w:r w:rsidRPr="00DE0340">
              <w:rPr>
                <w:rFonts w:ascii="Arial Narrow" w:hAnsi="Arial Narrow"/>
                <w:sz w:val="20"/>
                <w:szCs w:val="20"/>
                <w:vertAlign w:val="superscript"/>
              </w:rPr>
              <w:t>a</w:t>
            </w:r>
          </w:p>
        </w:tc>
      </w:tr>
      <w:tr w:rsidR="00BB217F" w:rsidRPr="00DF3DBE" w:rsidTr="00710A63">
        <w:tc>
          <w:tcPr>
            <w:tcW w:w="5098" w:type="dxa"/>
            <w:shd w:val="clear" w:color="auto" w:fill="auto"/>
            <w:vAlign w:val="center"/>
          </w:tcPr>
          <w:p w:rsidR="00BB217F" w:rsidRPr="00DE0340" w:rsidRDefault="00BB217F" w:rsidP="00FD072C">
            <w:pPr>
              <w:keepNext/>
              <w:spacing w:before="40" w:after="40"/>
              <w:jc w:val="left"/>
              <w:rPr>
                <w:rFonts w:ascii="Arial Narrow" w:hAnsi="Arial Narrow"/>
                <w:sz w:val="20"/>
                <w:szCs w:val="20"/>
              </w:rPr>
            </w:pPr>
            <w:r w:rsidRPr="00DE0340">
              <w:rPr>
                <w:rFonts w:ascii="Arial Narrow" w:hAnsi="Arial Narrow"/>
                <w:sz w:val="20"/>
                <w:szCs w:val="20"/>
              </w:rPr>
              <w:t xml:space="preserve">Alemtuzumab vs fingolimod </w:t>
            </w:r>
          </w:p>
        </w:tc>
        <w:tc>
          <w:tcPr>
            <w:tcW w:w="1418" w:type="dxa"/>
            <w:shd w:val="clear" w:color="auto" w:fill="auto"/>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2 years: 82%</w:t>
            </w:r>
          </w:p>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3 years: 81%</w:t>
            </w:r>
          </w:p>
        </w:tc>
        <w:tc>
          <w:tcPr>
            <w:tcW w:w="1276" w:type="dxa"/>
            <w:shd w:val="clear" w:color="auto" w:fill="auto"/>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2 years: 67%</w:t>
            </w:r>
          </w:p>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3 years: 65%</w:t>
            </w:r>
          </w:p>
        </w:tc>
        <w:tc>
          <w:tcPr>
            <w:tcW w:w="1224" w:type="dxa"/>
            <w:shd w:val="clear" w:color="auto" w:fill="auto"/>
            <w:vAlign w:val="center"/>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p=0.59</w:t>
            </w:r>
            <w:r w:rsidRPr="00DE0340">
              <w:rPr>
                <w:rFonts w:ascii="Arial Narrow" w:hAnsi="Arial Narrow"/>
                <w:sz w:val="20"/>
                <w:szCs w:val="20"/>
                <w:vertAlign w:val="superscript"/>
              </w:rPr>
              <w:t>a</w:t>
            </w:r>
          </w:p>
        </w:tc>
      </w:tr>
      <w:tr w:rsidR="00BB217F" w:rsidRPr="00DF3DBE" w:rsidTr="00710A63">
        <w:tc>
          <w:tcPr>
            <w:tcW w:w="5098" w:type="dxa"/>
            <w:shd w:val="clear" w:color="auto" w:fill="auto"/>
            <w:vAlign w:val="center"/>
          </w:tcPr>
          <w:p w:rsidR="00BB217F" w:rsidRPr="00DE0340" w:rsidRDefault="00BB217F" w:rsidP="00FD072C">
            <w:pPr>
              <w:keepNext/>
              <w:spacing w:before="40" w:after="40"/>
              <w:jc w:val="left"/>
              <w:rPr>
                <w:rFonts w:ascii="Arial Narrow" w:hAnsi="Arial Narrow"/>
                <w:sz w:val="20"/>
                <w:szCs w:val="20"/>
              </w:rPr>
            </w:pPr>
            <w:r w:rsidRPr="00DE0340">
              <w:rPr>
                <w:rFonts w:ascii="Arial Narrow" w:hAnsi="Arial Narrow"/>
                <w:sz w:val="20"/>
                <w:szCs w:val="20"/>
              </w:rPr>
              <w:t xml:space="preserve">Alemtuzumab vs natalizumab </w:t>
            </w:r>
          </w:p>
        </w:tc>
        <w:tc>
          <w:tcPr>
            <w:tcW w:w="1418" w:type="dxa"/>
            <w:shd w:val="clear" w:color="auto" w:fill="auto"/>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2 years: 81%</w:t>
            </w:r>
          </w:p>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4 years: 78%</w:t>
            </w:r>
          </w:p>
        </w:tc>
        <w:tc>
          <w:tcPr>
            <w:tcW w:w="1276" w:type="dxa"/>
            <w:shd w:val="clear" w:color="auto" w:fill="auto"/>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2 years: 78%</w:t>
            </w:r>
          </w:p>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4 years: 70%</w:t>
            </w:r>
          </w:p>
        </w:tc>
        <w:tc>
          <w:tcPr>
            <w:tcW w:w="1224" w:type="dxa"/>
            <w:shd w:val="clear" w:color="auto" w:fill="auto"/>
            <w:vAlign w:val="center"/>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p=0.65</w:t>
            </w:r>
            <w:r w:rsidRPr="00DE0340">
              <w:rPr>
                <w:rFonts w:ascii="Arial Narrow" w:hAnsi="Arial Narrow"/>
                <w:sz w:val="20"/>
                <w:szCs w:val="20"/>
                <w:vertAlign w:val="superscript"/>
              </w:rPr>
              <w:t>a</w:t>
            </w:r>
          </w:p>
        </w:tc>
      </w:tr>
      <w:tr w:rsidR="00BB217F" w:rsidRPr="00DF3DBE" w:rsidTr="005549E8">
        <w:tc>
          <w:tcPr>
            <w:tcW w:w="9016" w:type="dxa"/>
            <w:gridSpan w:val="4"/>
            <w:shd w:val="clear" w:color="auto" w:fill="auto"/>
          </w:tcPr>
          <w:p w:rsidR="00BB217F" w:rsidRPr="00DE0340" w:rsidRDefault="00BB217F" w:rsidP="00FD072C">
            <w:pPr>
              <w:keepNext/>
              <w:spacing w:before="40" w:after="40"/>
              <w:jc w:val="left"/>
              <w:rPr>
                <w:rFonts w:ascii="Arial Narrow" w:hAnsi="Arial Narrow"/>
                <w:b/>
                <w:sz w:val="20"/>
                <w:szCs w:val="20"/>
              </w:rPr>
            </w:pPr>
            <w:r w:rsidRPr="00DE0340">
              <w:rPr>
                <w:rFonts w:ascii="Arial Narrow" w:hAnsi="Arial Narrow"/>
                <w:b/>
                <w:sz w:val="20"/>
                <w:szCs w:val="20"/>
              </w:rPr>
              <w:t>Probability of 6 month disability accumulation</w:t>
            </w:r>
          </w:p>
        </w:tc>
      </w:tr>
      <w:tr w:rsidR="00BB217F" w:rsidRPr="00DF3DBE" w:rsidTr="00856134">
        <w:tc>
          <w:tcPr>
            <w:tcW w:w="5098" w:type="dxa"/>
            <w:shd w:val="clear" w:color="auto" w:fill="auto"/>
            <w:vAlign w:val="center"/>
          </w:tcPr>
          <w:p w:rsidR="00BB217F" w:rsidRPr="00DE0340" w:rsidRDefault="00BB217F" w:rsidP="00FD072C">
            <w:pPr>
              <w:keepNext/>
              <w:spacing w:before="40" w:after="40"/>
              <w:jc w:val="left"/>
              <w:rPr>
                <w:rFonts w:ascii="Arial Narrow" w:hAnsi="Arial Narrow"/>
                <w:sz w:val="20"/>
                <w:szCs w:val="20"/>
              </w:rPr>
            </w:pPr>
            <w:r w:rsidRPr="00DE0340">
              <w:rPr>
                <w:rFonts w:ascii="Arial Narrow" w:hAnsi="Arial Narrow"/>
                <w:sz w:val="20"/>
                <w:szCs w:val="20"/>
              </w:rPr>
              <w:t>Alemtuzumab vs interferon beta</w:t>
            </w:r>
          </w:p>
        </w:tc>
        <w:tc>
          <w:tcPr>
            <w:tcW w:w="1418" w:type="dxa"/>
            <w:shd w:val="clear" w:color="auto" w:fill="auto"/>
            <w:vAlign w:val="center"/>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NR</w:t>
            </w:r>
          </w:p>
        </w:tc>
        <w:tc>
          <w:tcPr>
            <w:tcW w:w="1276" w:type="dxa"/>
            <w:shd w:val="clear" w:color="auto" w:fill="auto"/>
            <w:vAlign w:val="center"/>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NR</w:t>
            </w:r>
          </w:p>
        </w:tc>
        <w:tc>
          <w:tcPr>
            <w:tcW w:w="1224" w:type="dxa"/>
            <w:shd w:val="clear" w:color="auto" w:fill="auto"/>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 xml:space="preserve">HR=0.66 </w:t>
            </w:r>
            <w:r w:rsidRPr="00DE0340">
              <w:rPr>
                <w:rFonts w:ascii="Arial Narrow" w:hAnsi="Arial Narrow"/>
                <w:sz w:val="20"/>
                <w:szCs w:val="20"/>
              </w:rPr>
              <w:br/>
              <w:t>(0.36, 1.22)</w:t>
            </w:r>
          </w:p>
        </w:tc>
      </w:tr>
      <w:tr w:rsidR="00BB217F" w:rsidRPr="00DF3DBE" w:rsidTr="00856134">
        <w:tc>
          <w:tcPr>
            <w:tcW w:w="5098" w:type="dxa"/>
            <w:shd w:val="clear" w:color="auto" w:fill="auto"/>
            <w:vAlign w:val="center"/>
          </w:tcPr>
          <w:p w:rsidR="00BB217F" w:rsidRPr="00DE0340" w:rsidRDefault="00BB217F" w:rsidP="00FD072C">
            <w:pPr>
              <w:keepNext/>
              <w:spacing w:before="40" w:after="40"/>
              <w:jc w:val="left"/>
              <w:rPr>
                <w:rFonts w:ascii="Arial Narrow" w:hAnsi="Arial Narrow"/>
                <w:sz w:val="20"/>
                <w:szCs w:val="20"/>
              </w:rPr>
            </w:pPr>
            <w:r w:rsidRPr="00DE0340">
              <w:rPr>
                <w:rFonts w:ascii="Arial Narrow" w:hAnsi="Arial Narrow"/>
                <w:sz w:val="20"/>
                <w:szCs w:val="20"/>
              </w:rPr>
              <w:t>Alemtuzumab vs fingolimod</w:t>
            </w:r>
          </w:p>
        </w:tc>
        <w:tc>
          <w:tcPr>
            <w:tcW w:w="1418" w:type="dxa"/>
            <w:shd w:val="clear" w:color="auto" w:fill="auto"/>
            <w:vAlign w:val="center"/>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NR</w:t>
            </w:r>
          </w:p>
        </w:tc>
        <w:tc>
          <w:tcPr>
            <w:tcW w:w="1276" w:type="dxa"/>
            <w:shd w:val="clear" w:color="auto" w:fill="auto"/>
            <w:vAlign w:val="center"/>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NR</w:t>
            </w:r>
          </w:p>
        </w:tc>
        <w:tc>
          <w:tcPr>
            <w:tcW w:w="1224" w:type="dxa"/>
            <w:shd w:val="clear" w:color="auto" w:fill="auto"/>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 xml:space="preserve">HR=1.27 </w:t>
            </w:r>
            <w:r w:rsidRPr="00DE0340">
              <w:rPr>
                <w:rFonts w:ascii="Arial Narrow" w:hAnsi="Arial Narrow"/>
                <w:sz w:val="20"/>
                <w:szCs w:val="20"/>
              </w:rPr>
              <w:br/>
              <w:t>(0.60, 2.70)</w:t>
            </w:r>
          </w:p>
        </w:tc>
      </w:tr>
      <w:tr w:rsidR="00BB217F" w:rsidRPr="00DF3DBE" w:rsidTr="00856134">
        <w:tc>
          <w:tcPr>
            <w:tcW w:w="5098" w:type="dxa"/>
            <w:shd w:val="clear" w:color="auto" w:fill="auto"/>
            <w:vAlign w:val="center"/>
          </w:tcPr>
          <w:p w:rsidR="00BB217F" w:rsidRPr="00DE0340" w:rsidRDefault="00BB217F" w:rsidP="00FD072C">
            <w:pPr>
              <w:keepNext/>
              <w:spacing w:before="40" w:after="40"/>
              <w:jc w:val="left"/>
              <w:rPr>
                <w:rFonts w:ascii="Arial Narrow" w:hAnsi="Arial Narrow"/>
                <w:sz w:val="20"/>
                <w:szCs w:val="20"/>
              </w:rPr>
            </w:pPr>
            <w:r w:rsidRPr="00DE0340">
              <w:rPr>
                <w:rFonts w:ascii="Arial Narrow" w:hAnsi="Arial Narrow"/>
                <w:sz w:val="20"/>
                <w:szCs w:val="20"/>
              </w:rPr>
              <w:t>Alemtuzumab vs natalizumab</w:t>
            </w:r>
          </w:p>
        </w:tc>
        <w:tc>
          <w:tcPr>
            <w:tcW w:w="1418" w:type="dxa"/>
            <w:shd w:val="clear" w:color="auto" w:fill="auto"/>
            <w:vAlign w:val="center"/>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NR</w:t>
            </w:r>
          </w:p>
        </w:tc>
        <w:tc>
          <w:tcPr>
            <w:tcW w:w="1276" w:type="dxa"/>
            <w:shd w:val="clear" w:color="auto" w:fill="auto"/>
            <w:vAlign w:val="center"/>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NR</w:t>
            </w:r>
          </w:p>
        </w:tc>
        <w:tc>
          <w:tcPr>
            <w:tcW w:w="1224" w:type="dxa"/>
            <w:shd w:val="clear" w:color="auto" w:fill="auto"/>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 xml:space="preserve">HR=0.81 </w:t>
            </w:r>
            <w:r w:rsidRPr="00DE0340">
              <w:rPr>
                <w:rFonts w:ascii="Arial Narrow" w:hAnsi="Arial Narrow"/>
                <w:sz w:val="20"/>
                <w:szCs w:val="20"/>
              </w:rPr>
              <w:br/>
              <w:t>(0.47, 1.39)</w:t>
            </w:r>
          </w:p>
        </w:tc>
      </w:tr>
      <w:tr w:rsidR="00BB217F" w:rsidRPr="00DF3DBE" w:rsidTr="005549E8">
        <w:tc>
          <w:tcPr>
            <w:tcW w:w="9016" w:type="dxa"/>
            <w:gridSpan w:val="4"/>
            <w:shd w:val="clear" w:color="auto" w:fill="auto"/>
          </w:tcPr>
          <w:p w:rsidR="00BB217F" w:rsidRPr="00DE0340" w:rsidRDefault="00BB217F" w:rsidP="00FD072C">
            <w:pPr>
              <w:keepNext/>
              <w:spacing w:before="40" w:after="40"/>
              <w:jc w:val="left"/>
              <w:rPr>
                <w:rFonts w:ascii="Arial Narrow" w:hAnsi="Arial Narrow"/>
                <w:b/>
                <w:sz w:val="20"/>
                <w:szCs w:val="20"/>
              </w:rPr>
            </w:pPr>
            <w:r w:rsidRPr="00DE0340">
              <w:rPr>
                <w:rFonts w:ascii="Arial Narrow" w:hAnsi="Arial Narrow"/>
                <w:b/>
                <w:sz w:val="20"/>
                <w:szCs w:val="20"/>
              </w:rPr>
              <w:t>Probability of 6 month disability improvement</w:t>
            </w:r>
          </w:p>
        </w:tc>
      </w:tr>
      <w:tr w:rsidR="00BB217F" w:rsidRPr="00DF3DBE" w:rsidTr="00856134">
        <w:tc>
          <w:tcPr>
            <w:tcW w:w="5098" w:type="dxa"/>
            <w:shd w:val="clear" w:color="auto" w:fill="auto"/>
            <w:vAlign w:val="center"/>
          </w:tcPr>
          <w:p w:rsidR="00BB217F" w:rsidRPr="00DE0340" w:rsidRDefault="00BB217F" w:rsidP="00FD072C">
            <w:pPr>
              <w:keepNext/>
              <w:spacing w:before="40" w:after="40"/>
              <w:jc w:val="left"/>
              <w:rPr>
                <w:rFonts w:ascii="Arial Narrow" w:hAnsi="Arial Narrow"/>
                <w:sz w:val="20"/>
                <w:szCs w:val="20"/>
              </w:rPr>
            </w:pPr>
            <w:r w:rsidRPr="00DE0340">
              <w:rPr>
                <w:rFonts w:ascii="Arial Narrow" w:hAnsi="Arial Narrow"/>
                <w:sz w:val="20"/>
                <w:szCs w:val="20"/>
              </w:rPr>
              <w:t>Alemtuzumab vs interferon beta</w:t>
            </w:r>
          </w:p>
        </w:tc>
        <w:tc>
          <w:tcPr>
            <w:tcW w:w="1418" w:type="dxa"/>
            <w:shd w:val="clear" w:color="auto" w:fill="auto"/>
            <w:vAlign w:val="center"/>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NR</w:t>
            </w:r>
          </w:p>
        </w:tc>
        <w:tc>
          <w:tcPr>
            <w:tcW w:w="1276" w:type="dxa"/>
            <w:shd w:val="clear" w:color="auto" w:fill="auto"/>
            <w:vAlign w:val="center"/>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NR</w:t>
            </w:r>
          </w:p>
        </w:tc>
        <w:tc>
          <w:tcPr>
            <w:tcW w:w="1224" w:type="dxa"/>
            <w:shd w:val="clear" w:color="auto" w:fill="auto"/>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HR=0.98 (0.65,1.49)</w:t>
            </w:r>
          </w:p>
        </w:tc>
      </w:tr>
      <w:tr w:rsidR="00BB217F" w:rsidRPr="00DE0340" w:rsidTr="00856134">
        <w:tc>
          <w:tcPr>
            <w:tcW w:w="5098" w:type="dxa"/>
            <w:shd w:val="clear" w:color="auto" w:fill="auto"/>
            <w:vAlign w:val="center"/>
          </w:tcPr>
          <w:p w:rsidR="00BB217F" w:rsidRPr="00DE0340" w:rsidRDefault="00BB217F" w:rsidP="00FD072C">
            <w:pPr>
              <w:keepNext/>
              <w:spacing w:before="40" w:after="40"/>
              <w:jc w:val="left"/>
              <w:rPr>
                <w:rFonts w:ascii="Arial Narrow" w:hAnsi="Arial Narrow"/>
                <w:sz w:val="20"/>
                <w:szCs w:val="20"/>
              </w:rPr>
            </w:pPr>
            <w:r w:rsidRPr="00DE0340">
              <w:rPr>
                <w:rFonts w:ascii="Arial Narrow" w:hAnsi="Arial Narrow"/>
                <w:sz w:val="20"/>
                <w:szCs w:val="20"/>
              </w:rPr>
              <w:t>Alemtuzumab vs fingolimod</w:t>
            </w:r>
          </w:p>
        </w:tc>
        <w:tc>
          <w:tcPr>
            <w:tcW w:w="1418" w:type="dxa"/>
            <w:shd w:val="clear" w:color="auto" w:fill="auto"/>
            <w:vAlign w:val="center"/>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NR</w:t>
            </w:r>
          </w:p>
        </w:tc>
        <w:tc>
          <w:tcPr>
            <w:tcW w:w="1276" w:type="dxa"/>
            <w:shd w:val="clear" w:color="auto" w:fill="auto"/>
            <w:vAlign w:val="center"/>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NR</w:t>
            </w:r>
          </w:p>
        </w:tc>
        <w:tc>
          <w:tcPr>
            <w:tcW w:w="1224" w:type="dxa"/>
            <w:shd w:val="clear" w:color="auto" w:fill="auto"/>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 xml:space="preserve">HR=0.50 </w:t>
            </w:r>
            <w:r w:rsidRPr="00DE0340">
              <w:rPr>
                <w:rFonts w:ascii="Arial Narrow" w:hAnsi="Arial Narrow"/>
                <w:sz w:val="20"/>
                <w:szCs w:val="20"/>
              </w:rPr>
              <w:br/>
              <w:t>(0.25, 1.01)</w:t>
            </w:r>
          </w:p>
        </w:tc>
      </w:tr>
      <w:tr w:rsidR="00BB217F" w:rsidRPr="00DE0340" w:rsidTr="00856134">
        <w:tc>
          <w:tcPr>
            <w:tcW w:w="5098" w:type="dxa"/>
            <w:shd w:val="clear" w:color="auto" w:fill="auto"/>
            <w:vAlign w:val="center"/>
          </w:tcPr>
          <w:p w:rsidR="00BB217F" w:rsidRPr="00DE0340" w:rsidRDefault="00BB217F" w:rsidP="00FD072C">
            <w:pPr>
              <w:keepNext/>
              <w:spacing w:before="40" w:after="40"/>
              <w:jc w:val="left"/>
              <w:rPr>
                <w:rFonts w:ascii="Arial Narrow" w:hAnsi="Arial Narrow"/>
                <w:sz w:val="20"/>
                <w:szCs w:val="20"/>
              </w:rPr>
            </w:pPr>
            <w:r w:rsidRPr="00DE0340">
              <w:rPr>
                <w:rFonts w:ascii="Arial Narrow" w:hAnsi="Arial Narrow"/>
                <w:sz w:val="20"/>
                <w:szCs w:val="20"/>
              </w:rPr>
              <w:t>Alemtuzumab vs natalizumab</w:t>
            </w:r>
          </w:p>
        </w:tc>
        <w:tc>
          <w:tcPr>
            <w:tcW w:w="1418" w:type="dxa"/>
            <w:shd w:val="clear" w:color="auto" w:fill="auto"/>
            <w:vAlign w:val="center"/>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NR</w:t>
            </w:r>
          </w:p>
        </w:tc>
        <w:tc>
          <w:tcPr>
            <w:tcW w:w="1276" w:type="dxa"/>
            <w:shd w:val="clear" w:color="auto" w:fill="auto"/>
            <w:vAlign w:val="center"/>
          </w:tcPr>
          <w:p w:rsidR="00BB217F" w:rsidRPr="00DE0340" w:rsidRDefault="00BB217F" w:rsidP="00FD072C">
            <w:pPr>
              <w:keepNext/>
              <w:spacing w:before="40" w:after="40"/>
              <w:jc w:val="center"/>
              <w:rPr>
                <w:rFonts w:ascii="Arial Narrow" w:hAnsi="Arial Narrow"/>
                <w:sz w:val="20"/>
                <w:szCs w:val="20"/>
              </w:rPr>
            </w:pPr>
            <w:r w:rsidRPr="00DE0340">
              <w:rPr>
                <w:rFonts w:ascii="Arial Narrow" w:hAnsi="Arial Narrow"/>
                <w:sz w:val="20"/>
                <w:szCs w:val="20"/>
              </w:rPr>
              <w:t>NR</w:t>
            </w:r>
          </w:p>
        </w:tc>
        <w:tc>
          <w:tcPr>
            <w:tcW w:w="1224" w:type="dxa"/>
            <w:shd w:val="clear" w:color="auto" w:fill="auto"/>
          </w:tcPr>
          <w:p w:rsidR="00BB217F" w:rsidRPr="00DE0340" w:rsidRDefault="00BB217F" w:rsidP="00FD072C">
            <w:pPr>
              <w:keepNext/>
              <w:spacing w:before="40" w:after="40"/>
              <w:jc w:val="center"/>
              <w:rPr>
                <w:rFonts w:ascii="Arial Narrow" w:hAnsi="Arial Narrow"/>
                <w:b/>
                <w:sz w:val="20"/>
                <w:szCs w:val="20"/>
              </w:rPr>
            </w:pPr>
            <w:r w:rsidRPr="00DE0340">
              <w:rPr>
                <w:rFonts w:ascii="Arial Narrow" w:hAnsi="Arial Narrow"/>
                <w:b/>
                <w:sz w:val="20"/>
                <w:szCs w:val="20"/>
              </w:rPr>
              <w:t>HR=0.35</w:t>
            </w:r>
            <w:r w:rsidRPr="00DE0340">
              <w:rPr>
                <w:rFonts w:ascii="Arial Narrow" w:hAnsi="Arial Narrow"/>
                <w:b/>
                <w:sz w:val="20"/>
                <w:szCs w:val="20"/>
              </w:rPr>
              <w:br/>
              <w:t>(0.20, 0.59)</w:t>
            </w:r>
          </w:p>
        </w:tc>
      </w:tr>
    </w:tbl>
    <w:p w:rsidR="00BB217F" w:rsidRPr="00B10795" w:rsidRDefault="00BB217F" w:rsidP="00BB217F">
      <w:pPr>
        <w:tabs>
          <w:tab w:val="left" w:pos="284"/>
        </w:tabs>
        <w:rPr>
          <w:rFonts w:ascii="Arial Narrow" w:hAnsi="Arial Narrow"/>
          <w:sz w:val="18"/>
          <w:szCs w:val="20"/>
        </w:rPr>
      </w:pPr>
      <w:r w:rsidRPr="00B10795">
        <w:rPr>
          <w:rFonts w:ascii="Arial Narrow" w:hAnsi="Arial Narrow"/>
          <w:sz w:val="18"/>
          <w:szCs w:val="20"/>
          <w:vertAlign w:val="superscript"/>
        </w:rPr>
        <w:t>a</w:t>
      </w:r>
      <w:r w:rsidRPr="00B10795">
        <w:rPr>
          <w:rFonts w:ascii="Arial Narrow" w:hAnsi="Arial Narrow"/>
          <w:sz w:val="18"/>
          <w:szCs w:val="20"/>
          <w:vertAlign w:val="superscript"/>
        </w:rPr>
        <w:tab/>
      </w:r>
      <w:r w:rsidR="006934BF">
        <w:rPr>
          <w:rFonts w:ascii="Arial Narrow" w:hAnsi="Arial Narrow"/>
          <w:sz w:val="18"/>
          <w:szCs w:val="20"/>
        </w:rPr>
        <w:t>P</w:t>
      </w:r>
      <w:r w:rsidRPr="00B10795">
        <w:rPr>
          <w:rFonts w:ascii="Arial Narrow" w:hAnsi="Arial Narrow"/>
          <w:sz w:val="18"/>
          <w:szCs w:val="20"/>
        </w:rPr>
        <w:t>ublication states reported in appendix but appendix to publication could not be located during evaluation.</w:t>
      </w:r>
    </w:p>
    <w:p w:rsidR="00BB217F" w:rsidRPr="00B10795" w:rsidRDefault="00BB217F" w:rsidP="00BB217F">
      <w:pPr>
        <w:rPr>
          <w:rFonts w:ascii="Arial Narrow" w:hAnsi="Arial Narrow"/>
          <w:sz w:val="18"/>
          <w:szCs w:val="20"/>
        </w:rPr>
      </w:pPr>
      <w:r w:rsidRPr="00B10795">
        <w:rPr>
          <w:rFonts w:ascii="Arial Narrow" w:hAnsi="Arial Narrow"/>
          <w:sz w:val="18"/>
          <w:szCs w:val="20"/>
        </w:rPr>
        <w:t>NR = not reported, HR = hazard ratio</w:t>
      </w:r>
    </w:p>
    <w:p w:rsidR="00BB217F" w:rsidRPr="00B10795" w:rsidRDefault="00BB217F" w:rsidP="00BB217F">
      <w:pPr>
        <w:rPr>
          <w:rFonts w:ascii="Arial Narrow" w:hAnsi="Arial Narrow"/>
          <w:sz w:val="18"/>
          <w:szCs w:val="20"/>
        </w:rPr>
      </w:pPr>
      <w:r w:rsidRPr="00B10795">
        <w:rPr>
          <w:rFonts w:ascii="Arial Narrow" w:hAnsi="Arial Narrow"/>
          <w:sz w:val="18"/>
          <w:szCs w:val="20"/>
        </w:rPr>
        <w:t>Values in bold indicate statistically significant differences, text in italics indicate information compiled during evaluation</w:t>
      </w:r>
    </w:p>
    <w:p w:rsidR="00BB217F" w:rsidRPr="00B10795" w:rsidRDefault="00BB217F" w:rsidP="008A43F0">
      <w:pPr>
        <w:spacing w:after="120"/>
        <w:rPr>
          <w:rFonts w:ascii="Arial Narrow" w:hAnsi="Arial Narrow"/>
          <w:sz w:val="18"/>
          <w:szCs w:val="20"/>
        </w:rPr>
      </w:pPr>
      <w:r w:rsidRPr="00B10795">
        <w:rPr>
          <w:rFonts w:ascii="Arial Narrow" w:hAnsi="Arial Narrow"/>
          <w:sz w:val="18"/>
          <w:szCs w:val="20"/>
        </w:rPr>
        <w:t xml:space="preserve">Source: Compiled during evaluation using information from Kalincik et al 2017. </w:t>
      </w:r>
    </w:p>
    <w:p w:rsidR="008A43F0" w:rsidRPr="00DE0340" w:rsidRDefault="008A43F0" w:rsidP="00FD072C">
      <w:pPr>
        <w:pStyle w:val="ListParagraph"/>
        <w:widowControl/>
        <w:numPr>
          <w:ilvl w:val="1"/>
          <w:numId w:val="1"/>
        </w:numPr>
      </w:pPr>
      <w:r w:rsidRPr="00DE0340">
        <w:t>Of the 189 patients treated with alemtuzumab, 84 (44%) required additional treatment cycles</w:t>
      </w:r>
      <w:r w:rsidR="00710A63" w:rsidRPr="00DE0340">
        <w:t xml:space="preserve"> (time period not reported)</w:t>
      </w:r>
      <w:r w:rsidRPr="00DE0340">
        <w:t xml:space="preserve">, a rate similar to that reported in CARE-MS extension. The authors also noted that analysis of propensity scores calculated with logistic models showed that patients started alemtuzumab treatment at earlier stages of disease, at a younger age, and had higher EDSS scores and pre-baseline relapse activity than patients given interferon beta, fingolimod, or natalizumab. </w:t>
      </w:r>
    </w:p>
    <w:p w:rsidR="00BB217F" w:rsidRPr="00DE0340" w:rsidRDefault="00BB217F" w:rsidP="00FD072C">
      <w:pPr>
        <w:pStyle w:val="ListParagraph"/>
        <w:widowControl/>
        <w:numPr>
          <w:ilvl w:val="1"/>
          <w:numId w:val="1"/>
        </w:numPr>
        <w:spacing w:after="0"/>
      </w:pPr>
      <w:r w:rsidRPr="00DE0340">
        <w:lastRenderedPageBreak/>
        <w:t>The probability of patients treated with alemtuzumab remaining relapse</w:t>
      </w:r>
      <w:r w:rsidR="00710A63" w:rsidRPr="00DE0340">
        <w:t>-</w:t>
      </w:r>
      <w:r w:rsidRPr="00DE0340">
        <w:t>free in Kalincik et al 2017 appears to be higher than that reported in CARE-MS extension (using the proportion who remained relapse</w:t>
      </w:r>
      <w:r w:rsidR="002C3B8A" w:rsidRPr="00DE0340">
        <w:t>-</w:t>
      </w:r>
      <w:r w:rsidRPr="00DE0340">
        <w:t xml:space="preserve">free as a proxy for probability, see </w:t>
      </w:r>
      <w:r w:rsidR="00A94F25">
        <w:t>Table</w:t>
      </w:r>
      <w:r w:rsidR="00A94F25" w:rsidRPr="008B7149">
        <w:t xml:space="preserve"> </w:t>
      </w:r>
      <w:r w:rsidR="00A94F25">
        <w:t>7</w:t>
      </w:r>
      <w:r w:rsidRPr="00DE0340">
        <w:t>)</w:t>
      </w:r>
      <w:r w:rsidR="002C3B8A" w:rsidRPr="00DE0340">
        <w:t>, although the time periods analysed are not comparable</w:t>
      </w:r>
      <w:r w:rsidRPr="00DE0340">
        <w:t>. From the results reported in Kalincik et al 2017, it appears that treatment with alemtuzumab:</w:t>
      </w:r>
    </w:p>
    <w:p w:rsidR="00BB217F" w:rsidRPr="00DE0340" w:rsidRDefault="00BB217F" w:rsidP="00FD072C">
      <w:pPr>
        <w:pStyle w:val="ListParagraph"/>
        <w:widowControl/>
        <w:numPr>
          <w:ilvl w:val="0"/>
          <w:numId w:val="6"/>
        </w:numPr>
        <w:spacing w:after="0"/>
        <w:ind w:left="1008" w:hanging="288"/>
      </w:pPr>
      <w:r w:rsidRPr="00DE0340">
        <w:t>is likely to be superior to interferon beta;</w:t>
      </w:r>
    </w:p>
    <w:p w:rsidR="00BB217F" w:rsidRPr="00DE0340" w:rsidRDefault="00BB217F" w:rsidP="00FD072C">
      <w:pPr>
        <w:pStyle w:val="ListParagraph"/>
        <w:widowControl/>
        <w:numPr>
          <w:ilvl w:val="0"/>
          <w:numId w:val="6"/>
        </w:numPr>
        <w:spacing w:after="0"/>
        <w:ind w:left="1008" w:hanging="288"/>
      </w:pPr>
      <w:r w:rsidRPr="00DE0340">
        <w:t>is possibly superior to fingolimod in annualised relapse rate, noting that no MCID was specified and a confidence interval around the difference was not presented, and not statistically different in disability outcomes;</w:t>
      </w:r>
    </w:p>
    <w:p w:rsidR="00BB217F" w:rsidRPr="00DE0340" w:rsidRDefault="00BB217F" w:rsidP="00FD072C">
      <w:pPr>
        <w:pStyle w:val="ListParagraph"/>
        <w:widowControl/>
        <w:numPr>
          <w:ilvl w:val="0"/>
          <w:numId w:val="6"/>
        </w:numPr>
        <w:spacing w:after="0"/>
        <w:ind w:left="1009" w:hanging="289"/>
      </w:pPr>
      <w:r w:rsidRPr="00DE0340">
        <w:t xml:space="preserve">is similar to natalizumab in annualised relapse rate, but statistically significantly worse in probability of six month disability </w:t>
      </w:r>
      <w:r w:rsidR="008A43F0" w:rsidRPr="00DE0340">
        <w:t>improvement (HR=</w:t>
      </w:r>
      <w:r w:rsidRPr="00DE0340">
        <w:t>0.35, 95% CI</w:t>
      </w:r>
      <w:r w:rsidR="008A43F0" w:rsidRPr="00DE0340">
        <w:t>:</w:t>
      </w:r>
      <w:r w:rsidRPr="00DE0340">
        <w:t xml:space="preserve"> 0.20, 0.59). </w:t>
      </w:r>
    </w:p>
    <w:p w:rsidR="00B6619C" w:rsidRPr="00057575" w:rsidRDefault="00B6619C" w:rsidP="002C3B8A">
      <w:pPr>
        <w:widowControl/>
        <w:spacing w:after="120"/>
        <w:ind w:left="709"/>
      </w:pPr>
      <w:r w:rsidRPr="00057575">
        <w:t>However, as this was not a randomised controlled trial, the results should be interpreted with caution.</w:t>
      </w:r>
      <w:r w:rsidR="00B8287F" w:rsidRPr="00057575">
        <w:t xml:space="preserve"> The ESC noted results from Kalincik et al 2017 indicated that alemtuzumab may be inferior to natalizumab. The ESC noted that natalizumab is only used in RRMS patients who are JC virus antibody negative.</w:t>
      </w:r>
    </w:p>
    <w:p w:rsidR="00BD1912" w:rsidRPr="00C9624D" w:rsidRDefault="00BD1912" w:rsidP="001D3277">
      <w:pPr>
        <w:pStyle w:val="Heading2"/>
      </w:pPr>
      <w:bookmarkStart w:id="18" w:name="_Toc524531627"/>
      <w:r w:rsidRPr="00C9624D">
        <w:t>Comparative harms</w:t>
      </w:r>
      <w:bookmarkEnd w:id="18"/>
    </w:p>
    <w:p w:rsidR="00BD1912" w:rsidRPr="00B50DB8" w:rsidRDefault="00A94F25" w:rsidP="00FD072C">
      <w:pPr>
        <w:pStyle w:val="ListParagraph"/>
        <w:widowControl/>
        <w:numPr>
          <w:ilvl w:val="1"/>
          <w:numId w:val="1"/>
        </w:numPr>
      </w:pPr>
      <w:r w:rsidRPr="00A94F25">
        <w:t>Table 12</w:t>
      </w:r>
      <w:r w:rsidR="00BD1912" w:rsidRPr="008A43F0">
        <w:t xml:space="preserve"> pre</w:t>
      </w:r>
      <w:r w:rsidR="00BD1912">
        <w:t xml:space="preserve">sents a summary of key adverse events </w:t>
      </w:r>
      <w:r w:rsidR="00B8287F">
        <w:t xml:space="preserve">(AEs) </w:t>
      </w:r>
      <w:r w:rsidR="00BD1912">
        <w:t xml:space="preserve">by </w:t>
      </w:r>
      <w:r w:rsidR="008A43F0">
        <w:t xml:space="preserve">the number of </w:t>
      </w:r>
      <w:r w:rsidR="00BD1912">
        <w:t>treatment course</w:t>
      </w:r>
      <w:r w:rsidR="008A43F0">
        <w:t>s</w:t>
      </w:r>
      <w:r w:rsidR="00BD1912">
        <w:t xml:space="preserve"> in the CARE-MS extension</w:t>
      </w:r>
      <w:r w:rsidR="008A43F0">
        <w:t>.</w:t>
      </w:r>
    </w:p>
    <w:p w:rsidR="00BD1912" w:rsidRPr="00F704F7" w:rsidRDefault="00BD1912" w:rsidP="00BD1912">
      <w:pPr>
        <w:pStyle w:val="ListParagraph"/>
        <w:keepNext/>
        <w:spacing w:after="0"/>
        <w:ind w:left="0"/>
        <w:rPr>
          <w:rFonts w:ascii="Arial Narrow" w:hAnsi="Arial Narrow"/>
          <w:b/>
          <w:sz w:val="20"/>
          <w:szCs w:val="16"/>
        </w:rPr>
      </w:pPr>
      <w:bookmarkStart w:id="19" w:name="_Ref523871928"/>
      <w:r>
        <w:rPr>
          <w:rStyle w:val="CommentReference"/>
        </w:rPr>
        <w:t xml:space="preserve">Table </w:t>
      </w:r>
      <w:r w:rsidR="00A94F25">
        <w:rPr>
          <w:rFonts w:ascii="Arial Narrow" w:hAnsi="Arial Narrow"/>
          <w:b/>
          <w:noProof/>
          <w:sz w:val="20"/>
          <w:szCs w:val="16"/>
        </w:rPr>
        <w:t>12</w:t>
      </w:r>
      <w:bookmarkEnd w:id="19"/>
      <w:r w:rsidRPr="005D26B4">
        <w:rPr>
          <w:rStyle w:val="CommentReference"/>
        </w:rPr>
        <w:t xml:space="preserve">:  Summary of key adverse events </w:t>
      </w:r>
      <w:r>
        <w:rPr>
          <w:rStyle w:val="CommentReference"/>
        </w:rPr>
        <w:t>by treatme</w:t>
      </w:r>
      <w:r w:rsidR="003F073A">
        <w:rPr>
          <w:rStyle w:val="CommentReference"/>
        </w:rPr>
        <w:t>nt course in CARE-</w:t>
      </w:r>
      <w:r>
        <w:rPr>
          <w:rStyle w:val="CommentReference"/>
        </w:rPr>
        <w:t>MS extension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48"/>
        <w:gridCol w:w="1161"/>
        <w:gridCol w:w="1073"/>
        <w:gridCol w:w="1163"/>
        <w:gridCol w:w="1069"/>
        <w:gridCol w:w="1098"/>
        <w:gridCol w:w="954"/>
        <w:gridCol w:w="950"/>
      </w:tblGrid>
      <w:tr w:rsidR="008A43F0" w:rsidRPr="004E2ADC" w:rsidTr="00CB755D">
        <w:tc>
          <w:tcPr>
            <w:tcW w:w="858" w:type="pct"/>
            <w:tcBorders>
              <w:bottom w:val="single" w:sz="4" w:space="0" w:color="auto"/>
            </w:tcBorders>
          </w:tcPr>
          <w:p w:rsidR="008A43F0" w:rsidRPr="00EF3278" w:rsidRDefault="008A43F0" w:rsidP="00CB755D">
            <w:pPr>
              <w:pStyle w:val="TableText0"/>
              <w:rPr>
                <w:b/>
              </w:rPr>
            </w:pPr>
            <w:r>
              <w:rPr>
                <w:b/>
              </w:rPr>
              <w:t>Annualised rate of AE</w:t>
            </w:r>
          </w:p>
        </w:tc>
        <w:tc>
          <w:tcPr>
            <w:tcW w:w="644" w:type="pct"/>
            <w:tcBorders>
              <w:bottom w:val="single" w:sz="4" w:space="0" w:color="auto"/>
            </w:tcBorders>
            <w:vAlign w:val="center"/>
          </w:tcPr>
          <w:p w:rsidR="008A43F0" w:rsidRPr="00EF3278" w:rsidRDefault="008A43F0" w:rsidP="00CB755D">
            <w:pPr>
              <w:pStyle w:val="TableText0"/>
              <w:jc w:val="center"/>
              <w:rPr>
                <w:b/>
              </w:rPr>
            </w:pPr>
            <w:r>
              <w:rPr>
                <w:b/>
              </w:rPr>
              <w:t>Overall</w:t>
            </w:r>
          </w:p>
        </w:tc>
        <w:tc>
          <w:tcPr>
            <w:tcW w:w="595" w:type="pct"/>
            <w:tcBorders>
              <w:bottom w:val="single" w:sz="4" w:space="0" w:color="auto"/>
            </w:tcBorders>
            <w:vAlign w:val="center"/>
          </w:tcPr>
          <w:p w:rsidR="008A43F0" w:rsidRPr="00EF3278" w:rsidRDefault="008A43F0" w:rsidP="00CB755D">
            <w:pPr>
              <w:pStyle w:val="TableText0"/>
              <w:jc w:val="center"/>
              <w:rPr>
                <w:b/>
              </w:rPr>
            </w:pPr>
            <w:r>
              <w:rPr>
                <w:b/>
              </w:rPr>
              <w:t>Course 1</w:t>
            </w:r>
          </w:p>
        </w:tc>
        <w:tc>
          <w:tcPr>
            <w:tcW w:w="645" w:type="pct"/>
            <w:tcBorders>
              <w:bottom w:val="single" w:sz="4" w:space="0" w:color="auto"/>
            </w:tcBorders>
            <w:vAlign w:val="center"/>
          </w:tcPr>
          <w:p w:rsidR="008A43F0" w:rsidRPr="00EF3278" w:rsidRDefault="008A43F0" w:rsidP="00CB755D">
            <w:pPr>
              <w:pStyle w:val="TableText0"/>
              <w:jc w:val="center"/>
              <w:rPr>
                <w:b/>
              </w:rPr>
            </w:pPr>
            <w:r>
              <w:rPr>
                <w:b/>
              </w:rPr>
              <w:t>Course 2</w:t>
            </w:r>
          </w:p>
        </w:tc>
        <w:tc>
          <w:tcPr>
            <w:tcW w:w="593" w:type="pct"/>
            <w:tcBorders>
              <w:bottom w:val="single" w:sz="4" w:space="0" w:color="auto"/>
            </w:tcBorders>
            <w:vAlign w:val="center"/>
          </w:tcPr>
          <w:p w:rsidR="008A43F0" w:rsidRPr="00EF3278" w:rsidRDefault="008A43F0" w:rsidP="00CB755D">
            <w:pPr>
              <w:pStyle w:val="TableText0"/>
              <w:jc w:val="center"/>
              <w:rPr>
                <w:b/>
              </w:rPr>
            </w:pPr>
            <w:r>
              <w:rPr>
                <w:b/>
              </w:rPr>
              <w:t>Course 3</w:t>
            </w:r>
          </w:p>
        </w:tc>
        <w:tc>
          <w:tcPr>
            <w:tcW w:w="609" w:type="pct"/>
            <w:tcBorders>
              <w:bottom w:val="single" w:sz="4" w:space="0" w:color="auto"/>
            </w:tcBorders>
            <w:vAlign w:val="center"/>
          </w:tcPr>
          <w:p w:rsidR="008A43F0" w:rsidRPr="00EF3278" w:rsidRDefault="008A43F0" w:rsidP="00CB755D">
            <w:pPr>
              <w:pStyle w:val="TableText0"/>
              <w:jc w:val="center"/>
              <w:rPr>
                <w:b/>
              </w:rPr>
            </w:pPr>
            <w:r>
              <w:rPr>
                <w:b/>
              </w:rPr>
              <w:t>Course 4</w:t>
            </w:r>
          </w:p>
        </w:tc>
        <w:tc>
          <w:tcPr>
            <w:tcW w:w="529" w:type="pct"/>
            <w:tcBorders>
              <w:bottom w:val="single" w:sz="4" w:space="0" w:color="auto"/>
            </w:tcBorders>
            <w:vAlign w:val="center"/>
          </w:tcPr>
          <w:p w:rsidR="008A43F0" w:rsidRPr="00EF3278" w:rsidRDefault="008A43F0" w:rsidP="00CB755D">
            <w:pPr>
              <w:pStyle w:val="TableText0"/>
              <w:jc w:val="center"/>
              <w:rPr>
                <w:b/>
              </w:rPr>
            </w:pPr>
            <w:r>
              <w:rPr>
                <w:b/>
              </w:rPr>
              <w:t>Course 5</w:t>
            </w:r>
          </w:p>
        </w:tc>
        <w:tc>
          <w:tcPr>
            <w:tcW w:w="527" w:type="pct"/>
            <w:tcBorders>
              <w:bottom w:val="single" w:sz="4" w:space="0" w:color="auto"/>
            </w:tcBorders>
            <w:vAlign w:val="center"/>
          </w:tcPr>
          <w:p w:rsidR="008A43F0" w:rsidRPr="00EF3278" w:rsidRDefault="008A43F0" w:rsidP="00CB755D">
            <w:pPr>
              <w:pStyle w:val="TableText0"/>
              <w:jc w:val="center"/>
              <w:rPr>
                <w:b/>
              </w:rPr>
            </w:pPr>
            <w:r>
              <w:rPr>
                <w:b/>
              </w:rPr>
              <w:t>Course 6</w:t>
            </w:r>
          </w:p>
        </w:tc>
      </w:tr>
      <w:tr w:rsidR="008A43F0" w:rsidRPr="004E2ADC" w:rsidTr="00CB755D">
        <w:tc>
          <w:tcPr>
            <w:tcW w:w="5000" w:type="pct"/>
            <w:gridSpan w:val="8"/>
            <w:tcBorders>
              <w:bottom w:val="single" w:sz="4" w:space="0" w:color="auto"/>
            </w:tcBorders>
          </w:tcPr>
          <w:p w:rsidR="008A43F0" w:rsidRPr="00675006" w:rsidRDefault="008A43F0" w:rsidP="00CB755D">
            <w:pPr>
              <w:pStyle w:val="TableText0"/>
            </w:pPr>
            <w:r w:rsidRPr="00675006">
              <w:t>Any AE event</w:t>
            </w:r>
          </w:p>
        </w:tc>
      </w:tr>
      <w:tr w:rsidR="008A43F0" w:rsidRPr="004E2ADC" w:rsidTr="00CB755D">
        <w:tc>
          <w:tcPr>
            <w:tcW w:w="858" w:type="pct"/>
            <w:tcBorders>
              <w:bottom w:val="single" w:sz="4" w:space="0" w:color="auto"/>
            </w:tcBorders>
          </w:tcPr>
          <w:p w:rsidR="008A43F0" w:rsidRPr="00675006" w:rsidRDefault="008A43F0" w:rsidP="00CB755D">
            <w:pPr>
              <w:pStyle w:val="TableText0"/>
            </w:pPr>
            <w:r w:rsidRPr="00675006">
              <w:t>IAT patients at risk</w:t>
            </w:r>
          </w:p>
        </w:tc>
        <w:tc>
          <w:tcPr>
            <w:tcW w:w="644" w:type="pct"/>
            <w:tcBorders>
              <w:bottom w:val="single" w:sz="4" w:space="0" w:color="auto"/>
            </w:tcBorders>
          </w:tcPr>
          <w:p w:rsidR="008A43F0" w:rsidRPr="009D295A" w:rsidRDefault="009D295A" w:rsidP="00CB755D">
            <w:pPr>
              <w:pStyle w:val="TableText0"/>
              <w:jc w:val="center"/>
              <w:rPr>
                <w:highlight w:val="black"/>
              </w:rPr>
            </w:pPr>
            <w:r>
              <w:rPr>
                <w:noProof/>
                <w:color w:val="000000"/>
                <w:highlight w:val="black"/>
              </w:rPr>
              <w:t>''''''''''</w:t>
            </w:r>
          </w:p>
        </w:tc>
        <w:tc>
          <w:tcPr>
            <w:tcW w:w="595" w:type="pct"/>
            <w:tcBorders>
              <w:bottom w:val="single" w:sz="4" w:space="0" w:color="auto"/>
            </w:tcBorders>
          </w:tcPr>
          <w:p w:rsidR="008A43F0" w:rsidRPr="009D295A" w:rsidRDefault="009D295A" w:rsidP="00CB755D">
            <w:pPr>
              <w:pStyle w:val="TableText0"/>
              <w:jc w:val="center"/>
              <w:rPr>
                <w:highlight w:val="black"/>
              </w:rPr>
            </w:pPr>
            <w:r>
              <w:rPr>
                <w:noProof/>
                <w:color w:val="000000"/>
                <w:highlight w:val="black"/>
              </w:rPr>
              <w:t>'''''''''</w:t>
            </w:r>
          </w:p>
        </w:tc>
        <w:tc>
          <w:tcPr>
            <w:tcW w:w="645" w:type="pct"/>
            <w:tcBorders>
              <w:bottom w:val="single" w:sz="4" w:space="0" w:color="auto"/>
            </w:tcBorders>
          </w:tcPr>
          <w:p w:rsidR="008A43F0" w:rsidRPr="009D295A" w:rsidRDefault="009D295A" w:rsidP="00CB755D">
            <w:pPr>
              <w:pStyle w:val="TableText0"/>
              <w:jc w:val="center"/>
              <w:rPr>
                <w:highlight w:val="black"/>
              </w:rPr>
            </w:pPr>
            <w:r>
              <w:rPr>
                <w:noProof/>
                <w:color w:val="000000"/>
                <w:highlight w:val="black"/>
              </w:rPr>
              <w:t>''''''''''</w:t>
            </w:r>
          </w:p>
        </w:tc>
        <w:tc>
          <w:tcPr>
            <w:tcW w:w="593" w:type="pct"/>
            <w:tcBorders>
              <w:bottom w:val="single" w:sz="4" w:space="0" w:color="auto"/>
            </w:tcBorders>
          </w:tcPr>
          <w:p w:rsidR="008A43F0" w:rsidRPr="009D295A" w:rsidRDefault="009D295A" w:rsidP="00CB755D">
            <w:pPr>
              <w:pStyle w:val="TableText0"/>
              <w:jc w:val="center"/>
              <w:rPr>
                <w:highlight w:val="black"/>
              </w:rPr>
            </w:pPr>
            <w:r>
              <w:rPr>
                <w:noProof/>
                <w:color w:val="000000"/>
                <w:highlight w:val="black"/>
              </w:rPr>
              <w:t>''''''''''</w:t>
            </w:r>
          </w:p>
        </w:tc>
        <w:tc>
          <w:tcPr>
            <w:tcW w:w="609" w:type="pct"/>
            <w:tcBorders>
              <w:bottom w:val="single" w:sz="4" w:space="0" w:color="auto"/>
            </w:tcBorders>
          </w:tcPr>
          <w:p w:rsidR="008A43F0" w:rsidRPr="009D295A" w:rsidRDefault="009D295A" w:rsidP="00CB755D">
            <w:pPr>
              <w:pStyle w:val="TableText0"/>
              <w:jc w:val="center"/>
              <w:rPr>
                <w:highlight w:val="black"/>
              </w:rPr>
            </w:pPr>
            <w:r>
              <w:rPr>
                <w:noProof/>
                <w:color w:val="000000"/>
                <w:highlight w:val="black"/>
              </w:rPr>
              <w:t>''''''''</w:t>
            </w:r>
          </w:p>
        </w:tc>
        <w:tc>
          <w:tcPr>
            <w:tcW w:w="529" w:type="pct"/>
            <w:tcBorders>
              <w:bottom w:val="single" w:sz="4" w:space="0" w:color="auto"/>
            </w:tcBorders>
          </w:tcPr>
          <w:p w:rsidR="008A43F0" w:rsidRPr="009D295A" w:rsidRDefault="009D295A" w:rsidP="00CB755D">
            <w:pPr>
              <w:pStyle w:val="TableText0"/>
              <w:jc w:val="center"/>
              <w:rPr>
                <w:highlight w:val="black"/>
              </w:rPr>
            </w:pPr>
            <w:r>
              <w:rPr>
                <w:noProof/>
                <w:color w:val="000000"/>
                <w:highlight w:val="black"/>
              </w:rPr>
              <w:t>''''''</w:t>
            </w:r>
          </w:p>
        </w:tc>
        <w:tc>
          <w:tcPr>
            <w:tcW w:w="527" w:type="pct"/>
            <w:tcBorders>
              <w:bottom w:val="single" w:sz="4" w:space="0" w:color="auto"/>
            </w:tcBorders>
          </w:tcPr>
          <w:p w:rsidR="008A43F0" w:rsidRPr="009D295A" w:rsidRDefault="009D295A" w:rsidP="00CB755D">
            <w:pPr>
              <w:pStyle w:val="TableText0"/>
              <w:jc w:val="center"/>
              <w:rPr>
                <w:highlight w:val="black"/>
              </w:rPr>
            </w:pPr>
            <w:r>
              <w:rPr>
                <w:noProof/>
                <w:color w:val="000000"/>
                <w:highlight w:val="black"/>
              </w:rPr>
              <w:t>''''</w:t>
            </w:r>
          </w:p>
        </w:tc>
      </w:tr>
      <w:tr w:rsidR="008A43F0" w:rsidRPr="004E2ADC" w:rsidTr="00CB755D">
        <w:tc>
          <w:tcPr>
            <w:tcW w:w="858" w:type="pct"/>
            <w:tcBorders>
              <w:bottom w:val="nil"/>
            </w:tcBorders>
          </w:tcPr>
          <w:p w:rsidR="008A43F0" w:rsidRPr="00D970E7" w:rsidRDefault="008A43F0" w:rsidP="00CB755D">
            <w:pPr>
              <w:pStyle w:val="TableText0"/>
            </w:pPr>
            <w:r>
              <w:t>Total person years</w:t>
            </w:r>
          </w:p>
        </w:tc>
        <w:tc>
          <w:tcPr>
            <w:tcW w:w="644"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c>
          <w:tcPr>
            <w:tcW w:w="595"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c>
          <w:tcPr>
            <w:tcW w:w="645"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c>
          <w:tcPr>
            <w:tcW w:w="593"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c>
          <w:tcPr>
            <w:tcW w:w="609"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c>
          <w:tcPr>
            <w:tcW w:w="529"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c>
          <w:tcPr>
            <w:tcW w:w="527"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r>
      <w:tr w:rsidR="008A43F0" w:rsidRPr="004E2ADC" w:rsidTr="00CB755D">
        <w:tc>
          <w:tcPr>
            <w:tcW w:w="858" w:type="pct"/>
            <w:tcBorders>
              <w:bottom w:val="nil"/>
            </w:tcBorders>
          </w:tcPr>
          <w:p w:rsidR="008A43F0" w:rsidRDefault="008A43F0" w:rsidP="00CB755D">
            <w:pPr>
              <w:pStyle w:val="TableText0"/>
            </w:pPr>
            <w:r>
              <w:t>Events (rate)</w:t>
            </w:r>
          </w:p>
        </w:tc>
        <w:tc>
          <w:tcPr>
            <w:tcW w:w="644" w:type="pct"/>
            <w:tcBorders>
              <w:bottom w:val="nil"/>
            </w:tcBorders>
          </w:tcPr>
          <w:p w:rsidR="008A43F0" w:rsidRPr="009D295A" w:rsidRDefault="009D295A" w:rsidP="00CB755D">
            <w:pPr>
              <w:pStyle w:val="TableText0"/>
              <w:jc w:val="center"/>
              <w:rPr>
                <w:highlight w:val="black"/>
              </w:rPr>
            </w:pPr>
            <w:r>
              <w:rPr>
                <w:noProof/>
                <w:color w:val="000000"/>
                <w:highlight w:val="black"/>
              </w:rPr>
              <w:t>'''''''''''''''' ''''''''''''''''</w:t>
            </w:r>
          </w:p>
        </w:tc>
        <w:tc>
          <w:tcPr>
            <w:tcW w:w="595" w:type="pct"/>
            <w:tcBorders>
              <w:bottom w:val="nil"/>
            </w:tcBorders>
          </w:tcPr>
          <w:p w:rsidR="008A43F0" w:rsidRPr="009D295A" w:rsidRDefault="009D295A" w:rsidP="00CB755D">
            <w:pPr>
              <w:pStyle w:val="TableText0"/>
              <w:jc w:val="center"/>
              <w:rPr>
                <w:highlight w:val="black"/>
              </w:rPr>
            </w:pPr>
            <w:r>
              <w:rPr>
                <w:noProof/>
                <w:color w:val="000000"/>
                <w:highlight w:val="black"/>
              </w:rPr>
              <w:t>''''''''''''' '''''''''''''''''</w:t>
            </w:r>
          </w:p>
        </w:tc>
        <w:tc>
          <w:tcPr>
            <w:tcW w:w="645" w:type="pct"/>
            <w:tcBorders>
              <w:bottom w:val="nil"/>
            </w:tcBorders>
          </w:tcPr>
          <w:p w:rsidR="008A43F0" w:rsidRPr="009D295A" w:rsidRDefault="009D295A" w:rsidP="00CB755D">
            <w:pPr>
              <w:pStyle w:val="TableText0"/>
              <w:jc w:val="center"/>
              <w:rPr>
                <w:highlight w:val="black"/>
              </w:rPr>
            </w:pPr>
            <w:r>
              <w:rPr>
                <w:noProof/>
                <w:color w:val="000000"/>
                <w:highlight w:val="black"/>
              </w:rPr>
              <w:t>'''''''''''''''' '''''''''''''''''</w:t>
            </w:r>
          </w:p>
        </w:tc>
        <w:tc>
          <w:tcPr>
            <w:tcW w:w="593" w:type="pct"/>
            <w:tcBorders>
              <w:bottom w:val="nil"/>
            </w:tcBorders>
          </w:tcPr>
          <w:p w:rsidR="008A43F0" w:rsidRPr="009D295A" w:rsidRDefault="009D295A" w:rsidP="00CB755D">
            <w:pPr>
              <w:pStyle w:val="TableText0"/>
              <w:jc w:val="center"/>
              <w:rPr>
                <w:highlight w:val="black"/>
              </w:rPr>
            </w:pPr>
            <w:r>
              <w:rPr>
                <w:noProof/>
                <w:color w:val="000000"/>
                <w:highlight w:val="black"/>
              </w:rPr>
              <w:t>''''''''''''' '''''''''''''''''</w:t>
            </w:r>
          </w:p>
        </w:tc>
        <w:tc>
          <w:tcPr>
            <w:tcW w:w="609" w:type="pct"/>
            <w:tcBorders>
              <w:bottom w:val="nil"/>
            </w:tcBorders>
          </w:tcPr>
          <w:p w:rsidR="008A43F0" w:rsidRPr="009D295A" w:rsidRDefault="009D295A" w:rsidP="00CB755D">
            <w:pPr>
              <w:pStyle w:val="TableText0"/>
              <w:jc w:val="center"/>
              <w:rPr>
                <w:highlight w:val="black"/>
              </w:rPr>
            </w:pPr>
            <w:r>
              <w:rPr>
                <w:noProof/>
                <w:color w:val="000000"/>
                <w:highlight w:val="black"/>
              </w:rPr>
              <w:t>''''''''''''''' ''''''''''''''''</w:t>
            </w:r>
          </w:p>
        </w:tc>
        <w:tc>
          <w:tcPr>
            <w:tcW w:w="529" w:type="pct"/>
            <w:tcBorders>
              <w:bottom w:val="nil"/>
            </w:tcBorders>
          </w:tcPr>
          <w:p w:rsidR="008A43F0" w:rsidRPr="009D295A" w:rsidRDefault="009D295A" w:rsidP="00CB755D">
            <w:pPr>
              <w:pStyle w:val="TableText0"/>
              <w:jc w:val="center"/>
              <w:rPr>
                <w:highlight w:val="black"/>
              </w:rPr>
            </w:pPr>
            <w:r>
              <w:rPr>
                <w:noProof/>
                <w:color w:val="000000"/>
                <w:highlight w:val="black"/>
              </w:rPr>
              <w:t>'''''''''' ''''''''''''''''</w:t>
            </w:r>
          </w:p>
        </w:tc>
        <w:tc>
          <w:tcPr>
            <w:tcW w:w="527" w:type="pct"/>
            <w:tcBorders>
              <w:bottom w:val="nil"/>
            </w:tcBorders>
          </w:tcPr>
          <w:p w:rsidR="008A43F0" w:rsidRPr="009D295A" w:rsidRDefault="009D295A" w:rsidP="00CB755D">
            <w:pPr>
              <w:pStyle w:val="TableText0"/>
              <w:jc w:val="center"/>
              <w:rPr>
                <w:highlight w:val="black"/>
              </w:rPr>
            </w:pPr>
            <w:r>
              <w:rPr>
                <w:noProof/>
                <w:color w:val="000000"/>
                <w:highlight w:val="black"/>
              </w:rPr>
              <w:t>''''''' ''''''''''''''''''</w:t>
            </w:r>
          </w:p>
        </w:tc>
      </w:tr>
      <w:tr w:rsidR="008A43F0" w:rsidRPr="004E2ADC" w:rsidTr="00CB755D">
        <w:tc>
          <w:tcPr>
            <w:tcW w:w="858" w:type="pct"/>
            <w:tcBorders>
              <w:bottom w:val="nil"/>
            </w:tcBorders>
          </w:tcPr>
          <w:p w:rsidR="008A43F0" w:rsidRDefault="008A43F0" w:rsidP="00CB755D">
            <w:pPr>
              <w:pStyle w:val="TableText0"/>
            </w:pPr>
            <w:r>
              <w:t>Total patients at risk</w:t>
            </w:r>
          </w:p>
        </w:tc>
        <w:tc>
          <w:tcPr>
            <w:tcW w:w="644"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c>
          <w:tcPr>
            <w:tcW w:w="595"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c>
          <w:tcPr>
            <w:tcW w:w="645"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c>
          <w:tcPr>
            <w:tcW w:w="593"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c>
          <w:tcPr>
            <w:tcW w:w="609"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c>
          <w:tcPr>
            <w:tcW w:w="529"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c>
          <w:tcPr>
            <w:tcW w:w="527"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r>
      <w:tr w:rsidR="008A43F0" w:rsidRPr="004E2ADC" w:rsidTr="00CB755D">
        <w:tc>
          <w:tcPr>
            <w:tcW w:w="858" w:type="pct"/>
            <w:tcBorders>
              <w:bottom w:val="nil"/>
            </w:tcBorders>
          </w:tcPr>
          <w:p w:rsidR="008A43F0" w:rsidRDefault="008A43F0" w:rsidP="00CB755D">
            <w:pPr>
              <w:pStyle w:val="TableText0"/>
            </w:pPr>
            <w:r>
              <w:t>Total person years</w:t>
            </w:r>
          </w:p>
        </w:tc>
        <w:tc>
          <w:tcPr>
            <w:tcW w:w="644"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c>
          <w:tcPr>
            <w:tcW w:w="595"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c>
          <w:tcPr>
            <w:tcW w:w="645"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c>
          <w:tcPr>
            <w:tcW w:w="593"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c>
          <w:tcPr>
            <w:tcW w:w="609"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c>
          <w:tcPr>
            <w:tcW w:w="529"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c>
          <w:tcPr>
            <w:tcW w:w="527"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r>
      <w:tr w:rsidR="008A43F0" w:rsidRPr="004E2ADC" w:rsidTr="00CB755D">
        <w:tc>
          <w:tcPr>
            <w:tcW w:w="858" w:type="pct"/>
            <w:tcBorders>
              <w:bottom w:val="nil"/>
            </w:tcBorders>
          </w:tcPr>
          <w:p w:rsidR="008A43F0" w:rsidRDefault="008A43F0" w:rsidP="00CB755D">
            <w:pPr>
              <w:pStyle w:val="TableText0"/>
            </w:pPr>
            <w:r>
              <w:t>Events (rate)</w:t>
            </w:r>
          </w:p>
        </w:tc>
        <w:tc>
          <w:tcPr>
            <w:tcW w:w="644" w:type="pct"/>
            <w:tcBorders>
              <w:bottom w:val="nil"/>
            </w:tcBorders>
            <w:vAlign w:val="center"/>
          </w:tcPr>
          <w:p w:rsidR="008A43F0" w:rsidRPr="009D295A" w:rsidRDefault="009D295A" w:rsidP="00CB755D">
            <w:pPr>
              <w:pStyle w:val="TableText0"/>
              <w:jc w:val="center"/>
              <w:rPr>
                <w:highlight w:val="black"/>
              </w:rPr>
            </w:pPr>
            <w:r>
              <w:rPr>
                <w:noProof/>
                <w:color w:val="000000"/>
                <w:highlight w:val="black"/>
              </w:rPr>
              <w:t>''''''''''''''''' ''''''''''''''''''</w:t>
            </w:r>
          </w:p>
        </w:tc>
        <w:tc>
          <w:tcPr>
            <w:tcW w:w="595" w:type="pct"/>
            <w:tcBorders>
              <w:bottom w:val="nil"/>
            </w:tcBorders>
            <w:vAlign w:val="center"/>
          </w:tcPr>
          <w:p w:rsidR="008A43F0" w:rsidRPr="009D295A" w:rsidRDefault="009D295A" w:rsidP="00CB755D">
            <w:pPr>
              <w:pStyle w:val="TableText0"/>
              <w:jc w:val="center"/>
              <w:rPr>
                <w:highlight w:val="black"/>
              </w:rPr>
            </w:pPr>
            <w:r>
              <w:rPr>
                <w:noProof/>
                <w:color w:val="000000"/>
                <w:highlight w:val="black"/>
              </w:rPr>
              <w:t>'''''''''''''''' '''''''''''''</w:t>
            </w:r>
          </w:p>
        </w:tc>
        <w:tc>
          <w:tcPr>
            <w:tcW w:w="645" w:type="pct"/>
            <w:tcBorders>
              <w:bottom w:val="nil"/>
            </w:tcBorders>
            <w:vAlign w:val="center"/>
          </w:tcPr>
          <w:p w:rsidR="008A43F0" w:rsidRPr="009D295A" w:rsidRDefault="009D295A" w:rsidP="00CB755D">
            <w:pPr>
              <w:pStyle w:val="TableText0"/>
              <w:jc w:val="center"/>
              <w:rPr>
                <w:highlight w:val="black"/>
              </w:rPr>
            </w:pPr>
            <w:r>
              <w:rPr>
                <w:noProof/>
                <w:color w:val="000000"/>
                <w:highlight w:val="black"/>
              </w:rPr>
              <w:t>''''''''''''''''' ''''''''''''''''</w:t>
            </w:r>
          </w:p>
        </w:tc>
        <w:tc>
          <w:tcPr>
            <w:tcW w:w="593" w:type="pct"/>
            <w:tcBorders>
              <w:bottom w:val="nil"/>
            </w:tcBorders>
            <w:vAlign w:val="center"/>
          </w:tcPr>
          <w:p w:rsidR="008A43F0" w:rsidRPr="009D295A" w:rsidRDefault="009D295A" w:rsidP="00CB755D">
            <w:pPr>
              <w:pStyle w:val="TableText0"/>
              <w:jc w:val="center"/>
              <w:rPr>
                <w:highlight w:val="black"/>
              </w:rPr>
            </w:pPr>
            <w:r>
              <w:rPr>
                <w:noProof/>
                <w:color w:val="000000"/>
                <w:highlight w:val="black"/>
              </w:rPr>
              <w:t>'''''''''''' '''''''''''''''</w:t>
            </w:r>
          </w:p>
        </w:tc>
        <w:tc>
          <w:tcPr>
            <w:tcW w:w="609" w:type="pct"/>
            <w:tcBorders>
              <w:bottom w:val="nil"/>
            </w:tcBorders>
            <w:vAlign w:val="center"/>
          </w:tcPr>
          <w:p w:rsidR="008A43F0" w:rsidRPr="009D295A" w:rsidRDefault="009D295A" w:rsidP="00CB755D">
            <w:pPr>
              <w:pStyle w:val="TableText0"/>
              <w:jc w:val="center"/>
              <w:rPr>
                <w:highlight w:val="black"/>
              </w:rPr>
            </w:pPr>
            <w:r>
              <w:rPr>
                <w:noProof/>
                <w:color w:val="000000"/>
                <w:highlight w:val="black"/>
              </w:rPr>
              <w:t>'''''''''''''' ''''''''''''''''''</w:t>
            </w:r>
          </w:p>
        </w:tc>
        <w:tc>
          <w:tcPr>
            <w:tcW w:w="529" w:type="pct"/>
            <w:tcBorders>
              <w:bottom w:val="nil"/>
            </w:tcBorders>
            <w:vAlign w:val="center"/>
          </w:tcPr>
          <w:p w:rsidR="008A43F0" w:rsidRPr="009D295A" w:rsidRDefault="009D295A" w:rsidP="00CB755D">
            <w:pPr>
              <w:pStyle w:val="TableText0"/>
              <w:jc w:val="center"/>
              <w:rPr>
                <w:highlight w:val="black"/>
              </w:rPr>
            </w:pPr>
            <w:r>
              <w:rPr>
                <w:noProof/>
                <w:color w:val="000000"/>
                <w:highlight w:val="black"/>
              </w:rPr>
              <w:t>''''''''' ''''''''''''''''</w:t>
            </w:r>
          </w:p>
        </w:tc>
        <w:tc>
          <w:tcPr>
            <w:tcW w:w="527" w:type="pct"/>
            <w:tcBorders>
              <w:bottom w:val="nil"/>
            </w:tcBorders>
            <w:vAlign w:val="center"/>
          </w:tcPr>
          <w:p w:rsidR="008A43F0" w:rsidRPr="009D295A" w:rsidRDefault="009D295A" w:rsidP="00CB755D">
            <w:pPr>
              <w:pStyle w:val="TableText0"/>
              <w:jc w:val="center"/>
              <w:rPr>
                <w:highlight w:val="black"/>
              </w:rPr>
            </w:pPr>
            <w:r>
              <w:rPr>
                <w:noProof/>
                <w:color w:val="000000"/>
                <w:highlight w:val="black"/>
              </w:rPr>
              <w:t>''''' '''''''''''''''''</w:t>
            </w:r>
          </w:p>
        </w:tc>
      </w:tr>
      <w:tr w:rsidR="008A43F0" w:rsidRPr="004E2ADC" w:rsidTr="00CB755D">
        <w:tc>
          <w:tcPr>
            <w:tcW w:w="5000" w:type="pct"/>
            <w:gridSpan w:val="8"/>
            <w:tcBorders>
              <w:bottom w:val="nil"/>
            </w:tcBorders>
          </w:tcPr>
          <w:p w:rsidR="008A43F0" w:rsidRPr="00271EFE" w:rsidRDefault="008A43F0" w:rsidP="00CB755D">
            <w:pPr>
              <w:pStyle w:val="TableText0"/>
            </w:pPr>
            <w:r w:rsidRPr="00271EFE">
              <w:t>Treatment emergent SAE</w:t>
            </w:r>
          </w:p>
        </w:tc>
      </w:tr>
      <w:tr w:rsidR="008A43F0" w:rsidRPr="004E2ADC" w:rsidTr="00CB755D">
        <w:tc>
          <w:tcPr>
            <w:tcW w:w="858" w:type="pct"/>
            <w:tcBorders>
              <w:bottom w:val="nil"/>
            </w:tcBorders>
          </w:tcPr>
          <w:p w:rsidR="008A43F0" w:rsidRDefault="008A43F0" w:rsidP="00CB755D">
            <w:pPr>
              <w:pStyle w:val="TableText0"/>
            </w:pPr>
            <w:r>
              <w:t>Total patients at risk</w:t>
            </w:r>
          </w:p>
        </w:tc>
        <w:tc>
          <w:tcPr>
            <w:tcW w:w="644"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c>
          <w:tcPr>
            <w:tcW w:w="595"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c>
          <w:tcPr>
            <w:tcW w:w="645"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c>
          <w:tcPr>
            <w:tcW w:w="593"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c>
          <w:tcPr>
            <w:tcW w:w="609"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c>
          <w:tcPr>
            <w:tcW w:w="529"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c>
          <w:tcPr>
            <w:tcW w:w="527" w:type="pct"/>
            <w:tcBorders>
              <w:bottom w:val="nil"/>
            </w:tcBorders>
          </w:tcPr>
          <w:p w:rsidR="008A43F0" w:rsidRPr="009D295A" w:rsidRDefault="009D295A" w:rsidP="00CB755D">
            <w:pPr>
              <w:pStyle w:val="TableText0"/>
              <w:jc w:val="center"/>
              <w:rPr>
                <w:highlight w:val="black"/>
              </w:rPr>
            </w:pPr>
            <w:r>
              <w:rPr>
                <w:noProof/>
                <w:color w:val="000000"/>
                <w:highlight w:val="black"/>
              </w:rPr>
              <w:t>'''''</w:t>
            </w:r>
          </w:p>
        </w:tc>
      </w:tr>
      <w:tr w:rsidR="008A43F0" w:rsidRPr="004E2ADC" w:rsidTr="00CB755D">
        <w:tc>
          <w:tcPr>
            <w:tcW w:w="858" w:type="pct"/>
            <w:tcBorders>
              <w:bottom w:val="single" w:sz="4" w:space="0" w:color="auto"/>
            </w:tcBorders>
          </w:tcPr>
          <w:p w:rsidR="008A43F0" w:rsidRDefault="008A43F0" w:rsidP="00CB755D">
            <w:pPr>
              <w:pStyle w:val="TableText0"/>
            </w:pPr>
            <w:r>
              <w:t>Total person years</w:t>
            </w:r>
          </w:p>
        </w:tc>
        <w:tc>
          <w:tcPr>
            <w:tcW w:w="644" w:type="pct"/>
            <w:tcBorders>
              <w:bottom w:val="single" w:sz="4" w:space="0" w:color="auto"/>
            </w:tcBorders>
          </w:tcPr>
          <w:p w:rsidR="008A43F0" w:rsidRPr="009D295A" w:rsidRDefault="009D295A" w:rsidP="00CB755D">
            <w:pPr>
              <w:pStyle w:val="TableText0"/>
              <w:jc w:val="center"/>
              <w:rPr>
                <w:highlight w:val="black"/>
              </w:rPr>
            </w:pPr>
            <w:r>
              <w:rPr>
                <w:noProof/>
                <w:color w:val="000000"/>
                <w:highlight w:val="black"/>
              </w:rPr>
              <w:t>''''''''''''</w:t>
            </w:r>
          </w:p>
        </w:tc>
        <w:tc>
          <w:tcPr>
            <w:tcW w:w="595" w:type="pct"/>
            <w:tcBorders>
              <w:bottom w:val="single" w:sz="4" w:space="0" w:color="auto"/>
            </w:tcBorders>
          </w:tcPr>
          <w:p w:rsidR="008A43F0" w:rsidRPr="009D295A" w:rsidRDefault="009D295A" w:rsidP="00CB755D">
            <w:pPr>
              <w:pStyle w:val="TableText0"/>
              <w:jc w:val="center"/>
              <w:rPr>
                <w:highlight w:val="black"/>
              </w:rPr>
            </w:pPr>
            <w:r>
              <w:rPr>
                <w:noProof/>
                <w:color w:val="000000"/>
                <w:highlight w:val="black"/>
              </w:rPr>
              <w:t>''''''''''''''</w:t>
            </w:r>
          </w:p>
        </w:tc>
        <w:tc>
          <w:tcPr>
            <w:tcW w:w="645" w:type="pct"/>
            <w:tcBorders>
              <w:bottom w:val="single" w:sz="4" w:space="0" w:color="auto"/>
            </w:tcBorders>
          </w:tcPr>
          <w:p w:rsidR="008A43F0" w:rsidRPr="009D295A" w:rsidRDefault="009D295A" w:rsidP="00CB755D">
            <w:pPr>
              <w:pStyle w:val="TableText0"/>
              <w:jc w:val="center"/>
              <w:rPr>
                <w:highlight w:val="black"/>
              </w:rPr>
            </w:pPr>
            <w:r>
              <w:rPr>
                <w:noProof/>
                <w:color w:val="000000"/>
                <w:highlight w:val="black"/>
              </w:rPr>
              <w:t>'''''''''''''</w:t>
            </w:r>
          </w:p>
        </w:tc>
        <w:tc>
          <w:tcPr>
            <w:tcW w:w="593" w:type="pct"/>
            <w:tcBorders>
              <w:bottom w:val="single" w:sz="4" w:space="0" w:color="auto"/>
            </w:tcBorders>
          </w:tcPr>
          <w:p w:rsidR="008A43F0" w:rsidRPr="009D295A" w:rsidRDefault="009D295A" w:rsidP="00CB755D">
            <w:pPr>
              <w:pStyle w:val="TableText0"/>
              <w:jc w:val="center"/>
              <w:rPr>
                <w:highlight w:val="black"/>
              </w:rPr>
            </w:pPr>
            <w:r>
              <w:rPr>
                <w:noProof/>
                <w:color w:val="000000"/>
                <w:highlight w:val="black"/>
              </w:rPr>
              <w:t>'''''''''''''</w:t>
            </w:r>
          </w:p>
        </w:tc>
        <w:tc>
          <w:tcPr>
            <w:tcW w:w="609" w:type="pct"/>
            <w:tcBorders>
              <w:bottom w:val="single" w:sz="4" w:space="0" w:color="auto"/>
            </w:tcBorders>
          </w:tcPr>
          <w:p w:rsidR="008A43F0" w:rsidRPr="009D295A" w:rsidRDefault="009D295A" w:rsidP="00CB755D">
            <w:pPr>
              <w:pStyle w:val="TableText0"/>
              <w:jc w:val="center"/>
              <w:rPr>
                <w:highlight w:val="black"/>
              </w:rPr>
            </w:pPr>
            <w:r>
              <w:rPr>
                <w:noProof/>
                <w:color w:val="000000"/>
                <w:highlight w:val="black"/>
              </w:rPr>
              <w:t>''''''''</w:t>
            </w:r>
          </w:p>
        </w:tc>
        <w:tc>
          <w:tcPr>
            <w:tcW w:w="529" w:type="pct"/>
            <w:tcBorders>
              <w:bottom w:val="single" w:sz="4" w:space="0" w:color="auto"/>
            </w:tcBorders>
          </w:tcPr>
          <w:p w:rsidR="008A43F0" w:rsidRPr="009D295A" w:rsidRDefault="009D295A" w:rsidP="00CB755D">
            <w:pPr>
              <w:pStyle w:val="TableText0"/>
              <w:jc w:val="center"/>
              <w:rPr>
                <w:highlight w:val="black"/>
              </w:rPr>
            </w:pPr>
            <w:r>
              <w:rPr>
                <w:noProof/>
                <w:color w:val="000000"/>
                <w:highlight w:val="black"/>
              </w:rPr>
              <w:t>'''''</w:t>
            </w:r>
          </w:p>
        </w:tc>
        <w:tc>
          <w:tcPr>
            <w:tcW w:w="527" w:type="pct"/>
            <w:tcBorders>
              <w:bottom w:val="single" w:sz="4" w:space="0" w:color="auto"/>
            </w:tcBorders>
          </w:tcPr>
          <w:p w:rsidR="008A43F0" w:rsidRPr="009D295A" w:rsidRDefault="009D295A" w:rsidP="00CB755D">
            <w:pPr>
              <w:pStyle w:val="TableText0"/>
              <w:jc w:val="center"/>
              <w:rPr>
                <w:highlight w:val="black"/>
              </w:rPr>
            </w:pPr>
            <w:r>
              <w:rPr>
                <w:noProof/>
                <w:color w:val="000000"/>
                <w:highlight w:val="black"/>
              </w:rPr>
              <w:t>'''</w:t>
            </w:r>
          </w:p>
        </w:tc>
      </w:tr>
      <w:tr w:rsidR="008A43F0" w:rsidRPr="004E2ADC" w:rsidTr="00CB755D">
        <w:tc>
          <w:tcPr>
            <w:tcW w:w="858" w:type="pct"/>
          </w:tcPr>
          <w:p w:rsidR="008A43F0" w:rsidRDefault="008A43F0" w:rsidP="00CB755D">
            <w:pPr>
              <w:pStyle w:val="TableText0"/>
            </w:pPr>
            <w:r>
              <w:t>Events (rate)</w:t>
            </w:r>
          </w:p>
        </w:tc>
        <w:tc>
          <w:tcPr>
            <w:tcW w:w="644" w:type="pct"/>
          </w:tcPr>
          <w:p w:rsidR="008A43F0" w:rsidRPr="009D295A" w:rsidRDefault="009D295A" w:rsidP="00CB755D">
            <w:pPr>
              <w:pStyle w:val="TableText0"/>
              <w:jc w:val="center"/>
              <w:rPr>
                <w:highlight w:val="black"/>
              </w:rPr>
            </w:pPr>
            <w:r>
              <w:rPr>
                <w:noProof/>
                <w:color w:val="000000"/>
                <w:highlight w:val="black"/>
              </w:rPr>
              <w:t>'''''''''''' '''''''''''''''''</w:t>
            </w:r>
          </w:p>
        </w:tc>
        <w:tc>
          <w:tcPr>
            <w:tcW w:w="595" w:type="pct"/>
          </w:tcPr>
          <w:p w:rsidR="008A43F0" w:rsidRPr="009D295A" w:rsidRDefault="009D295A" w:rsidP="00CB755D">
            <w:pPr>
              <w:pStyle w:val="TableText0"/>
              <w:jc w:val="center"/>
              <w:rPr>
                <w:highlight w:val="black"/>
              </w:rPr>
            </w:pPr>
            <w:r>
              <w:rPr>
                <w:noProof/>
                <w:color w:val="000000"/>
                <w:highlight w:val="black"/>
              </w:rPr>
              <w:t>'''''''''' '''''''''''''''</w:t>
            </w:r>
          </w:p>
        </w:tc>
        <w:tc>
          <w:tcPr>
            <w:tcW w:w="645" w:type="pct"/>
          </w:tcPr>
          <w:p w:rsidR="008A43F0" w:rsidRPr="009D295A" w:rsidRDefault="009D295A" w:rsidP="00CB755D">
            <w:pPr>
              <w:pStyle w:val="TableText0"/>
              <w:jc w:val="center"/>
              <w:rPr>
                <w:highlight w:val="black"/>
              </w:rPr>
            </w:pPr>
            <w:r>
              <w:rPr>
                <w:noProof/>
                <w:color w:val="000000"/>
                <w:highlight w:val="black"/>
              </w:rPr>
              <w:t>'''''''''' ''''''''''''''''</w:t>
            </w:r>
          </w:p>
        </w:tc>
        <w:tc>
          <w:tcPr>
            <w:tcW w:w="593" w:type="pct"/>
          </w:tcPr>
          <w:p w:rsidR="008A43F0" w:rsidRPr="009D295A" w:rsidRDefault="009D295A" w:rsidP="00CB755D">
            <w:pPr>
              <w:pStyle w:val="TableText0"/>
              <w:jc w:val="center"/>
              <w:rPr>
                <w:highlight w:val="black"/>
              </w:rPr>
            </w:pPr>
            <w:r>
              <w:rPr>
                <w:noProof/>
                <w:color w:val="000000"/>
                <w:highlight w:val="black"/>
              </w:rPr>
              <w:t>''''''''' '''''''''''''''''</w:t>
            </w:r>
          </w:p>
        </w:tc>
        <w:tc>
          <w:tcPr>
            <w:tcW w:w="609" w:type="pct"/>
          </w:tcPr>
          <w:p w:rsidR="008A43F0" w:rsidRPr="009D295A" w:rsidRDefault="009D295A" w:rsidP="00CB755D">
            <w:pPr>
              <w:pStyle w:val="TableText0"/>
              <w:jc w:val="center"/>
              <w:rPr>
                <w:highlight w:val="black"/>
              </w:rPr>
            </w:pPr>
            <w:r>
              <w:rPr>
                <w:noProof/>
                <w:color w:val="000000"/>
                <w:highlight w:val="black"/>
              </w:rPr>
              <w:t>''''' ''''''''''''''''</w:t>
            </w:r>
          </w:p>
        </w:tc>
        <w:tc>
          <w:tcPr>
            <w:tcW w:w="529" w:type="pct"/>
          </w:tcPr>
          <w:p w:rsidR="008A43F0" w:rsidRPr="009D295A" w:rsidRDefault="009D295A" w:rsidP="00CB755D">
            <w:pPr>
              <w:pStyle w:val="TableText0"/>
              <w:jc w:val="center"/>
              <w:rPr>
                <w:highlight w:val="black"/>
              </w:rPr>
            </w:pPr>
            <w:r>
              <w:rPr>
                <w:noProof/>
                <w:color w:val="000000"/>
                <w:highlight w:val="black"/>
              </w:rPr>
              <w:t>'''''' ''''''''''''''''</w:t>
            </w:r>
          </w:p>
        </w:tc>
        <w:tc>
          <w:tcPr>
            <w:tcW w:w="527" w:type="pct"/>
          </w:tcPr>
          <w:p w:rsidR="008A43F0" w:rsidRPr="009D295A" w:rsidRDefault="009D295A" w:rsidP="00CB755D">
            <w:pPr>
              <w:pStyle w:val="TableText0"/>
              <w:jc w:val="center"/>
              <w:rPr>
                <w:highlight w:val="black"/>
              </w:rPr>
            </w:pPr>
            <w:r>
              <w:rPr>
                <w:noProof/>
                <w:color w:val="000000"/>
                <w:highlight w:val="black"/>
              </w:rPr>
              <w:t>'''' ''''''''''''''''''</w:t>
            </w:r>
          </w:p>
        </w:tc>
      </w:tr>
      <w:tr w:rsidR="008A43F0" w:rsidRPr="004E2ADC" w:rsidTr="00CB755D">
        <w:tc>
          <w:tcPr>
            <w:tcW w:w="5000" w:type="pct"/>
            <w:gridSpan w:val="8"/>
          </w:tcPr>
          <w:p w:rsidR="008A43F0" w:rsidRPr="00271EFE" w:rsidRDefault="008A43F0" w:rsidP="00CB755D">
            <w:pPr>
              <w:pStyle w:val="TableText0"/>
            </w:pPr>
            <w:r w:rsidRPr="00271EFE">
              <w:t>Treatment emergent infections</w:t>
            </w:r>
          </w:p>
        </w:tc>
      </w:tr>
      <w:tr w:rsidR="008A43F0" w:rsidRPr="004E2ADC" w:rsidTr="00CB755D">
        <w:tc>
          <w:tcPr>
            <w:tcW w:w="858" w:type="pct"/>
          </w:tcPr>
          <w:p w:rsidR="008A43F0" w:rsidRDefault="008A43F0" w:rsidP="00CB755D">
            <w:pPr>
              <w:pStyle w:val="TableText0"/>
            </w:pPr>
            <w:r>
              <w:t>Total patients at risk</w:t>
            </w:r>
          </w:p>
        </w:tc>
        <w:tc>
          <w:tcPr>
            <w:tcW w:w="644" w:type="pct"/>
          </w:tcPr>
          <w:p w:rsidR="008A43F0" w:rsidRPr="009D295A" w:rsidRDefault="009D295A" w:rsidP="00CB755D">
            <w:pPr>
              <w:pStyle w:val="TableText0"/>
              <w:jc w:val="center"/>
              <w:rPr>
                <w:highlight w:val="black"/>
              </w:rPr>
            </w:pPr>
            <w:r>
              <w:rPr>
                <w:noProof/>
                <w:color w:val="000000"/>
                <w:highlight w:val="black"/>
              </w:rPr>
              <w:t>''''''''''''''</w:t>
            </w:r>
          </w:p>
        </w:tc>
        <w:tc>
          <w:tcPr>
            <w:tcW w:w="595" w:type="pct"/>
          </w:tcPr>
          <w:p w:rsidR="008A43F0" w:rsidRPr="009D295A" w:rsidRDefault="009D295A" w:rsidP="00CB755D">
            <w:pPr>
              <w:pStyle w:val="TableText0"/>
              <w:jc w:val="center"/>
              <w:rPr>
                <w:highlight w:val="black"/>
              </w:rPr>
            </w:pPr>
            <w:r>
              <w:rPr>
                <w:noProof/>
                <w:color w:val="000000"/>
                <w:highlight w:val="black"/>
              </w:rPr>
              <w:t>'''''''''''''</w:t>
            </w:r>
          </w:p>
        </w:tc>
        <w:tc>
          <w:tcPr>
            <w:tcW w:w="645" w:type="pct"/>
          </w:tcPr>
          <w:p w:rsidR="008A43F0" w:rsidRPr="009D295A" w:rsidRDefault="009D295A" w:rsidP="00CB755D">
            <w:pPr>
              <w:pStyle w:val="TableText0"/>
              <w:jc w:val="center"/>
              <w:rPr>
                <w:highlight w:val="black"/>
              </w:rPr>
            </w:pPr>
            <w:r>
              <w:rPr>
                <w:noProof/>
                <w:color w:val="000000"/>
                <w:highlight w:val="black"/>
              </w:rPr>
              <w:t>'''''''''''''</w:t>
            </w:r>
          </w:p>
        </w:tc>
        <w:tc>
          <w:tcPr>
            <w:tcW w:w="593" w:type="pct"/>
          </w:tcPr>
          <w:p w:rsidR="008A43F0" w:rsidRPr="009D295A" w:rsidRDefault="009D295A" w:rsidP="00CB755D">
            <w:pPr>
              <w:pStyle w:val="TableText0"/>
              <w:jc w:val="center"/>
              <w:rPr>
                <w:highlight w:val="black"/>
              </w:rPr>
            </w:pPr>
            <w:r>
              <w:rPr>
                <w:noProof/>
                <w:color w:val="000000"/>
                <w:highlight w:val="black"/>
              </w:rPr>
              <w:t>'''''''''</w:t>
            </w:r>
          </w:p>
        </w:tc>
        <w:tc>
          <w:tcPr>
            <w:tcW w:w="609" w:type="pct"/>
          </w:tcPr>
          <w:p w:rsidR="008A43F0" w:rsidRPr="009D295A" w:rsidRDefault="009D295A" w:rsidP="00CB755D">
            <w:pPr>
              <w:pStyle w:val="TableText0"/>
              <w:jc w:val="center"/>
              <w:rPr>
                <w:highlight w:val="black"/>
              </w:rPr>
            </w:pPr>
            <w:r>
              <w:rPr>
                <w:noProof/>
                <w:color w:val="000000"/>
                <w:highlight w:val="black"/>
              </w:rPr>
              <w:t>''''''''''</w:t>
            </w:r>
          </w:p>
        </w:tc>
        <w:tc>
          <w:tcPr>
            <w:tcW w:w="529" w:type="pct"/>
          </w:tcPr>
          <w:p w:rsidR="008A43F0" w:rsidRPr="009D295A" w:rsidRDefault="009D295A" w:rsidP="00CB755D">
            <w:pPr>
              <w:pStyle w:val="TableText0"/>
              <w:jc w:val="center"/>
              <w:rPr>
                <w:highlight w:val="black"/>
              </w:rPr>
            </w:pPr>
            <w:r>
              <w:rPr>
                <w:noProof/>
                <w:color w:val="000000"/>
                <w:highlight w:val="black"/>
              </w:rPr>
              <w:t>''''''</w:t>
            </w:r>
          </w:p>
        </w:tc>
        <w:tc>
          <w:tcPr>
            <w:tcW w:w="527" w:type="pct"/>
          </w:tcPr>
          <w:p w:rsidR="008A43F0" w:rsidRPr="009D295A" w:rsidRDefault="009D295A" w:rsidP="00CB755D">
            <w:pPr>
              <w:pStyle w:val="TableText0"/>
              <w:jc w:val="center"/>
              <w:rPr>
                <w:highlight w:val="black"/>
              </w:rPr>
            </w:pPr>
            <w:r>
              <w:rPr>
                <w:noProof/>
                <w:color w:val="000000"/>
                <w:highlight w:val="black"/>
              </w:rPr>
              <w:t>'''''</w:t>
            </w:r>
          </w:p>
        </w:tc>
      </w:tr>
      <w:tr w:rsidR="008A43F0" w:rsidRPr="004E2ADC" w:rsidTr="00CB755D">
        <w:tc>
          <w:tcPr>
            <w:tcW w:w="858" w:type="pct"/>
          </w:tcPr>
          <w:p w:rsidR="008A43F0" w:rsidRDefault="008A43F0" w:rsidP="00CB755D">
            <w:pPr>
              <w:pStyle w:val="TableText0"/>
            </w:pPr>
            <w:r>
              <w:t>Total person years</w:t>
            </w:r>
          </w:p>
        </w:tc>
        <w:tc>
          <w:tcPr>
            <w:tcW w:w="644" w:type="pct"/>
          </w:tcPr>
          <w:p w:rsidR="008A43F0" w:rsidRPr="009D295A" w:rsidRDefault="009D295A" w:rsidP="00CB755D">
            <w:pPr>
              <w:pStyle w:val="TableText0"/>
              <w:jc w:val="center"/>
              <w:rPr>
                <w:highlight w:val="black"/>
              </w:rPr>
            </w:pPr>
            <w:r>
              <w:rPr>
                <w:noProof/>
                <w:color w:val="000000"/>
                <w:highlight w:val="black"/>
              </w:rPr>
              <w:t>'''''''''''''</w:t>
            </w:r>
          </w:p>
        </w:tc>
        <w:tc>
          <w:tcPr>
            <w:tcW w:w="595" w:type="pct"/>
          </w:tcPr>
          <w:p w:rsidR="008A43F0" w:rsidRPr="009D295A" w:rsidRDefault="009D295A" w:rsidP="00CB755D">
            <w:pPr>
              <w:pStyle w:val="TableText0"/>
              <w:jc w:val="center"/>
              <w:rPr>
                <w:highlight w:val="black"/>
              </w:rPr>
            </w:pPr>
            <w:r>
              <w:rPr>
                <w:noProof/>
                <w:color w:val="000000"/>
                <w:highlight w:val="black"/>
              </w:rPr>
              <w:t>''''''''''''''</w:t>
            </w:r>
          </w:p>
        </w:tc>
        <w:tc>
          <w:tcPr>
            <w:tcW w:w="645" w:type="pct"/>
          </w:tcPr>
          <w:p w:rsidR="008A43F0" w:rsidRPr="009D295A" w:rsidRDefault="009D295A" w:rsidP="00CB755D">
            <w:pPr>
              <w:pStyle w:val="TableText0"/>
              <w:jc w:val="center"/>
              <w:rPr>
                <w:highlight w:val="black"/>
              </w:rPr>
            </w:pPr>
            <w:r>
              <w:rPr>
                <w:noProof/>
                <w:color w:val="000000"/>
                <w:highlight w:val="black"/>
              </w:rPr>
              <w:t>''''''''''''</w:t>
            </w:r>
          </w:p>
        </w:tc>
        <w:tc>
          <w:tcPr>
            <w:tcW w:w="593" w:type="pct"/>
          </w:tcPr>
          <w:p w:rsidR="008A43F0" w:rsidRPr="009D295A" w:rsidRDefault="009D295A" w:rsidP="00CB755D">
            <w:pPr>
              <w:pStyle w:val="TableText0"/>
              <w:jc w:val="center"/>
              <w:rPr>
                <w:highlight w:val="black"/>
              </w:rPr>
            </w:pPr>
            <w:r>
              <w:rPr>
                <w:noProof/>
                <w:color w:val="000000"/>
                <w:highlight w:val="black"/>
              </w:rPr>
              <w:t>'''''''''''''</w:t>
            </w:r>
          </w:p>
        </w:tc>
        <w:tc>
          <w:tcPr>
            <w:tcW w:w="609" w:type="pct"/>
          </w:tcPr>
          <w:p w:rsidR="008A43F0" w:rsidRPr="009D295A" w:rsidRDefault="009D295A" w:rsidP="00CB755D">
            <w:pPr>
              <w:pStyle w:val="TableText0"/>
              <w:jc w:val="center"/>
              <w:rPr>
                <w:highlight w:val="black"/>
              </w:rPr>
            </w:pPr>
            <w:r>
              <w:rPr>
                <w:noProof/>
                <w:color w:val="000000"/>
                <w:highlight w:val="black"/>
              </w:rPr>
              <w:t>'''''''''</w:t>
            </w:r>
          </w:p>
        </w:tc>
        <w:tc>
          <w:tcPr>
            <w:tcW w:w="529" w:type="pct"/>
          </w:tcPr>
          <w:p w:rsidR="008A43F0" w:rsidRPr="009D295A" w:rsidRDefault="009D295A" w:rsidP="00CB755D">
            <w:pPr>
              <w:pStyle w:val="TableText0"/>
              <w:jc w:val="center"/>
              <w:rPr>
                <w:highlight w:val="black"/>
              </w:rPr>
            </w:pPr>
            <w:r>
              <w:rPr>
                <w:noProof/>
                <w:color w:val="000000"/>
                <w:highlight w:val="black"/>
              </w:rPr>
              <w:t>''''''</w:t>
            </w:r>
          </w:p>
        </w:tc>
        <w:tc>
          <w:tcPr>
            <w:tcW w:w="527" w:type="pct"/>
          </w:tcPr>
          <w:p w:rsidR="008A43F0" w:rsidRPr="009D295A" w:rsidRDefault="009D295A" w:rsidP="00CB755D">
            <w:pPr>
              <w:pStyle w:val="TableText0"/>
              <w:jc w:val="center"/>
              <w:rPr>
                <w:highlight w:val="black"/>
              </w:rPr>
            </w:pPr>
            <w:r>
              <w:rPr>
                <w:noProof/>
                <w:color w:val="000000"/>
                <w:highlight w:val="black"/>
              </w:rPr>
              <w:t>'''</w:t>
            </w:r>
          </w:p>
        </w:tc>
      </w:tr>
      <w:tr w:rsidR="008A43F0" w:rsidRPr="004E2ADC" w:rsidTr="00CB755D">
        <w:tc>
          <w:tcPr>
            <w:tcW w:w="858" w:type="pct"/>
          </w:tcPr>
          <w:p w:rsidR="008A43F0" w:rsidRDefault="008A43F0" w:rsidP="00CB755D">
            <w:pPr>
              <w:pStyle w:val="TableText0"/>
            </w:pPr>
            <w:r>
              <w:t>Events (rate)</w:t>
            </w:r>
          </w:p>
        </w:tc>
        <w:tc>
          <w:tcPr>
            <w:tcW w:w="644" w:type="pct"/>
          </w:tcPr>
          <w:p w:rsidR="008A43F0" w:rsidRPr="009D295A" w:rsidRDefault="009D295A" w:rsidP="00CB755D">
            <w:pPr>
              <w:pStyle w:val="TableText0"/>
              <w:jc w:val="center"/>
              <w:rPr>
                <w:highlight w:val="black"/>
              </w:rPr>
            </w:pPr>
            <w:r>
              <w:rPr>
                <w:noProof/>
                <w:color w:val="000000"/>
                <w:highlight w:val="black"/>
              </w:rPr>
              <w:t>''''''''''''' ''''''''''''''''''</w:t>
            </w:r>
          </w:p>
        </w:tc>
        <w:tc>
          <w:tcPr>
            <w:tcW w:w="595" w:type="pct"/>
          </w:tcPr>
          <w:p w:rsidR="008A43F0" w:rsidRPr="009D295A" w:rsidRDefault="009D295A" w:rsidP="00CB755D">
            <w:pPr>
              <w:pStyle w:val="TableText0"/>
              <w:jc w:val="center"/>
              <w:rPr>
                <w:highlight w:val="black"/>
              </w:rPr>
            </w:pPr>
            <w:r>
              <w:rPr>
                <w:noProof/>
                <w:color w:val="000000"/>
                <w:highlight w:val="black"/>
              </w:rPr>
              <w:t>'''''''''''' ''''''''''''''''</w:t>
            </w:r>
          </w:p>
        </w:tc>
        <w:tc>
          <w:tcPr>
            <w:tcW w:w="645" w:type="pct"/>
          </w:tcPr>
          <w:p w:rsidR="008A43F0" w:rsidRPr="009D295A" w:rsidRDefault="009D295A" w:rsidP="00CB755D">
            <w:pPr>
              <w:pStyle w:val="TableText0"/>
              <w:jc w:val="center"/>
              <w:rPr>
                <w:highlight w:val="black"/>
              </w:rPr>
            </w:pPr>
            <w:r>
              <w:rPr>
                <w:noProof/>
                <w:color w:val="000000"/>
                <w:highlight w:val="black"/>
              </w:rPr>
              <w:t>'''''''''''' ''''''''''''''''''</w:t>
            </w:r>
          </w:p>
        </w:tc>
        <w:tc>
          <w:tcPr>
            <w:tcW w:w="593" w:type="pct"/>
          </w:tcPr>
          <w:p w:rsidR="008A43F0" w:rsidRPr="009D295A" w:rsidRDefault="009D295A" w:rsidP="00CB755D">
            <w:pPr>
              <w:pStyle w:val="TableText0"/>
              <w:jc w:val="center"/>
              <w:rPr>
                <w:highlight w:val="black"/>
              </w:rPr>
            </w:pPr>
            <w:r>
              <w:rPr>
                <w:noProof/>
                <w:color w:val="000000"/>
                <w:highlight w:val="black"/>
              </w:rPr>
              <w:t>''''''''''''' ''''''''''''''''</w:t>
            </w:r>
          </w:p>
        </w:tc>
        <w:tc>
          <w:tcPr>
            <w:tcW w:w="609" w:type="pct"/>
          </w:tcPr>
          <w:p w:rsidR="008A43F0" w:rsidRPr="009D295A" w:rsidRDefault="009D295A" w:rsidP="00CB755D">
            <w:pPr>
              <w:pStyle w:val="TableText0"/>
              <w:jc w:val="center"/>
              <w:rPr>
                <w:highlight w:val="black"/>
              </w:rPr>
            </w:pPr>
            <w:r>
              <w:rPr>
                <w:noProof/>
                <w:color w:val="000000"/>
                <w:highlight w:val="black"/>
              </w:rPr>
              <w:t>''''''''' ''''''''''''''''''</w:t>
            </w:r>
          </w:p>
        </w:tc>
        <w:tc>
          <w:tcPr>
            <w:tcW w:w="529" w:type="pct"/>
          </w:tcPr>
          <w:p w:rsidR="008A43F0" w:rsidRPr="009D295A" w:rsidRDefault="009D295A" w:rsidP="00CB755D">
            <w:pPr>
              <w:pStyle w:val="TableText0"/>
              <w:jc w:val="center"/>
              <w:rPr>
                <w:highlight w:val="black"/>
              </w:rPr>
            </w:pPr>
            <w:r>
              <w:rPr>
                <w:noProof/>
                <w:color w:val="000000"/>
                <w:highlight w:val="black"/>
              </w:rPr>
              <w:t>'''''' ''''''''''''''''''</w:t>
            </w:r>
          </w:p>
        </w:tc>
        <w:tc>
          <w:tcPr>
            <w:tcW w:w="527" w:type="pct"/>
          </w:tcPr>
          <w:p w:rsidR="008A43F0" w:rsidRPr="009D295A" w:rsidRDefault="009D295A" w:rsidP="00CB755D">
            <w:pPr>
              <w:pStyle w:val="TableText0"/>
              <w:jc w:val="center"/>
              <w:rPr>
                <w:highlight w:val="black"/>
              </w:rPr>
            </w:pPr>
            <w:r>
              <w:rPr>
                <w:noProof/>
                <w:color w:val="000000"/>
                <w:highlight w:val="black"/>
              </w:rPr>
              <w:t>'''''' ''''''''''''''''</w:t>
            </w:r>
          </w:p>
        </w:tc>
      </w:tr>
    </w:tbl>
    <w:p w:rsidR="00BD1912" w:rsidRDefault="00BD1912" w:rsidP="00BD1912">
      <w:pPr>
        <w:pStyle w:val="TableFooter"/>
      </w:pPr>
      <w:r>
        <w:t>Source: Table 2.5.15, p57 of the</w:t>
      </w:r>
      <w:r w:rsidR="00436C41">
        <w:t xml:space="preserve"> resubmission</w:t>
      </w:r>
      <w:r>
        <w:t xml:space="preserve">; Table 33, p145 </w:t>
      </w:r>
      <w:r w:rsidR="003F073A">
        <w:t>and Table 44, p 164 of the CARE-</w:t>
      </w:r>
      <w:r>
        <w:t xml:space="preserve">MS extension CSR. </w:t>
      </w:r>
    </w:p>
    <w:p w:rsidR="00B8287F" w:rsidRPr="00613467" w:rsidRDefault="00BD1912" w:rsidP="00B8287F">
      <w:pPr>
        <w:pStyle w:val="TableFooter"/>
        <w:spacing w:after="120"/>
        <w:jc w:val="left"/>
      </w:pPr>
      <w:r>
        <w:t>Note: for course 1 and course 2, the events were sourced from the core CARE-MS trials</w:t>
      </w:r>
      <w:r w:rsidR="00B8287F">
        <w:br/>
        <w:t>AE = adverse events, SAE = serious adverse events</w:t>
      </w:r>
    </w:p>
    <w:p w:rsidR="00BD1912" w:rsidRPr="00DE0340" w:rsidRDefault="008A43F0" w:rsidP="00FD072C">
      <w:pPr>
        <w:pStyle w:val="ListParagraph"/>
        <w:widowControl/>
        <w:numPr>
          <w:ilvl w:val="1"/>
          <w:numId w:val="1"/>
        </w:numPr>
      </w:pPr>
      <w:r w:rsidRPr="00DE0340">
        <w:t xml:space="preserve">Overall, it appeared that both AEs and treatment emergent </w:t>
      </w:r>
      <w:r w:rsidR="00B8287F">
        <w:t>serious adverse events (</w:t>
      </w:r>
      <w:r w:rsidRPr="00DE0340">
        <w:t>SAEs</w:t>
      </w:r>
      <w:r w:rsidR="00B8287F">
        <w:t>)</w:t>
      </w:r>
      <w:r w:rsidRPr="00DE0340">
        <w:t xml:space="preserve"> have an initial high risk of events at course one, with a subsequent decrease at </w:t>
      </w:r>
      <w:r w:rsidRPr="00DE0340">
        <w:lastRenderedPageBreak/>
        <w:t>course two followed by a slight increase for every course through course four. Though no statistical comparison was made, the point estimates indicated that with the exception of the second course, the risk per-person year of an AE or a treatment emergent serious AE increased slightly after every additional treatment course through the fourth course.</w:t>
      </w:r>
    </w:p>
    <w:p w:rsidR="004803F4" w:rsidRPr="004803F4" w:rsidRDefault="008A43F0" w:rsidP="004803F4">
      <w:pPr>
        <w:pStyle w:val="ListParagraph"/>
        <w:widowControl/>
        <w:numPr>
          <w:ilvl w:val="1"/>
          <w:numId w:val="1"/>
        </w:numPr>
      </w:pPr>
      <w:r w:rsidRPr="00DE0340">
        <w:t>The adverse event profile for alemtuzumab in CARE-MS extension was similar to the two year CARE-MS I and CARE-MS II trials</w:t>
      </w:r>
      <w:r w:rsidR="002A16C7" w:rsidRPr="00DE0340">
        <w:t>: infusion-related reactions (rash, headache, nausea, pyrexia, urticarial, pruritus, insomnia and chills), infections (nasopharyngitis, urinary tract infection, upper respiratory tract infection, sinusitis, influenza, oral herpes, bronchitis and herpes zoster) and autoimmune disease (particularly thyroid disorders) were commonly reported with alemtuzumab treatment.</w:t>
      </w:r>
      <w:r w:rsidR="00425149">
        <w:rPr>
          <w:i/>
        </w:rPr>
        <w:t xml:space="preserve"> </w:t>
      </w:r>
      <w:r w:rsidR="00425149" w:rsidRPr="00057575">
        <w:t xml:space="preserve">The ESC </w:t>
      </w:r>
      <w:r w:rsidR="00182F7F" w:rsidRPr="00057575">
        <w:t>noted</w:t>
      </w:r>
      <w:r w:rsidR="00425149" w:rsidRPr="00057575">
        <w:t xml:space="preserve"> that</w:t>
      </w:r>
      <w:r w:rsidR="007B5959" w:rsidRPr="00057575">
        <w:t xml:space="preserve"> the</w:t>
      </w:r>
      <w:r w:rsidR="004A6788" w:rsidRPr="00057575">
        <w:t xml:space="preserve"> toxicity of the</w:t>
      </w:r>
      <w:r w:rsidR="007B5959" w:rsidRPr="00057575">
        <w:t xml:space="preserve"> high potency DMTs </w:t>
      </w:r>
      <w:r w:rsidR="004A6788" w:rsidRPr="00057575">
        <w:t>is greater than that for the lower potency DMTs, with pneumonitis and listeriosis having been adjudicated as important identified risks with alemtuzumab treatment.</w:t>
      </w:r>
      <w:r w:rsidR="007B5959" w:rsidRPr="00057575">
        <w:t xml:space="preserve"> </w:t>
      </w:r>
      <w:r w:rsidR="00425149" w:rsidRPr="00057575">
        <w:t xml:space="preserve"> </w:t>
      </w:r>
      <w:r w:rsidR="004A6788" w:rsidRPr="00057575">
        <w:t>T</w:t>
      </w:r>
      <w:r w:rsidR="00B73F11" w:rsidRPr="00057575">
        <w:t xml:space="preserve">he ESC noted the comparative safety of alemtuzumab over six years compared to other DMTs </w:t>
      </w:r>
      <w:r w:rsidR="007B5959" w:rsidRPr="00057575">
        <w:t>is</w:t>
      </w:r>
      <w:r w:rsidR="00B73F11" w:rsidRPr="00057575">
        <w:t xml:space="preserve"> not known. </w:t>
      </w:r>
    </w:p>
    <w:p w:rsidR="00BD1912" w:rsidRPr="00C9624D" w:rsidRDefault="00BD1912" w:rsidP="001D3277">
      <w:pPr>
        <w:pStyle w:val="Heading2"/>
      </w:pPr>
      <w:bookmarkStart w:id="20" w:name="_Toc524531628"/>
      <w:r w:rsidRPr="00C9624D">
        <w:t>Clinical claim</w:t>
      </w:r>
      <w:bookmarkEnd w:id="20"/>
    </w:p>
    <w:p w:rsidR="001707F5" w:rsidRPr="00DE0340" w:rsidRDefault="001707F5" w:rsidP="00FD072C">
      <w:pPr>
        <w:pStyle w:val="ListParagraph"/>
        <w:numPr>
          <w:ilvl w:val="1"/>
          <w:numId w:val="1"/>
        </w:numPr>
        <w:spacing w:after="0"/>
        <w:rPr>
          <w:color w:val="000000" w:themeColor="text1"/>
        </w:rPr>
      </w:pPr>
      <w:r w:rsidRPr="00DE0340">
        <w:t xml:space="preserve">The resubmission claimed that for the majority of patients, the clinical benefits in terms of </w:t>
      </w:r>
      <w:r w:rsidR="00352BD2">
        <w:t xml:space="preserve">a </w:t>
      </w:r>
      <w:r w:rsidRPr="00DE0340">
        <w:t xml:space="preserve">reduced </w:t>
      </w:r>
      <w:r w:rsidR="00B8287F">
        <w:t>annualised relapse rate</w:t>
      </w:r>
      <w:r w:rsidRPr="00DE0340">
        <w:t xml:space="preserve"> and accumulation of disability observed after two years of follow-up was maintained for a minimum of six years with two course</w:t>
      </w:r>
      <w:r w:rsidR="00225871" w:rsidRPr="00DE0340">
        <w:t>s</w:t>
      </w:r>
      <w:r w:rsidRPr="00DE0340">
        <w:t xml:space="preserve"> of treatment for some </w:t>
      </w:r>
      <w:r w:rsidRPr="00271EFE">
        <w:t>patients (</w:t>
      </w:r>
      <w:r w:rsidR="009D295A">
        <w:rPr>
          <w:noProof/>
          <w:color w:val="000000"/>
          <w:highlight w:val="black"/>
        </w:rPr>
        <w:t>'''''''''</w:t>
      </w:r>
      <w:r w:rsidRPr="00271EFE">
        <w:t>%), with others (</w:t>
      </w:r>
      <w:r w:rsidR="009D295A">
        <w:rPr>
          <w:noProof/>
          <w:color w:val="000000"/>
          <w:highlight w:val="black"/>
        </w:rPr>
        <w:t>'''''''''</w:t>
      </w:r>
      <w:r w:rsidRPr="00271EFE">
        <w:t>%) requiring one or two additional courses of treatment to maintain clinical benefit</w:t>
      </w:r>
      <w:r w:rsidR="00A619EE" w:rsidRPr="00271EFE">
        <w:t xml:space="preserve"> (an additional </w:t>
      </w:r>
      <w:r w:rsidR="009D295A">
        <w:rPr>
          <w:noProof/>
          <w:color w:val="000000"/>
          <w:highlight w:val="black"/>
        </w:rPr>
        <w:t>'''''</w:t>
      </w:r>
      <w:r w:rsidR="00A619EE" w:rsidRPr="00271EFE">
        <w:t>% of</w:t>
      </w:r>
      <w:r w:rsidR="00A619EE" w:rsidRPr="00057575">
        <w:t xml:space="preserve"> patients switched to alternative DMTs</w:t>
      </w:r>
      <w:r w:rsidR="00F1462C" w:rsidRPr="00057575">
        <w:t xml:space="preserve"> during the </w:t>
      </w:r>
      <w:r w:rsidR="00A617BC" w:rsidRPr="00057575">
        <w:t>extension</w:t>
      </w:r>
      <w:r w:rsidR="00A619EE" w:rsidRPr="00057575">
        <w:t>)</w:t>
      </w:r>
      <w:r w:rsidRPr="00057575">
        <w:t>.</w:t>
      </w:r>
      <w:r w:rsidRPr="00DE0340">
        <w:t xml:space="preserve"> </w:t>
      </w:r>
      <w:r w:rsidR="00377D0D" w:rsidRPr="00DE0340">
        <w:t>This may not be supported as:</w:t>
      </w:r>
      <w:r w:rsidRPr="00DE0340">
        <w:t xml:space="preserve"> </w:t>
      </w:r>
    </w:p>
    <w:p w:rsidR="001707F5" w:rsidRPr="00DE0340" w:rsidRDefault="00225871" w:rsidP="00FD072C">
      <w:pPr>
        <w:pStyle w:val="ListParagraph"/>
        <w:numPr>
          <w:ilvl w:val="1"/>
          <w:numId w:val="13"/>
        </w:numPr>
        <w:spacing w:after="0"/>
        <w:ind w:left="1134" w:hanging="425"/>
        <w:rPr>
          <w:color w:val="000000" w:themeColor="text1"/>
        </w:rPr>
      </w:pPr>
      <w:r w:rsidRPr="00DE0340">
        <w:t>The</w:t>
      </w:r>
      <w:r w:rsidR="001707F5" w:rsidRPr="00DE0340">
        <w:t xml:space="preserve"> CARE-MS extension showed that patients continued to maintain similar annualised rates of sustained accumulated disability for up to 6 years with additional treatment as</w:t>
      </w:r>
      <w:r w:rsidR="002A16C7" w:rsidRPr="00DE0340">
        <w:t>-</w:t>
      </w:r>
      <w:r w:rsidR="001707F5" w:rsidRPr="00DE0340">
        <w:t>needed. Patients however continued to progress, with a smaller proportion remaining relapse</w:t>
      </w:r>
      <w:r w:rsidR="00B23E41" w:rsidRPr="00DE0340">
        <w:t>-</w:t>
      </w:r>
      <w:r w:rsidR="001707F5" w:rsidRPr="00DE0340">
        <w:t>free over time</w:t>
      </w:r>
      <w:r w:rsidR="00B23E41" w:rsidRPr="00DE0340">
        <w:t xml:space="preserve"> </w:t>
      </w:r>
      <w:r w:rsidR="00B23E41" w:rsidRPr="00271EFE">
        <w:t xml:space="preserve">(77.6%/65.4% at 2 years to </w:t>
      </w:r>
      <w:r w:rsidR="009D295A">
        <w:rPr>
          <w:noProof/>
          <w:color w:val="000000"/>
          <w:highlight w:val="black"/>
        </w:rPr>
        <w:t>'''''</w:t>
      </w:r>
      <w:r w:rsidR="00B23E41" w:rsidRPr="00271EFE">
        <w:t>%/</w:t>
      </w:r>
      <w:r w:rsidR="009D295A">
        <w:rPr>
          <w:noProof/>
          <w:color w:val="000000"/>
          <w:highlight w:val="black"/>
        </w:rPr>
        <w:t>'''''</w:t>
      </w:r>
      <w:r w:rsidR="00B23E41" w:rsidRPr="00271EFE">
        <w:t>% at 6 years in CARE</w:t>
      </w:r>
      <w:r w:rsidR="003F073A" w:rsidRPr="00271EFE">
        <w:t>-</w:t>
      </w:r>
      <w:r w:rsidR="00B23E41" w:rsidRPr="00271EFE">
        <w:t>MS I and II, respectively)</w:t>
      </w:r>
      <w:r w:rsidR="001707F5" w:rsidRPr="00271EFE">
        <w:t>. Additionally</w:t>
      </w:r>
      <w:r w:rsidR="001707F5" w:rsidRPr="00DE0340">
        <w:t>, the claim of sustained benefit on the basis of similar annualised rates over two years versus six years may not be appropriate. In a traditional economic evaluation, disability progression over time would be accounted for, so even if the rate remained similar, the same overall level of benefit</w:t>
      </w:r>
      <w:r w:rsidR="00377D0D" w:rsidRPr="00DE0340">
        <w:t xml:space="preserve"> would be lower over six years;</w:t>
      </w:r>
    </w:p>
    <w:p w:rsidR="00377D0D" w:rsidRPr="00DE0340" w:rsidRDefault="00377D0D" w:rsidP="00FD072C">
      <w:pPr>
        <w:pStyle w:val="ListParagraph"/>
        <w:numPr>
          <w:ilvl w:val="1"/>
          <w:numId w:val="13"/>
        </w:numPr>
        <w:spacing w:after="0"/>
        <w:ind w:left="1134" w:hanging="425"/>
        <w:rPr>
          <w:color w:val="000000" w:themeColor="text1"/>
        </w:rPr>
      </w:pPr>
      <w:r w:rsidRPr="00DE0340">
        <w:rPr>
          <w:color w:val="000000" w:themeColor="text1"/>
        </w:rPr>
        <w:t>The CARE-MS extension study was susceptible to high risk of bias (open label, single intervention) that could overestimate the sustained benefit of alemtuzumab with or without additional as</w:t>
      </w:r>
      <w:r w:rsidR="009F1506" w:rsidRPr="00DE0340">
        <w:rPr>
          <w:color w:val="000000" w:themeColor="text1"/>
        </w:rPr>
        <w:t>-</w:t>
      </w:r>
      <w:r w:rsidRPr="00DE0340">
        <w:rPr>
          <w:color w:val="000000" w:themeColor="text1"/>
        </w:rPr>
        <w:t>needed treatment; and</w:t>
      </w:r>
    </w:p>
    <w:p w:rsidR="00377D0D" w:rsidRDefault="00377D0D" w:rsidP="00FD072C">
      <w:pPr>
        <w:pStyle w:val="ListParagraph"/>
        <w:numPr>
          <w:ilvl w:val="1"/>
          <w:numId w:val="13"/>
        </w:numPr>
        <w:ind w:left="1134" w:hanging="425"/>
        <w:rPr>
          <w:color w:val="000000" w:themeColor="text1"/>
        </w:rPr>
      </w:pPr>
      <w:r w:rsidRPr="00DE0340">
        <w:rPr>
          <w:color w:val="000000" w:themeColor="text1"/>
        </w:rPr>
        <w:t>The resubmission's presentation of re-treatment rates was poorly described and appeared biased due to the selective reporting of outcomes using alternative analysis sets.</w:t>
      </w:r>
    </w:p>
    <w:p w:rsidR="00BC1A06" w:rsidRPr="00057575" w:rsidRDefault="00BC1A06" w:rsidP="00BC1A06">
      <w:pPr>
        <w:pStyle w:val="ListParagraph"/>
        <w:ind w:left="1134"/>
        <w:rPr>
          <w:color w:val="000000" w:themeColor="text1"/>
        </w:rPr>
      </w:pPr>
      <w:r w:rsidRPr="00057575">
        <w:rPr>
          <w:color w:val="000000" w:themeColor="text1"/>
        </w:rPr>
        <w:t xml:space="preserve">The </w:t>
      </w:r>
      <w:r w:rsidR="004803F4">
        <w:rPr>
          <w:color w:val="000000" w:themeColor="text1"/>
        </w:rPr>
        <w:t xml:space="preserve">PBAC agreed with the </w:t>
      </w:r>
      <w:r w:rsidRPr="00057575">
        <w:rPr>
          <w:color w:val="000000" w:themeColor="text1"/>
        </w:rPr>
        <w:t xml:space="preserve">ESC that the proportion of patients requiring more than two doses of alemtuzumab </w:t>
      </w:r>
      <w:r w:rsidR="00352BD2" w:rsidRPr="00057575">
        <w:rPr>
          <w:color w:val="000000" w:themeColor="text1"/>
        </w:rPr>
        <w:t xml:space="preserve">or an alternative DMT </w:t>
      </w:r>
      <w:r w:rsidRPr="00057575">
        <w:rPr>
          <w:color w:val="000000" w:themeColor="text1"/>
        </w:rPr>
        <w:t xml:space="preserve">at </w:t>
      </w:r>
      <w:r w:rsidR="009D295A">
        <w:rPr>
          <w:noProof/>
          <w:color w:val="000000"/>
          <w:highlight w:val="black"/>
        </w:rPr>
        <w:t>'''''''''</w:t>
      </w:r>
      <w:r w:rsidRPr="00271EFE">
        <w:rPr>
          <w:color w:val="000000" w:themeColor="text1"/>
        </w:rPr>
        <w:t>%</w:t>
      </w:r>
      <w:r w:rsidRPr="00057575">
        <w:rPr>
          <w:color w:val="000000" w:themeColor="text1"/>
        </w:rPr>
        <w:t xml:space="preserve"> was considerable and therefore contradictory to the</w:t>
      </w:r>
      <w:r w:rsidR="00134595" w:rsidRPr="00057575">
        <w:rPr>
          <w:color w:val="000000" w:themeColor="text1"/>
        </w:rPr>
        <w:t xml:space="preserve"> </w:t>
      </w:r>
      <w:r w:rsidR="00680F38" w:rsidRPr="00057575">
        <w:rPr>
          <w:color w:val="000000" w:themeColor="text1"/>
        </w:rPr>
        <w:t>re</w:t>
      </w:r>
      <w:r w:rsidR="00134595" w:rsidRPr="00057575">
        <w:rPr>
          <w:color w:val="000000" w:themeColor="text1"/>
        </w:rPr>
        <w:t xml:space="preserve">submission’s </w:t>
      </w:r>
      <w:r w:rsidR="00182F7F" w:rsidRPr="00057575">
        <w:rPr>
          <w:color w:val="000000" w:themeColor="text1"/>
        </w:rPr>
        <w:t>assumption that the benefit of treatment is equivalent over six years</w:t>
      </w:r>
      <w:r w:rsidR="00F1462C" w:rsidRPr="00057575">
        <w:rPr>
          <w:color w:val="000000" w:themeColor="text1"/>
        </w:rPr>
        <w:t xml:space="preserve"> for all patients</w:t>
      </w:r>
      <w:r w:rsidR="00134595" w:rsidRPr="00057575">
        <w:rPr>
          <w:color w:val="000000" w:themeColor="text1"/>
        </w:rPr>
        <w:t xml:space="preserve">.  </w:t>
      </w:r>
    </w:p>
    <w:p w:rsidR="00377D0D" w:rsidRPr="004803F4" w:rsidRDefault="00377D0D" w:rsidP="004803F4">
      <w:pPr>
        <w:numPr>
          <w:ilvl w:val="1"/>
          <w:numId w:val="1"/>
        </w:numPr>
        <w:spacing w:after="120"/>
        <w:rPr>
          <w:rFonts w:asciiTheme="minorHAnsi" w:hAnsiTheme="minorHAnsi"/>
          <w:bCs/>
        </w:rPr>
      </w:pPr>
      <w:r w:rsidRPr="00DE0340">
        <w:lastRenderedPageBreak/>
        <w:t>The resubmission (p65) claim</w:t>
      </w:r>
      <w:r w:rsidR="0084504C" w:rsidRPr="00DE0340">
        <w:t>ed</w:t>
      </w:r>
      <w:r w:rsidRPr="00DE0340">
        <w:t xml:space="preserve"> that treatment with alemtuzumab represents a “favourable risk-benefit” profile with no new safety signals observed. </w:t>
      </w:r>
      <w:r w:rsidR="00C37B48">
        <w:t xml:space="preserve">As expected </w:t>
      </w:r>
      <w:r w:rsidRPr="00DE0340">
        <w:t xml:space="preserve">patients who were treated with more courses of alemtuzumab reported higher rates of </w:t>
      </w:r>
      <w:r w:rsidR="0093459E">
        <w:t>AE</w:t>
      </w:r>
      <w:r w:rsidRPr="00DE0340">
        <w:t>s.</w:t>
      </w:r>
      <w:r w:rsidR="004803F4">
        <w:t xml:space="preserve"> </w:t>
      </w:r>
      <w:r w:rsidR="004803F4">
        <w:rPr>
          <w:rFonts w:asciiTheme="minorHAnsi" w:hAnsiTheme="minorHAnsi"/>
          <w:bCs/>
        </w:rPr>
        <w:t xml:space="preserve">The PBAC agreed with the resubmission’s claim that no new safety signals were evident for treatment with alemtuzumab. The PBAC also noted the ongoing sponsor-funded Lemtrada safety monitoring program. </w:t>
      </w:r>
    </w:p>
    <w:p w:rsidR="00A62C1D" w:rsidRPr="00A62C1D" w:rsidRDefault="001707F5" w:rsidP="00A62C1D">
      <w:pPr>
        <w:pStyle w:val="ListParagraph"/>
        <w:numPr>
          <w:ilvl w:val="1"/>
          <w:numId w:val="1"/>
        </w:numPr>
        <w:rPr>
          <w:color w:val="000000" w:themeColor="text1"/>
        </w:rPr>
      </w:pPr>
      <w:r w:rsidRPr="00DE0340">
        <w:t>No comparative claims on efficacy or safety compared to fingolimod</w:t>
      </w:r>
      <w:r w:rsidR="009F1506" w:rsidRPr="00DE0340">
        <w:t xml:space="preserve"> or</w:t>
      </w:r>
      <w:r w:rsidRPr="00DE0340">
        <w:t xml:space="preserve"> natalizumab </w:t>
      </w:r>
      <w:r w:rsidR="009F1506" w:rsidRPr="00DE0340">
        <w:t>(</w:t>
      </w:r>
      <w:r w:rsidRPr="00DE0340">
        <w:t xml:space="preserve">or ocrelizumab </w:t>
      </w:r>
      <w:r w:rsidR="00B23E41" w:rsidRPr="00DE0340">
        <w:t xml:space="preserve">or cladribine) </w:t>
      </w:r>
      <w:r w:rsidRPr="00DE0340">
        <w:t>were made. The clinical evidence presented in the resubmission does not adequately pr</w:t>
      </w:r>
      <w:r w:rsidR="00377D0D" w:rsidRPr="00DE0340">
        <w:t>ovide a justification for a</w:t>
      </w:r>
      <w:r w:rsidR="001E332F" w:rsidRPr="00DE0340">
        <w:t>n</w:t>
      </w:r>
      <w:r w:rsidRPr="00DE0340">
        <w:t xml:space="preserve"> increase in the requested price, as a comparison to </w:t>
      </w:r>
      <w:r w:rsidR="00327435">
        <w:t xml:space="preserve">other DMTs </w:t>
      </w:r>
      <w:r w:rsidR="00377D0D" w:rsidRPr="00DE0340">
        <w:t>was not presented.</w:t>
      </w:r>
      <w:r w:rsidR="00182F7F">
        <w:t xml:space="preserve"> </w:t>
      </w:r>
      <w:r w:rsidR="00182F7F" w:rsidRPr="00057575">
        <w:t>The ESC noted results from Kalincik et al 2017 indicated that alemtuzumab may be inferior to natalizumab</w:t>
      </w:r>
      <w:r w:rsidR="00327435" w:rsidRPr="00057575">
        <w:t>. T</w:t>
      </w:r>
      <w:r w:rsidR="00182F7F" w:rsidRPr="00057575">
        <w:t xml:space="preserve">he ESC noted that natalizumab is only used in </w:t>
      </w:r>
      <w:r w:rsidR="009835F0" w:rsidRPr="00057575">
        <w:t xml:space="preserve">RRMS </w:t>
      </w:r>
      <w:r w:rsidR="00182F7F" w:rsidRPr="00057575">
        <w:t xml:space="preserve">patients </w:t>
      </w:r>
      <w:r w:rsidR="009835F0" w:rsidRPr="00057575">
        <w:t xml:space="preserve">who are JC virus antibody negative. </w:t>
      </w:r>
    </w:p>
    <w:p w:rsidR="00A62C1D" w:rsidRPr="00780904" w:rsidRDefault="00A62C1D" w:rsidP="00A62C1D">
      <w:pPr>
        <w:pStyle w:val="ListParagraph"/>
        <w:numPr>
          <w:ilvl w:val="1"/>
          <w:numId w:val="1"/>
        </w:numPr>
      </w:pPr>
      <w:r w:rsidRPr="00780904">
        <w:t xml:space="preserve">The PBAC considered that the </w:t>
      </w:r>
      <w:r w:rsidR="00780904" w:rsidRPr="00780904">
        <w:rPr>
          <w:rFonts w:asciiTheme="minorHAnsi" w:hAnsiTheme="minorHAnsi"/>
          <w:bCs/>
        </w:rPr>
        <w:t>claim of extended clinical benefit from two years to six years</w:t>
      </w:r>
      <w:r w:rsidR="00780904" w:rsidRPr="00780904" w:rsidDel="00780904">
        <w:t xml:space="preserve"> </w:t>
      </w:r>
      <w:r w:rsidRPr="00780904">
        <w:t>was not adequately supported by the data.</w:t>
      </w:r>
    </w:p>
    <w:p w:rsidR="00A62C1D" w:rsidRPr="00E70AF6" w:rsidRDefault="00A62C1D" w:rsidP="00A62C1D">
      <w:pPr>
        <w:pStyle w:val="ListParagraph"/>
        <w:numPr>
          <w:ilvl w:val="1"/>
          <w:numId w:val="1"/>
        </w:numPr>
      </w:pPr>
      <w:r w:rsidRPr="00E70AF6">
        <w:t xml:space="preserve">The PBAC considered that the claim </w:t>
      </w:r>
      <w:r w:rsidR="00E70AF6">
        <w:t>of comparable annual rates of adverse events between those who receive</w:t>
      </w:r>
      <w:r w:rsidR="00841ACB">
        <w:t>d</w:t>
      </w:r>
      <w:r w:rsidR="00E70AF6">
        <w:t xml:space="preserve"> alemtuzumab for two years and those who receive</w:t>
      </w:r>
      <w:r w:rsidR="00841ACB">
        <w:t>d</w:t>
      </w:r>
      <w:r w:rsidR="00E70AF6">
        <w:t xml:space="preserve"> a third </w:t>
      </w:r>
      <w:r w:rsidR="00841ACB">
        <w:t>or fourth course of alemtuzumab</w:t>
      </w:r>
      <w:r w:rsidR="00780904" w:rsidRPr="00E70AF6">
        <w:t xml:space="preserve"> </w:t>
      </w:r>
      <w:r w:rsidRPr="00E70AF6">
        <w:t>was reasonable.</w:t>
      </w:r>
    </w:p>
    <w:p w:rsidR="00BD1912" w:rsidRPr="00C9624D" w:rsidRDefault="00BD1912" w:rsidP="001D3277">
      <w:pPr>
        <w:pStyle w:val="Heading2"/>
      </w:pPr>
      <w:bookmarkStart w:id="21" w:name="_Toc524531629"/>
      <w:r w:rsidRPr="00C9624D">
        <w:t>Economic analysis</w:t>
      </w:r>
      <w:bookmarkEnd w:id="21"/>
      <w:r w:rsidRPr="00C9624D">
        <w:t xml:space="preserve"> </w:t>
      </w:r>
    </w:p>
    <w:p w:rsidR="00BD1912" w:rsidRPr="004F53A6" w:rsidRDefault="00BD1912" w:rsidP="00FD072C">
      <w:pPr>
        <w:pStyle w:val="ListParagraph"/>
        <w:widowControl/>
        <w:numPr>
          <w:ilvl w:val="1"/>
          <w:numId w:val="1"/>
        </w:numPr>
      </w:pPr>
      <w:r>
        <w:rPr>
          <w:rFonts w:cs="Calibri"/>
          <w:snapToGrid/>
          <w:color w:val="000000" w:themeColor="text1"/>
          <w:szCs w:val="24"/>
          <w:lang w:val="en-US" w:eastAsia="en-AU"/>
        </w:rPr>
        <w:t>The resubmission presented a cost analysis</w:t>
      </w:r>
      <w:r w:rsidR="00AE1435">
        <w:rPr>
          <w:rFonts w:cs="Calibri"/>
          <w:snapToGrid/>
          <w:color w:val="000000" w:themeColor="text1"/>
          <w:szCs w:val="24"/>
          <w:lang w:val="en-US" w:eastAsia="en-AU"/>
        </w:rPr>
        <w:t xml:space="preserve"> which compared the cost per year of benefit with two courses of alemtuzumab (cost of two courses divided by two years of benefit) with that for up to four courses of alemtuzumab (cost of up to 4 courses divided by up to 6 years of benefit).  </w:t>
      </w:r>
    </w:p>
    <w:p w:rsidR="004F53A6" w:rsidRPr="00DE0340" w:rsidRDefault="004F53A6" w:rsidP="00FD072C">
      <w:pPr>
        <w:pStyle w:val="ListParagraph"/>
        <w:widowControl/>
        <w:numPr>
          <w:ilvl w:val="1"/>
          <w:numId w:val="1"/>
        </w:numPr>
      </w:pPr>
      <w:r w:rsidRPr="00DE0340">
        <w:t>The most critical issue affecting the validity of the cost analysis presented in the resubmission is that the resubmission’s nominated comparator is likely to be inappropriate, and a cost effectiveness analysis against a</w:t>
      </w:r>
      <w:r w:rsidR="00533290">
        <w:t>n alternative</w:t>
      </w:r>
      <w:r w:rsidRPr="00DE0340">
        <w:t xml:space="preserve"> comparator (fingolimod</w:t>
      </w:r>
      <w:r w:rsidR="00533290">
        <w:t>,</w:t>
      </w:r>
      <w:r w:rsidRPr="00DE0340">
        <w:t xml:space="preserve"> natalizumab</w:t>
      </w:r>
      <w:r w:rsidR="00533290">
        <w:t>, ocrelizumab or cladribine</w:t>
      </w:r>
      <w:r w:rsidRPr="00DE0340">
        <w:t xml:space="preserve">) should have been the basis for </w:t>
      </w:r>
      <w:r w:rsidR="001E332F" w:rsidRPr="00DE0340">
        <w:t>the analysis</w:t>
      </w:r>
      <w:r w:rsidRPr="00DE0340">
        <w:t xml:space="preserve">. </w:t>
      </w:r>
      <w:r w:rsidR="006A4FCE">
        <w:t xml:space="preserve">The pre-PBAC response (p3) argued that while the current price per vial of alemtuzumab is based on the recognition of two years of clinical benefit, the requested price per vial is based on more recent data demonstrating a minimum of six years of benefit. Hence, the pre-PBAC response (p3) stated that the cost comparison presented appropriately reflects the clinical data presented. The PBAC </w:t>
      </w:r>
      <w:r w:rsidR="00841ACB">
        <w:t xml:space="preserve">disagreed with the sponsor and </w:t>
      </w:r>
      <w:r w:rsidR="006A4FCE">
        <w:t xml:space="preserve">considered that a cost effectiveness analysis against an alternative comparator was the appropriate basis for the analysis. </w:t>
      </w:r>
    </w:p>
    <w:p w:rsidR="00BD1912" w:rsidRDefault="00A94F25" w:rsidP="00FD072C">
      <w:pPr>
        <w:pStyle w:val="ListParagraph"/>
        <w:widowControl/>
        <w:numPr>
          <w:ilvl w:val="1"/>
          <w:numId w:val="1"/>
        </w:numPr>
      </w:pPr>
      <w:r w:rsidRPr="00A94F25">
        <w:t>Table 13</w:t>
      </w:r>
      <w:r w:rsidR="00BD1912">
        <w:t xml:space="preserve"> presents a summary of the cost-analysis</w:t>
      </w:r>
      <w:r w:rsidR="00377D0D">
        <w:t>.</w:t>
      </w:r>
    </w:p>
    <w:p w:rsidR="00BD1912" w:rsidRDefault="00BD1912" w:rsidP="00BD1912">
      <w:pPr>
        <w:pStyle w:val="TableHeading0"/>
        <w:rPr>
          <w:noProof/>
        </w:rPr>
      </w:pPr>
      <w:bookmarkStart w:id="22" w:name="_Ref523872520"/>
      <w:r w:rsidRPr="00F704F7">
        <w:rPr>
          <w:rStyle w:val="CommentReference"/>
          <w:b/>
        </w:rPr>
        <w:lastRenderedPageBreak/>
        <w:t>Table</w:t>
      </w:r>
      <w:r>
        <w:rPr>
          <w:rStyle w:val="CommentReference"/>
        </w:rPr>
        <w:t xml:space="preserve"> </w:t>
      </w:r>
      <w:r w:rsidR="00A94F25">
        <w:rPr>
          <w:noProof/>
          <w:szCs w:val="16"/>
        </w:rPr>
        <w:t>13</w:t>
      </w:r>
      <w:bookmarkEnd w:id="22"/>
      <w:r w:rsidRPr="00F704F7">
        <w:rPr>
          <w:rStyle w:val="CommentReference"/>
          <w:b/>
        </w:rPr>
        <w:t>:</w:t>
      </w:r>
      <w:r w:rsidRPr="00A56B6A">
        <w:rPr>
          <w:rStyle w:val="CommentReference"/>
        </w:rPr>
        <w:t xml:space="preserve"> </w:t>
      </w:r>
      <w:r>
        <w:t>Key assumptions and components of the cost-analysis approach</w:t>
      </w:r>
      <w:r>
        <w:rPr>
          <w:noProof/>
        </w:rPr>
        <w:t xml:space="preserve"> </w:t>
      </w: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assumptions and components of the cost-analysis approach "/>
      </w:tblPr>
      <w:tblGrid>
        <w:gridCol w:w="1369"/>
        <w:gridCol w:w="7647"/>
      </w:tblGrid>
      <w:tr w:rsidR="001846C0" w:rsidRPr="008123DA" w:rsidTr="00B6641A">
        <w:trPr>
          <w:cantSplit/>
          <w:trHeight w:val="211"/>
          <w:tblHeader/>
        </w:trPr>
        <w:tc>
          <w:tcPr>
            <w:tcW w:w="0" w:type="auto"/>
          </w:tcPr>
          <w:p w:rsidR="006505D8" w:rsidRPr="00DE0340" w:rsidRDefault="006505D8" w:rsidP="005549E8">
            <w:pPr>
              <w:pStyle w:val="TableText0"/>
            </w:pPr>
            <w:bookmarkStart w:id="23" w:name="_GoBack" w:colFirst="0" w:colLast="2"/>
            <w:r w:rsidRPr="00DE0340">
              <w:rPr>
                <w:b/>
              </w:rPr>
              <w:t>Component</w:t>
            </w:r>
          </w:p>
        </w:tc>
        <w:tc>
          <w:tcPr>
            <w:tcW w:w="0" w:type="auto"/>
          </w:tcPr>
          <w:p w:rsidR="006505D8" w:rsidRPr="00DE0340" w:rsidRDefault="006505D8" w:rsidP="005549E8">
            <w:pPr>
              <w:pStyle w:val="TableText0"/>
            </w:pPr>
            <w:r w:rsidRPr="00DE0340">
              <w:rPr>
                <w:b/>
              </w:rPr>
              <w:t>Claim or assumption</w:t>
            </w:r>
          </w:p>
        </w:tc>
      </w:tr>
      <w:bookmarkEnd w:id="23"/>
      <w:tr w:rsidR="00533290" w:rsidRPr="008123DA" w:rsidTr="00D0002B">
        <w:tc>
          <w:tcPr>
            <w:tcW w:w="0" w:type="auto"/>
          </w:tcPr>
          <w:p w:rsidR="00533290" w:rsidRPr="00DE0340" w:rsidRDefault="00533290" w:rsidP="00D0002B">
            <w:pPr>
              <w:pStyle w:val="TableText0"/>
            </w:pPr>
            <w:r w:rsidRPr="00DE0340">
              <w:t>Evidence base</w:t>
            </w:r>
          </w:p>
        </w:tc>
        <w:tc>
          <w:tcPr>
            <w:tcW w:w="0" w:type="auto"/>
          </w:tcPr>
          <w:p w:rsidR="00533290" w:rsidRPr="00DE0340" w:rsidRDefault="00533290" w:rsidP="0023246D">
            <w:pPr>
              <w:pStyle w:val="TableText0"/>
              <w:rPr>
                <w:rFonts w:ascii="Times" w:eastAsia="Times New Roman" w:hAnsi="Times" w:cs="Times New Roman"/>
              </w:rPr>
            </w:pPr>
            <w:r w:rsidRPr="00DE0340">
              <w:t>CARE-MS extension</w:t>
            </w:r>
            <w:r w:rsidR="0023246D">
              <w:t xml:space="preserve"> single arm study</w:t>
            </w:r>
            <w:r w:rsidRPr="00DE0340">
              <w:t xml:space="preserve"> and original CARE-MS core trials</w:t>
            </w:r>
          </w:p>
        </w:tc>
      </w:tr>
      <w:tr w:rsidR="001846C0" w:rsidRPr="008123DA" w:rsidTr="00377D0D">
        <w:tc>
          <w:tcPr>
            <w:tcW w:w="0" w:type="auto"/>
          </w:tcPr>
          <w:p w:rsidR="006505D8" w:rsidRPr="00DE0340" w:rsidRDefault="006505D8" w:rsidP="005549E8">
            <w:pPr>
              <w:pStyle w:val="TableText0"/>
            </w:pPr>
            <w:r w:rsidRPr="00DE0340">
              <w:t>Therapeutic claim: effectiveness</w:t>
            </w:r>
          </w:p>
        </w:tc>
        <w:tc>
          <w:tcPr>
            <w:tcW w:w="0" w:type="auto"/>
          </w:tcPr>
          <w:p w:rsidR="006505D8" w:rsidRPr="00DE0340" w:rsidRDefault="00533290" w:rsidP="00C643E8">
            <w:pPr>
              <w:pStyle w:val="TableText0"/>
              <w:rPr>
                <w:rFonts w:ascii="Times" w:eastAsia="Times New Roman" w:hAnsi="Times" w:cs="Times New Roman"/>
              </w:rPr>
            </w:pPr>
            <w:r>
              <w:t>E</w:t>
            </w:r>
            <w:r w:rsidR="006505D8" w:rsidRPr="00DE0340">
              <w:t>ffectiveness of alemtuzumab is assumed to be sustained beyond the two-year period for which alemtuzumab is currently reimbursed. The</w:t>
            </w:r>
            <w:r w:rsidR="00436C41" w:rsidRPr="00DE0340">
              <w:t xml:space="preserve"> resubmission</w:t>
            </w:r>
            <w:r w:rsidR="006505D8" w:rsidRPr="00DE0340">
              <w:t xml:space="preserve"> considers that the magnitude of the benefit observed for alemtuzumab at two years is maintained for a minimum of six years</w:t>
            </w:r>
            <w:r w:rsidR="001846C0">
              <w:t xml:space="preserve">, </w:t>
            </w:r>
            <w:r w:rsidR="001846C0" w:rsidRPr="00057575">
              <w:t>with up to two additional courses of treatment beyond what is currently subsidised</w:t>
            </w:r>
            <w:r w:rsidR="006505D8" w:rsidRPr="00057575">
              <w:t xml:space="preserve">.   </w:t>
            </w:r>
          </w:p>
        </w:tc>
      </w:tr>
      <w:tr w:rsidR="001846C0" w:rsidRPr="008123DA" w:rsidTr="00377D0D">
        <w:tc>
          <w:tcPr>
            <w:tcW w:w="0" w:type="auto"/>
          </w:tcPr>
          <w:p w:rsidR="006505D8" w:rsidRPr="00DE0340" w:rsidRDefault="006505D8" w:rsidP="005549E8">
            <w:pPr>
              <w:pStyle w:val="TableText0"/>
            </w:pPr>
            <w:r w:rsidRPr="00DE0340">
              <w:t>Therapeutic claim: safety</w:t>
            </w:r>
          </w:p>
        </w:tc>
        <w:tc>
          <w:tcPr>
            <w:tcW w:w="0" w:type="auto"/>
          </w:tcPr>
          <w:p w:rsidR="006505D8" w:rsidRPr="00DE0340" w:rsidRDefault="006505D8" w:rsidP="00AE1435">
            <w:pPr>
              <w:pStyle w:val="TableText0"/>
              <w:rPr>
                <w:rFonts w:ascii="Times" w:eastAsia="Times New Roman" w:hAnsi="Times" w:cs="Times New Roman"/>
              </w:rPr>
            </w:pPr>
            <w:r w:rsidRPr="00DE0340">
              <w:t>The</w:t>
            </w:r>
            <w:r w:rsidR="00436C41" w:rsidRPr="00DE0340">
              <w:t xml:space="preserve"> resubmission</w:t>
            </w:r>
            <w:r w:rsidRPr="00DE0340">
              <w:t xml:space="preserve"> considered that the annual rates of adverse events were comparable between those who receive alemtuzumab for two years and those who received a third or fourth course of alemtuzumab. Additional courses of treatment showe</w:t>
            </w:r>
            <w:r w:rsidR="00DE0340" w:rsidRPr="00DE0340">
              <w:t>d higher rates of adverse event.</w:t>
            </w:r>
          </w:p>
        </w:tc>
      </w:tr>
      <w:tr w:rsidR="001846C0" w:rsidRPr="008123DA" w:rsidTr="00377D0D">
        <w:tc>
          <w:tcPr>
            <w:tcW w:w="0" w:type="auto"/>
          </w:tcPr>
          <w:p w:rsidR="006505D8" w:rsidRPr="00DE0340" w:rsidRDefault="006505D8" w:rsidP="005549E8">
            <w:pPr>
              <w:pStyle w:val="TableText0"/>
            </w:pPr>
            <w:r w:rsidRPr="00DE0340">
              <w:t>Cost analysis</w:t>
            </w:r>
          </w:p>
        </w:tc>
        <w:tc>
          <w:tcPr>
            <w:tcW w:w="0" w:type="auto"/>
          </w:tcPr>
          <w:p w:rsidR="006505D8" w:rsidRPr="00DE0340" w:rsidRDefault="006505D8" w:rsidP="00533290">
            <w:pPr>
              <w:pStyle w:val="TableText0"/>
              <w:rPr>
                <w:rFonts w:ascii="Times" w:eastAsia="Times New Roman" w:hAnsi="Times" w:cs="Times New Roman"/>
              </w:rPr>
            </w:pPr>
            <w:r w:rsidRPr="00DE0340">
              <w:t>A cohort approach to calculate the average number of alemtuzumab courses required over the six-year period. The majority of patients</w:t>
            </w:r>
            <w:r w:rsidR="001846C0">
              <w:t xml:space="preserve"> </w:t>
            </w:r>
            <w:r w:rsidR="001846C0" w:rsidRPr="00533290">
              <w:rPr>
                <w:i/>
              </w:rPr>
              <w:t>(52.8%)</w:t>
            </w:r>
            <w:r w:rsidRPr="00533290">
              <w:rPr>
                <w:i/>
              </w:rPr>
              <w:t xml:space="preserve"> </w:t>
            </w:r>
            <w:r w:rsidRPr="00DE0340">
              <w:t>receive two courses (8 vials of alemtuzumab)</w:t>
            </w:r>
            <w:r w:rsidR="00533290">
              <w:t>.A</w:t>
            </w:r>
            <w:r w:rsidRPr="00DE0340">
              <w:t xml:space="preserve"> third or fourth course of alemtuzumab is given to patients if they met the proposed </w:t>
            </w:r>
            <w:r w:rsidR="00941A1B" w:rsidRPr="00DE0340">
              <w:t>re-treatment</w:t>
            </w:r>
            <w:r w:rsidRPr="00DE0340">
              <w:t xml:space="preserve"> criteria </w:t>
            </w:r>
            <w:r w:rsidR="00D82C11" w:rsidRPr="00DE0340">
              <w:t>(</w:t>
            </w:r>
            <w:r w:rsidRPr="00DE0340">
              <w:t xml:space="preserve">described </w:t>
            </w:r>
            <w:r w:rsidR="00321FFE" w:rsidRPr="00DE0340">
              <w:t xml:space="preserve">paragraph </w:t>
            </w:r>
            <w:r w:rsidR="00A94F25">
              <w:t>2.4</w:t>
            </w:r>
            <w:r w:rsidRPr="00DE0340">
              <w:t>)</w:t>
            </w:r>
          </w:p>
        </w:tc>
      </w:tr>
      <w:tr w:rsidR="001846C0" w:rsidRPr="008123DA" w:rsidTr="00377D0D">
        <w:tc>
          <w:tcPr>
            <w:tcW w:w="0" w:type="auto"/>
          </w:tcPr>
          <w:p w:rsidR="006505D8" w:rsidRPr="00DE0340" w:rsidRDefault="006505D8" w:rsidP="005549E8">
            <w:pPr>
              <w:pStyle w:val="TableText0"/>
            </w:pPr>
            <w:r w:rsidRPr="00DE0340">
              <w:t>Direct medicine costs</w:t>
            </w:r>
          </w:p>
        </w:tc>
        <w:tc>
          <w:tcPr>
            <w:tcW w:w="0" w:type="auto"/>
          </w:tcPr>
          <w:p w:rsidR="006505D8" w:rsidRPr="00DE0340" w:rsidRDefault="006505D8" w:rsidP="0023246D">
            <w:pPr>
              <w:pStyle w:val="TableText0"/>
              <w:rPr>
                <w:rFonts w:ascii="Times" w:eastAsia="Times New Roman" w:hAnsi="Times" w:cs="Times New Roman"/>
              </w:rPr>
            </w:pPr>
            <w:r w:rsidRPr="00DE0340">
              <w:t xml:space="preserve">The current cost of alemtuzumab </w:t>
            </w:r>
            <w:r w:rsidR="00533290">
              <w:t xml:space="preserve">is </w:t>
            </w:r>
            <w:r w:rsidRPr="00DE0340">
              <w:t>$</w:t>
            </w:r>
            <w:r w:rsidR="009D295A">
              <w:rPr>
                <w:noProof/>
                <w:color w:val="000000"/>
                <w:highlight w:val="black"/>
              </w:rPr>
              <w:t>'''''''''''''''''''''</w:t>
            </w:r>
            <w:r w:rsidR="00832653" w:rsidRPr="00DE0340">
              <w:t xml:space="preserve"> per vial</w:t>
            </w:r>
            <w:r w:rsidR="001846C0">
              <w:t>. The requested price increase is to $</w:t>
            </w:r>
            <w:r w:rsidR="009D295A">
              <w:rPr>
                <w:noProof/>
                <w:color w:val="000000"/>
                <w:highlight w:val="black"/>
              </w:rPr>
              <w:t>'''''''''''''''''''''''</w:t>
            </w:r>
            <w:r w:rsidR="001846C0">
              <w:t xml:space="preserve"> per vial. </w:t>
            </w:r>
          </w:p>
        </w:tc>
      </w:tr>
    </w:tbl>
    <w:p w:rsidR="00BD1912" w:rsidRDefault="00BD1912" w:rsidP="00377D0D">
      <w:pPr>
        <w:pStyle w:val="TableFooter"/>
        <w:spacing w:after="120"/>
      </w:pPr>
      <w:r w:rsidRPr="00D13A3E">
        <w:t xml:space="preserve">Source: </w:t>
      </w:r>
      <w:r>
        <w:t xml:space="preserve"> Table 3.1.1, p66 of the</w:t>
      </w:r>
      <w:r w:rsidR="00436C41">
        <w:t xml:space="preserve"> resubmission</w:t>
      </w:r>
      <w:r>
        <w:t xml:space="preserve">. </w:t>
      </w:r>
    </w:p>
    <w:p w:rsidR="002141A3" w:rsidRPr="00057575" w:rsidRDefault="00BD1912" w:rsidP="00FD072C">
      <w:pPr>
        <w:pStyle w:val="ListParagraph"/>
        <w:widowControl/>
        <w:numPr>
          <w:ilvl w:val="1"/>
          <w:numId w:val="1"/>
        </w:numPr>
        <w:rPr>
          <w:color w:val="000000" w:themeColor="text1"/>
        </w:rPr>
      </w:pPr>
      <w:r w:rsidRPr="00F704F7">
        <w:rPr>
          <w:color w:val="000000" w:themeColor="text1"/>
        </w:rPr>
        <w:t>The cost-analysis included the pharmaceutical costs associate</w:t>
      </w:r>
      <w:r>
        <w:rPr>
          <w:color w:val="000000" w:themeColor="text1"/>
        </w:rPr>
        <w:t xml:space="preserve">d with alemtuzumab over 6 years. </w:t>
      </w:r>
      <w:r w:rsidRPr="00FD50D7">
        <w:rPr>
          <w:color w:val="000000" w:themeColor="text1"/>
        </w:rPr>
        <w:t>The resubmission stated that the clinical benefit derived from treatment with alemtuzumab goes beyond the two years previously accepted by the PBAC, and upon which the drug cost was previously based. The resubmission also stated that the effectiveness of the initial two treatment courses of alemtuzumab lasts for at least 6 years in the majority of patients, while for a minority of patients, additional courses of alemtuzumab are required to achieve this benefit.</w:t>
      </w:r>
      <w:r w:rsidR="002141A3">
        <w:rPr>
          <w:color w:val="000000" w:themeColor="text1"/>
        </w:rPr>
        <w:t xml:space="preserve"> </w:t>
      </w:r>
      <w:r w:rsidR="002141A3" w:rsidRPr="00057575">
        <w:rPr>
          <w:color w:val="000000" w:themeColor="text1"/>
        </w:rPr>
        <w:t xml:space="preserve">While the </w:t>
      </w:r>
      <w:r w:rsidR="005D2F03">
        <w:rPr>
          <w:color w:val="000000" w:themeColor="text1"/>
        </w:rPr>
        <w:t>re</w:t>
      </w:r>
      <w:r w:rsidR="002141A3" w:rsidRPr="00057575">
        <w:rPr>
          <w:color w:val="000000" w:themeColor="text1"/>
        </w:rPr>
        <w:t xml:space="preserve">submission claimed that only a minority of patients will receive additional courses, the </w:t>
      </w:r>
      <w:r w:rsidR="006A4FCE">
        <w:rPr>
          <w:color w:val="000000" w:themeColor="text1"/>
        </w:rPr>
        <w:t xml:space="preserve">PBAC noted that the </w:t>
      </w:r>
      <w:r w:rsidR="002141A3" w:rsidRPr="00057575">
        <w:rPr>
          <w:color w:val="000000" w:themeColor="text1"/>
        </w:rPr>
        <w:t xml:space="preserve">cost analysis results (below) show that </w:t>
      </w:r>
      <w:r w:rsidR="009D295A">
        <w:rPr>
          <w:noProof/>
          <w:color w:val="000000"/>
          <w:highlight w:val="black"/>
        </w:rPr>
        <w:t>''''''''</w:t>
      </w:r>
      <w:r w:rsidR="002141A3" w:rsidRPr="00271EFE">
        <w:rPr>
          <w:color w:val="000000" w:themeColor="text1"/>
        </w:rPr>
        <w:t>%</w:t>
      </w:r>
      <w:r w:rsidR="002141A3" w:rsidRPr="00057575">
        <w:rPr>
          <w:color w:val="000000" w:themeColor="text1"/>
        </w:rPr>
        <w:t xml:space="preserve"> of patients will require more than two courses</w:t>
      </w:r>
    </w:p>
    <w:p w:rsidR="00ED7C0C" w:rsidRPr="00057575" w:rsidRDefault="00377D0D" w:rsidP="00FD072C">
      <w:pPr>
        <w:pStyle w:val="ListParagraph"/>
        <w:widowControl/>
        <w:numPr>
          <w:ilvl w:val="1"/>
          <w:numId w:val="1"/>
        </w:numPr>
        <w:rPr>
          <w:color w:val="000000" w:themeColor="text1"/>
        </w:rPr>
      </w:pPr>
      <w:r w:rsidRPr="00057575">
        <w:rPr>
          <w:color w:val="000000" w:themeColor="text1"/>
        </w:rPr>
        <w:t xml:space="preserve">Results of the cost analysis </w:t>
      </w:r>
      <w:r w:rsidR="00E62428" w:rsidRPr="00057575">
        <w:rPr>
          <w:color w:val="000000" w:themeColor="text1"/>
        </w:rPr>
        <w:t>are</w:t>
      </w:r>
      <w:r w:rsidRPr="00057575">
        <w:rPr>
          <w:color w:val="000000" w:themeColor="text1"/>
        </w:rPr>
        <w:t xml:space="preserve"> presented in </w:t>
      </w:r>
      <w:r w:rsidR="00A94F25" w:rsidRPr="00A94F25">
        <w:t>Table 14</w:t>
      </w:r>
      <w:r w:rsidRPr="00057575">
        <w:rPr>
          <w:color w:val="000000" w:themeColor="text1"/>
        </w:rPr>
        <w:t>.</w:t>
      </w:r>
      <w:r w:rsidR="00ED7C0C" w:rsidRPr="00057575">
        <w:rPr>
          <w:color w:val="000000" w:themeColor="text1"/>
        </w:rPr>
        <w:t xml:space="preserve"> </w:t>
      </w:r>
      <w:r w:rsidR="00147608" w:rsidRPr="00057575">
        <w:rPr>
          <w:color w:val="000000" w:themeColor="text1"/>
        </w:rPr>
        <w:t>The vial price was adjusted (increased) so that the cost per year of benefit was maintained at $</w:t>
      </w:r>
      <w:r w:rsidR="009D295A">
        <w:rPr>
          <w:noProof/>
          <w:color w:val="000000"/>
          <w:highlight w:val="black"/>
        </w:rPr>
        <w:t>''''''''''''</w:t>
      </w:r>
      <w:r w:rsidR="002141A3" w:rsidRPr="00057575">
        <w:rPr>
          <w:color w:val="000000" w:themeColor="text1"/>
        </w:rPr>
        <w:t xml:space="preserve"> with the benefit being maintained over 5.7 years, thereby increasing the total cost from $</w:t>
      </w:r>
      <w:r w:rsidR="009D295A">
        <w:rPr>
          <w:noProof/>
          <w:color w:val="000000"/>
          <w:highlight w:val="black"/>
        </w:rPr>
        <w:t>''''''''''''</w:t>
      </w:r>
      <w:r w:rsidR="002141A3" w:rsidRPr="00057575">
        <w:rPr>
          <w:color w:val="000000" w:themeColor="text1"/>
        </w:rPr>
        <w:t xml:space="preserve"> per patient to $</w:t>
      </w:r>
      <w:r w:rsidR="009D295A">
        <w:rPr>
          <w:noProof/>
          <w:color w:val="000000"/>
          <w:highlight w:val="black"/>
        </w:rPr>
        <w:t>''''''''''''''</w:t>
      </w:r>
      <w:r w:rsidR="002141A3" w:rsidRPr="00057575">
        <w:rPr>
          <w:color w:val="000000" w:themeColor="text1"/>
        </w:rPr>
        <w:t xml:space="preserve"> per patient</w:t>
      </w:r>
      <w:r w:rsidR="00147608" w:rsidRPr="00057575">
        <w:rPr>
          <w:color w:val="000000" w:themeColor="text1"/>
        </w:rPr>
        <w:t>.</w:t>
      </w:r>
    </w:p>
    <w:p w:rsidR="00BD1912" w:rsidRDefault="00BD1912" w:rsidP="00BD1912">
      <w:pPr>
        <w:pStyle w:val="TableHeading0"/>
      </w:pPr>
      <w:bookmarkStart w:id="24" w:name="_Ref523872665"/>
      <w:r>
        <w:rPr>
          <w:rStyle w:val="CommentReference"/>
          <w:b/>
        </w:rPr>
        <w:lastRenderedPageBreak/>
        <w:t xml:space="preserve">Table </w:t>
      </w:r>
      <w:r w:rsidR="00A94F25">
        <w:rPr>
          <w:noProof/>
          <w:szCs w:val="16"/>
        </w:rPr>
        <w:t>14</w:t>
      </w:r>
      <w:bookmarkEnd w:id="24"/>
      <w:r w:rsidRPr="00F704F7">
        <w:rPr>
          <w:rStyle w:val="CommentReference"/>
          <w:b/>
        </w:rPr>
        <w:t>:</w:t>
      </w:r>
      <w:r w:rsidRPr="001222FC">
        <w:rPr>
          <w:rStyle w:val="CommentReference"/>
        </w:rPr>
        <w:t xml:space="preserve"> </w:t>
      </w:r>
      <w:r>
        <w:t>Results of cost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20"/>
        <w:gridCol w:w="985"/>
        <w:gridCol w:w="986"/>
        <w:gridCol w:w="1125"/>
        <w:gridCol w:w="1127"/>
        <w:gridCol w:w="1131"/>
        <w:gridCol w:w="1242"/>
      </w:tblGrid>
      <w:tr w:rsidR="00147608" w:rsidRPr="000523E3" w:rsidTr="00147608">
        <w:tc>
          <w:tcPr>
            <w:tcW w:w="1342" w:type="pct"/>
            <w:tcBorders>
              <w:top w:val="single" w:sz="4" w:space="0" w:color="auto"/>
              <w:left w:val="single" w:sz="4" w:space="0" w:color="auto"/>
              <w:bottom w:val="single" w:sz="4" w:space="0" w:color="auto"/>
              <w:right w:val="single" w:sz="4" w:space="0" w:color="auto"/>
            </w:tcBorders>
            <w:vAlign w:val="center"/>
          </w:tcPr>
          <w:p w:rsidR="00147608" w:rsidRPr="003E16F9" w:rsidRDefault="00147608" w:rsidP="001666A4">
            <w:pPr>
              <w:pStyle w:val="TableHeading0"/>
            </w:pPr>
            <w:r>
              <w:t>Courses of alemtuzumab</w:t>
            </w:r>
          </w:p>
        </w:tc>
        <w:tc>
          <w:tcPr>
            <w:tcW w:w="546" w:type="pct"/>
            <w:tcBorders>
              <w:top w:val="single" w:sz="4" w:space="0" w:color="auto"/>
              <w:left w:val="single" w:sz="4" w:space="0" w:color="auto"/>
              <w:bottom w:val="single" w:sz="4" w:space="0" w:color="auto"/>
              <w:right w:val="single" w:sz="4" w:space="0" w:color="auto"/>
            </w:tcBorders>
            <w:vAlign w:val="center"/>
          </w:tcPr>
          <w:p w:rsidR="00147608" w:rsidRPr="003E16F9" w:rsidRDefault="00147608" w:rsidP="001666A4">
            <w:pPr>
              <w:pStyle w:val="TableHeading0"/>
              <w:jc w:val="center"/>
            </w:pPr>
            <w:r>
              <w:t>Proportion of patients</w:t>
            </w:r>
          </w:p>
        </w:tc>
        <w:tc>
          <w:tcPr>
            <w:tcW w:w="547" w:type="pct"/>
            <w:tcBorders>
              <w:top w:val="single" w:sz="4" w:space="0" w:color="auto"/>
              <w:left w:val="single" w:sz="4" w:space="0" w:color="auto"/>
              <w:bottom w:val="single" w:sz="4" w:space="0" w:color="auto"/>
              <w:right w:val="single" w:sz="4" w:space="0" w:color="auto"/>
            </w:tcBorders>
            <w:vAlign w:val="center"/>
          </w:tcPr>
          <w:p w:rsidR="00147608" w:rsidRPr="003E16F9" w:rsidRDefault="00147608" w:rsidP="001666A4">
            <w:pPr>
              <w:pStyle w:val="TableHeading0"/>
              <w:jc w:val="center"/>
            </w:pPr>
            <w:r>
              <w:t>Vial cost</w:t>
            </w:r>
          </w:p>
        </w:tc>
        <w:tc>
          <w:tcPr>
            <w:tcW w:w="624" w:type="pct"/>
            <w:tcBorders>
              <w:top w:val="single" w:sz="4" w:space="0" w:color="auto"/>
              <w:left w:val="single" w:sz="4" w:space="0" w:color="auto"/>
              <w:bottom w:val="single" w:sz="4" w:space="0" w:color="auto"/>
              <w:right w:val="single" w:sz="4" w:space="0" w:color="auto"/>
            </w:tcBorders>
            <w:vAlign w:val="center"/>
          </w:tcPr>
          <w:p w:rsidR="00147608" w:rsidRPr="003E16F9" w:rsidRDefault="00147608" w:rsidP="001666A4">
            <w:pPr>
              <w:pStyle w:val="TableHeading0"/>
              <w:jc w:val="center"/>
            </w:pPr>
            <w:r>
              <w:t>Number of vials</w:t>
            </w:r>
          </w:p>
        </w:tc>
        <w:tc>
          <w:tcPr>
            <w:tcW w:w="625" w:type="pct"/>
            <w:tcBorders>
              <w:top w:val="single" w:sz="4" w:space="0" w:color="auto"/>
              <w:left w:val="single" w:sz="4" w:space="0" w:color="auto"/>
              <w:bottom w:val="single" w:sz="4" w:space="0" w:color="auto"/>
              <w:right w:val="single" w:sz="4" w:space="0" w:color="auto"/>
            </w:tcBorders>
            <w:vAlign w:val="center"/>
          </w:tcPr>
          <w:p w:rsidR="00147608" w:rsidDel="00174141" w:rsidRDefault="00147608" w:rsidP="00147608">
            <w:pPr>
              <w:pStyle w:val="TableHeading0"/>
              <w:jc w:val="center"/>
            </w:pPr>
            <w:r>
              <w:t>Total cost</w:t>
            </w:r>
          </w:p>
        </w:tc>
        <w:tc>
          <w:tcPr>
            <w:tcW w:w="627" w:type="pct"/>
            <w:tcBorders>
              <w:top w:val="single" w:sz="4" w:space="0" w:color="auto"/>
              <w:left w:val="single" w:sz="4" w:space="0" w:color="auto"/>
              <w:bottom w:val="single" w:sz="4" w:space="0" w:color="auto"/>
              <w:right w:val="single" w:sz="4" w:space="0" w:color="auto"/>
            </w:tcBorders>
            <w:vAlign w:val="center"/>
          </w:tcPr>
          <w:p w:rsidR="00147608" w:rsidRPr="003E16F9" w:rsidRDefault="00147608" w:rsidP="00147608">
            <w:pPr>
              <w:pStyle w:val="TableHeading0"/>
              <w:jc w:val="center"/>
            </w:pPr>
            <w:r>
              <w:t>Assumed benefit, years</w:t>
            </w:r>
          </w:p>
        </w:tc>
        <w:tc>
          <w:tcPr>
            <w:tcW w:w="689" w:type="pct"/>
            <w:tcBorders>
              <w:top w:val="single" w:sz="4" w:space="0" w:color="auto"/>
              <w:left w:val="single" w:sz="4" w:space="0" w:color="auto"/>
              <w:bottom w:val="single" w:sz="4" w:space="0" w:color="auto"/>
              <w:right w:val="single" w:sz="4" w:space="0" w:color="auto"/>
            </w:tcBorders>
            <w:vAlign w:val="center"/>
          </w:tcPr>
          <w:p w:rsidR="00147608" w:rsidRPr="003E16F9" w:rsidRDefault="00147608" w:rsidP="00147608">
            <w:pPr>
              <w:pStyle w:val="TableHeading0"/>
              <w:jc w:val="center"/>
            </w:pPr>
            <w:r>
              <w:t>Cost per year of benefit</w:t>
            </w:r>
          </w:p>
        </w:tc>
      </w:tr>
      <w:tr w:rsidR="00147608" w:rsidRPr="00147608" w:rsidTr="00147608">
        <w:tc>
          <w:tcPr>
            <w:tcW w:w="1342" w:type="pct"/>
            <w:tcBorders>
              <w:top w:val="single" w:sz="4" w:space="0" w:color="auto"/>
              <w:left w:val="single" w:sz="4" w:space="0" w:color="auto"/>
              <w:bottom w:val="single" w:sz="4" w:space="0" w:color="auto"/>
              <w:right w:val="single" w:sz="4" w:space="0" w:color="auto"/>
            </w:tcBorders>
            <w:vAlign w:val="center"/>
          </w:tcPr>
          <w:p w:rsidR="00147608" w:rsidRPr="00147608" w:rsidRDefault="00147608" w:rsidP="001666A4">
            <w:pPr>
              <w:pStyle w:val="TableText0"/>
              <w:rPr>
                <w:rFonts w:eastAsia="Times New Roman" w:cs="Times New Roman"/>
                <w:b/>
              </w:rPr>
            </w:pPr>
            <w:r w:rsidRPr="00147608">
              <w:rPr>
                <w:rFonts w:eastAsia="Times New Roman" w:cs="Times New Roman"/>
                <w:b/>
              </w:rPr>
              <w:t>Current scenario</w:t>
            </w:r>
          </w:p>
        </w:tc>
        <w:tc>
          <w:tcPr>
            <w:tcW w:w="546" w:type="pct"/>
            <w:tcBorders>
              <w:top w:val="single" w:sz="4" w:space="0" w:color="auto"/>
              <w:left w:val="single" w:sz="4" w:space="0" w:color="auto"/>
              <w:bottom w:val="single" w:sz="4" w:space="0" w:color="auto"/>
              <w:right w:val="single" w:sz="4" w:space="0" w:color="auto"/>
            </w:tcBorders>
            <w:vAlign w:val="center"/>
          </w:tcPr>
          <w:p w:rsidR="00147608" w:rsidRPr="00147608" w:rsidRDefault="00147608" w:rsidP="001666A4">
            <w:pPr>
              <w:pStyle w:val="TableText0"/>
              <w:jc w:val="center"/>
              <w:rPr>
                <w:b/>
              </w:rPr>
            </w:pPr>
          </w:p>
        </w:tc>
        <w:tc>
          <w:tcPr>
            <w:tcW w:w="547" w:type="pct"/>
            <w:tcBorders>
              <w:top w:val="single" w:sz="4" w:space="0" w:color="auto"/>
              <w:left w:val="single" w:sz="4" w:space="0" w:color="auto"/>
              <w:bottom w:val="single" w:sz="4" w:space="0" w:color="auto"/>
              <w:right w:val="single" w:sz="4" w:space="0" w:color="auto"/>
            </w:tcBorders>
            <w:vAlign w:val="center"/>
          </w:tcPr>
          <w:p w:rsidR="00147608" w:rsidRPr="00147608" w:rsidRDefault="00147608" w:rsidP="001666A4">
            <w:pPr>
              <w:pStyle w:val="TableText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147608" w:rsidRPr="00147608" w:rsidRDefault="00147608" w:rsidP="001666A4">
            <w:pPr>
              <w:pStyle w:val="TableText0"/>
              <w:jc w:val="center"/>
              <w:rPr>
                <w:b/>
              </w:rPr>
            </w:pPr>
          </w:p>
        </w:tc>
        <w:tc>
          <w:tcPr>
            <w:tcW w:w="625" w:type="pct"/>
            <w:tcBorders>
              <w:top w:val="single" w:sz="4" w:space="0" w:color="auto"/>
              <w:left w:val="single" w:sz="4" w:space="0" w:color="auto"/>
              <w:bottom w:val="single" w:sz="4" w:space="0" w:color="auto"/>
              <w:right w:val="single" w:sz="4" w:space="0" w:color="auto"/>
            </w:tcBorders>
          </w:tcPr>
          <w:p w:rsidR="00147608" w:rsidRPr="00147608" w:rsidRDefault="00147608" w:rsidP="001666A4">
            <w:pPr>
              <w:pStyle w:val="TableText0"/>
              <w:jc w:val="center"/>
              <w:rPr>
                <w:b/>
              </w:rPr>
            </w:pPr>
          </w:p>
        </w:tc>
        <w:tc>
          <w:tcPr>
            <w:tcW w:w="627" w:type="pct"/>
            <w:tcBorders>
              <w:top w:val="single" w:sz="4" w:space="0" w:color="auto"/>
              <w:left w:val="single" w:sz="4" w:space="0" w:color="auto"/>
              <w:bottom w:val="single" w:sz="4" w:space="0" w:color="auto"/>
              <w:right w:val="single" w:sz="4" w:space="0" w:color="auto"/>
            </w:tcBorders>
          </w:tcPr>
          <w:p w:rsidR="00147608" w:rsidRPr="00147608" w:rsidRDefault="00147608" w:rsidP="001666A4">
            <w:pPr>
              <w:pStyle w:val="TableText0"/>
              <w:jc w:val="center"/>
              <w:rPr>
                <w:b/>
              </w:rPr>
            </w:pPr>
          </w:p>
        </w:tc>
        <w:tc>
          <w:tcPr>
            <w:tcW w:w="689" w:type="pct"/>
            <w:tcBorders>
              <w:top w:val="single" w:sz="4" w:space="0" w:color="auto"/>
              <w:left w:val="single" w:sz="4" w:space="0" w:color="auto"/>
              <w:bottom w:val="single" w:sz="4" w:space="0" w:color="auto"/>
              <w:right w:val="single" w:sz="4" w:space="0" w:color="auto"/>
            </w:tcBorders>
          </w:tcPr>
          <w:p w:rsidR="00147608" w:rsidRPr="00147608" w:rsidRDefault="00147608" w:rsidP="001666A4">
            <w:pPr>
              <w:pStyle w:val="TableText0"/>
              <w:jc w:val="center"/>
              <w:rPr>
                <w:b/>
              </w:rPr>
            </w:pPr>
          </w:p>
        </w:tc>
      </w:tr>
      <w:tr w:rsidR="00147608" w:rsidRPr="000523E3" w:rsidTr="00147608">
        <w:tc>
          <w:tcPr>
            <w:tcW w:w="1342" w:type="pct"/>
            <w:tcBorders>
              <w:top w:val="single" w:sz="4" w:space="0" w:color="auto"/>
              <w:left w:val="single" w:sz="4" w:space="0" w:color="auto"/>
              <w:bottom w:val="single" w:sz="4" w:space="0" w:color="auto"/>
              <w:right w:val="single" w:sz="4" w:space="0" w:color="auto"/>
            </w:tcBorders>
            <w:vAlign w:val="center"/>
          </w:tcPr>
          <w:p w:rsidR="00147608" w:rsidRDefault="00147608" w:rsidP="001666A4">
            <w:pPr>
              <w:pStyle w:val="TableText0"/>
              <w:rPr>
                <w:rFonts w:eastAsia="Times New Roman" w:cs="Times New Roman"/>
              </w:rPr>
            </w:pPr>
            <w:r>
              <w:rPr>
                <w:rFonts w:eastAsia="Times New Roman" w:cs="Times New Roman"/>
              </w:rPr>
              <w:t>2 courses</w:t>
            </w:r>
          </w:p>
        </w:tc>
        <w:tc>
          <w:tcPr>
            <w:tcW w:w="546" w:type="pct"/>
            <w:tcBorders>
              <w:top w:val="single" w:sz="4" w:space="0" w:color="auto"/>
              <w:left w:val="single" w:sz="4" w:space="0" w:color="auto"/>
              <w:bottom w:val="single" w:sz="4" w:space="0" w:color="auto"/>
              <w:right w:val="single" w:sz="4" w:space="0" w:color="auto"/>
            </w:tcBorders>
            <w:vAlign w:val="center"/>
          </w:tcPr>
          <w:p w:rsidR="00147608" w:rsidRPr="0068763F" w:rsidRDefault="009D295A" w:rsidP="001666A4">
            <w:pPr>
              <w:pStyle w:val="TableText0"/>
              <w:jc w:val="center"/>
            </w:pPr>
            <w:r>
              <w:rPr>
                <w:noProof/>
                <w:color w:val="000000"/>
                <w:highlight w:val="black"/>
              </w:rPr>
              <w:t>'''''''''</w:t>
            </w:r>
            <w:r w:rsidR="00147608" w:rsidRPr="0068763F">
              <w:t>%</w:t>
            </w:r>
          </w:p>
        </w:tc>
        <w:tc>
          <w:tcPr>
            <w:tcW w:w="547" w:type="pct"/>
            <w:tcBorders>
              <w:top w:val="single" w:sz="4" w:space="0" w:color="auto"/>
              <w:left w:val="single" w:sz="4" w:space="0" w:color="auto"/>
              <w:bottom w:val="single" w:sz="4" w:space="0" w:color="auto"/>
              <w:right w:val="single" w:sz="4" w:space="0" w:color="auto"/>
            </w:tcBorders>
            <w:vAlign w:val="center"/>
          </w:tcPr>
          <w:p w:rsidR="00147608" w:rsidRPr="0068763F" w:rsidRDefault="00147608" w:rsidP="001666A4">
            <w:pPr>
              <w:pStyle w:val="TableText0"/>
              <w:jc w:val="center"/>
            </w:pPr>
            <w:r w:rsidRPr="0068763F">
              <w:t>$</w:t>
            </w:r>
            <w:r w:rsidR="009D295A">
              <w:rPr>
                <w:noProof/>
                <w:color w:val="00000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tcPr>
          <w:p w:rsidR="00147608" w:rsidRPr="0068763F" w:rsidRDefault="00147608" w:rsidP="001666A4">
            <w:pPr>
              <w:pStyle w:val="TableText0"/>
              <w:jc w:val="center"/>
            </w:pPr>
            <w:r w:rsidRPr="0068763F">
              <w:t>8</w:t>
            </w:r>
          </w:p>
        </w:tc>
        <w:tc>
          <w:tcPr>
            <w:tcW w:w="625" w:type="pct"/>
            <w:tcBorders>
              <w:top w:val="single" w:sz="4" w:space="0" w:color="auto"/>
              <w:left w:val="single" w:sz="4" w:space="0" w:color="auto"/>
              <w:bottom w:val="single" w:sz="4" w:space="0" w:color="auto"/>
              <w:right w:val="single" w:sz="4" w:space="0" w:color="auto"/>
            </w:tcBorders>
          </w:tcPr>
          <w:p w:rsidR="00147608" w:rsidRPr="0068763F" w:rsidRDefault="00147608" w:rsidP="001666A4">
            <w:pPr>
              <w:pStyle w:val="TableText0"/>
              <w:jc w:val="center"/>
            </w:pPr>
            <w:r w:rsidRPr="0068763F">
              <w:t>$</w:t>
            </w:r>
            <w:r w:rsidR="009D295A">
              <w:rPr>
                <w:noProof/>
                <w:color w:val="000000"/>
                <w:highlight w:val="black"/>
              </w:rPr>
              <w:t>'''''''''''''''''</w:t>
            </w:r>
          </w:p>
        </w:tc>
        <w:tc>
          <w:tcPr>
            <w:tcW w:w="627" w:type="pct"/>
            <w:tcBorders>
              <w:top w:val="single" w:sz="4" w:space="0" w:color="auto"/>
              <w:left w:val="single" w:sz="4" w:space="0" w:color="auto"/>
              <w:bottom w:val="single" w:sz="4" w:space="0" w:color="auto"/>
              <w:right w:val="single" w:sz="4" w:space="0" w:color="auto"/>
            </w:tcBorders>
          </w:tcPr>
          <w:p w:rsidR="00147608" w:rsidRPr="009D295A" w:rsidRDefault="009D295A" w:rsidP="001666A4">
            <w:pPr>
              <w:pStyle w:val="TableText0"/>
              <w:jc w:val="center"/>
              <w:rPr>
                <w:highlight w:val="black"/>
              </w:rPr>
            </w:pPr>
            <w:r>
              <w:rPr>
                <w:noProof/>
                <w:color w:val="000000"/>
                <w:highlight w:val="black"/>
              </w:rPr>
              <w:t>''''</w:t>
            </w:r>
          </w:p>
        </w:tc>
        <w:tc>
          <w:tcPr>
            <w:tcW w:w="689" w:type="pct"/>
            <w:tcBorders>
              <w:top w:val="single" w:sz="4" w:space="0" w:color="auto"/>
              <w:left w:val="single" w:sz="4" w:space="0" w:color="auto"/>
              <w:bottom w:val="single" w:sz="4" w:space="0" w:color="auto"/>
              <w:right w:val="single" w:sz="4" w:space="0" w:color="auto"/>
            </w:tcBorders>
          </w:tcPr>
          <w:p w:rsidR="00147608" w:rsidRDefault="00147608" w:rsidP="001666A4">
            <w:pPr>
              <w:pStyle w:val="TableText0"/>
              <w:jc w:val="center"/>
            </w:pPr>
            <w:r>
              <w:t>$</w:t>
            </w:r>
            <w:r w:rsidR="009D295A">
              <w:rPr>
                <w:noProof/>
                <w:color w:val="000000"/>
                <w:highlight w:val="black"/>
              </w:rPr>
              <w:t>'''''''''''''''''</w:t>
            </w:r>
          </w:p>
        </w:tc>
      </w:tr>
      <w:tr w:rsidR="00147608" w:rsidRPr="00147608" w:rsidTr="00147608">
        <w:tc>
          <w:tcPr>
            <w:tcW w:w="1342" w:type="pct"/>
            <w:tcBorders>
              <w:top w:val="single" w:sz="4" w:space="0" w:color="auto"/>
              <w:left w:val="single" w:sz="4" w:space="0" w:color="auto"/>
              <w:bottom w:val="single" w:sz="4" w:space="0" w:color="auto"/>
              <w:right w:val="single" w:sz="4" w:space="0" w:color="auto"/>
            </w:tcBorders>
            <w:vAlign w:val="center"/>
          </w:tcPr>
          <w:p w:rsidR="00147608" w:rsidRPr="00147608" w:rsidRDefault="00147608" w:rsidP="001666A4">
            <w:pPr>
              <w:pStyle w:val="TableText0"/>
              <w:rPr>
                <w:rFonts w:eastAsia="Times New Roman" w:cs="Times New Roman"/>
                <w:b/>
              </w:rPr>
            </w:pPr>
            <w:r w:rsidRPr="00147608">
              <w:rPr>
                <w:rFonts w:eastAsia="Times New Roman" w:cs="Times New Roman"/>
                <w:b/>
              </w:rPr>
              <w:t>Proposed scenario</w:t>
            </w:r>
          </w:p>
        </w:tc>
        <w:tc>
          <w:tcPr>
            <w:tcW w:w="546" w:type="pct"/>
            <w:tcBorders>
              <w:top w:val="single" w:sz="4" w:space="0" w:color="auto"/>
              <w:left w:val="single" w:sz="4" w:space="0" w:color="auto"/>
              <w:bottom w:val="single" w:sz="4" w:space="0" w:color="auto"/>
              <w:right w:val="single" w:sz="4" w:space="0" w:color="auto"/>
            </w:tcBorders>
            <w:vAlign w:val="center"/>
          </w:tcPr>
          <w:p w:rsidR="00147608" w:rsidRPr="0068763F" w:rsidRDefault="00147608" w:rsidP="001666A4">
            <w:pPr>
              <w:pStyle w:val="TableText0"/>
              <w:jc w:val="center"/>
              <w:rPr>
                <w:b/>
              </w:rPr>
            </w:pPr>
          </w:p>
        </w:tc>
        <w:tc>
          <w:tcPr>
            <w:tcW w:w="547" w:type="pct"/>
            <w:tcBorders>
              <w:top w:val="single" w:sz="4" w:space="0" w:color="auto"/>
              <w:left w:val="single" w:sz="4" w:space="0" w:color="auto"/>
              <w:bottom w:val="single" w:sz="4" w:space="0" w:color="auto"/>
              <w:right w:val="single" w:sz="4" w:space="0" w:color="auto"/>
            </w:tcBorders>
            <w:vAlign w:val="center"/>
          </w:tcPr>
          <w:p w:rsidR="00147608" w:rsidRPr="0068763F" w:rsidRDefault="00147608" w:rsidP="001666A4">
            <w:pPr>
              <w:pStyle w:val="TableText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147608" w:rsidRPr="0068763F" w:rsidRDefault="00147608" w:rsidP="001666A4">
            <w:pPr>
              <w:pStyle w:val="TableText0"/>
              <w:jc w:val="center"/>
              <w:rPr>
                <w:b/>
              </w:rPr>
            </w:pPr>
          </w:p>
        </w:tc>
        <w:tc>
          <w:tcPr>
            <w:tcW w:w="625" w:type="pct"/>
            <w:tcBorders>
              <w:top w:val="single" w:sz="4" w:space="0" w:color="auto"/>
              <w:left w:val="single" w:sz="4" w:space="0" w:color="auto"/>
              <w:bottom w:val="single" w:sz="4" w:space="0" w:color="auto"/>
              <w:right w:val="single" w:sz="4" w:space="0" w:color="auto"/>
            </w:tcBorders>
          </w:tcPr>
          <w:p w:rsidR="00147608" w:rsidRPr="0068763F" w:rsidRDefault="00147608" w:rsidP="001666A4">
            <w:pPr>
              <w:pStyle w:val="TableText0"/>
              <w:jc w:val="center"/>
              <w:rPr>
                <w:b/>
              </w:rPr>
            </w:pPr>
          </w:p>
        </w:tc>
        <w:tc>
          <w:tcPr>
            <w:tcW w:w="627" w:type="pct"/>
            <w:tcBorders>
              <w:top w:val="single" w:sz="4" w:space="0" w:color="auto"/>
              <w:left w:val="single" w:sz="4" w:space="0" w:color="auto"/>
              <w:bottom w:val="single" w:sz="4" w:space="0" w:color="auto"/>
              <w:right w:val="single" w:sz="4" w:space="0" w:color="auto"/>
            </w:tcBorders>
          </w:tcPr>
          <w:p w:rsidR="00147608" w:rsidRPr="009D295A" w:rsidRDefault="00147608" w:rsidP="001666A4">
            <w:pPr>
              <w:pStyle w:val="TableText0"/>
              <w:jc w:val="center"/>
              <w:rPr>
                <w:b/>
              </w:rPr>
            </w:pPr>
          </w:p>
        </w:tc>
        <w:tc>
          <w:tcPr>
            <w:tcW w:w="689" w:type="pct"/>
            <w:tcBorders>
              <w:top w:val="single" w:sz="4" w:space="0" w:color="auto"/>
              <w:left w:val="single" w:sz="4" w:space="0" w:color="auto"/>
              <w:bottom w:val="single" w:sz="4" w:space="0" w:color="auto"/>
              <w:right w:val="single" w:sz="4" w:space="0" w:color="auto"/>
            </w:tcBorders>
          </w:tcPr>
          <w:p w:rsidR="00147608" w:rsidRPr="00147608" w:rsidRDefault="00147608" w:rsidP="001666A4">
            <w:pPr>
              <w:pStyle w:val="TableText0"/>
              <w:jc w:val="center"/>
              <w:rPr>
                <w:b/>
              </w:rPr>
            </w:pPr>
          </w:p>
        </w:tc>
      </w:tr>
      <w:tr w:rsidR="00147608" w:rsidRPr="000523E3" w:rsidTr="00147608">
        <w:tc>
          <w:tcPr>
            <w:tcW w:w="1342" w:type="pct"/>
            <w:tcBorders>
              <w:top w:val="single" w:sz="4" w:space="0" w:color="auto"/>
              <w:left w:val="single" w:sz="4" w:space="0" w:color="auto"/>
              <w:bottom w:val="single" w:sz="4" w:space="0" w:color="auto"/>
              <w:right w:val="single" w:sz="4" w:space="0" w:color="auto"/>
            </w:tcBorders>
            <w:vAlign w:val="center"/>
          </w:tcPr>
          <w:p w:rsidR="00147608" w:rsidRDefault="00147608" w:rsidP="001666A4">
            <w:pPr>
              <w:pStyle w:val="TableText0"/>
              <w:rPr>
                <w:rFonts w:eastAsia="Times New Roman" w:cs="Times New Roman"/>
              </w:rPr>
            </w:pPr>
            <w:r>
              <w:rPr>
                <w:rFonts w:eastAsia="Times New Roman" w:cs="Times New Roman"/>
              </w:rPr>
              <w:t>2 courses</w:t>
            </w:r>
          </w:p>
        </w:tc>
        <w:tc>
          <w:tcPr>
            <w:tcW w:w="546" w:type="pct"/>
            <w:tcBorders>
              <w:top w:val="single" w:sz="4" w:space="0" w:color="auto"/>
              <w:left w:val="single" w:sz="4" w:space="0" w:color="auto"/>
              <w:bottom w:val="single" w:sz="4" w:space="0" w:color="auto"/>
              <w:right w:val="single" w:sz="4" w:space="0" w:color="auto"/>
            </w:tcBorders>
            <w:vAlign w:val="center"/>
          </w:tcPr>
          <w:p w:rsidR="00147608" w:rsidRPr="0068763F" w:rsidRDefault="009D295A" w:rsidP="001666A4">
            <w:pPr>
              <w:pStyle w:val="TableText0"/>
              <w:jc w:val="center"/>
            </w:pPr>
            <w:r>
              <w:rPr>
                <w:noProof/>
                <w:color w:val="000000"/>
                <w:highlight w:val="black"/>
              </w:rPr>
              <w:t>''''''''''</w:t>
            </w:r>
            <w:r w:rsidR="00147608" w:rsidRPr="0068763F">
              <w:t>%</w:t>
            </w:r>
          </w:p>
        </w:tc>
        <w:tc>
          <w:tcPr>
            <w:tcW w:w="547" w:type="pct"/>
            <w:tcBorders>
              <w:top w:val="single" w:sz="4" w:space="0" w:color="auto"/>
              <w:left w:val="single" w:sz="4" w:space="0" w:color="auto"/>
              <w:bottom w:val="single" w:sz="4" w:space="0" w:color="auto"/>
              <w:right w:val="single" w:sz="4" w:space="0" w:color="auto"/>
            </w:tcBorders>
            <w:vAlign w:val="center"/>
          </w:tcPr>
          <w:p w:rsidR="00147608" w:rsidRPr="0068763F" w:rsidRDefault="00147608" w:rsidP="001666A4">
            <w:pPr>
              <w:pStyle w:val="TableText0"/>
              <w:jc w:val="center"/>
            </w:pPr>
            <w:r w:rsidRPr="0068763F">
              <w:t>$</w:t>
            </w:r>
            <w:r w:rsidR="009D295A">
              <w:rPr>
                <w:noProof/>
                <w:color w:val="000000"/>
                <w:highlight w:val="black"/>
              </w:rPr>
              <w:t>'''''''''''''''''''''''</w:t>
            </w:r>
          </w:p>
        </w:tc>
        <w:tc>
          <w:tcPr>
            <w:tcW w:w="624" w:type="pct"/>
            <w:tcBorders>
              <w:top w:val="single" w:sz="4" w:space="0" w:color="auto"/>
              <w:left w:val="single" w:sz="4" w:space="0" w:color="auto"/>
              <w:bottom w:val="single" w:sz="4" w:space="0" w:color="auto"/>
              <w:right w:val="single" w:sz="4" w:space="0" w:color="auto"/>
            </w:tcBorders>
            <w:vAlign w:val="bottom"/>
          </w:tcPr>
          <w:p w:rsidR="00147608" w:rsidRPr="0068763F" w:rsidRDefault="00147608" w:rsidP="001666A4">
            <w:pPr>
              <w:pStyle w:val="TableText0"/>
              <w:jc w:val="center"/>
            </w:pPr>
            <w:r w:rsidRPr="0068763F">
              <w:t>8</w:t>
            </w:r>
          </w:p>
        </w:tc>
        <w:tc>
          <w:tcPr>
            <w:tcW w:w="625" w:type="pct"/>
            <w:tcBorders>
              <w:top w:val="single" w:sz="4" w:space="0" w:color="auto"/>
              <w:left w:val="single" w:sz="4" w:space="0" w:color="auto"/>
              <w:bottom w:val="single" w:sz="4" w:space="0" w:color="auto"/>
              <w:right w:val="single" w:sz="4" w:space="0" w:color="auto"/>
            </w:tcBorders>
            <w:vAlign w:val="bottom"/>
          </w:tcPr>
          <w:p w:rsidR="00147608" w:rsidRPr="0068763F" w:rsidRDefault="00147608" w:rsidP="001666A4">
            <w:pPr>
              <w:pStyle w:val="TableText0"/>
              <w:jc w:val="center"/>
            </w:pPr>
            <w:r w:rsidRPr="0068763F">
              <w:t>$</w:t>
            </w:r>
            <w:r w:rsidR="009D295A">
              <w:rPr>
                <w:noProof/>
                <w:color w:val="000000"/>
                <w:highlight w:val="black"/>
              </w:rPr>
              <w:t>''''''''''''''''</w:t>
            </w:r>
          </w:p>
        </w:tc>
        <w:tc>
          <w:tcPr>
            <w:tcW w:w="627" w:type="pct"/>
            <w:tcBorders>
              <w:top w:val="single" w:sz="4" w:space="0" w:color="auto"/>
              <w:left w:val="single" w:sz="4" w:space="0" w:color="auto"/>
              <w:bottom w:val="single" w:sz="4" w:space="0" w:color="auto"/>
              <w:right w:val="single" w:sz="4" w:space="0" w:color="auto"/>
            </w:tcBorders>
            <w:vAlign w:val="bottom"/>
          </w:tcPr>
          <w:p w:rsidR="00147608" w:rsidRPr="009D295A" w:rsidRDefault="009D295A" w:rsidP="001666A4">
            <w:pPr>
              <w:pStyle w:val="TableText0"/>
              <w:jc w:val="center"/>
              <w:rPr>
                <w:highlight w:val="black"/>
              </w:rPr>
            </w:pPr>
            <w:r>
              <w:rPr>
                <w:noProof/>
                <w:color w:val="000000"/>
                <w:highlight w:val="black"/>
              </w:rPr>
              <w:t>'''</w:t>
            </w:r>
          </w:p>
        </w:tc>
        <w:tc>
          <w:tcPr>
            <w:tcW w:w="689" w:type="pct"/>
            <w:tcBorders>
              <w:top w:val="single" w:sz="4" w:space="0" w:color="auto"/>
              <w:left w:val="single" w:sz="4" w:space="0" w:color="auto"/>
              <w:bottom w:val="single" w:sz="4" w:space="0" w:color="auto"/>
              <w:right w:val="single" w:sz="4" w:space="0" w:color="auto"/>
            </w:tcBorders>
          </w:tcPr>
          <w:p w:rsidR="00147608" w:rsidRDefault="00147608" w:rsidP="001666A4">
            <w:pPr>
              <w:pStyle w:val="TableText0"/>
              <w:jc w:val="center"/>
            </w:pPr>
          </w:p>
        </w:tc>
      </w:tr>
      <w:tr w:rsidR="00147608" w:rsidRPr="000523E3" w:rsidTr="00147608">
        <w:tc>
          <w:tcPr>
            <w:tcW w:w="1342" w:type="pct"/>
            <w:tcBorders>
              <w:top w:val="single" w:sz="4" w:space="0" w:color="auto"/>
              <w:left w:val="single" w:sz="4" w:space="0" w:color="auto"/>
              <w:bottom w:val="single" w:sz="4" w:space="0" w:color="auto"/>
              <w:right w:val="single" w:sz="4" w:space="0" w:color="auto"/>
            </w:tcBorders>
            <w:vAlign w:val="center"/>
          </w:tcPr>
          <w:p w:rsidR="00147608" w:rsidRDefault="00147608" w:rsidP="00147608">
            <w:pPr>
              <w:pStyle w:val="TableText0"/>
              <w:rPr>
                <w:rFonts w:eastAsia="Times New Roman" w:cs="Times New Roman"/>
              </w:rPr>
            </w:pPr>
            <w:r>
              <w:rPr>
                <w:rFonts w:eastAsia="Times New Roman" w:cs="Times New Roman"/>
              </w:rPr>
              <w:t>2 courses (reduced benefit as switched to alternative DMT)</w:t>
            </w:r>
          </w:p>
        </w:tc>
        <w:tc>
          <w:tcPr>
            <w:tcW w:w="546" w:type="pct"/>
            <w:tcBorders>
              <w:top w:val="single" w:sz="4" w:space="0" w:color="auto"/>
              <w:left w:val="single" w:sz="4" w:space="0" w:color="auto"/>
              <w:bottom w:val="single" w:sz="4" w:space="0" w:color="auto"/>
              <w:right w:val="single" w:sz="4" w:space="0" w:color="auto"/>
            </w:tcBorders>
            <w:vAlign w:val="center"/>
          </w:tcPr>
          <w:p w:rsidR="00147608" w:rsidRPr="0068763F" w:rsidRDefault="009D295A" w:rsidP="001666A4">
            <w:pPr>
              <w:pStyle w:val="TableText0"/>
              <w:jc w:val="center"/>
            </w:pPr>
            <w:r>
              <w:rPr>
                <w:noProof/>
                <w:color w:val="000000"/>
                <w:highlight w:val="black"/>
              </w:rPr>
              <w:t>''''''''''</w:t>
            </w:r>
            <w:r w:rsidR="00147608" w:rsidRPr="0068763F">
              <w:t>%</w:t>
            </w:r>
          </w:p>
        </w:tc>
        <w:tc>
          <w:tcPr>
            <w:tcW w:w="547" w:type="pct"/>
            <w:tcBorders>
              <w:top w:val="single" w:sz="4" w:space="0" w:color="auto"/>
              <w:left w:val="single" w:sz="4" w:space="0" w:color="auto"/>
              <w:bottom w:val="single" w:sz="4" w:space="0" w:color="auto"/>
              <w:right w:val="single" w:sz="4" w:space="0" w:color="auto"/>
            </w:tcBorders>
            <w:vAlign w:val="center"/>
          </w:tcPr>
          <w:p w:rsidR="00147608" w:rsidRPr="0068763F" w:rsidRDefault="00147608" w:rsidP="001666A4">
            <w:pPr>
              <w:pStyle w:val="TableText0"/>
              <w:jc w:val="center"/>
            </w:pPr>
            <w:r w:rsidRPr="0068763F">
              <w:t>$</w:t>
            </w:r>
            <w:r w:rsidR="009D295A">
              <w:rPr>
                <w:noProof/>
                <w:color w:val="00000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tcPr>
          <w:p w:rsidR="00147608" w:rsidRPr="0068763F" w:rsidRDefault="00147608" w:rsidP="00147608">
            <w:pPr>
              <w:pStyle w:val="TableText0"/>
              <w:jc w:val="center"/>
            </w:pPr>
            <w:r w:rsidRPr="0068763F">
              <w:t>8</w:t>
            </w:r>
          </w:p>
        </w:tc>
        <w:tc>
          <w:tcPr>
            <w:tcW w:w="625" w:type="pct"/>
            <w:tcBorders>
              <w:top w:val="single" w:sz="4" w:space="0" w:color="auto"/>
              <w:left w:val="single" w:sz="4" w:space="0" w:color="auto"/>
              <w:bottom w:val="single" w:sz="4" w:space="0" w:color="auto"/>
              <w:right w:val="single" w:sz="4" w:space="0" w:color="auto"/>
            </w:tcBorders>
            <w:vAlign w:val="center"/>
          </w:tcPr>
          <w:p w:rsidR="00147608" w:rsidRPr="0068763F" w:rsidRDefault="00147608" w:rsidP="00147608">
            <w:pPr>
              <w:pStyle w:val="TableText0"/>
              <w:jc w:val="center"/>
            </w:pPr>
            <w:r w:rsidRPr="0068763F">
              <w:t>$</w:t>
            </w:r>
            <w:r w:rsidR="009D295A">
              <w:rPr>
                <w:noProof/>
                <w:color w:val="000000"/>
                <w:highlight w:val="black"/>
              </w:rPr>
              <w:t>''''''''''''''''</w:t>
            </w:r>
          </w:p>
        </w:tc>
        <w:tc>
          <w:tcPr>
            <w:tcW w:w="627" w:type="pct"/>
            <w:tcBorders>
              <w:top w:val="single" w:sz="4" w:space="0" w:color="auto"/>
              <w:left w:val="single" w:sz="4" w:space="0" w:color="auto"/>
              <w:bottom w:val="single" w:sz="4" w:space="0" w:color="auto"/>
              <w:right w:val="single" w:sz="4" w:space="0" w:color="auto"/>
            </w:tcBorders>
            <w:vAlign w:val="center"/>
          </w:tcPr>
          <w:p w:rsidR="00147608" w:rsidRPr="009D295A" w:rsidRDefault="009D295A" w:rsidP="00147608">
            <w:pPr>
              <w:pStyle w:val="TableText0"/>
              <w:jc w:val="center"/>
              <w:rPr>
                <w:highlight w:val="black"/>
              </w:rPr>
            </w:pPr>
            <w:r>
              <w:rPr>
                <w:noProof/>
                <w:color w:val="000000"/>
                <w:highlight w:val="black"/>
              </w:rPr>
              <w:t>''''''''</w:t>
            </w:r>
          </w:p>
        </w:tc>
        <w:tc>
          <w:tcPr>
            <w:tcW w:w="689" w:type="pct"/>
            <w:tcBorders>
              <w:top w:val="single" w:sz="4" w:space="0" w:color="auto"/>
              <w:left w:val="single" w:sz="4" w:space="0" w:color="auto"/>
              <w:bottom w:val="single" w:sz="4" w:space="0" w:color="auto"/>
              <w:right w:val="single" w:sz="4" w:space="0" w:color="auto"/>
            </w:tcBorders>
            <w:vAlign w:val="center"/>
          </w:tcPr>
          <w:p w:rsidR="00147608" w:rsidRDefault="00147608" w:rsidP="00147608">
            <w:pPr>
              <w:pStyle w:val="TableText0"/>
              <w:jc w:val="center"/>
            </w:pPr>
          </w:p>
        </w:tc>
      </w:tr>
      <w:tr w:rsidR="00147608" w:rsidRPr="000523E3" w:rsidTr="00147608">
        <w:tc>
          <w:tcPr>
            <w:tcW w:w="1342" w:type="pct"/>
            <w:tcBorders>
              <w:top w:val="single" w:sz="4" w:space="0" w:color="auto"/>
              <w:left w:val="single" w:sz="4" w:space="0" w:color="auto"/>
              <w:bottom w:val="single" w:sz="4" w:space="0" w:color="auto"/>
              <w:right w:val="single" w:sz="4" w:space="0" w:color="auto"/>
            </w:tcBorders>
            <w:vAlign w:val="center"/>
          </w:tcPr>
          <w:p w:rsidR="00147608" w:rsidRDefault="00147608" w:rsidP="001666A4">
            <w:pPr>
              <w:pStyle w:val="TableText0"/>
              <w:rPr>
                <w:rFonts w:eastAsia="Times New Roman" w:cs="Times New Roman"/>
              </w:rPr>
            </w:pPr>
            <w:r>
              <w:rPr>
                <w:rFonts w:eastAsia="Times New Roman" w:cs="Times New Roman"/>
              </w:rPr>
              <w:t>3 courses</w:t>
            </w:r>
          </w:p>
        </w:tc>
        <w:tc>
          <w:tcPr>
            <w:tcW w:w="546" w:type="pct"/>
            <w:tcBorders>
              <w:top w:val="single" w:sz="4" w:space="0" w:color="auto"/>
              <w:left w:val="single" w:sz="4" w:space="0" w:color="auto"/>
              <w:bottom w:val="single" w:sz="4" w:space="0" w:color="auto"/>
              <w:right w:val="single" w:sz="4" w:space="0" w:color="auto"/>
            </w:tcBorders>
            <w:vAlign w:val="center"/>
          </w:tcPr>
          <w:p w:rsidR="00147608" w:rsidRPr="0068763F" w:rsidRDefault="009D295A" w:rsidP="001666A4">
            <w:pPr>
              <w:pStyle w:val="TableText0"/>
              <w:jc w:val="center"/>
            </w:pPr>
            <w:r>
              <w:rPr>
                <w:noProof/>
                <w:color w:val="000000"/>
                <w:highlight w:val="black"/>
              </w:rPr>
              <w:t>''''''''''</w:t>
            </w:r>
            <w:r w:rsidR="00147608" w:rsidRPr="0068763F">
              <w:t>%</w:t>
            </w:r>
          </w:p>
        </w:tc>
        <w:tc>
          <w:tcPr>
            <w:tcW w:w="547" w:type="pct"/>
            <w:tcBorders>
              <w:top w:val="single" w:sz="4" w:space="0" w:color="auto"/>
              <w:left w:val="single" w:sz="4" w:space="0" w:color="auto"/>
              <w:bottom w:val="single" w:sz="4" w:space="0" w:color="auto"/>
              <w:right w:val="single" w:sz="4" w:space="0" w:color="auto"/>
            </w:tcBorders>
            <w:vAlign w:val="center"/>
          </w:tcPr>
          <w:p w:rsidR="00147608" w:rsidRPr="0068763F" w:rsidRDefault="00147608" w:rsidP="001666A4">
            <w:pPr>
              <w:pStyle w:val="TableText0"/>
              <w:jc w:val="center"/>
            </w:pPr>
            <w:r w:rsidRPr="0068763F">
              <w:t>$</w:t>
            </w:r>
            <w:r w:rsidR="009D295A">
              <w:rPr>
                <w:noProof/>
                <w:color w:val="00000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tcPr>
          <w:p w:rsidR="00147608" w:rsidRPr="0068763F" w:rsidRDefault="00147608" w:rsidP="00147608">
            <w:pPr>
              <w:pStyle w:val="TableText0"/>
              <w:jc w:val="center"/>
            </w:pPr>
            <w:r w:rsidRPr="0068763F">
              <w:t>11</w:t>
            </w:r>
          </w:p>
        </w:tc>
        <w:tc>
          <w:tcPr>
            <w:tcW w:w="625" w:type="pct"/>
            <w:tcBorders>
              <w:top w:val="single" w:sz="4" w:space="0" w:color="auto"/>
              <w:left w:val="single" w:sz="4" w:space="0" w:color="auto"/>
              <w:bottom w:val="single" w:sz="4" w:space="0" w:color="auto"/>
              <w:right w:val="single" w:sz="4" w:space="0" w:color="auto"/>
            </w:tcBorders>
            <w:vAlign w:val="center"/>
          </w:tcPr>
          <w:p w:rsidR="00147608" w:rsidRPr="0068763F" w:rsidRDefault="00147608" w:rsidP="00147608">
            <w:pPr>
              <w:pStyle w:val="TableText0"/>
              <w:jc w:val="center"/>
            </w:pPr>
            <w:r w:rsidRPr="0068763F">
              <w:t>$</w:t>
            </w:r>
            <w:r w:rsidR="009D295A">
              <w:rPr>
                <w:noProof/>
                <w:color w:val="000000"/>
                <w:highlight w:val="black"/>
              </w:rPr>
              <w:t>'''''''''''''''''''</w:t>
            </w:r>
          </w:p>
        </w:tc>
        <w:tc>
          <w:tcPr>
            <w:tcW w:w="627" w:type="pct"/>
            <w:tcBorders>
              <w:top w:val="single" w:sz="4" w:space="0" w:color="auto"/>
              <w:left w:val="single" w:sz="4" w:space="0" w:color="auto"/>
              <w:bottom w:val="single" w:sz="4" w:space="0" w:color="auto"/>
              <w:right w:val="single" w:sz="4" w:space="0" w:color="auto"/>
            </w:tcBorders>
            <w:vAlign w:val="center"/>
          </w:tcPr>
          <w:p w:rsidR="00147608" w:rsidRPr="009D295A" w:rsidRDefault="009D295A" w:rsidP="00147608">
            <w:pPr>
              <w:pStyle w:val="TableText0"/>
              <w:jc w:val="center"/>
              <w:rPr>
                <w:highlight w:val="black"/>
              </w:rPr>
            </w:pPr>
            <w:r>
              <w:rPr>
                <w:noProof/>
                <w:color w:val="000000"/>
                <w:highlight w:val="black"/>
              </w:rPr>
              <w:t>'''</w:t>
            </w:r>
          </w:p>
        </w:tc>
        <w:tc>
          <w:tcPr>
            <w:tcW w:w="689" w:type="pct"/>
            <w:tcBorders>
              <w:top w:val="single" w:sz="4" w:space="0" w:color="auto"/>
              <w:left w:val="single" w:sz="4" w:space="0" w:color="auto"/>
              <w:bottom w:val="single" w:sz="4" w:space="0" w:color="auto"/>
              <w:right w:val="single" w:sz="4" w:space="0" w:color="auto"/>
            </w:tcBorders>
            <w:vAlign w:val="center"/>
          </w:tcPr>
          <w:p w:rsidR="00147608" w:rsidRDefault="00147608" w:rsidP="00147608">
            <w:pPr>
              <w:pStyle w:val="TableText0"/>
              <w:jc w:val="center"/>
            </w:pPr>
          </w:p>
        </w:tc>
      </w:tr>
      <w:tr w:rsidR="00147608" w:rsidRPr="000523E3" w:rsidTr="00147608">
        <w:tc>
          <w:tcPr>
            <w:tcW w:w="1342" w:type="pct"/>
            <w:tcBorders>
              <w:top w:val="single" w:sz="4" w:space="0" w:color="auto"/>
              <w:left w:val="single" w:sz="4" w:space="0" w:color="auto"/>
              <w:bottom w:val="single" w:sz="4" w:space="0" w:color="auto"/>
              <w:right w:val="single" w:sz="4" w:space="0" w:color="auto"/>
            </w:tcBorders>
            <w:vAlign w:val="center"/>
          </w:tcPr>
          <w:p w:rsidR="00147608" w:rsidRDefault="00147608" w:rsidP="001666A4">
            <w:pPr>
              <w:pStyle w:val="TableText0"/>
              <w:rPr>
                <w:rFonts w:eastAsia="Times New Roman" w:cs="Times New Roman"/>
              </w:rPr>
            </w:pPr>
            <w:r>
              <w:rPr>
                <w:rFonts w:eastAsia="Times New Roman" w:cs="Times New Roman"/>
              </w:rPr>
              <w:t>4 courses</w:t>
            </w:r>
          </w:p>
        </w:tc>
        <w:tc>
          <w:tcPr>
            <w:tcW w:w="546" w:type="pct"/>
            <w:tcBorders>
              <w:top w:val="single" w:sz="4" w:space="0" w:color="auto"/>
              <w:left w:val="single" w:sz="4" w:space="0" w:color="auto"/>
              <w:bottom w:val="single" w:sz="4" w:space="0" w:color="auto"/>
              <w:right w:val="single" w:sz="4" w:space="0" w:color="auto"/>
            </w:tcBorders>
            <w:vAlign w:val="center"/>
          </w:tcPr>
          <w:p w:rsidR="00147608" w:rsidRPr="0068763F" w:rsidRDefault="009D295A" w:rsidP="001666A4">
            <w:pPr>
              <w:pStyle w:val="TableText0"/>
              <w:jc w:val="center"/>
            </w:pPr>
            <w:r>
              <w:rPr>
                <w:noProof/>
                <w:color w:val="000000"/>
                <w:highlight w:val="black"/>
              </w:rPr>
              <w:t>''''''''</w:t>
            </w:r>
            <w:r w:rsidR="00147608" w:rsidRPr="0068763F">
              <w:t>%</w:t>
            </w:r>
          </w:p>
        </w:tc>
        <w:tc>
          <w:tcPr>
            <w:tcW w:w="547" w:type="pct"/>
            <w:tcBorders>
              <w:top w:val="single" w:sz="4" w:space="0" w:color="auto"/>
              <w:left w:val="single" w:sz="4" w:space="0" w:color="auto"/>
              <w:bottom w:val="single" w:sz="4" w:space="0" w:color="auto"/>
              <w:right w:val="single" w:sz="4" w:space="0" w:color="auto"/>
            </w:tcBorders>
            <w:vAlign w:val="center"/>
          </w:tcPr>
          <w:p w:rsidR="00147608" w:rsidRPr="0068763F" w:rsidRDefault="00147608" w:rsidP="001666A4">
            <w:pPr>
              <w:pStyle w:val="TableText0"/>
              <w:jc w:val="center"/>
            </w:pPr>
            <w:r w:rsidRPr="0068763F">
              <w:t>$</w:t>
            </w:r>
            <w:r w:rsidR="009D295A">
              <w:rPr>
                <w:noProof/>
                <w:color w:val="00000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tcPr>
          <w:p w:rsidR="00147608" w:rsidRPr="0068763F" w:rsidRDefault="00147608" w:rsidP="00147608">
            <w:pPr>
              <w:pStyle w:val="TableText0"/>
              <w:jc w:val="center"/>
            </w:pPr>
            <w:r w:rsidRPr="0068763F">
              <w:t>14</w:t>
            </w:r>
          </w:p>
        </w:tc>
        <w:tc>
          <w:tcPr>
            <w:tcW w:w="625" w:type="pct"/>
            <w:tcBorders>
              <w:top w:val="single" w:sz="4" w:space="0" w:color="auto"/>
              <w:left w:val="single" w:sz="4" w:space="0" w:color="auto"/>
              <w:bottom w:val="single" w:sz="4" w:space="0" w:color="auto"/>
              <w:right w:val="single" w:sz="4" w:space="0" w:color="auto"/>
            </w:tcBorders>
            <w:vAlign w:val="center"/>
          </w:tcPr>
          <w:p w:rsidR="00147608" w:rsidRPr="0068763F" w:rsidRDefault="00147608" w:rsidP="00147608">
            <w:pPr>
              <w:pStyle w:val="TableText0"/>
              <w:jc w:val="center"/>
            </w:pPr>
            <w:r w:rsidRPr="0068763F">
              <w:t>$</w:t>
            </w:r>
            <w:r w:rsidR="009D295A">
              <w:rPr>
                <w:noProof/>
                <w:color w:val="000000"/>
                <w:highlight w:val="black"/>
              </w:rPr>
              <w:t>'''''''''''''''''''</w:t>
            </w:r>
          </w:p>
        </w:tc>
        <w:tc>
          <w:tcPr>
            <w:tcW w:w="627" w:type="pct"/>
            <w:tcBorders>
              <w:top w:val="single" w:sz="4" w:space="0" w:color="auto"/>
              <w:left w:val="single" w:sz="4" w:space="0" w:color="auto"/>
              <w:bottom w:val="single" w:sz="4" w:space="0" w:color="auto"/>
              <w:right w:val="single" w:sz="4" w:space="0" w:color="auto"/>
            </w:tcBorders>
            <w:vAlign w:val="center"/>
          </w:tcPr>
          <w:p w:rsidR="00147608" w:rsidRPr="009D295A" w:rsidRDefault="009D295A" w:rsidP="00147608">
            <w:pPr>
              <w:pStyle w:val="TableText0"/>
              <w:jc w:val="center"/>
              <w:rPr>
                <w:highlight w:val="black"/>
              </w:rPr>
            </w:pPr>
            <w:r>
              <w:rPr>
                <w:noProof/>
                <w:color w:val="000000"/>
                <w:highlight w:val="black"/>
              </w:rPr>
              <w:t>''''</w:t>
            </w:r>
          </w:p>
        </w:tc>
        <w:tc>
          <w:tcPr>
            <w:tcW w:w="689" w:type="pct"/>
            <w:tcBorders>
              <w:top w:val="single" w:sz="4" w:space="0" w:color="auto"/>
              <w:left w:val="single" w:sz="4" w:space="0" w:color="auto"/>
              <w:bottom w:val="single" w:sz="4" w:space="0" w:color="auto"/>
              <w:right w:val="single" w:sz="4" w:space="0" w:color="auto"/>
            </w:tcBorders>
            <w:vAlign w:val="center"/>
          </w:tcPr>
          <w:p w:rsidR="00147608" w:rsidRDefault="00147608" w:rsidP="00147608">
            <w:pPr>
              <w:pStyle w:val="TableText0"/>
              <w:jc w:val="center"/>
            </w:pPr>
          </w:p>
        </w:tc>
      </w:tr>
      <w:tr w:rsidR="00147608" w:rsidRPr="000523E3" w:rsidTr="00147608">
        <w:tc>
          <w:tcPr>
            <w:tcW w:w="1342" w:type="pct"/>
            <w:tcBorders>
              <w:top w:val="single" w:sz="4" w:space="0" w:color="auto"/>
              <w:left w:val="single" w:sz="4" w:space="0" w:color="auto"/>
              <w:bottom w:val="single" w:sz="4" w:space="0" w:color="auto"/>
              <w:right w:val="single" w:sz="4" w:space="0" w:color="auto"/>
            </w:tcBorders>
            <w:vAlign w:val="center"/>
          </w:tcPr>
          <w:p w:rsidR="00147608" w:rsidRDefault="00147608" w:rsidP="00147608">
            <w:pPr>
              <w:pStyle w:val="TableText0"/>
              <w:rPr>
                <w:rFonts w:eastAsia="Times New Roman" w:cs="Times New Roman"/>
              </w:rPr>
            </w:pPr>
            <w:r>
              <w:rPr>
                <w:rFonts w:eastAsia="Times New Roman" w:cs="Times New Roman"/>
              </w:rPr>
              <w:t>4 courses (reduced benefit as 5/6 courses received)</w:t>
            </w:r>
          </w:p>
        </w:tc>
        <w:tc>
          <w:tcPr>
            <w:tcW w:w="546" w:type="pct"/>
            <w:tcBorders>
              <w:top w:val="single" w:sz="4" w:space="0" w:color="auto"/>
              <w:left w:val="single" w:sz="4" w:space="0" w:color="auto"/>
              <w:bottom w:val="single" w:sz="4" w:space="0" w:color="auto"/>
              <w:right w:val="single" w:sz="4" w:space="0" w:color="auto"/>
            </w:tcBorders>
            <w:vAlign w:val="center"/>
          </w:tcPr>
          <w:p w:rsidR="00147608" w:rsidRPr="0068763F" w:rsidRDefault="009D295A" w:rsidP="001666A4">
            <w:pPr>
              <w:pStyle w:val="TableText0"/>
              <w:jc w:val="center"/>
            </w:pPr>
            <w:r>
              <w:rPr>
                <w:noProof/>
                <w:color w:val="000000"/>
                <w:highlight w:val="black"/>
              </w:rPr>
              <w:t>''''''''</w:t>
            </w:r>
            <w:r w:rsidR="00147608" w:rsidRPr="0068763F">
              <w:t>%</w:t>
            </w:r>
          </w:p>
        </w:tc>
        <w:tc>
          <w:tcPr>
            <w:tcW w:w="547" w:type="pct"/>
            <w:tcBorders>
              <w:top w:val="single" w:sz="4" w:space="0" w:color="auto"/>
              <w:left w:val="single" w:sz="4" w:space="0" w:color="auto"/>
              <w:bottom w:val="single" w:sz="4" w:space="0" w:color="auto"/>
              <w:right w:val="single" w:sz="4" w:space="0" w:color="auto"/>
            </w:tcBorders>
            <w:vAlign w:val="center"/>
          </w:tcPr>
          <w:p w:rsidR="00147608" w:rsidRPr="0068763F" w:rsidRDefault="00147608" w:rsidP="001666A4">
            <w:pPr>
              <w:pStyle w:val="TableText0"/>
              <w:jc w:val="center"/>
            </w:pPr>
            <w:r w:rsidRPr="0068763F">
              <w:t>$</w:t>
            </w:r>
            <w:r w:rsidR="009D295A">
              <w:rPr>
                <w:noProof/>
                <w:color w:val="00000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tcPr>
          <w:p w:rsidR="00147608" w:rsidRPr="0068763F" w:rsidRDefault="00147608" w:rsidP="00147608">
            <w:pPr>
              <w:pStyle w:val="TableText0"/>
              <w:jc w:val="center"/>
            </w:pPr>
            <w:r w:rsidRPr="0068763F">
              <w:t>14</w:t>
            </w:r>
          </w:p>
        </w:tc>
        <w:tc>
          <w:tcPr>
            <w:tcW w:w="625" w:type="pct"/>
            <w:tcBorders>
              <w:top w:val="single" w:sz="4" w:space="0" w:color="auto"/>
              <w:left w:val="single" w:sz="4" w:space="0" w:color="auto"/>
              <w:bottom w:val="single" w:sz="4" w:space="0" w:color="auto"/>
              <w:right w:val="single" w:sz="4" w:space="0" w:color="auto"/>
            </w:tcBorders>
            <w:vAlign w:val="center"/>
          </w:tcPr>
          <w:p w:rsidR="00147608" w:rsidRPr="0068763F" w:rsidRDefault="00147608" w:rsidP="00147608">
            <w:pPr>
              <w:pStyle w:val="TableText0"/>
              <w:jc w:val="center"/>
            </w:pPr>
            <w:r w:rsidRPr="0068763F">
              <w:t>$</w:t>
            </w:r>
            <w:r w:rsidR="009D295A">
              <w:rPr>
                <w:noProof/>
                <w:color w:val="000000"/>
                <w:highlight w:val="black"/>
              </w:rPr>
              <w:t>'''''''''''''''''''</w:t>
            </w:r>
          </w:p>
        </w:tc>
        <w:tc>
          <w:tcPr>
            <w:tcW w:w="627" w:type="pct"/>
            <w:tcBorders>
              <w:top w:val="single" w:sz="4" w:space="0" w:color="auto"/>
              <w:left w:val="single" w:sz="4" w:space="0" w:color="auto"/>
              <w:bottom w:val="single" w:sz="4" w:space="0" w:color="auto"/>
              <w:right w:val="single" w:sz="4" w:space="0" w:color="auto"/>
            </w:tcBorders>
            <w:vAlign w:val="center"/>
          </w:tcPr>
          <w:p w:rsidR="00147608" w:rsidRPr="009D295A" w:rsidRDefault="009D295A" w:rsidP="00147608">
            <w:pPr>
              <w:pStyle w:val="TableText0"/>
              <w:jc w:val="center"/>
              <w:rPr>
                <w:highlight w:val="black"/>
              </w:rPr>
            </w:pPr>
            <w:r>
              <w:rPr>
                <w:noProof/>
                <w:color w:val="000000"/>
                <w:highlight w:val="black"/>
              </w:rPr>
              <w:t>''''''''</w:t>
            </w:r>
          </w:p>
        </w:tc>
        <w:tc>
          <w:tcPr>
            <w:tcW w:w="689" w:type="pct"/>
            <w:tcBorders>
              <w:top w:val="single" w:sz="4" w:space="0" w:color="auto"/>
              <w:left w:val="single" w:sz="4" w:space="0" w:color="auto"/>
              <w:bottom w:val="single" w:sz="4" w:space="0" w:color="auto"/>
              <w:right w:val="single" w:sz="4" w:space="0" w:color="auto"/>
            </w:tcBorders>
            <w:vAlign w:val="center"/>
          </w:tcPr>
          <w:p w:rsidR="00147608" w:rsidRDefault="00147608" w:rsidP="00147608">
            <w:pPr>
              <w:pStyle w:val="TableText0"/>
              <w:jc w:val="center"/>
            </w:pPr>
          </w:p>
        </w:tc>
      </w:tr>
      <w:tr w:rsidR="00147608" w:rsidRPr="000523E3" w:rsidTr="00147608">
        <w:tc>
          <w:tcPr>
            <w:tcW w:w="1342" w:type="pct"/>
            <w:tcBorders>
              <w:top w:val="single" w:sz="4" w:space="0" w:color="auto"/>
              <w:left w:val="single" w:sz="4" w:space="0" w:color="auto"/>
              <w:bottom w:val="single" w:sz="4" w:space="0" w:color="auto"/>
              <w:right w:val="single" w:sz="4" w:space="0" w:color="auto"/>
            </w:tcBorders>
            <w:vAlign w:val="center"/>
          </w:tcPr>
          <w:p w:rsidR="00147608" w:rsidRDefault="00147608" w:rsidP="001666A4">
            <w:pPr>
              <w:pStyle w:val="TableText0"/>
              <w:rPr>
                <w:rFonts w:eastAsia="Times New Roman" w:cs="Times New Roman"/>
              </w:rPr>
            </w:pPr>
            <w:r>
              <w:rPr>
                <w:rFonts w:eastAsia="Times New Roman" w:cs="Times New Roman"/>
              </w:rPr>
              <w:t>Weighted</w:t>
            </w:r>
          </w:p>
        </w:tc>
        <w:tc>
          <w:tcPr>
            <w:tcW w:w="546" w:type="pct"/>
            <w:tcBorders>
              <w:top w:val="single" w:sz="4" w:space="0" w:color="auto"/>
              <w:left w:val="single" w:sz="4" w:space="0" w:color="auto"/>
              <w:bottom w:val="single" w:sz="4" w:space="0" w:color="auto"/>
              <w:right w:val="single" w:sz="4" w:space="0" w:color="auto"/>
            </w:tcBorders>
            <w:vAlign w:val="center"/>
          </w:tcPr>
          <w:p w:rsidR="00147608" w:rsidRPr="0068763F" w:rsidRDefault="00147608" w:rsidP="001666A4">
            <w:pPr>
              <w:pStyle w:val="TableText0"/>
              <w:jc w:val="center"/>
            </w:pPr>
          </w:p>
        </w:tc>
        <w:tc>
          <w:tcPr>
            <w:tcW w:w="547" w:type="pct"/>
            <w:tcBorders>
              <w:top w:val="single" w:sz="4" w:space="0" w:color="auto"/>
              <w:left w:val="single" w:sz="4" w:space="0" w:color="auto"/>
              <w:bottom w:val="single" w:sz="4" w:space="0" w:color="auto"/>
              <w:right w:val="single" w:sz="4" w:space="0" w:color="auto"/>
            </w:tcBorders>
            <w:vAlign w:val="center"/>
          </w:tcPr>
          <w:p w:rsidR="00147608" w:rsidRPr="0068763F" w:rsidRDefault="00147608" w:rsidP="001666A4">
            <w:pPr>
              <w:pStyle w:val="TableText0"/>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147608" w:rsidRPr="0068763F" w:rsidRDefault="00147608" w:rsidP="00147608">
            <w:pPr>
              <w:pStyle w:val="TableText0"/>
              <w:jc w:val="center"/>
            </w:pPr>
          </w:p>
        </w:tc>
        <w:tc>
          <w:tcPr>
            <w:tcW w:w="625" w:type="pct"/>
            <w:tcBorders>
              <w:top w:val="single" w:sz="4" w:space="0" w:color="auto"/>
              <w:left w:val="single" w:sz="4" w:space="0" w:color="auto"/>
              <w:bottom w:val="single" w:sz="4" w:space="0" w:color="auto"/>
              <w:right w:val="single" w:sz="4" w:space="0" w:color="auto"/>
            </w:tcBorders>
            <w:vAlign w:val="center"/>
          </w:tcPr>
          <w:p w:rsidR="00147608" w:rsidRPr="0068763F" w:rsidRDefault="00147608" w:rsidP="00147608">
            <w:pPr>
              <w:pStyle w:val="TableText0"/>
              <w:jc w:val="center"/>
            </w:pPr>
            <w:r w:rsidRPr="0068763F">
              <w:t>$</w:t>
            </w:r>
            <w:r w:rsidR="009D295A">
              <w:rPr>
                <w:noProof/>
                <w:color w:val="000000"/>
                <w:highlight w:val="black"/>
              </w:rPr>
              <w:t>''''''''''''''''''''</w:t>
            </w:r>
          </w:p>
        </w:tc>
        <w:tc>
          <w:tcPr>
            <w:tcW w:w="627" w:type="pct"/>
            <w:tcBorders>
              <w:top w:val="single" w:sz="4" w:space="0" w:color="auto"/>
              <w:left w:val="single" w:sz="4" w:space="0" w:color="auto"/>
              <w:bottom w:val="single" w:sz="4" w:space="0" w:color="auto"/>
              <w:right w:val="single" w:sz="4" w:space="0" w:color="auto"/>
            </w:tcBorders>
            <w:vAlign w:val="center"/>
          </w:tcPr>
          <w:p w:rsidR="00147608" w:rsidRPr="009D295A" w:rsidRDefault="009D295A" w:rsidP="00147608">
            <w:pPr>
              <w:pStyle w:val="TableText0"/>
              <w:jc w:val="center"/>
              <w:rPr>
                <w:highlight w:val="black"/>
              </w:rPr>
            </w:pPr>
            <w:r>
              <w:rPr>
                <w:noProof/>
                <w:color w:val="000000"/>
                <w:highlight w:val="black"/>
              </w:rPr>
              <w:t>''''''''</w:t>
            </w:r>
          </w:p>
        </w:tc>
        <w:tc>
          <w:tcPr>
            <w:tcW w:w="689" w:type="pct"/>
            <w:tcBorders>
              <w:top w:val="single" w:sz="4" w:space="0" w:color="auto"/>
              <w:left w:val="single" w:sz="4" w:space="0" w:color="auto"/>
              <w:bottom w:val="single" w:sz="4" w:space="0" w:color="auto"/>
              <w:right w:val="single" w:sz="4" w:space="0" w:color="auto"/>
            </w:tcBorders>
            <w:vAlign w:val="center"/>
          </w:tcPr>
          <w:p w:rsidR="00147608" w:rsidRDefault="00147608" w:rsidP="00147608">
            <w:pPr>
              <w:pStyle w:val="TableText0"/>
              <w:jc w:val="center"/>
            </w:pPr>
            <w:r>
              <w:t>$</w:t>
            </w:r>
            <w:r w:rsidR="009D295A">
              <w:rPr>
                <w:noProof/>
                <w:color w:val="000000"/>
                <w:highlight w:val="black"/>
              </w:rPr>
              <w:t>'''''''''''''''''</w:t>
            </w:r>
          </w:p>
        </w:tc>
      </w:tr>
    </w:tbl>
    <w:p w:rsidR="00BD1912" w:rsidRDefault="00BD1912" w:rsidP="00321FFE">
      <w:pPr>
        <w:pStyle w:val="TableFooter"/>
      </w:pPr>
      <w:r>
        <w:t xml:space="preserve">Source: </w:t>
      </w:r>
      <w:r w:rsidR="008B6B3E">
        <w:t xml:space="preserve">Table 3.2.1,p68;Table 3.2.2,p69 and </w:t>
      </w:r>
      <w:r>
        <w:t>Table 3.4.1, p70 of the resubmission</w:t>
      </w:r>
    </w:p>
    <w:p w:rsidR="00147608" w:rsidRDefault="00147608" w:rsidP="00321FFE">
      <w:pPr>
        <w:pStyle w:val="TableFooter"/>
      </w:pPr>
    </w:p>
    <w:p w:rsidR="006A6EB9" w:rsidRPr="00057575" w:rsidRDefault="006A6EB9" w:rsidP="00FD072C">
      <w:pPr>
        <w:pStyle w:val="ListParagraph"/>
        <w:numPr>
          <w:ilvl w:val="1"/>
          <w:numId w:val="1"/>
        </w:numPr>
        <w:rPr>
          <w:color w:val="000000" w:themeColor="text1"/>
        </w:rPr>
      </w:pPr>
      <w:r w:rsidRPr="00057575">
        <w:rPr>
          <w:color w:val="000000" w:themeColor="text1"/>
        </w:rPr>
        <w:t xml:space="preserve">The </w:t>
      </w:r>
      <w:r w:rsidR="006A4FCE">
        <w:rPr>
          <w:color w:val="000000" w:themeColor="text1"/>
        </w:rPr>
        <w:t>PBAC</w:t>
      </w:r>
      <w:r w:rsidRPr="00057575">
        <w:rPr>
          <w:color w:val="000000" w:themeColor="text1"/>
        </w:rPr>
        <w:t xml:space="preserve"> noted </w:t>
      </w:r>
      <w:r w:rsidR="00A40153" w:rsidRPr="00057575">
        <w:rPr>
          <w:color w:val="000000" w:themeColor="text1"/>
        </w:rPr>
        <w:t>that the</w:t>
      </w:r>
      <w:r w:rsidR="00E0270D" w:rsidRPr="00057575">
        <w:rPr>
          <w:color w:val="000000" w:themeColor="text1"/>
        </w:rPr>
        <w:t xml:space="preserve"> magnitude of the</w:t>
      </w:r>
      <w:r w:rsidR="00A40153" w:rsidRPr="00057575">
        <w:rPr>
          <w:color w:val="000000" w:themeColor="text1"/>
        </w:rPr>
        <w:t xml:space="preserve"> requested increased price per vial derived from the cost </w:t>
      </w:r>
      <w:r w:rsidR="0012538A" w:rsidRPr="00057575">
        <w:rPr>
          <w:color w:val="000000" w:themeColor="text1"/>
        </w:rPr>
        <w:t>analysis</w:t>
      </w:r>
      <w:r w:rsidR="00E0270D" w:rsidRPr="00057575">
        <w:rPr>
          <w:color w:val="000000" w:themeColor="text1"/>
        </w:rPr>
        <w:t xml:space="preserve"> was largely driven by the assumption of sustained benefit </w:t>
      </w:r>
      <w:r w:rsidR="00E70902" w:rsidRPr="00057575">
        <w:rPr>
          <w:color w:val="000000" w:themeColor="text1"/>
        </w:rPr>
        <w:t>over</w:t>
      </w:r>
      <w:r w:rsidR="00E0270D" w:rsidRPr="00057575">
        <w:rPr>
          <w:color w:val="000000" w:themeColor="text1"/>
        </w:rPr>
        <w:t xml:space="preserve"> 6 years</w:t>
      </w:r>
      <w:r w:rsidR="00783176" w:rsidRPr="00057575">
        <w:rPr>
          <w:color w:val="000000" w:themeColor="text1"/>
        </w:rPr>
        <w:t>.</w:t>
      </w:r>
      <w:r w:rsidR="00E0270D" w:rsidRPr="00057575">
        <w:rPr>
          <w:color w:val="000000" w:themeColor="text1"/>
        </w:rPr>
        <w:t xml:space="preserve"> </w:t>
      </w:r>
      <w:r w:rsidR="00A40153" w:rsidRPr="00057575">
        <w:rPr>
          <w:color w:val="000000" w:themeColor="text1"/>
        </w:rPr>
        <w:t xml:space="preserve"> </w:t>
      </w:r>
    </w:p>
    <w:p w:rsidR="00377D0D" w:rsidRPr="00DE0340" w:rsidRDefault="00377D0D" w:rsidP="00FD072C">
      <w:pPr>
        <w:pStyle w:val="ListParagraph"/>
        <w:numPr>
          <w:ilvl w:val="1"/>
          <w:numId w:val="1"/>
        </w:numPr>
        <w:rPr>
          <w:color w:val="000000" w:themeColor="text1"/>
        </w:rPr>
      </w:pPr>
      <w:r w:rsidRPr="00DE0340">
        <w:rPr>
          <w:color w:val="000000" w:themeColor="text1"/>
        </w:rPr>
        <w:t xml:space="preserve">The approach </w:t>
      </w:r>
      <w:r w:rsidR="00E70902">
        <w:rPr>
          <w:color w:val="000000" w:themeColor="text1"/>
        </w:rPr>
        <w:t xml:space="preserve">of comparing annualised benefit over two years compared with six years </w:t>
      </w:r>
      <w:r w:rsidRPr="00DE0340">
        <w:rPr>
          <w:color w:val="000000" w:themeColor="text1"/>
        </w:rPr>
        <w:t>may not be internally valid. A traditional cost-effectiveness approach would aggregate benefit over a single time horizon (e.g. patients remaining relapse</w:t>
      </w:r>
      <w:r w:rsidR="00941A1B" w:rsidRPr="00DE0340">
        <w:rPr>
          <w:color w:val="000000" w:themeColor="text1"/>
        </w:rPr>
        <w:t>-</w:t>
      </w:r>
      <w:r w:rsidRPr="00DE0340">
        <w:rPr>
          <w:color w:val="000000" w:themeColor="text1"/>
        </w:rPr>
        <w:t>free, or disability</w:t>
      </w:r>
      <w:r w:rsidR="00941A1B" w:rsidRPr="00DE0340">
        <w:rPr>
          <w:color w:val="000000" w:themeColor="text1"/>
        </w:rPr>
        <w:t>-</w:t>
      </w:r>
      <w:r w:rsidRPr="00DE0340">
        <w:rPr>
          <w:color w:val="000000" w:themeColor="text1"/>
        </w:rPr>
        <w:t xml:space="preserve">free) </w:t>
      </w:r>
      <w:r w:rsidR="00157F24">
        <w:rPr>
          <w:color w:val="000000" w:themeColor="text1"/>
        </w:rPr>
        <w:t xml:space="preserve">and </w:t>
      </w:r>
      <w:r w:rsidRPr="00DE0340">
        <w:rPr>
          <w:color w:val="000000" w:themeColor="text1"/>
        </w:rPr>
        <w:t>the clinical evidence suggests that in such an approach, benefit would decrease in the aggregate over time. Consequently, in addition to the risk of bias associated with the CARE-MS extension, the nature of the comparison of two-year data and six-year data may not allow for the cost-analysis’s premise of sustained benefit.</w:t>
      </w:r>
      <w:r w:rsidR="00A617BC">
        <w:rPr>
          <w:i/>
          <w:color w:val="000000" w:themeColor="text1"/>
        </w:rPr>
        <w:t xml:space="preserve"> </w:t>
      </w:r>
    </w:p>
    <w:p w:rsidR="00BD1912" w:rsidRPr="00DE0340" w:rsidRDefault="00BD1912" w:rsidP="00FD072C">
      <w:pPr>
        <w:pStyle w:val="ListParagraph"/>
        <w:widowControl/>
        <w:numPr>
          <w:ilvl w:val="1"/>
          <w:numId w:val="1"/>
        </w:numPr>
        <w:rPr>
          <w:color w:val="000000" w:themeColor="text1"/>
        </w:rPr>
      </w:pPr>
      <w:r w:rsidRPr="00DE0340">
        <w:t xml:space="preserve">The calculation of estimated benefit in the cost analysis and the calculation of the number of vials required was based on the </w:t>
      </w:r>
      <w:r w:rsidR="00941A1B" w:rsidRPr="00DE0340">
        <w:t>re-treatment</w:t>
      </w:r>
      <w:r w:rsidRPr="00DE0340">
        <w:t xml:space="preserve"> memo sourced </w:t>
      </w:r>
      <w:r w:rsidR="00941A1B" w:rsidRPr="00DE0340">
        <w:t>re-treatment</w:t>
      </w:r>
      <w:r w:rsidRPr="00DE0340">
        <w:t xml:space="preserve"> rate</w:t>
      </w:r>
      <w:r w:rsidR="00BC09AC" w:rsidRPr="00DE0340">
        <w:t xml:space="preserve">s. </w:t>
      </w:r>
      <w:r w:rsidR="006617D5" w:rsidRPr="00DE0340">
        <w:t>Neither benefits nor costs in the cost analysis w</w:t>
      </w:r>
      <w:r w:rsidR="008804CE" w:rsidRPr="00DE0340">
        <w:t>ere</w:t>
      </w:r>
      <w:r w:rsidR="006617D5" w:rsidRPr="00DE0340">
        <w:t xml:space="preserve"> subject to discounting.</w:t>
      </w:r>
    </w:p>
    <w:p w:rsidR="00E811CA" w:rsidRPr="00DE0340" w:rsidRDefault="00E811CA" w:rsidP="00FD072C">
      <w:pPr>
        <w:pStyle w:val="ListParagraph"/>
        <w:widowControl/>
        <w:numPr>
          <w:ilvl w:val="1"/>
          <w:numId w:val="1"/>
        </w:numPr>
        <w:rPr>
          <w:color w:val="000000" w:themeColor="text1"/>
        </w:rPr>
      </w:pPr>
      <w:r w:rsidRPr="00DE0340">
        <w:t>Since the alemtuzumab re</w:t>
      </w:r>
      <w:r w:rsidR="007E302B" w:rsidRPr="00DE0340">
        <w:t>-</w:t>
      </w:r>
      <w:r w:rsidRPr="00DE0340">
        <w:t>treatment rates in the re</w:t>
      </w:r>
      <w:r w:rsidR="007E302B" w:rsidRPr="00DE0340">
        <w:t>-</w:t>
      </w:r>
      <w:r w:rsidRPr="00DE0340">
        <w:t>treatment memo appeared to be based on the number of patients who received at least one intervention in the core CARE</w:t>
      </w:r>
      <w:r w:rsidR="003F073A" w:rsidRPr="00DE0340">
        <w:t>-</w:t>
      </w:r>
      <w:r w:rsidR="007E302B" w:rsidRPr="00DE0340">
        <w:t xml:space="preserve">MS </w:t>
      </w:r>
      <w:r w:rsidRPr="00DE0340">
        <w:t>trials, and the alternative DMT rates from the re</w:t>
      </w:r>
      <w:r w:rsidR="007E302B" w:rsidRPr="00DE0340">
        <w:t>-</w:t>
      </w:r>
      <w:r w:rsidRPr="00DE0340">
        <w:t xml:space="preserve">treatment memo appeared to be based on the number of patients enrolled in the extension study, there was a general lack </w:t>
      </w:r>
      <w:r w:rsidR="00A8650B" w:rsidRPr="00DE0340">
        <w:t>of clarity around the</w:t>
      </w:r>
      <w:r w:rsidRPr="00DE0340">
        <w:t xml:space="preserve"> patients who discontinue alemtuzumab, switch to alternative therapy</w:t>
      </w:r>
      <w:r w:rsidR="00A8650B" w:rsidRPr="00DE0340">
        <w:t>,</w:t>
      </w:r>
      <w:r w:rsidRPr="00DE0340">
        <w:t xml:space="preserve"> are lost to follow up</w:t>
      </w:r>
      <w:r w:rsidR="00A8650B" w:rsidRPr="00DE0340">
        <w:t xml:space="preserve"> prior to two years</w:t>
      </w:r>
      <w:r w:rsidRPr="00DE0340">
        <w:t xml:space="preserve"> or </w:t>
      </w:r>
      <w:r w:rsidR="00A8650B" w:rsidRPr="00DE0340">
        <w:t>d</w:t>
      </w:r>
      <w:r w:rsidR="007E302B" w:rsidRPr="00DE0340">
        <w:t>id</w:t>
      </w:r>
      <w:r w:rsidR="00A8650B" w:rsidRPr="00DE0340">
        <w:t xml:space="preserve"> not</w:t>
      </w:r>
      <w:r w:rsidRPr="00DE0340">
        <w:t xml:space="preserve"> enrol in the extension in</w:t>
      </w:r>
      <w:r w:rsidR="007E302B" w:rsidRPr="00DE0340">
        <w:t xml:space="preserve"> the</w:t>
      </w:r>
      <w:r w:rsidRPr="00DE0340">
        <w:t xml:space="preserve"> cost-analysis. It is likely that explicitly including limits on benefits for these patients would decrease the average duration of benefit estimated by the resubmission</w:t>
      </w:r>
      <w:r w:rsidR="007E302B" w:rsidRPr="00DE0340">
        <w:t>.</w:t>
      </w:r>
    </w:p>
    <w:p w:rsidR="004C6675" w:rsidRPr="00057575" w:rsidRDefault="00BD1912" w:rsidP="00FD072C">
      <w:pPr>
        <w:pStyle w:val="ListParagraph"/>
        <w:widowControl/>
        <w:numPr>
          <w:ilvl w:val="1"/>
          <w:numId w:val="1"/>
        </w:numPr>
        <w:rPr>
          <w:color w:val="000000" w:themeColor="text1"/>
        </w:rPr>
      </w:pPr>
      <w:r w:rsidRPr="00DE0340">
        <w:t xml:space="preserve">The resubmission assumed that patients </w:t>
      </w:r>
      <w:r w:rsidR="00AD1550" w:rsidRPr="00DE0340">
        <w:t xml:space="preserve">that received </w:t>
      </w:r>
      <w:r w:rsidRPr="00DE0340">
        <w:t>a third or fourth course, would still have the same level of benefit as patients who did not (six years). This did not factor in the loss of benefit required to be prescribed another dose, and thus overestimated benefit in these patients.</w:t>
      </w:r>
      <w:r w:rsidR="00443FB9" w:rsidRPr="00DE0340">
        <w:t xml:space="preserve"> Further, the resubmission unreasonably </w:t>
      </w:r>
      <w:r w:rsidR="00443FB9" w:rsidRPr="00DE0340">
        <w:lastRenderedPageBreak/>
        <w:t>assumed that patients who switched treatments after two courses would derive more than two years of benefit.</w:t>
      </w:r>
      <w:r w:rsidR="004C6675" w:rsidRPr="004C6675">
        <w:rPr>
          <w:i/>
          <w:color w:val="000000" w:themeColor="text1"/>
        </w:rPr>
        <w:t xml:space="preserve"> </w:t>
      </w:r>
      <w:r w:rsidR="004C6675" w:rsidRPr="00057575">
        <w:rPr>
          <w:color w:val="000000" w:themeColor="text1"/>
        </w:rPr>
        <w:t xml:space="preserve">The ESC </w:t>
      </w:r>
      <w:r w:rsidR="004F4070" w:rsidRPr="00057575">
        <w:rPr>
          <w:color w:val="000000" w:themeColor="text1"/>
        </w:rPr>
        <w:t>agreed with the evaluation that</w:t>
      </w:r>
      <w:r w:rsidR="004C6675" w:rsidRPr="00057575">
        <w:rPr>
          <w:color w:val="000000" w:themeColor="text1"/>
        </w:rPr>
        <w:t xml:space="preserve"> the assumption</w:t>
      </w:r>
      <w:r w:rsidR="004C6675" w:rsidRPr="00057575">
        <w:t xml:space="preserve"> </w:t>
      </w:r>
      <w:r w:rsidR="004C6675" w:rsidRPr="00057575">
        <w:rPr>
          <w:color w:val="000000" w:themeColor="text1"/>
        </w:rPr>
        <w:t xml:space="preserve">that patients who require more than two courses of treatment would derive equal benefit over 6 years to patients who were treated with only two courses was </w:t>
      </w:r>
      <w:r w:rsidR="004F4070" w:rsidRPr="00057575">
        <w:rPr>
          <w:color w:val="000000" w:themeColor="text1"/>
        </w:rPr>
        <w:t xml:space="preserve">unjustified. </w:t>
      </w:r>
    </w:p>
    <w:p w:rsidR="00443FB9" w:rsidRPr="00057575" w:rsidRDefault="00340642" w:rsidP="00FD072C">
      <w:pPr>
        <w:pStyle w:val="ListParagraph"/>
        <w:numPr>
          <w:ilvl w:val="1"/>
          <w:numId w:val="1"/>
        </w:numPr>
        <w:rPr>
          <w:color w:val="000000" w:themeColor="text1"/>
        </w:rPr>
      </w:pPr>
      <w:r w:rsidRPr="00DE0340">
        <w:rPr>
          <w:color w:val="000000" w:themeColor="text1"/>
        </w:rPr>
        <w:t>Cost-</w:t>
      </w:r>
      <w:r w:rsidR="00443FB9" w:rsidRPr="00DE0340">
        <w:rPr>
          <w:color w:val="000000" w:themeColor="text1"/>
        </w:rPr>
        <w:t>offsets</w:t>
      </w:r>
      <w:r w:rsidRPr="00DE0340">
        <w:rPr>
          <w:color w:val="000000" w:themeColor="text1"/>
        </w:rPr>
        <w:t xml:space="preserve"> for DMTs switched to during the time horizon for which the benefit of alemtuzumab is claimed</w:t>
      </w:r>
      <w:r w:rsidR="00443FB9" w:rsidRPr="00DE0340">
        <w:rPr>
          <w:color w:val="000000" w:themeColor="text1"/>
        </w:rPr>
        <w:t xml:space="preserve"> were not included which led to an increased effective price.</w:t>
      </w:r>
      <w:r w:rsidR="00F1462C" w:rsidRPr="00F1462C">
        <w:rPr>
          <w:i/>
        </w:rPr>
        <w:t xml:space="preserve"> </w:t>
      </w:r>
      <w:r w:rsidR="00F1462C" w:rsidRPr="00057575">
        <w:t xml:space="preserve">The PSCR (p4) stated that the cost-analysis only included the costs and benefits associated with alemtuzumab, with an average </w:t>
      </w:r>
      <w:r w:rsidR="00F1462C" w:rsidRPr="003722E9">
        <w:t xml:space="preserve">of </w:t>
      </w:r>
      <w:r w:rsidR="009D295A">
        <w:rPr>
          <w:noProof/>
          <w:color w:val="000000"/>
          <w:highlight w:val="black"/>
        </w:rPr>
        <w:t>''''''</w:t>
      </w:r>
      <w:r w:rsidR="00F1462C" w:rsidRPr="003722E9">
        <w:t xml:space="preserve"> years of benefit assigned to the </w:t>
      </w:r>
      <w:r w:rsidR="009D295A">
        <w:rPr>
          <w:noProof/>
          <w:color w:val="000000"/>
          <w:highlight w:val="black"/>
        </w:rPr>
        <w:t>'''''</w:t>
      </w:r>
      <w:r w:rsidR="00F1462C" w:rsidRPr="003722E9">
        <w:t>% of patients who switched to alternative DMTs during</w:t>
      </w:r>
      <w:r w:rsidR="00F1462C" w:rsidRPr="00057575">
        <w:t xml:space="preserve"> the extension.</w:t>
      </w:r>
    </w:p>
    <w:p w:rsidR="00157F24" w:rsidRPr="00057575" w:rsidRDefault="00157F24" w:rsidP="00FD072C">
      <w:pPr>
        <w:pStyle w:val="ListParagraph"/>
        <w:widowControl/>
        <w:numPr>
          <w:ilvl w:val="1"/>
          <w:numId w:val="1"/>
        </w:numPr>
        <w:rPr>
          <w:color w:val="000000" w:themeColor="text1"/>
        </w:rPr>
      </w:pPr>
      <w:r w:rsidRPr="00057575">
        <w:rPr>
          <w:color w:val="000000" w:themeColor="text1"/>
        </w:rPr>
        <w:t xml:space="preserve">Overall, the </w:t>
      </w:r>
      <w:r w:rsidR="00926106">
        <w:rPr>
          <w:color w:val="000000" w:themeColor="text1"/>
        </w:rPr>
        <w:t xml:space="preserve">PBAC agreed with the </w:t>
      </w:r>
      <w:r w:rsidRPr="00057575">
        <w:rPr>
          <w:color w:val="000000" w:themeColor="text1"/>
        </w:rPr>
        <w:t xml:space="preserve">ESC </w:t>
      </w:r>
      <w:r w:rsidR="00926106">
        <w:rPr>
          <w:color w:val="000000" w:themeColor="text1"/>
        </w:rPr>
        <w:t>that</w:t>
      </w:r>
      <w:r w:rsidRPr="00057575">
        <w:rPr>
          <w:color w:val="000000" w:themeColor="text1"/>
        </w:rPr>
        <w:t xml:space="preserve"> in the absence of comparative evidence of efficacy, safety and cost-effectiveness between up to four treatment courses of alemtuzumab and alternative DMTs, the cost analysis presented </w:t>
      </w:r>
      <w:r w:rsidR="00926106">
        <w:rPr>
          <w:color w:val="000000" w:themeColor="text1"/>
        </w:rPr>
        <w:t>was</w:t>
      </w:r>
      <w:r w:rsidRPr="00057575">
        <w:rPr>
          <w:color w:val="000000" w:themeColor="text1"/>
        </w:rPr>
        <w:t xml:space="preserve"> inappropriate to value the durability of alemtuzumab treatment. As such, the </w:t>
      </w:r>
      <w:r w:rsidR="00926106">
        <w:rPr>
          <w:color w:val="000000" w:themeColor="text1"/>
        </w:rPr>
        <w:t>PBAC</w:t>
      </w:r>
      <w:r w:rsidRPr="00057575">
        <w:rPr>
          <w:color w:val="000000" w:themeColor="text1"/>
        </w:rPr>
        <w:t xml:space="preserve"> considered there was insufficient justification for the requested increase in the price of alemtuzumab.</w:t>
      </w:r>
      <w:r w:rsidRPr="00057575">
        <w:t xml:space="preserve">  </w:t>
      </w:r>
    </w:p>
    <w:p w:rsidR="00E70902" w:rsidRPr="00057575" w:rsidRDefault="00157F24" w:rsidP="00FD072C">
      <w:pPr>
        <w:pStyle w:val="ListParagraph"/>
        <w:widowControl/>
        <w:numPr>
          <w:ilvl w:val="1"/>
          <w:numId w:val="1"/>
        </w:numPr>
        <w:rPr>
          <w:color w:val="000000" w:themeColor="text1"/>
        </w:rPr>
      </w:pPr>
      <w:r w:rsidRPr="00057575">
        <w:rPr>
          <w:color w:val="000000" w:themeColor="text1"/>
        </w:rPr>
        <w:t>The ESC considered that a cost utility analysis comparing up to two additional courses of alemtuzumab with alternative DMTs (i.e. fingolimod, natalizumab, ocrelizumab, cladribine) would be more appropriate to value the treatment effect of alemtuzumab over 6 years. In particular, the ESC considered that utilities could be used to reflect the variation of treatment benefit between patients over time.</w:t>
      </w:r>
    </w:p>
    <w:p w:rsidR="00E70902" w:rsidRPr="00057575" w:rsidRDefault="00E70902" w:rsidP="00FD072C">
      <w:pPr>
        <w:pStyle w:val="ListParagraph"/>
        <w:numPr>
          <w:ilvl w:val="1"/>
          <w:numId w:val="1"/>
        </w:numPr>
        <w:rPr>
          <w:color w:val="000000" w:themeColor="text1"/>
        </w:rPr>
      </w:pPr>
      <w:r w:rsidRPr="00057575">
        <w:rPr>
          <w:color w:val="000000" w:themeColor="text1"/>
        </w:rPr>
        <w:t>The PSCR (p6) presented a supplementary cost-minimisation analysis of alemtuzumab versus fingolimod and natalizumab. However</w:t>
      </w:r>
      <w:r w:rsidR="00926106">
        <w:rPr>
          <w:color w:val="000000" w:themeColor="text1"/>
        </w:rPr>
        <w:t>,</w:t>
      </w:r>
      <w:r w:rsidRPr="00057575">
        <w:rPr>
          <w:color w:val="000000" w:themeColor="text1"/>
        </w:rPr>
        <w:t xml:space="preserve"> the </w:t>
      </w:r>
      <w:r w:rsidR="00926106">
        <w:rPr>
          <w:color w:val="000000" w:themeColor="text1"/>
        </w:rPr>
        <w:t>PBAC</w:t>
      </w:r>
      <w:r w:rsidRPr="00057575">
        <w:rPr>
          <w:color w:val="000000" w:themeColor="text1"/>
        </w:rPr>
        <w:t xml:space="preserve"> considered that this analysis was not informative as the analysis, as per the cost-analysis presented in the </w:t>
      </w:r>
      <w:r w:rsidR="00680F38" w:rsidRPr="00057575">
        <w:rPr>
          <w:color w:val="000000" w:themeColor="text1"/>
        </w:rPr>
        <w:t>re</w:t>
      </w:r>
      <w:r w:rsidRPr="00057575">
        <w:rPr>
          <w:color w:val="000000" w:themeColor="text1"/>
        </w:rPr>
        <w:t xml:space="preserve">submission, assumes equivalent efficacy and safety between alemtuzumab and alternative DMTs over 6 years which has not been adequately supported by data in the </w:t>
      </w:r>
      <w:r w:rsidR="00680F38" w:rsidRPr="00057575">
        <w:rPr>
          <w:color w:val="000000" w:themeColor="text1"/>
        </w:rPr>
        <w:t>re</w:t>
      </w:r>
      <w:r w:rsidRPr="00057575">
        <w:rPr>
          <w:color w:val="000000" w:themeColor="text1"/>
        </w:rPr>
        <w:t>submission. The analysis also did not consider the comparative efficacy and cost of treatment versus ocrelizumab or cladribine.</w:t>
      </w:r>
    </w:p>
    <w:p w:rsidR="00BD1912" w:rsidRPr="002C2775" w:rsidRDefault="00BD1912" w:rsidP="001D3277">
      <w:pPr>
        <w:pStyle w:val="Heading2"/>
      </w:pPr>
      <w:bookmarkStart w:id="25" w:name="_Toc524531630"/>
      <w:r w:rsidRPr="002C2775">
        <w:t>Drug cost/patient/</w:t>
      </w:r>
      <w:r>
        <w:t>courses</w:t>
      </w:r>
      <w:bookmarkEnd w:id="25"/>
    </w:p>
    <w:p w:rsidR="00BD1912" w:rsidRDefault="00BD1912" w:rsidP="00FD072C">
      <w:pPr>
        <w:pStyle w:val="ListParagraph"/>
        <w:keepNext/>
        <w:widowControl/>
        <w:numPr>
          <w:ilvl w:val="1"/>
          <w:numId w:val="1"/>
        </w:numPr>
        <w:rPr>
          <w:color w:val="000000" w:themeColor="text1"/>
        </w:rPr>
      </w:pPr>
      <w:r w:rsidRPr="00C75BA8">
        <w:rPr>
          <w:color w:val="000000" w:themeColor="text1"/>
        </w:rPr>
        <w:t>The initial cost of alemtuzumab for two courses of treatment will be $</w:t>
      </w:r>
      <w:r w:rsidR="009D295A">
        <w:rPr>
          <w:noProof/>
          <w:color w:val="000000"/>
          <w:highlight w:val="black"/>
        </w:rPr>
        <w:t>''''''''''''''''''</w:t>
      </w:r>
      <w:r w:rsidRPr="00C75BA8">
        <w:rPr>
          <w:color w:val="000000" w:themeColor="text1"/>
        </w:rPr>
        <w:t xml:space="preserve"> based on a requested vial price of $</w:t>
      </w:r>
      <w:r w:rsidR="009D295A">
        <w:rPr>
          <w:noProof/>
          <w:color w:val="000000"/>
          <w:highlight w:val="black"/>
        </w:rPr>
        <w:t>'''''''''''''''''''</w:t>
      </w:r>
      <w:r>
        <w:rPr>
          <w:color w:val="000000" w:themeColor="text1"/>
        </w:rPr>
        <w:t xml:space="preserve"> </w:t>
      </w:r>
      <w:r w:rsidR="00472322">
        <w:rPr>
          <w:color w:val="000000" w:themeColor="text1"/>
        </w:rPr>
        <w:t xml:space="preserve">and </w:t>
      </w:r>
      <w:r>
        <w:rPr>
          <w:color w:val="000000" w:themeColor="text1"/>
        </w:rPr>
        <w:t>an</w:t>
      </w:r>
      <w:r w:rsidRPr="00C75BA8">
        <w:rPr>
          <w:color w:val="000000" w:themeColor="text1"/>
        </w:rPr>
        <w:t xml:space="preserve"> estimated 8 vials required for the first two courses (5 vials for first course; 3 for second)</w:t>
      </w:r>
      <w:r>
        <w:rPr>
          <w:color w:val="000000" w:themeColor="text1"/>
        </w:rPr>
        <w:t xml:space="preserve">. </w:t>
      </w:r>
    </w:p>
    <w:p w:rsidR="00BD1912" w:rsidRPr="00C75BA8" w:rsidRDefault="00BD1912" w:rsidP="00FD072C">
      <w:pPr>
        <w:pStyle w:val="ListParagraph"/>
        <w:widowControl/>
        <w:numPr>
          <w:ilvl w:val="1"/>
          <w:numId w:val="1"/>
        </w:numPr>
        <w:rPr>
          <w:color w:val="000000" w:themeColor="text1"/>
        </w:rPr>
      </w:pPr>
      <w:r w:rsidRPr="00C75BA8">
        <w:rPr>
          <w:color w:val="000000" w:themeColor="text1"/>
        </w:rPr>
        <w:t>Additional treatment courses</w:t>
      </w:r>
      <w:r>
        <w:rPr>
          <w:i/>
          <w:color w:val="000000" w:themeColor="text1"/>
        </w:rPr>
        <w:t xml:space="preserve">, </w:t>
      </w:r>
      <w:r w:rsidR="006617D5">
        <w:rPr>
          <w:color w:val="000000" w:themeColor="text1"/>
        </w:rPr>
        <w:t>as-</w:t>
      </w:r>
      <w:r w:rsidRPr="00C75BA8">
        <w:rPr>
          <w:color w:val="000000" w:themeColor="text1"/>
        </w:rPr>
        <w:t>needed</w:t>
      </w:r>
      <w:r w:rsidR="006617D5">
        <w:rPr>
          <w:color w:val="000000" w:themeColor="text1"/>
        </w:rPr>
        <w:t>,</w:t>
      </w:r>
      <w:r w:rsidRPr="00C75BA8">
        <w:rPr>
          <w:color w:val="000000" w:themeColor="text1"/>
        </w:rPr>
        <w:t xml:space="preserve"> will cost $</w:t>
      </w:r>
      <w:r w:rsidR="009D295A">
        <w:rPr>
          <w:noProof/>
          <w:color w:val="000000"/>
          <w:highlight w:val="black"/>
        </w:rPr>
        <w:t>''''''''''''''''''</w:t>
      </w:r>
      <w:r w:rsidRPr="00C75BA8">
        <w:rPr>
          <w:color w:val="000000" w:themeColor="text1"/>
        </w:rPr>
        <w:t>, based on the same requested vial price and an estimated 3 vials per additional, as-needed course.</w:t>
      </w:r>
    </w:p>
    <w:p w:rsidR="00BD1912" w:rsidRPr="00C9624D" w:rsidRDefault="00BD1912" w:rsidP="001D3277">
      <w:pPr>
        <w:pStyle w:val="Heading2"/>
      </w:pPr>
      <w:bookmarkStart w:id="26" w:name="_Toc524531631"/>
      <w:r w:rsidRPr="00C9624D">
        <w:t>Estimated PBS usage &amp; financial implications</w:t>
      </w:r>
      <w:bookmarkEnd w:id="26"/>
    </w:p>
    <w:p w:rsidR="00BD1912" w:rsidRDefault="00BD1912" w:rsidP="00FD072C">
      <w:pPr>
        <w:pStyle w:val="ListParagraph"/>
        <w:widowControl/>
        <w:numPr>
          <w:ilvl w:val="1"/>
          <w:numId w:val="1"/>
        </w:numPr>
      </w:pPr>
      <w:r>
        <w:t>This</w:t>
      </w:r>
      <w:r w:rsidR="00436C41">
        <w:t xml:space="preserve"> resubmission</w:t>
      </w:r>
      <w:r>
        <w:t xml:space="preserve"> </w:t>
      </w:r>
      <w:r w:rsidR="00D728D9">
        <w:t>w</w:t>
      </w:r>
      <w:r w:rsidR="00763D8B">
        <w:t>as</w:t>
      </w:r>
      <w:r w:rsidR="00D728D9">
        <w:t xml:space="preserve"> </w:t>
      </w:r>
      <w:r>
        <w:t>not</w:t>
      </w:r>
      <w:r w:rsidR="00D728D9">
        <w:t xml:space="preserve"> </w:t>
      </w:r>
      <w:r>
        <w:t xml:space="preserve">considered by DUSC. Estimated use and financial implications were primarily based on </w:t>
      </w:r>
      <w:r w:rsidRPr="009C4553">
        <w:t xml:space="preserve">PBS data </w:t>
      </w:r>
      <w:r>
        <w:t>of</w:t>
      </w:r>
      <w:r w:rsidRPr="009C4553">
        <w:t xml:space="preserve"> patients initiating alemtuzumab for RRMS and re-treatment rates derived from </w:t>
      </w:r>
      <w:r w:rsidR="006617D5">
        <w:t xml:space="preserve">the </w:t>
      </w:r>
      <w:r w:rsidR="00F30B4D">
        <w:t>s</w:t>
      </w:r>
      <w:r>
        <w:t xml:space="preserve">ponsor’s </w:t>
      </w:r>
      <w:r w:rsidR="00941A1B">
        <w:t>re-treatment</w:t>
      </w:r>
      <w:r>
        <w:t xml:space="preserve"> </w:t>
      </w:r>
      <w:r w:rsidRPr="009C4553">
        <w:t>memo.</w:t>
      </w:r>
      <w:r w:rsidR="006617D5">
        <w:t xml:space="preserve"> The estimated use and financial implications are presented in </w:t>
      </w:r>
      <w:r w:rsidR="00A94F25" w:rsidRPr="006617D5">
        <w:t xml:space="preserve">Table </w:t>
      </w:r>
      <w:r w:rsidR="00A94F25">
        <w:rPr>
          <w:noProof/>
        </w:rPr>
        <w:t>15</w:t>
      </w:r>
      <w:r w:rsidR="006617D5">
        <w:t>.</w:t>
      </w:r>
    </w:p>
    <w:p w:rsidR="00CF4B5B" w:rsidRPr="00DE0340" w:rsidRDefault="00CF4B5B" w:rsidP="00FD072C">
      <w:pPr>
        <w:pStyle w:val="ListParagraph"/>
        <w:widowControl/>
        <w:numPr>
          <w:ilvl w:val="1"/>
          <w:numId w:val="1"/>
        </w:numPr>
      </w:pPr>
      <w:r w:rsidRPr="00DE0340">
        <w:rPr>
          <w:szCs w:val="24"/>
        </w:rPr>
        <w:lastRenderedPageBreak/>
        <w:t xml:space="preserve">The resubmission calculated financial estimates based on </w:t>
      </w:r>
      <w:r w:rsidR="00941A1B" w:rsidRPr="00DE0340">
        <w:rPr>
          <w:szCs w:val="24"/>
        </w:rPr>
        <w:t>re-treatment</w:t>
      </w:r>
      <w:r w:rsidRPr="00DE0340">
        <w:rPr>
          <w:szCs w:val="24"/>
        </w:rPr>
        <w:t xml:space="preserve"> rates from the </w:t>
      </w:r>
      <w:r w:rsidR="00941A1B" w:rsidRPr="00DE0340">
        <w:rPr>
          <w:szCs w:val="24"/>
        </w:rPr>
        <w:t>re-treatment</w:t>
      </w:r>
      <w:r w:rsidRPr="00DE0340">
        <w:rPr>
          <w:szCs w:val="24"/>
        </w:rPr>
        <w:t xml:space="preserve"> memo. The</w:t>
      </w:r>
      <w:r w:rsidR="007A77D5">
        <w:rPr>
          <w:szCs w:val="24"/>
        </w:rPr>
        <w:t xml:space="preserve"> PBAC noted that these</w:t>
      </w:r>
      <w:r w:rsidRPr="00DE0340">
        <w:rPr>
          <w:szCs w:val="24"/>
        </w:rPr>
        <w:t xml:space="preserve"> could not be verified and </w:t>
      </w:r>
      <w:r w:rsidR="007A77D5">
        <w:rPr>
          <w:szCs w:val="24"/>
        </w:rPr>
        <w:t>considered they may</w:t>
      </w:r>
      <w:r w:rsidRPr="00DE0340">
        <w:rPr>
          <w:szCs w:val="24"/>
        </w:rPr>
        <w:t xml:space="preserve"> be underestimated.</w:t>
      </w:r>
    </w:p>
    <w:p w:rsidR="00CF4B5B" w:rsidRPr="00DE0340" w:rsidRDefault="00CF4B5B" w:rsidP="00FD072C">
      <w:pPr>
        <w:pStyle w:val="ListParagraph"/>
        <w:widowControl/>
        <w:numPr>
          <w:ilvl w:val="1"/>
          <w:numId w:val="1"/>
        </w:numPr>
      </w:pPr>
      <w:r w:rsidRPr="00DE0340">
        <w:rPr>
          <w:szCs w:val="24"/>
        </w:rPr>
        <w:t>The resubmission’s approach to calculation of market growth (-2.7% per year) based on past alemtuzumab use may not have been appropriate, as it was unclear whether future market entrants would continue to put similar pressure on alemtuzumab use as past entrants.</w:t>
      </w:r>
    </w:p>
    <w:p w:rsidR="00BD1912" w:rsidRPr="006617D5" w:rsidRDefault="006617D5" w:rsidP="006617D5">
      <w:pPr>
        <w:pStyle w:val="TableHeading0"/>
      </w:pPr>
      <w:bookmarkStart w:id="27" w:name="_Ref523872854"/>
      <w:r w:rsidRPr="006617D5">
        <w:t xml:space="preserve">Table </w:t>
      </w:r>
      <w:r w:rsidR="00A94F25">
        <w:rPr>
          <w:noProof/>
        </w:rPr>
        <w:t>15</w:t>
      </w:r>
      <w:bookmarkEnd w:id="27"/>
      <w:r w:rsidRPr="006617D5">
        <w:t xml:space="preserve">: </w:t>
      </w:r>
      <w:r w:rsidR="00BD1912" w:rsidRPr="006617D5">
        <w:rPr>
          <w:rStyle w:val="CommentReference"/>
          <w:b/>
        </w:rPr>
        <w:t>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9"/>
        <w:gridCol w:w="1156"/>
        <w:gridCol w:w="1157"/>
        <w:gridCol w:w="1157"/>
        <w:gridCol w:w="1157"/>
        <w:gridCol w:w="1157"/>
        <w:gridCol w:w="1155"/>
      </w:tblGrid>
      <w:tr w:rsidR="00BD1912" w:rsidRPr="00D1078F" w:rsidTr="001666A4">
        <w:trPr>
          <w:tblHeader/>
        </w:trPr>
        <w:tc>
          <w:tcPr>
            <w:tcW w:w="1119" w:type="pct"/>
            <w:shd w:val="clear" w:color="auto" w:fill="auto"/>
            <w:vAlign w:val="center"/>
          </w:tcPr>
          <w:p w:rsidR="00BD1912" w:rsidRPr="003639A6" w:rsidRDefault="00BD1912" w:rsidP="001666A4">
            <w:pPr>
              <w:pStyle w:val="Tabletext"/>
            </w:pPr>
          </w:p>
        </w:tc>
        <w:tc>
          <w:tcPr>
            <w:tcW w:w="647" w:type="pct"/>
            <w:shd w:val="clear" w:color="auto" w:fill="auto"/>
            <w:vAlign w:val="center"/>
          </w:tcPr>
          <w:p w:rsidR="00BD1912" w:rsidRPr="00D1078F" w:rsidRDefault="00BD1912" w:rsidP="001666A4">
            <w:pPr>
              <w:pStyle w:val="Tabletext"/>
              <w:jc w:val="center"/>
              <w:rPr>
                <w:b/>
              </w:rPr>
            </w:pPr>
            <w:r w:rsidRPr="00D1078F">
              <w:rPr>
                <w:b/>
              </w:rPr>
              <w:t>Year 1</w:t>
            </w:r>
          </w:p>
        </w:tc>
        <w:tc>
          <w:tcPr>
            <w:tcW w:w="647" w:type="pct"/>
            <w:shd w:val="clear" w:color="auto" w:fill="auto"/>
            <w:vAlign w:val="center"/>
          </w:tcPr>
          <w:p w:rsidR="00BD1912" w:rsidRPr="00D1078F" w:rsidRDefault="00BD1912" w:rsidP="001666A4">
            <w:pPr>
              <w:pStyle w:val="Tabletext"/>
              <w:jc w:val="center"/>
              <w:rPr>
                <w:b/>
              </w:rPr>
            </w:pPr>
            <w:r w:rsidRPr="00D1078F">
              <w:rPr>
                <w:b/>
              </w:rPr>
              <w:t>Year 2</w:t>
            </w:r>
          </w:p>
        </w:tc>
        <w:tc>
          <w:tcPr>
            <w:tcW w:w="647" w:type="pct"/>
            <w:shd w:val="clear" w:color="auto" w:fill="auto"/>
            <w:vAlign w:val="center"/>
          </w:tcPr>
          <w:p w:rsidR="00BD1912" w:rsidRPr="00D1078F" w:rsidRDefault="00BD1912" w:rsidP="001666A4">
            <w:pPr>
              <w:pStyle w:val="Tabletext"/>
              <w:jc w:val="center"/>
              <w:rPr>
                <w:b/>
              </w:rPr>
            </w:pPr>
            <w:r w:rsidRPr="00D1078F">
              <w:rPr>
                <w:b/>
              </w:rPr>
              <w:t>Year 3</w:t>
            </w:r>
          </w:p>
        </w:tc>
        <w:tc>
          <w:tcPr>
            <w:tcW w:w="647" w:type="pct"/>
            <w:shd w:val="clear" w:color="auto" w:fill="auto"/>
            <w:vAlign w:val="center"/>
          </w:tcPr>
          <w:p w:rsidR="00BD1912" w:rsidRPr="00D1078F" w:rsidRDefault="00BD1912" w:rsidP="001666A4">
            <w:pPr>
              <w:pStyle w:val="Tabletext"/>
              <w:jc w:val="center"/>
              <w:rPr>
                <w:b/>
              </w:rPr>
            </w:pPr>
            <w:r w:rsidRPr="00D1078F">
              <w:rPr>
                <w:b/>
              </w:rPr>
              <w:t>Year 4</w:t>
            </w:r>
          </w:p>
        </w:tc>
        <w:tc>
          <w:tcPr>
            <w:tcW w:w="647" w:type="pct"/>
            <w:shd w:val="clear" w:color="auto" w:fill="auto"/>
            <w:vAlign w:val="center"/>
          </w:tcPr>
          <w:p w:rsidR="00BD1912" w:rsidRPr="00D1078F" w:rsidRDefault="00BD1912" w:rsidP="001666A4">
            <w:pPr>
              <w:pStyle w:val="Tabletext"/>
              <w:jc w:val="center"/>
              <w:rPr>
                <w:b/>
              </w:rPr>
            </w:pPr>
            <w:r w:rsidRPr="00D1078F">
              <w:rPr>
                <w:b/>
              </w:rPr>
              <w:t>Year 5</w:t>
            </w:r>
          </w:p>
        </w:tc>
        <w:tc>
          <w:tcPr>
            <w:tcW w:w="646" w:type="pct"/>
          </w:tcPr>
          <w:p w:rsidR="00BD1912" w:rsidRPr="00D1078F" w:rsidRDefault="00BD1912" w:rsidP="001666A4">
            <w:pPr>
              <w:pStyle w:val="Tabletext"/>
              <w:jc w:val="center"/>
              <w:rPr>
                <w:b/>
              </w:rPr>
            </w:pPr>
            <w:r w:rsidRPr="00D1078F">
              <w:rPr>
                <w:b/>
              </w:rPr>
              <w:t>Year 6</w:t>
            </w:r>
          </w:p>
        </w:tc>
      </w:tr>
      <w:tr w:rsidR="00BD1912" w:rsidRPr="00D1078F" w:rsidTr="001666A4">
        <w:tc>
          <w:tcPr>
            <w:tcW w:w="5000" w:type="pct"/>
            <w:gridSpan w:val="7"/>
            <w:shd w:val="clear" w:color="auto" w:fill="auto"/>
            <w:vAlign w:val="center"/>
          </w:tcPr>
          <w:p w:rsidR="00BD1912" w:rsidRPr="00D1078F" w:rsidRDefault="00BD1912" w:rsidP="001666A4">
            <w:pPr>
              <w:pStyle w:val="Tabletext"/>
              <w:rPr>
                <w:b/>
                <w:bCs/>
                <w:color w:val="000000"/>
              </w:rPr>
            </w:pPr>
            <w:r w:rsidRPr="00D1078F">
              <w:rPr>
                <w:b/>
                <w:bCs/>
                <w:color w:val="000000"/>
              </w:rPr>
              <w:t>Estimated extent of use</w:t>
            </w:r>
            <w:r>
              <w:rPr>
                <w:b/>
                <w:bCs/>
                <w:color w:val="000000"/>
              </w:rPr>
              <w:t xml:space="preserve"> (total first, second, third and fourth courses)</w:t>
            </w:r>
          </w:p>
        </w:tc>
      </w:tr>
      <w:tr w:rsidR="00BD1912" w:rsidRPr="003639A6" w:rsidTr="001666A4">
        <w:tc>
          <w:tcPr>
            <w:tcW w:w="1119" w:type="pct"/>
            <w:shd w:val="clear" w:color="auto" w:fill="auto"/>
            <w:vAlign w:val="center"/>
          </w:tcPr>
          <w:p w:rsidR="00BD1912" w:rsidRPr="003639A6" w:rsidRDefault="00BD1912" w:rsidP="001666A4">
            <w:pPr>
              <w:pStyle w:val="Tabletext"/>
              <w:rPr>
                <w:rFonts w:ascii="Times" w:hAnsi="Times"/>
              </w:rPr>
            </w:pPr>
            <w:r>
              <w:t>First course</w:t>
            </w:r>
          </w:p>
        </w:tc>
        <w:tc>
          <w:tcPr>
            <w:tcW w:w="647" w:type="pct"/>
            <w:shd w:val="clear" w:color="auto" w:fill="auto"/>
          </w:tcPr>
          <w:p w:rsidR="00BD1912" w:rsidRPr="009D295A" w:rsidRDefault="009D295A" w:rsidP="001666A4">
            <w:pPr>
              <w:pStyle w:val="Tabletext"/>
              <w:jc w:val="center"/>
              <w:rPr>
                <w:bCs/>
                <w:color w:val="000000"/>
                <w:highlight w:val="black"/>
              </w:rPr>
            </w:pPr>
            <w:r>
              <w:rPr>
                <w:noProof/>
                <w:color w:val="000000"/>
                <w:szCs w:val="20"/>
                <w:highlight w:val="black"/>
              </w:rPr>
              <w:t>'''''''''</w:t>
            </w:r>
          </w:p>
        </w:tc>
        <w:tc>
          <w:tcPr>
            <w:tcW w:w="647" w:type="pct"/>
            <w:shd w:val="clear" w:color="auto" w:fill="auto"/>
          </w:tcPr>
          <w:p w:rsidR="00BD1912" w:rsidRPr="009D295A" w:rsidRDefault="009D295A" w:rsidP="001666A4">
            <w:pPr>
              <w:pStyle w:val="Tabletext"/>
              <w:jc w:val="center"/>
              <w:rPr>
                <w:bCs/>
                <w:color w:val="000000"/>
                <w:highlight w:val="black"/>
              </w:rPr>
            </w:pPr>
            <w:r>
              <w:rPr>
                <w:noProof/>
                <w:color w:val="000000"/>
                <w:szCs w:val="20"/>
                <w:highlight w:val="black"/>
              </w:rPr>
              <w:t>''''''''''</w:t>
            </w:r>
          </w:p>
        </w:tc>
        <w:tc>
          <w:tcPr>
            <w:tcW w:w="647" w:type="pct"/>
            <w:shd w:val="clear" w:color="auto" w:fill="auto"/>
          </w:tcPr>
          <w:p w:rsidR="00BD1912" w:rsidRPr="009D295A" w:rsidRDefault="009D295A" w:rsidP="001666A4">
            <w:pPr>
              <w:pStyle w:val="Tabletext"/>
              <w:jc w:val="center"/>
              <w:rPr>
                <w:bCs/>
                <w:color w:val="000000"/>
                <w:highlight w:val="black"/>
              </w:rPr>
            </w:pPr>
            <w:r>
              <w:rPr>
                <w:noProof/>
                <w:color w:val="000000"/>
                <w:szCs w:val="20"/>
                <w:highlight w:val="black"/>
              </w:rPr>
              <w:t>''''''''''</w:t>
            </w:r>
          </w:p>
        </w:tc>
        <w:tc>
          <w:tcPr>
            <w:tcW w:w="647" w:type="pct"/>
            <w:shd w:val="clear" w:color="auto" w:fill="auto"/>
          </w:tcPr>
          <w:p w:rsidR="00BD1912" w:rsidRPr="009D295A" w:rsidRDefault="009D295A" w:rsidP="001666A4">
            <w:pPr>
              <w:pStyle w:val="Tabletext"/>
              <w:jc w:val="center"/>
              <w:rPr>
                <w:bCs/>
                <w:color w:val="000000"/>
                <w:highlight w:val="black"/>
              </w:rPr>
            </w:pPr>
            <w:r>
              <w:rPr>
                <w:noProof/>
                <w:color w:val="000000"/>
                <w:szCs w:val="20"/>
                <w:highlight w:val="black"/>
              </w:rPr>
              <w:t>'''''''''</w:t>
            </w:r>
          </w:p>
        </w:tc>
        <w:tc>
          <w:tcPr>
            <w:tcW w:w="647" w:type="pct"/>
            <w:shd w:val="clear" w:color="auto" w:fill="auto"/>
          </w:tcPr>
          <w:p w:rsidR="00BD1912" w:rsidRPr="009D295A" w:rsidRDefault="009D295A" w:rsidP="001666A4">
            <w:pPr>
              <w:pStyle w:val="Tabletext"/>
              <w:jc w:val="center"/>
              <w:rPr>
                <w:bCs/>
                <w:color w:val="000000"/>
                <w:highlight w:val="black"/>
              </w:rPr>
            </w:pPr>
            <w:r>
              <w:rPr>
                <w:noProof/>
                <w:color w:val="000000"/>
                <w:szCs w:val="20"/>
                <w:highlight w:val="black"/>
              </w:rPr>
              <w:t>''''''''''</w:t>
            </w:r>
          </w:p>
        </w:tc>
        <w:tc>
          <w:tcPr>
            <w:tcW w:w="646" w:type="pct"/>
          </w:tcPr>
          <w:p w:rsidR="00BD1912" w:rsidRPr="009D295A" w:rsidRDefault="009D295A" w:rsidP="001666A4">
            <w:pPr>
              <w:pStyle w:val="Tabletext"/>
              <w:jc w:val="center"/>
              <w:rPr>
                <w:bCs/>
                <w:color w:val="000000"/>
                <w:highlight w:val="black"/>
              </w:rPr>
            </w:pPr>
            <w:r>
              <w:rPr>
                <w:noProof/>
                <w:color w:val="000000"/>
                <w:szCs w:val="20"/>
                <w:highlight w:val="black"/>
              </w:rPr>
              <w:t>''''''''''</w:t>
            </w:r>
          </w:p>
        </w:tc>
      </w:tr>
      <w:tr w:rsidR="00BD1912" w:rsidRPr="003639A6" w:rsidTr="001666A4">
        <w:tc>
          <w:tcPr>
            <w:tcW w:w="1119" w:type="pct"/>
            <w:shd w:val="clear" w:color="auto" w:fill="auto"/>
            <w:vAlign w:val="center"/>
          </w:tcPr>
          <w:p w:rsidR="00BD1912" w:rsidRPr="003639A6" w:rsidRDefault="00BD1912" w:rsidP="001666A4">
            <w:pPr>
              <w:pStyle w:val="Tabletext"/>
              <w:rPr>
                <w:rFonts w:ascii="Times" w:hAnsi="Times"/>
              </w:rPr>
            </w:pPr>
            <w:r>
              <w:t>Second course</w:t>
            </w:r>
          </w:p>
        </w:tc>
        <w:tc>
          <w:tcPr>
            <w:tcW w:w="647" w:type="pct"/>
            <w:shd w:val="clear" w:color="auto" w:fill="auto"/>
          </w:tcPr>
          <w:p w:rsidR="00BD1912" w:rsidRPr="009D295A" w:rsidRDefault="009D295A" w:rsidP="001666A4">
            <w:pPr>
              <w:pStyle w:val="Tabletext"/>
              <w:jc w:val="center"/>
              <w:rPr>
                <w:bCs/>
                <w:color w:val="000000"/>
                <w:highlight w:val="black"/>
              </w:rPr>
            </w:pPr>
            <w:r>
              <w:rPr>
                <w:noProof/>
                <w:color w:val="000000"/>
                <w:szCs w:val="20"/>
                <w:highlight w:val="black"/>
              </w:rPr>
              <w:t>''''''''</w:t>
            </w:r>
          </w:p>
        </w:tc>
        <w:tc>
          <w:tcPr>
            <w:tcW w:w="647" w:type="pct"/>
            <w:shd w:val="clear" w:color="auto" w:fill="auto"/>
          </w:tcPr>
          <w:p w:rsidR="00BD1912" w:rsidRPr="009D295A" w:rsidRDefault="009D295A" w:rsidP="001666A4">
            <w:pPr>
              <w:pStyle w:val="Tabletext"/>
              <w:jc w:val="center"/>
              <w:rPr>
                <w:bCs/>
                <w:color w:val="000000"/>
                <w:highlight w:val="black"/>
              </w:rPr>
            </w:pPr>
            <w:r>
              <w:rPr>
                <w:noProof/>
                <w:color w:val="000000"/>
                <w:szCs w:val="20"/>
                <w:highlight w:val="black"/>
              </w:rPr>
              <w:t>'''''''''</w:t>
            </w:r>
          </w:p>
        </w:tc>
        <w:tc>
          <w:tcPr>
            <w:tcW w:w="647" w:type="pct"/>
            <w:shd w:val="clear" w:color="auto" w:fill="auto"/>
          </w:tcPr>
          <w:p w:rsidR="00BD1912" w:rsidRPr="009D295A" w:rsidRDefault="009D295A" w:rsidP="001666A4">
            <w:pPr>
              <w:pStyle w:val="Tabletext"/>
              <w:jc w:val="center"/>
              <w:rPr>
                <w:bCs/>
                <w:color w:val="000000"/>
                <w:highlight w:val="black"/>
              </w:rPr>
            </w:pPr>
            <w:r>
              <w:rPr>
                <w:noProof/>
                <w:color w:val="000000"/>
                <w:szCs w:val="20"/>
                <w:highlight w:val="black"/>
              </w:rPr>
              <w:t>''''''''''</w:t>
            </w:r>
          </w:p>
        </w:tc>
        <w:tc>
          <w:tcPr>
            <w:tcW w:w="647" w:type="pct"/>
            <w:shd w:val="clear" w:color="auto" w:fill="auto"/>
          </w:tcPr>
          <w:p w:rsidR="00BD1912" w:rsidRPr="009D295A" w:rsidRDefault="009D295A" w:rsidP="001666A4">
            <w:pPr>
              <w:pStyle w:val="Tabletext"/>
              <w:jc w:val="center"/>
              <w:rPr>
                <w:bCs/>
                <w:color w:val="000000"/>
                <w:highlight w:val="black"/>
              </w:rPr>
            </w:pPr>
            <w:r>
              <w:rPr>
                <w:noProof/>
                <w:color w:val="000000"/>
                <w:szCs w:val="20"/>
                <w:highlight w:val="black"/>
              </w:rPr>
              <w:t>''''''''''</w:t>
            </w:r>
          </w:p>
        </w:tc>
        <w:tc>
          <w:tcPr>
            <w:tcW w:w="647" w:type="pct"/>
            <w:shd w:val="clear" w:color="auto" w:fill="auto"/>
          </w:tcPr>
          <w:p w:rsidR="00BD1912" w:rsidRPr="009D295A" w:rsidRDefault="009D295A" w:rsidP="001666A4">
            <w:pPr>
              <w:pStyle w:val="Tabletext"/>
              <w:jc w:val="center"/>
              <w:rPr>
                <w:bCs/>
                <w:color w:val="000000"/>
                <w:highlight w:val="black"/>
              </w:rPr>
            </w:pPr>
            <w:r>
              <w:rPr>
                <w:noProof/>
                <w:color w:val="000000"/>
                <w:szCs w:val="20"/>
                <w:highlight w:val="black"/>
              </w:rPr>
              <w:t>'''''''''</w:t>
            </w:r>
          </w:p>
        </w:tc>
        <w:tc>
          <w:tcPr>
            <w:tcW w:w="646" w:type="pct"/>
          </w:tcPr>
          <w:p w:rsidR="00BD1912" w:rsidRPr="009D295A" w:rsidRDefault="009D295A" w:rsidP="001666A4">
            <w:pPr>
              <w:pStyle w:val="Tabletext"/>
              <w:jc w:val="center"/>
              <w:rPr>
                <w:bCs/>
                <w:color w:val="000000"/>
                <w:highlight w:val="black"/>
              </w:rPr>
            </w:pPr>
            <w:r>
              <w:rPr>
                <w:noProof/>
                <w:color w:val="000000"/>
                <w:szCs w:val="20"/>
                <w:highlight w:val="black"/>
              </w:rPr>
              <w:t>'''''''''</w:t>
            </w:r>
          </w:p>
        </w:tc>
      </w:tr>
      <w:tr w:rsidR="00BD1912" w:rsidRPr="003639A6" w:rsidTr="001666A4">
        <w:trPr>
          <w:trHeight w:val="91"/>
        </w:trPr>
        <w:tc>
          <w:tcPr>
            <w:tcW w:w="1119" w:type="pct"/>
            <w:shd w:val="clear" w:color="auto" w:fill="auto"/>
            <w:vAlign w:val="center"/>
          </w:tcPr>
          <w:p w:rsidR="00BD1912" w:rsidRPr="003639A6" w:rsidRDefault="00BD1912" w:rsidP="001666A4">
            <w:pPr>
              <w:pStyle w:val="Tabletext"/>
            </w:pPr>
            <w:r>
              <w:t>Third course</w:t>
            </w:r>
          </w:p>
        </w:tc>
        <w:tc>
          <w:tcPr>
            <w:tcW w:w="647" w:type="pct"/>
            <w:shd w:val="clear" w:color="auto" w:fill="auto"/>
          </w:tcPr>
          <w:p w:rsidR="00BD1912" w:rsidRPr="009D295A" w:rsidRDefault="009D295A" w:rsidP="001666A4">
            <w:pPr>
              <w:pStyle w:val="Tabletext"/>
              <w:jc w:val="center"/>
              <w:rPr>
                <w:bCs/>
                <w:color w:val="000000"/>
                <w:highlight w:val="black"/>
              </w:rPr>
            </w:pPr>
            <w:r>
              <w:rPr>
                <w:noProof/>
                <w:color w:val="000000"/>
                <w:szCs w:val="20"/>
                <w:highlight w:val="black"/>
              </w:rPr>
              <w:t>''''''''''</w:t>
            </w:r>
          </w:p>
        </w:tc>
        <w:tc>
          <w:tcPr>
            <w:tcW w:w="647" w:type="pct"/>
            <w:shd w:val="clear" w:color="auto" w:fill="auto"/>
          </w:tcPr>
          <w:p w:rsidR="00BD1912" w:rsidRPr="009D295A" w:rsidRDefault="009D295A" w:rsidP="001666A4">
            <w:pPr>
              <w:pStyle w:val="Tabletext"/>
              <w:jc w:val="center"/>
              <w:rPr>
                <w:bCs/>
                <w:color w:val="000000"/>
                <w:highlight w:val="black"/>
              </w:rPr>
            </w:pPr>
            <w:r>
              <w:rPr>
                <w:noProof/>
                <w:color w:val="000000"/>
                <w:szCs w:val="20"/>
                <w:highlight w:val="black"/>
              </w:rPr>
              <w:t>''''''''''</w:t>
            </w:r>
          </w:p>
        </w:tc>
        <w:tc>
          <w:tcPr>
            <w:tcW w:w="647" w:type="pct"/>
            <w:shd w:val="clear" w:color="auto" w:fill="auto"/>
          </w:tcPr>
          <w:p w:rsidR="00BD1912" w:rsidRPr="009D295A" w:rsidRDefault="009D295A" w:rsidP="001666A4">
            <w:pPr>
              <w:pStyle w:val="Tabletext"/>
              <w:jc w:val="center"/>
              <w:rPr>
                <w:bCs/>
                <w:color w:val="000000"/>
                <w:highlight w:val="black"/>
              </w:rPr>
            </w:pPr>
            <w:r>
              <w:rPr>
                <w:noProof/>
                <w:color w:val="000000"/>
                <w:szCs w:val="20"/>
                <w:highlight w:val="black"/>
              </w:rPr>
              <w:t>''''''''''</w:t>
            </w:r>
          </w:p>
        </w:tc>
        <w:tc>
          <w:tcPr>
            <w:tcW w:w="647" w:type="pct"/>
            <w:shd w:val="clear" w:color="auto" w:fill="auto"/>
          </w:tcPr>
          <w:p w:rsidR="00BD1912" w:rsidRPr="009D295A" w:rsidRDefault="009D295A" w:rsidP="001666A4">
            <w:pPr>
              <w:pStyle w:val="Tabletext"/>
              <w:jc w:val="center"/>
              <w:rPr>
                <w:bCs/>
                <w:color w:val="000000"/>
                <w:highlight w:val="black"/>
              </w:rPr>
            </w:pPr>
            <w:r>
              <w:rPr>
                <w:noProof/>
                <w:color w:val="000000"/>
                <w:szCs w:val="20"/>
                <w:highlight w:val="black"/>
              </w:rPr>
              <w:t>'''''''''</w:t>
            </w:r>
          </w:p>
        </w:tc>
        <w:tc>
          <w:tcPr>
            <w:tcW w:w="647" w:type="pct"/>
            <w:shd w:val="clear" w:color="auto" w:fill="auto"/>
          </w:tcPr>
          <w:p w:rsidR="00BD1912" w:rsidRPr="009D295A" w:rsidRDefault="009D295A" w:rsidP="001666A4">
            <w:pPr>
              <w:pStyle w:val="Tabletext"/>
              <w:jc w:val="center"/>
              <w:rPr>
                <w:bCs/>
                <w:color w:val="000000"/>
                <w:highlight w:val="black"/>
              </w:rPr>
            </w:pPr>
            <w:r>
              <w:rPr>
                <w:noProof/>
                <w:color w:val="000000"/>
                <w:szCs w:val="20"/>
                <w:highlight w:val="black"/>
              </w:rPr>
              <w:t>''''''''''</w:t>
            </w:r>
          </w:p>
        </w:tc>
        <w:tc>
          <w:tcPr>
            <w:tcW w:w="646" w:type="pct"/>
          </w:tcPr>
          <w:p w:rsidR="00BD1912" w:rsidRPr="009D295A" w:rsidRDefault="009D295A" w:rsidP="001666A4">
            <w:pPr>
              <w:pStyle w:val="Tabletext"/>
              <w:jc w:val="center"/>
              <w:rPr>
                <w:bCs/>
                <w:color w:val="000000"/>
                <w:highlight w:val="black"/>
              </w:rPr>
            </w:pPr>
            <w:r>
              <w:rPr>
                <w:noProof/>
                <w:color w:val="000000"/>
                <w:szCs w:val="20"/>
                <w:highlight w:val="black"/>
              </w:rPr>
              <w:t>'''''''''</w:t>
            </w:r>
          </w:p>
        </w:tc>
      </w:tr>
      <w:tr w:rsidR="00BD1912" w:rsidRPr="003639A6" w:rsidTr="001666A4">
        <w:tc>
          <w:tcPr>
            <w:tcW w:w="1119" w:type="pct"/>
            <w:shd w:val="clear" w:color="auto" w:fill="auto"/>
            <w:vAlign w:val="center"/>
          </w:tcPr>
          <w:p w:rsidR="00BD1912" w:rsidRPr="003639A6" w:rsidRDefault="00BD1912" w:rsidP="001666A4">
            <w:pPr>
              <w:pStyle w:val="Tabletext"/>
            </w:pPr>
            <w:r>
              <w:t>Fourth course</w:t>
            </w:r>
          </w:p>
        </w:tc>
        <w:tc>
          <w:tcPr>
            <w:tcW w:w="647" w:type="pct"/>
            <w:shd w:val="clear" w:color="auto" w:fill="auto"/>
          </w:tcPr>
          <w:p w:rsidR="00BD1912" w:rsidRPr="009D295A" w:rsidRDefault="009D295A" w:rsidP="001666A4">
            <w:pPr>
              <w:pStyle w:val="Tabletext"/>
              <w:jc w:val="center"/>
              <w:rPr>
                <w:bCs/>
                <w:color w:val="000000"/>
                <w:highlight w:val="black"/>
              </w:rPr>
            </w:pPr>
            <w:r>
              <w:rPr>
                <w:noProof/>
                <w:color w:val="000000"/>
                <w:szCs w:val="20"/>
                <w:highlight w:val="black"/>
              </w:rPr>
              <w:t>''''''</w:t>
            </w:r>
          </w:p>
        </w:tc>
        <w:tc>
          <w:tcPr>
            <w:tcW w:w="647" w:type="pct"/>
            <w:shd w:val="clear" w:color="auto" w:fill="auto"/>
          </w:tcPr>
          <w:p w:rsidR="00BD1912" w:rsidRPr="009D295A" w:rsidRDefault="009D295A" w:rsidP="001666A4">
            <w:pPr>
              <w:pStyle w:val="Tabletext"/>
              <w:jc w:val="center"/>
              <w:rPr>
                <w:bCs/>
                <w:color w:val="000000"/>
                <w:highlight w:val="black"/>
              </w:rPr>
            </w:pPr>
            <w:r>
              <w:rPr>
                <w:noProof/>
                <w:color w:val="000000"/>
                <w:szCs w:val="20"/>
                <w:highlight w:val="black"/>
              </w:rPr>
              <w:t>'''''''</w:t>
            </w:r>
          </w:p>
        </w:tc>
        <w:tc>
          <w:tcPr>
            <w:tcW w:w="647" w:type="pct"/>
            <w:shd w:val="clear" w:color="auto" w:fill="auto"/>
          </w:tcPr>
          <w:p w:rsidR="00BD1912" w:rsidRPr="009D295A" w:rsidRDefault="009D295A" w:rsidP="001666A4">
            <w:pPr>
              <w:pStyle w:val="Tabletext"/>
              <w:jc w:val="center"/>
              <w:rPr>
                <w:bCs/>
                <w:color w:val="000000"/>
                <w:highlight w:val="black"/>
              </w:rPr>
            </w:pPr>
            <w:r>
              <w:rPr>
                <w:noProof/>
                <w:color w:val="000000"/>
                <w:szCs w:val="20"/>
                <w:highlight w:val="black"/>
              </w:rPr>
              <w:t>''''''''''</w:t>
            </w:r>
          </w:p>
        </w:tc>
        <w:tc>
          <w:tcPr>
            <w:tcW w:w="647" w:type="pct"/>
            <w:shd w:val="clear" w:color="auto" w:fill="auto"/>
          </w:tcPr>
          <w:p w:rsidR="00BD1912" w:rsidRPr="009D295A" w:rsidRDefault="009D295A" w:rsidP="001666A4">
            <w:pPr>
              <w:pStyle w:val="Tabletext"/>
              <w:jc w:val="center"/>
              <w:rPr>
                <w:bCs/>
                <w:color w:val="000000"/>
                <w:highlight w:val="black"/>
              </w:rPr>
            </w:pPr>
            <w:r>
              <w:rPr>
                <w:noProof/>
                <w:color w:val="000000"/>
                <w:szCs w:val="20"/>
                <w:highlight w:val="black"/>
              </w:rPr>
              <w:t>''''''''''</w:t>
            </w:r>
          </w:p>
        </w:tc>
        <w:tc>
          <w:tcPr>
            <w:tcW w:w="647" w:type="pct"/>
            <w:shd w:val="clear" w:color="auto" w:fill="auto"/>
          </w:tcPr>
          <w:p w:rsidR="00BD1912" w:rsidRPr="009D295A" w:rsidRDefault="009D295A" w:rsidP="001666A4">
            <w:pPr>
              <w:pStyle w:val="Tabletext"/>
              <w:jc w:val="center"/>
              <w:rPr>
                <w:bCs/>
                <w:color w:val="000000"/>
                <w:highlight w:val="black"/>
              </w:rPr>
            </w:pPr>
            <w:r>
              <w:rPr>
                <w:noProof/>
                <w:color w:val="000000"/>
                <w:szCs w:val="20"/>
                <w:highlight w:val="black"/>
              </w:rPr>
              <w:t>'''''''''</w:t>
            </w:r>
          </w:p>
        </w:tc>
        <w:tc>
          <w:tcPr>
            <w:tcW w:w="646" w:type="pct"/>
          </w:tcPr>
          <w:p w:rsidR="00BD1912" w:rsidRPr="009D295A" w:rsidRDefault="009D295A" w:rsidP="001666A4">
            <w:pPr>
              <w:pStyle w:val="Tabletext"/>
              <w:jc w:val="center"/>
              <w:rPr>
                <w:bCs/>
                <w:color w:val="000000"/>
                <w:highlight w:val="black"/>
              </w:rPr>
            </w:pPr>
            <w:r>
              <w:rPr>
                <w:noProof/>
                <w:color w:val="000000"/>
                <w:szCs w:val="20"/>
                <w:highlight w:val="black"/>
              </w:rPr>
              <w:t>''''''''''</w:t>
            </w:r>
          </w:p>
        </w:tc>
      </w:tr>
      <w:tr w:rsidR="00BD1912" w:rsidRPr="00D1078F" w:rsidTr="001666A4">
        <w:tc>
          <w:tcPr>
            <w:tcW w:w="5000" w:type="pct"/>
            <w:gridSpan w:val="7"/>
            <w:shd w:val="clear" w:color="auto" w:fill="auto"/>
            <w:vAlign w:val="center"/>
          </w:tcPr>
          <w:p w:rsidR="00BD1912" w:rsidRPr="00D1078F" w:rsidRDefault="00BD1912" w:rsidP="001666A4">
            <w:pPr>
              <w:pStyle w:val="Tabletext"/>
              <w:rPr>
                <w:b/>
                <w:bCs/>
                <w:color w:val="000000"/>
              </w:rPr>
            </w:pPr>
            <w:r w:rsidRPr="00D1078F">
              <w:rPr>
                <w:b/>
                <w:bCs/>
                <w:color w:val="000000"/>
              </w:rPr>
              <w:t xml:space="preserve">Estimated </w:t>
            </w:r>
            <w:r>
              <w:rPr>
                <w:b/>
                <w:bCs/>
                <w:color w:val="000000"/>
              </w:rPr>
              <w:t>financial implications of alemtuzumab (using $</w:t>
            </w:r>
            <w:r w:rsidR="009D295A">
              <w:rPr>
                <w:b/>
                <w:bCs/>
                <w:noProof/>
                <w:color w:val="000000"/>
                <w:highlight w:val="black"/>
              </w:rPr>
              <w:t>'''''''''''''''''''</w:t>
            </w:r>
            <w:r>
              <w:rPr>
                <w:b/>
                <w:bCs/>
                <w:color w:val="000000"/>
              </w:rPr>
              <w:t xml:space="preserve"> per vial; proposed effective price)</w:t>
            </w:r>
          </w:p>
        </w:tc>
      </w:tr>
      <w:tr w:rsidR="00BD1912" w:rsidRPr="003639A6" w:rsidTr="006617D5">
        <w:tc>
          <w:tcPr>
            <w:tcW w:w="1119" w:type="pct"/>
            <w:shd w:val="clear" w:color="auto" w:fill="auto"/>
            <w:vAlign w:val="center"/>
          </w:tcPr>
          <w:p w:rsidR="00BD1912" w:rsidRPr="003639A6" w:rsidRDefault="00BD1912" w:rsidP="001666A4">
            <w:pPr>
              <w:pStyle w:val="Tabletext"/>
              <w:rPr>
                <w:rFonts w:ascii="Times" w:hAnsi="Times"/>
              </w:rPr>
            </w:pPr>
            <w:r>
              <w:t>First course</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6" w:type="pct"/>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r>
      <w:tr w:rsidR="00BD1912" w:rsidRPr="003639A6" w:rsidTr="006617D5">
        <w:tc>
          <w:tcPr>
            <w:tcW w:w="1119" w:type="pct"/>
            <w:shd w:val="clear" w:color="auto" w:fill="auto"/>
            <w:vAlign w:val="center"/>
          </w:tcPr>
          <w:p w:rsidR="00BD1912" w:rsidRDefault="00BD1912" w:rsidP="001666A4">
            <w:pPr>
              <w:pStyle w:val="Tabletext"/>
              <w:rPr>
                <w:sz w:val="19"/>
                <w:szCs w:val="19"/>
              </w:rPr>
            </w:pPr>
            <w:r>
              <w:t>Second course</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6" w:type="pct"/>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r>
      <w:tr w:rsidR="00BD1912" w:rsidRPr="003639A6" w:rsidTr="006617D5">
        <w:tc>
          <w:tcPr>
            <w:tcW w:w="1119" w:type="pct"/>
            <w:shd w:val="clear" w:color="auto" w:fill="auto"/>
            <w:vAlign w:val="center"/>
          </w:tcPr>
          <w:p w:rsidR="00BD1912" w:rsidRDefault="00BD1912" w:rsidP="001666A4">
            <w:pPr>
              <w:pStyle w:val="Tabletext"/>
              <w:rPr>
                <w:sz w:val="19"/>
                <w:szCs w:val="19"/>
              </w:rPr>
            </w:pPr>
            <w:r>
              <w:t>Third course</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6" w:type="pct"/>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r>
      <w:tr w:rsidR="00BD1912" w:rsidRPr="003639A6" w:rsidTr="006617D5">
        <w:tc>
          <w:tcPr>
            <w:tcW w:w="1119" w:type="pct"/>
            <w:shd w:val="clear" w:color="auto" w:fill="auto"/>
            <w:vAlign w:val="center"/>
          </w:tcPr>
          <w:p w:rsidR="00BD1912" w:rsidRDefault="00BD1912" w:rsidP="001666A4">
            <w:pPr>
              <w:pStyle w:val="Tabletext"/>
              <w:rPr>
                <w:sz w:val="19"/>
                <w:szCs w:val="19"/>
              </w:rPr>
            </w:pPr>
            <w:r>
              <w:t>Fourth course</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6" w:type="pct"/>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r>
      <w:tr w:rsidR="00BD1912" w:rsidRPr="003639A6" w:rsidTr="006617D5">
        <w:tc>
          <w:tcPr>
            <w:tcW w:w="1119" w:type="pct"/>
            <w:shd w:val="clear" w:color="auto" w:fill="auto"/>
          </w:tcPr>
          <w:p w:rsidR="00BD1912" w:rsidRDefault="00BD1912" w:rsidP="001666A4">
            <w:pPr>
              <w:pStyle w:val="Tabletext"/>
              <w:rPr>
                <w:sz w:val="19"/>
                <w:szCs w:val="19"/>
              </w:rPr>
            </w:pPr>
            <w:r w:rsidRPr="00B877A3">
              <w:t>Net increase associated with the first and second course</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6" w:type="pct"/>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r>
      <w:tr w:rsidR="00BD1912" w:rsidRPr="003639A6" w:rsidTr="006617D5">
        <w:tc>
          <w:tcPr>
            <w:tcW w:w="1119" w:type="pct"/>
            <w:shd w:val="clear" w:color="auto" w:fill="auto"/>
          </w:tcPr>
          <w:p w:rsidR="00BD1912" w:rsidRDefault="00BD1912" w:rsidP="001666A4">
            <w:pPr>
              <w:pStyle w:val="Tabletext"/>
              <w:rPr>
                <w:sz w:val="19"/>
                <w:szCs w:val="19"/>
              </w:rPr>
            </w:pPr>
            <w:r w:rsidRPr="00B877A3">
              <w:t>Cost associated with third and fourth course</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6" w:type="pct"/>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r>
      <w:tr w:rsidR="00BD1912" w:rsidRPr="003639A6" w:rsidTr="006617D5">
        <w:tc>
          <w:tcPr>
            <w:tcW w:w="1119" w:type="pct"/>
            <w:shd w:val="clear" w:color="auto" w:fill="auto"/>
          </w:tcPr>
          <w:p w:rsidR="00BD1912" w:rsidRDefault="00BD1912" w:rsidP="001666A4">
            <w:pPr>
              <w:pStyle w:val="Tabletext"/>
              <w:rPr>
                <w:sz w:val="19"/>
                <w:szCs w:val="19"/>
              </w:rPr>
            </w:pPr>
            <w:r w:rsidRPr="00B877A3">
              <w:t>Net total with increased vial price</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c>
          <w:tcPr>
            <w:tcW w:w="646" w:type="pct"/>
            <w:vAlign w:val="center"/>
          </w:tcPr>
          <w:p w:rsidR="00BD1912" w:rsidRPr="003639A6" w:rsidRDefault="00BD1912" w:rsidP="006617D5">
            <w:pPr>
              <w:pStyle w:val="Tabletext"/>
              <w:jc w:val="center"/>
              <w:rPr>
                <w:bCs/>
                <w:color w:val="000000"/>
              </w:rPr>
            </w:pPr>
            <w:r w:rsidRPr="00B877A3">
              <w:t>$</w:t>
            </w:r>
            <w:r w:rsidR="009D295A">
              <w:rPr>
                <w:noProof/>
                <w:color w:val="000000"/>
                <w:highlight w:val="black"/>
              </w:rPr>
              <w:t>''''''''''''''''''''''''''''</w:t>
            </w:r>
          </w:p>
        </w:tc>
      </w:tr>
      <w:tr w:rsidR="00BD1912" w:rsidRPr="003639A6" w:rsidTr="006617D5">
        <w:tc>
          <w:tcPr>
            <w:tcW w:w="1119" w:type="pct"/>
            <w:shd w:val="clear" w:color="auto" w:fill="auto"/>
          </w:tcPr>
          <w:p w:rsidR="00BD1912" w:rsidRDefault="00BD1912" w:rsidP="001666A4">
            <w:pPr>
              <w:pStyle w:val="Tabletext"/>
              <w:rPr>
                <w:sz w:val="19"/>
                <w:szCs w:val="19"/>
              </w:rPr>
            </w:pPr>
            <w:r>
              <w:t>Total patient co-payments</w:t>
            </w:r>
          </w:p>
        </w:tc>
        <w:tc>
          <w:tcPr>
            <w:tcW w:w="647" w:type="pct"/>
            <w:shd w:val="clear" w:color="auto" w:fill="auto"/>
            <w:vAlign w:val="center"/>
          </w:tcPr>
          <w:p w:rsidR="00BD1912" w:rsidRPr="003639A6" w:rsidRDefault="00BD1912" w:rsidP="006617D5">
            <w:pPr>
              <w:pStyle w:val="Tabletext"/>
              <w:jc w:val="center"/>
              <w:rPr>
                <w:bCs/>
                <w:color w:val="000000"/>
              </w:rPr>
            </w:pPr>
            <w:r w:rsidRPr="00494495">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494495">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494495">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494495">
              <w:t>$</w:t>
            </w:r>
            <w:r w:rsidR="009D295A">
              <w:rPr>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494495">
              <w:t>$</w:t>
            </w:r>
            <w:r w:rsidR="009D295A">
              <w:rPr>
                <w:noProof/>
                <w:color w:val="000000"/>
                <w:highlight w:val="black"/>
              </w:rPr>
              <w:t>''''''''''''</w:t>
            </w:r>
          </w:p>
        </w:tc>
        <w:tc>
          <w:tcPr>
            <w:tcW w:w="646" w:type="pct"/>
            <w:vAlign w:val="center"/>
          </w:tcPr>
          <w:p w:rsidR="00BD1912" w:rsidRPr="003639A6" w:rsidRDefault="00BD1912" w:rsidP="006617D5">
            <w:pPr>
              <w:pStyle w:val="Tabletext"/>
              <w:jc w:val="center"/>
              <w:rPr>
                <w:bCs/>
                <w:color w:val="000000"/>
              </w:rPr>
            </w:pPr>
            <w:r w:rsidRPr="00494495">
              <w:t>$</w:t>
            </w:r>
            <w:r w:rsidR="009D295A">
              <w:rPr>
                <w:noProof/>
                <w:color w:val="000000"/>
                <w:highlight w:val="black"/>
              </w:rPr>
              <w:t>'''''''''''''</w:t>
            </w:r>
          </w:p>
        </w:tc>
      </w:tr>
      <w:tr w:rsidR="00BD1912" w:rsidRPr="003639A6" w:rsidTr="006617D5">
        <w:tc>
          <w:tcPr>
            <w:tcW w:w="1119" w:type="pct"/>
            <w:shd w:val="clear" w:color="auto" w:fill="auto"/>
          </w:tcPr>
          <w:p w:rsidR="00BD1912" w:rsidRDefault="00BD1912" w:rsidP="001666A4">
            <w:pPr>
              <w:pStyle w:val="Tabletext"/>
              <w:rPr>
                <w:sz w:val="19"/>
                <w:szCs w:val="19"/>
              </w:rPr>
            </w:pPr>
            <w:r>
              <w:t>Total minus co-payments</w:t>
            </w:r>
          </w:p>
        </w:tc>
        <w:tc>
          <w:tcPr>
            <w:tcW w:w="647" w:type="pct"/>
            <w:shd w:val="clear" w:color="auto" w:fill="auto"/>
            <w:vAlign w:val="center"/>
          </w:tcPr>
          <w:p w:rsidR="00BD1912" w:rsidRPr="003639A6" w:rsidRDefault="00BD1912" w:rsidP="006617D5">
            <w:pPr>
              <w:pStyle w:val="Tabletext"/>
              <w:jc w:val="center"/>
              <w:rPr>
                <w:bCs/>
                <w:color w:val="000000"/>
              </w:rPr>
            </w:pPr>
            <w:r w:rsidRPr="00494495">
              <w:rPr>
                <w:rFonts w:cs="Calibri"/>
                <w:color w:val="000000"/>
              </w:rPr>
              <w:t>$</w:t>
            </w:r>
            <w:r w:rsidR="009D295A">
              <w:rPr>
                <w:rFonts w:cs="Calibri"/>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494495">
              <w:rPr>
                <w:rFonts w:cs="Calibri"/>
                <w:color w:val="000000"/>
              </w:rPr>
              <w:t>$</w:t>
            </w:r>
            <w:r w:rsidR="009D295A">
              <w:rPr>
                <w:rFonts w:cs="Calibri"/>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494495">
              <w:rPr>
                <w:rFonts w:cs="Calibri"/>
                <w:color w:val="000000"/>
              </w:rPr>
              <w:t>$</w:t>
            </w:r>
            <w:r w:rsidR="009D295A">
              <w:rPr>
                <w:rFonts w:cs="Calibri"/>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494495">
              <w:rPr>
                <w:rFonts w:cs="Calibri"/>
                <w:color w:val="000000"/>
              </w:rPr>
              <w:t>$</w:t>
            </w:r>
            <w:r w:rsidR="009D295A">
              <w:rPr>
                <w:rFonts w:cs="Calibri"/>
                <w:noProof/>
                <w:color w:val="000000"/>
                <w:highlight w:val="black"/>
              </w:rPr>
              <w:t>'''''''''''''''''''''''''''</w:t>
            </w:r>
          </w:p>
        </w:tc>
        <w:tc>
          <w:tcPr>
            <w:tcW w:w="647" w:type="pct"/>
            <w:shd w:val="clear" w:color="auto" w:fill="auto"/>
            <w:vAlign w:val="center"/>
          </w:tcPr>
          <w:p w:rsidR="00BD1912" w:rsidRPr="003639A6" w:rsidRDefault="00BD1912" w:rsidP="006617D5">
            <w:pPr>
              <w:pStyle w:val="Tabletext"/>
              <w:jc w:val="center"/>
              <w:rPr>
                <w:bCs/>
                <w:color w:val="000000"/>
              </w:rPr>
            </w:pPr>
            <w:r w:rsidRPr="00494495">
              <w:rPr>
                <w:rFonts w:cs="Calibri"/>
                <w:color w:val="000000"/>
              </w:rPr>
              <w:t>$</w:t>
            </w:r>
            <w:r w:rsidR="009D295A">
              <w:rPr>
                <w:rFonts w:cs="Calibri"/>
                <w:noProof/>
                <w:color w:val="000000"/>
                <w:highlight w:val="black"/>
              </w:rPr>
              <w:t>''''''''''''''''''''''''</w:t>
            </w:r>
          </w:p>
        </w:tc>
        <w:tc>
          <w:tcPr>
            <w:tcW w:w="646" w:type="pct"/>
            <w:vAlign w:val="center"/>
          </w:tcPr>
          <w:p w:rsidR="00BD1912" w:rsidRPr="003639A6" w:rsidRDefault="00BD1912" w:rsidP="006617D5">
            <w:pPr>
              <w:pStyle w:val="Tabletext"/>
              <w:jc w:val="center"/>
              <w:rPr>
                <w:bCs/>
                <w:color w:val="000000"/>
              </w:rPr>
            </w:pPr>
            <w:r w:rsidRPr="00494495">
              <w:rPr>
                <w:rFonts w:cs="Calibri"/>
                <w:color w:val="000000"/>
              </w:rPr>
              <w:t>$</w:t>
            </w:r>
            <w:r w:rsidR="009D295A">
              <w:rPr>
                <w:rFonts w:cs="Calibri"/>
                <w:noProof/>
                <w:color w:val="000000"/>
                <w:highlight w:val="black"/>
              </w:rPr>
              <w:t>''''''''''''''''''''''''</w:t>
            </w:r>
          </w:p>
        </w:tc>
      </w:tr>
      <w:tr w:rsidR="00BD1912" w:rsidRPr="003639A6" w:rsidTr="001666A4">
        <w:tc>
          <w:tcPr>
            <w:tcW w:w="5000" w:type="pct"/>
            <w:gridSpan w:val="7"/>
            <w:shd w:val="clear" w:color="auto" w:fill="auto"/>
            <w:vAlign w:val="center"/>
          </w:tcPr>
          <w:p w:rsidR="00BD1912" w:rsidRPr="003639A6" w:rsidRDefault="00BD1912" w:rsidP="001666A4">
            <w:pPr>
              <w:pStyle w:val="Tabletext"/>
              <w:rPr>
                <w:bCs/>
                <w:color w:val="000000"/>
              </w:rPr>
            </w:pPr>
            <w:r w:rsidRPr="00D1078F">
              <w:rPr>
                <w:b/>
                <w:bCs/>
                <w:color w:val="000000"/>
              </w:rPr>
              <w:t xml:space="preserve">Estimated </w:t>
            </w:r>
            <w:r>
              <w:rPr>
                <w:b/>
                <w:bCs/>
                <w:color w:val="000000"/>
              </w:rPr>
              <w:t>financial implications for pre-treatment medications (methylprednisolone and acyclovir)</w:t>
            </w:r>
          </w:p>
        </w:tc>
      </w:tr>
      <w:tr w:rsidR="00BD1912" w:rsidRPr="003639A6" w:rsidTr="001666A4">
        <w:tc>
          <w:tcPr>
            <w:tcW w:w="1119" w:type="pct"/>
            <w:shd w:val="clear" w:color="auto" w:fill="auto"/>
            <w:vAlign w:val="center"/>
          </w:tcPr>
          <w:p w:rsidR="00BD1912" w:rsidRDefault="00BD1912" w:rsidP="001666A4">
            <w:pPr>
              <w:pStyle w:val="Tabletext"/>
              <w:rPr>
                <w:sz w:val="19"/>
                <w:szCs w:val="19"/>
              </w:rPr>
            </w:pPr>
            <w:r>
              <w:rPr>
                <w:sz w:val="19"/>
                <w:szCs w:val="19"/>
              </w:rPr>
              <w:t>Total</w:t>
            </w:r>
          </w:p>
        </w:tc>
        <w:tc>
          <w:tcPr>
            <w:tcW w:w="647" w:type="pct"/>
            <w:shd w:val="clear" w:color="auto" w:fill="auto"/>
          </w:tcPr>
          <w:p w:rsidR="00BD1912" w:rsidRPr="003639A6" w:rsidRDefault="00BD1912" w:rsidP="001666A4">
            <w:pPr>
              <w:pStyle w:val="Tabletext"/>
              <w:jc w:val="center"/>
              <w:rPr>
                <w:bCs/>
                <w:color w:val="000000"/>
              </w:rPr>
            </w:pPr>
            <w:r>
              <w:rPr>
                <w:lang w:val="en-GB"/>
              </w:rPr>
              <w:t>$</w:t>
            </w:r>
            <w:r w:rsidR="009D295A">
              <w:rPr>
                <w:noProof/>
                <w:color w:val="000000"/>
                <w:highlight w:val="black"/>
                <w:lang w:val="en-GB"/>
              </w:rPr>
              <w:t>'''''''''''''''''</w:t>
            </w:r>
          </w:p>
        </w:tc>
        <w:tc>
          <w:tcPr>
            <w:tcW w:w="647" w:type="pct"/>
            <w:shd w:val="clear" w:color="auto" w:fill="auto"/>
          </w:tcPr>
          <w:p w:rsidR="00BD1912" w:rsidRPr="003639A6" w:rsidRDefault="00BD1912" w:rsidP="001666A4">
            <w:pPr>
              <w:pStyle w:val="Tabletext"/>
              <w:jc w:val="center"/>
              <w:rPr>
                <w:bCs/>
                <w:color w:val="000000"/>
              </w:rPr>
            </w:pPr>
            <w:r>
              <w:rPr>
                <w:lang w:val="en-GB"/>
              </w:rPr>
              <w:t>$</w:t>
            </w:r>
            <w:r w:rsidR="009D295A">
              <w:rPr>
                <w:noProof/>
                <w:color w:val="000000"/>
                <w:highlight w:val="black"/>
                <w:lang w:val="en-GB"/>
              </w:rPr>
              <w:t>'''''''''''''''''</w:t>
            </w:r>
          </w:p>
        </w:tc>
        <w:tc>
          <w:tcPr>
            <w:tcW w:w="647" w:type="pct"/>
            <w:shd w:val="clear" w:color="auto" w:fill="auto"/>
          </w:tcPr>
          <w:p w:rsidR="00BD1912" w:rsidRPr="003639A6" w:rsidRDefault="00BD1912" w:rsidP="001666A4">
            <w:pPr>
              <w:pStyle w:val="Tabletext"/>
              <w:jc w:val="center"/>
              <w:rPr>
                <w:bCs/>
                <w:color w:val="000000"/>
              </w:rPr>
            </w:pPr>
            <w:r>
              <w:rPr>
                <w:lang w:val="en-GB"/>
              </w:rPr>
              <w:t>$</w:t>
            </w:r>
            <w:r w:rsidR="009D295A">
              <w:rPr>
                <w:noProof/>
                <w:color w:val="000000"/>
                <w:highlight w:val="black"/>
                <w:lang w:val="en-GB"/>
              </w:rPr>
              <w:t>'''''''''''''''''</w:t>
            </w:r>
          </w:p>
        </w:tc>
        <w:tc>
          <w:tcPr>
            <w:tcW w:w="647" w:type="pct"/>
            <w:shd w:val="clear" w:color="auto" w:fill="auto"/>
          </w:tcPr>
          <w:p w:rsidR="00BD1912" w:rsidRPr="003639A6" w:rsidRDefault="00BD1912" w:rsidP="001666A4">
            <w:pPr>
              <w:pStyle w:val="Tabletext"/>
              <w:jc w:val="center"/>
              <w:rPr>
                <w:bCs/>
                <w:color w:val="000000"/>
              </w:rPr>
            </w:pPr>
            <w:r>
              <w:rPr>
                <w:lang w:val="en-GB"/>
              </w:rPr>
              <w:t>$</w:t>
            </w:r>
            <w:r w:rsidR="009D295A">
              <w:rPr>
                <w:noProof/>
                <w:color w:val="000000"/>
                <w:highlight w:val="black"/>
                <w:lang w:val="en-GB"/>
              </w:rPr>
              <w:t>'''''''''''''''''</w:t>
            </w:r>
          </w:p>
        </w:tc>
        <w:tc>
          <w:tcPr>
            <w:tcW w:w="647" w:type="pct"/>
            <w:shd w:val="clear" w:color="auto" w:fill="auto"/>
          </w:tcPr>
          <w:p w:rsidR="00BD1912" w:rsidRPr="003639A6" w:rsidRDefault="00BD1912" w:rsidP="001666A4">
            <w:pPr>
              <w:pStyle w:val="Tabletext"/>
              <w:jc w:val="center"/>
              <w:rPr>
                <w:bCs/>
                <w:color w:val="000000"/>
              </w:rPr>
            </w:pPr>
            <w:r>
              <w:rPr>
                <w:lang w:val="en-GB"/>
              </w:rPr>
              <w:t>$</w:t>
            </w:r>
            <w:r w:rsidR="009D295A">
              <w:rPr>
                <w:noProof/>
                <w:color w:val="000000"/>
                <w:highlight w:val="black"/>
                <w:lang w:val="en-GB"/>
              </w:rPr>
              <w:t>'''''''''''''''''</w:t>
            </w:r>
          </w:p>
        </w:tc>
        <w:tc>
          <w:tcPr>
            <w:tcW w:w="646" w:type="pct"/>
          </w:tcPr>
          <w:p w:rsidR="00BD1912" w:rsidRPr="003639A6" w:rsidRDefault="00BD1912" w:rsidP="001666A4">
            <w:pPr>
              <w:pStyle w:val="Tabletext"/>
              <w:jc w:val="center"/>
              <w:rPr>
                <w:bCs/>
                <w:color w:val="000000"/>
              </w:rPr>
            </w:pPr>
            <w:r>
              <w:rPr>
                <w:lang w:val="en-GB"/>
              </w:rPr>
              <w:t>$</w:t>
            </w:r>
            <w:r w:rsidR="009D295A">
              <w:rPr>
                <w:noProof/>
                <w:color w:val="000000"/>
                <w:highlight w:val="black"/>
                <w:lang w:val="en-GB"/>
              </w:rPr>
              <w:t>''''''''''''''''</w:t>
            </w:r>
          </w:p>
        </w:tc>
      </w:tr>
      <w:tr w:rsidR="00BD1912" w:rsidRPr="00FC22AB" w:rsidTr="001666A4">
        <w:tc>
          <w:tcPr>
            <w:tcW w:w="5000" w:type="pct"/>
            <w:gridSpan w:val="7"/>
            <w:shd w:val="clear" w:color="auto" w:fill="auto"/>
            <w:vAlign w:val="center"/>
          </w:tcPr>
          <w:p w:rsidR="00BD1912" w:rsidRPr="00FC22AB" w:rsidRDefault="00BD1912" w:rsidP="001666A4">
            <w:pPr>
              <w:pStyle w:val="Tabletext"/>
              <w:rPr>
                <w:b/>
                <w:bCs/>
                <w:color w:val="000000"/>
              </w:rPr>
            </w:pPr>
            <w:r w:rsidRPr="00FC22AB">
              <w:rPr>
                <w:b/>
                <w:bCs/>
                <w:color w:val="000000"/>
              </w:rPr>
              <w:t>Net financial implications</w:t>
            </w:r>
            <w:r w:rsidRPr="00FC22AB">
              <w:rPr>
                <w:b/>
                <w:bCs/>
                <w:color w:val="4BACC6" w:themeColor="accent5"/>
              </w:rPr>
              <w:t xml:space="preserve"> </w:t>
            </w:r>
          </w:p>
        </w:tc>
      </w:tr>
      <w:tr w:rsidR="00BD1912" w:rsidRPr="003639A6" w:rsidTr="001666A4">
        <w:tc>
          <w:tcPr>
            <w:tcW w:w="1119" w:type="pct"/>
            <w:shd w:val="clear" w:color="auto" w:fill="auto"/>
            <w:vAlign w:val="center"/>
          </w:tcPr>
          <w:p w:rsidR="00BD1912" w:rsidRDefault="00BD1912" w:rsidP="001666A4">
            <w:pPr>
              <w:pStyle w:val="Tabletext"/>
              <w:rPr>
                <w:sz w:val="19"/>
                <w:szCs w:val="19"/>
              </w:rPr>
            </w:pPr>
            <w:r>
              <w:rPr>
                <w:sz w:val="19"/>
                <w:szCs w:val="19"/>
              </w:rPr>
              <w:t>Net cost to PBS/RPBS</w:t>
            </w:r>
          </w:p>
        </w:tc>
        <w:tc>
          <w:tcPr>
            <w:tcW w:w="647" w:type="pct"/>
            <w:shd w:val="clear" w:color="auto" w:fill="auto"/>
          </w:tcPr>
          <w:p w:rsidR="00BD1912" w:rsidRPr="003639A6" w:rsidRDefault="00BD1912" w:rsidP="001666A4">
            <w:pPr>
              <w:pStyle w:val="Tabletext"/>
              <w:jc w:val="center"/>
              <w:rPr>
                <w:bCs/>
                <w:color w:val="000000"/>
              </w:rPr>
            </w:pPr>
            <w:r w:rsidRPr="00BC2BF8">
              <w:rPr>
                <w:b/>
                <w:lang w:val="en-GB"/>
              </w:rPr>
              <w:t>$</w:t>
            </w:r>
            <w:r w:rsidR="009D295A">
              <w:rPr>
                <w:b/>
                <w:noProof/>
                <w:color w:val="000000"/>
                <w:highlight w:val="black"/>
                <w:lang w:val="en-GB"/>
              </w:rPr>
              <w:t>'''''''''''''''''''</w:t>
            </w:r>
          </w:p>
        </w:tc>
        <w:tc>
          <w:tcPr>
            <w:tcW w:w="647" w:type="pct"/>
            <w:shd w:val="clear" w:color="auto" w:fill="auto"/>
          </w:tcPr>
          <w:p w:rsidR="00BD1912" w:rsidRPr="003639A6" w:rsidRDefault="00BD1912" w:rsidP="001666A4">
            <w:pPr>
              <w:pStyle w:val="Tabletext"/>
              <w:jc w:val="center"/>
              <w:rPr>
                <w:bCs/>
                <w:color w:val="000000"/>
              </w:rPr>
            </w:pPr>
            <w:r w:rsidRPr="00BC2BF8">
              <w:rPr>
                <w:b/>
                <w:lang w:val="en-GB"/>
              </w:rPr>
              <w:t>$</w:t>
            </w:r>
            <w:r w:rsidR="009D295A">
              <w:rPr>
                <w:b/>
                <w:noProof/>
                <w:color w:val="000000"/>
                <w:highlight w:val="black"/>
                <w:lang w:val="en-GB"/>
              </w:rPr>
              <w:t>'''''''''''''''''''''''</w:t>
            </w:r>
          </w:p>
        </w:tc>
        <w:tc>
          <w:tcPr>
            <w:tcW w:w="647" w:type="pct"/>
            <w:shd w:val="clear" w:color="auto" w:fill="auto"/>
          </w:tcPr>
          <w:p w:rsidR="00BD1912" w:rsidRPr="003639A6" w:rsidRDefault="00BD1912" w:rsidP="001666A4">
            <w:pPr>
              <w:pStyle w:val="Tabletext"/>
              <w:jc w:val="center"/>
              <w:rPr>
                <w:bCs/>
                <w:color w:val="000000"/>
              </w:rPr>
            </w:pPr>
            <w:r w:rsidRPr="00BC2BF8">
              <w:rPr>
                <w:b/>
                <w:lang w:val="en-GB"/>
              </w:rPr>
              <w:t>$</w:t>
            </w:r>
            <w:r w:rsidR="009D295A">
              <w:rPr>
                <w:b/>
                <w:noProof/>
                <w:color w:val="000000"/>
                <w:highlight w:val="black"/>
                <w:lang w:val="en-GB"/>
              </w:rPr>
              <w:t>'''''''''''''''''''''</w:t>
            </w:r>
          </w:p>
        </w:tc>
        <w:tc>
          <w:tcPr>
            <w:tcW w:w="647" w:type="pct"/>
            <w:shd w:val="clear" w:color="auto" w:fill="auto"/>
          </w:tcPr>
          <w:p w:rsidR="00BD1912" w:rsidRPr="003639A6" w:rsidRDefault="00BD1912" w:rsidP="001666A4">
            <w:pPr>
              <w:pStyle w:val="Tabletext"/>
              <w:jc w:val="center"/>
              <w:rPr>
                <w:bCs/>
                <w:color w:val="000000"/>
              </w:rPr>
            </w:pPr>
            <w:r w:rsidRPr="00BC2BF8">
              <w:rPr>
                <w:b/>
                <w:lang w:val="en-GB"/>
              </w:rPr>
              <w:t>$</w:t>
            </w:r>
            <w:r w:rsidR="009D295A">
              <w:rPr>
                <w:b/>
                <w:noProof/>
                <w:color w:val="000000"/>
                <w:highlight w:val="black"/>
                <w:lang w:val="en-GB"/>
              </w:rPr>
              <w:t>''''''''''''''''''''</w:t>
            </w:r>
          </w:p>
        </w:tc>
        <w:tc>
          <w:tcPr>
            <w:tcW w:w="647" w:type="pct"/>
            <w:shd w:val="clear" w:color="auto" w:fill="auto"/>
          </w:tcPr>
          <w:p w:rsidR="00BD1912" w:rsidRPr="003639A6" w:rsidRDefault="00BD1912" w:rsidP="001666A4">
            <w:pPr>
              <w:pStyle w:val="Tabletext"/>
              <w:jc w:val="center"/>
              <w:rPr>
                <w:bCs/>
                <w:color w:val="000000"/>
              </w:rPr>
            </w:pPr>
            <w:r w:rsidRPr="00BC2BF8">
              <w:rPr>
                <w:b/>
                <w:lang w:val="en-GB"/>
              </w:rPr>
              <w:t>$</w:t>
            </w:r>
            <w:r w:rsidR="009D295A">
              <w:rPr>
                <w:b/>
                <w:noProof/>
                <w:color w:val="000000"/>
                <w:highlight w:val="black"/>
                <w:lang w:val="en-GB"/>
              </w:rPr>
              <w:t>''''''''''''''''''''</w:t>
            </w:r>
          </w:p>
        </w:tc>
        <w:tc>
          <w:tcPr>
            <w:tcW w:w="646" w:type="pct"/>
          </w:tcPr>
          <w:p w:rsidR="00BD1912" w:rsidRPr="003639A6" w:rsidRDefault="00BD1912" w:rsidP="001666A4">
            <w:pPr>
              <w:pStyle w:val="Tabletext"/>
              <w:jc w:val="center"/>
              <w:rPr>
                <w:bCs/>
                <w:color w:val="000000"/>
              </w:rPr>
            </w:pPr>
            <w:r w:rsidRPr="00BC2BF8">
              <w:rPr>
                <w:b/>
                <w:lang w:val="en-GB"/>
              </w:rPr>
              <w:t>$</w:t>
            </w:r>
            <w:r w:rsidR="009D295A">
              <w:rPr>
                <w:b/>
                <w:noProof/>
                <w:color w:val="000000"/>
                <w:highlight w:val="black"/>
                <w:lang w:val="en-GB"/>
              </w:rPr>
              <w:t>''''''''''''''''''''</w:t>
            </w:r>
          </w:p>
        </w:tc>
      </w:tr>
      <w:tr w:rsidR="00BD1912" w:rsidRPr="003639A6" w:rsidTr="001666A4">
        <w:tc>
          <w:tcPr>
            <w:tcW w:w="1119" w:type="pct"/>
            <w:shd w:val="clear" w:color="auto" w:fill="auto"/>
            <w:vAlign w:val="center"/>
          </w:tcPr>
          <w:p w:rsidR="00BD1912" w:rsidRPr="003639A6" w:rsidRDefault="00BD1912" w:rsidP="001666A4">
            <w:pPr>
              <w:pStyle w:val="Tabletext"/>
              <w:rPr>
                <w:rFonts w:ascii="Times" w:hAnsi="Times"/>
              </w:rPr>
            </w:pPr>
            <w:r>
              <w:rPr>
                <w:sz w:val="19"/>
                <w:szCs w:val="19"/>
              </w:rPr>
              <w:t>Total cost to MBS</w:t>
            </w:r>
          </w:p>
        </w:tc>
        <w:tc>
          <w:tcPr>
            <w:tcW w:w="647" w:type="pct"/>
            <w:shd w:val="clear" w:color="auto" w:fill="auto"/>
          </w:tcPr>
          <w:p w:rsidR="00BD1912" w:rsidRPr="003639A6" w:rsidRDefault="00BD1912" w:rsidP="001666A4">
            <w:pPr>
              <w:pStyle w:val="Tabletext"/>
              <w:jc w:val="center"/>
              <w:rPr>
                <w:bCs/>
                <w:color w:val="000000"/>
              </w:rPr>
            </w:pPr>
            <w:r w:rsidRPr="00BC2BF8">
              <w:rPr>
                <w:lang w:val="en-GB"/>
              </w:rPr>
              <w:t>$</w:t>
            </w:r>
            <w:r w:rsidR="009D295A">
              <w:rPr>
                <w:noProof/>
                <w:color w:val="000000"/>
                <w:highlight w:val="black"/>
                <w:lang w:val="en-GB"/>
              </w:rPr>
              <w:t>'''''''''''''''''</w:t>
            </w:r>
          </w:p>
        </w:tc>
        <w:tc>
          <w:tcPr>
            <w:tcW w:w="647" w:type="pct"/>
            <w:shd w:val="clear" w:color="auto" w:fill="auto"/>
          </w:tcPr>
          <w:p w:rsidR="00BD1912" w:rsidRPr="003639A6" w:rsidRDefault="00BD1912" w:rsidP="001666A4">
            <w:pPr>
              <w:pStyle w:val="Tabletext"/>
              <w:jc w:val="center"/>
              <w:rPr>
                <w:bCs/>
                <w:color w:val="000000"/>
              </w:rPr>
            </w:pPr>
            <w:r w:rsidRPr="00BC2BF8">
              <w:rPr>
                <w:lang w:val="en-GB"/>
              </w:rPr>
              <w:t>$</w:t>
            </w:r>
            <w:r w:rsidR="009D295A">
              <w:rPr>
                <w:noProof/>
                <w:color w:val="000000"/>
                <w:highlight w:val="black"/>
                <w:lang w:val="en-GB"/>
              </w:rPr>
              <w:t>'''''''''''''''''</w:t>
            </w:r>
          </w:p>
        </w:tc>
        <w:tc>
          <w:tcPr>
            <w:tcW w:w="647" w:type="pct"/>
            <w:shd w:val="clear" w:color="auto" w:fill="auto"/>
          </w:tcPr>
          <w:p w:rsidR="00BD1912" w:rsidRPr="003639A6" w:rsidRDefault="00BD1912" w:rsidP="001666A4">
            <w:pPr>
              <w:pStyle w:val="Tabletext"/>
              <w:jc w:val="center"/>
              <w:rPr>
                <w:bCs/>
                <w:color w:val="000000"/>
              </w:rPr>
            </w:pPr>
            <w:r w:rsidRPr="00BC2BF8">
              <w:rPr>
                <w:lang w:val="en-GB"/>
              </w:rPr>
              <w:t>$</w:t>
            </w:r>
            <w:r w:rsidR="009D295A">
              <w:rPr>
                <w:noProof/>
                <w:color w:val="000000"/>
                <w:highlight w:val="black"/>
                <w:lang w:val="en-GB"/>
              </w:rPr>
              <w:t>''''''''''''''''</w:t>
            </w:r>
          </w:p>
        </w:tc>
        <w:tc>
          <w:tcPr>
            <w:tcW w:w="647" w:type="pct"/>
            <w:shd w:val="clear" w:color="auto" w:fill="auto"/>
          </w:tcPr>
          <w:p w:rsidR="00BD1912" w:rsidRPr="003639A6" w:rsidRDefault="00BD1912" w:rsidP="001666A4">
            <w:pPr>
              <w:pStyle w:val="Tabletext"/>
              <w:jc w:val="center"/>
              <w:rPr>
                <w:bCs/>
                <w:color w:val="000000"/>
              </w:rPr>
            </w:pPr>
            <w:r w:rsidRPr="00BC2BF8">
              <w:rPr>
                <w:lang w:val="en-GB"/>
              </w:rPr>
              <w:t>$</w:t>
            </w:r>
            <w:r w:rsidR="009D295A">
              <w:rPr>
                <w:noProof/>
                <w:color w:val="000000"/>
                <w:highlight w:val="black"/>
                <w:lang w:val="en-GB"/>
              </w:rPr>
              <w:t>'''''''''''''''</w:t>
            </w:r>
          </w:p>
        </w:tc>
        <w:tc>
          <w:tcPr>
            <w:tcW w:w="647" w:type="pct"/>
            <w:shd w:val="clear" w:color="auto" w:fill="auto"/>
          </w:tcPr>
          <w:p w:rsidR="00BD1912" w:rsidRPr="003639A6" w:rsidRDefault="00BD1912" w:rsidP="001666A4">
            <w:pPr>
              <w:pStyle w:val="Tabletext"/>
              <w:jc w:val="center"/>
              <w:rPr>
                <w:bCs/>
                <w:color w:val="000000"/>
              </w:rPr>
            </w:pPr>
            <w:r w:rsidRPr="00BC2BF8">
              <w:rPr>
                <w:lang w:val="en-GB"/>
              </w:rPr>
              <w:t>$</w:t>
            </w:r>
            <w:r w:rsidR="009D295A">
              <w:rPr>
                <w:noProof/>
                <w:color w:val="000000"/>
                <w:highlight w:val="black"/>
                <w:lang w:val="en-GB"/>
              </w:rPr>
              <w:t>''''''''''''''''''</w:t>
            </w:r>
          </w:p>
        </w:tc>
        <w:tc>
          <w:tcPr>
            <w:tcW w:w="646" w:type="pct"/>
          </w:tcPr>
          <w:p w:rsidR="00BD1912" w:rsidRPr="003639A6" w:rsidRDefault="00BD1912" w:rsidP="001666A4">
            <w:pPr>
              <w:pStyle w:val="Tabletext"/>
              <w:jc w:val="center"/>
              <w:rPr>
                <w:bCs/>
                <w:color w:val="000000"/>
              </w:rPr>
            </w:pPr>
            <w:r w:rsidRPr="00BC2BF8">
              <w:rPr>
                <w:lang w:val="en-GB"/>
              </w:rPr>
              <w:t>$</w:t>
            </w:r>
            <w:r w:rsidR="009D295A">
              <w:rPr>
                <w:noProof/>
                <w:color w:val="000000"/>
                <w:highlight w:val="black"/>
                <w:lang w:val="en-GB"/>
              </w:rPr>
              <w:t>''''''''''''''''</w:t>
            </w:r>
          </w:p>
        </w:tc>
      </w:tr>
      <w:tr w:rsidR="00BD1912" w:rsidRPr="003639A6" w:rsidTr="001666A4">
        <w:tc>
          <w:tcPr>
            <w:tcW w:w="1119" w:type="pct"/>
            <w:shd w:val="clear" w:color="auto" w:fill="auto"/>
            <w:vAlign w:val="center"/>
          </w:tcPr>
          <w:p w:rsidR="00BD1912" w:rsidRPr="003639A6" w:rsidRDefault="00BD1912" w:rsidP="001666A4">
            <w:pPr>
              <w:pStyle w:val="Tabletext"/>
              <w:rPr>
                <w:sz w:val="19"/>
                <w:szCs w:val="19"/>
              </w:rPr>
            </w:pPr>
            <w:r>
              <w:rPr>
                <w:sz w:val="19"/>
                <w:szCs w:val="19"/>
              </w:rPr>
              <w:t>Net cost to Government</w:t>
            </w:r>
          </w:p>
        </w:tc>
        <w:tc>
          <w:tcPr>
            <w:tcW w:w="647" w:type="pct"/>
            <w:shd w:val="clear" w:color="auto" w:fill="auto"/>
          </w:tcPr>
          <w:p w:rsidR="00BD1912" w:rsidRPr="003639A6" w:rsidRDefault="00BD1912" w:rsidP="001666A4">
            <w:pPr>
              <w:pStyle w:val="Tabletext"/>
              <w:jc w:val="center"/>
              <w:rPr>
                <w:bCs/>
                <w:color w:val="000000"/>
              </w:rPr>
            </w:pPr>
            <w:r>
              <w:rPr>
                <w:lang w:val="en-GB"/>
              </w:rPr>
              <w:t>$</w:t>
            </w:r>
            <w:r w:rsidR="009D295A">
              <w:rPr>
                <w:noProof/>
                <w:color w:val="000000"/>
                <w:highlight w:val="black"/>
                <w:lang w:val="en-GB"/>
              </w:rPr>
              <w:t>''''''''''''''''''''''''''</w:t>
            </w:r>
          </w:p>
        </w:tc>
        <w:tc>
          <w:tcPr>
            <w:tcW w:w="647" w:type="pct"/>
            <w:shd w:val="clear" w:color="auto" w:fill="auto"/>
          </w:tcPr>
          <w:p w:rsidR="00BD1912" w:rsidRPr="003639A6" w:rsidRDefault="00BD1912" w:rsidP="001666A4">
            <w:pPr>
              <w:pStyle w:val="Tabletext"/>
              <w:jc w:val="center"/>
              <w:rPr>
                <w:bCs/>
                <w:color w:val="000000"/>
              </w:rPr>
            </w:pPr>
            <w:r>
              <w:rPr>
                <w:lang w:val="en-GB"/>
              </w:rPr>
              <w:t>$</w:t>
            </w:r>
            <w:r w:rsidR="009D295A">
              <w:rPr>
                <w:noProof/>
                <w:color w:val="000000"/>
                <w:highlight w:val="black"/>
                <w:lang w:val="en-GB"/>
              </w:rPr>
              <w:t>'''''''''''''''''''''''''''</w:t>
            </w:r>
          </w:p>
        </w:tc>
        <w:tc>
          <w:tcPr>
            <w:tcW w:w="647" w:type="pct"/>
            <w:shd w:val="clear" w:color="auto" w:fill="auto"/>
          </w:tcPr>
          <w:p w:rsidR="00BD1912" w:rsidRPr="003639A6" w:rsidRDefault="00BD1912" w:rsidP="001666A4">
            <w:pPr>
              <w:pStyle w:val="Tabletext"/>
              <w:jc w:val="center"/>
              <w:rPr>
                <w:bCs/>
                <w:color w:val="000000"/>
              </w:rPr>
            </w:pPr>
            <w:r>
              <w:rPr>
                <w:lang w:val="en-GB"/>
              </w:rPr>
              <w:t>$</w:t>
            </w:r>
            <w:r w:rsidR="009D295A">
              <w:rPr>
                <w:noProof/>
                <w:color w:val="000000"/>
                <w:highlight w:val="black"/>
                <w:lang w:val="en-GB"/>
              </w:rPr>
              <w:t>''''''''''''''''''''''''''</w:t>
            </w:r>
          </w:p>
        </w:tc>
        <w:tc>
          <w:tcPr>
            <w:tcW w:w="647" w:type="pct"/>
            <w:shd w:val="clear" w:color="auto" w:fill="auto"/>
          </w:tcPr>
          <w:p w:rsidR="00BD1912" w:rsidRPr="003639A6" w:rsidRDefault="00BD1912" w:rsidP="001666A4">
            <w:pPr>
              <w:pStyle w:val="Tabletext"/>
              <w:jc w:val="center"/>
              <w:rPr>
                <w:bCs/>
                <w:color w:val="000000"/>
              </w:rPr>
            </w:pPr>
            <w:r>
              <w:rPr>
                <w:lang w:val="en-GB"/>
              </w:rPr>
              <w:t>$</w:t>
            </w:r>
            <w:r w:rsidR="009D295A">
              <w:rPr>
                <w:noProof/>
                <w:color w:val="000000"/>
                <w:highlight w:val="black"/>
                <w:lang w:val="en-GB"/>
              </w:rPr>
              <w:t>''''''''''''''''''''''''''</w:t>
            </w:r>
          </w:p>
        </w:tc>
        <w:tc>
          <w:tcPr>
            <w:tcW w:w="647" w:type="pct"/>
            <w:shd w:val="clear" w:color="auto" w:fill="auto"/>
          </w:tcPr>
          <w:p w:rsidR="00BD1912" w:rsidRPr="003639A6" w:rsidRDefault="00BD1912" w:rsidP="001666A4">
            <w:pPr>
              <w:pStyle w:val="Tabletext"/>
              <w:jc w:val="center"/>
              <w:rPr>
                <w:bCs/>
                <w:color w:val="000000"/>
              </w:rPr>
            </w:pPr>
            <w:r>
              <w:rPr>
                <w:lang w:val="en-GB"/>
              </w:rPr>
              <w:t>$</w:t>
            </w:r>
            <w:r w:rsidR="009D295A">
              <w:rPr>
                <w:noProof/>
                <w:color w:val="000000"/>
                <w:highlight w:val="black"/>
                <w:lang w:val="en-GB"/>
              </w:rPr>
              <w:t>''''''''''''''''''''''''''</w:t>
            </w:r>
          </w:p>
        </w:tc>
        <w:tc>
          <w:tcPr>
            <w:tcW w:w="646" w:type="pct"/>
          </w:tcPr>
          <w:p w:rsidR="00BD1912" w:rsidRPr="003639A6" w:rsidRDefault="00BD1912" w:rsidP="001666A4">
            <w:pPr>
              <w:pStyle w:val="Tabletext"/>
              <w:jc w:val="center"/>
              <w:rPr>
                <w:bCs/>
                <w:color w:val="000000"/>
              </w:rPr>
            </w:pPr>
            <w:r>
              <w:rPr>
                <w:lang w:val="en-GB"/>
              </w:rPr>
              <w:t>$</w:t>
            </w:r>
            <w:r w:rsidR="009D295A">
              <w:rPr>
                <w:noProof/>
                <w:color w:val="000000"/>
                <w:highlight w:val="black"/>
                <w:lang w:val="en-GB"/>
              </w:rPr>
              <w:t>'''''''''''''''''''''''''</w:t>
            </w:r>
          </w:p>
        </w:tc>
      </w:tr>
    </w:tbl>
    <w:p w:rsidR="00BD1912" w:rsidRDefault="00BD1912" w:rsidP="00BD1912">
      <w:pPr>
        <w:pStyle w:val="TableFooter"/>
      </w:pPr>
      <w:r>
        <w:t>Source: Table 4.4, p74 to Table 4.18, p 81 of the</w:t>
      </w:r>
      <w:r w:rsidR="00436C41">
        <w:t xml:space="preserve"> resubmission</w:t>
      </w:r>
      <w:r>
        <w:t xml:space="preserve"> </w:t>
      </w:r>
    </w:p>
    <w:p w:rsidR="005E5153" w:rsidRDefault="005E5153" w:rsidP="00BD1912">
      <w:pPr>
        <w:pStyle w:val="TableFooter"/>
        <w:rPr>
          <w:rStyle w:val="CommentReference"/>
        </w:rPr>
      </w:pPr>
    </w:p>
    <w:p w:rsidR="00BD1912" w:rsidRDefault="005E5153" w:rsidP="00BD1912">
      <w:pPr>
        <w:widowControl/>
        <w:rPr>
          <w:i/>
        </w:rPr>
      </w:pPr>
      <w:r>
        <w:rPr>
          <w:i/>
        </w:rPr>
        <w:t xml:space="preserve">The redacted table shows that at year 6, </w:t>
      </w:r>
      <w:r w:rsidR="001872C6">
        <w:rPr>
          <w:i/>
        </w:rPr>
        <w:t xml:space="preserve">the estimated number of patients was less than 10,000 and </w:t>
      </w:r>
      <w:r>
        <w:rPr>
          <w:i/>
        </w:rPr>
        <w:t>the net cost to the PBS would be $20-$30 million.</w:t>
      </w:r>
    </w:p>
    <w:p w:rsidR="005E5153" w:rsidRPr="005E5153" w:rsidRDefault="005E5153" w:rsidP="00BD1912">
      <w:pPr>
        <w:widowControl/>
        <w:rPr>
          <w:i/>
        </w:rPr>
      </w:pPr>
    </w:p>
    <w:p w:rsidR="00472322" w:rsidRDefault="00BD1912" w:rsidP="007A77D5">
      <w:pPr>
        <w:pStyle w:val="ListParagraph"/>
        <w:widowControl/>
        <w:numPr>
          <w:ilvl w:val="1"/>
          <w:numId w:val="1"/>
        </w:numPr>
      </w:pPr>
      <w:r w:rsidRPr="00DE0340">
        <w:t>The resub</w:t>
      </w:r>
      <w:r w:rsidR="00CF4B5B" w:rsidRPr="00DE0340">
        <w:t xml:space="preserve">mission </w:t>
      </w:r>
      <w:r w:rsidRPr="00DE0340">
        <w:t xml:space="preserve">noted that between April 2017, and 2018, the </w:t>
      </w:r>
      <w:r w:rsidR="00F30B4D" w:rsidRPr="00DE0340">
        <w:t>s</w:t>
      </w:r>
      <w:r w:rsidRPr="00DE0340">
        <w:t xml:space="preserve">ponsor had reimbursed </w:t>
      </w:r>
      <w:r w:rsidR="009D295A">
        <w:rPr>
          <w:noProof/>
          <w:color w:val="000000"/>
          <w:highlight w:val="black"/>
        </w:rPr>
        <w:t>'''''</w:t>
      </w:r>
      <w:r w:rsidRPr="00DE0340">
        <w:t xml:space="preserve"> patients for a third course of alemtuzumab. The resubmission considered that these patients met the </w:t>
      </w:r>
      <w:r w:rsidR="00157F24">
        <w:t xml:space="preserve">proposed </w:t>
      </w:r>
      <w:r w:rsidRPr="00DE0340">
        <w:t>restriction</w:t>
      </w:r>
      <w:r w:rsidR="00157F24">
        <w:t xml:space="preserve"> criteria</w:t>
      </w:r>
      <w:r w:rsidRPr="00DE0340">
        <w:t xml:space="preserve"> and are comparable with the </w:t>
      </w:r>
      <w:r w:rsidR="00157F24" w:rsidRPr="00DE0340">
        <w:t xml:space="preserve">estimated </w:t>
      </w:r>
      <w:r w:rsidRPr="00DE0340">
        <w:t xml:space="preserve">patient numbers. The resubmission’s financial estimates, however, indicate that </w:t>
      </w:r>
      <w:r w:rsidR="009D295A">
        <w:rPr>
          <w:noProof/>
          <w:color w:val="000000"/>
          <w:highlight w:val="black"/>
        </w:rPr>
        <w:t>'''''''</w:t>
      </w:r>
      <w:r w:rsidRPr="00DE0340">
        <w:t xml:space="preserve"> patients would be expected to initiate a third course in the first year of listing (the year with the smallest number of patients initiating a third course). This was more than double of the sponsor</w:t>
      </w:r>
      <w:r w:rsidR="00F30B4D" w:rsidRPr="00DE0340">
        <w:t>-</w:t>
      </w:r>
      <w:r w:rsidRPr="00DE0340">
        <w:t>subsidised treatments. On one hand</w:t>
      </w:r>
      <w:r w:rsidR="00F30B4D" w:rsidRPr="00DE0340">
        <w:t>,</w:t>
      </w:r>
      <w:r w:rsidRPr="00DE0340">
        <w:t xml:space="preserve"> this could suggest an overestimation of patients receiving alemtuzumab treatment (either underestimating patients who benefit without additional treatment or more likely underestimating patients who choose alternative </w:t>
      </w:r>
      <w:r w:rsidRPr="00DE0340">
        <w:lastRenderedPageBreak/>
        <w:t>DMT); on the other, details of the sponsor-subsidisation process and criteria have not been provided and could be different than what would be expected in a PBS reimbursement setting. Consequently, number of patients initiating third and fourth courses remained uncertain</w:t>
      </w:r>
      <w:r w:rsidR="006617D5" w:rsidRPr="00DE0340">
        <w:t>.</w:t>
      </w:r>
      <w:r w:rsidR="006459C7">
        <w:t xml:space="preserve"> </w:t>
      </w:r>
    </w:p>
    <w:p w:rsidR="00BD1912" w:rsidRPr="00057575" w:rsidRDefault="006459C7" w:rsidP="007A77D5">
      <w:pPr>
        <w:pStyle w:val="ListParagraph"/>
        <w:widowControl/>
        <w:numPr>
          <w:ilvl w:val="1"/>
          <w:numId w:val="1"/>
        </w:numPr>
      </w:pPr>
      <w:r w:rsidRPr="00057575">
        <w:t xml:space="preserve">The PSCR (p4) stated that compassionate supply to the </w:t>
      </w:r>
      <w:r w:rsidR="009D295A">
        <w:rPr>
          <w:noProof/>
          <w:color w:val="000000"/>
          <w:highlight w:val="black"/>
        </w:rPr>
        <w:t>'''''</w:t>
      </w:r>
      <w:r w:rsidRPr="00057575">
        <w:t xml:space="preserve"> patients was provided before the TGA approved the Product information sheet on 1 May 2018 so patients could receive up to two additional courses of treatment. The PSCR </w:t>
      </w:r>
      <w:r w:rsidR="002603B9" w:rsidRPr="00057575">
        <w:t xml:space="preserve">clarified </w:t>
      </w:r>
      <w:r w:rsidRPr="00057575">
        <w:t xml:space="preserve">that the </w:t>
      </w:r>
      <w:r w:rsidR="009D295A">
        <w:rPr>
          <w:noProof/>
          <w:color w:val="000000"/>
          <w:highlight w:val="black"/>
        </w:rPr>
        <w:t>'''''''</w:t>
      </w:r>
      <w:r w:rsidRPr="00057575">
        <w:t xml:space="preserve"> patients </w:t>
      </w:r>
      <w:r w:rsidR="002603B9" w:rsidRPr="00057575">
        <w:t>estimated is</w:t>
      </w:r>
      <w:r w:rsidRPr="00057575">
        <w:t xml:space="preserve"> for 2019 as the number of patients eligible for a third or </w:t>
      </w:r>
      <w:r w:rsidR="00D51F50" w:rsidRPr="00057575">
        <w:t>fourth</w:t>
      </w:r>
      <w:r w:rsidRPr="00057575">
        <w:t xml:space="preserve"> treatment is expected to increase due</w:t>
      </w:r>
      <w:r w:rsidR="00D51F50" w:rsidRPr="00057575">
        <w:t xml:space="preserve"> to increase in the number of patients receiving a first and second treatment course.</w:t>
      </w:r>
      <w:r w:rsidR="002603B9" w:rsidRPr="00057575">
        <w:t xml:space="preserve"> The ESC </w:t>
      </w:r>
      <w:r w:rsidR="00D40FE0" w:rsidRPr="00057575">
        <w:t xml:space="preserve">considered the utilisation of alemtuzumab would likely be lower than estimated in the </w:t>
      </w:r>
      <w:r w:rsidR="00680F38" w:rsidRPr="00057575">
        <w:t>re</w:t>
      </w:r>
      <w:r w:rsidR="00D40FE0" w:rsidRPr="00057575">
        <w:t>submission</w:t>
      </w:r>
      <w:r w:rsidR="00680470" w:rsidRPr="00057575">
        <w:t xml:space="preserve"> given</w:t>
      </w:r>
      <w:r w:rsidR="00D40FE0" w:rsidRPr="00057575">
        <w:t xml:space="preserve"> </w:t>
      </w:r>
      <w:r w:rsidR="000602D0" w:rsidRPr="00057575">
        <w:t>current utilisation of alemtuzumab h</w:t>
      </w:r>
      <w:r w:rsidR="00680470" w:rsidRPr="00057575">
        <w:t xml:space="preserve">as been low compared to </w:t>
      </w:r>
      <w:r w:rsidR="000602D0" w:rsidRPr="00057575">
        <w:t>other DMTs</w:t>
      </w:r>
      <w:r w:rsidR="00680470" w:rsidRPr="00057575">
        <w:t xml:space="preserve"> and the estimates did not account for recently recommended treatments for RRMS ocrelizumab and cladribine. </w:t>
      </w:r>
      <w:r w:rsidR="007A77D5">
        <w:t xml:space="preserve">The pre-PBAC response (p3) stated that </w:t>
      </w:r>
      <w:r w:rsidR="009D295A">
        <w:rPr>
          <w:noProof/>
          <w:color w:val="000000"/>
          <w:highlight w:val="black"/>
        </w:rPr>
        <w:t>''''''</w:t>
      </w:r>
      <w:r w:rsidR="00890388">
        <w:t xml:space="preserve"> patients are estimated to receive a third course of treatment in 2018, with this number increasing to </w:t>
      </w:r>
      <w:r w:rsidR="009D295A">
        <w:rPr>
          <w:noProof/>
          <w:color w:val="000000"/>
          <w:highlight w:val="black"/>
        </w:rPr>
        <w:t>'''''''</w:t>
      </w:r>
      <w:r w:rsidR="00890388">
        <w:t xml:space="preserve"> in 2019. </w:t>
      </w:r>
      <w:r w:rsidR="007A77D5">
        <w:t xml:space="preserve">The PBAC considered that </w:t>
      </w:r>
      <w:r w:rsidR="007A77D5">
        <w:rPr>
          <w:rFonts w:asciiTheme="minorHAnsi" w:hAnsiTheme="minorHAnsi"/>
          <w:bCs/>
        </w:rPr>
        <w:t>the proposed number of patients requiring a third course of alemtuz</w:t>
      </w:r>
      <w:r w:rsidR="00AF3A1D">
        <w:rPr>
          <w:rFonts w:asciiTheme="minorHAnsi" w:hAnsiTheme="minorHAnsi"/>
          <w:bCs/>
        </w:rPr>
        <w:t>u</w:t>
      </w:r>
      <w:r w:rsidR="007A77D5">
        <w:rPr>
          <w:rFonts w:asciiTheme="minorHAnsi" w:hAnsiTheme="minorHAnsi"/>
          <w:bCs/>
        </w:rPr>
        <w:t xml:space="preserve">mab was a source of uncertainty. </w:t>
      </w:r>
    </w:p>
    <w:p w:rsidR="001846C0" w:rsidRDefault="001846C0" w:rsidP="00FD072C">
      <w:pPr>
        <w:pStyle w:val="ListParagraph"/>
        <w:widowControl/>
        <w:numPr>
          <w:ilvl w:val="1"/>
          <w:numId w:val="1"/>
        </w:numPr>
      </w:pPr>
      <w:r w:rsidRPr="00057575">
        <w:t xml:space="preserve">The ESC noted that the </w:t>
      </w:r>
      <w:r w:rsidR="00680F38" w:rsidRPr="00057575">
        <w:t>re</w:t>
      </w:r>
      <w:r w:rsidRPr="00057575">
        <w:t xml:space="preserve">submission inappropriately excluded costs for </w:t>
      </w:r>
      <w:r w:rsidR="0093459E" w:rsidRPr="00057575">
        <w:t>AE</w:t>
      </w:r>
      <w:r w:rsidRPr="00057575">
        <w:t>s associated with additional courses of alemtuzumab.</w:t>
      </w:r>
    </w:p>
    <w:p w:rsidR="007A77D5" w:rsidRDefault="00890388" w:rsidP="00FD072C">
      <w:pPr>
        <w:pStyle w:val="ListParagraph"/>
        <w:widowControl/>
        <w:numPr>
          <w:ilvl w:val="1"/>
          <w:numId w:val="1"/>
        </w:numPr>
      </w:pPr>
      <w:r>
        <w:t>A</w:t>
      </w:r>
      <w:r w:rsidR="00291022">
        <w:t>t Y</w:t>
      </w:r>
      <w:r>
        <w:t xml:space="preserve">ear 6, the estimated number of patients was </w:t>
      </w:r>
      <w:r w:rsidR="009D295A">
        <w:rPr>
          <w:noProof/>
          <w:color w:val="000000"/>
          <w:highlight w:val="black"/>
        </w:rPr>
        <w:t>'''''''</w:t>
      </w:r>
      <w:r>
        <w:t xml:space="preserve"> for the first course, </w:t>
      </w:r>
      <w:r w:rsidR="009D295A">
        <w:rPr>
          <w:noProof/>
          <w:color w:val="000000"/>
          <w:highlight w:val="black"/>
        </w:rPr>
        <w:t>'''''''</w:t>
      </w:r>
      <w:r>
        <w:t xml:space="preserve"> for the second course, </w:t>
      </w:r>
      <w:r w:rsidR="009D295A">
        <w:rPr>
          <w:noProof/>
          <w:color w:val="000000"/>
          <w:highlight w:val="black"/>
        </w:rPr>
        <w:t>'''''''</w:t>
      </w:r>
      <w:r>
        <w:t xml:space="preserve"> for the third course and </w:t>
      </w:r>
      <w:r w:rsidR="009D295A">
        <w:rPr>
          <w:noProof/>
          <w:color w:val="000000"/>
          <w:highlight w:val="black"/>
        </w:rPr>
        <w:t>''''''''</w:t>
      </w:r>
      <w:r>
        <w:t xml:space="preserve"> for the fourth course of alemtuzumab and the net cost to the PBS would be </w:t>
      </w:r>
      <w:r w:rsidR="001872C6">
        <w:t xml:space="preserve">$20 - $30 million </w:t>
      </w:r>
      <w:r>
        <w:t>(using the proposed effective price of $</w:t>
      </w:r>
      <w:r w:rsidR="009D295A">
        <w:rPr>
          <w:noProof/>
          <w:color w:val="000000"/>
          <w:highlight w:val="black"/>
        </w:rPr>
        <w:t>''''''''''''''''''</w:t>
      </w:r>
      <w:r>
        <w:t xml:space="preserve"> per vial). </w:t>
      </w:r>
    </w:p>
    <w:p w:rsidR="00890388" w:rsidRDefault="00890388" w:rsidP="00FD072C">
      <w:pPr>
        <w:pStyle w:val="ListParagraph"/>
        <w:widowControl/>
        <w:numPr>
          <w:ilvl w:val="1"/>
          <w:numId w:val="1"/>
        </w:numPr>
      </w:pPr>
      <w:r>
        <w:t>The PBAC noted that the net cost to the PBS of listing a thir</w:t>
      </w:r>
      <w:r w:rsidR="00AF3A1D">
        <w:t>d and fourth course of alemtuzu</w:t>
      </w:r>
      <w:r>
        <w:t>m</w:t>
      </w:r>
      <w:r w:rsidR="00AF3A1D">
        <w:t>a</w:t>
      </w:r>
      <w:r>
        <w:t>b at the current vial price of $</w:t>
      </w:r>
      <w:r w:rsidR="009D295A">
        <w:rPr>
          <w:noProof/>
          <w:color w:val="000000"/>
          <w:highlight w:val="black"/>
        </w:rPr>
        <w:t>''''''''''''''</w:t>
      </w:r>
      <w:r>
        <w:t xml:space="preserve"> is estimated to be $</w:t>
      </w:r>
      <w:r w:rsidR="009D295A">
        <w:rPr>
          <w:noProof/>
          <w:color w:val="000000"/>
          <w:highlight w:val="black"/>
        </w:rPr>
        <w:t>'''''''''''''''''''''</w:t>
      </w:r>
      <w:r>
        <w:t xml:space="preserve"> in Year 1, increasing to $</w:t>
      </w:r>
      <w:r w:rsidR="009D295A">
        <w:rPr>
          <w:noProof/>
          <w:color w:val="000000"/>
          <w:highlight w:val="black"/>
        </w:rPr>
        <w:t>'''''''''''''''''''</w:t>
      </w:r>
      <w:r>
        <w:t xml:space="preserve"> in Year 3 and reducing to $</w:t>
      </w:r>
      <w:r w:rsidR="009D295A">
        <w:rPr>
          <w:noProof/>
          <w:color w:val="000000"/>
          <w:highlight w:val="black"/>
        </w:rPr>
        <w:t>''''''''''''''''''</w:t>
      </w:r>
      <w:r>
        <w:t xml:space="preserve"> in Year 6. </w:t>
      </w:r>
    </w:p>
    <w:p w:rsidR="00890388" w:rsidRDefault="00890388" w:rsidP="00FD072C">
      <w:pPr>
        <w:pStyle w:val="ListParagraph"/>
        <w:widowControl/>
        <w:numPr>
          <w:ilvl w:val="1"/>
          <w:numId w:val="1"/>
        </w:numPr>
      </w:pPr>
      <w:r>
        <w:t xml:space="preserve">The PBAC considered that the financial estimates presented were inconsistent with a cost-minimisation approach as they did not include modelling or subtraction of cost-offsets for substituted medicines. </w:t>
      </w:r>
    </w:p>
    <w:p w:rsidR="00DE0340" w:rsidRDefault="00E33DDF" w:rsidP="009427E0">
      <w:pPr>
        <w:pStyle w:val="ListParagraph"/>
        <w:widowControl/>
      </w:pPr>
      <w:r w:rsidRPr="00926106">
        <w:rPr>
          <w:i/>
        </w:rPr>
        <w:t>For more detail on PBAC’s view, see section 7 PBAC outcome.</w:t>
      </w:r>
      <w:r>
        <w:rPr>
          <w:i/>
        </w:rPr>
        <w:t xml:space="preserve"> </w:t>
      </w:r>
    </w:p>
    <w:p w:rsidR="00BD45C8" w:rsidRPr="00652AFF" w:rsidRDefault="00220D8F" w:rsidP="00652AFF">
      <w:pPr>
        <w:pStyle w:val="PBACHeading1"/>
        <w:spacing w:before="240" w:after="120"/>
        <w:outlineLvl w:val="0"/>
        <w:rPr>
          <w:rFonts w:asciiTheme="minorHAnsi" w:hAnsiTheme="minorHAnsi"/>
          <w:szCs w:val="32"/>
        </w:rPr>
      </w:pPr>
      <w:r w:rsidRPr="00652AFF">
        <w:rPr>
          <w:rFonts w:asciiTheme="minorHAnsi" w:hAnsiTheme="minorHAnsi"/>
          <w:szCs w:val="32"/>
        </w:rPr>
        <w:t>PBAC Outcome</w:t>
      </w:r>
    </w:p>
    <w:p w:rsidR="00BD45C8" w:rsidRPr="00BD45C8" w:rsidRDefault="00BD45C8" w:rsidP="00BD45C8">
      <w:pPr>
        <w:numPr>
          <w:ilvl w:val="1"/>
          <w:numId w:val="1"/>
        </w:numPr>
        <w:spacing w:after="120"/>
        <w:rPr>
          <w:rFonts w:asciiTheme="minorHAnsi" w:hAnsiTheme="minorHAnsi"/>
          <w:bCs/>
        </w:rPr>
      </w:pPr>
      <w:r>
        <w:rPr>
          <w:rFonts w:asciiTheme="minorHAnsi" w:hAnsiTheme="minorHAnsi"/>
          <w:bCs/>
        </w:rPr>
        <w:t xml:space="preserve">The PBAC did not recommend the request to </w:t>
      </w:r>
      <w:r w:rsidR="00291022">
        <w:rPr>
          <w:rFonts w:asciiTheme="minorHAnsi" w:hAnsiTheme="minorHAnsi"/>
          <w:bCs/>
        </w:rPr>
        <w:t xml:space="preserve">increase </w:t>
      </w:r>
      <w:r w:rsidRPr="00BD45C8">
        <w:rPr>
          <w:rFonts w:asciiTheme="minorHAnsi" w:hAnsiTheme="minorHAnsi"/>
          <w:bCs/>
        </w:rPr>
        <w:t xml:space="preserve">the price per vial </w:t>
      </w:r>
      <w:r>
        <w:rPr>
          <w:rFonts w:asciiTheme="minorHAnsi" w:hAnsiTheme="minorHAnsi"/>
          <w:bCs/>
        </w:rPr>
        <w:t xml:space="preserve">for alemtuzumab for relapsing remitting multiple sclerosis (RRMS) </w:t>
      </w:r>
      <w:r w:rsidRPr="00BD45C8">
        <w:rPr>
          <w:rFonts w:asciiTheme="minorHAnsi" w:hAnsiTheme="minorHAnsi"/>
          <w:bCs/>
        </w:rPr>
        <w:t xml:space="preserve">based on a claim of extended clinical benefit </w:t>
      </w:r>
      <w:r w:rsidR="00227132">
        <w:rPr>
          <w:rFonts w:asciiTheme="minorHAnsi" w:hAnsiTheme="minorHAnsi"/>
          <w:bCs/>
        </w:rPr>
        <w:t>from two years to six</w:t>
      </w:r>
      <w:r>
        <w:rPr>
          <w:rFonts w:asciiTheme="minorHAnsi" w:hAnsiTheme="minorHAnsi"/>
          <w:bCs/>
        </w:rPr>
        <w:t xml:space="preserve"> years. The PBAC also did not recommend </w:t>
      </w:r>
      <w:r w:rsidR="00383385">
        <w:rPr>
          <w:rFonts w:asciiTheme="minorHAnsi" w:hAnsiTheme="minorHAnsi"/>
          <w:bCs/>
        </w:rPr>
        <w:t xml:space="preserve">a change to the current listing to include an additional continuation restriction for the third and fourth courses of </w:t>
      </w:r>
      <w:r w:rsidR="00383385">
        <w:t xml:space="preserve">alemtuzumab </w:t>
      </w:r>
      <w:r>
        <w:t>for patients with RRMS</w:t>
      </w:r>
      <w:r w:rsidR="001A3292">
        <w:t xml:space="preserve"> who meet proposed re-treatment criteria</w:t>
      </w:r>
      <w:r>
        <w:t xml:space="preserve">. </w:t>
      </w:r>
      <w:r w:rsidR="007F058D">
        <w:t xml:space="preserve">The PBAC </w:t>
      </w:r>
      <w:r w:rsidR="00446F80">
        <w:t xml:space="preserve">did not accept the comparator presented and </w:t>
      </w:r>
      <w:r w:rsidR="007F058D">
        <w:t xml:space="preserve">considered that there was insufficient clinical evidence to support the claimed </w:t>
      </w:r>
      <w:r w:rsidR="00E1101B">
        <w:t xml:space="preserve">extended clinical benefit </w:t>
      </w:r>
      <w:r w:rsidR="00227132">
        <w:t>of alemtuzumab from two years to six</w:t>
      </w:r>
      <w:r w:rsidR="00E1101B">
        <w:t xml:space="preserve"> years</w:t>
      </w:r>
      <w:r w:rsidR="00830AA1">
        <w:t xml:space="preserve"> which formed the basis of the two requests</w:t>
      </w:r>
      <w:r w:rsidR="00E1101B">
        <w:t xml:space="preserve">. The PBAC also considered </w:t>
      </w:r>
      <w:r w:rsidR="00830AA1">
        <w:t xml:space="preserve">that </w:t>
      </w:r>
      <w:r w:rsidR="00E1101B">
        <w:t xml:space="preserve">the cost analysis </w:t>
      </w:r>
      <w:r w:rsidR="00E1101B">
        <w:lastRenderedPageBreak/>
        <w:t>presented was inappropriate to value the durability of alemtuz</w:t>
      </w:r>
      <w:r w:rsidR="00AF3A1D">
        <w:t>u</w:t>
      </w:r>
      <w:r w:rsidR="00E1101B">
        <w:t xml:space="preserve">mab. </w:t>
      </w:r>
    </w:p>
    <w:p w:rsidR="00BD45C8" w:rsidRDefault="00830AA1" w:rsidP="00BD45C8">
      <w:pPr>
        <w:numPr>
          <w:ilvl w:val="1"/>
          <w:numId w:val="1"/>
        </w:numPr>
        <w:spacing w:after="120"/>
        <w:rPr>
          <w:rFonts w:asciiTheme="minorHAnsi" w:hAnsiTheme="minorHAnsi"/>
          <w:bCs/>
        </w:rPr>
      </w:pPr>
      <w:r>
        <w:rPr>
          <w:rFonts w:asciiTheme="minorHAnsi" w:hAnsiTheme="minorHAnsi"/>
          <w:bCs/>
        </w:rPr>
        <w:t>The PBAC noted and welcomed the consumer comments received from MS Research Australia which highlighted that patients value additional treatment</w:t>
      </w:r>
      <w:r w:rsidR="0010372A">
        <w:rPr>
          <w:rFonts w:asciiTheme="minorHAnsi" w:hAnsiTheme="minorHAnsi"/>
          <w:bCs/>
        </w:rPr>
        <w:t xml:space="preserve"> options for multiple sclerosis</w:t>
      </w:r>
      <w:r w:rsidR="003454D6">
        <w:rPr>
          <w:rFonts w:asciiTheme="minorHAnsi" w:hAnsiTheme="minorHAnsi"/>
          <w:bCs/>
        </w:rPr>
        <w:t xml:space="preserve">. </w:t>
      </w:r>
      <w:r w:rsidR="005336E2">
        <w:rPr>
          <w:rFonts w:asciiTheme="minorHAnsi" w:hAnsiTheme="minorHAnsi"/>
          <w:bCs/>
        </w:rPr>
        <w:t xml:space="preserve"> </w:t>
      </w:r>
    </w:p>
    <w:p w:rsidR="00217CEF" w:rsidRPr="00217CEF" w:rsidRDefault="003454D6" w:rsidP="00217CEF">
      <w:pPr>
        <w:numPr>
          <w:ilvl w:val="1"/>
          <w:numId w:val="1"/>
        </w:numPr>
        <w:spacing w:after="120"/>
        <w:rPr>
          <w:rFonts w:asciiTheme="minorHAnsi" w:hAnsiTheme="minorHAnsi"/>
          <w:bCs/>
        </w:rPr>
      </w:pPr>
      <w:r w:rsidRPr="003454D6">
        <w:t xml:space="preserve">The </w:t>
      </w:r>
      <w:r>
        <w:t xml:space="preserve">PBAC did not accept the </w:t>
      </w:r>
      <w:r w:rsidRPr="003454D6">
        <w:t>main comparator</w:t>
      </w:r>
      <w:r w:rsidRPr="003454D6" w:rsidDel="00457E38">
        <w:t xml:space="preserve"> </w:t>
      </w:r>
      <w:r w:rsidR="00227132">
        <w:t xml:space="preserve">presented in the resubmission </w:t>
      </w:r>
      <w:r w:rsidR="00B3611B">
        <w:t>of</w:t>
      </w:r>
      <w:r w:rsidRPr="003454D6">
        <w:t xml:space="preserve"> two courses of PBS-funded alemtuzumab plus up to two additional courses of treatment as currently supplied by the sponsor</w:t>
      </w:r>
      <w:r w:rsidR="00B3611B">
        <w:t xml:space="preserve">. </w:t>
      </w:r>
      <w:r w:rsidR="00864205" w:rsidRPr="00983001">
        <w:rPr>
          <w:rFonts w:asciiTheme="minorHAnsi" w:hAnsiTheme="minorHAnsi"/>
          <w:bCs/>
        </w:rPr>
        <w:t>The PBAC agreed with the ESC that it was n</w:t>
      </w:r>
      <w:r w:rsidR="009853DC">
        <w:rPr>
          <w:rFonts w:asciiTheme="minorHAnsi" w:hAnsiTheme="minorHAnsi"/>
          <w:bCs/>
        </w:rPr>
        <w:t>ot appropriate to conflate the</w:t>
      </w:r>
      <w:r w:rsidR="00864205" w:rsidRPr="00983001">
        <w:rPr>
          <w:rFonts w:asciiTheme="minorHAnsi" w:hAnsiTheme="minorHAnsi"/>
          <w:bCs/>
        </w:rPr>
        <w:t xml:space="preserve"> two requests</w:t>
      </w:r>
      <w:r w:rsidR="00983001" w:rsidRPr="00983001">
        <w:rPr>
          <w:rFonts w:asciiTheme="minorHAnsi" w:hAnsiTheme="minorHAnsi"/>
          <w:bCs/>
        </w:rPr>
        <w:t xml:space="preserve"> proposed in the resubmission</w:t>
      </w:r>
      <w:r w:rsidR="00864205" w:rsidRPr="00983001">
        <w:rPr>
          <w:rFonts w:asciiTheme="minorHAnsi" w:hAnsiTheme="minorHAnsi"/>
          <w:bCs/>
        </w:rPr>
        <w:t>.</w:t>
      </w:r>
      <w:r w:rsidR="00864205">
        <w:rPr>
          <w:rFonts w:asciiTheme="minorHAnsi" w:hAnsiTheme="minorHAnsi"/>
          <w:bCs/>
        </w:rPr>
        <w:t xml:space="preserve"> </w:t>
      </w:r>
      <w:r w:rsidR="00217CEF">
        <w:t xml:space="preserve">The PBAC considered an assessment of the claim of </w:t>
      </w:r>
      <w:r w:rsidR="00983001">
        <w:t>extended clinical benefit from two</w:t>
      </w:r>
      <w:r w:rsidR="00217CEF">
        <w:t xml:space="preserve"> to </w:t>
      </w:r>
      <w:r w:rsidR="00983001">
        <w:t>six</w:t>
      </w:r>
      <w:r w:rsidR="00217CEF">
        <w:t xml:space="preserve"> years would require comparison of the two currently reimbursed courses of alemtuzumab with appropriate alternative therapies over a 6 year period. The PBAC considered appropriate alternative therapies in this context would likely be </w:t>
      </w:r>
      <w:r w:rsidR="00217CEF" w:rsidRPr="00217CEF">
        <w:rPr>
          <w:rFonts w:asciiTheme="minorHAnsi" w:hAnsiTheme="minorHAnsi"/>
          <w:bCs/>
        </w:rPr>
        <w:t>fingolimod, natalizumab, ocrelizumab or cladribine. The PBAC also considered an assessment of any incremental benefit provided by the administration of up to two additional courses of alemtuzumab would require a separate comparison with an alternative RMMS medicine or no further treatment after the initial two courses of alemtuzumab.</w:t>
      </w:r>
      <w:r w:rsidR="00217CEF">
        <w:rPr>
          <w:rFonts w:asciiTheme="minorHAnsi" w:hAnsiTheme="minorHAnsi"/>
          <w:bCs/>
        </w:rPr>
        <w:t xml:space="preserve"> </w:t>
      </w:r>
    </w:p>
    <w:p w:rsidR="00800D20" w:rsidRDefault="000F75D8" w:rsidP="00D42ABD">
      <w:pPr>
        <w:numPr>
          <w:ilvl w:val="1"/>
          <w:numId w:val="1"/>
        </w:numPr>
        <w:spacing w:after="120"/>
        <w:rPr>
          <w:rFonts w:asciiTheme="minorHAnsi" w:hAnsiTheme="minorHAnsi"/>
          <w:bCs/>
        </w:rPr>
      </w:pPr>
      <w:r>
        <w:rPr>
          <w:rFonts w:asciiTheme="minorHAnsi" w:hAnsiTheme="minorHAnsi"/>
          <w:bCs/>
        </w:rPr>
        <w:t>The PBAC noted that no comparative evidence was presented in the resubmission. Instead, t</w:t>
      </w:r>
      <w:r w:rsidR="00800D20" w:rsidRPr="00D42ABD">
        <w:rPr>
          <w:rFonts w:asciiTheme="minorHAnsi" w:hAnsiTheme="minorHAnsi"/>
          <w:bCs/>
        </w:rPr>
        <w:t xml:space="preserve">he </w:t>
      </w:r>
      <w:r w:rsidR="002B201F" w:rsidRPr="00D42ABD">
        <w:rPr>
          <w:rFonts w:asciiTheme="minorHAnsi" w:hAnsiTheme="minorHAnsi"/>
          <w:bCs/>
        </w:rPr>
        <w:t xml:space="preserve">resubmission’s clinical </w:t>
      </w:r>
      <w:r w:rsidR="00227132">
        <w:rPr>
          <w:rFonts w:asciiTheme="minorHAnsi" w:hAnsiTheme="minorHAnsi"/>
          <w:bCs/>
        </w:rPr>
        <w:t>comparison of alemtuzumab over two</w:t>
      </w:r>
      <w:r w:rsidR="002B201F" w:rsidRPr="00D42ABD">
        <w:rPr>
          <w:rFonts w:asciiTheme="minorHAnsi" w:hAnsiTheme="minorHAnsi"/>
          <w:bCs/>
        </w:rPr>
        <w:t xml:space="preserve"> </w:t>
      </w:r>
      <w:r w:rsidR="00227132">
        <w:rPr>
          <w:rFonts w:asciiTheme="minorHAnsi" w:hAnsiTheme="minorHAnsi"/>
          <w:bCs/>
        </w:rPr>
        <w:t>years versus six</w:t>
      </w:r>
      <w:r w:rsidR="007A4D15" w:rsidRPr="00D42ABD">
        <w:rPr>
          <w:rFonts w:asciiTheme="minorHAnsi" w:hAnsiTheme="minorHAnsi"/>
          <w:bCs/>
        </w:rPr>
        <w:t xml:space="preserve"> years</w:t>
      </w:r>
      <w:r w:rsidR="002B201F" w:rsidRPr="00D42ABD">
        <w:rPr>
          <w:rFonts w:asciiTheme="minorHAnsi" w:hAnsiTheme="minorHAnsi"/>
          <w:bCs/>
        </w:rPr>
        <w:t xml:space="preserve"> was based on the final results CARE-MS extension study (n=1,314) </w:t>
      </w:r>
      <w:r w:rsidR="007A4D15" w:rsidRPr="00D42ABD">
        <w:rPr>
          <w:rFonts w:asciiTheme="minorHAnsi" w:hAnsiTheme="minorHAnsi"/>
          <w:bCs/>
        </w:rPr>
        <w:t>which</w:t>
      </w:r>
      <w:r w:rsidR="009D6192" w:rsidRPr="00D42ABD">
        <w:rPr>
          <w:rFonts w:asciiTheme="minorHAnsi" w:hAnsiTheme="minorHAnsi"/>
          <w:bCs/>
        </w:rPr>
        <w:t xml:space="preserve"> the</w:t>
      </w:r>
      <w:r w:rsidR="007A4D15" w:rsidRPr="00D42ABD">
        <w:rPr>
          <w:rFonts w:asciiTheme="minorHAnsi" w:hAnsiTheme="minorHAnsi"/>
          <w:bCs/>
        </w:rPr>
        <w:t xml:space="preserve"> </w:t>
      </w:r>
      <w:r w:rsidR="00185375" w:rsidRPr="00D42ABD">
        <w:rPr>
          <w:rFonts w:asciiTheme="minorHAnsi" w:hAnsiTheme="minorHAnsi"/>
          <w:bCs/>
        </w:rPr>
        <w:t>PBAC reiterated</w:t>
      </w:r>
      <w:r w:rsidR="007A4D15" w:rsidRPr="00D42ABD">
        <w:rPr>
          <w:rFonts w:asciiTheme="minorHAnsi" w:hAnsiTheme="minorHAnsi"/>
          <w:bCs/>
        </w:rPr>
        <w:t xml:space="preserve"> was susceptible to bias</w:t>
      </w:r>
      <w:r w:rsidR="00E9428D" w:rsidRPr="00D42ABD">
        <w:rPr>
          <w:rFonts w:asciiTheme="minorHAnsi" w:hAnsiTheme="minorHAnsi"/>
          <w:bCs/>
        </w:rPr>
        <w:t xml:space="preserve"> due to its unblinded, single arm design</w:t>
      </w:r>
      <w:r w:rsidR="007A4D15" w:rsidRPr="00D42ABD">
        <w:rPr>
          <w:rFonts w:asciiTheme="minorHAnsi" w:hAnsiTheme="minorHAnsi"/>
          <w:bCs/>
        </w:rPr>
        <w:t xml:space="preserve">. </w:t>
      </w:r>
      <w:r w:rsidR="00983001" w:rsidRPr="009853DC">
        <w:rPr>
          <w:rFonts w:asciiTheme="minorHAnsi" w:hAnsiTheme="minorHAnsi"/>
          <w:bCs/>
        </w:rPr>
        <w:t>The PBAC considered that concerns regarding risk of bias were further increased by discrepancies in the resubmission</w:t>
      </w:r>
      <w:r w:rsidR="00B80FE2">
        <w:rPr>
          <w:rFonts w:asciiTheme="minorHAnsi" w:hAnsiTheme="minorHAnsi"/>
          <w:bCs/>
        </w:rPr>
        <w:t>’</w:t>
      </w:r>
      <w:r w:rsidR="00983001" w:rsidRPr="009853DC">
        <w:rPr>
          <w:rFonts w:asciiTheme="minorHAnsi" w:hAnsiTheme="minorHAnsi"/>
          <w:bCs/>
        </w:rPr>
        <w:t>s presentation of re-treatment rates from the CARE-MS extension study</w:t>
      </w:r>
      <w:r w:rsidR="009853DC">
        <w:rPr>
          <w:rFonts w:asciiTheme="minorHAnsi" w:hAnsiTheme="minorHAnsi"/>
          <w:bCs/>
        </w:rPr>
        <w:t>.</w:t>
      </w:r>
    </w:p>
    <w:p w:rsidR="004A10BC" w:rsidRPr="004A10BC" w:rsidRDefault="000478B6" w:rsidP="00D42ABD">
      <w:pPr>
        <w:numPr>
          <w:ilvl w:val="1"/>
          <w:numId w:val="1"/>
        </w:numPr>
        <w:spacing w:after="120"/>
        <w:rPr>
          <w:rFonts w:asciiTheme="minorHAnsi" w:hAnsiTheme="minorHAnsi"/>
          <w:bCs/>
        </w:rPr>
      </w:pPr>
      <w:r>
        <w:t xml:space="preserve">The PBAC noted that the resubmission claimed a sustained benefit to up to six years based </w:t>
      </w:r>
      <w:r w:rsidRPr="000478B6">
        <w:t xml:space="preserve">on the assumption that </w:t>
      </w:r>
      <w:r w:rsidR="000F75D8" w:rsidRPr="000478B6">
        <w:t xml:space="preserve">between 0-2 years and 0-6 years </w:t>
      </w:r>
      <w:r w:rsidRPr="000478B6">
        <w:t xml:space="preserve">there was a similar average annualised relapse rate </w:t>
      </w:r>
      <w:r w:rsidR="00963275">
        <w:t xml:space="preserve">and similar annual rates of developing </w:t>
      </w:r>
      <w:r w:rsidR="00963275" w:rsidRPr="00DE0340">
        <w:rPr>
          <w:rFonts w:cs="Calibri"/>
          <w:snapToGrid/>
          <w:szCs w:val="24"/>
          <w:lang w:val="en-US" w:eastAsia="en-AU"/>
        </w:rPr>
        <w:t>sustained accumulated disability</w:t>
      </w:r>
      <w:r w:rsidRPr="000478B6">
        <w:t xml:space="preserve">. </w:t>
      </w:r>
      <w:r w:rsidR="00064CA6">
        <w:t xml:space="preserve">The PBAC noted a decrease in the point estimates for sustained accumulated disability over time </w:t>
      </w:r>
      <w:r w:rsidR="004A10BC">
        <w:t>(</w:t>
      </w:r>
      <w:r w:rsidR="009D295A">
        <w:rPr>
          <w:noProof/>
          <w:color w:val="000000"/>
          <w:highlight w:val="black"/>
        </w:rPr>
        <w:t>''''''''</w:t>
      </w:r>
      <w:r w:rsidR="004A10BC" w:rsidRPr="003722E9">
        <w:t>%/</w:t>
      </w:r>
      <w:r w:rsidR="009D295A">
        <w:rPr>
          <w:noProof/>
          <w:color w:val="000000"/>
          <w:highlight w:val="black"/>
        </w:rPr>
        <w:t>'''''''''</w:t>
      </w:r>
      <w:r w:rsidR="004A10BC" w:rsidRPr="003722E9">
        <w:t xml:space="preserve">% at </w:t>
      </w:r>
      <w:r w:rsidR="00291022" w:rsidRPr="003722E9">
        <w:t xml:space="preserve">Year 2, </w:t>
      </w:r>
      <w:r w:rsidR="009D295A">
        <w:rPr>
          <w:noProof/>
          <w:color w:val="000000"/>
          <w:highlight w:val="black"/>
        </w:rPr>
        <w:t>'''''''''</w:t>
      </w:r>
      <w:r w:rsidR="00291022" w:rsidRPr="003722E9">
        <w:t xml:space="preserve">% at Year 4 and </w:t>
      </w:r>
      <w:r w:rsidR="009D295A">
        <w:rPr>
          <w:noProof/>
          <w:color w:val="000000"/>
          <w:highlight w:val="black"/>
        </w:rPr>
        <w:t>''''''''</w:t>
      </w:r>
      <w:r w:rsidR="004A10BC" w:rsidRPr="003722E9">
        <w:t xml:space="preserve">% at Year 6) </w:t>
      </w:r>
      <w:r w:rsidR="00064CA6" w:rsidRPr="003722E9">
        <w:t xml:space="preserve">and considered </w:t>
      </w:r>
      <w:r w:rsidR="00864205" w:rsidRPr="003722E9">
        <w:t xml:space="preserve">that </w:t>
      </w:r>
      <w:r w:rsidR="00064CA6" w:rsidRPr="003722E9">
        <w:t>this indicated</w:t>
      </w:r>
      <w:r w:rsidR="00064CA6">
        <w:t xml:space="preserve"> that fewer patients benefit from treatment with alemtuzumab </w:t>
      </w:r>
      <w:r w:rsidR="00B80FE2">
        <w:t>over time</w:t>
      </w:r>
      <w:r w:rsidR="00064CA6">
        <w:t xml:space="preserve">. </w:t>
      </w:r>
    </w:p>
    <w:p w:rsidR="00662D88" w:rsidRDefault="004A10BC" w:rsidP="009427E0">
      <w:pPr>
        <w:numPr>
          <w:ilvl w:val="1"/>
          <w:numId w:val="1"/>
        </w:numPr>
        <w:spacing w:after="120"/>
      </w:pPr>
      <w:r>
        <w:t>The P</w:t>
      </w:r>
      <w:r w:rsidR="00864205">
        <w:t>BAC reaffirmed</w:t>
      </w:r>
      <w:r>
        <w:t xml:space="preserve"> that it considered </w:t>
      </w:r>
      <w:r w:rsidR="006C1260">
        <w:t xml:space="preserve">that </w:t>
      </w:r>
      <w:r w:rsidR="000478B6" w:rsidRPr="000478B6">
        <w:t>the proportion of pat</w:t>
      </w:r>
      <w:r w:rsidR="00864205">
        <w:t>ients remaining relapse-free</w:t>
      </w:r>
      <w:r w:rsidR="000478B6" w:rsidRPr="000478B6">
        <w:t xml:space="preserve"> </w:t>
      </w:r>
      <w:r w:rsidR="00983001">
        <w:t xml:space="preserve">would </w:t>
      </w:r>
      <w:r w:rsidR="000478B6" w:rsidRPr="000478B6">
        <w:t>provide a more informative basis for assessing durability of effe</w:t>
      </w:r>
      <w:r w:rsidR="006C1260">
        <w:t>ct</w:t>
      </w:r>
      <w:r w:rsidR="000478B6" w:rsidRPr="000478B6">
        <w:t>. The proportion of patients remaining free of accumulated disability (or free of relapse) in CARE-MS extension decreased over time (</w:t>
      </w:r>
      <w:r w:rsidR="000478B6" w:rsidRPr="003722E9">
        <w:t xml:space="preserve">77.6%/65.4% at Year 2, </w:t>
      </w:r>
      <w:r w:rsidR="009D295A">
        <w:rPr>
          <w:noProof/>
          <w:color w:val="000000"/>
          <w:highlight w:val="black"/>
        </w:rPr>
        <w:t>''''''''</w:t>
      </w:r>
      <w:r w:rsidR="000478B6" w:rsidRPr="003722E9">
        <w:t>%</w:t>
      </w:r>
      <w:r w:rsidR="00864205" w:rsidRPr="003722E9">
        <w:t xml:space="preserve"> at Year 4 and </w:t>
      </w:r>
      <w:r w:rsidR="009D295A">
        <w:rPr>
          <w:noProof/>
          <w:color w:val="000000"/>
          <w:highlight w:val="black"/>
        </w:rPr>
        <w:t>''''''''</w:t>
      </w:r>
      <w:r w:rsidR="00864205" w:rsidRPr="003722E9">
        <w:t xml:space="preserve">% at Year 6). The </w:t>
      </w:r>
      <w:r w:rsidR="000478B6" w:rsidRPr="003722E9">
        <w:t xml:space="preserve">PBAC considered </w:t>
      </w:r>
      <w:r w:rsidR="00864205" w:rsidRPr="003722E9">
        <w:t xml:space="preserve">that this </w:t>
      </w:r>
      <w:r w:rsidR="000478B6" w:rsidRPr="003722E9">
        <w:t>was inconsistent</w:t>
      </w:r>
      <w:r w:rsidR="000478B6" w:rsidRPr="000478B6">
        <w:t xml:space="preserve"> with a claim of sustained benefit</w:t>
      </w:r>
      <w:r w:rsidR="000478B6">
        <w:t xml:space="preserve">. </w:t>
      </w:r>
      <w:r w:rsidR="00307BC1">
        <w:t>Similarly</w:t>
      </w:r>
      <w:r w:rsidR="0026659A">
        <w:t xml:space="preserve">, the PBAC agreed with the ESC that the proportion of patients requiring at least one additional course of alemtuzumab or an alternative DMT </w:t>
      </w:r>
      <w:r w:rsidR="0026659A" w:rsidRPr="003722E9">
        <w:t xml:space="preserve">at </w:t>
      </w:r>
      <w:r w:rsidR="009D295A">
        <w:rPr>
          <w:noProof/>
          <w:color w:val="000000"/>
          <w:highlight w:val="black"/>
        </w:rPr>
        <w:t>''''''''</w:t>
      </w:r>
      <w:r w:rsidR="00864205" w:rsidRPr="003722E9">
        <w:t>%</w:t>
      </w:r>
      <w:r w:rsidR="00864205">
        <w:t xml:space="preserve"> </w:t>
      </w:r>
      <w:r w:rsidR="0026659A">
        <w:t xml:space="preserve">was considerable and inconsistent with the resubmission’s </w:t>
      </w:r>
      <w:r w:rsidR="00307BC1">
        <w:t>claim of sustained benefit</w:t>
      </w:r>
      <w:r w:rsidR="0026659A">
        <w:t xml:space="preserve">. </w:t>
      </w:r>
    </w:p>
    <w:p w:rsidR="00662D88" w:rsidRDefault="00662D88">
      <w:pPr>
        <w:widowControl/>
        <w:jc w:val="left"/>
      </w:pPr>
      <w:r>
        <w:br w:type="page"/>
      </w:r>
    </w:p>
    <w:p w:rsidR="0089475C" w:rsidRDefault="0089475C" w:rsidP="0089475C">
      <w:pPr>
        <w:numPr>
          <w:ilvl w:val="1"/>
          <w:numId w:val="1"/>
        </w:numPr>
        <w:spacing w:after="120"/>
        <w:rPr>
          <w:rFonts w:asciiTheme="minorHAnsi" w:hAnsiTheme="minorHAnsi"/>
          <w:bCs/>
        </w:rPr>
      </w:pPr>
      <w:r>
        <w:rPr>
          <w:rFonts w:asciiTheme="minorHAnsi" w:hAnsiTheme="minorHAnsi"/>
          <w:bCs/>
        </w:rPr>
        <w:lastRenderedPageBreak/>
        <w:t xml:space="preserve">The PBAC agreed with the resubmission’s claim that no new safety signals were evident for treatment with alemtuzumab. The PBAC also noted the ongoing sponsor-funded Lemtrada safety monitoring program. </w:t>
      </w:r>
    </w:p>
    <w:p w:rsidR="00800D20" w:rsidRPr="0044004B" w:rsidRDefault="00D6344E" w:rsidP="0044004B">
      <w:pPr>
        <w:numPr>
          <w:ilvl w:val="1"/>
          <w:numId w:val="1"/>
        </w:numPr>
        <w:spacing w:after="120"/>
        <w:rPr>
          <w:rFonts w:asciiTheme="minorHAnsi" w:hAnsiTheme="minorHAnsi"/>
          <w:bCs/>
        </w:rPr>
      </w:pPr>
      <w:r>
        <w:rPr>
          <w:rFonts w:asciiTheme="minorHAnsi" w:hAnsiTheme="minorHAnsi"/>
          <w:bCs/>
        </w:rPr>
        <w:t xml:space="preserve">The PBAC noted that no comparative claims of efficacy or safety compared to fingolimod or natalizumab (or ocrelizumab or cladribine) were made in the resubmission. The PBAC concluded that the clinical evidence presented in the resubmission </w:t>
      </w:r>
      <w:r w:rsidR="0031794D">
        <w:rPr>
          <w:rFonts w:asciiTheme="minorHAnsi" w:hAnsiTheme="minorHAnsi"/>
          <w:bCs/>
        </w:rPr>
        <w:t>was insufficient to support the claimed extended clinical benefit of alemtuzumab to six years</w:t>
      </w:r>
      <w:r w:rsidR="00242A91">
        <w:t xml:space="preserve">. </w:t>
      </w:r>
    </w:p>
    <w:p w:rsidR="002C6DF0" w:rsidRDefault="0044004B" w:rsidP="002C6DF0">
      <w:pPr>
        <w:numPr>
          <w:ilvl w:val="1"/>
          <w:numId w:val="1"/>
        </w:numPr>
        <w:spacing w:after="120"/>
        <w:rPr>
          <w:rFonts w:asciiTheme="minorHAnsi" w:hAnsiTheme="minorHAnsi"/>
          <w:bCs/>
        </w:rPr>
      </w:pPr>
      <w:r>
        <w:rPr>
          <w:rFonts w:asciiTheme="minorHAnsi" w:hAnsiTheme="minorHAnsi"/>
          <w:bCs/>
        </w:rPr>
        <w:t>The PBAC noted that t</w:t>
      </w:r>
      <w:r w:rsidRPr="0044004B">
        <w:rPr>
          <w:rFonts w:asciiTheme="minorHAnsi" w:hAnsiTheme="minorHAnsi"/>
          <w:bCs/>
        </w:rPr>
        <w:t xml:space="preserve">o support the requested price increase, the resubmission presented a cost-analysis comparing </w:t>
      </w:r>
      <w:r w:rsidR="009D295A">
        <w:rPr>
          <w:rFonts w:asciiTheme="minorHAnsi" w:hAnsiTheme="minorHAnsi"/>
          <w:bCs/>
          <w:noProof/>
          <w:color w:val="000000"/>
          <w:highlight w:val="black"/>
        </w:rPr>
        <w:t>'''''''</w:t>
      </w:r>
      <w:r w:rsidRPr="003722E9">
        <w:rPr>
          <w:rFonts w:asciiTheme="minorHAnsi" w:hAnsiTheme="minorHAnsi"/>
          <w:bCs/>
        </w:rPr>
        <w:t xml:space="preserve"> vials of alemtuzumab over </w:t>
      </w:r>
      <w:r w:rsidR="009D295A">
        <w:rPr>
          <w:rFonts w:asciiTheme="minorHAnsi" w:hAnsiTheme="minorHAnsi"/>
          <w:bCs/>
          <w:noProof/>
          <w:color w:val="000000"/>
          <w:highlight w:val="black"/>
        </w:rPr>
        <w:t>''''''</w:t>
      </w:r>
      <w:r w:rsidRPr="003722E9">
        <w:rPr>
          <w:rFonts w:asciiTheme="minorHAnsi" w:hAnsiTheme="minorHAnsi"/>
          <w:bCs/>
        </w:rPr>
        <w:t xml:space="preserve"> years</w:t>
      </w:r>
      <w:r w:rsidRPr="0044004B">
        <w:rPr>
          <w:rFonts w:asciiTheme="minorHAnsi" w:hAnsiTheme="minorHAnsi"/>
          <w:bCs/>
        </w:rPr>
        <w:t xml:space="preserve"> and 8 vials over 2 years. </w:t>
      </w:r>
      <w:r w:rsidRPr="00800D20">
        <w:rPr>
          <w:rFonts w:asciiTheme="minorHAnsi" w:hAnsiTheme="minorHAnsi"/>
          <w:bCs/>
        </w:rPr>
        <w:t xml:space="preserve">The </w:t>
      </w:r>
      <w:r>
        <w:rPr>
          <w:rFonts w:asciiTheme="minorHAnsi" w:hAnsiTheme="minorHAnsi"/>
          <w:bCs/>
        </w:rPr>
        <w:t xml:space="preserve">PBAC considered that the </w:t>
      </w:r>
      <w:r w:rsidRPr="00800D20">
        <w:rPr>
          <w:rFonts w:asciiTheme="minorHAnsi" w:hAnsiTheme="minorHAnsi"/>
          <w:bCs/>
        </w:rPr>
        <w:t>resub</w:t>
      </w:r>
      <w:r>
        <w:rPr>
          <w:rFonts w:asciiTheme="minorHAnsi" w:hAnsiTheme="minorHAnsi"/>
          <w:bCs/>
        </w:rPr>
        <w:t>mission’s nominated comparator wa</w:t>
      </w:r>
      <w:r w:rsidRPr="00800D20">
        <w:rPr>
          <w:rFonts w:asciiTheme="minorHAnsi" w:hAnsiTheme="minorHAnsi"/>
          <w:bCs/>
        </w:rPr>
        <w:t>s inappropriate, thereby invalidating the presented cost comparison.</w:t>
      </w:r>
      <w:r>
        <w:rPr>
          <w:rFonts w:asciiTheme="minorHAnsi" w:hAnsiTheme="minorHAnsi"/>
          <w:bCs/>
        </w:rPr>
        <w:t xml:space="preserve"> In addition, the PBAC noted that a key assumption of the</w:t>
      </w:r>
      <w:r w:rsidRPr="0044004B">
        <w:rPr>
          <w:rFonts w:asciiTheme="minorHAnsi" w:hAnsiTheme="minorHAnsi"/>
          <w:bCs/>
        </w:rPr>
        <w:t xml:space="preserve"> analysis </w:t>
      </w:r>
      <w:r>
        <w:rPr>
          <w:rFonts w:asciiTheme="minorHAnsi" w:hAnsiTheme="minorHAnsi"/>
          <w:bCs/>
        </w:rPr>
        <w:t xml:space="preserve">presented </w:t>
      </w:r>
      <w:r w:rsidRPr="0044004B">
        <w:rPr>
          <w:rFonts w:asciiTheme="minorHAnsi" w:hAnsiTheme="minorHAnsi"/>
          <w:bCs/>
        </w:rPr>
        <w:t>was that the same level of benefit is maintained in nearly all patients over six years</w:t>
      </w:r>
      <w:r w:rsidR="00ED30CE">
        <w:rPr>
          <w:rFonts w:asciiTheme="minorHAnsi" w:hAnsiTheme="minorHAnsi"/>
          <w:bCs/>
        </w:rPr>
        <w:t xml:space="preserve">. The PBAC </w:t>
      </w:r>
      <w:r w:rsidR="0031794D">
        <w:rPr>
          <w:rFonts w:asciiTheme="minorHAnsi" w:hAnsiTheme="minorHAnsi"/>
          <w:bCs/>
        </w:rPr>
        <w:t>considered</w:t>
      </w:r>
      <w:r w:rsidR="00ED30CE">
        <w:rPr>
          <w:rFonts w:asciiTheme="minorHAnsi" w:hAnsiTheme="minorHAnsi"/>
          <w:bCs/>
        </w:rPr>
        <w:t xml:space="preserve"> that this assumption</w:t>
      </w:r>
      <w:r w:rsidR="0031794D">
        <w:rPr>
          <w:rFonts w:asciiTheme="minorHAnsi" w:hAnsiTheme="minorHAnsi"/>
          <w:bCs/>
        </w:rPr>
        <w:t xml:space="preserve"> was not supported by the clinical evidence presented in </w:t>
      </w:r>
      <w:r w:rsidR="002C6DF0">
        <w:rPr>
          <w:rFonts w:asciiTheme="minorHAnsi" w:hAnsiTheme="minorHAnsi"/>
          <w:bCs/>
        </w:rPr>
        <w:t>the resubmission.</w:t>
      </w:r>
    </w:p>
    <w:p w:rsidR="0044004B" w:rsidRPr="0031794D" w:rsidRDefault="0031794D" w:rsidP="0031794D">
      <w:pPr>
        <w:pStyle w:val="ListParagraph"/>
        <w:widowControl/>
        <w:numPr>
          <w:ilvl w:val="1"/>
          <w:numId w:val="1"/>
        </w:numPr>
        <w:rPr>
          <w:color w:val="000000" w:themeColor="text1"/>
        </w:rPr>
      </w:pPr>
      <w:r>
        <w:rPr>
          <w:rFonts w:asciiTheme="minorHAnsi" w:hAnsiTheme="minorHAnsi"/>
          <w:bCs/>
        </w:rPr>
        <w:t>T</w:t>
      </w:r>
      <w:r w:rsidR="0044004B" w:rsidRPr="002C6DF0">
        <w:rPr>
          <w:rFonts w:asciiTheme="minorHAnsi" w:hAnsiTheme="minorHAnsi"/>
          <w:bCs/>
        </w:rPr>
        <w:t xml:space="preserve">he </w:t>
      </w:r>
      <w:r w:rsidR="002C6DF0">
        <w:rPr>
          <w:rFonts w:asciiTheme="minorHAnsi" w:hAnsiTheme="minorHAnsi"/>
          <w:bCs/>
        </w:rPr>
        <w:t xml:space="preserve">PBAC agreed with the ESC </w:t>
      </w:r>
      <w:r w:rsidR="0044004B" w:rsidRPr="002C6DF0">
        <w:rPr>
          <w:rFonts w:asciiTheme="minorHAnsi" w:hAnsiTheme="minorHAnsi"/>
          <w:bCs/>
        </w:rPr>
        <w:t xml:space="preserve">that in the absence of comparative evidence of efficacy and safety of alemtuzumab against alternative DMTs, the cost analysis presented </w:t>
      </w:r>
      <w:r>
        <w:rPr>
          <w:rFonts w:asciiTheme="minorHAnsi" w:hAnsiTheme="minorHAnsi"/>
          <w:bCs/>
        </w:rPr>
        <w:t>was</w:t>
      </w:r>
      <w:r w:rsidR="0044004B" w:rsidRPr="002C6DF0">
        <w:rPr>
          <w:rFonts w:asciiTheme="minorHAnsi" w:hAnsiTheme="minorHAnsi"/>
          <w:bCs/>
        </w:rPr>
        <w:t xml:space="preserve"> inappropriate to value the durability of alemtuz</w:t>
      </w:r>
      <w:r w:rsidR="002C6DF0">
        <w:rPr>
          <w:rFonts w:asciiTheme="minorHAnsi" w:hAnsiTheme="minorHAnsi"/>
          <w:bCs/>
        </w:rPr>
        <w:t xml:space="preserve">umab treatment. </w:t>
      </w:r>
      <w:r>
        <w:rPr>
          <w:rFonts w:asciiTheme="minorHAnsi" w:hAnsiTheme="minorHAnsi"/>
          <w:bCs/>
        </w:rPr>
        <w:t xml:space="preserve">In addition, the PBAC considered that the supplementary cost-minimisation </w:t>
      </w:r>
      <w:r w:rsidRPr="00057575">
        <w:rPr>
          <w:color w:val="000000" w:themeColor="text1"/>
        </w:rPr>
        <w:t>analysis of alemtuzumab versus fingolimod and natalizumab</w:t>
      </w:r>
      <w:r>
        <w:rPr>
          <w:rFonts w:asciiTheme="minorHAnsi" w:hAnsiTheme="minorHAnsi"/>
          <w:bCs/>
        </w:rPr>
        <w:t xml:space="preserve"> provided in the PSCR </w:t>
      </w:r>
      <w:r>
        <w:rPr>
          <w:color w:val="000000" w:themeColor="text1"/>
        </w:rPr>
        <w:t xml:space="preserve">was not informative as non-inferiority against </w:t>
      </w:r>
      <w:r w:rsidRPr="0031794D">
        <w:rPr>
          <w:color w:val="000000" w:themeColor="text1"/>
        </w:rPr>
        <w:t xml:space="preserve">alternative DMTs over 6 years </w:t>
      </w:r>
      <w:r>
        <w:rPr>
          <w:color w:val="000000" w:themeColor="text1"/>
        </w:rPr>
        <w:t>was not</w:t>
      </w:r>
      <w:r w:rsidR="00652AFF">
        <w:rPr>
          <w:color w:val="000000" w:themeColor="text1"/>
        </w:rPr>
        <w:t xml:space="preserve"> established</w:t>
      </w:r>
      <w:r w:rsidR="00ED30CE">
        <w:rPr>
          <w:color w:val="000000" w:themeColor="text1"/>
        </w:rPr>
        <w:t xml:space="preserve"> in the resubmission</w:t>
      </w:r>
      <w:r>
        <w:rPr>
          <w:color w:val="000000" w:themeColor="text1"/>
        </w:rPr>
        <w:t xml:space="preserve">. </w:t>
      </w:r>
      <w:r w:rsidR="00652AFF">
        <w:rPr>
          <w:rFonts w:asciiTheme="minorHAnsi" w:hAnsiTheme="minorHAnsi"/>
          <w:bCs/>
        </w:rPr>
        <w:t>T</w:t>
      </w:r>
      <w:r w:rsidR="002C6DF0" w:rsidRPr="0031794D">
        <w:rPr>
          <w:rFonts w:asciiTheme="minorHAnsi" w:hAnsiTheme="minorHAnsi"/>
          <w:bCs/>
        </w:rPr>
        <w:t>he PBAC</w:t>
      </w:r>
      <w:r w:rsidR="0044004B" w:rsidRPr="0031794D">
        <w:rPr>
          <w:rFonts w:asciiTheme="minorHAnsi" w:hAnsiTheme="minorHAnsi"/>
          <w:bCs/>
        </w:rPr>
        <w:t xml:space="preserve"> con</w:t>
      </w:r>
      <w:r w:rsidR="00652AFF">
        <w:rPr>
          <w:rFonts w:asciiTheme="minorHAnsi" w:hAnsiTheme="minorHAnsi"/>
          <w:bCs/>
        </w:rPr>
        <w:t>cluded that</w:t>
      </w:r>
      <w:r w:rsidR="0044004B" w:rsidRPr="0031794D">
        <w:rPr>
          <w:rFonts w:asciiTheme="minorHAnsi" w:hAnsiTheme="minorHAnsi"/>
          <w:bCs/>
        </w:rPr>
        <w:t xml:space="preserve"> there was insufficient justification for the requested increase in the price of alemtuzumab. </w:t>
      </w:r>
    </w:p>
    <w:p w:rsidR="004D3F8E" w:rsidRDefault="008A5FC0" w:rsidP="00070E66">
      <w:pPr>
        <w:numPr>
          <w:ilvl w:val="1"/>
          <w:numId w:val="1"/>
        </w:numPr>
        <w:spacing w:after="120"/>
        <w:rPr>
          <w:rFonts w:asciiTheme="minorHAnsi" w:hAnsiTheme="minorHAnsi"/>
          <w:bCs/>
        </w:rPr>
      </w:pPr>
      <w:r>
        <w:rPr>
          <w:rFonts w:asciiTheme="minorHAnsi" w:hAnsiTheme="minorHAnsi"/>
          <w:bCs/>
        </w:rPr>
        <w:t xml:space="preserve">The PBAC considered the financial estimates uncertain due to concerns regarding potential underestimation of re-treatment rates, the approach taken to calculation of market growth and </w:t>
      </w:r>
      <w:r w:rsidR="008E3684">
        <w:rPr>
          <w:rFonts w:asciiTheme="minorHAnsi" w:hAnsiTheme="minorHAnsi"/>
          <w:bCs/>
        </w:rPr>
        <w:t xml:space="preserve">the differences evident between the current (sponsor-subsidised) and </w:t>
      </w:r>
      <w:r w:rsidR="002356D1">
        <w:rPr>
          <w:rFonts w:asciiTheme="minorHAnsi" w:hAnsiTheme="minorHAnsi"/>
          <w:bCs/>
        </w:rPr>
        <w:t xml:space="preserve">the </w:t>
      </w:r>
      <w:r w:rsidR="008E3684">
        <w:rPr>
          <w:rFonts w:asciiTheme="minorHAnsi" w:hAnsiTheme="minorHAnsi"/>
          <w:bCs/>
        </w:rPr>
        <w:t>proposed number of patients requiring a third course of alemtuz</w:t>
      </w:r>
      <w:r w:rsidR="00AF3A1D">
        <w:rPr>
          <w:rFonts w:asciiTheme="minorHAnsi" w:hAnsiTheme="minorHAnsi"/>
          <w:bCs/>
        </w:rPr>
        <w:t>u</w:t>
      </w:r>
      <w:r w:rsidR="008E3684">
        <w:rPr>
          <w:rFonts w:asciiTheme="minorHAnsi" w:hAnsiTheme="minorHAnsi"/>
          <w:bCs/>
        </w:rPr>
        <w:t>mab</w:t>
      </w:r>
      <w:r>
        <w:rPr>
          <w:rFonts w:asciiTheme="minorHAnsi" w:hAnsiTheme="minorHAnsi"/>
          <w:bCs/>
        </w:rPr>
        <w:t>.</w:t>
      </w:r>
    </w:p>
    <w:p w:rsidR="008E3684" w:rsidRDefault="008E3684" w:rsidP="00070E66">
      <w:pPr>
        <w:numPr>
          <w:ilvl w:val="1"/>
          <w:numId w:val="1"/>
        </w:numPr>
        <w:spacing w:after="120"/>
        <w:rPr>
          <w:rFonts w:asciiTheme="minorHAnsi" w:hAnsiTheme="minorHAnsi"/>
          <w:bCs/>
        </w:rPr>
      </w:pPr>
      <w:r>
        <w:rPr>
          <w:rFonts w:asciiTheme="minorHAnsi" w:hAnsiTheme="minorHAnsi"/>
          <w:bCs/>
        </w:rPr>
        <w:t xml:space="preserve">The PBAC did not recommend any changes to the listing recommended at the July 2014 meeting. </w:t>
      </w:r>
    </w:p>
    <w:p w:rsidR="008E3684" w:rsidRPr="001B7053" w:rsidRDefault="008E3684" w:rsidP="008E3684">
      <w:pPr>
        <w:numPr>
          <w:ilvl w:val="1"/>
          <w:numId w:val="1"/>
        </w:numPr>
        <w:spacing w:after="120"/>
        <w:rPr>
          <w:rFonts w:asciiTheme="minorHAnsi" w:hAnsiTheme="minorHAnsi"/>
          <w:bCs/>
        </w:rPr>
      </w:pPr>
      <w:r>
        <w:rPr>
          <w:rFonts w:asciiTheme="minorHAnsi" w:hAnsiTheme="minorHAnsi"/>
          <w:bCs/>
        </w:rPr>
        <w:t xml:space="preserve">The PBAC noted that this </w:t>
      </w:r>
      <w:r w:rsidR="005D2F03">
        <w:rPr>
          <w:rFonts w:asciiTheme="minorHAnsi" w:hAnsiTheme="minorHAnsi"/>
          <w:bCs/>
        </w:rPr>
        <w:t>re</w:t>
      </w:r>
      <w:r>
        <w:rPr>
          <w:rFonts w:asciiTheme="minorHAnsi" w:hAnsiTheme="minorHAnsi"/>
          <w:bCs/>
        </w:rPr>
        <w:t>submission is not eligible for an Independent Review</w:t>
      </w:r>
      <w:r w:rsidR="00810FA9">
        <w:rPr>
          <w:rFonts w:asciiTheme="minorHAnsi" w:hAnsiTheme="minorHAnsi"/>
          <w:bCs/>
        </w:rPr>
        <w:t xml:space="preserve"> </w:t>
      </w:r>
      <w:r w:rsidR="00810FA9" w:rsidRPr="0044645A">
        <w:rPr>
          <w:rFonts w:asciiTheme="minorHAnsi" w:hAnsiTheme="minorHAnsi"/>
          <w:color w:val="000000" w:themeColor="text1"/>
          <w:szCs w:val="24"/>
        </w:rPr>
        <w:t>as</w:t>
      </w:r>
      <w:r w:rsidR="00810FA9">
        <w:rPr>
          <w:rFonts w:asciiTheme="minorHAnsi" w:hAnsiTheme="minorHAnsi"/>
          <w:color w:val="000000" w:themeColor="text1"/>
          <w:szCs w:val="24"/>
        </w:rPr>
        <w:t xml:space="preserve"> the </w:t>
      </w:r>
      <w:r w:rsidR="00810FA9" w:rsidRPr="0044645A">
        <w:rPr>
          <w:rFonts w:asciiTheme="minorHAnsi" w:hAnsiTheme="minorHAnsi"/>
          <w:color w:val="000000" w:themeColor="text1"/>
          <w:szCs w:val="24"/>
        </w:rPr>
        <w:t xml:space="preserve">requested listing is for the same condition for which </w:t>
      </w:r>
      <w:r w:rsidR="00810FA9">
        <w:rPr>
          <w:rFonts w:asciiTheme="minorHAnsi" w:hAnsiTheme="minorHAnsi"/>
          <w:color w:val="000000" w:themeColor="text1"/>
          <w:szCs w:val="24"/>
        </w:rPr>
        <w:t>alemtuzumab</w:t>
      </w:r>
      <w:r w:rsidR="00810FA9" w:rsidRPr="0044645A">
        <w:rPr>
          <w:rFonts w:asciiTheme="minorHAnsi" w:hAnsiTheme="minorHAnsi"/>
          <w:color w:val="000000" w:themeColor="text1"/>
          <w:szCs w:val="24"/>
        </w:rPr>
        <w:t xml:space="preserve"> is currently subsidised.</w:t>
      </w:r>
    </w:p>
    <w:p w:rsidR="00220D8F" w:rsidRPr="003E46FF" w:rsidRDefault="00220D8F" w:rsidP="00220D8F">
      <w:pPr>
        <w:spacing w:before="240"/>
        <w:rPr>
          <w:rFonts w:asciiTheme="minorHAnsi" w:hAnsiTheme="minorHAnsi"/>
          <w:b/>
          <w:bCs/>
        </w:rPr>
      </w:pPr>
      <w:r w:rsidRPr="003E46FF">
        <w:rPr>
          <w:rFonts w:asciiTheme="minorHAnsi" w:hAnsiTheme="minorHAnsi"/>
          <w:b/>
          <w:bCs/>
        </w:rPr>
        <w:t>Outcome:</w:t>
      </w:r>
    </w:p>
    <w:p w:rsidR="00CA1D1B" w:rsidRDefault="00220D8F" w:rsidP="00220D8F">
      <w:pPr>
        <w:rPr>
          <w:rFonts w:asciiTheme="minorHAnsi" w:hAnsiTheme="minorHAnsi"/>
          <w:bCs/>
        </w:rPr>
      </w:pPr>
      <w:r w:rsidRPr="003E46FF">
        <w:rPr>
          <w:rFonts w:asciiTheme="minorHAnsi" w:hAnsiTheme="minorHAnsi"/>
          <w:bCs/>
        </w:rPr>
        <w:t xml:space="preserve">Rejected </w:t>
      </w:r>
    </w:p>
    <w:p w:rsidR="00CA1D1B" w:rsidRDefault="00CA1D1B">
      <w:pPr>
        <w:widowControl/>
        <w:jc w:val="left"/>
        <w:rPr>
          <w:rFonts w:asciiTheme="minorHAnsi" w:hAnsiTheme="minorHAnsi"/>
          <w:bCs/>
        </w:rPr>
      </w:pPr>
      <w:r>
        <w:rPr>
          <w:rFonts w:asciiTheme="minorHAnsi" w:hAnsiTheme="minorHAnsi"/>
          <w:bCs/>
        </w:rPr>
        <w:br w:type="page"/>
      </w:r>
    </w:p>
    <w:p w:rsidR="000F73BB" w:rsidRPr="005F6505" w:rsidRDefault="005F6505" w:rsidP="005F6505">
      <w:pPr>
        <w:widowControl/>
        <w:numPr>
          <w:ilvl w:val="0"/>
          <w:numId w:val="1"/>
        </w:numPr>
        <w:spacing w:before="240" w:after="120"/>
        <w:jc w:val="left"/>
        <w:outlineLvl w:val="0"/>
        <w:rPr>
          <w:b/>
          <w:sz w:val="32"/>
        </w:rPr>
      </w:pPr>
      <w:r w:rsidRPr="005F6505">
        <w:rPr>
          <w:b/>
          <w:sz w:val="32"/>
        </w:rPr>
        <w:lastRenderedPageBreak/>
        <w:t>Context for Decision</w:t>
      </w:r>
    </w:p>
    <w:p w:rsidR="005F6505" w:rsidRPr="005F6505" w:rsidRDefault="005F6505" w:rsidP="005F6505">
      <w:pPr>
        <w:spacing w:after="120"/>
        <w:ind w:left="720"/>
        <w:rPr>
          <w:rFonts w:asciiTheme="minorHAnsi" w:eastAsiaTheme="minorHAnsi" w:hAnsiTheme="minorHAnsi"/>
          <w:snapToGrid/>
        </w:rPr>
      </w:pPr>
      <w:r w:rsidRPr="005F6505">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F6505" w:rsidRPr="005F6505" w:rsidRDefault="005F6505" w:rsidP="005F6505">
      <w:pPr>
        <w:widowControl/>
        <w:numPr>
          <w:ilvl w:val="0"/>
          <w:numId w:val="1"/>
        </w:numPr>
        <w:spacing w:before="240" w:after="120"/>
        <w:jc w:val="left"/>
        <w:outlineLvl w:val="0"/>
        <w:rPr>
          <w:b/>
          <w:sz w:val="32"/>
        </w:rPr>
      </w:pPr>
      <w:r w:rsidRPr="005F6505">
        <w:rPr>
          <w:b/>
          <w:sz w:val="32"/>
        </w:rPr>
        <w:t>Sponsor’s Comment</w:t>
      </w:r>
    </w:p>
    <w:p w:rsidR="005F6505" w:rsidRPr="005F6505" w:rsidRDefault="005F6505" w:rsidP="005F6505">
      <w:pPr>
        <w:widowControl/>
        <w:spacing w:after="120" w:line="276" w:lineRule="auto"/>
        <w:ind w:left="720"/>
        <w:rPr>
          <w:rFonts w:asciiTheme="minorHAnsi" w:eastAsiaTheme="minorHAnsi" w:hAnsiTheme="minorHAnsi"/>
          <w:bCs/>
          <w:snapToGrid/>
        </w:rPr>
      </w:pPr>
      <w:r w:rsidRPr="005F6505">
        <w:rPr>
          <w:rFonts w:asciiTheme="minorHAnsi" w:eastAsiaTheme="minorHAnsi" w:hAnsiTheme="minorHAnsi"/>
          <w:bCs/>
          <w:snapToGrid/>
        </w:rPr>
        <w:t>The sponsor had no comment.</w:t>
      </w:r>
    </w:p>
    <w:p w:rsidR="005F6505" w:rsidRPr="00742858" w:rsidRDefault="005F6505" w:rsidP="00220D8F">
      <w:pPr>
        <w:rPr>
          <w:rFonts w:asciiTheme="minorHAnsi" w:hAnsiTheme="minorHAnsi"/>
          <w:b/>
          <w:bCs/>
          <w:highlight w:val="yellow"/>
        </w:rPr>
      </w:pPr>
    </w:p>
    <w:sectPr w:rsidR="005F6505" w:rsidRPr="00742858" w:rsidSect="0064509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40" w:footer="708"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FF2AC1" w16cid:durableId="1F421E6C"/>
  <w16cid:commentId w16cid:paraId="10E789F0" w16cid:durableId="1F421E6D"/>
  <w16cid:commentId w16cid:paraId="7BE87026" w16cid:durableId="1F421E6E"/>
  <w16cid:commentId w16cid:paraId="622CE319" w16cid:durableId="1F42343E"/>
  <w16cid:commentId w16cid:paraId="690C4C6A" w16cid:durableId="1F421E6F"/>
  <w16cid:commentId w16cid:paraId="2E509BD9" w16cid:durableId="1F4208D9"/>
  <w16cid:commentId w16cid:paraId="0D9BA541" w16cid:durableId="1F421E70"/>
  <w16cid:commentId w16cid:paraId="35A3D877" w16cid:durableId="1F421E71"/>
  <w16cid:commentId w16cid:paraId="25F9431A" w16cid:durableId="1F421E72"/>
  <w16cid:commentId w16cid:paraId="51AFC0E4" w16cid:durableId="1F421E73"/>
  <w16cid:commentId w16cid:paraId="147E47ED" w16cid:durableId="1F421E74"/>
  <w16cid:commentId w16cid:paraId="46753405" w16cid:durableId="1F421E75"/>
  <w16cid:commentId w16cid:paraId="04249BF4" w16cid:durableId="1F421E76"/>
  <w16cid:commentId w16cid:paraId="492D3537" w16cid:durableId="1F421E77"/>
  <w16cid:commentId w16cid:paraId="2AE92C75" w16cid:durableId="1F421E78"/>
  <w16cid:commentId w16cid:paraId="489144FC" w16cid:durableId="1F421E79"/>
  <w16cid:commentId w16cid:paraId="7670E095" w16cid:durableId="1F421E7A"/>
  <w16cid:commentId w16cid:paraId="6EA1AC17" w16cid:durableId="1F421E7B"/>
  <w16cid:commentId w16cid:paraId="62273EFC" w16cid:durableId="1F421E7C"/>
  <w16cid:commentId w16cid:paraId="27A471D4" w16cid:durableId="1F421E7D"/>
  <w16cid:commentId w16cid:paraId="301AA84A" w16cid:durableId="1F42252D"/>
  <w16cid:commentId w16cid:paraId="68C870CD" w16cid:durableId="1F4208E5"/>
  <w16cid:commentId w16cid:paraId="694FDF90" w16cid:durableId="1F421E7E"/>
  <w16cid:commentId w16cid:paraId="10737835" w16cid:durableId="1F421E7F"/>
  <w16cid:commentId w16cid:paraId="546857A9" w16cid:durableId="1F421E80"/>
  <w16cid:commentId w16cid:paraId="3E1BA058" w16cid:durableId="1F422592"/>
  <w16cid:commentId w16cid:paraId="6EB36180" w16cid:durableId="1F421E81"/>
  <w16cid:commentId w16cid:paraId="7A660F7B" w16cid:durableId="1F421E82"/>
  <w16cid:commentId w16cid:paraId="2A76F4E1" w16cid:durableId="1F421E83"/>
  <w16cid:commentId w16cid:paraId="4E8372BA" w16cid:durableId="1F421E84"/>
  <w16cid:commentId w16cid:paraId="2023B9A7" w16cid:durableId="1F421E85"/>
  <w16cid:commentId w16cid:paraId="165827A2" w16cid:durableId="1F421E86"/>
  <w16cid:commentId w16cid:paraId="46E6832D" w16cid:durableId="1F421E87"/>
  <w16cid:commentId w16cid:paraId="645F3332" w16cid:durableId="1F421E88"/>
  <w16cid:commentId w16cid:paraId="25520CD9" w16cid:durableId="1F4227F7"/>
  <w16cid:commentId w16cid:paraId="2F707D1E" w16cid:durableId="1F421E89"/>
  <w16cid:commentId w16cid:paraId="26A4CC46" w16cid:durableId="1F421E8A"/>
  <w16cid:commentId w16cid:paraId="0816392D" w16cid:durableId="1F421E8B"/>
  <w16cid:commentId w16cid:paraId="3C1FB51F" w16cid:durableId="1F421E8C"/>
  <w16cid:commentId w16cid:paraId="6B7C8D5B" w16cid:durableId="1F421E8D"/>
  <w16cid:commentId w16cid:paraId="4E879927" w16cid:durableId="1F4237A0"/>
  <w16cid:commentId w16cid:paraId="54580C81" w16cid:durableId="1F421E8E"/>
  <w16cid:commentId w16cid:paraId="0929669C" w16cid:durableId="1F421E8F"/>
  <w16cid:commentId w16cid:paraId="718DB666" w16cid:durableId="1F422B76"/>
  <w16cid:commentId w16cid:paraId="2E52AFBF" w16cid:durableId="1F421E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95A" w:rsidRDefault="009D295A" w:rsidP="00124A51">
      <w:r>
        <w:separator/>
      </w:r>
    </w:p>
    <w:p w:rsidR="009D295A" w:rsidRDefault="009D295A"/>
  </w:endnote>
  <w:endnote w:type="continuationSeparator" w:id="0">
    <w:p w:rsidR="009D295A" w:rsidRDefault="009D295A" w:rsidP="00124A51">
      <w:r>
        <w:continuationSeparator/>
      </w:r>
    </w:p>
    <w:p w:rsidR="009D295A" w:rsidRDefault="009D2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FE" w:rsidRDefault="00271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79814"/>
      <w:docPartObj>
        <w:docPartGallery w:val="Page Numbers (Bottom of Page)"/>
        <w:docPartUnique/>
      </w:docPartObj>
    </w:sdtPr>
    <w:sdtEndPr>
      <w:rPr>
        <w:noProof/>
      </w:rPr>
    </w:sdtEndPr>
    <w:sdtContent>
      <w:p w:rsidR="00271EFE" w:rsidRDefault="00271EFE">
        <w:pPr>
          <w:pStyle w:val="Footer"/>
          <w:jc w:val="center"/>
        </w:pPr>
        <w:r>
          <w:rPr>
            <w:noProof/>
          </w:rPr>
          <w:fldChar w:fldCharType="begin"/>
        </w:r>
        <w:r>
          <w:rPr>
            <w:noProof/>
          </w:rPr>
          <w:instrText xml:space="preserve"> PAGE   \* MERGEFORMAT </w:instrText>
        </w:r>
        <w:r>
          <w:rPr>
            <w:noProof/>
          </w:rPr>
          <w:fldChar w:fldCharType="separate"/>
        </w:r>
        <w:r w:rsidR="00B6641A">
          <w:rPr>
            <w:noProof/>
          </w:rPr>
          <w:t>25</w:t>
        </w:r>
        <w:r>
          <w:rPr>
            <w:noProof/>
          </w:rPr>
          <w:fldChar w:fldCharType="end"/>
        </w:r>
      </w:p>
    </w:sdtContent>
  </w:sdt>
  <w:p w:rsidR="00271EFE" w:rsidRPr="00763D8B" w:rsidRDefault="00271EFE" w:rsidP="00763D8B">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FE" w:rsidRDefault="00271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95A" w:rsidRDefault="009D295A" w:rsidP="00124A51">
      <w:r>
        <w:separator/>
      </w:r>
    </w:p>
    <w:p w:rsidR="009D295A" w:rsidRDefault="009D295A"/>
  </w:footnote>
  <w:footnote w:type="continuationSeparator" w:id="0">
    <w:p w:rsidR="009D295A" w:rsidRDefault="009D295A" w:rsidP="00124A51">
      <w:r>
        <w:continuationSeparator/>
      </w:r>
    </w:p>
    <w:p w:rsidR="009D295A" w:rsidRDefault="009D295A"/>
  </w:footnote>
  <w:footnote w:id="1">
    <w:p w:rsidR="00271EFE" w:rsidRDefault="00271EFE" w:rsidP="00F373AC">
      <w:pPr>
        <w:pStyle w:val="FootnoteText"/>
      </w:pPr>
      <w:r>
        <w:rPr>
          <w:rStyle w:val="FootnoteReference"/>
        </w:rPr>
        <w:footnoteRef/>
      </w:r>
      <w:r>
        <w:t xml:space="preserve"> Kalincik et al. </w:t>
      </w:r>
      <w:r w:rsidRPr="0047715F">
        <w:t>Treatment effectiveness of alemtuzumab compared with natalizumab, fingolimod, and interferon beta in relapsing-remitting multiple sclerosis: a cohort study.</w:t>
      </w:r>
      <w:r>
        <w:t xml:space="preserve"> </w:t>
      </w:r>
      <w:hyperlink r:id="rId1" w:tooltip="The Lancet. Neurology." w:history="1">
        <w:r w:rsidRPr="00B8287F">
          <w:t>Lancet Neurol.</w:t>
        </w:r>
      </w:hyperlink>
      <w:r w:rsidRPr="00B8287F">
        <w:t> </w:t>
      </w:r>
      <w:r>
        <w:rPr>
          <w:rFonts w:ascii="Arial" w:hAnsi="Arial" w:cs="Arial"/>
          <w:color w:val="000000"/>
          <w:sz w:val="17"/>
          <w:szCs w:val="17"/>
          <w:shd w:val="clear" w:color="auto" w:fill="FFFFFF"/>
        </w:rPr>
        <w:t>2017 Apr;16(4):271-281. doi: 10.1016/S1474-4422(17)30007-8. Epub 2017 Feb 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FE" w:rsidRDefault="00271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FE" w:rsidRDefault="00271EFE" w:rsidP="005F6505">
    <w:pPr>
      <w:jc w:val="center"/>
      <w:rPr>
        <w:i/>
        <w:szCs w:val="24"/>
      </w:rPr>
    </w:pPr>
    <w:r>
      <w:rPr>
        <w:i/>
        <w:szCs w:val="24"/>
      </w:rPr>
      <w:t>Public Summary Document – November 2018 PBAC Meeting</w:t>
    </w:r>
  </w:p>
  <w:p w:rsidR="00271EFE" w:rsidRDefault="00271EFE" w:rsidP="00057575">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FE" w:rsidRDefault="00271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D3CD3"/>
    <w:multiLevelType w:val="hybridMultilevel"/>
    <w:tmpl w:val="6E16C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A2113C"/>
    <w:multiLevelType w:val="hybridMultilevel"/>
    <w:tmpl w:val="D988C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286193"/>
    <w:multiLevelType w:val="hybridMultilevel"/>
    <w:tmpl w:val="7304F262"/>
    <w:lvl w:ilvl="0" w:tplc="61A6950E">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73A0A"/>
    <w:multiLevelType w:val="hybridMultilevel"/>
    <w:tmpl w:val="C86A3072"/>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E86363"/>
    <w:multiLevelType w:val="hybridMultilevel"/>
    <w:tmpl w:val="2468E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B75407"/>
    <w:multiLevelType w:val="hybridMultilevel"/>
    <w:tmpl w:val="CE449B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6E36F5"/>
    <w:multiLevelType w:val="hybridMultilevel"/>
    <w:tmpl w:val="03C617B4"/>
    <w:lvl w:ilvl="0" w:tplc="61A6950E">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8C1D4E"/>
    <w:multiLevelType w:val="hybridMultilevel"/>
    <w:tmpl w:val="6DB8A3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A5B6AAA"/>
    <w:multiLevelType w:val="hybridMultilevel"/>
    <w:tmpl w:val="A86499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7902C67"/>
    <w:multiLevelType w:val="multilevel"/>
    <w:tmpl w:val="4434EA2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4D033C"/>
    <w:multiLevelType w:val="multilevel"/>
    <w:tmpl w:val="419A0FC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1B2EBD"/>
    <w:multiLevelType w:val="hybridMultilevel"/>
    <w:tmpl w:val="666E0426"/>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9" w15:restartNumberingAfterBreak="0">
    <w:nsid w:val="7ED223DC"/>
    <w:multiLevelType w:val="hybridMultilevel"/>
    <w:tmpl w:val="EE6EAF7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abstractNumId w:val="17"/>
  </w:num>
  <w:num w:numId="2">
    <w:abstractNumId w:val="9"/>
  </w:num>
  <w:num w:numId="3">
    <w:abstractNumId w:val="13"/>
  </w:num>
  <w:num w:numId="4">
    <w:abstractNumId w:val="18"/>
  </w:num>
  <w:num w:numId="5">
    <w:abstractNumId w:val="8"/>
  </w:num>
  <w:num w:numId="6">
    <w:abstractNumId w:val="19"/>
  </w:num>
  <w:num w:numId="7">
    <w:abstractNumId w:val="5"/>
  </w:num>
  <w:num w:numId="8">
    <w:abstractNumId w:val="6"/>
  </w:num>
  <w:num w:numId="9">
    <w:abstractNumId w:val="12"/>
  </w:num>
  <w:num w:numId="10">
    <w:abstractNumId w:val="2"/>
  </w:num>
  <w:num w:numId="11">
    <w:abstractNumId w:val="10"/>
  </w:num>
  <w:num w:numId="12">
    <w:abstractNumId w:val="15"/>
  </w:num>
  <w:num w:numId="13">
    <w:abstractNumId w:val="16"/>
  </w:num>
  <w:num w:numId="14">
    <w:abstractNumId w:val="7"/>
  </w:num>
  <w:num w:numId="15">
    <w:abstractNumId w:val="14"/>
  </w:num>
  <w:num w:numId="16">
    <w:abstractNumId w:val="3"/>
  </w:num>
  <w:num w:numId="17">
    <w:abstractNumId w:val="11"/>
  </w:num>
  <w:num w:numId="18">
    <w:abstractNumId w:val="1"/>
  </w:num>
  <w:num w:numId="19">
    <w:abstractNumId w:val="0"/>
  </w:num>
  <w:num w:numId="20">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3499"/>
    <w:rsid w:val="000039B7"/>
    <w:rsid w:val="00013247"/>
    <w:rsid w:val="00015886"/>
    <w:rsid w:val="000158E7"/>
    <w:rsid w:val="000162EF"/>
    <w:rsid w:val="0002225F"/>
    <w:rsid w:val="00023763"/>
    <w:rsid w:val="00033863"/>
    <w:rsid w:val="00033AEC"/>
    <w:rsid w:val="00035DC0"/>
    <w:rsid w:val="00036829"/>
    <w:rsid w:val="00040895"/>
    <w:rsid w:val="000418E3"/>
    <w:rsid w:val="0004263E"/>
    <w:rsid w:val="00043C37"/>
    <w:rsid w:val="000440DA"/>
    <w:rsid w:val="00045017"/>
    <w:rsid w:val="00045A2B"/>
    <w:rsid w:val="0004618C"/>
    <w:rsid w:val="0004698F"/>
    <w:rsid w:val="000478B6"/>
    <w:rsid w:val="00051D03"/>
    <w:rsid w:val="00052855"/>
    <w:rsid w:val="000539D0"/>
    <w:rsid w:val="00054621"/>
    <w:rsid w:val="000546D7"/>
    <w:rsid w:val="00057575"/>
    <w:rsid w:val="000602D0"/>
    <w:rsid w:val="00064CA6"/>
    <w:rsid w:val="00066360"/>
    <w:rsid w:val="00067438"/>
    <w:rsid w:val="000708A0"/>
    <w:rsid w:val="00070E66"/>
    <w:rsid w:val="00071248"/>
    <w:rsid w:val="000720B9"/>
    <w:rsid w:val="0007232C"/>
    <w:rsid w:val="000737F7"/>
    <w:rsid w:val="0007672F"/>
    <w:rsid w:val="000774F0"/>
    <w:rsid w:val="00080909"/>
    <w:rsid w:val="000812CA"/>
    <w:rsid w:val="0008258D"/>
    <w:rsid w:val="00083974"/>
    <w:rsid w:val="00083E99"/>
    <w:rsid w:val="000856C5"/>
    <w:rsid w:val="000862A9"/>
    <w:rsid w:val="00090C7E"/>
    <w:rsid w:val="00092600"/>
    <w:rsid w:val="0009262B"/>
    <w:rsid w:val="00093310"/>
    <w:rsid w:val="0009445C"/>
    <w:rsid w:val="00095FE5"/>
    <w:rsid w:val="00096284"/>
    <w:rsid w:val="000A0C6B"/>
    <w:rsid w:val="000A1410"/>
    <w:rsid w:val="000A1B08"/>
    <w:rsid w:val="000A58F2"/>
    <w:rsid w:val="000A75CF"/>
    <w:rsid w:val="000A7D08"/>
    <w:rsid w:val="000B0670"/>
    <w:rsid w:val="000B0D99"/>
    <w:rsid w:val="000B0E75"/>
    <w:rsid w:val="000B123A"/>
    <w:rsid w:val="000B2DE8"/>
    <w:rsid w:val="000B2ECA"/>
    <w:rsid w:val="000B5AA4"/>
    <w:rsid w:val="000B6CAC"/>
    <w:rsid w:val="000B7612"/>
    <w:rsid w:val="000B76E3"/>
    <w:rsid w:val="000C3C98"/>
    <w:rsid w:val="000C3DF9"/>
    <w:rsid w:val="000C6435"/>
    <w:rsid w:val="000C6713"/>
    <w:rsid w:val="000D1BFC"/>
    <w:rsid w:val="000D203C"/>
    <w:rsid w:val="000D281A"/>
    <w:rsid w:val="000D326A"/>
    <w:rsid w:val="000D51FB"/>
    <w:rsid w:val="000E135D"/>
    <w:rsid w:val="000E749E"/>
    <w:rsid w:val="000E74A9"/>
    <w:rsid w:val="000E7539"/>
    <w:rsid w:val="000F00BA"/>
    <w:rsid w:val="000F0C5C"/>
    <w:rsid w:val="000F1070"/>
    <w:rsid w:val="000F1CE6"/>
    <w:rsid w:val="000F2383"/>
    <w:rsid w:val="000F316A"/>
    <w:rsid w:val="000F3C74"/>
    <w:rsid w:val="000F4BB8"/>
    <w:rsid w:val="000F5258"/>
    <w:rsid w:val="000F7127"/>
    <w:rsid w:val="000F73BB"/>
    <w:rsid w:val="000F75D8"/>
    <w:rsid w:val="00100F8A"/>
    <w:rsid w:val="0010372A"/>
    <w:rsid w:val="00105AE2"/>
    <w:rsid w:val="00106B80"/>
    <w:rsid w:val="0011032E"/>
    <w:rsid w:val="0011348B"/>
    <w:rsid w:val="00115571"/>
    <w:rsid w:val="00115982"/>
    <w:rsid w:val="00115F9C"/>
    <w:rsid w:val="00116C53"/>
    <w:rsid w:val="00117DB9"/>
    <w:rsid w:val="00120E4E"/>
    <w:rsid w:val="00121799"/>
    <w:rsid w:val="001222FC"/>
    <w:rsid w:val="00124A51"/>
    <w:rsid w:val="0012538A"/>
    <w:rsid w:val="0012599B"/>
    <w:rsid w:val="00126621"/>
    <w:rsid w:val="00126E27"/>
    <w:rsid w:val="001301E9"/>
    <w:rsid w:val="00131616"/>
    <w:rsid w:val="00131D82"/>
    <w:rsid w:val="00133D36"/>
    <w:rsid w:val="00134335"/>
    <w:rsid w:val="00134595"/>
    <w:rsid w:val="00137645"/>
    <w:rsid w:val="0014015A"/>
    <w:rsid w:val="001407D7"/>
    <w:rsid w:val="001409F3"/>
    <w:rsid w:val="00140D45"/>
    <w:rsid w:val="00140E99"/>
    <w:rsid w:val="00145540"/>
    <w:rsid w:val="001456B0"/>
    <w:rsid w:val="00146886"/>
    <w:rsid w:val="001469A0"/>
    <w:rsid w:val="00147608"/>
    <w:rsid w:val="00150565"/>
    <w:rsid w:val="00156467"/>
    <w:rsid w:val="00157130"/>
    <w:rsid w:val="001576B1"/>
    <w:rsid w:val="00157F24"/>
    <w:rsid w:val="00160A4C"/>
    <w:rsid w:val="00161764"/>
    <w:rsid w:val="00162913"/>
    <w:rsid w:val="00163EFF"/>
    <w:rsid w:val="001661FB"/>
    <w:rsid w:val="001663BE"/>
    <w:rsid w:val="001666A4"/>
    <w:rsid w:val="001707F5"/>
    <w:rsid w:val="00171A23"/>
    <w:rsid w:val="00173565"/>
    <w:rsid w:val="00173B07"/>
    <w:rsid w:val="00174141"/>
    <w:rsid w:val="001763CC"/>
    <w:rsid w:val="001816B3"/>
    <w:rsid w:val="00181D9C"/>
    <w:rsid w:val="00182F7F"/>
    <w:rsid w:val="001846C0"/>
    <w:rsid w:val="00185375"/>
    <w:rsid w:val="001872C6"/>
    <w:rsid w:val="0018752F"/>
    <w:rsid w:val="001921F9"/>
    <w:rsid w:val="00192264"/>
    <w:rsid w:val="00194A32"/>
    <w:rsid w:val="00195222"/>
    <w:rsid w:val="001953A5"/>
    <w:rsid w:val="0019573B"/>
    <w:rsid w:val="001975D8"/>
    <w:rsid w:val="00197F24"/>
    <w:rsid w:val="001A1113"/>
    <w:rsid w:val="001A3292"/>
    <w:rsid w:val="001A3B9B"/>
    <w:rsid w:val="001A43FA"/>
    <w:rsid w:val="001A59FB"/>
    <w:rsid w:val="001A6354"/>
    <w:rsid w:val="001A7AE8"/>
    <w:rsid w:val="001B13C6"/>
    <w:rsid w:val="001B204E"/>
    <w:rsid w:val="001B2084"/>
    <w:rsid w:val="001B31E2"/>
    <w:rsid w:val="001B3443"/>
    <w:rsid w:val="001B4D20"/>
    <w:rsid w:val="001B5AEF"/>
    <w:rsid w:val="001B7053"/>
    <w:rsid w:val="001C2A9B"/>
    <w:rsid w:val="001C2C29"/>
    <w:rsid w:val="001C4299"/>
    <w:rsid w:val="001C5F94"/>
    <w:rsid w:val="001C6E66"/>
    <w:rsid w:val="001D3277"/>
    <w:rsid w:val="001D602C"/>
    <w:rsid w:val="001E174F"/>
    <w:rsid w:val="001E1E2B"/>
    <w:rsid w:val="001E238E"/>
    <w:rsid w:val="001E2483"/>
    <w:rsid w:val="001E2B1E"/>
    <w:rsid w:val="001E30D4"/>
    <w:rsid w:val="001E325C"/>
    <w:rsid w:val="001E332F"/>
    <w:rsid w:val="001E52EB"/>
    <w:rsid w:val="001E57CC"/>
    <w:rsid w:val="001E5A87"/>
    <w:rsid w:val="001E61D2"/>
    <w:rsid w:val="001E740C"/>
    <w:rsid w:val="001F1235"/>
    <w:rsid w:val="001F1282"/>
    <w:rsid w:val="001F1CB3"/>
    <w:rsid w:val="001F38B5"/>
    <w:rsid w:val="001F6FAB"/>
    <w:rsid w:val="001F7361"/>
    <w:rsid w:val="002011B0"/>
    <w:rsid w:val="00203181"/>
    <w:rsid w:val="00203783"/>
    <w:rsid w:val="0020385F"/>
    <w:rsid w:val="002062BA"/>
    <w:rsid w:val="00207021"/>
    <w:rsid w:val="0020732F"/>
    <w:rsid w:val="00207D00"/>
    <w:rsid w:val="002105C1"/>
    <w:rsid w:val="0021167B"/>
    <w:rsid w:val="002141A3"/>
    <w:rsid w:val="00214860"/>
    <w:rsid w:val="0021634E"/>
    <w:rsid w:val="00217CEF"/>
    <w:rsid w:val="00220D8F"/>
    <w:rsid w:val="00222187"/>
    <w:rsid w:val="00223B49"/>
    <w:rsid w:val="00224DD4"/>
    <w:rsid w:val="002250A4"/>
    <w:rsid w:val="00225871"/>
    <w:rsid w:val="002265EE"/>
    <w:rsid w:val="00227132"/>
    <w:rsid w:val="00227881"/>
    <w:rsid w:val="00230722"/>
    <w:rsid w:val="002309CC"/>
    <w:rsid w:val="0023209F"/>
    <w:rsid w:val="0023246D"/>
    <w:rsid w:val="002356D1"/>
    <w:rsid w:val="0023629D"/>
    <w:rsid w:val="00237255"/>
    <w:rsid w:val="002424AF"/>
    <w:rsid w:val="00242A91"/>
    <w:rsid w:val="002439DC"/>
    <w:rsid w:val="00244DC8"/>
    <w:rsid w:val="002458BA"/>
    <w:rsid w:val="00245B4C"/>
    <w:rsid w:val="0024636C"/>
    <w:rsid w:val="00247925"/>
    <w:rsid w:val="00250794"/>
    <w:rsid w:val="0025092F"/>
    <w:rsid w:val="00251679"/>
    <w:rsid w:val="00253626"/>
    <w:rsid w:val="00254DCF"/>
    <w:rsid w:val="0025534B"/>
    <w:rsid w:val="00255BB7"/>
    <w:rsid w:val="002562BA"/>
    <w:rsid w:val="00257541"/>
    <w:rsid w:val="00257B9A"/>
    <w:rsid w:val="002603B9"/>
    <w:rsid w:val="002615E5"/>
    <w:rsid w:val="00262A1A"/>
    <w:rsid w:val="00262A87"/>
    <w:rsid w:val="002633B0"/>
    <w:rsid w:val="00264D26"/>
    <w:rsid w:val="002650D2"/>
    <w:rsid w:val="0026659A"/>
    <w:rsid w:val="00267642"/>
    <w:rsid w:val="00267AEA"/>
    <w:rsid w:val="002700E6"/>
    <w:rsid w:val="002709E6"/>
    <w:rsid w:val="00271EFE"/>
    <w:rsid w:val="0027294B"/>
    <w:rsid w:val="00274E26"/>
    <w:rsid w:val="00275C5A"/>
    <w:rsid w:val="00276ADA"/>
    <w:rsid w:val="00276DDF"/>
    <w:rsid w:val="00281014"/>
    <w:rsid w:val="00281339"/>
    <w:rsid w:val="00283B59"/>
    <w:rsid w:val="00283CCB"/>
    <w:rsid w:val="002853A2"/>
    <w:rsid w:val="00287EAD"/>
    <w:rsid w:val="00287F40"/>
    <w:rsid w:val="00291022"/>
    <w:rsid w:val="00292C02"/>
    <w:rsid w:val="002A0486"/>
    <w:rsid w:val="002A1090"/>
    <w:rsid w:val="002A14AB"/>
    <w:rsid w:val="002A16C7"/>
    <w:rsid w:val="002A2F50"/>
    <w:rsid w:val="002B09A4"/>
    <w:rsid w:val="002B1C1F"/>
    <w:rsid w:val="002B201F"/>
    <w:rsid w:val="002B432F"/>
    <w:rsid w:val="002B435E"/>
    <w:rsid w:val="002B62B3"/>
    <w:rsid w:val="002B6666"/>
    <w:rsid w:val="002B6754"/>
    <w:rsid w:val="002B6CCE"/>
    <w:rsid w:val="002C1B21"/>
    <w:rsid w:val="002C2510"/>
    <w:rsid w:val="002C2775"/>
    <w:rsid w:val="002C27C1"/>
    <w:rsid w:val="002C3B8A"/>
    <w:rsid w:val="002C5099"/>
    <w:rsid w:val="002C5889"/>
    <w:rsid w:val="002C5D11"/>
    <w:rsid w:val="002C6DF0"/>
    <w:rsid w:val="002C71CE"/>
    <w:rsid w:val="002D3BFE"/>
    <w:rsid w:val="002D577C"/>
    <w:rsid w:val="002E15B9"/>
    <w:rsid w:val="002E2158"/>
    <w:rsid w:val="002E6565"/>
    <w:rsid w:val="002E7551"/>
    <w:rsid w:val="002E7722"/>
    <w:rsid w:val="002F07BA"/>
    <w:rsid w:val="002F0DA9"/>
    <w:rsid w:val="002F301B"/>
    <w:rsid w:val="002F3ABB"/>
    <w:rsid w:val="002F643C"/>
    <w:rsid w:val="002F71C0"/>
    <w:rsid w:val="00300845"/>
    <w:rsid w:val="00300D78"/>
    <w:rsid w:val="00301017"/>
    <w:rsid w:val="0030155F"/>
    <w:rsid w:val="00303B8D"/>
    <w:rsid w:val="0030587B"/>
    <w:rsid w:val="003067D0"/>
    <w:rsid w:val="00306D98"/>
    <w:rsid w:val="0030786C"/>
    <w:rsid w:val="00307A98"/>
    <w:rsid w:val="00307BC1"/>
    <w:rsid w:val="0031031A"/>
    <w:rsid w:val="00310981"/>
    <w:rsid w:val="00311916"/>
    <w:rsid w:val="0031201C"/>
    <w:rsid w:val="00315498"/>
    <w:rsid w:val="00317103"/>
    <w:rsid w:val="0031794D"/>
    <w:rsid w:val="00321FFE"/>
    <w:rsid w:val="00322107"/>
    <w:rsid w:val="00322846"/>
    <w:rsid w:val="00323888"/>
    <w:rsid w:val="00326DA7"/>
    <w:rsid w:val="003270E4"/>
    <w:rsid w:val="00327435"/>
    <w:rsid w:val="00330F5C"/>
    <w:rsid w:val="00333AE5"/>
    <w:rsid w:val="003355F0"/>
    <w:rsid w:val="003366C9"/>
    <w:rsid w:val="003371B0"/>
    <w:rsid w:val="00340565"/>
    <w:rsid w:val="00340642"/>
    <w:rsid w:val="00340DF1"/>
    <w:rsid w:val="003454D6"/>
    <w:rsid w:val="00345693"/>
    <w:rsid w:val="003464E9"/>
    <w:rsid w:val="00346A5B"/>
    <w:rsid w:val="00350277"/>
    <w:rsid w:val="003517F9"/>
    <w:rsid w:val="00352A07"/>
    <w:rsid w:val="00352BD2"/>
    <w:rsid w:val="0035620E"/>
    <w:rsid w:val="00361304"/>
    <w:rsid w:val="003624C4"/>
    <w:rsid w:val="00364182"/>
    <w:rsid w:val="003654AC"/>
    <w:rsid w:val="003710CF"/>
    <w:rsid w:val="003722E9"/>
    <w:rsid w:val="0037358A"/>
    <w:rsid w:val="003750F6"/>
    <w:rsid w:val="003760FC"/>
    <w:rsid w:val="00377D0D"/>
    <w:rsid w:val="00382F7B"/>
    <w:rsid w:val="00383385"/>
    <w:rsid w:val="0038365C"/>
    <w:rsid w:val="0038369B"/>
    <w:rsid w:val="00383B78"/>
    <w:rsid w:val="00383E59"/>
    <w:rsid w:val="003849D2"/>
    <w:rsid w:val="00384FA9"/>
    <w:rsid w:val="00385018"/>
    <w:rsid w:val="00385A9D"/>
    <w:rsid w:val="00387C37"/>
    <w:rsid w:val="003902B1"/>
    <w:rsid w:val="003926C2"/>
    <w:rsid w:val="00393B51"/>
    <w:rsid w:val="00396896"/>
    <w:rsid w:val="00396FD0"/>
    <w:rsid w:val="003A1300"/>
    <w:rsid w:val="003A1A7A"/>
    <w:rsid w:val="003A1F21"/>
    <w:rsid w:val="003A2392"/>
    <w:rsid w:val="003A2831"/>
    <w:rsid w:val="003A3ED1"/>
    <w:rsid w:val="003A5603"/>
    <w:rsid w:val="003B1F31"/>
    <w:rsid w:val="003B3334"/>
    <w:rsid w:val="003B5B61"/>
    <w:rsid w:val="003B70EC"/>
    <w:rsid w:val="003C1654"/>
    <w:rsid w:val="003C3370"/>
    <w:rsid w:val="003C4A3C"/>
    <w:rsid w:val="003C5C5A"/>
    <w:rsid w:val="003C7D19"/>
    <w:rsid w:val="003D1828"/>
    <w:rsid w:val="003D1DE4"/>
    <w:rsid w:val="003D2422"/>
    <w:rsid w:val="003D39A1"/>
    <w:rsid w:val="003D3FBF"/>
    <w:rsid w:val="003D4A30"/>
    <w:rsid w:val="003D79BB"/>
    <w:rsid w:val="003D7C98"/>
    <w:rsid w:val="003E0543"/>
    <w:rsid w:val="003E46FF"/>
    <w:rsid w:val="003E77DF"/>
    <w:rsid w:val="003E79D6"/>
    <w:rsid w:val="003E7CFF"/>
    <w:rsid w:val="003F073A"/>
    <w:rsid w:val="003F2BAD"/>
    <w:rsid w:val="003F4156"/>
    <w:rsid w:val="00400B29"/>
    <w:rsid w:val="00403271"/>
    <w:rsid w:val="00405017"/>
    <w:rsid w:val="0040504B"/>
    <w:rsid w:val="00410708"/>
    <w:rsid w:val="00410EC7"/>
    <w:rsid w:val="00411B39"/>
    <w:rsid w:val="00413A1E"/>
    <w:rsid w:val="00414476"/>
    <w:rsid w:val="00414C2E"/>
    <w:rsid w:val="004151CF"/>
    <w:rsid w:val="00416364"/>
    <w:rsid w:val="00420AA6"/>
    <w:rsid w:val="00420B9F"/>
    <w:rsid w:val="00422260"/>
    <w:rsid w:val="00422E66"/>
    <w:rsid w:val="0042413F"/>
    <w:rsid w:val="00425149"/>
    <w:rsid w:val="004319F8"/>
    <w:rsid w:val="00431E55"/>
    <w:rsid w:val="004321F6"/>
    <w:rsid w:val="00433044"/>
    <w:rsid w:val="004332D0"/>
    <w:rsid w:val="0043408E"/>
    <w:rsid w:val="004342B2"/>
    <w:rsid w:val="00435AD6"/>
    <w:rsid w:val="00436C41"/>
    <w:rsid w:val="004375B9"/>
    <w:rsid w:val="00437D5D"/>
    <w:rsid w:val="0044004B"/>
    <w:rsid w:val="004428D0"/>
    <w:rsid w:val="00443FB9"/>
    <w:rsid w:val="004443A7"/>
    <w:rsid w:val="0044442C"/>
    <w:rsid w:val="00445941"/>
    <w:rsid w:val="004464EB"/>
    <w:rsid w:val="00446F80"/>
    <w:rsid w:val="00447D26"/>
    <w:rsid w:val="004513EC"/>
    <w:rsid w:val="00452177"/>
    <w:rsid w:val="00452236"/>
    <w:rsid w:val="00455D45"/>
    <w:rsid w:val="00457E38"/>
    <w:rsid w:val="0046007F"/>
    <w:rsid w:val="00463683"/>
    <w:rsid w:val="00464303"/>
    <w:rsid w:val="00464595"/>
    <w:rsid w:val="00472322"/>
    <w:rsid w:val="00472A79"/>
    <w:rsid w:val="00473F19"/>
    <w:rsid w:val="00475E22"/>
    <w:rsid w:val="004803F4"/>
    <w:rsid w:val="0048088E"/>
    <w:rsid w:val="00482720"/>
    <w:rsid w:val="004835E7"/>
    <w:rsid w:val="00484737"/>
    <w:rsid w:val="004867E2"/>
    <w:rsid w:val="00491B3A"/>
    <w:rsid w:val="00492CFD"/>
    <w:rsid w:val="00494798"/>
    <w:rsid w:val="00494DD5"/>
    <w:rsid w:val="004962D2"/>
    <w:rsid w:val="00497BCF"/>
    <w:rsid w:val="00497F4E"/>
    <w:rsid w:val="004A0DA1"/>
    <w:rsid w:val="004A10BC"/>
    <w:rsid w:val="004A19EB"/>
    <w:rsid w:val="004A20A5"/>
    <w:rsid w:val="004A25DC"/>
    <w:rsid w:val="004A52E9"/>
    <w:rsid w:val="004A6597"/>
    <w:rsid w:val="004A6788"/>
    <w:rsid w:val="004A6C1E"/>
    <w:rsid w:val="004A77B9"/>
    <w:rsid w:val="004A7848"/>
    <w:rsid w:val="004B1BB4"/>
    <w:rsid w:val="004B1CB4"/>
    <w:rsid w:val="004B2F18"/>
    <w:rsid w:val="004B30B7"/>
    <w:rsid w:val="004B3DDB"/>
    <w:rsid w:val="004B44FD"/>
    <w:rsid w:val="004B4E73"/>
    <w:rsid w:val="004B5CFC"/>
    <w:rsid w:val="004B774D"/>
    <w:rsid w:val="004B7FF6"/>
    <w:rsid w:val="004C4AED"/>
    <w:rsid w:val="004C6675"/>
    <w:rsid w:val="004D28B5"/>
    <w:rsid w:val="004D2C2D"/>
    <w:rsid w:val="004D2E13"/>
    <w:rsid w:val="004D3F8E"/>
    <w:rsid w:val="004D5401"/>
    <w:rsid w:val="004D7227"/>
    <w:rsid w:val="004E0E7F"/>
    <w:rsid w:val="004E0EB8"/>
    <w:rsid w:val="004E2ADC"/>
    <w:rsid w:val="004E43B2"/>
    <w:rsid w:val="004F1D02"/>
    <w:rsid w:val="004F2679"/>
    <w:rsid w:val="004F2F21"/>
    <w:rsid w:val="004F4070"/>
    <w:rsid w:val="004F53A6"/>
    <w:rsid w:val="004F6280"/>
    <w:rsid w:val="004F6913"/>
    <w:rsid w:val="004F7207"/>
    <w:rsid w:val="004F7865"/>
    <w:rsid w:val="0050037A"/>
    <w:rsid w:val="00502110"/>
    <w:rsid w:val="0050219B"/>
    <w:rsid w:val="0050245A"/>
    <w:rsid w:val="00503F17"/>
    <w:rsid w:val="005059D7"/>
    <w:rsid w:val="00506928"/>
    <w:rsid w:val="005152B5"/>
    <w:rsid w:val="00517942"/>
    <w:rsid w:val="00521319"/>
    <w:rsid w:val="00522BC8"/>
    <w:rsid w:val="00523C28"/>
    <w:rsid w:val="0052404D"/>
    <w:rsid w:val="005261A8"/>
    <w:rsid w:val="005266F4"/>
    <w:rsid w:val="0053031E"/>
    <w:rsid w:val="00533290"/>
    <w:rsid w:val="005336E2"/>
    <w:rsid w:val="00534A49"/>
    <w:rsid w:val="005363F0"/>
    <w:rsid w:val="00536F42"/>
    <w:rsid w:val="00537182"/>
    <w:rsid w:val="00540049"/>
    <w:rsid w:val="005401D4"/>
    <w:rsid w:val="00542743"/>
    <w:rsid w:val="00542C2D"/>
    <w:rsid w:val="005436A3"/>
    <w:rsid w:val="005436F0"/>
    <w:rsid w:val="00545147"/>
    <w:rsid w:val="00551985"/>
    <w:rsid w:val="00552BD3"/>
    <w:rsid w:val="005549E8"/>
    <w:rsid w:val="00555109"/>
    <w:rsid w:val="00561748"/>
    <w:rsid w:val="005660A9"/>
    <w:rsid w:val="0056696F"/>
    <w:rsid w:val="00571647"/>
    <w:rsid w:val="00572269"/>
    <w:rsid w:val="0057244A"/>
    <w:rsid w:val="005740E3"/>
    <w:rsid w:val="005752C7"/>
    <w:rsid w:val="00575D8D"/>
    <w:rsid w:val="0057671F"/>
    <w:rsid w:val="00576972"/>
    <w:rsid w:val="00580C61"/>
    <w:rsid w:val="00581860"/>
    <w:rsid w:val="00582073"/>
    <w:rsid w:val="00583699"/>
    <w:rsid w:val="00583BDA"/>
    <w:rsid w:val="0058528A"/>
    <w:rsid w:val="00585CDD"/>
    <w:rsid w:val="005866C4"/>
    <w:rsid w:val="00587058"/>
    <w:rsid w:val="00591957"/>
    <w:rsid w:val="00592955"/>
    <w:rsid w:val="00597BF9"/>
    <w:rsid w:val="005A16FA"/>
    <w:rsid w:val="005A373D"/>
    <w:rsid w:val="005A3BA3"/>
    <w:rsid w:val="005A5EAD"/>
    <w:rsid w:val="005B4CEB"/>
    <w:rsid w:val="005B5857"/>
    <w:rsid w:val="005B5FCC"/>
    <w:rsid w:val="005B7FF1"/>
    <w:rsid w:val="005C0293"/>
    <w:rsid w:val="005C054A"/>
    <w:rsid w:val="005C1B83"/>
    <w:rsid w:val="005C2D55"/>
    <w:rsid w:val="005C346B"/>
    <w:rsid w:val="005C52EE"/>
    <w:rsid w:val="005D044D"/>
    <w:rsid w:val="005D0ABD"/>
    <w:rsid w:val="005D1590"/>
    <w:rsid w:val="005D18AD"/>
    <w:rsid w:val="005D26B4"/>
    <w:rsid w:val="005D2F03"/>
    <w:rsid w:val="005E4D35"/>
    <w:rsid w:val="005E5153"/>
    <w:rsid w:val="005E6CBC"/>
    <w:rsid w:val="005E73C0"/>
    <w:rsid w:val="005F2706"/>
    <w:rsid w:val="005F293E"/>
    <w:rsid w:val="005F6505"/>
    <w:rsid w:val="005F6A8F"/>
    <w:rsid w:val="005F772F"/>
    <w:rsid w:val="00603DB9"/>
    <w:rsid w:val="00607364"/>
    <w:rsid w:val="00607669"/>
    <w:rsid w:val="00607AFD"/>
    <w:rsid w:val="00612F97"/>
    <w:rsid w:val="0061345D"/>
    <w:rsid w:val="006153EA"/>
    <w:rsid w:val="00616802"/>
    <w:rsid w:val="00616B2C"/>
    <w:rsid w:val="00617E12"/>
    <w:rsid w:val="0062109C"/>
    <w:rsid w:val="00621477"/>
    <w:rsid w:val="00621569"/>
    <w:rsid w:val="006254F0"/>
    <w:rsid w:val="00630D46"/>
    <w:rsid w:val="0063158F"/>
    <w:rsid w:val="00631D6B"/>
    <w:rsid w:val="006330A1"/>
    <w:rsid w:val="0063479F"/>
    <w:rsid w:val="006353F0"/>
    <w:rsid w:val="00635C9A"/>
    <w:rsid w:val="006364A1"/>
    <w:rsid w:val="00637BFD"/>
    <w:rsid w:val="006419C6"/>
    <w:rsid w:val="00641C4E"/>
    <w:rsid w:val="0064435D"/>
    <w:rsid w:val="0064509C"/>
    <w:rsid w:val="006459C7"/>
    <w:rsid w:val="006471CC"/>
    <w:rsid w:val="0064744D"/>
    <w:rsid w:val="006505D8"/>
    <w:rsid w:val="0065079F"/>
    <w:rsid w:val="00650AE1"/>
    <w:rsid w:val="00652AFF"/>
    <w:rsid w:val="0065368E"/>
    <w:rsid w:val="0065379F"/>
    <w:rsid w:val="0065573C"/>
    <w:rsid w:val="00655DE6"/>
    <w:rsid w:val="006617D5"/>
    <w:rsid w:val="00661C6B"/>
    <w:rsid w:val="00662D88"/>
    <w:rsid w:val="00674E42"/>
    <w:rsid w:val="00676648"/>
    <w:rsid w:val="00680470"/>
    <w:rsid w:val="00680F38"/>
    <w:rsid w:val="00682112"/>
    <w:rsid w:val="006823A6"/>
    <w:rsid w:val="0068573C"/>
    <w:rsid w:val="00686957"/>
    <w:rsid w:val="006872BA"/>
    <w:rsid w:val="0068763F"/>
    <w:rsid w:val="00690305"/>
    <w:rsid w:val="006914CB"/>
    <w:rsid w:val="00691648"/>
    <w:rsid w:val="006917D7"/>
    <w:rsid w:val="006934BF"/>
    <w:rsid w:val="00694F44"/>
    <w:rsid w:val="006A42FB"/>
    <w:rsid w:val="006A4FCE"/>
    <w:rsid w:val="006A6928"/>
    <w:rsid w:val="006A6EB9"/>
    <w:rsid w:val="006A7E5F"/>
    <w:rsid w:val="006B261B"/>
    <w:rsid w:val="006B2C12"/>
    <w:rsid w:val="006B2C90"/>
    <w:rsid w:val="006B6DD0"/>
    <w:rsid w:val="006C1260"/>
    <w:rsid w:val="006C1FF7"/>
    <w:rsid w:val="006C25F0"/>
    <w:rsid w:val="006C2A8E"/>
    <w:rsid w:val="006C47CE"/>
    <w:rsid w:val="006C54A4"/>
    <w:rsid w:val="006D3C7D"/>
    <w:rsid w:val="006D4134"/>
    <w:rsid w:val="006D5D5F"/>
    <w:rsid w:val="006D6861"/>
    <w:rsid w:val="006E1059"/>
    <w:rsid w:val="006E4F7E"/>
    <w:rsid w:val="006F2952"/>
    <w:rsid w:val="006F306C"/>
    <w:rsid w:val="006F43D6"/>
    <w:rsid w:val="006F6114"/>
    <w:rsid w:val="006F63A5"/>
    <w:rsid w:val="0070142B"/>
    <w:rsid w:val="0070276E"/>
    <w:rsid w:val="00702F8F"/>
    <w:rsid w:val="0070595E"/>
    <w:rsid w:val="00710A63"/>
    <w:rsid w:val="00711A36"/>
    <w:rsid w:val="0071529C"/>
    <w:rsid w:val="007172AD"/>
    <w:rsid w:val="0072063C"/>
    <w:rsid w:val="00720736"/>
    <w:rsid w:val="00722B1B"/>
    <w:rsid w:val="00723962"/>
    <w:rsid w:val="0072416F"/>
    <w:rsid w:val="00725406"/>
    <w:rsid w:val="00727C94"/>
    <w:rsid w:val="00731EAE"/>
    <w:rsid w:val="00734ED4"/>
    <w:rsid w:val="00735033"/>
    <w:rsid w:val="00735328"/>
    <w:rsid w:val="0073685B"/>
    <w:rsid w:val="00736FE2"/>
    <w:rsid w:val="00744659"/>
    <w:rsid w:val="00751E9E"/>
    <w:rsid w:val="00752142"/>
    <w:rsid w:val="007523F9"/>
    <w:rsid w:val="007551E9"/>
    <w:rsid w:val="007573E8"/>
    <w:rsid w:val="00760C4E"/>
    <w:rsid w:val="00763B44"/>
    <w:rsid w:val="00763D8B"/>
    <w:rsid w:val="00765B1A"/>
    <w:rsid w:val="00767A9A"/>
    <w:rsid w:val="00775A36"/>
    <w:rsid w:val="00780904"/>
    <w:rsid w:val="00781EA1"/>
    <w:rsid w:val="00783176"/>
    <w:rsid w:val="007843F2"/>
    <w:rsid w:val="007868CF"/>
    <w:rsid w:val="007A0A12"/>
    <w:rsid w:val="007A132D"/>
    <w:rsid w:val="007A4C31"/>
    <w:rsid w:val="007A4D15"/>
    <w:rsid w:val="007A77D5"/>
    <w:rsid w:val="007A7E6A"/>
    <w:rsid w:val="007B0D68"/>
    <w:rsid w:val="007B251D"/>
    <w:rsid w:val="007B2E65"/>
    <w:rsid w:val="007B2E68"/>
    <w:rsid w:val="007B4F58"/>
    <w:rsid w:val="007B528D"/>
    <w:rsid w:val="007B5959"/>
    <w:rsid w:val="007B77D1"/>
    <w:rsid w:val="007C1CD9"/>
    <w:rsid w:val="007C361D"/>
    <w:rsid w:val="007C4B84"/>
    <w:rsid w:val="007C5DE7"/>
    <w:rsid w:val="007D004F"/>
    <w:rsid w:val="007D0B38"/>
    <w:rsid w:val="007D1009"/>
    <w:rsid w:val="007D5440"/>
    <w:rsid w:val="007E302B"/>
    <w:rsid w:val="007E43D3"/>
    <w:rsid w:val="007E58F2"/>
    <w:rsid w:val="007F058D"/>
    <w:rsid w:val="007F1017"/>
    <w:rsid w:val="007F11ED"/>
    <w:rsid w:val="007F1CE1"/>
    <w:rsid w:val="007F4A3F"/>
    <w:rsid w:val="007F4A61"/>
    <w:rsid w:val="007F61C2"/>
    <w:rsid w:val="007F7C90"/>
    <w:rsid w:val="007F7F79"/>
    <w:rsid w:val="00800AB7"/>
    <w:rsid w:val="00800D20"/>
    <w:rsid w:val="00805142"/>
    <w:rsid w:val="00807A8B"/>
    <w:rsid w:val="00810FA9"/>
    <w:rsid w:val="00811383"/>
    <w:rsid w:val="00812149"/>
    <w:rsid w:val="0081268C"/>
    <w:rsid w:val="00812CAC"/>
    <w:rsid w:val="00813AAD"/>
    <w:rsid w:val="00813B9B"/>
    <w:rsid w:val="008166EF"/>
    <w:rsid w:val="00820651"/>
    <w:rsid w:val="008221DD"/>
    <w:rsid w:val="00825751"/>
    <w:rsid w:val="008264EB"/>
    <w:rsid w:val="00830AA1"/>
    <w:rsid w:val="00832653"/>
    <w:rsid w:val="00833B05"/>
    <w:rsid w:val="00834D6F"/>
    <w:rsid w:val="008355BA"/>
    <w:rsid w:val="008362B4"/>
    <w:rsid w:val="00836D2A"/>
    <w:rsid w:val="00840CA2"/>
    <w:rsid w:val="00841ACB"/>
    <w:rsid w:val="0084374F"/>
    <w:rsid w:val="0084504C"/>
    <w:rsid w:val="00847DF5"/>
    <w:rsid w:val="0085309D"/>
    <w:rsid w:val="00856134"/>
    <w:rsid w:val="00856897"/>
    <w:rsid w:val="00856E9A"/>
    <w:rsid w:val="0086075D"/>
    <w:rsid w:val="00862502"/>
    <w:rsid w:val="00864205"/>
    <w:rsid w:val="008660D4"/>
    <w:rsid w:val="00871992"/>
    <w:rsid w:val="00871FA9"/>
    <w:rsid w:val="00872714"/>
    <w:rsid w:val="008728E9"/>
    <w:rsid w:val="00875461"/>
    <w:rsid w:val="008804CE"/>
    <w:rsid w:val="00881C5A"/>
    <w:rsid w:val="00881F29"/>
    <w:rsid w:val="00882874"/>
    <w:rsid w:val="00883787"/>
    <w:rsid w:val="00883D3E"/>
    <w:rsid w:val="00884CF0"/>
    <w:rsid w:val="00886CD2"/>
    <w:rsid w:val="00890388"/>
    <w:rsid w:val="00892A36"/>
    <w:rsid w:val="00893239"/>
    <w:rsid w:val="00894028"/>
    <w:rsid w:val="00894489"/>
    <w:rsid w:val="0089475C"/>
    <w:rsid w:val="008963A5"/>
    <w:rsid w:val="008965D0"/>
    <w:rsid w:val="0089770F"/>
    <w:rsid w:val="008A1692"/>
    <w:rsid w:val="008A3363"/>
    <w:rsid w:val="008A3371"/>
    <w:rsid w:val="008A3C3E"/>
    <w:rsid w:val="008A43F0"/>
    <w:rsid w:val="008A5FC0"/>
    <w:rsid w:val="008A63CC"/>
    <w:rsid w:val="008A79DE"/>
    <w:rsid w:val="008B1757"/>
    <w:rsid w:val="008B17E5"/>
    <w:rsid w:val="008B3E68"/>
    <w:rsid w:val="008B5265"/>
    <w:rsid w:val="008B6B3E"/>
    <w:rsid w:val="008B7D7E"/>
    <w:rsid w:val="008C1C38"/>
    <w:rsid w:val="008C4B8B"/>
    <w:rsid w:val="008C526F"/>
    <w:rsid w:val="008C7CF0"/>
    <w:rsid w:val="008C7ECB"/>
    <w:rsid w:val="008D4755"/>
    <w:rsid w:val="008D4C3D"/>
    <w:rsid w:val="008D56EF"/>
    <w:rsid w:val="008E0D3C"/>
    <w:rsid w:val="008E1B9E"/>
    <w:rsid w:val="008E2291"/>
    <w:rsid w:val="008E3684"/>
    <w:rsid w:val="008E50C1"/>
    <w:rsid w:val="008E55AB"/>
    <w:rsid w:val="008F0D6B"/>
    <w:rsid w:val="008F120A"/>
    <w:rsid w:val="008F2280"/>
    <w:rsid w:val="008F27E0"/>
    <w:rsid w:val="008F3B74"/>
    <w:rsid w:val="008F48EB"/>
    <w:rsid w:val="008F49CF"/>
    <w:rsid w:val="008F4F0B"/>
    <w:rsid w:val="008F6768"/>
    <w:rsid w:val="008F7277"/>
    <w:rsid w:val="009046C4"/>
    <w:rsid w:val="009062A5"/>
    <w:rsid w:val="0090725E"/>
    <w:rsid w:val="00911272"/>
    <w:rsid w:val="009135D6"/>
    <w:rsid w:val="00914171"/>
    <w:rsid w:val="00914C77"/>
    <w:rsid w:val="0091663A"/>
    <w:rsid w:val="00920204"/>
    <w:rsid w:val="0092369B"/>
    <w:rsid w:val="00926106"/>
    <w:rsid w:val="00930C9B"/>
    <w:rsid w:val="0093459E"/>
    <w:rsid w:val="00935B20"/>
    <w:rsid w:val="00937E82"/>
    <w:rsid w:val="009419DA"/>
    <w:rsid w:val="00941A1B"/>
    <w:rsid w:val="009427E0"/>
    <w:rsid w:val="009510A2"/>
    <w:rsid w:val="00951BB0"/>
    <w:rsid w:val="00953257"/>
    <w:rsid w:val="00961FD1"/>
    <w:rsid w:val="00962CB9"/>
    <w:rsid w:val="00963275"/>
    <w:rsid w:val="00964312"/>
    <w:rsid w:val="00965B8A"/>
    <w:rsid w:val="00970772"/>
    <w:rsid w:val="009710D2"/>
    <w:rsid w:val="009717AC"/>
    <w:rsid w:val="009753C6"/>
    <w:rsid w:val="00975AF8"/>
    <w:rsid w:val="00983001"/>
    <w:rsid w:val="009835F0"/>
    <w:rsid w:val="00983E57"/>
    <w:rsid w:val="009853DC"/>
    <w:rsid w:val="0098675D"/>
    <w:rsid w:val="00992CB7"/>
    <w:rsid w:val="00995EFE"/>
    <w:rsid w:val="00996B1A"/>
    <w:rsid w:val="009A1111"/>
    <w:rsid w:val="009A7893"/>
    <w:rsid w:val="009A7F10"/>
    <w:rsid w:val="009B3272"/>
    <w:rsid w:val="009B3E26"/>
    <w:rsid w:val="009B67E5"/>
    <w:rsid w:val="009B75E8"/>
    <w:rsid w:val="009C6CEA"/>
    <w:rsid w:val="009C7B85"/>
    <w:rsid w:val="009D1C90"/>
    <w:rsid w:val="009D295A"/>
    <w:rsid w:val="009D5937"/>
    <w:rsid w:val="009D5B91"/>
    <w:rsid w:val="009D6192"/>
    <w:rsid w:val="009D630F"/>
    <w:rsid w:val="009D792E"/>
    <w:rsid w:val="009E0DFE"/>
    <w:rsid w:val="009E4C07"/>
    <w:rsid w:val="009F1506"/>
    <w:rsid w:val="00A01184"/>
    <w:rsid w:val="00A03D43"/>
    <w:rsid w:val="00A04380"/>
    <w:rsid w:val="00A05F11"/>
    <w:rsid w:val="00A11CD0"/>
    <w:rsid w:val="00A1318B"/>
    <w:rsid w:val="00A13948"/>
    <w:rsid w:val="00A14EE8"/>
    <w:rsid w:val="00A1555B"/>
    <w:rsid w:val="00A155C5"/>
    <w:rsid w:val="00A16AD8"/>
    <w:rsid w:val="00A21CF3"/>
    <w:rsid w:val="00A27AEC"/>
    <w:rsid w:val="00A27EEF"/>
    <w:rsid w:val="00A320DB"/>
    <w:rsid w:val="00A3232A"/>
    <w:rsid w:val="00A35D16"/>
    <w:rsid w:val="00A37BCD"/>
    <w:rsid w:val="00A40153"/>
    <w:rsid w:val="00A43C59"/>
    <w:rsid w:val="00A50ECD"/>
    <w:rsid w:val="00A518F3"/>
    <w:rsid w:val="00A52729"/>
    <w:rsid w:val="00A53344"/>
    <w:rsid w:val="00A53675"/>
    <w:rsid w:val="00A53C44"/>
    <w:rsid w:val="00A564D7"/>
    <w:rsid w:val="00A56B6A"/>
    <w:rsid w:val="00A578DC"/>
    <w:rsid w:val="00A617BC"/>
    <w:rsid w:val="00A619EE"/>
    <w:rsid w:val="00A62C1D"/>
    <w:rsid w:val="00A6725B"/>
    <w:rsid w:val="00A70605"/>
    <w:rsid w:val="00A7141B"/>
    <w:rsid w:val="00A73134"/>
    <w:rsid w:val="00A7540C"/>
    <w:rsid w:val="00A777B2"/>
    <w:rsid w:val="00A8650B"/>
    <w:rsid w:val="00A86704"/>
    <w:rsid w:val="00A86E8B"/>
    <w:rsid w:val="00A87164"/>
    <w:rsid w:val="00A91180"/>
    <w:rsid w:val="00A93072"/>
    <w:rsid w:val="00A93953"/>
    <w:rsid w:val="00A94F25"/>
    <w:rsid w:val="00A959D8"/>
    <w:rsid w:val="00A96235"/>
    <w:rsid w:val="00AA07D8"/>
    <w:rsid w:val="00AA113D"/>
    <w:rsid w:val="00AA1525"/>
    <w:rsid w:val="00AA392F"/>
    <w:rsid w:val="00AA3B02"/>
    <w:rsid w:val="00AA670C"/>
    <w:rsid w:val="00AA6C7D"/>
    <w:rsid w:val="00AA7FD6"/>
    <w:rsid w:val="00AB042A"/>
    <w:rsid w:val="00AB0BAD"/>
    <w:rsid w:val="00AB2D34"/>
    <w:rsid w:val="00AB3430"/>
    <w:rsid w:val="00AB357B"/>
    <w:rsid w:val="00AB4AD1"/>
    <w:rsid w:val="00AB5A21"/>
    <w:rsid w:val="00AB7A8B"/>
    <w:rsid w:val="00AB7CFA"/>
    <w:rsid w:val="00AC33A8"/>
    <w:rsid w:val="00AC5B48"/>
    <w:rsid w:val="00AD1550"/>
    <w:rsid w:val="00AD218D"/>
    <w:rsid w:val="00AD5CBE"/>
    <w:rsid w:val="00AD6502"/>
    <w:rsid w:val="00AE1435"/>
    <w:rsid w:val="00AE1ACE"/>
    <w:rsid w:val="00AE7B17"/>
    <w:rsid w:val="00AF1315"/>
    <w:rsid w:val="00AF19BF"/>
    <w:rsid w:val="00AF217C"/>
    <w:rsid w:val="00AF2DC3"/>
    <w:rsid w:val="00AF2F00"/>
    <w:rsid w:val="00AF3A1D"/>
    <w:rsid w:val="00AF7478"/>
    <w:rsid w:val="00B02BC4"/>
    <w:rsid w:val="00B02BCE"/>
    <w:rsid w:val="00B033E5"/>
    <w:rsid w:val="00B03A63"/>
    <w:rsid w:val="00B050AB"/>
    <w:rsid w:val="00B10795"/>
    <w:rsid w:val="00B141C3"/>
    <w:rsid w:val="00B201A4"/>
    <w:rsid w:val="00B2037E"/>
    <w:rsid w:val="00B213A6"/>
    <w:rsid w:val="00B21A16"/>
    <w:rsid w:val="00B23E41"/>
    <w:rsid w:val="00B24DF6"/>
    <w:rsid w:val="00B24FF9"/>
    <w:rsid w:val="00B34FE2"/>
    <w:rsid w:val="00B351FB"/>
    <w:rsid w:val="00B357D8"/>
    <w:rsid w:val="00B3611B"/>
    <w:rsid w:val="00B37BFC"/>
    <w:rsid w:val="00B37E97"/>
    <w:rsid w:val="00B40358"/>
    <w:rsid w:val="00B41614"/>
    <w:rsid w:val="00B420A2"/>
    <w:rsid w:val="00B42851"/>
    <w:rsid w:val="00B42F80"/>
    <w:rsid w:val="00B435CB"/>
    <w:rsid w:val="00B50DB8"/>
    <w:rsid w:val="00B517DE"/>
    <w:rsid w:val="00B53654"/>
    <w:rsid w:val="00B53905"/>
    <w:rsid w:val="00B54B5B"/>
    <w:rsid w:val="00B5562E"/>
    <w:rsid w:val="00B57000"/>
    <w:rsid w:val="00B579D0"/>
    <w:rsid w:val="00B60939"/>
    <w:rsid w:val="00B60AFD"/>
    <w:rsid w:val="00B62715"/>
    <w:rsid w:val="00B6619C"/>
    <w:rsid w:val="00B6641A"/>
    <w:rsid w:val="00B67D17"/>
    <w:rsid w:val="00B70B59"/>
    <w:rsid w:val="00B71074"/>
    <w:rsid w:val="00B73F11"/>
    <w:rsid w:val="00B75AB1"/>
    <w:rsid w:val="00B75B3D"/>
    <w:rsid w:val="00B75CB1"/>
    <w:rsid w:val="00B80FE2"/>
    <w:rsid w:val="00B818A4"/>
    <w:rsid w:val="00B8287F"/>
    <w:rsid w:val="00B84117"/>
    <w:rsid w:val="00B846C9"/>
    <w:rsid w:val="00B85AA2"/>
    <w:rsid w:val="00B85E21"/>
    <w:rsid w:val="00B8649C"/>
    <w:rsid w:val="00B87F0A"/>
    <w:rsid w:val="00B92D0B"/>
    <w:rsid w:val="00B9487B"/>
    <w:rsid w:val="00B94945"/>
    <w:rsid w:val="00B95DC0"/>
    <w:rsid w:val="00B97A09"/>
    <w:rsid w:val="00B97EE2"/>
    <w:rsid w:val="00BA322D"/>
    <w:rsid w:val="00BA4688"/>
    <w:rsid w:val="00BA5460"/>
    <w:rsid w:val="00BA586D"/>
    <w:rsid w:val="00BA7CB6"/>
    <w:rsid w:val="00BA7E46"/>
    <w:rsid w:val="00BB0BDD"/>
    <w:rsid w:val="00BB0C72"/>
    <w:rsid w:val="00BB217F"/>
    <w:rsid w:val="00BB2A73"/>
    <w:rsid w:val="00BB4ACC"/>
    <w:rsid w:val="00BB703E"/>
    <w:rsid w:val="00BB7405"/>
    <w:rsid w:val="00BC04B3"/>
    <w:rsid w:val="00BC09AC"/>
    <w:rsid w:val="00BC19E6"/>
    <w:rsid w:val="00BC1A06"/>
    <w:rsid w:val="00BC24F3"/>
    <w:rsid w:val="00BC3631"/>
    <w:rsid w:val="00BD1912"/>
    <w:rsid w:val="00BD2566"/>
    <w:rsid w:val="00BD2FD4"/>
    <w:rsid w:val="00BD45C8"/>
    <w:rsid w:val="00BD68A3"/>
    <w:rsid w:val="00BD6938"/>
    <w:rsid w:val="00BD6CF3"/>
    <w:rsid w:val="00BE06E2"/>
    <w:rsid w:val="00BE0FC0"/>
    <w:rsid w:val="00BE2180"/>
    <w:rsid w:val="00BE21F2"/>
    <w:rsid w:val="00BE4275"/>
    <w:rsid w:val="00BE47C0"/>
    <w:rsid w:val="00BF0F95"/>
    <w:rsid w:val="00BF13DF"/>
    <w:rsid w:val="00BF1B5C"/>
    <w:rsid w:val="00BF2195"/>
    <w:rsid w:val="00BF2433"/>
    <w:rsid w:val="00BF61C9"/>
    <w:rsid w:val="00BF6C94"/>
    <w:rsid w:val="00C00424"/>
    <w:rsid w:val="00C042F5"/>
    <w:rsid w:val="00C069DB"/>
    <w:rsid w:val="00C115C0"/>
    <w:rsid w:val="00C12C14"/>
    <w:rsid w:val="00C148BA"/>
    <w:rsid w:val="00C171CD"/>
    <w:rsid w:val="00C200AA"/>
    <w:rsid w:val="00C237ED"/>
    <w:rsid w:val="00C24632"/>
    <w:rsid w:val="00C25418"/>
    <w:rsid w:val="00C25D9C"/>
    <w:rsid w:val="00C265D2"/>
    <w:rsid w:val="00C2778B"/>
    <w:rsid w:val="00C3012B"/>
    <w:rsid w:val="00C31649"/>
    <w:rsid w:val="00C3325E"/>
    <w:rsid w:val="00C36232"/>
    <w:rsid w:val="00C374AD"/>
    <w:rsid w:val="00C37B48"/>
    <w:rsid w:val="00C37D3E"/>
    <w:rsid w:val="00C40385"/>
    <w:rsid w:val="00C44FB9"/>
    <w:rsid w:val="00C466C2"/>
    <w:rsid w:val="00C4718C"/>
    <w:rsid w:val="00C475AA"/>
    <w:rsid w:val="00C53F36"/>
    <w:rsid w:val="00C57358"/>
    <w:rsid w:val="00C643E8"/>
    <w:rsid w:val="00C648C2"/>
    <w:rsid w:val="00C65576"/>
    <w:rsid w:val="00C66165"/>
    <w:rsid w:val="00C66B28"/>
    <w:rsid w:val="00C67AA1"/>
    <w:rsid w:val="00C7151A"/>
    <w:rsid w:val="00C71F60"/>
    <w:rsid w:val="00C72241"/>
    <w:rsid w:val="00C750C8"/>
    <w:rsid w:val="00C7560F"/>
    <w:rsid w:val="00C772D7"/>
    <w:rsid w:val="00C80A0E"/>
    <w:rsid w:val="00C81D36"/>
    <w:rsid w:val="00C8213F"/>
    <w:rsid w:val="00C871B9"/>
    <w:rsid w:val="00C8797A"/>
    <w:rsid w:val="00C900B8"/>
    <w:rsid w:val="00C90C71"/>
    <w:rsid w:val="00C922BD"/>
    <w:rsid w:val="00C92D63"/>
    <w:rsid w:val="00C931CF"/>
    <w:rsid w:val="00C938CF"/>
    <w:rsid w:val="00C9435C"/>
    <w:rsid w:val="00C9624D"/>
    <w:rsid w:val="00C969DA"/>
    <w:rsid w:val="00C96BEA"/>
    <w:rsid w:val="00C97764"/>
    <w:rsid w:val="00C977A4"/>
    <w:rsid w:val="00CA1348"/>
    <w:rsid w:val="00CA1D1B"/>
    <w:rsid w:val="00CA1F05"/>
    <w:rsid w:val="00CA2C77"/>
    <w:rsid w:val="00CA444F"/>
    <w:rsid w:val="00CA5245"/>
    <w:rsid w:val="00CA71F4"/>
    <w:rsid w:val="00CA7B09"/>
    <w:rsid w:val="00CB2F2A"/>
    <w:rsid w:val="00CB5B1A"/>
    <w:rsid w:val="00CB6B22"/>
    <w:rsid w:val="00CB755D"/>
    <w:rsid w:val="00CB7F5F"/>
    <w:rsid w:val="00CC1B39"/>
    <w:rsid w:val="00CC2E84"/>
    <w:rsid w:val="00CC6743"/>
    <w:rsid w:val="00CC6805"/>
    <w:rsid w:val="00CC7100"/>
    <w:rsid w:val="00CD10FC"/>
    <w:rsid w:val="00CD6A85"/>
    <w:rsid w:val="00CD6ADC"/>
    <w:rsid w:val="00CE1B8A"/>
    <w:rsid w:val="00CE6016"/>
    <w:rsid w:val="00CE6274"/>
    <w:rsid w:val="00CF2B8D"/>
    <w:rsid w:val="00CF456B"/>
    <w:rsid w:val="00CF4B5B"/>
    <w:rsid w:val="00CF5A22"/>
    <w:rsid w:val="00D0002B"/>
    <w:rsid w:val="00D0262E"/>
    <w:rsid w:val="00D0313D"/>
    <w:rsid w:val="00D110BD"/>
    <w:rsid w:val="00D13675"/>
    <w:rsid w:val="00D137CF"/>
    <w:rsid w:val="00D141E1"/>
    <w:rsid w:val="00D15EEE"/>
    <w:rsid w:val="00D17D6C"/>
    <w:rsid w:val="00D25F86"/>
    <w:rsid w:val="00D26B02"/>
    <w:rsid w:val="00D2754D"/>
    <w:rsid w:val="00D27B27"/>
    <w:rsid w:val="00D27E7B"/>
    <w:rsid w:val="00D27ED7"/>
    <w:rsid w:val="00D27FAA"/>
    <w:rsid w:val="00D33BE9"/>
    <w:rsid w:val="00D350E6"/>
    <w:rsid w:val="00D357FF"/>
    <w:rsid w:val="00D40FE0"/>
    <w:rsid w:val="00D424C7"/>
    <w:rsid w:val="00D42ABD"/>
    <w:rsid w:val="00D43B2A"/>
    <w:rsid w:val="00D47575"/>
    <w:rsid w:val="00D51F50"/>
    <w:rsid w:val="00D550F5"/>
    <w:rsid w:val="00D6344E"/>
    <w:rsid w:val="00D6587C"/>
    <w:rsid w:val="00D66EC6"/>
    <w:rsid w:val="00D6765E"/>
    <w:rsid w:val="00D70F16"/>
    <w:rsid w:val="00D728D9"/>
    <w:rsid w:val="00D72D23"/>
    <w:rsid w:val="00D730F8"/>
    <w:rsid w:val="00D76A44"/>
    <w:rsid w:val="00D77E3F"/>
    <w:rsid w:val="00D805E7"/>
    <w:rsid w:val="00D815EF"/>
    <w:rsid w:val="00D82C11"/>
    <w:rsid w:val="00D913E0"/>
    <w:rsid w:val="00D91923"/>
    <w:rsid w:val="00D93753"/>
    <w:rsid w:val="00DA18AA"/>
    <w:rsid w:val="00DA3167"/>
    <w:rsid w:val="00DA344C"/>
    <w:rsid w:val="00DA4DC3"/>
    <w:rsid w:val="00DA77A5"/>
    <w:rsid w:val="00DB484F"/>
    <w:rsid w:val="00DB56E2"/>
    <w:rsid w:val="00DC04F6"/>
    <w:rsid w:val="00DC3C57"/>
    <w:rsid w:val="00DC4FBD"/>
    <w:rsid w:val="00DC5501"/>
    <w:rsid w:val="00DC7115"/>
    <w:rsid w:val="00DD273C"/>
    <w:rsid w:val="00DD3F28"/>
    <w:rsid w:val="00DD3F60"/>
    <w:rsid w:val="00DD4537"/>
    <w:rsid w:val="00DD4D81"/>
    <w:rsid w:val="00DD4E15"/>
    <w:rsid w:val="00DD552D"/>
    <w:rsid w:val="00DD6608"/>
    <w:rsid w:val="00DD677B"/>
    <w:rsid w:val="00DD6C2D"/>
    <w:rsid w:val="00DE0340"/>
    <w:rsid w:val="00DE3138"/>
    <w:rsid w:val="00DE37D2"/>
    <w:rsid w:val="00DE37F8"/>
    <w:rsid w:val="00DE4FCB"/>
    <w:rsid w:val="00DE7832"/>
    <w:rsid w:val="00DF18FC"/>
    <w:rsid w:val="00DF1DF6"/>
    <w:rsid w:val="00DF5D2B"/>
    <w:rsid w:val="00E00E8E"/>
    <w:rsid w:val="00E01430"/>
    <w:rsid w:val="00E0270D"/>
    <w:rsid w:val="00E02E4C"/>
    <w:rsid w:val="00E038D1"/>
    <w:rsid w:val="00E03B17"/>
    <w:rsid w:val="00E05630"/>
    <w:rsid w:val="00E06DBB"/>
    <w:rsid w:val="00E10149"/>
    <w:rsid w:val="00E1101B"/>
    <w:rsid w:val="00E12C95"/>
    <w:rsid w:val="00E15947"/>
    <w:rsid w:val="00E16372"/>
    <w:rsid w:val="00E16FF2"/>
    <w:rsid w:val="00E1732D"/>
    <w:rsid w:val="00E17D2B"/>
    <w:rsid w:val="00E20BED"/>
    <w:rsid w:val="00E20E4D"/>
    <w:rsid w:val="00E20ED6"/>
    <w:rsid w:val="00E21358"/>
    <w:rsid w:val="00E2218A"/>
    <w:rsid w:val="00E2249B"/>
    <w:rsid w:val="00E22A0D"/>
    <w:rsid w:val="00E23F7C"/>
    <w:rsid w:val="00E267CD"/>
    <w:rsid w:val="00E2771E"/>
    <w:rsid w:val="00E32721"/>
    <w:rsid w:val="00E33DDF"/>
    <w:rsid w:val="00E34948"/>
    <w:rsid w:val="00E37569"/>
    <w:rsid w:val="00E40201"/>
    <w:rsid w:val="00E41E30"/>
    <w:rsid w:val="00E42DE9"/>
    <w:rsid w:val="00E43D70"/>
    <w:rsid w:val="00E466F3"/>
    <w:rsid w:val="00E47B2C"/>
    <w:rsid w:val="00E51560"/>
    <w:rsid w:val="00E54347"/>
    <w:rsid w:val="00E55424"/>
    <w:rsid w:val="00E55BB5"/>
    <w:rsid w:val="00E62428"/>
    <w:rsid w:val="00E63452"/>
    <w:rsid w:val="00E652B1"/>
    <w:rsid w:val="00E65E79"/>
    <w:rsid w:val="00E66BA2"/>
    <w:rsid w:val="00E67416"/>
    <w:rsid w:val="00E70902"/>
    <w:rsid w:val="00E70AF6"/>
    <w:rsid w:val="00E70B53"/>
    <w:rsid w:val="00E718B6"/>
    <w:rsid w:val="00E723BA"/>
    <w:rsid w:val="00E73581"/>
    <w:rsid w:val="00E7446F"/>
    <w:rsid w:val="00E7508E"/>
    <w:rsid w:val="00E75981"/>
    <w:rsid w:val="00E75CE3"/>
    <w:rsid w:val="00E77B1F"/>
    <w:rsid w:val="00E811CA"/>
    <w:rsid w:val="00E833F7"/>
    <w:rsid w:val="00E83BDF"/>
    <w:rsid w:val="00E86749"/>
    <w:rsid w:val="00E87A1D"/>
    <w:rsid w:val="00E91AC3"/>
    <w:rsid w:val="00E926A5"/>
    <w:rsid w:val="00E92A31"/>
    <w:rsid w:val="00E9428D"/>
    <w:rsid w:val="00E94B16"/>
    <w:rsid w:val="00EA17C3"/>
    <w:rsid w:val="00EA2CAA"/>
    <w:rsid w:val="00EA37AB"/>
    <w:rsid w:val="00EA3864"/>
    <w:rsid w:val="00EA3B04"/>
    <w:rsid w:val="00EA5CE6"/>
    <w:rsid w:val="00EB15B6"/>
    <w:rsid w:val="00EB39DA"/>
    <w:rsid w:val="00EB3DFE"/>
    <w:rsid w:val="00EB4916"/>
    <w:rsid w:val="00EB4945"/>
    <w:rsid w:val="00EB6A83"/>
    <w:rsid w:val="00EC00C9"/>
    <w:rsid w:val="00EC1CD5"/>
    <w:rsid w:val="00EC2649"/>
    <w:rsid w:val="00EC3B3D"/>
    <w:rsid w:val="00EC7BB1"/>
    <w:rsid w:val="00ED30CE"/>
    <w:rsid w:val="00ED57EA"/>
    <w:rsid w:val="00ED7C0C"/>
    <w:rsid w:val="00EE07D3"/>
    <w:rsid w:val="00EE0EAC"/>
    <w:rsid w:val="00EE22AF"/>
    <w:rsid w:val="00EE36DF"/>
    <w:rsid w:val="00EE650C"/>
    <w:rsid w:val="00EE7502"/>
    <w:rsid w:val="00EF0171"/>
    <w:rsid w:val="00EF10EB"/>
    <w:rsid w:val="00EF1B25"/>
    <w:rsid w:val="00EF4747"/>
    <w:rsid w:val="00EF4BF8"/>
    <w:rsid w:val="00EF5E20"/>
    <w:rsid w:val="00F01B32"/>
    <w:rsid w:val="00F02253"/>
    <w:rsid w:val="00F02CFC"/>
    <w:rsid w:val="00F03C2E"/>
    <w:rsid w:val="00F04A66"/>
    <w:rsid w:val="00F04D48"/>
    <w:rsid w:val="00F0516C"/>
    <w:rsid w:val="00F067A2"/>
    <w:rsid w:val="00F1263A"/>
    <w:rsid w:val="00F1462C"/>
    <w:rsid w:val="00F24837"/>
    <w:rsid w:val="00F2575F"/>
    <w:rsid w:val="00F27565"/>
    <w:rsid w:val="00F27F98"/>
    <w:rsid w:val="00F30B4D"/>
    <w:rsid w:val="00F310D4"/>
    <w:rsid w:val="00F31D5A"/>
    <w:rsid w:val="00F32506"/>
    <w:rsid w:val="00F33DE9"/>
    <w:rsid w:val="00F344FF"/>
    <w:rsid w:val="00F3619A"/>
    <w:rsid w:val="00F373AC"/>
    <w:rsid w:val="00F37790"/>
    <w:rsid w:val="00F40AAA"/>
    <w:rsid w:val="00F40BA7"/>
    <w:rsid w:val="00F416F9"/>
    <w:rsid w:val="00F46CB6"/>
    <w:rsid w:val="00F47DE8"/>
    <w:rsid w:val="00F5217C"/>
    <w:rsid w:val="00F52AAF"/>
    <w:rsid w:val="00F52C50"/>
    <w:rsid w:val="00F53747"/>
    <w:rsid w:val="00F542C1"/>
    <w:rsid w:val="00F55E73"/>
    <w:rsid w:val="00F55EDA"/>
    <w:rsid w:val="00F57A4A"/>
    <w:rsid w:val="00F60092"/>
    <w:rsid w:val="00F61D35"/>
    <w:rsid w:val="00F626C2"/>
    <w:rsid w:val="00F65F4B"/>
    <w:rsid w:val="00F66598"/>
    <w:rsid w:val="00F70C9D"/>
    <w:rsid w:val="00F749D2"/>
    <w:rsid w:val="00F74CD9"/>
    <w:rsid w:val="00F751E7"/>
    <w:rsid w:val="00F80A7B"/>
    <w:rsid w:val="00F80E5D"/>
    <w:rsid w:val="00F8219B"/>
    <w:rsid w:val="00F829C0"/>
    <w:rsid w:val="00F82D30"/>
    <w:rsid w:val="00F849ED"/>
    <w:rsid w:val="00F851CE"/>
    <w:rsid w:val="00F91219"/>
    <w:rsid w:val="00F91333"/>
    <w:rsid w:val="00F97A78"/>
    <w:rsid w:val="00FA0B20"/>
    <w:rsid w:val="00FA0F88"/>
    <w:rsid w:val="00FA11BF"/>
    <w:rsid w:val="00FA1B17"/>
    <w:rsid w:val="00FA24E7"/>
    <w:rsid w:val="00FA3FFA"/>
    <w:rsid w:val="00FA4736"/>
    <w:rsid w:val="00FB2FCB"/>
    <w:rsid w:val="00FB372E"/>
    <w:rsid w:val="00FB5369"/>
    <w:rsid w:val="00FC1074"/>
    <w:rsid w:val="00FC1884"/>
    <w:rsid w:val="00FC371D"/>
    <w:rsid w:val="00FC5F0B"/>
    <w:rsid w:val="00FC61DB"/>
    <w:rsid w:val="00FC76FA"/>
    <w:rsid w:val="00FD072C"/>
    <w:rsid w:val="00FD2100"/>
    <w:rsid w:val="00FD436C"/>
    <w:rsid w:val="00FD446D"/>
    <w:rsid w:val="00FD6394"/>
    <w:rsid w:val="00FE0E6C"/>
    <w:rsid w:val="00FE700B"/>
    <w:rsid w:val="00FE70C3"/>
    <w:rsid w:val="00FE7582"/>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1" w:qFormat="1"/>
    <w:lsdException w:name="heading 4" w:qFormat="1"/>
    <w:lsdException w:name="heading 5" w:qFormat="1"/>
    <w:lsdException w:name="heading 6" w:qFormat="1"/>
    <w:lsdException w:name="heading 7" w:semiHidden="1" w:uiPriority="7"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 w:unhideWhenUsed="1"/>
    <w:lsdException w:name="Body Text 3" w:semiHidden="1" w:uiPriority="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PBACHeading1"/>
    <w:next w:val="Normal"/>
    <w:link w:val="Heading1Char"/>
    <w:qFormat/>
    <w:rsid w:val="00FD072C"/>
    <w:pPr>
      <w:keepNext/>
      <w:spacing w:after="120"/>
      <w:outlineLvl w:val="0"/>
    </w:pPr>
  </w:style>
  <w:style w:type="paragraph" w:styleId="Heading2">
    <w:name w:val="heading 2"/>
    <w:basedOn w:val="Normal"/>
    <w:next w:val="Normal"/>
    <w:link w:val="Heading2Char"/>
    <w:qFormat/>
    <w:rsid w:val="001D3277"/>
    <w:pPr>
      <w:keepNext/>
      <w:spacing w:after="120"/>
      <w:outlineLvl w:val="1"/>
    </w:pPr>
    <w:rPr>
      <w:b/>
      <w:i/>
      <w:sz w:val="28"/>
    </w:rPr>
  </w:style>
  <w:style w:type="paragraph" w:styleId="Heading3">
    <w:name w:val="heading 3"/>
    <w:basedOn w:val="Normal"/>
    <w:next w:val="Normal"/>
    <w:link w:val="Heading3Char"/>
    <w:uiPriority w:val="1"/>
    <w:qFormat/>
    <w:rsid w:val="001F7361"/>
    <w:pPr>
      <w:outlineLvl w:val="2"/>
    </w:pPr>
    <w:rPr>
      <w:u w:val="single"/>
    </w:rPr>
  </w:style>
  <w:style w:type="paragraph" w:styleId="Heading4">
    <w:name w:val="heading 4"/>
    <w:aliases w:val="Heading 1 - Body"/>
    <w:basedOn w:val="Normal"/>
    <w:next w:val="Normal"/>
    <w:link w:val="Heading4Char"/>
    <w:qFormat/>
    <w:rsid w:val="00124A51"/>
    <w:pPr>
      <w:keepNext/>
      <w:spacing w:before="240" w:after="60"/>
      <w:outlineLvl w:val="3"/>
    </w:pPr>
    <w:rPr>
      <w:b/>
      <w:bCs/>
      <w:i/>
      <w:sz w:val="26"/>
      <w:szCs w:val="28"/>
    </w:rPr>
  </w:style>
  <w:style w:type="paragraph" w:styleId="Heading5">
    <w:name w:val="heading 5"/>
    <w:aliases w:val="Heading 2 - Body"/>
    <w:basedOn w:val="Normal"/>
    <w:next w:val="Normal"/>
    <w:link w:val="Heading5Char"/>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aliases w:val="Section heading - Body"/>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D3277"/>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aliases w:val="Section heading - Body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qFormat/>
    <w:rsid w:val="000D1BFC"/>
    <w:rPr>
      <w:b/>
      <w:sz w:val="20"/>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Bullet"/>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V5.0 Exec bullet List 1,Bullet point,List Paragraph1,List Paragraph11,Recommendation"/>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V5.0 Exec bullet List 1 Char,Bullet point Char,List Paragraph1 Char,List Paragraph11 Char,Recommendation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ind w:left="425" w:hanging="425"/>
    </w:pPr>
    <w:rPr>
      <w:szCs w:val="24"/>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unhideWhenUsed/>
    <w:rsid w:val="00B34FE2"/>
    <w:rPr>
      <w:rFonts w:ascii="Tahoma" w:hAnsi="Tahoma" w:cs="Tahoma"/>
      <w:sz w:val="16"/>
      <w:szCs w:val="16"/>
    </w:rPr>
  </w:style>
  <w:style w:type="character" w:customStyle="1" w:styleId="BalloonTextChar">
    <w:name w:val="Balloon Text Char"/>
    <w:basedOn w:val="DefaultParagraphFont"/>
    <w:link w:val="BalloonText"/>
    <w:rsid w:val="00B34FE2"/>
    <w:rPr>
      <w:rFonts w:ascii="Tahoma" w:hAnsi="Tahoma" w:cs="Tahoma"/>
      <w:snapToGrid w:val="0"/>
      <w:sz w:val="16"/>
      <w:szCs w:val="16"/>
      <w:lang w:eastAsia="en-US"/>
    </w:rPr>
  </w:style>
  <w:style w:type="paragraph" w:customStyle="1" w:styleId="TableText0">
    <w:name w:val="Table Text"/>
    <w:basedOn w:val="Normal"/>
    <w:qFormat/>
    <w:rsid w:val="00EB3DFE"/>
    <w:pPr>
      <w:keepNext/>
      <w:widowControl/>
      <w:spacing w:before="40" w:after="40"/>
      <w:jc w:val="left"/>
    </w:pPr>
    <w:rPr>
      <w:rFonts w:ascii="Arial Narrow" w:eastAsiaTheme="minorHAnsi" w:hAnsi="Arial Narrow" w:cstheme="minorBidi"/>
      <w:snapToGrid/>
      <w:sz w:val="20"/>
    </w:rPr>
  </w:style>
  <w:style w:type="paragraph" w:customStyle="1" w:styleId="TableHeading0">
    <w:name w:val="Table Heading"/>
    <w:basedOn w:val="Normal"/>
    <w:qFormat/>
    <w:rsid w:val="00EB3DFE"/>
    <w:pPr>
      <w:keepNext/>
      <w:widowControl/>
      <w:spacing w:after="60"/>
      <w:jc w:val="left"/>
    </w:pPr>
    <w:rPr>
      <w:rFonts w:ascii="Arial Narrow" w:eastAsiaTheme="minorHAnsi" w:hAnsi="Arial Narrow" w:cstheme="minorBidi"/>
      <w:b/>
      <w:snapToGrid/>
      <w:sz w:val="20"/>
    </w:rPr>
  </w:style>
  <w:style w:type="paragraph" w:styleId="FootnoteText">
    <w:name w:val="footnote text"/>
    <w:basedOn w:val="Normal"/>
    <w:link w:val="FootnoteTextChar"/>
    <w:uiPriority w:val="99"/>
    <w:unhideWhenUsed/>
    <w:rsid w:val="00EB3DFE"/>
    <w:pPr>
      <w:widowControl/>
      <w:jc w:val="left"/>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uiPriority w:val="99"/>
    <w:rsid w:val="00EB3DFE"/>
    <w:rPr>
      <w:rFonts w:asciiTheme="minorHAnsi" w:eastAsiaTheme="minorHAnsi" w:hAnsiTheme="minorHAnsi" w:cstheme="minorBidi"/>
      <w:sz w:val="18"/>
      <w:lang w:eastAsia="en-US"/>
    </w:rPr>
  </w:style>
  <w:style w:type="character" w:styleId="FootnoteReference">
    <w:name w:val="footnote reference"/>
    <w:basedOn w:val="DefaultParagraphFont"/>
    <w:uiPriority w:val="99"/>
    <w:unhideWhenUsed/>
    <w:rsid w:val="00EB3DFE"/>
    <w:rPr>
      <w:vertAlign w:val="superscript"/>
    </w:rPr>
  </w:style>
  <w:style w:type="character" w:customStyle="1" w:styleId="element-citation">
    <w:name w:val="element-citation"/>
    <w:basedOn w:val="DefaultParagraphFont"/>
    <w:rsid w:val="00EB3DFE"/>
  </w:style>
  <w:style w:type="character" w:customStyle="1" w:styleId="ref-journal">
    <w:name w:val="ref-journal"/>
    <w:basedOn w:val="DefaultParagraphFont"/>
    <w:rsid w:val="00EB3DFE"/>
  </w:style>
  <w:style w:type="character" w:customStyle="1" w:styleId="ref-vol">
    <w:name w:val="ref-vol"/>
    <w:basedOn w:val="DefaultParagraphFont"/>
    <w:rsid w:val="00EB3DFE"/>
  </w:style>
  <w:style w:type="paragraph" w:customStyle="1" w:styleId="V50InstructionsBullets">
    <w:name w:val="V5.0 Instructions Bullets"/>
    <w:basedOn w:val="Normal"/>
    <w:qFormat/>
    <w:rsid w:val="00EB3DFE"/>
    <w:pPr>
      <w:widowControl/>
      <w:ind w:left="714" w:hanging="357"/>
      <w:jc w:val="left"/>
    </w:pPr>
    <w:rPr>
      <w:rFonts w:asciiTheme="minorHAnsi" w:eastAsiaTheme="minorHAnsi" w:hAnsiTheme="minorHAnsi" w:cstheme="minorBidi"/>
      <w:snapToGrid/>
      <w:color w:val="4BACC6" w:themeColor="accent5"/>
    </w:rPr>
  </w:style>
  <w:style w:type="paragraph" w:customStyle="1" w:styleId="BulletLast">
    <w:name w:val="Bullet Last"/>
    <w:basedOn w:val="Normal"/>
    <w:qFormat/>
    <w:rsid w:val="00EB3DFE"/>
    <w:pPr>
      <w:widowControl/>
      <w:numPr>
        <w:numId w:val="3"/>
      </w:numPr>
      <w:spacing w:after="240"/>
      <w:ind w:left="357" w:hanging="357"/>
      <w:jc w:val="left"/>
    </w:pPr>
    <w:rPr>
      <w:rFonts w:asciiTheme="minorHAnsi" w:eastAsiaTheme="minorHAnsi" w:hAnsiTheme="minorHAnsi" w:cstheme="minorBidi"/>
      <w:snapToGrid/>
      <w:sz w:val="22"/>
    </w:rPr>
  </w:style>
  <w:style w:type="paragraph" w:customStyle="1" w:styleId="V50Instructions">
    <w:name w:val="V5.0 Instructions"/>
    <w:basedOn w:val="Normal"/>
    <w:link w:val="V50InstructionsChar"/>
    <w:qFormat/>
    <w:rsid w:val="00EB3DFE"/>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EB3DFE"/>
    <w:rPr>
      <w:rFonts w:asciiTheme="minorHAnsi" w:eastAsiaTheme="minorHAnsi" w:hAnsiTheme="minorHAnsi" w:cstheme="minorBidi"/>
      <w:color w:val="4BACC6" w:themeColor="accent5"/>
      <w:sz w:val="24"/>
      <w:szCs w:val="22"/>
      <w:lang w:eastAsia="en-US"/>
    </w:rPr>
  </w:style>
  <w:style w:type="table" w:customStyle="1" w:styleId="TableGridLight1">
    <w:name w:val="Table Grid Light1"/>
    <w:basedOn w:val="TableNormal"/>
    <w:uiPriority w:val="40"/>
    <w:rsid w:val="007B2E65"/>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FD072C"/>
    <w:rPr>
      <w:rFonts w:ascii="Calibri" w:hAnsi="Calibri" w:cs="Arial"/>
      <w:b/>
      <w:snapToGrid w:val="0"/>
      <w:sz w:val="32"/>
      <w:szCs w:val="22"/>
      <w:lang w:eastAsia="en-US"/>
    </w:rPr>
  </w:style>
  <w:style w:type="character" w:customStyle="1" w:styleId="Heading3Char">
    <w:name w:val="Heading 3 Char"/>
    <w:basedOn w:val="DefaultParagraphFont"/>
    <w:link w:val="Heading3"/>
    <w:uiPriority w:val="9"/>
    <w:rsid w:val="007B2E65"/>
    <w:rPr>
      <w:rFonts w:ascii="Calibri" w:hAnsi="Calibri" w:cs="Arial"/>
      <w:snapToGrid w:val="0"/>
      <w:sz w:val="24"/>
      <w:szCs w:val="22"/>
      <w:u w:val="single"/>
      <w:lang w:eastAsia="en-US"/>
    </w:rPr>
  </w:style>
  <w:style w:type="paragraph" w:customStyle="1" w:styleId="V50Heading2nonumbers">
    <w:name w:val="V5.0 Heading 2 no numbers"/>
    <w:basedOn w:val="Heading2"/>
    <w:qFormat/>
    <w:rsid w:val="007B2E65"/>
    <w:pPr>
      <w:keepLines/>
      <w:widowControl/>
      <w:spacing w:before="240"/>
      <w:ind w:left="578" w:hanging="578"/>
      <w:jc w:val="left"/>
    </w:pPr>
    <w:rPr>
      <w:rFonts w:asciiTheme="minorHAnsi" w:eastAsiaTheme="majorEastAsia" w:hAnsiTheme="minorHAnsi" w:cstheme="majorBidi"/>
      <w:snapToGrid/>
      <w:szCs w:val="28"/>
    </w:rPr>
  </w:style>
  <w:style w:type="character" w:customStyle="1" w:styleId="Heading4Char">
    <w:name w:val="Heading 4 Char"/>
    <w:aliases w:val="Heading 1 - Body Char"/>
    <w:basedOn w:val="DefaultParagraphFont"/>
    <w:link w:val="Heading4"/>
    <w:uiPriority w:val="5"/>
    <w:rsid w:val="007B2E65"/>
    <w:rPr>
      <w:rFonts w:ascii="Calibri" w:hAnsi="Calibri" w:cs="Arial"/>
      <w:b/>
      <w:bCs/>
      <w:i/>
      <w:snapToGrid w:val="0"/>
      <w:sz w:val="26"/>
      <w:szCs w:val="28"/>
      <w:lang w:eastAsia="en-US"/>
    </w:rPr>
  </w:style>
  <w:style w:type="character" w:customStyle="1" w:styleId="Heading5Char">
    <w:name w:val="Heading 5 Char"/>
    <w:aliases w:val="Heading 2 - Body Char"/>
    <w:basedOn w:val="DefaultParagraphFont"/>
    <w:link w:val="Heading5"/>
    <w:uiPriority w:val="7"/>
    <w:rsid w:val="007B2E65"/>
    <w:rPr>
      <w:rFonts w:ascii="Calibri" w:hAnsi="Calibri" w:cs="Arial"/>
      <w:b/>
      <w:bCs/>
      <w:iCs/>
      <w:snapToGrid w:val="0"/>
      <w:sz w:val="26"/>
      <w:szCs w:val="26"/>
      <w:lang w:eastAsia="en-US"/>
    </w:rPr>
  </w:style>
  <w:style w:type="character" w:customStyle="1" w:styleId="Heading6Char">
    <w:name w:val="Heading 6 Char"/>
    <w:aliases w:val="Heading 3 - Body Char"/>
    <w:basedOn w:val="DefaultParagraphFont"/>
    <w:link w:val="Heading6"/>
    <w:uiPriority w:val="7"/>
    <w:rsid w:val="007B2E65"/>
    <w:rPr>
      <w:rFonts w:ascii="Calibri" w:hAnsi="Calibri" w:cs="Arial"/>
      <w:b/>
      <w:bCs/>
      <w:i/>
      <w:snapToGrid w:val="0"/>
      <w:sz w:val="24"/>
      <w:szCs w:val="22"/>
      <w:lang w:eastAsia="en-US"/>
    </w:rPr>
  </w:style>
  <w:style w:type="paragraph" w:customStyle="1" w:styleId="V50Heading1nonumbers">
    <w:name w:val="V5.0 Heading 1 no numbers"/>
    <w:basedOn w:val="Heading1"/>
    <w:qFormat/>
    <w:rsid w:val="007B2E65"/>
    <w:pPr>
      <w:keepLines/>
      <w:spacing w:before="240"/>
      <w:ind w:left="0" w:firstLine="0"/>
    </w:pPr>
    <w:rPr>
      <w:rFonts w:asciiTheme="minorHAnsi" w:eastAsiaTheme="majorEastAsia" w:hAnsiTheme="minorHAnsi" w:cstheme="majorBidi"/>
      <w:caps/>
      <w:snapToGrid/>
      <w:szCs w:val="28"/>
    </w:rPr>
  </w:style>
  <w:style w:type="paragraph" w:customStyle="1" w:styleId="V50TableText">
    <w:name w:val="V5.0 TableText"/>
    <w:link w:val="V50TableTextChar"/>
    <w:qFormat/>
    <w:rsid w:val="007B2E65"/>
    <w:rPr>
      <w:rFonts w:asciiTheme="minorHAnsi" w:eastAsiaTheme="minorHAnsi" w:hAnsiTheme="minorHAnsi" w:cstheme="minorBidi"/>
      <w:szCs w:val="24"/>
      <w:lang w:val="en-US" w:eastAsia="en-US"/>
    </w:rPr>
  </w:style>
  <w:style w:type="paragraph" w:customStyle="1" w:styleId="V50TableTextInstruction">
    <w:name w:val="V5.0 TableText Instruction"/>
    <w:basedOn w:val="V50TableText"/>
    <w:qFormat/>
    <w:rsid w:val="007B2E65"/>
    <w:rPr>
      <w:b/>
      <w:color w:val="4BACC6" w:themeColor="accent5"/>
    </w:rPr>
  </w:style>
  <w:style w:type="paragraph" w:customStyle="1" w:styleId="TableFigNoteLast">
    <w:name w:val="TableFigNote Last"/>
    <w:basedOn w:val="Normal"/>
    <w:qFormat/>
    <w:rsid w:val="007B2E65"/>
    <w:pPr>
      <w:widowControl/>
      <w:spacing w:after="360"/>
      <w:jc w:val="left"/>
    </w:pPr>
    <w:rPr>
      <w:rFonts w:asciiTheme="minorHAnsi" w:eastAsiaTheme="minorHAnsi" w:hAnsiTheme="minorHAnsi" w:cstheme="minorBidi"/>
      <w:snapToGrid/>
      <w:sz w:val="18"/>
    </w:rPr>
  </w:style>
  <w:style w:type="character" w:styleId="Emphasis">
    <w:name w:val="Emphasis"/>
    <w:basedOn w:val="DefaultParagraphFont"/>
    <w:uiPriority w:val="20"/>
    <w:qFormat/>
    <w:rsid w:val="007B2E65"/>
    <w:rPr>
      <w:b w:val="0"/>
      <w:i/>
      <w:iCs/>
    </w:rPr>
  </w:style>
  <w:style w:type="character" w:customStyle="1" w:styleId="V50TableTextChar">
    <w:name w:val="V5.0 TableText Char"/>
    <w:basedOn w:val="DefaultParagraphFont"/>
    <w:link w:val="V50TableText"/>
    <w:rsid w:val="007B2E65"/>
    <w:rPr>
      <w:rFonts w:asciiTheme="minorHAnsi" w:eastAsiaTheme="minorHAnsi" w:hAnsiTheme="minorHAnsi" w:cstheme="minorBidi"/>
      <w:szCs w:val="24"/>
      <w:lang w:val="en-US" w:eastAsia="en-US"/>
    </w:rPr>
  </w:style>
  <w:style w:type="paragraph" w:customStyle="1" w:styleId="V50Tablename">
    <w:name w:val="V5.0 Table name"/>
    <w:basedOn w:val="V50TableText"/>
    <w:link w:val="V50TablenameChar"/>
    <w:qFormat/>
    <w:rsid w:val="007B2E65"/>
    <w:pPr>
      <w:keepNext/>
    </w:pPr>
    <w:rPr>
      <w:b/>
    </w:rPr>
  </w:style>
  <w:style w:type="character" w:customStyle="1" w:styleId="V50TablenameChar">
    <w:name w:val="V5.0 Table name Char"/>
    <w:basedOn w:val="DefaultParagraphFont"/>
    <w:link w:val="V50Tablename"/>
    <w:rsid w:val="007B2E65"/>
    <w:rPr>
      <w:rFonts w:asciiTheme="minorHAnsi" w:eastAsiaTheme="minorHAnsi" w:hAnsiTheme="minorHAnsi" w:cstheme="minorBidi"/>
      <w:b/>
      <w:szCs w:val="24"/>
      <w:lang w:val="en-US" w:eastAsia="en-US"/>
    </w:rPr>
  </w:style>
  <w:style w:type="paragraph" w:customStyle="1" w:styleId="V50Tablenote">
    <w:name w:val="V5.0 Tablenote"/>
    <w:basedOn w:val="V50TableText"/>
    <w:link w:val="V50TablenoteChar"/>
    <w:qFormat/>
    <w:rsid w:val="007B2E65"/>
    <w:pPr>
      <w:spacing w:after="120"/>
      <w:contextualSpacing/>
      <w:jc w:val="both"/>
    </w:pPr>
    <w:rPr>
      <w:sz w:val="18"/>
      <w:szCs w:val="18"/>
    </w:rPr>
  </w:style>
  <w:style w:type="character" w:customStyle="1" w:styleId="V50TablenoteChar">
    <w:name w:val="V5.0 Tablenote Char"/>
    <w:basedOn w:val="DefaultParagraphFont"/>
    <w:link w:val="V50Tablenote"/>
    <w:rsid w:val="007B2E65"/>
    <w:rPr>
      <w:rFonts w:asciiTheme="minorHAnsi" w:eastAsiaTheme="minorHAnsi" w:hAnsiTheme="minorHAnsi" w:cstheme="minorBidi"/>
      <w:sz w:val="18"/>
      <w:szCs w:val="18"/>
      <w:lang w:val="en-US" w:eastAsia="en-US"/>
    </w:rPr>
  </w:style>
  <w:style w:type="paragraph" w:customStyle="1" w:styleId="TableNotes">
    <w:name w:val="TableNotes"/>
    <w:basedOn w:val="Normal"/>
    <w:qFormat/>
    <w:rsid w:val="007B2E65"/>
    <w:pPr>
      <w:widowControl/>
      <w:spacing w:after="60"/>
      <w:jc w:val="left"/>
    </w:pPr>
    <w:rPr>
      <w:rFonts w:asciiTheme="minorHAnsi" w:eastAsiaTheme="minorHAnsi" w:hAnsiTheme="minorHAnsi" w:cstheme="minorBidi"/>
      <w:snapToGrid/>
      <w:sz w:val="20"/>
    </w:rPr>
  </w:style>
  <w:style w:type="paragraph" w:customStyle="1" w:styleId="oldTablefooter">
    <w:name w:val="old Table footer"/>
    <w:basedOn w:val="Normal"/>
    <w:link w:val="oldTablefooterChar"/>
    <w:qFormat/>
    <w:rsid w:val="007B2E65"/>
    <w:pPr>
      <w:widowControl/>
    </w:pPr>
    <w:rPr>
      <w:rFonts w:asciiTheme="minorHAnsi" w:eastAsiaTheme="minorHAnsi" w:hAnsiTheme="minorHAnsi"/>
      <w:snapToGrid/>
      <w:sz w:val="18"/>
      <w:szCs w:val="18"/>
      <w:lang w:val="en-US"/>
    </w:rPr>
  </w:style>
  <w:style w:type="character" w:customStyle="1" w:styleId="oldTablefooterChar">
    <w:name w:val="old Table footer Char"/>
    <w:basedOn w:val="V50TableTextChar"/>
    <w:link w:val="oldTablefooter"/>
    <w:rsid w:val="007B2E65"/>
    <w:rPr>
      <w:rFonts w:asciiTheme="minorHAnsi" w:eastAsiaTheme="minorHAnsi" w:hAnsiTheme="minorHAnsi" w:cs="Arial"/>
      <w:sz w:val="18"/>
      <w:szCs w:val="18"/>
      <w:lang w:val="en-US" w:eastAsia="en-US"/>
    </w:rPr>
  </w:style>
  <w:style w:type="paragraph" w:styleId="BodyText3">
    <w:name w:val="Body Text 3"/>
    <w:basedOn w:val="Normal"/>
    <w:link w:val="BodyText3Char"/>
    <w:uiPriority w:val="9"/>
    <w:rsid w:val="007B2E65"/>
    <w:pPr>
      <w:spacing w:after="120"/>
    </w:pPr>
    <w:rPr>
      <w:rFonts w:ascii="Arial" w:hAnsi="Arial"/>
      <w:sz w:val="16"/>
      <w:szCs w:val="16"/>
    </w:rPr>
  </w:style>
  <w:style w:type="character" w:customStyle="1" w:styleId="BodyText3Char">
    <w:name w:val="Body Text 3 Char"/>
    <w:basedOn w:val="DefaultParagraphFont"/>
    <w:link w:val="BodyText3"/>
    <w:uiPriority w:val="9"/>
    <w:rsid w:val="007B2E65"/>
    <w:rPr>
      <w:rFonts w:ascii="Arial" w:hAnsi="Arial" w:cs="Arial"/>
      <w:snapToGrid w:val="0"/>
      <w:sz w:val="16"/>
      <w:szCs w:val="16"/>
      <w:lang w:eastAsia="en-US"/>
    </w:rPr>
  </w:style>
  <w:style w:type="paragraph" w:styleId="BodyText2">
    <w:name w:val="Body Text 2"/>
    <w:basedOn w:val="Normal"/>
    <w:link w:val="BodyText2Char"/>
    <w:uiPriority w:val="9"/>
    <w:rsid w:val="007B2E65"/>
    <w:pPr>
      <w:spacing w:after="120" w:line="480" w:lineRule="auto"/>
    </w:pPr>
    <w:rPr>
      <w:rFonts w:ascii="Arial" w:hAnsi="Arial"/>
      <w:sz w:val="22"/>
      <w:szCs w:val="20"/>
    </w:rPr>
  </w:style>
  <w:style w:type="character" w:customStyle="1" w:styleId="BodyText2Char">
    <w:name w:val="Body Text 2 Char"/>
    <w:basedOn w:val="DefaultParagraphFont"/>
    <w:link w:val="BodyText2"/>
    <w:uiPriority w:val="9"/>
    <w:rsid w:val="007B2E65"/>
    <w:rPr>
      <w:rFonts w:ascii="Arial" w:hAnsi="Arial" w:cs="Arial"/>
      <w:snapToGrid w:val="0"/>
      <w:sz w:val="22"/>
      <w:lang w:eastAsia="en-US"/>
    </w:rPr>
  </w:style>
  <w:style w:type="paragraph" w:customStyle="1" w:styleId="TableText1">
    <w:name w:val="TableText"/>
    <w:basedOn w:val="Normal"/>
    <w:uiPriority w:val="9"/>
    <w:rsid w:val="007B2E65"/>
    <w:pPr>
      <w:keepNext/>
      <w:widowControl/>
      <w:spacing w:before="40" w:after="40"/>
      <w:jc w:val="left"/>
    </w:pPr>
    <w:rPr>
      <w:rFonts w:ascii="Arial Narrow" w:hAnsi="Arial Narrow" w:cs="Arial Narrow"/>
      <w:snapToGrid/>
      <w:sz w:val="20"/>
      <w:szCs w:val="20"/>
    </w:rPr>
  </w:style>
  <w:style w:type="paragraph" w:customStyle="1" w:styleId="Style1">
    <w:name w:val="Style1"/>
    <w:basedOn w:val="Normal"/>
    <w:rsid w:val="007B2E65"/>
    <w:rPr>
      <w:rFonts w:ascii="Arial" w:hAnsi="Arial"/>
      <w:sz w:val="22"/>
      <w:szCs w:val="20"/>
    </w:rPr>
  </w:style>
  <w:style w:type="paragraph" w:customStyle="1" w:styleId="PBACheading10">
    <w:name w:val="PBAC heading 1"/>
    <w:qFormat/>
    <w:rsid w:val="007B2E65"/>
    <w:pPr>
      <w:ind w:left="720" w:hanging="720"/>
    </w:pPr>
    <w:rPr>
      <w:rFonts w:ascii="Arial" w:hAnsi="Arial" w:cs="Arial"/>
      <w:snapToGrid w:val="0"/>
      <w:sz w:val="22"/>
      <w:szCs w:val="22"/>
      <w:lang w:eastAsia="en-US"/>
    </w:rPr>
  </w:style>
  <w:style w:type="numbering" w:customStyle="1" w:styleId="Headings">
    <w:name w:val="Headings"/>
    <w:uiPriority w:val="99"/>
    <w:rsid w:val="007B2E65"/>
    <w:pPr>
      <w:numPr>
        <w:numId w:val="7"/>
      </w:numPr>
    </w:pPr>
  </w:style>
  <w:style w:type="paragraph" w:customStyle="1" w:styleId="TableFigNote">
    <w:name w:val="TableFigNote"/>
    <w:basedOn w:val="Normal"/>
    <w:qFormat/>
    <w:rsid w:val="007B2E65"/>
    <w:pPr>
      <w:widowControl/>
      <w:jc w:val="left"/>
    </w:pPr>
    <w:rPr>
      <w:rFonts w:asciiTheme="minorHAnsi" w:eastAsiaTheme="minorHAnsi" w:hAnsiTheme="minorHAnsi" w:cstheme="minorBidi"/>
      <w:snapToGrid/>
      <w:sz w:val="18"/>
    </w:rPr>
  </w:style>
  <w:style w:type="character" w:customStyle="1" w:styleId="StyleArial11pt">
    <w:name w:val="Style Arial 11 pt"/>
    <w:basedOn w:val="DefaultParagraphFont"/>
    <w:rsid w:val="007B2E65"/>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B2E65"/>
    <w:pPr>
      <w:widowControl/>
      <w:spacing w:after="160" w:line="240" w:lineRule="exact"/>
      <w:jc w:val="left"/>
    </w:pPr>
    <w:rPr>
      <w:rFonts w:ascii="Verdana" w:eastAsia="MS Mincho" w:hAnsi="Verdana" w:cs="Verdana"/>
      <w:snapToGrid/>
      <w:sz w:val="20"/>
      <w:szCs w:val="20"/>
      <w:lang w:val="en-US"/>
    </w:rPr>
  </w:style>
  <w:style w:type="paragraph" w:customStyle="1" w:styleId="tabletext00">
    <w:name w:val="tabletext0"/>
    <w:basedOn w:val="Normal"/>
    <w:rsid w:val="007B2E65"/>
    <w:pPr>
      <w:widowControl/>
      <w:spacing w:before="100" w:beforeAutospacing="1" w:after="100" w:afterAutospacing="1"/>
      <w:jc w:val="left"/>
    </w:pPr>
    <w:rPr>
      <w:rFonts w:ascii="Times New Roman" w:hAnsi="Times New Roman" w:cs="Times New Roman"/>
      <w:snapToGrid/>
      <w:szCs w:val="24"/>
      <w:lang w:eastAsia="en-AU"/>
    </w:rPr>
  </w:style>
  <w:style w:type="paragraph" w:customStyle="1" w:styleId="ESnumberedpara">
    <w:name w:val="ES numbered para"/>
    <w:basedOn w:val="Normal"/>
    <w:qFormat/>
    <w:rsid w:val="007B2E65"/>
    <w:pPr>
      <w:widowControl/>
      <w:spacing w:after="120"/>
      <w:ind w:left="720" w:hanging="720"/>
    </w:pPr>
    <w:rPr>
      <w:rFonts w:eastAsiaTheme="minorHAnsi" w:cstheme="minorBidi"/>
      <w:snapToGrid/>
    </w:rPr>
  </w:style>
  <w:style w:type="paragraph" w:customStyle="1" w:styleId="TableFigNotes18">
    <w:name w:val="TableFigNotes+18"/>
    <w:basedOn w:val="BodyText"/>
    <w:next w:val="BodyText"/>
    <w:link w:val="TableFigNotes18Char"/>
    <w:uiPriority w:val="4"/>
    <w:qFormat/>
    <w:rsid w:val="007B2E65"/>
    <w:pPr>
      <w:keepLines/>
      <w:widowControl/>
      <w:spacing w:after="360"/>
      <w:jc w:val="both"/>
    </w:pPr>
    <w:rPr>
      <w:rFonts w:asciiTheme="minorHAnsi" w:eastAsiaTheme="minorHAnsi" w:hAnsiTheme="minorHAnsi" w:cs="Tahoma"/>
      <w:snapToGrid/>
      <w:color w:val="000000"/>
      <w:sz w:val="16"/>
      <w:szCs w:val="18"/>
      <w:lang w:eastAsia="en-AU"/>
    </w:rPr>
  </w:style>
  <w:style w:type="character" w:customStyle="1" w:styleId="TableFigNotes18Char">
    <w:name w:val="TableFigNotes+18 Char"/>
    <w:basedOn w:val="DefaultParagraphFont"/>
    <w:link w:val="TableFigNotes18"/>
    <w:uiPriority w:val="4"/>
    <w:rsid w:val="007B2E65"/>
    <w:rPr>
      <w:rFonts w:asciiTheme="minorHAnsi" w:eastAsiaTheme="minorHAnsi" w:hAnsiTheme="minorHAnsi" w:cs="Tahoma"/>
      <w:color w:val="000000"/>
      <w:sz w:val="16"/>
      <w:szCs w:val="18"/>
    </w:rPr>
  </w:style>
  <w:style w:type="table" w:customStyle="1" w:styleId="HTAsimpletable">
    <w:name w:val="HTA simple table"/>
    <w:basedOn w:val="TableNormal"/>
    <w:uiPriority w:val="99"/>
    <w:rsid w:val="007B2E65"/>
    <w:rPr>
      <w:rFonts w:asciiTheme="minorHAnsi" w:eastAsiaTheme="minorHAnsi" w:hAnsiTheme="minorHAnsi" w:cstheme="minorBidi"/>
      <w:sz w:val="22"/>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Autospacing="0" w:afterLines="0" w:afterAutospacing="0" w:line="240" w:lineRule="auto"/>
      </w:pPr>
      <w:rPr>
        <w:rFonts w:asciiTheme="minorHAnsi" w:hAnsiTheme="minorHAnsi"/>
        <w:b/>
        <w:sz w:val="18"/>
      </w:rPr>
    </w:tblStylePr>
    <w:tblStylePr w:type="band2Horz">
      <w:pPr>
        <w:wordWrap/>
        <w:spacing w:beforeLines="0" w:beforeAutospacing="0" w:afterLines="0" w:afterAutospacing="0" w:line="240" w:lineRule="auto"/>
      </w:pPr>
    </w:tblStylePr>
  </w:style>
  <w:style w:type="paragraph" w:customStyle="1" w:styleId="Tabletextleft">
    <w:name w:val="Table text left"/>
    <w:basedOn w:val="Normal"/>
    <w:link w:val="TabletextleftChar"/>
    <w:qFormat/>
    <w:rsid w:val="007B2E65"/>
    <w:pPr>
      <w:widowControl/>
      <w:spacing w:before="20" w:after="20"/>
      <w:jc w:val="left"/>
    </w:pPr>
    <w:rPr>
      <w:rFonts w:ascii="Times New Roman" w:hAnsi="Times New Roman" w:cs="Times New Roman"/>
      <w:snapToGrid/>
      <w:sz w:val="18"/>
      <w:szCs w:val="20"/>
      <w:lang w:val="en-US" w:eastAsia="en-AU"/>
    </w:rPr>
  </w:style>
  <w:style w:type="character" w:customStyle="1" w:styleId="TabletextleftChar">
    <w:name w:val="Table text left Char"/>
    <w:basedOn w:val="DefaultParagraphFont"/>
    <w:link w:val="Tabletextleft"/>
    <w:rsid w:val="007B2E65"/>
    <w:rPr>
      <w:sz w:val="18"/>
      <w:lang w:val="en-US"/>
    </w:rPr>
  </w:style>
  <w:style w:type="paragraph" w:customStyle="1" w:styleId="Tableheadingcent">
    <w:name w:val="Table heading cent"/>
    <w:basedOn w:val="Normal"/>
    <w:qFormat/>
    <w:rsid w:val="007B2E65"/>
    <w:pPr>
      <w:widowControl/>
      <w:spacing w:before="40" w:after="40"/>
      <w:jc w:val="center"/>
    </w:pPr>
    <w:rPr>
      <w:rFonts w:ascii="Times New Roman" w:hAnsi="Times New Roman" w:cs="Tahoma"/>
      <w:b/>
      <w:snapToGrid/>
      <w:sz w:val="18"/>
      <w:szCs w:val="18"/>
      <w:lang w:val="de-DE"/>
    </w:rPr>
  </w:style>
  <w:style w:type="table" w:customStyle="1" w:styleId="TableHTAsimple">
    <w:name w:val="Table HTA simple"/>
    <w:basedOn w:val="TableNormal"/>
    <w:uiPriority w:val="99"/>
    <w:rsid w:val="007B2E65"/>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Autospacing="0" w:afterLines="0" w:afterAutospacing="0" w:line="240" w:lineRule="auto"/>
      </w:pPr>
      <w:rPr>
        <w:rFonts w:asciiTheme="minorHAnsi" w:hAnsiTheme="minorHAnsi"/>
        <w:b w:val="0"/>
        <w:sz w:val="18"/>
      </w:rPr>
    </w:tblStylePr>
    <w:tblStylePr w:type="band1Horz">
      <w:pPr>
        <w:wordWrap/>
        <w:spacing w:beforeLines="0" w:beforeAutospacing="0" w:afterLines="0" w:afterAutospacing="0" w:line="240" w:lineRule="auto"/>
      </w:pPr>
    </w:tblStylePr>
    <w:tblStylePr w:type="band2Horz">
      <w:pPr>
        <w:wordWrap/>
        <w:spacing w:beforeLines="0" w:beforeAutospacing="0" w:afterLines="0" w:afterAutospacing="0" w:line="240" w:lineRule="auto"/>
      </w:pPr>
    </w:tblStylePr>
  </w:style>
  <w:style w:type="paragraph" w:customStyle="1" w:styleId="Tabletextcent">
    <w:name w:val="Table text cent"/>
    <w:basedOn w:val="Tabletextleft"/>
    <w:qFormat/>
    <w:rsid w:val="007B2E65"/>
    <w:pPr>
      <w:jc w:val="center"/>
    </w:pPr>
    <w:rPr>
      <w:rFonts w:asciiTheme="minorHAnsi" w:hAnsiTheme="minorHAnsi"/>
      <w:lang w:val="de-DE"/>
    </w:rPr>
  </w:style>
  <w:style w:type="paragraph" w:customStyle="1" w:styleId="COMtbl-textLeftAligned">
    <w:name w:val="COMtbl-text Left Aligned"/>
    <w:basedOn w:val="Normal"/>
    <w:qFormat/>
    <w:rsid w:val="007B2E65"/>
    <w:pPr>
      <w:tabs>
        <w:tab w:val="left" w:pos="720"/>
      </w:tabs>
      <w:jc w:val="left"/>
    </w:pPr>
    <w:rPr>
      <w:rFonts w:ascii="Arial Narrow" w:hAnsi="Arial Narrow"/>
      <w:sz w:val="20"/>
      <w:szCs w:val="20"/>
    </w:rPr>
  </w:style>
  <w:style w:type="paragraph" w:styleId="DocumentMap">
    <w:name w:val="Document Map"/>
    <w:basedOn w:val="Normal"/>
    <w:link w:val="DocumentMapChar"/>
    <w:semiHidden/>
    <w:unhideWhenUsed/>
    <w:rsid w:val="00BD1912"/>
    <w:rPr>
      <w:rFonts w:ascii="Lucida Grande" w:hAnsi="Lucida Grande" w:cs="Lucida Grande"/>
      <w:szCs w:val="24"/>
    </w:rPr>
  </w:style>
  <w:style w:type="character" w:customStyle="1" w:styleId="DocumentMapChar">
    <w:name w:val="Document Map Char"/>
    <w:basedOn w:val="DefaultParagraphFont"/>
    <w:link w:val="DocumentMap"/>
    <w:semiHidden/>
    <w:rsid w:val="00BD1912"/>
    <w:rPr>
      <w:rFonts w:ascii="Lucida Grande" w:hAnsi="Lucida Grande" w:cs="Lucida Grande"/>
      <w:snapToGrid w:val="0"/>
      <w:sz w:val="24"/>
      <w:szCs w:val="24"/>
      <w:lang w:eastAsia="en-US"/>
    </w:rPr>
  </w:style>
  <w:style w:type="paragraph" w:customStyle="1" w:styleId="Default">
    <w:name w:val="Default"/>
    <w:rsid w:val="004A25D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115715">
      <w:bodyDiv w:val="1"/>
      <w:marLeft w:val="0"/>
      <w:marRight w:val="0"/>
      <w:marTop w:val="0"/>
      <w:marBottom w:val="0"/>
      <w:divBdr>
        <w:top w:val="none" w:sz="0" w:space="0" w:color="auto"/>
        <w:left w:val="none" w:sz="0" w:space="0" w:color="auto"/>
        <w:bottom w:val="none" w:sz="0" w:space="0" w:color="auto"/>
        <w:right w:val="none" w:sz="0" w:space="0" w:color="auto"/>
      </w:divBdr>
    </w:div>
    <w:div w:id="1107432626">
      <w:bodyDiv w:val="1"/>
      <w:marLeft w:val="0"/>
      <w:marRight w:val="0"/>
      <w:marTop w:val="0"/>
      <w:marBottom w:val="0"/>
      <w:divBdr>
        <w:top w:val="none" w:sz="0" w:space="0" w:color="auto"/>
        <w:left w:val="none" w:sz="0" w:space="0" w:color="auto"/>
        <w:bottom w:val="none" w:sz="0" w:space="0" w:color="auto"/>
        <w:right w:val="none" w:sz="0" w:space="0" w:color="auto"/>
      </w:divBdr>
      <w:divsChild>
        <w:div w:id="1497768050">
          <w:marLeft w:val="0"/>
          <w:marRight w:val="0"/>
          <w:marTop w:val="0"/>
          <w:marBottom w:val="0"/>
          <w:divBdr>
            <w:top w:val="none" w:sz="0" w:space="0" w:color="auto"/>
            <w:left w:val="none" w:sz="0" w:space="0" w:color="auto"/>
            <w:bottom w:val="none" w:sz="0" w:space="0" w:color="auto"/>
            <w:right w:val="none" w:sz="0" w:space="0" w:color="auto"/>
          </w:divBdr>
          <w:divsChild>
            <w:div w:id="1566641992">
              <w:marLeft w:val="0"/>
              <w:marRight w:val="0"/>
              <w:marTop w:val="0"/>
              <w:marBottom w:val="0"/>
              <w:divBdr>
                <w:top w:val="none" w:sz="0" w:space="0" w:color="auto"/>
                <w:left w:val="none" w:sz="0" w:space="0" w:color="auto"/>
                <w:bottom w:val="none" w:sz="0" w:space="0" w:color="auto"/>
                <w:right w:val="none" w:sz="0" w:space="0" w:color="auto"/>
              </w:divBdr>
              <w:divsChild>
                <w:div w:id="1934513297">
                  <w:marLeft w:val="0"/>
                  <w:marRight w:val="0"/>
                  <w:marTop w:val="0"/>
                  <w:marBottom w:val="0"/>
                  <w:divBdr>
                    <w:top w:val="none" w:sz="0" w:space="0" w:color="auto"/>
                    <w:left w:val="none" w:sz="0" w:space="0" w:color="auto"/>
                    <w:bottom w:val="none" w:sz="0" w:space="0" w:color="auto"/>
                    <w:right w:val="none" w:sz="0" w:space="0" w:color="auto"/>
                  </w:divBdr>
                  <w:divsChild>
                    <w:div w:id="744182389">
                      <w:marLeft w:val="0"/>
                      <w:marRight w:val="0"/>
                      <w:marTop w:val="0"/>
                      <w:marBottom w:val="0"/>
                      <w:divBdr>
                        <w:top w:val="none" w:sz="0" w:space="0" w:color="auto"/>
                        <w:left w:val="none" w:sz="0" w:space="0" w:color="auto"/>
                        <w:bottom w:val="none" w:sz="0" w:space="0" w:color="auto"/>
                        <w:right w:val="none" w:sz="0" w:space="0" w:color="auto"/>
                      </w:divBdr>
                      <w:divsChild>
                        <w:div w:id="135785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11562">
      <w:bodyDiv w:val="1"/>
      <w:marLeft w:val="0"/>
      <w:marRight w:val="0"/>
      <w:marTop w:val="0"/>
      <w:marBottom w:val="0"/>
      <w:divBdr>
        <w:top w:val="none" w:sz="0" w:space="0" w:color="auto"/>
        <w:left w:val="none" w:sz="0" w:space="0" w:color="auto"/>
        <w:bottom w:val="none" w:sz="0" w:space="0" w:color="auto"/>
        <w:right w:val="none" w:sz="0" w:space="0" w:color="auto"/>
      </w:divBdr>
      <w:divsChild>
        <w:div w:id="1242174451">
          <w:marLeft w:val="0"/>
          <w:marRight w:val="0"/>
          <w:marTop w:val="0"/>
          <w:marBottom w:val="0"/>
          <w:divBdr>
            <w:top w:val="none" w:sz="0" w:space="0" w:color="auto"/>
            <w:left w:val="none" w:sz="0" w:space="0" w:color="auto"/>
            <w:bottom w:val="none" w:sz="0" w:space="0" w:color="auto"/>
            <w:right w:val="none" w:sz="0" w:space="0" w:color="auto"/>
          </w:divBdr>
          <w:divsChild>
            <w:div w:id="351305455">
              <w:marLeft w:val="0"/>
              <w:marRight w:val="0"/>
              <w:marTop w:val="0"/>
              <w:marBottom w:val="0"/>
              <w:divBdr>
                <w:top w:val="none" w:sz="0" w:space="0" w:color="auto"/>
                <w:left w:val="none" w:sz="0" w:space="0" w:color="auto"/>
                <w:bottom w:val="none" w:sz="0" w:space="0" w:color="auto"/>
                <w:right w:val="none" w:sz="0" w:space="0" w:color="auto"/>
              </w:divBdr>
              <w:divsChild>
                <w:div w:id="1009714510">
                  <w:marLeft w:val="0"/>
                  <w:marRight w:val="0"/>
                  <w:marTop w:val="0"/>
                  <w:marBottom w:val="0"/>
                  <w:divBdr>
                    <w:top w:val="none" w:sz="0" w:space="0" w:color="auto"/>
                    <w:left w:val="none" w:sz="0" w:space="0" w:color="auto"/>
                    <w:bottom w:val="none" w:sz="0" w:space="0" w:color="auto"/>
                    <w:right w:val="none" w:sz="0" w:space="0" w:color="auto"/>
                  </w:divBdr>
                  <w:divsChild>
                    <w:div w:id="713894513">
                      <w:marLeft w:val="0"/>
                      <w:marRight w:val="0"/>
                      <w:marTop w:val="0"/>
                      <w:marBottom w:val="0"/>
                      <w:divBdr>
                        <w:top w:val="none" w:sz="0" w:space="0" w:color="auto"/>
                        <w:left w:val="none" w:sz="0" w:space="0" w:color="auto"/>
                        <w:bottom w:val="none" w:sz="0" w:space="0" w:color="auto"/>
                        <w:right w:val="none" w:sz="0" w:space="0" w:color="auto"/>
                      </w:divBdr>
                      <w:divsChild>
                        <w:div w:id="1252162289">
                          <w:marLeft w:val="0"/>
                          <w:marRight w:val="0"/>
                          <w:marTop w:val="0"/>
                          <w:marBottom w:val="0"/>
                          <w:divBdr>
                            <w:top w:val="none" w:sz="0" w:space="0" w:color="auto"/>
                            <w:left w:val="none" w:sz="0" w:space="0" w:color="auto"/>
                            <w:bottom w:val="none" w:sz="0" w:space="0" w:color="auto"/>
                            <w:right w:val="none" w:sz="0" w:space="0" w:color="auto"/>
                          </w:divBdr>
                          <w:divsChild>
                            <w:div w:id="448816697">
                              <w:marLeft w:val="0"/>
                              <w:marRight w:val="0"/>
                              <w:marTop w:val="0"/>
                              <w:marBottom w:val="0"/>
                              <w:divBdr>
                                <w:top w:val="none" w:sz="0" w:space="0" w:color="auto"/>
                                <w:left w:val="none" w:sz="0" w:space="0" w:color="auto"/>
                                <w:bottom w:val="none" w:sz="0" w:space="0" w:color="auto"/>
                                <w:right w:val="none" w:sz="0" w:space="0" w:color="auto"/>
                              </w:divBdr>
                              <w:divsChild>
                                <w:div w:id="451897655">
                                  <w:marLeft w:val="0"/>
                                  <w:marRight w:val="0"/>
                                  <w:marTop w:val="0"/>
                                  <w:marBottom w:val="480"/>
                                  <w:divBdr>
                                    <w:top w:val="none" w:sz="0" w:space="0" w:color="auto"/>
                                    <w:left w:val="none" w:sz="0" w:space="0" w:color="auto"/>
                                    <w:bottom w:val="none" w:sz="0" w:space="0" w:color="auto"/>
                                    <w:right w:val="none" w:sz="0" w:space="0" w:color="auto"/>
                                  </w:divBdr>
                                  <w:divsChild>
                                    <w:div w:id="11881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1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ubmed/28209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6E4AA-FD04-4D7A-8A72-70BDEC355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10758</Words>
  <Characters>63684</Characters>
  <Application>Microsoft Office Word</Application>
  <DocSecurity>0</DocSecurity>
  <Lines>530</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2019-02-20T22:33:00Z</dcterms:created>
  <dcterms:modified xsi:type="dcterms:W3CDTF">2019-02-26T00:38:00Z</dcterms:modified>
</cp:coreProperties>
</file>