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F57" w:rsidRPr="00663D98" w:rsidRDefault="00853F57" w:rsidP="0068763C">
      <w:pPr>
        <w:pStyle w:val="Title"/>
        <w:spacing w:after="0"/>
        <w:ind w:left="720" w:hanging="720"/>
        <w:rPr>
          <w:rFonts w:asciiTheme="minorHAnsi" w:hAnsiTheme="minorHAnsi"/>
          <w:sz w:val="36"/>
          <w:szCs w:val="36"/>
        </w:rPr>
      </w:pPr>
      <w:r w:rsidRPr="00663D98">
        <w:rPr>
          <w:rFonts w:asciiTheme="minorHAnsi" w:hAnsiTheme="minorHAnsi"/>
          <w:sz w:val="36"/>
          <w:szCs w:val="36"/>
        </w:rPr>
        <w:t>7.19</w:t>
      </w:r>
      <w:r w:rsidR="006D6493" w:rsidRPr="00663D98">
        <w:rPr>
          <w:rFonts w:asciiTheme="minorHAnsi" w:hAnsiTheme="minorHAnsi"/>
          <w:sz w:val="36"/>
          <w:szCs w:val="36"/>
        </w:rPr>
        <w:tab/>
      </w:r>
      <w:r w:rsidRPr="00663D98">
        <w:rPr>
          <w:rFonts w:asciiTheme="minorHAnsi" w:hAnsiTheme="minorHAnsi"/>
          <w:sz w:val="36"/>
          <w:szCs w:val="36"/>
        </w:rPr>
        <w:t xml:space="preserve">TRIFLURIDINE with TIPIRACIL </w:t>
      </w:r>
      <w:r w:rsidRPr="00663D98">
        <w:rPr>
          <w:rFonts w:asciiTheme="minorHAnsi" w:hAnsiTheme="minorHAnsi"/>
          <w:sz w:val="36"/>
          <w:szCs w:val="36"/>
        </w:rPr>
        <w:br/>
        <w:t>Tablet, 15 mg trifluridine with 6.14 mg tipiracil, 20 mg</w:t>
      </w:r>
    </w:p>
    <w:p w:rsidR="00853F57" w:rsidRPr="0068763C" w:rsidRDefault="00853F57" w:rsidP="0068763C">
      <w:pPr>
        <w:pStyle w:val="BodyText2"/>
        <w:ind w:left="709"/>
        <w:jc w:val="left"/>
        <w:rPr>
          <w:rFonts w:asciiTheme="minorHAnsi" w:hAnsiTheme="minorHAnsi" w:cstheme="minorHAnsi"/>
          <w:b/>
          <w:sz w:val="36"/>
          <w:szCs w:val="36"/>
        </w:rPr>
      </w:pPr>
      <w:r w:rsidRPr="0068763C">
        <w:rPr>
          <w:rFonts w:asciiTheme="minorHAnsi" w:hAnsiTheme="minorHAnsi" w:cstheme="minorHAnsi"/>
          <w:b/>
          <w:sz w:val="36"/>
          <w:szCs w:val="36"/>
        </w:rPr>
        <w:t>trifluridine</w:t>
      </w:r>
      <w:r w:rsidR="0064728A" w:rsidRPr="0068763C">
        <w:rPr>
          <w:rFonts w:asciiTheme="minorHAnsi" w:hAnsiTheme="minorHAnsi" w:cstheme="minorHAnsi"/>
          <w:b/>
          <w:sz w:val="36"/>
          <w:szCs w:val="36"/>
        </w:rPr>
        <w:t xml:space="preserve"> with 8.19 mg tipiracil,</w:t>
      </w:r>
      <w:r w:rsidR="0064728A" w:rsidRPr="0068763C">
        <w:rPr>
          <w:rFonts w:asciiTheme="minorHAnsi" w:hAnsiTheme="minorHAnsi" w:cstheme="minorHAnsi"/>
          <w:b/>
          <w:sz w:val="36"/>
          <w:szCs w:val="36"/>
        </w:rPr>
        <w:br/>
        <w:t>Lonsurf</w:t>
      </w:r>
      <w:r w:rsidRPr="0068763C">
        <w:rPr>
          <w:rFonts w:asciiTheme="minorHAnsi" w:hAnsiTheme="minorHAnsi" w:cstheme="minorHAnsi"/>
          <w:b/>
          <w:sz w:val="36"/>
          <w:szCs w:val="36"/>
        </w:rPr>
        <w:t>®, Servier Laboratories (Australia) Pty Ltd</w:t>
      </w:r>
    </w:p>
    <w:p w:rsidR="008A50F1" w:rsidRPr="00663D98" w:rsidRDefault="00CE10C4" w:rsidP="00EB0B63">
      <w:pPr>
        <w:pStyle w:val="PBACHeading1"/>
        <w:spacing w:before="240" w:after="120"/>
        <w:ind w:left="709" w:hanging="709"/>
        <w:rPr>
          <w:rFonts w:asciiTheme="minorHAnsi" w:hAnsiTheme="minorHAnsi"/>
          <w:sz w:val="32"/>
          <w:szCs w:val="32"/>
        </w:rPr>
      </w:pPr>
      <w:r w:rsidRPr="00663D98">
        <w:rPr>
          <w:rFonts w:asciiTheme="minorHAnsi" w:hAnsiTheme="minorHAnsi"/>
          <w:sz w:val="32"/>
          <w:szCs w:val="32"/>
        </w:rPr>
        <w:t xml:space="preserve">Purpose of </w:t>
      </w:r>
      <w:r w:rsidR="0004240E" w:rsidRPr="00663D98">
        <w:rPr>
          <w:rFonts w:asciiTheme="minorHAnsi" w:hAnsiTheme="minorHAnsi"/>
          <w:sz w:val="32"/>
          <w:szCs w:val="32"/>
        </w:rPr>
        <w:t>Application</w:t>
      </w:r>
    </w:p>
    <w:p w:rsidR="00002A98" w:rsidRPr="00663D98" w:rsidRDefault="00002A98" w:rsidP="00002A98">
      <w:pPr>
        <w:pStyle w:val="ListParagraph"/>
        <w:numPr>
          <w:ilvl w:val="1"/>
          <w:numId w:val="14"/>
        </w:numPr>
        <w:rPr>
          <w:rFonts w:asciiTheme="minorHAnsi" w:eastAsiaTheme="minorHAnsi" w:hAnsiTheme="minorHAnsi" w:cstheme="minorBidi"/>
          <w:snapToGrid/>
          <w:sz w:val="24"/>
          <w:szCs w:val="22"/>
        </w:rPr>
      </w:pPr>
      <w:r w:rsidRPr="00663D98">
        <w:rPr>
          <w:rFonts w:asciiTheme="minorHAnsi" w:eastAsiaTheme="minorHAnsi" w:hAnsiTheme="minorHAnsi" w:cstheme="minorBidi"/>
          <w:snapToGrid/>
          <w:sz w:val="24"/>
          <w:szCs w:val="22"/>
        </w:rPr>
        <w:t xml:space="preserve">The minor resubmission sought an Authority Required (STREAMLINED) listing for trifluridine with tipiracil (hereafter referred to as trifluridine/tipiracil) for the treatment of patients with metastatic colorectal cancer (mCRC) who have been previously treated with, or are not considered candidates for, available therapies including fluoropyrimidine, oxaliplatin and irinotecan-based chemotherapy, anti-VEGF therapy and anti-EGFR therapy. </w:t>
      </w:r>
    </w:p>
    <w:p w:rsidR="006A12A5" w:rsidRPr="00663D98" w:rsidRDefault="006A12A5" w:rsidP="00EB0B63">
      <w:pPr>
        <w:pStyle w:val="PBACHeading1"/>
        <w:spacing w:before="240" w:after="120"/>
        <w:ind w:left="709" w:hanging="709"/>
        <w:rPr>
          <w:rFonts w:asciiTheme="minorHAnsi" w:hAnsiTheme="minorHAnsi"/>
          <w:sz w:val="32"/>
          <w:szCs w:val="32"/>
        </w:rPr>
      </w:pPr>
      <w:r w:rsidRPr="00663D98">
        <w:rPr>
          <w:rFonts w:asciiTheme="minorHAnsi" w:hAnsiTheme="minorHAnsi"/>
          <w:sz w:val="32"/>
          <w:szCs w:val="32"/>
        </w:rPr>
        <w:t>Requested listing</w:t>
      </w:r>
    </w:p>
    <w:p w:rsidR="00826F6D" w:rsidRPr="00663D98" w:rsidRDefault="00207C6E" w:rsidP="00207C6E">
      <w:pPr>
        <w:pStyle w:val="ListParagraph"/>
        <w:numPr>
          <w:ilvl w:val="1"/>
          <w:numId w:val="14"/>
        </w:numPr>
        <w:rPr>
          <w:rFonts w:asciiTheme="minorHAnsi" w:eastAsiaTheme="minorHAnsi" w:hAnsiTheme="minorHAnsi" w:cstheme="minorBidi"/>
          <w:snapToGrid/>
          <w:sz w:val="24"/>
          <w:szCs w:val="22"/>
        </w:rPr>
      </w:pPr>
      <w:r w:rsidRPr="00663D98">
        <w:rPr>
          <w:rFonts w:asciiTheme="minorHAnsi" w:eastAsiaTheme="minorHAnsi" w:hAnsiTheme="minorHAnsi" w:cstheme="minorBidi"/>
          <w:snapToGrid/>
          <w:sz w:val="24"/>
          <w:szCs w:val="22"/>
        </w:rPr>
        <w:t>The submission requested the following new listing:</w:t>
      </w:r>
    </w:p>
    <w:p w:rsidR="004F64CF" w:rsidRPr="00663D98" w:rsidRDefault="004F64CF"/>
    <w:tbl>
      <w:tblPr>
        <w:tblW w:w="4857" w:type="pct"/>
        <w:tblInd w:w="108" w:type="dxa"/>
        <w:tblLook w:val="0000" w:firstRow="0" w:lastRow="0" w:firstColumn="0" w:lastColumn="0" w:noHBand="0" w:noVBand="0"/>
      </w:tblPr>
      <w:tblGrid>
        <w:gridCol w:w="1833"/>
        <w:gridCol w:w="1366"/>
        <w:gridCol w:w="729"/>
        <w:gridCol w:w="882"/>
        <w:gridCol w:w="1621"/>
        <w:gridCol w:w="1002"/>
        <w:gridCol w:w="1532"/>
        <w:gridCol w:w="13"/>
      </w:tblGrid>
      <w:tr w:rsidR="009643C0" w:rsidRPr="00663D98" w:rsidTr="005C2DD9">
        <w:trPr>
          <w:trHeight w:val="465"/>
        </w:trPr>
        <w:tc>
          <w:tcPr>
            <w:tcW w:w="1782" w:type="pct"/>
            <w:gridSpan w:val="2"/>
            <w:tcBorders>
              <w:bottom w:val="single" w:sz="4" w:space="0" w:color="auto"/>
            </w:tcBorders>
          </w:tcPr>
          <w:p w:rsidR="009643C0" w:rsidRPr="00663D98" w:rsidRDefault="009643C0" w:rsidP="009643C0">
            <w:pPr>
              <w:keepNext/>
              <w:spacing w:before="40" w:after="40"/>
              <w:jc w:val="both"/>
              <w:rPr>
                <w:rFonts w:ascii="Arial Narrow" w:hAnsi="Arial Narrow" w:cs="Arial"/>
                <w:b/>
                <w:sz w:val="20"/>
                <w:szCs w:val="20"/>
              </w:rPr>
            </w:pPr>
            <w:r w:rsidRPr="00663D98">
              <w:rPr>
                <w:rFonts w:ascii="Arial Narrow" w:hAnsi="Arial Narrow" w:cs="Arial"/>
                <w:b/>
                <w:sz w:val="20"/>
                <w:szCs w:val="20"/>
              </w:rPr>
              <w:t>Name, Restriction,</w:t>
            </w:r>
          </w:p>
          <w:p w:rsidR="009643C0" w:rsidRPr="00663D98" w:rsidRDefault="009643C0" w:rsidP="009643C0">
            <w:pPr>
              <w:keepNext/>
              <w:spacing w:before="40" w:after="40"/>
              <w:jc w:val="both"/>
              <w:rPr>
                <w:rFonts w:ascii="Arial Narrow" w:hAnsi="Arial Narrow" w:cs="Arial"/>
                <w:b/>
                <w:sz w:val="20"/>
                <w:szCs w:val="20"/>
              </w:rPr>
            </w:pPr>
            <w:r w:rsidRPr="00663D98">
              <w:rPr>
                <w:rFonts w:ascii="Arial Narrow" w:hAnsi="Arial Narrow" w:cs="Arial"/>
                <w:b/>
                <w:sz w:val="20"/>
                <w:szCs w:val="20"/>
              </w:rPr>
              <w:t>Manner of administration and form</w:t>
            </w:r>
          </w:p>
        </w:tc>
        <w:tc>
          <w:tcPr>
            <w:tcW w:w="406" w:type="pct"/>
            <w:tcBorders>
              <w:bottom w:val="single" w:sz="4" w:space="0" w:color="auto"/>
            </w:tcBorders>
          </w:tcPr>
          <w:p w:rsidR="009643C0" w:rsidRPr="00663D98" w:rsidRDefault="009643C0" w:rsidP="009643C0">
            <w:pPr>
              <w:keepNext/>
              <w:spacing w:before="40" w:after="40"/>
              <w:jc w:val="both"/>
              <w:rPr>
                <w:rFonts w:ascii="Arial Narrow" w:hAnsi="Arial Narrow" w:cs="Arial"/>
                <w:b/>
                <w:sz w:val="20"/>
                <w:szCs w:val="20"/>
              </w:rPr>
            </w:pPr>
            <w:r w:rsidRPr="00663D98">
              <w:rPr>
                <w:rFonts w:ascii="Arial Narrow" w:hAnsi="Arial Narrow" w:cs="Arial"/>
                <w:b/>
                <w:sz w:val="20"/>
                <w:szCs w:val="20"/>
              </w:rPr>
              <w:t>Max.</w:t>
            </w:r>
          </w:p>
          <w:p w:rsidR="009643C0" w:rsidRPr="00663D98" w:rsidRDefault="009643C0" w:rsidP="009643C0">
            <w:pPr>
              <w:keepNext/>
              <w:spacing w:before="40" w:after="40"/>
              <w:jc w:val="both"/>
              <w:rPr>
                <w:rFonts w:ascii="Arial Narrow" w:hAnsi="Arial Narrow" w:cs="Arial"/>
                <w:b/>
                <w:sz w:val="20"/>
                <w:szCs w:val="20"/>
              </w:rPr>
            </w:pPr>
            <w:r w:rsidRPr="00663D98">
              <w:rPr>
                <w:rFonts w:ascii="Arial Narrow" w:hAnsi="Arial Narrow" w:cs="Arial"/>
                <w:b/>
                <w:sz w:val="20"/>
                <w:szCs w:val="20"/>
              </w:rPr>
              <w:t>Qty</w:t>
            </w:r>
          </w:p>
        </w:tc>
        <w:tc>
          <w:tcPr>
            <w:tcW w:w="491" w:type="pct"/>
            <w:tcBorders>
              <w:bottom w:val="single" w:sz="4" w:space="0" w:color="auto"/>
            </w:tcBorders>
          </w:tcPr>
          <w:p w:rsidR="009643C0" w:rsidRPr="00663D98" w:rsidRDefault="009643C0" w:rsidP="009643C0">
            <w:pPr>
              <w:keepNext/>
              <w:spacing w:before="40" w:after="40"/>
              <w:jc w:val="both"/>
              <w:rPr>
                <w:rFonts w:ascii="Arial Narrow" w:hAnsi="Arial Narrow" w:cs="Arial"/>
                <w:b/>
                <w:sz w:val="20"/>
                <w:szCs w:val="20"/>
              </w:rPr>
            </w:pPr>
            <w:r w:rsidRPr="00663D98">
              <w:rPr>
                <w:rFonts w:ascii="Arial Narrow" w:hAnsi="Arial Narrow" w:cs="Arial"/>
                <w:b/>
                <w:sz w:val="20"/>
                <w:szCs w:val="20"/>
              </w:rPr>
              <w:t>№.of</w:t>
            </w:r>
          </w:p>
          <w:p w:rsidR="009643C0" w:rsidRPr="00663D98" w:rsidRDefault="009643C0" w:rsidP="009643C0">
            <w:pPr>
              <w:keepNext/>
              <w:spacing w:before="40" w:after="40"/>
              <w:jc w:val="both"/>
              <w:rPr>
                <w:rFonts w:ascii="Arial Narrow" w:hAnsi="Arial Narrow" w:cs="Arial"/>
                <w:b/>
                <w:sz w:val="20"/>
                <w:szCs w:val="20"/>
              </w:rPr>
            </w:pPr>
            <w:r w:rsidRPr="00663D98">
              <w:rPr>
                <w:rFonts w:ascii="Arial Narrow" w:hAnsi="Arial Narrow" w:cs="Arial"/>
                <w:b/>
                <w:sz w:val="20"/>
                <w:szCs w:val="20"/>
              </w:rPr>
              <w:t>Rpts</w:t>
            </w:r>
          </w:p>
        </w:tc>
        <w:tc>
          <w:tcPr>
            <w:tcW w:w="903" w:type="pct"/>
            <w:tcBorders>
              <w:bottom w:val="single" w:sz="4" w:space="0" w:color="auto"/>
            </w:tcBorders>
          </w:tcPr>
          <w:p w:rsidR="009643C0" w:rsidRPr="00663D98" w:rsidRDefault="009643C0" w:rsidP="009643C0">
            <w:pPr>
              <w:keepNext/>
              <w:spacing w:before="40" w:after="40"/>
              <w:jc w:val="both"/>
              <w:rPr>
                <w:rFonts w:ascii="Arial Narrow" w:hAnsi="Arial Narrow" w:cs="Arial"/>
                <w:b/>
                <w:sz w:val="20"/>
                <w:szCs w:val="20"/>
              </w:rPr>
            </w:pPr>
            <w:r w:rsidRPr="00663D98">
              <w:rPr>
                <w:rFonts w:ascii="Arial Narrow" w:hAnsi="Arial Narrow" w:cs="Arial"/>
                <w:b/>
                <w:sz w:val="20"/>
                <w:szCs w:val="20"/>
              </w:rPr>
              <w:t>Dispensed Price for Max. Qty</w:t>
            </w:r>
          </w:p>
        </w:tc>
        <w:tc>
          <w:tcPr>
            <w:tcW w:w="1418" w:type="pct"/>
            <w:gridSpan w:val="3"/>
            <w:tcBorders>
              <w:bottom w:val="single" w:sz="4" w:space="0" w:color="auto"/>
            </w:tcBorders>
          </w:tcPr>
          <w:p w:rsidR="009643C0" w:rsidRPr="00635728" w:rsidRDefault="009643C0" w:rsidP="009643C0">
            <w:pPr>
              <w:keepNext/>
              <w:spacing w:before="40" w:after="40"/>
              <w:jc w:val="both"/>
              <w:rPr>
                <w:rFonts w:ascii="Arial Narrow" w:hAnsi="Arial Narrow" w:cs="Arial"/>
                <w:b/>
                <w:sz w:val="20"/>
                <w:szCs w:val="20"/>
              </w:rPr>
            </w:pPr>
            <w:r w:rsidRPr="00663D98">
              <w:rPr>
                <w:rFonts w:ascii="Arial Narrow" w:hAnsi="Arial Narrow" w:cs="Arial"/>
                <w:b/>
                <w:sz w:val="20"/>
                <w:szCs w:val="20"/>
              </w:rPr>
              <w:t>Proprietary Name and Manufacturer</w:t>
            </w:r>
          </w:p>
        </w:tc>
      </w:tr>
      <w:tr w:rsidR="009643C0" w:rsidRPr="00663D98" w:rsidTr="005C2DD9">
        <w:trPr>
          <w:trHeight w:val="567"/>
        </w:trPr>
        <w:tc>
          <w:tcPr>
            <w:tcW w:w="1782" w:type="pct"/>
            <w:gridSpan w:val="2"/>
          </w:tcPr>
          <w:p w:rsidR="009643C0" w:rsidRPr="00663D98" w:rsidRDefault="009643C0" w:rsidP="009643C0">
            <w:pPr>
              <w:keepNext/>
              <w:spacing w:before="40" w:after="40"/>
              <w:jc w:val="both"/>
              <w:rPr>
                <w:rFonts w:ascii="Arial Narrow" w:hAnsi="Arial Narrow" w:cs="Arial"/>
                <w:smallCaps/>
                <w:sz w:val="20"/>
                <w:szCs w:val="20"/>
              </w:rPr>
            </w:pPr>
            <w:r w:rsidRPr="00663D98">
              <w:rPr>
                <w:rFonts w:ascii="Arial Narrow" w:hAnsi="Arial Narrow" w:cs="Arial"/>
                <w:smallCaps/>
                <w:sz w:val="20"/>
                <w:szCs w:val="20"/>
              </w:rPr>
              <w:t>TRIFLURIDINE + TIPIRACIL</w:t>
            </w:r>
          </w:p>
          <w:p w:rsidR="009643C0" w:rsidRPr="00663D98" w:rsidRDefault="009643C0" w:rsidP="009643C0">
            <w:pPr>
              <w:keepNext/>
              <w:spacing w:before="40" w:after="40"/>
              <w:jc w:val="both"/>
              <w:rPr>
                <w:rFonts w:ascii="Arial Narrow" w:hAnsi="Arial Narrow" w:cs="Arial"/>
                <w:smallCaps/>
                <w:sz w:val="20"/>
                <w:szCs w:val="20"/>
              </w:rPr>
            </w:pPr>
            <w:r w:rsidRPr="00663D98">
              <w:rPr>
                <w:rFonts w:ascii="Arial Narrow" w:hAnsi="Arial Narrow" w:cs="Arial"/>
                <w:smallCaps/>
                <w:sz w:val="20"/>
                <w:szCs w:val="20"/>
              </w:rPr>
              <w:t>Trifluridine 15 mg + tipiracil 6.14 mg tablet, 20</w:t>
            </w:r>
          </w:p>
          <w:p w:rsidR="009643C0" w:rsidRPr="00663D98" w:rsidRDefault="009643C0" w:rsidP="009643C0">
            <w:pPr>
              <w:keepNext/>
              <w:spacing w:before="40" w:after="40"/>
              <w:jc w:val="both"/>
              <w:rPr>
                <w:rFonts w:ascii="Arial Narrow" w:hAnsi="Arial Narrow" w:cs="Arial"/>
                <w:sz w:val="20"/>
                <w:szCs w:val="20"/>
              </w:rPr>
            </w:pPr>
            <w:r w:rsidRPr="00663D98">
              <w:rPr>
                <w:rFonts w:ascii="Arial Narrow" w:hAnsi="Arial Narrow" w:cs="Arial"/>
                <w:smallCaps/>
                <w:sz w:val="20"/>
                <w:szCs w:val="20"/>
              </w:rPr>
              <w:t>Trifluridine 20 mg + tipiracil 8.19 mg tablet, 20</w:t>
            </w:r>
          </w:p>
        </w:tc>
        <w:tc>
          <w:tcPr>
            <w:tcW w:w="406" w:type="pct"/>
          </w:tcPr>
          <w:p w:rsidR="009643C0" w:rsidRPr="00663D98" w:rsidRDefault="009643C0" w:rsidP="009643C0">
            <w:pPr>
              <w:keepNext/>
              <w:spacing w:before="40" w:after="40"/>
              <w:jc w:val="both"/>
              <w:rPr>
                <w:rFonts w:ascii="Arial Narrow" w:hAnsi="Arial Narrow" w:cs="Arial"/>
                <w:sz w:val="20"/>
                <w:szCs w:val="20"/>
              </w:rPr>
            </w:pPr>
          </w:p>
          <w:p w:rsidR="009643C0" w:rsidRPr="00663D98" w:rsidRDefault="009643C0" w:rsidP="009643C0">
            <w:pPr>
              <w:keepNext/>
              <w:spacing w:before="40" w:after="40"/>
              <w:jc w:val="both"/>
              <w:rPr>
                <w:rFonts w:ascii="Arial Narrow" w:hAnsi="Arial Narrow" w:cs="Arial"/>
                <w:sz w:val="20"/>
                <w:szCs w:val="20"/>
              </w:rPr>
            </w:pPr>
            <w:r w:rsidRPr="00663D98">
              <w:rPr>
                <w:rFonts w:ascii="Arial Narrow" w:hAnsi="Arial Narrow" w:cs="Arial"/>
                <w:sz w:val="20"/>
                <w:szCs w:val="20"/>
              </w:rPr>
              <w:t>3</w:t>
            </w:r>
          </w:p>
          <w:p w:rsidR="009643C0" w:rsidRPr="00663D98" w:rsidRDefault="009643C0" w:rsidP="009643C0">
            <w:pPr>
              <w:keepNext/>
              <w:spacing w:before="40" w:after="40"/>
              <w:jc w:val="both"/>
              <w:rPr>
                <w:rFonts w:ascii="Arial Narrow" w:hAnsi="Arial Narrow" w:cs="Arial"/>
                <w:sz w:val="20"/>
                <w:szCs w:val="20"/>
              </w:rPr>
            </w:pPr>
          </w:p>
          <w:p w:rsidR="009643C0" w:rsidRPr="00663D98" w:rsidRDefault="009643C0" w:rsidP="009643C0">
            <w:pPr>
              <w:keepNext/>
              <w:spacing w:before="40" w:after="40"/>
              <w:jc w:val="both"/>
              <w:rPr>
                <w:rFonts w:ascii="Arial Narrow" w:hAnsi="Arial Narrow" w:cs="Arial"/>
                <w:sz w:val="20"/>
                <w:szCs w:val="20"/>
              </w:rPr>
            </w:pPr>
            <w:r w:rsidRPr="00663D98">
              <w:rPr>
                <w:rFonts w:ascii="Arial Narrow" w:hAnsi="Arial Narrow" w:cs="Arial"/>
                <w:sz w:val="20"/>
                <w:szCs w:val="20"/>
              </w:rPr>
              <w:t>4</w:t>
            </w:r>
          </w:p>
        </w:tc>
        <w:tc>
          <w:tcPr>
            <w:tcW w:w="491" w:type="pct"/>
          </w:tcPr>
          <w:p w:rsidR="009643C0" w:rsidRPr="00663D98" w:rsidRDefault="009643C0" w:rsidP="009643C0">
            <w:pPr>
              <w:keepNext/>
              <w:spacing w:before="40" w:after="40"/>
              <w:jc w:val="both"/>
              <w:rPr>
                <w:rFonts w:ascii="Arial Narrow" w:hAnsi="Arial Narrow" w:cs="Arial"/>
                <w:sz w:val="20"/>
                <w:szCs w:val="20"/>
              </w:rPr>
            </w:pPr>
          </w:p>
          <w:p w:rsidR="009643C0" w:rsidRPr="00663D98" w:rsidRDefault="009643C0" w:rsidP="009643C0">
            <w:pPr>
              <w:keepNext/>
              <w:spacing w:before="40" w:after="40"/>
              <w:jc w:val="both"/>
              <w:rPr>
                <w:rFonts w:ascii="Arial Narrow" w:hAnsi="Arial Narrow" w:cs="Arial"/>
                <w:sz w:val="20"/>
                <w:szCs w:val="20"/>
              </w:rPr>
            </w:pPr>
            <w:r w:rsidRPr="00663D98">
              <w:rPr>
                <w:rFonts w:ascii="Arial Narrow" w:hAnsi="Arial Narrow" w:cs="Arial"/>
                <w:sz w:val="20"/>
                <w:szCs w:val="20"/>
              </w:rPr>
              <w:t>2</w:t>
            </w:r>
          </w:p>
          <w:p w:rsidR="009643C0" w:rsidRPr="00663D98" w:rsidRDefault="009643C0" w:rsidP="009643C0">
            <w:pPr>
              <w:keepNext/>
              <w:spacing w:before="40" w:after="40"/>
              <w:jc w:val="both"/>
              <w:rPr>
                <w:rFonts w:ascii="Arial Narrow" w:hAnsi="Arial Narrow" w:cs="Arial"/>
                <w:sz w:val="20"/>
                <w:szCs w:val="20"/>
              </w:rPr>
            </w:pPr>
          </w:p>
          <w:p w:rsidR="009643C0" w:rsidRPr="00663D98" w:rsidRDefault="009643C0" w:rsidP="009643C0">
            <w:pPr>
              <w:keepNext/>
              <w:spacing w:before="40" w:after="40"/>
              <w:jc w:val="both"/>
              <w:rPr>
                <w:rFonts w:ascii="Arial Narrow" w:hAnsi="Arial Narrow" w:cs="Arial"/>
                <w:sz w:val="20"/>
                <w:szCs w:val="20"/>
              </w:rPr>
            </w:pPr>
            <w:r w:rsidRPr="00663D98">
              <w:rPr>
                <w:rFonts w:ascii="Arial Narrow" w:hAnsi="Arial Narrow" w:cs="Arial"/>
                <w:sz w:val="20"/>
                <w:szCs w:val="20"/>
              </w:rPr>
              <w:t>2</w:t>
            </w:r>
          </w:p>
        </w:tc>
        <w:tc>
          <w:tcPr>
            <w:tcW w:w="903" w:type="pct"/>
          </w:tcPr>
          <w:p w:rsidR="009643C0" w:rsidRPr="00663D98" w:rsidRDefault="009643C0" w:rsidP="009643C0">
            <w:pPr>
              <w:keepNext/>
              <w:spacing w:before="40" w:after="40"/>
              <w:jc w:val="both"/>
              <w:rPr>
                <w:rFonts w:ascii="Arial Narrow" w:hAnsi="Arial Narrow" w:cs="Arial"/>
                <w:sz w:val="20"/>
                <w:szCs w:val="20"/>
              </w:rPr>
            </w:pPr>
          </w:p>
          <w:p w:rsidR="009643C0" w:rsidRPr="00663D98" w:rsidRDefault="009643C0" w:rsidP="009643C0">
            <w:pPr>
              <w:keepNext/>
              <w:spacing w:before="40" w:after="40"/>
              <w:jc w:val="both"/>
              <w:rPr>
                <w:rFonts w:ascii="Arial Narrow" w:hAnsi="Arial Narrow" w:cs="Arial"/>
                <w:sz w:val="20"/>
                <w:szCs w:val="20"/>
                <w:vertAlign w:val="superscript"/>
              </w:rPr>
            </w:pPr>
            <w:r w:rsidRPr="00663D98">
              <w:rPr>
                <w:rFonts w:ascii="Arial Narrow" w:hAnsi="Arial Narrow" w:cs="Arial"/>
                <w:sz w:val="20"/>
                <w:szCs w:val="20"/>
              </w:rPr>
              <w:t>$</w:t>
            </w:r>
            <w:r w:rsidR="00C34BCC">
              <w:rPr>
                <w:rFonts w:ascii="Arial Narrow" w:hAnsi="Arial Narrow" w:cs="Arial"/>
                <w:noProof/>
                <w:color w:val="000000"/>
                <w:sz w:val="20"/>
                <w:szCs w:val="20"/>
                <w:highlight w:val="black"/>
              </w:rPr>
              <w:t>'''''''''''''''''''''</w:t>
            </w:r>
            <w:r w:rsidRPr="00663D98">
              <w:rPr>
                <w:rFonts w:ascii="Arial Narrow" w:hAnsi="Arial Narrow" w:cs="Arial"/>
                <w:sz w:val="20"/>
                <w:szCs w:val="20"/>
                <w:vertAlign w:val="superscript"/>
              </w:rPr>
              <w:t>a</w:t>
            </w:r>
          </w:p>
          <w:p w:rsidR="009643C0" w:rsidRPr="00663D98" w:rsidRDefault="009643C0" w:rsidP="009643C0">
            <w:pPr>
              <w:keepNext/>
              <w:spacing w:before="40" w:after="40"/>
              <w:jc w:val="both"/>
              <w:rPr>
                <w:rFonts w:ascii="Arial Narrow" w:hAnsi="Arial Narrow" w:cs="Arial"/>
                <w:sz w:val="20"/>
                <w:szCs w:val="20"/>
              </w:rPr>
            </w:pPr>
          </w:p>
          <w:p w:rsidR="009643C0" w:rsidRPr="00663D98" w:rsidRDefault="009643C0" w:rsidP="009643C0">
            <w:pPr>
              <w:keepNext/>
              <w:spacing w:before="40" w:after="40"/>
              <w:jc w:val="both"/>
              <w:rPr>
                <w:rFonts w:ascii="Arial Narrow" w:hAnsi="Arial Narrow" w:cs="Arial"/>
                <w:sz w:val="20"/>
                <w:szCs w:val="20"/>
                <w:vertAlign w:val="superscript"/>
              </w:rPr>
            </w:pPr>
            <w:r w:rsidRPr="00663D98">
              <w:rPr>
                <w:rFonts w:ascii="Arial Narrow" w:hAnsi="Arial Narrow" w:cs="Arial"/>
                <w:sz w:val="20"/>
                <w:szCs w:val="20"/>
              </w:rPr>
              <w:t>$</w:t>
            </w:r>
            <w:r w:rsidR="00C34BCC">
              <w:rPr>
                <w:rFonts w:ascii="Arial Narrow" w:hAnsi="Arial Narrow" w:cs="Arial"/>
                <w:noProof/>
                <w:color w:val="000000"/>
                <w:sz w:val="20"/>
                <w:szCs w:val="20"/>
                <w:highlight w:val="black"/>
              </w:rPr>
              <w:t>'''''''''''''''''''''</w:t>
            </w:r>
            <w:r w:rsidRPr="00663D98">
              <w:rPr>
                <w:rFonts w:ascii="Arial Narrow" w:hAnsi="Arial Narrow" w:cs="Arial"/>
                <w:sz w:val="20"/>
                <w:szCs w:val="20"/>
                <w:vertAlign w:val="superscript"/>
              </w:rPr>
              <w:t>b</w:t>
            </w:r>
          </w:p>
        </w:tc>
        <w:tc>
          <w:tcPr>
            <w:tcW w:w="558" w:type="pct"/>
          </w:tcPr>
          <w:p w:rsidR="009643C0" w:rsidRPr="00663D98" w:rsidRDefault="009643C0" w:rsidP="009643C0">
            <w:pPr>
              <w:keepNext/>
              <w:spacing w:before="40" w:after="40"/>
              <w:jc w:val="both"/>
              <w:rPr>
                <w:rFonts w:ascii="Arial Narrow" w:hAnsi="Arial Narrow" w:cs="Arial"/>
                <w:sz w:val="20"/>
                <w:szCs w:val="20"/>
              </w:rPr>
            </w:pPr>
          </w:p>
          <w:p w:rsidR="009643C0" w:rsidRPr="00663D98" w:rsidRDefault="009643C0" w:rsidP="009643C0">
            <w:pPr>
              <w:keepNext/>
              <w:spacing w:before="40" w:after="40"/>
              <w:jc w:val="both"/>
              <w:rPr>
                <w:rFonts w:ascii="Arial Narrow" w:hAnsi="Arial Narrow" w:cs="Arial"/>
                <w:sz w:val="20"/>
                <w:szCs w:val="20"/>
              </w:rPr>
            </w:pPr>
            <w:r w:rsidRPr="00663D98">
              <w:rPr>
                <w:rFonts w:ascii="Arial Narrow" w:hAnsi="Arial Narrow" w:cs="Arial"/>
                <w:sz w:val="20"/>
                <w:szCs w:val="20"/>
              </w:rPr>
              <w:t>LONSURF</w:t>
            </w:r>
          </w:p>
        </w:tc>
        <w:tc>
          <w:tcPr>
            <w:tcW w:w="861" w:type="pct"/>
            <w:gridSpan w:val="2"/>
          </w:tcPr>
          <w:p w:rsidR="009643C0" w:rsidRPr="00663D98" w:rsidRDefault="009643C0" w:rsidP="009643C0">
            <w:pPr>
              <w:keepNext/>
              <w:spacing w:before="40" w:after="40"/>
              <w:jc w:val="both"/>
              <w:rPr>
                <w:rFonts w:ascii="Arial Narrow" w:hAnsi="Arial Narrow" w:cs="Arial"/>
                <w:sz w:val="20"/>
                <w:szCs w:val="20"/>
              </w:rPr>
            </w:pPr>
          </w:p>
          <w:p w:rsidR="009643C0" w:rsidRPr="00663D98" w:rsidRDefault="009643C0" w:rsidP="009643C0">
            <w:pPr>
              <w:keepNext/>
              <w:spacing w:before="40" w:after="40"/>
              <w:jc w:val="both"/>
              <w:rPr>
                <w:rFonts w:ascii="Arial Narrow" w:hAnsi="Arial Narrow" w:cs="Arial"/>
                <w:sz w:val="20"/>
                <w:szCs w:val="20"/>
              </w:rPr>
            </w:pPr>
            <w:r w:rsidRPr="00663D98">
              <w:rPr>
                <w:rFonts w:ascii="Arial Narrow" w:hAnsi="Arial Narrow" w:cs="Arial"/>
                <w:sz w:val="20"/>
                <w:szCs w:val="20"/>
              </w:rPr>
              <w:t xml:space="preserve">Servier Laboratories </w:t>
            </w:r>
          </w:p>
        </w:tc>
      </w:tr>
      <w:tr w:rsidR="00826F6D" w:rsidRPr="00663D98" w:rsidTr="005C2DD9">
        <w:trPr>
          <w:gridAfter w:val="1"/>
          <w:wAfter w:w="6" w:type="pct"/>
          <w:cantSplit/>
          <w:trHeight w:val="360"/>
        </w:trPr>
        <w:tc>
          <w:tcPr>
            <w:tcW w:w="1021" w:type="pct"/>
            <w:tcBorders>
              <w:top w:val="single" w:sz="4" w:space="0" w:color="auto"/>
              <w:left w:val="single" w:sz="4" w:space="0" w:color="auto"/>
              <w:bottom w:val="single" w:sz="4" w:space="0" w:color="auto"/>
              <w:right w:val="single" w:sz="4" w:space="0" w:color="auto"/>
            </w:tcBorders>
          </w:tcPr>
          <w:p w:rsidR="00826F6D" w:rsidRPr="00663D98" w:rsidRDefault="00826F6D" w:rsidP="005C2DD9">
            <w:pPr>
              <w:spacing w:before="40" w:after="40"/>
              <w:jc w:val="both"/>
              <w:rPr>
                <w:rFonts w:ascii="Arial Narrow" w:hAnsi="Arial Narrow" w:cs="Arial"/>
                <w:b/>
                <w:sz w:val="20"/>
                <w:szCs w:val="20"/>
              </w:rPr>
            </w:pPr>
            <w:r w:rsidRPr="00663D98">
              <w:rPr>
                <w:rFonts w:ascii="Arial Narrow" w:hAnsi="Arial Narrow" w:cs="Arial"/>
                <w:b/>
                <w:sz w:val="20"/>
                <w:szCs w:val="20"/>
              </w:rPr>
              <w:t>Category / Program</w:t>
            </w:r>
          </w:p>
        </w:tc>
        <w:tc>
          <w:tcPr>
            <w:tcW w:w="3972" w:type="pct"/>
            <w:gridSpan w:val="6"/>
            <w:tcBorders>
              <w:top w:val="single" w:sz="4" w:space="0" w:color="auto"/>
              <w:left w:val="single" w:sz="4" w:space="0" w:color="auto"/>
              <w:bottom w:val="single" w:sz="4" w:space="0" w:color="auto"/>
              <w:right w:val="single" w:sz="4" w:space="0" w:color="auto"/>
            </w:tcBorders>
          </w:tcPr>
          <w:p w:rsidR="00826F6D" w:rsidRPr="00663D98" w:rsidRDefault="00826F6D" w:rsidP="00EB0B63">
            <w:pPr>
              <w:spacing w:before="40" w:after="40"/>
              <w:rPr>
                <w:rFonts w:ascii="Arial Narrow" w:hAnsi="Arial Narrow" w:cs="Arial"/>
                <w:sz w:val="20"/>
                <w:szCs w:val="20"/>
              </w:rPr>
            </w:pPr>
            <w:r w:rsidRPr="00663D98">
              <w:rPr>
                <w:rFonts w:ascii="Arial Narrow" w:hAnsi="Arial Narrow" w:cs="Arial"/>
                <w:sz w:val="20"/>
                <w:szCs w:val="20"/>
              </w:rPr>
              <w:t>GENERAL – General Schedule (Code GE)</w:t>
            </w:r>
          </w:p>
        </w:tc>
      </w:tr>
      <w:tr w:rsidR="00826F6D" w:rsidRPr="00663D98" w:rsidTr="005C2DD9">
        <w:trPr>
          <w:gridAfter w:val="1"/>
          <w:wAfter w:w="6" w:type="pct"/>
          <w:cantSplit/>
          <w:trHeight w:val="360"/>
        </w:trPr>
        <w:tc>
          <w:tcPr>
            <w:tcW w:w="1021" w:type="pct"/>
            <w:tcBorders>
              <w:top w:val="single" w:sz="4" w:space="0" w:color="auto"/>
              <w:left w:val="single" w:sz="4" w:space="0" w:color="auto"/>
              <w:bottom w:val="single" w:sz="4" w:space="0" w:color="auto"/>
              <w:right w:val="single" w:sz="4" w:space="0" w:color="auto"/>
            </w:tcBorders>
          </w:tcPr>
          <w:p w:rsidR="00826F6D" w:rsidRPr="00663D98" w:rsidRDefault="00826F6D" w:rsidP="00EB0B63">
            <w:pPr>
              <w:spacing w:before="40" w:after="40"/>
              <w:jc w:val="both"/>
              <w:rPr>
                <w:rFonts w:ascii="Arial Narrow" w:hAnsi="Arial Narrow" w:cs="Arial"/>
                <w:b/>
                <w:sz w:val="20"/>
                <w:szCs w:val="20"/>
              </w:rPr>
            </w:pPr>
            <w:r w:rsidRPr="00663D98">
              <w:rPr>
                <w:rFonts w:ascii="Arial Narrow" w:hAnsi="Arial Narrow" w:cs="Arial"/>
                <w:b/>
                <w:sz w:val="20"/>
                <w:szCs w:val="20"/>
              </w:rPr>
              <w:t>Prescriber type:</w:t>
            </w:r>
          </w:p>
        </w:tc>
        <w:tc>
          <w:tcPr>
            <w:tcW w:w="3972" w:type="pct"/>
            <w:gridSpan w:val="6"/>
            <w:tcBorders>
              <w:top w:val="single" w:sz="4" w:space="0" w:color="auto"/>
              <w:left w:val="single" w:sz="4" w:space="0" w:color="auto"/>
              <w:bottom w:val="single" w:sz="4" w:space="0" w:color="auto"/>
              <w:right w:val="single" w:sz="4" w:space="0" w:color="auto"/>
            </w:tcBorders>
          </w:tcPr>
          <w:p w:rsidR="00826F6D" w:rsidRPr="00663D98" w:rsidRDefault="00826F6D" w:rsidP="005C2DD9">
            <w:pPr>
              <w:spacing w:before="40" w:after="40"/>
              <w:rPr>
                <w:rFonts w:ascii="Arial Narrow" w:hAnsi="Arial Narrow" w:cs="Arial"/>
                <w:sz w:val="20"/>
                <w:szCs w:val="20"/>
              </w:rPr>
            </w:pPr>
            <w:r w:rsidRPr="00635728">
              <w:rPr>
                <w:rFonts w:ascii="Arial Narrow" w:hAnsi="Arial Narrow" w:cs="Arial"/>
                <w:sz w:val="20"/>
                <w:szCs w:val="20"/>
              </w:rPr>
              <w:fldChar w:fldCharType="begin">
                <w:ffData>
                  <w:name w:val="Check1"/>
                  <w:enabled/>
                  <w:calcOnExit w:val="0"/>
                  <w:checkBox>
                    <w:sizeAuto/>
                    <w:default w:val="0"/>
                  </w:checkBox>
                </w:ffData>
              </w:fldChar>
            </w:r>
            <w:r w:rsidRPr="00663D98">
              <w:rPr>
                <w:rFonts w:ascii="Arial Narrow" w:hAnsi="Arial Narrow" w:cs="Arial"/>
                <w:sz w:val="20"/>
                <w:szCs w:val="20"/>
              </w:rPr>
              <w:instrText xml:space="preserve"> FORMCHECKBOX </w:instrText>
            </w:r>
            <w:r w:rsidR="00C34BCC">
              <w:rPr>
                <w:rFonts w:ascii="Arial Narrow" w:hAnsi="Arial Narrow" w:cs="Arial"/>
                <w:sz w:val="20"/>
                <w:szCs w:val="20"/>
              </w:rPr>
            </w:r>
            <w:r w:rsidR="00C34BCC">
              <w:rPr>
                <w:rFonts w:ascii="Arial Narrow" w:hAnsi="Arial Narrow" w:cs="Arial"/>
                <w:sz w:val="20"/>
                <w:szCs w:val="20"/>
              </w:rPr>
              <w:fldChar w:fldCharType="separate"/>
            </w:r>
            <w:r w:rsidRPr="00635728">
              <w:rPr>
                <w:rFonts w:ascii="Arial Narrow" w:hAnsi="Arial Narrow" w:cs="Arial"/>
                <w:sz w:val="20"/>
                <w:szCs w:val="20"/>
              </w:rPr>
              <w:fldChar w:fldCharType="end"/>
            </w:r>
            <w:r w:rsidRPr="00663D98">
              <w:rPr>
                <w:rFonts w:ascii="Arial Narrow" w:hAnsi="Arial Narrow" w:cs="Arial"/>
                <w:sz w:val="20"/>
                <w:szCs w:val="20"/>
              </w:rPr>
              <w:t xml:space="preserve">Dental  </w:t>
            </w:r>
            <w:r w:rsidR="00BB4C6A" w:rsidRPr="00635728">
              <w:rPr>
                <w:rFonts w:ascii="Arial Narrow" w:hAnsi="Arial Narrow" w:cs="Arial"/>
                <w:sz w:val="20"/>
                <w:szCs w:val="20"/>
              </w:rPr>
              <w:fldChar w:fldCharType="begin">
                <w:ffData>
                  <w:name w:val=""/>
                  <w:enabled/>
                  <w:calcOnExit w:val="0"/>
                  <w:checkBox>
                    <w:sizeAuto/>
                    <w:default w:val="1"/>
                  </w:checkBox>
                </w:ffData>
              </w:fldChar>
            </w:r>
            <w:r w:rsidR="00BB4C6A" w:rsidRPr="00663D98">
              <w:rPr>
                <w:rFonts w:ascii="Arial Narrow" w:hAnsi="Arial Narrow" w:cs="Arial"/>
                <w:sz w:val="20"/>
                <w:szCs w:val="20"/>
              </w:rPr>
              <w:instrText xml:space="preserve"> FORMCHECKBOX </w:instrText>
            </w:r>
            <w:r w:rsidR="00C34BCC">
              <w:rPr>
                <w:rFonts w:ascii="Arial Narrow" w:hAnsi="Arial Narrow" w:cs="Arial"/>
                <w:sz w:val="20"/>
                <w:szCs w:val="20"/>
              </w:rPr>
            </w:r>
            <w:r w:rsidR="00C34BCC">
              <w:rPr>
                <w:rFonts w:ascii="Arial Narrow" w:hAnsi="Arial Narrow" w:cs="Arial"/>
                <w:sz w:val="20"/>
                <w:szCs w:val="20"/>
              </w:rPr>
              <w:fldChar w:fldCharType="separate"/>
            </w:r>
            <w:r w:rsidR="00BB4C6A" w:rsidRPr="00635728">
              <w:rPr>
                <w:rFonts w:ascii="Arial Narrow" w:hAnsi="Arial Narrow" w:cs="Arial"/>
                <w:sz w:val="20"/>
                <w:szCs w:val="20"/>
              </w:rPr>
              <w:fldChar w:fldCharType="end"/>
            </w:r>
            <w:r w:rsidRPr="00663D98">
              <w:rPr>
                <w:rFonts w:ascii="Arial Narrow" w:hAnsi="Arial Narrow" w:cs="Arial"/>
                <w:sz w:val="20"/>
                <w:szCs w:val="20"/>
              </w:rPr>
              <w:t xml:space="preserve">Medical Practitioners  </w:t>
            </w:r>
            <w:r w:rsidRPr="00635728">
              <w:rPr>
                <w:rFonts w:ascii="Arial Narrow" w:hAnsi="Arial Narrow" w:cs="Arial"/>
                <w:sz w:val="20"/>
                <w:szCs w:val="20"/>
              </w:rPr>
              <w:fldChar w:fldCharType="begin">
                <w:ffData>
                  <w:name w:val="Check3"/>
                  <w:enabled/>
                  <w:calcOnExit w:val="0"/>
                  <w:checkBox>
                    <w:sizeAuto/>
                    <w:default w:val="0"/>
                  </w:checkBox>
                </w:ffData>
              </w:fldChar>
            </w:r>
            <w:r w:rsidRPr="00663D98">
              <w:rPr>
                <w:rFonts w:ascii="Arial Narrow" w:hAnsi="Arial Narrow" w:cs="Arial"/>
                <w:sz w:val="20"/>
                <w:szCs w:val="20"/>
              </w:rPr>
              <w:instrText xml:space="preserve"> FORMCHECKBOX </w:instrText>
            </w:r>
            <w:r w:rsidR="00C34BCC">
              <w:rPr>
                <w:rFonts w:ascii="Arial Narrow" w:hAnsi="Arial Narrow" w:cs="Arial"/>
                <w:sz w:val="20"/>
                <w:szCs w:val="20"/>
              </w:rPr>
            </w:r>
            <w:r w:rsidR="00C34BCC">
              <w:rPr>
                <w:rFonts w:ascii="Arial Narrow" w:hAnsi="Arial Narrow" w:cs="Arial"/>
                <w:sz w:val="20"/>
                <w:szCs w:val="20"/>
              </w:rPr>
              <w:fldChar w:fldCharType="separate"/>
            </w:r>
            <w:r w:rsidRPr="00635728">
              <w:rPr>
                <w:rFonts w:ascii="Arial Narrow" w:hAnsi="Arial Narrow" w:cs="Arial"/>
                <w:sz w:val="20"/>
                <w:szCs w:val="20"/>
              </w:rPr>
              <w:fldChar w:fldCharType="end"/>
            </w:r>
            <w:r w:rsidRPr="00663D98">
              <w:rPr>
                <w:rFonts w:ascii="Arial Narrow" w:hAnsi="Arial Narrow" w:cs="Arial"/>
                <w:sz w:val="20"/>
                <w:szCs w:val="20"/>
              </w:rPr>
              <w:t xml:space="preserve">Nurse practitioners  </w:t>
            </w:r>
            <w:r w:rsidRPr="00635728">
              <w:rPr>
                <w:rFonts w:ascii="Arial Narrow" w:hAnsi="Arial Narrow" w:cs="Arial"/>
                <w:sz w:val="20"/>
                <w:szCs w:val="20"/>
              </w:rPr>
              <w:fldChar w:fldCharType="begin">
                <w:ffData>
                  <w:name w:val=""/>
                  <w:enabled/>
                  <w:calcOnExit w:val="0"/>
                  <w:checkBox>
                    <w:sizeAuto/>
                    <w:default w:val="0"/>
                  </w:checkBox>
                </w:ffData>
              </w:fldChar>
            </w:r>
            <w:r w:rsidRPr="00663D98">
              <w:rPr>
                <w:rFonts w:ascii="Arial Narrow" w:hAnsi="Arial Narrow" w:cs="Arial"/>
                <w:sz w:val="20"/>
                <w:szCs w:val="20"/>
              </w:rPr>
              <w:instrText xml:space="preserve"> FORMCHECKBOX </w:instrText>
            </w:r>
            <w:r w:rsidR="00C34BCC">
              <w:rPr>
                <w:rFonts w:ascii="Arial Narrow" w:hAnsi="Arial Narrow" w:cs="Arial"/>
                <w:sz w:val="20"/>
                <w:szCs w:val="20"/>
              </w:rPr>
            </w:r>
            <w:r w:rsidR="00C34BCC">
              <w:rPr>
                <w:rFonts w:ascii="Arial Narrow" w:hAnsi="Arial Narrow" w:cs="Arial"/>
                <w:sz w:val="20"/>
                <w:szCs w:val="20"/>
              </w:rPr>
              <w:fldChar w:fldCharType="separate"/>
            </w:r>
            <w:r w:rsidRPr="00635728">
              <w:rPr>
                <w:rFonts w:ascii="Arial Narrow" w:hAnsi="Arial Narrow" w:cs="Arial"/>
                <w:sz w:val="20"/>
                <w:szCs w:val="20"/>
              </w:rPr>
              <w:fldChar w:fldCharType="end"/>
            </w:r>
            <w:r w:rsidRPr="00663D98">
              <w:rPr>
                <w:rFonts w:ascii="Arial Narrow" w:hAnsi="Arial Narrow" w:cs="Arial"/>
                <w:sz w:val="20"/>
                <w:szCs w:val="20"/>
              </w:rPr>
              <w:t>Optometrists</w:t>
            </w:r>
            <w:r w:rsidR="005C2DD9">
              <w:rPr>
                <w:rFonts w:ascii="Arial Narrow" w:hAnsi="Arial Narrow" w:cs="Arial"/>
                <w:sz w:val="20"/>
                <w:szCs w:val="20"/>
              </w:rPr>
              <w:t xml:space="preserve"> </w:t>
            </w:r>
            <w:r w:rsidRPr="00635728">
              <w:rPr>
                <w:rFonts w:ascii="Arial Narrow" w:hAnsi="Arial Narrow" w:cs="Arial"/>
                <w:sz w:val="20"/>
                <w:szCs w:val="20"/>
              </w:rPr>
              <w:fldChar w:fldCharType="begin">
                <w:ffData>
                  <w:name w:val="Check5"/>
                  <w:enabled/>
                  <w:calcOnExit w:val="0"/>
                  <w:checkBox>
                    <w:sizeAuto/>
                    <w:default w:val="0"/>
                  </w:checkBox>
                </w:ffData>
              </w:fldChar>
            </w:r>
            <w:r w:rsidRPr="00663D98">
              <w:rPr>
                <w:rFonts w:ascii="Arial Narrow" w:hAnsi="Arial Narrow" w:cs="Arial"/>
                <w:sz w:val="20"/>
                <w:szCs w:val="20"/>
              </w:rPr>
              <w:instrText xml:space="preserve"> FORMCHECKBOX </w:instrText>
            </w:r>
            <w:r w:rsidR="00C34BCC">
              <w:rPr>
                <w:rFonts w:ascii="Arial Narrow" w:hAnsi="Arial Narrow" w:cs="Arial"/>
                <w:sz w:val="20"/>
                <w:szCs w:val="20"/>
              </w:rPr>
            </w:r>
            <w:r w:rsidR="00C34BCC">
              <w:rPr>
                <w:rFonts w:ascii="Arial Narrow" w:hAnsi="Arial Narrow" w:cs="Arial"/>
                <w:sz w:val="20"/>
                <w:szCs w:val="20"/>
              </w:rPr>
              <w:fldChar w:fldCharType="separate"/>
            </w:r>
            <w:r w:rsidRPr="00635728">
              <w:rPr>
                <w:rFonts w:ascii="Arial Narrow" w:hAnsi="Arial Narrow" w:cs="Arial"/>
                <w:sz w:val="20"/>
                <w:szCs w:val="20"/>
              </w:rPr>
              <w:fldChar w:fldCharType="end"/>
            </w:r>
            <w:r w:rsidRPr="00663D98">
              <w:rPr>
                <w:rFonts w:ascii="Arial Narrow" w:hAnsi="Arial Narrow" w:cs="Arial"/>
                <w:sz w:val="20"/>
                <w:szCs w:val="20"/>
              </w:rPr>
              <w:t>Midwives</w:t>
            </w:r>
          </w:p>
        </w:tc>
      </w:tr>
      <w:tr w:rsidR="00826F6D" w:rsidRPr="00663D98" w:rsidTr="005C2DD9">
        <w:trPr>
          <w:gridAfter w:val="1"/>
          <w:wAfter w:w="6" w:type="pct"/>
          <w:cantSplit/>
          <w:trHeight w:val="360"/>
        </w:trPr>
        <w:tc>
          <w:tcPr>
            <w:tcW w:w="1021" w:type="pct"/>
            <w:tcBorders>
              <w:top w:val="single" w:sz="4" w:space="0" w:color="auto"/>
              <w:left w:val="single" w:sz="4" w:space="0" w:color="auto"/>
              <w:bottom w:val="single" w:sz="4" w:space="0" w:color="auto"/>
              <w:right w:val="single" w:sz="4" w:space="0" w:color="auto"/>
            </w:tcBorders>
          </w:tcPr>
          <w:p w:rsidR="00826F6D" w:rsidRPr="00663D98" w:rsidRDefault="00826F6D" w:rsidP="00EB0B63">
            <w:pPr>
              <w:spacing w:before="40" w:after="40"/>
              <w:jc w:val="both"/>
              <w:rPr>
                <w:rFonts w:ascii="Arial Narrow" w:hAnsi="Arial Narrow" w:cs="Arial"/>
                <w:b/>
                <w:sz w:val="20"/>
                <w:szCs w:val="20"/>
              </w:rPr>
            </w:pPr>
            <w:r w:rsidRPr="00663D98">
              <w:rPr>
                <w:rFonts w:ascii="Arial Narrow" w:hAnsi="Arial Narrow" w:cs="Arial"/>
                <w:b/>
                <w:sz w:val="20"/>
                <w:szCs w:val="20"/>
              </w:rPr>
              <w:t>Severity:</w:t>
            </w:r>
          </w:p>
        </w:tc>
        <w:tc>
          <w:tcPr>
            <w:tcW w:w="3972" w:type="pct"/>
            <w:gridSpan w:val="6"/>
            <w:tcBorders>
              <w:top w:val="single" w:sz="4" w:space="0" w:color="auto"/>
              <w:left w:val="single" w:sz="4" w:space="0" w:color="auto"/>
              <w:bottom w:val="single" w:sz="4" w:space="0" w:color="auto"/>
              <w:right w:val="single" w:sz="4" w:space="0" w:color="auto"/>
            </w:tcBorders>
          </w:tcPr>
          <w:p w:rsidR="00826F6D" w:rsidRPr="00663D98" w:rsidRDefault="00BB4C6A" w:rsidP="00EB0B63">
            <w:pPr>
              <w:spacing w:before="40" w:after="40"/>
              <w:rPr>
                <w:rFonts w:ascii="Arial Narrow" w:hAnsi="Arial Narrow" w:cs="Arial"/>
                <w:sz w:val="20"/>
                <w:szCs w:val="20"/>
              </w:rPr>
            </w:pPr>
            <w:r w:rsidRPr="00663D98">
              <w:rPr>
                <w:rFonts w:ascii="Arial Narrow" w:hAnsi="Arial Narrow" w:cs="Arial"/>
                <w:sz w:val="20"/>
                <w:szCs w:val="20"/>
              </w:rPr>
              <w:t xml:space="preserve">Metastatic </w:t>
            </w:r>
          </w:p>
        </w:tc>
      </w:tr>
      <w:tr w:rsidR="00826F6D" w:rsidRPr="00663D98" w:rsidTr="005C2DD9">
        <w:trPr>
          <w:gridAfter w:val="1"/>
          <w:wAfter w:w="6" w:type="pct"/>
          <w:cantSplit/>
          <w:trHeight w:val="360"/>
        </w:trPr>
        <w:tc>
          <w:tcPr>
            <w:tcW w:w="1021" w:type="pct"/>
            <w:tcBorders>
              <w:top w:val="single" w:sz="4" w:space="0" w:color="auto"/>
              <w:left w:val="single" w:sz="4" w:space="0" w:color="auto"/>
              <w:bottom w:val="single" w:sz="4" w:space="0" w:color="auto"/>
              <w:right w:val="single" w:sz="4" w:space="0" w:color="auto"/>
            </w:tcBorders>
          </w:tcPr>
          <w:p w:rsidR="00826F6D" w:rsidRPr="00663D98" w:rsidRDefault="00826F6D" w:rsidP="00EB0B63">
            <w:pPr>
              <w:spacing w:before="40" w:after="40"/>
              <w:jc w:val="both"/>
              <w:rPr>
                <w:rFonts w:ascii="Arial Narrow" w:hAnsi="Arial Narrow" w:cs="Arial"/>
                <w:b/>
                <w:sz w:val="20"/>
                <w:szCs w:val="20"/>
              </w:rPr>
            </w:pPr>
            <w:r w:rsidRPr="00663D98">
              <w:rPr>
                <w:rFonts w:ascii="Arial Narrow" w:hAnsi="Arial Narrow" w:cs="Arial"/>
                <w:b/>
                <w:sz w:val="20"/>
                <w:szCs w:val="20"/>
              </w:rPr>
              <w:t>Condition:</w:t>
            </w:r>
          </w:p>
        </w:tc>
        <w:tc>
          <w:tcPr>
            <w:tcW w:w="3972" w:type="pct"/>
            <w:gridSpan w:val="6"/>
            <w:tcBorders>
              <w:top w:val="single" w:sz="4" w:space="0" w:color="auto"/>
              <w:left w:val="single" w:sz="4" w:space="0" w:color="auto"/>
              <w:bottom w:val="single" w:sz="4" w:space="0" w:color="auto"/>
              <w:right w:val="single" w:sz="4" w:space="0" w:color="auto"/>
            </w:tcBorders>
          </w:tcPr>
          <w:p w:rsidR="00826F6D" w:rsidRPr="00663D98" w:rsidRDefault="00BB4C6A" w:rsidP="00EB0B63">
            <w:pPr>
              <w:spacing w:before="40" w:after="40"/>
              <w:rPr>
                <w:rFonts w:ascii="Arial Narrow" w:hAnsi="Arial Narrow" w:cs="Arial"/>
                <w:sz w:val="20"/>
                <w:szCs w:val="20"/>
              </w:rPr>
            </w:pPr>
            <w:r w:rsidRPr="00663D98">
              <w:rPr>
                <w:rFonts w:ascii="Arial Narrow" w:hAnsi="Arial Narrow" w:cs="Arial"/>
                <w:sz w:val="20"/>
                <w:szCs w:val="20"/>
              </w:rPr>
              <w:t>Metastatic colorectal cancer</w:t>
            </w:r>
          </w:p>
        </w:tc>
      </w:tr>
      <w:tr w:rsidR="00826F6D" w:rsidRPr="00663D98" w:rsidTr="005C2DD9">
        <w:trPr>
          <w:gridAfter w:val="1"/>
          <w:wAfter w:w="6" w:type="pct"/>
          <w:cantSplit/>
          <w:trHeight w:val="360"/>
        </w:trPr>
        <w:tc>
          <w:tcPr>
            <w:tcW w:w="1021" w:type="pct"/>
            <w:tcBorders>
              <w:top w:val="single" w:sz="4" w:space="0" w:color="auto"/>
              <w:left w:val="single" w:sz="4" w:space="0" w:color="auto"/>
              <w:bottom w:val="single" w:sz="4" w:space="0" w:color="auto"/>
              <w:right w:val="single" w:sz="4" w:space="0" w:color="auto"/>
            </w:tcBorders>
          </w:tcPr>
          <w:p w:rsidR="00826F6D" w:rsidRPr="00663D98" w:rsidRDefault="00826F6D" w:rsidP="00EB0B63">
            <w:pPr>
              <w:spacing w:before="40" w:after="40"/>
              <w:jc w:val="both"/>
              <w:rPr>
                <w:rFonts w:ascii="Arial Narrow" w:hAnsi="Arial Narrow" w:cs="Arial"/>
                <w:b/>
                <w:sz w:val="20"/>
                <w:szCs w:val="20"/>
              </w:rPr>
            </w:pPr>
            <w:r w:rsidRPr="00663D98">
              <w:rPr>
                <w:rFonts w:ascii="Arial Narrow" w:hAnsi="Arial Narrow" w:cs="Arial"/>
                <w:b/>
                <w:sz w:val="20"/>
                <w:szCs w:val="20"/>
              </w:rPr>
              <w:t>PBS Indication:</w:t>
            </w:r>
          </w:p>
        </w:tc>
        <w:tc>
          <w:tcPr>
            <w:tcW w:w="3972" w:type="pct"/>
            <w:gridSpan w:val="6"/>
            <w:tcBorders>
              <w:top w:val="single" w:sz="4" w:space="0" w:color="auto"/>
              <w:left w:val="single" w:sz="4" w:space="0" w:color="auto"/>
              <w:bottom w:val="single" w:sz="4" w:space="0" w:color="auto"/>
              <w:right w:val="single" w:sz="4" w:space="0" w:color="auto"/>
            </w:tcBorders>
          </w:tcPr>
          <w:p w:rsidR="00826F6D" w:rsidRPr="00663D98" w:rsidRDefault="00BB4C6A" w:rsidP="00EB0B63">
            <w:pPr>
              <w:spacing w:before="40" w:after="40"/>
              <w:rPr>
                <w:rFonts w:ascii="Arial Narrow" w:hAnsi="Arial Narrow" w:cs="Arial"/>
                <w:sz w:val="20"/>
                <w:szCs w:val="20"/>
              </w:rPr>
            </w:pPr>
            <w:r w:rsidRPr="00663D98">
              <w:rPr>
                <w:rFonts w:ascii="Arial Narrow" w:hAnsi="Arial Narrow" w:cs="Arial"/>
                <w:sz w:val="20"/>
                <w:szCs w:val="20"/>
              </w:rPr>
              <w:t xml:space="preserve">Metastatic colorectal cancer </w:t>
            </w:r>
          </w:p>
        </w:tc>
      </w:tr>
      <w:tr w:rsidR="00826F6D" w:rsidRPr="00663D98" w:rsidTr="005C2DD9">
        <w:trPr>
          <w:gridAfter w:val="1"/>
          <w:wAfter w:w="6" w:type="pct"/>
          <w:cantSplit/>
          <w:trHeight w:val="360"/>
        </w:trPr>
        <w:tc>
          <w:tcPr>
            <w:tcW w:w="1021" w:type="pct"/>
            <w:tcBorders>
              <w:top w:val="single" w:sz="4" w:space="0" w:color="auto"/>
              <w:left w:val="single" w:sz="4" w:space="0" w:color="auto"/>
              <w:bottom w:val="single" w:sz="4" w:space="0" w:color="auto"/>
              <w:right w:val="single" w:sz="4" w:space="0" w:color="auto"/>
            </w:tcBorders>
          </w:tcPr>
          <w:p w:rsidR="00826F6D" w:rsidRPr="00663D98" w:rsidRDefault="00826F6D" w:rsidP="00EB0B63">
            <w:pPr>
              <w:spacing w:before="40" w:after="40"/>
              <w:jc w:val="both"/>
              <w:rPr>
                <w:rFonts w:ascii="Arial Narrow" w:hAnsi="Arial Narrow" w:cs="Arial"/>
                <w:b/>
                <w:sz w:val="20"/>
                <w:szCs w:val="20"/>
              </w:rPr>
            </w:pPr>
            <w:r w:rsidRPr="00663D98">
              <w:rPr>
                <w:rFonts w:ascii="Arial Narrow" w:hAnsi="Arial Narrow" w:cs="Arial"/>
                <w:b/>
                <w:sz w:val="20"/>
                <w:szCs w:val="20"/>
              </w:rPr>
              <w:t>Treatment phase:</w:t>
            </w:r>
          </w:p>
        </w:tc>
        <w:tc>
          <w:tcPr>
            <w:tcW w:w="3972" w:type="pct"/>
            <w:gridSpan w:val="6"/>
            <w:tcBorders>
              <w:top w:val="single" w:sz="4" w:space="0" w:color="auto"/>
              <w:left w:val="single" w:sz="4" w:space="0" w:color="auto"/>
              <w:bottom w:val="single" w:sz="4" w:space="0" w:color="auto"/>
              <w:right w:val="single" w:sz="4" w:space="0" w:color="auto"/>
            </w:tcBorders>
          </w:tcPr>
          <w:p w:rsidR="00826F6D" w:rsidRPr="00663D98" w:rsidRDefault="00BB4C6A" w:rsidP="00EB0B63">
            <w:pPr>
              <w:spacing w:before="40" w:after="40"/>
              <w:rPr>
                <w:rFonts w:ascii="Arial Narrow" w:hAnsi="Arial Narrow" w:cs="Arial"/>
                <w:sz w:val="20"/>
                <w:szCs w:val="20"/>
              </w:rPr>
            </w:pPr>
            <w:r w:rsidRPr="00663D98">
              <w:rPr>
                <w:rFonts w:ascii="Arial Narrow" w:hAnsi="Arial Narrow" w:cs="Arial"/>
                <w:sz w:val="20"/>
                <w:szCs w:val="20"/>
              </w:rPr>
              <w:t xml:space="preserve">Initial treatment </w:t>
            </w:r>
          </w:p>
        </w:tc>
      </w:tr>
      <w:tr w:rsidR="00826F6D" w:rsidRPr="00663D98" w:rsidTr="005C2DD9">
        <w:trPr>
          <w:gridAfter w:val="1"/>
          <w:wAfter w:w="6" w:type="pct"/>
          <w:cantSplit/>
          <w:trHeight w:val="360"/>
        </w:trPr>
        <w:tc>
          <w:tcPr>
            <w:tcW w:w="1021" w:type="pct"/>
            <w:tcBorders>
              <w:top w:val="single" w:sz="4" w:space="0" w:color="auto"/>
              <w:left w:val="single" w:sz="4" w:space="0" w:color="auto"/>
              <w:bottom w:val="single" w:sz="4" w:space="0" w:color="auto"/>
              <w:right w:val="single" w:sz="4" w:space="0" w:color="auto"/>
            </w:tcBorders>
          </w:tcPr>
          <w:p w:rsidR="00826F6D" w:rsidRPr="00663D98" w:rsidRDefault="00826F6D" w:rsidP="00EB0B63">
            <w:pPr>
              <w:spacing w:before="40" w:after="40"/>
              <w:jc w:val="both"/>
              <w:rPr>
                <w:rFonts w:ascii="Arial Narrow" w:hAnsi="Arial Narrow" w:cs="Arial"/>
                <w:b/>
                <w:sz w:val="20"/>
                <w:szCs w:val="20"/>
              </w:rPr>
            </w:pPr>
            <w:r w:rsidRPr="00663D98">
              <w:rPr>
                <w:rFonts w:ascii="Arial Narrow" w:hAnsi="Arial Narrow" w:cs="Arial"/>
                <w:b/>
                <w:sz w:val="20"/>
                <w:szCs w:val="20"/>
              </w:rPr>
              <w:t>Restriction Level / Method:</w:t>
            </w:r>
          </w:p>
          <w:p w:rsidR="00826F6D" w:rsidRPr="00663D98" w:rsidRDefault="00826F6D" w:rsidP="00EB0B63">
            <w:pPr>
              <w:spacing w:before="40" w:after="40"/>
              <w:rPr>
                <w:rFonts w:ascii="Arial Narrow" w:hAnsi="Arial Narrow" w:cs="Arial"/>
                <w:sz w:val="20"/>
                <w:szCs w:val="20"/>
              </w:rPr>
            </w:pPr>
          </w:p>
        </w:tc>
        <w:tc>
          <w:tcPr>
            <w:tcW w:w="3972" w:type="pct"/>
            <w:gridSpan w:val="6"/>
            <w:tcBorders>
              <w:top w:val="single" w:sz="4" w:space="0" w:color="auto"/>
              <w:left w:val="single" w:sz="4" w:space="0" w:color="auto"/>
              <w:bottom w:val="single" w:sz="4" w:space="0" w:color="auto"/>
              <w:right w:val="single" w:sz="4" w:space="0" w:color="auto"/>
            </w:tcBorders>
          </w:tcPr>
          <w:p w:rsidR="00826F6D" w:rsidRPr="00663D98" w:rsidRDefault="00826F6D" w:rsidP="00D764D4">
            <w:pPr>
              <w:rPr>
                <w:rFonts w:ascii="Arial Narrow" w:hAnsi="Arial Narrow" w:cs="Arial"/>
                <w:sz w:val="20"/>
                <w:szCs w:val="20"/>
              </w:rPr>
            </w:pPr>
            <w:r w:rsidRPr="00370401">
              <w:rPr>
                <w:rFonts w:ascii="Arial Narrow" w:hAnsi="Arial Narrow" w:cs="Arial"/>
                <w:sz w:val="20"/>
                <w:szCs w:val="20"/>
              </w:rPr>
              <w:fldChar w:fldCharType="begin">
                <w:ffData>
                  <w:name w:val="Check1"/>
                  <w:enabled/>
                  <w:calcOnExit w:val="0"/>
                  <w:checkBox>
                    <w:sizeAuto/>
                    <w:default w:val="0"/>
                  </w:checkBox>
                </w:ffData>
              </w:fldChar>
            </w:r>
            <w:r w:rsidRPr="00663D98">
              <w:rPr>
                <w:rFonts w:ascii="Arial Narrow" w:hAnsi="Arial Narrow" w:cs="Arial"/>
                <w:sz w:val="20"/>
                <w:szCs w:val="20"/>
              </w:rPr>
              <w:instrText xml:space="preserve"> FORMCHECKBOX </w:instrText>
            </w:r>
            <w:r w:rsidR="00C34BCC">
              <w:rPr>
                <w:rFonts w:ascii="Arial Narrow" w:hAnsi="Arial Narrow" w:cs="Arial"/>
                <w:sz w:val="20"/>
                <w:szCs w:val="20"/>
              </w:rPr>
            </w:r>
            <w:r w:rsidR="00C34BCC">
              <w:rPr>
                <w:rFonts w:ascii="Arial Narrow" w:hAnsi="Arial Narrow" w:cs="Arial"/>
                <w:sz w:val="20"/>
                <w:szCs w:val="20"/>
              </w:rPr>
              <w:fldChar w:fldCharType="separate"/>
            </w:r>
            <w:r w:rsidRPr="00370401">
              <w:rPr>
                <w:rFonts w:ascii="Arial Narrow" w:hAnsi="Arial Narrow" w:cs="Arial"/>
                <w:sz w:val="20"/>
                <w:szCs w:val="20"/>
              </w:rPr>
              <w:fldChar w:fldCharType="end"/>
            </w:r>
            <w:r w:rsidRPr="00663D98">
              <w:rPr>
                <w:rFonts w:ascii="Arial Narrow" w:hAnsi="Arial Narrow" w:cs="Arial"/>
                <w:sz w:val="20"/>
                <w:szCs w:val="20"/>
              </w:rPr>
              <w:t>Restricted benefit</w:t>
            </w:r>
          </w:p>
          <w:p w:rsidR="00826F6D" w:rsidRPr="00663D98" w:rsidRDefault="00826F6D" w:rsidP="00D764D4">
            <w:pPr>
              <w:rPr>
                <w:rFonts w:ascii="Arial Narrow" w:hAnsi="Arial Narrow" w:cs="Arial"/>
                <w:sz w:val="20"/>
                <w:szCs w:val="20"/>
              </w:rPr>
            </w:pPr>
            <w:r w:rsidRPr="007C7D16">
              <w:rPr>
                <w:rFonts w:ascii="Arial Narrow" w:hAnsi="Arial Narrow" w:cs="Arial"/>
                <w:sz w:val="20"/>
                <w:szCs w:val="20"/>
              </w:rPr>
              <w:fldChar w:fldCharType="begin">
                <w:ffData>
                  <w:name w:val=""/>
                  <w:enabled/>
                  <w:calcOnExit w:val="0"/>
                  <w:checkBox>
                    <w:sizeAuto/>
                    <w:default w:val="0"/>
                  </w:checkBox>
                </w:ffData>
              </w:fldChar>
            </w:r>
            <w:r w:rsidRPr="00663D98">
              <w:rPr>
                <w:rFonts w:ascii="Arial Narrow" w:hAnsi="Arial Narrow" w:cs="Arial"/>
                <w:sz w:val="20"/>
                <w:szCs w:val="20"/>
              </w:rPr>
              <w:instrText xml:space="preserve"> FORMCHECKBOX </w:instrText>
            </w:r>
            <w:r w:rsidR="00C34BCC">
              <w:rPr>
                <w:rFonts w:ascii="Arial Narrow" w:hAnsi="Arial Narrow" w:cs="Arial"/>
                <w:sz w:val="20"/>
                <w:szCs w:val="20"/>
              </w:rPr>
            </w:r>
            <w:r w:rsidR="00C34BCC">
              <w:rPr>
                <w:rFonts w:ascii="Arial Narrow" w:hAnsi="Arial Narrow" w:cs="Arial"/>
                <w:sz w:val="20"/>
                <w:szCs w:val="20"/>
              </w:rPr>
              <w:fldChar w:fldCharType="separate"/>
            </w:r>
            <w:r w:rsidRPr="007C7D16">
              <w:rPr>
                <w:rFonts w:ascii="Arial Narrow" w:hAnsi="Arial Narrow" w:cs="Arial"/>
                <w:sz w:val="20"/>
                <w:szCs w:val="20"/>
              </w:rPr>
              <w:fldChar w:fldCharType="end"/>
            </w:r>
            <w:r w:rsidRPr="00663D98">
              <w:rPr>
                <w:rFonts w:ascii="Arial Narrow" w:hAnsi="Arial Narrow" w:cs="Arial"/>
                <w:sz w:val="20"/>
                <w:szCs w:val="20"/>
              </w:rPr>
              <w:t>Authority Required - In Writing</w:t>
            </w:r>
          </w:p>
          <w:p w:rsidR="00826F6D" w:rsidRPr="00663D98" w:rsidRDefault="00826F6D" w:rsidP="00D764D4">
            <w:pPr>
              <w:rPr>
                <w:rFonts w:ascii="Arial Narrow" w:hAnsi="Arial Narrow" w:cs="Arial"/>
                <w:sz w:val="20"/>
                <w:szCs w:val="20"/>
              </w:rPr>
            </w:pPr>
            <w:r w:rsidRPr="007C7D16">
              <w:rPr>
                <w:rFonts w:ascii="Arial Narrow" w:hAnsi="Arial Narrow" w:cs="Arial"/>
                <w:sz w:val="20"/>
                <w:szCs w:val="20"/>
              </w:rPr>
              <w:fldChar w:fldCharType="begin">
                <w:ffData>
                  <w:name w:val="Check3"/>
                  <w:enabled/>
                  <w:calcOnExit w:val="0"/>
                  <w:checkBox>
                    <w:sizeAuto/>
                    <w:default w:val="0"/>
                  </w:checkBox>
                </w:ffData>
              </w:fldChar>
            </w:r>
            <w:r w:rsidRPr="00663D98">
              <w:rPr>
                <w:rFonts w:ascii="Arial Narrow" w:hAnsi="Arial Narrow" w:cs="Arial"/>
                <w:sz w:val="20"/>
                <w:szCs w:val="20"/>
              </w:rPr>
              <w:instrText xml:space="preserve"> FORMCHECKBOX </w:instrText>
            </w:r>
            <w:r w:rsidR="00C34BCC">
              <w:rPr>
                <w:rFonts w:ascii="Arial Narrow" w:hAnsi="Arial Narrow" w:cs="Arial"/>
                <w:sz w:val="20"/>
                <w:szCs w:val="20"/>
              </w:rPr>
            </w:r>
            <w:r w:rsidR="00C34BCC">
              <w:rPr>
                <w:rFonts w:ascii="Arial Narrow" w:hAnsi="Arial Narrow" w:cs="Arial"/>
                <w:sz w:val="20"/>
                <w:szCs w:val="20"/>
              </w:rPr>
              <w:fldChar w:fldCharType="separate"/>
            </w:r>
            <w:r w:rsidRPr="007C7D16">
              <w:rPr>
                <w:rFonts w:ascii="Arial Narrow" w:hAnsi="Arial Narrow" w:cs="Arial"/>
                <w:sz w:val="20"/>
                <w:szCs w:val="20"/>
              </w:rPr>
              <w:fldChar w:fldCharType="end"/>
            </w:r>
            <w:r w:rsidRPr="00663D98">
              <w:rPr>
                <w:rFonts w:ascii="Arial Narrow" w:hAnsi="Arial Narrow" w:cs="Arial"/>
                <w:sz w:val="20"/>
                <w:szCs w:val="20"/>
              </w:rPr>
              <w:t>Authority Required - Telephone</w:t>
            </w:r>
          </w:p>
          <w:p w:rsidR="00826F6D" w:rsidRPr="00663D98" w:rsidRDefault="00826F6D" w:rsidP="00D764D4">
            <w:pPr>
              <w:rPr>
                <w:rFonts w:ascii="Arial Narrow" w:hAnsi="Arial Narrow" w:cs="Arial"/>
                <w:sz w:val="20"/>
                <w:szCs w:val="20"/>
              </w:rPr>
            </w:pPr>
            <w:r w:rsidRPr="007C7D16">
              <w:rPr>
                <w:rFonts w:ascii="Arial Narrow" w:hAnsi="Arial Narrow" w:cs="Arial"/>
                <w:sz w:val="20"/>
                <w:szCs w:val="20"/>
              </w:rPr>
              <w:fldChar w:fldCharType="begin">
                <w:ffData>
                  <w:name w:val=""/>
                  <w:enabled/>
                  <w:calcOnExit w:val="0"/>
                  <w:checkBox>
                    <w:sizeAuto/>
                    <w:default w:val="0"/>
                  </w:checkBox>
                </w:ffData>
              </w:fldChar>
            </w:r>
            <w:r w:rsidRPr="00663D98">
              <w:rPr>
                <w:rFonts w:ascii="Arial Narrow" w:hAnsi="Arial Narrow" w:cs="Arial"/>
                <w:sz w:val="20"/>
                <w:szCs w:val="20"/>
              </w:rPr>
              <w:instrText xml:space="preserve"> FORMCHECKBOX </w:instrText>
            </w:r>
            <w:r w:rsidR="00C34BCC">
              <w:rPr>
                <w:rFonts w:ascii="Arial Narrow" w:hAnsi="Arial Narrow" w:cs="Arial"/>
                <w:sz w:val="20"/>
                <w:szCs w:val="20"/>
              </w:rPr>
            </w:r>
            <w:r w:rsidR="00C34BCC">
              <w:rPr>
                <w:rFonts w:ascii="Arial Narrow" w:hAnsi="Arial Narrow" w:cs="Arial"/>
                <w:sz w:val="20"/>
                <w:szCs w:val="20"/>
              </w:rPr>
              <w:fldChar w:fldCharType="separate"/>
            </w:r>
            <w:r w:rsidRPr="007C7D16">
              <w:rPr>
                <w:rFonts w:ascii="Arial Narrow" w:hAnsi="Arial Narrow" w:cs="Arial"/>
                <w:sz w:val="20"/>
                <w:szCs w:val="20"/>
              </w:rPr>
              <w:fldChar w:fldCharType="end"/>
            </w:r>
            <w:r w:rsidRPr="00663D98">
              <w:rPr>
                <w:rFonts w:ascii="Arial Narrow" w:hAnsi="Arial Narrow" w:cs="Arial"/>
                <w:sz w:val="20"/>
                <w:szCs w:val="20"/>
              </w:rPr>
              <w:t>Authority Required – Emergency</w:t>
            </w:r>
          </w:p>
          <w:p w:rsidR="00826F6D" w:rsidRPr="00663D98" w:rsidRDefault="00826F6D" w:rsidP="00D764D4">
            <w:pPr>
              <w:rPr>
                <w:rFonts w:ascii="Arial Narrow" w:hAnsi="Arial Narrow" w:cs="Arial"/>
                <w:sz w:val="20"/>
                <w:szCs w:val="20"/>
              </w:rPr>
            </w:pPr>
            <w:r w:rsidRPr="007C7D16">
              <w:rPr>
                <w:rFonts w:ascii="Arial Narrow" w:hAnsi="Arial Narrow" w:cs="Arial"/>
                <w:sz w:val="20"/>
                <w:szCs w:val="20"/>
              </w:rPr>
              <w:fldChar w:fldCharType="begin">
                <w:ffData>
                  <w:name w:val="Check5"/>
                  <w:enabled/>
                  <w:calcOnExit w:val="0"/>
                  <w:checkBox>
                    <w:sizeAuto/>
                    <w:default w:val="0"/>
                  </w:checkBox>
                </w:ffData>
              </w:fldChar>
            </w:r>
            <w:r w:rsidRPr="00663D98">
              <w:rPr>
                <w:rFonts w:ascii="Arial Narrow" w:hAnsi="Arial Narrow" w:cs="Arial"/>
                <w:sz w:val="20"/>
                <w:szCs w:val="20"/>
              </w:rPr>
              <w:instrText xml:space="preserve"> FORMCHECKBOX </w:instrText>
            </w:r>
            <w:r w:rsidR="00C34BCC">
              <w:rPr>
                <w:rFonts w:ascii="Arial Narrow" w:hAnsi="Arial Narrow" w:cs="Arial"/>
                <w:sz w:val="20"/>
                <w:szCs w:val="20"/>
              </w:rPr>
            </w:r>
            <w:r w:rsidR="00C34BCC">
              <w:rPr>
                <w:rFonts w:ascii="Arial Narrow" w:hAnsi="Arial Narrow" w:cs="Arial"/>
                <w:sz w:val="20"/>
                <w:szCs w:val="20"/>
              </w:rPr>
              <w:fldChar w:fldCharType="separate"/>
            </w:r>
            <w:r w:rsidRPr="007C7D16">
              <w:rPr>
                <w:rFonts w:ascii="Arial Narrow" w:hAnsi="Arial Narrow" w:cs="Arial"/>
                <w:sz w:val="20"/>
                <w:szCs w:val="20"/>
              </w:rPr>
              <w:fldChar w:fldCharType="end"/>
            </w:r>
            <w:r w:rsidRPr="00663D98">
              <w:rPr>
                <w:rFonts w:ascii="Arial Narrow" w:hAnsi="Arial Narrow" w:cs="Arial"/>
                <w:sz w:val="20"/>
                <w:szCs w:val="20"/>
              </w:rPr>
              <w:t>Authority Required - Electronic</w:t>
            </w:r>
          </w:p>
          <w:p w:rsidR="00826F6D" w:rsidRPr="00663D98" w:rsidRDefault="00BB4C6A" w:rsidP="00D764D4">
            <w:pPr>
              <w:rPr>
                <w:rFonts w:ascii="Arial Narrow" w:hAnsi="Arial Narrow" w:cs="Arial"/>
                <w:sz w:val="20"/>
                <w:szCs w:val="20"/>
              </w:rPr>
            </w:pPr>
            <w:r w:rsidRPr="007C7D16">
              <w:rPr>
                <w:rFonts w:ascii="Arial Narrow" w:hAnsi="Arial Narrow" w:cs="Arial"/>
                <w:sz w:val="20"/>
                <w:szCs w:val="20"/>
              </w:rPr>
              <w:fldChar w:fldCharType="begin">
                <w:ffData>
                  <w:name w:val="Check5"/>
                  <w:enabled/>
                  <w:calcOnExit w:val="0"/>
                  <w:checkBox>
                    <w:sizeAuto/>
                    <w:default w:val="1"/>
                  </w:checkBox>
                </w:ffData>
              </w:fldChar>
            </w:r>
            <w:bookmarkStart w:id="0" w:name="Check5"/>
            <w:r w:rsidRPr="00663D98">
              <w:rPr>
                <w:rFonts w:ascii="Arial Narrow" w:hAnsi="Arial Narrow" w:cs="Arial"/>
                <w:sz w:val="20"/>
                <w:szCs w:val="20"/>
              </w:rPr>
              <w:instrText xml:space="preserve"> FORMCHECKBOX </w:instrText>
            </w:r>
            <w:r w:rsidR="00C34BCC">
              <w:rPr>
                <w:rFonts w:ascii="Arial Narrow" w:hAnsi="Arial Narrow" w:cs="Arial"/>
                <w:sz w:val="20"/>
                <w:szCs w:val="20"/>
              </w:rPr>
            </w:r>
            <w:r w:rsidR="00C34BCC">
              <w:rPr>
                <w:rFonts w:ascii="Arial Narrow" w:hAnsi="Arial Narrow" w:cs="Arial"/>
                <w:sz w:val="20"/>
                <w:szCs w:val="20"/>
              </w:rPr>
              <w:fldChar w:fldCharType="separate"/>
            </w:r>
            <w:r w:rsidRPr="007C7D16">
              <w:rPr>
                <w:rFonts w:ascii="Arial Narrow" w:hAnsi="Arial Narrow" w:cs="Arial"/>
                <w:sz w:val="20"/>
                <w:szCs w:val="20"/>
              </w:rPr>
              <w:fldChar w:fldCharType="end"/>
            </w:r>
            <w:bookmarkEnd w:id="0"/>
            <w:r w:rsidR="00826F6D" w:rsidRPr="00663D98">
              <w:rPr>
                <w:rFonts w:ascii="Arial Narrow" w:hAnsi="Arial Narrow" w:cs="Arial"/>
                <w:sz w:val="20"/>
                <w:szCs w:val="20"/>
              </w:rPr>
              <w:t>Streamlined</w:t>
            </w:r>
          </w:p>
        </w:tc>
      </w:tr>
      <w:tr w:rsidR="00826F6D" w:rsidRPr="00663D98" w:rsidTr="005C2DD9">
        <w:trPr>
          <w:gridAfter w:val="1"/>
          <w:wAfter w:w="6" w:type="pct"/>
          <w:cantSplit/>
          <w:trHeight w:val="360"/>
        </w:trPr>
        <w:tc>
          <w:tcPr>
            <w:tcW w:w="1021" w:type="pct"/>
            <w:tcBorders>
              <w:top w:val="single" w:sz="4" w:space="0" w:color="auto"/>
              <w:left w:val="single" w:sz="4" w:space="0" w:color="auto"/>
              <w:bottom w:val="single" w:sz="4" w:space="0" w:color="auto"/>
              <w:right w:val="single" w:sz="4" w:space="0" w:color="auto"/>
            </w:tcBorders>
          </w:tcPr>
          <w:p w:rsidR="00826F6D" w:rsidRPr="00663D98" w:rsidRDefault="00826F6D" w:rsidP="00EB0B63">
            <w:pPr>
              <w:spacing w:before="40" w:after="40"/>
              <w:jc w:val="both"/>
              <w:rPr>
                <w:rFonts w:ascii="Arial Narrow" w:hAnsi="Arial Narrow" w:cs="Arial"/>
                <w:b/>
                <w:sz w:val="20"/>
                <w:szCs w:val="20"/>
              </w:rPr>
            </w:pPr>
            <w:r w:rsidRPr="00663D98">
              <w:rPr>
                <w:rFonts w:ascii="Arial Narrow" w:hAnsi="Arial Narrow" w:cs="Arial"/>
                <w:b/>
                <w:sz w:val="20"/>
                <w:szCs w:val="20"/>
              </w:rPr>
              <w:lastRenderedPageBreak/>
              <w:t>Clinical criteria:</w:t>
            </w:r>
          </w:p>
          <w:p w:rsidR="00826F6D" w:rsidRPr="00663D98" w:rsidRDefault="00826F6D" w:rsidP="004E0977">
            <w:pPr>
              <w:spacing w:before="40" w:after="40"/>
              <w:jc w:val="both"/>
              <w:rPr>
                <w:rFonts w:ascii="Arial Narrow" w:hAnsi="Arial Narrow" w:cs="Arial"/>
                <w:sz w:val="20"/>
                <w:szCs w:val="20"/>
              </w:rPr>
            </w:pPr>
          </w:p>
        </w:tc>
        <w:tc>
          <w:tcPr>
            <w:tcW w:w="3972" w:type="pct"/>
            <w:gridSpan w:val="6"/>
            <w:tcBorders>
              <w:top w:val="single" w:sz="4" w:space="0" w:color="auto"/>
              <w:left w:val="single" w:sz="4" w:space="0" w:color="auto"/>
              <w:bottom w:val="single" w:sz="4" w:space="0" w:color="auto"/>
              <w:right w:val="single" w:sz="4" w:space="0" w:color="auto"/>
            </w:tcBorders>
          </w:tcPr>
          <w:p w:rsidR="004E0977" w:rsidRPr="00663D98" w:rsidRDefault="004E0977" w:rsidP="004E0977">
            <w:pPr>
              <w:rPr>
                <w:rFonts w:ascii="Arial Narrow" w:hAnsi="Arial Narrow" w:cs="Arial"/>
                <w:sz w:val="20"/>
                <w:szCs w:val="20"/>
                <w:lang w:eastAsia="en-US" w:bidi="en-US"/>
              </w:rPr>
            </w:pPr>
            <w:r w:rsidRPr="00663D98">
              <w:rPr>
                <w:rFonts w:ascii="Arial Narrow" w:hAnsi="Arial Narrow" w:cs="Arial"/>
                <w:sz w:val="20"/>
                <w:szCs w:val="20"/>
                <w:lang w:eastAsia="en-US" w:bidi="en-US"/>
              </w:rPr>
              <w:t>Patient must have a WHO performance status of 1 or less,</w:t>
            </w:r>
          </w:p>
          <w:p w:rsidR="004E0977" w:rsidRPr="00663D98" w:rsidRDefault="004E0977" w:rsidP="004E0977">
            <w:pPr>
              <w:rPr>
                <w:rFonts w:ascii="Arial Narrow" w:hAnsi="Arial Narrow" w:cs="Arial"/>
                <w:sz w:val="20"/>
                <w:szCs w:val="20"/>
                <w:lang w:eastAsia="en-US" w:bidi="en-US"/>
              </w:rPr>
            </w:pPr>
          </w:p>
          <w:p w:rsidR="004E0977" w:rsidRPr="00663D98" w:rsidRDefault="004E0977" w:rsidP="004E0977">
            <w:pPr>
              <w:rPr>
                <w:rFonts w:ascii="Arial Narrow" w:hAnsi="Arial Narrow" w:cs="Arial"/>
                <w:sz w:val="20"/>
                <w:szCs w:val="20"/>
                <w:lang w:eastAsia="en-US" w:bidi="en-US"/>
              </w:rPr>
            </w:pPr>
            <w:r w:rsidRPr="00663D98">
              <w:rPr>
                <w:rFonts w:ascii="Arial Narrow" w:hAnsi="Arial Narrow" w:cs="Arial"/>
                <w:sz w:val="20"/>
                <w:szCs w:val="20"/>
                <w:lang w:eastAsia="en-US" w:bidi="en-US"/>
              </w:rPr>
              <w:t>AND</w:t>
            </w:r>
          </w:p>
          <w:p w:rsidR="004E0977" w:rsidRPr="00663D98" w:rsidRDefault="004E0977" w:rsidP="004E0977">
            <w:pPr>
              <w:jc w:val="both"/>
              <w:rPr>
                <w:rFonts w:ascii="Arial Narrow" w:hAnsi="Arial Narrow" w:cs="Arial"/>
                <w:snapToGrid w:val="0"/>
                <w:sz w:val="20"/>
                <w:szCs w:val="20"/>
                <w:lang w:eastAsia="en-US" w:bidi="en-US"/>
              </w:rPr>
            </w:pPr>
          </w:p>
          <w:p w:rsidR="004E0977" w:rsidRPr="00663D98" w:rsidRDefault="004E0977" w:rsidP="004E0977">
            <w:pPr>
              <w:jc w:val="both"/>
              <w:rPr>
                <w:rFonts w:ascii="Arial Narrow" w:hAnsi="Arial Narrow" w:cs="Arial"/>
                <w:snapToGrid w:val="0"/>
                <w:sz w:val="20"/>
                <w:szCs w:val="20"/>
                <w:lang w:eastAsia="en-US" w:bidi="en-US"/>
              </w:rPr>
            </w:pPr>
            <w:r w:rsidRPr="00663D98">
              <w:rPr>
                <w:rFonts w:ascii="Arial Narrow" w:hAnsi="Arial Narrow" w:cs="Arial"/>
                <w:snapToGrid w:val="0"/>
                <w:sz w:val="20"/>
                <w:szCs w:val="20"/>
                <w:lang w:eastAsia="en-US" w:bidi="en-US"/>
              </w:rPr>
              <w:t>Patient must have previously received treatment with fluoropyrimidine, oxaliplatin, irinotecan-based chemotherapies, an anti-VEGF agent and an anti-EGFR agent, OR</w:t>
            </w:r>
          </w:p>
          <w:p w:rsidR="004E0977" w:rsidRPr="00663D98" w:rsidRDefault="004E0977" w:rsidP="004E0977">
            <w:pPr>
              <w:jc w:val="both"/>
              <w:rPr>
                <w:rFonts w:ascii="Arial Narrow" w:hAnsi="Arial Narrow" w:cs="Arial"/>
                <w:snapToGrid w:val="0"/>
                <w:sz w:val="20"/>
                <w:szCs w:val="20"/>
                <w:lang w:eastAsia="en-US" w:bidi="en-US"/>
              </w:rPr>
            </w:pPr>
          </w:p>
          <w:p w:rsidR="00826F6D" w:rsidRPr="00663D98" w:rsidRDefault="004E0977" w:rsidP="004E0977">
            <w:pPr>
              <w:spacing w:before="40" w:after="40"/>
              <w:rPr>
                <w:rFonts w:ascii="Arial Narrow" w:hAnsi="Arial Narrow" w:cs="Arial"/>
                <w:sz w:val="20"/>
                <w:szCs w:val="20"/>
              </w:rPr>
            </w:pPr>
            <w:r w:rsidRPr="00663D98">
              <w:rPr>
                <w:rFonts w:ascii="Arial Narrow" w:hAnsi="Arial Narrow" w:cs="Arial"/>
                <w:snapToGrid w:val="0"/>
                <w:sz w:val="20"/>
                <w:szCs w:val="20"/>
                <w:lang w:eastAsia="en-US" w:bidi="en-US"/>
              </w:rPr>
              <w:t>Patient must not be a candidate for treatment with fluoropyrimidine, oxaliplatin, and irinotecan-based chemotherapies, anti-VEGF agents and anti-EGFR agents.</w:t>
            </w:r>
          </w:p>
        </w:tc>
      </w:tr>
      <w:tr w:rsidR="00826F6D" w:rsidRPr="00663D98" w:rsidTr="005C2DD9">
        <w:trPr>
          <w:gridAfter w:val="1"/>
          <w:wAfter w:w="6" w:type="pct"/>
          <w:cantSplit/>
          <w:trHeight w:val="360"/>
        </w:trPr>
        <w:tc>
          <w:tcPr>
            <w:tcW w:w="1021" w:type="pct"/>
            <w:tcBorders>
              <w:top w:val="single" w:sz="4" w:space="0" w:color="auto"/>
              <w:left w:val="single" w:sz="4" w:space="0" w:color="auto"/>
              <w:bottom w:val="single" w:sz="4" w:space="0" w:color="auto"/>
              <w:right w:val="single" w:sz="4" w:space="0" w:color="auto"/>
            </w:tcBorders>
          </w:tcPr>
          <w:p w:rsidR="00826F6D" w:rsidRPr="00663D98" w:rsidRDefault="00826F6D" w:rsidP="00EB0B63">
            <w:pPr>
              <w:spacing w:before="40" w:after="40"/>
              <w:jc w:val="both"/>
              <w:rPr>
                <w:rFonts w:ascii="Arial Narrow" w:hAnsi="Arial Narrow" w:cs="Arial"/>
                <w:b/>
                <w:sz w:val="20"/>
                <w:szCs w:val="20"/>
              </w:rPr>
            </w:pPr>
            <w:r w:rsidRPr="00663D98">
              <w:rPr>
                <w:rFonts w:ascii="Arial Narrow" w:hAnsi="Arial Narrow" w:cs="Arial"/>
                <w:b/>
                <w:sz w:val="20"/>
                <w:szCs w:val="20"/>
              </w:rPr>
              <w:t>Administrative Advice</w:t>
            </w:r>
          </w:p>
          <w:p w:rsidR="00826F6D" w:rsidRPr="00663D98" w:rsidRDefault="00826F6D" w:rsidP="004E0977">
            <w:pPr>
              <w:spacing w:before="40" w:after="40"/>
              <w:jc w:val="both"/>
              <w:rPr>
                <w:rFonts w:ascii="Arial Narrow" w:hAnsi="Arial Narrow" w:cs="Arial"/>
                <w:i/>
                <w:sz w:val="20"/>
                <w:szCs w:val="20"/>
              </w:rPr>
            </w:pPr>
          </w:p>
        </w:tc>
        <w:tc>
          <w:tcPr>
            <w:tcW w:w="3972" w:type="pct"/>
            <w:gridSpan w:val="6"/>
            <w:tcBorders>
              <w:top w:val="single" w:sz="4" w:space="0" w:color="auto"/>
              <w:left w:val="single" w:sz="4" w:space="0" w:color="auto"/>
              <w:bottom w:val="single" w:sz="4" w:space="0" w:color="auto"/>
              <w:right w:val="single" w:sz="4" w:space="0" w:color="auto"/>
            </w:tcBorders>
          </w:tcPr>
          <w:p w:rsidR="004E0977" w:rsidRPr="00663D98" w:rsidRDefault="004E0977" w:rsidP="004E0977">
            <w:pPr>
              <w:rPr>
                <w:rFonts w:ascii="Arial Narrow" w:hAnsi="Arial Narrow" w:cs="Arial"/>
                <w:sz w:val="20"/>
                <w:szCs w:val="20"/>
                <w:lang w:eastAsia="en-US" w:bidi="en-US"/>
              </w:rPr>
            </w:pPr>
            <w:r w:rsidRPr="00663D98">
              <w:rPr>
                <w:rFonts w:ascii="Arial Narrow" w:hAnsi="Arial Narrow" w:cs="Arial"/>
                <w:sz w:val="20"/>
                <w:szCs w:val="20"/>
                <w:lang w:eastAsia="en-US" w:bidi="en-US"/>
              </w:rPr>
              <w:t>Patient must have a WHO performance status of 1 or less,</w:t>
            </w:r>
          </w:p>
          <w:p w:rsidR="004E0977" w:rsidRPr="00663D98" w:rsidRDefault="004E0977" w:rsidP="004E0977">
            <w:pPr>
              <w:rPr>
                <w:rFonts w:ascii="Arial Narrow" w:hAnsi="Arial Narrow" w:cs="Arial"/>
                <w:sz w:val="20"/>
                <w:szCs w:val="20"/>
                <w:lang w:eastAsia="en-US" w:bidi="en-US"/>
              </w:rPr>
            </w:pPr>
          </w:p>
          <w:p w:rsidR="004E0977" w:rsidRPr="00663D98" w:rsidRDefault="004E0977" w:rsidP="004E0977">
            <w:pPr>
              <w:rPr>
                <w:rFonts w:ascii="Arial Narrow" w:hAnsi="Arial Narrow" w:cs="Arial"/>
                <w:sz w:val="20"/>
                <w:szCs w:val="20"/>
                <w:lang w:eastAsia="en-US" w:bidi="en-US"/>
              </w:rPr>
            </w:pPr>
            <w:r w:rsidRPr="00663D98">
              <w:rPr>
                <w:rFonts w:ascii="Arial Narrow" w:hAnsi="Arial Narrow" w:cs="Arial"/>
                <w:sz w:val="20"/>
                <w:szCs w:val="20"/>
                <w:lang w:eastAsia="en-US" w:bidi="en-US"/>
              </w:rPr>
              <w:t>AND</w:t>
            </w:r>
          </w:p>
          <w:p w:rsidR="004E0977" w:rsidRPr="00663D98" w:rsidRDefault="004E0977" w:rsidP="004E0977">
            <w:pPr>
              <w:jc w:val="both"/>
              <w:rPr>
                <w:rFonts w:ascii="Arial Narrow" w:hAnsi="Arial Narrow" w:cs="Arial"/>
                <w:snapToGrid w:val="0"/>
                <w:sz w:val="20"/>
                <w:szCs w:val="20"/>
                <w:lang w:eastAsia="en-US" w:bidi="en-US"/>
              </w:rPr>
            </w:pPr>
          </w:p>
          <w:p w:rsidR="004E0977" w:rsidRPr="00663D98" w:rsidRDefault="004E0977" w:rsidP="004E0977">
            <w:pPr>
              <w:jc w:val="both"/>
              <w:rPr>
                <w:rFonts w:ascii="Arial Narrow" w:hAnsi="Arial Narrow" w:cs="Arial"/>
                <w:snapToGrid w:val="0"/>
                <w:sz w:val="20"/>
                <w:szCs w:val="20"/>
                <w:lang w:eastAsia="en-US" w:bidi="en-US"/>
              </w:rPr>
            </w:pPr>
            <w:r w:rsidRPr="00663D98">
              <w:rPr>
                <w:rFonts w:ascii="Arial Narrow" w:hAnsi="Arial Narrow" w:cs="Arial"/>
                <w:snapToGrid w:val="0"/>
                <w:sz w:val="20"/>
                <w:szCs w:val="20"/>
                <w:lang w:eastAsia="en-US" w:bidi="en-US"/>
              </w:rPr>
              <w:t>Patient must have previously received treatment with fluoropyrimidine, oxaliplatin, irinotecan-based chemotherapies, an anti-VEGF agent and an anti-EGFR agent, OR</w:t>
            </w:r>
          </w:p>
          <w:p w:rsidR="004E0977" w:rsidRPr="00663D98" w:rsidRDefault="004E0977" w:rsidP="004E0977">
            <w:pPr>
              <w:jc w:val="both"/>
              <w:rPr>
                <w:rFonts w:ascii="Arial Narrow" w:hAnsi="Arial Narrow" w:cs="Arial"/>
                <w:snapToGrid w:val="0"/>
                <w:sz w:val="20"/>
                <w:szCs w:val="20"/>
                <w:lang w:eastAsia="en-US" w:bidi="en-US"/>
              </w:rPr>
            </w:pPr>
          </w:p>
          <w:p w:rsidR="00826F6D" w:rsidRPr="00663D98" w:rsidRDefault="004E0977" w:rsidP="004E0977">
            <w:pPr>
              <w:spacing w:before="40" w:after="40"/>
              <w:rPr>
                <w:rFonts w:ascii="Arial Narrow" w:hAnsi="Arial Narrow" w:cs="Arial"/>
                <w:sz w:val="20"/>
                <w:szCs w:val="20"/>
              </w:rPr>
            </w:pPr>
            <w:r w:rsidRPr="00663D98">
              <w:rPr>
                <w:rFonts w:ascii="Arial Narrow" w:hAnsi="Arial Narrow" w:cs="Arial"/>
                <w:snapToGrid w:val="0"/>
                <w:sz w:val="20"/>
                <w:szCs w:val="20"/>
                <w:lang w:eastAsia="en-US" w:bidi="en-US"/>
              </w:rPr>
              <w:t>Patient must not be a candidate for treatment with fluoropyrimidine, oxaliplatin, and irinotecan-based chemotherapies, anti-VEGF agents and anti-EGFR agents.</w:t>
            </w:r>
          </w:p>
        </w:tc>
      </w:tr>
    </w:tbl>
    <w:p w:rsidR="00826F6D" w:rsidRPr="00663D98" w:rsidRDefault="00826F6D" w:rsidP="002D4543">
      <w:pPr>
        <w:rPr>
          <w:szCs w:val="22"/>
        </w:rPr>
      </w:pPr>
    </w:p>
    <w:tbl>
      <w:tblPr>
        <w:tblW w:w="4857" w:type="pct"/>
        <w:tblInd w:w="108" w:type="dxa"/>
        <w:tblLook w:val="0000" w:firstRow="0" w:lastRow="0" w:firstColumn="0" w:lastColumn="0" w:noHBand="0" w:noVBand="0"/>
      </w:tblPr>
      <w:tblGrid>
        <w:gridCol w:w="1837"/>
        <w:gridCol w:w="7141"/>
      </w:tblGrid>
      <w:tr w:rsidR="00501EFD" w:rsidRPr="00663D98" w:rsidTr="005C2DD9">
        <w:trPr>
          <w:trHeight w:val="360"/>
        </w:trPr>
        <w:tc>
          <w:tcPr>
            <w:tcW w:w="1023" w:type="pct"/>
            <w:tcBorders>
              <w:top w:val="single" w:sz="4" w:space="0" w:color="auto"/>
              <w:left w:val="single" w:sz="4" w:space="0" w:color="auto"/>
              <w:bottom w:val="single" w:sz="4" w:space="0" w:color="auto"/>
              <w:right w:val="single" w:sz="4" w:space="0" w:color="auto"/>
            </w:tcBorders>
          </w:tcPr>
          <w:p w:rsidR="00501EFD" w:rsidRPr="00663D98" w:rsidRDefault="00501EFD" w:rsidP="00D6638B">
            <w:pPr>
              <w:spacing w:before="40" w:after="40"/>
              <w:jc w:val="both"/>
              <w:rPr>
                <w:rFonts w:ascii="Arial Narrow" w:hAnsi="Arial Narrow" w:cs="Arial"/>
                <w:b/>
                <w:sz w:val="20"/>
                <w:szCs w:val="20"/>
              </w:rPr>
            </w:pPr>
            <w:r w:rsidRPr="00663D98">
              <w:rPr>
                <w:rFonts w:ascii="Arial Narrow" w:hAnsi="Arial Narrow" w:cs="Arial"/>
                <w:b/>
                <w:sz w:val="20"/>
                <w:szCs w:val="20"/>
              </w:rPr>
              <w:t>Category / Program</w:t>
            </w:r>
          </w:p>
        </w:tc>
        <w:tc>
          <w:tcPr>
            <w:tcW w:w="3977" w:type="pct"/>
            <w:tcBorders>
              <w:top w:val="single" w:sz="4" w:space="0" w:color="auto"/>
              <w:left w:val="single" w:sz="4" w:space="0" w:color="auto"/>
              <w:bottom w:val="single" w:sz="4" w:space="0" w:color="auto"/>
              <w:right w:val="single" w:sz="4" w:space="0" w:color="auto"/>
            </w:tcBorders>
          </w:tcPr>
          <w:p w:rsidR="00501EFD" w:rsidRPr="00663D98" w:rsidRDefault="00501EFD" w:rsidP="00D6638B">
            <w:pPr>
              <w:spacing w:before="40" w:after="40"/>
              <w:rPr>
                <w:rFonts w:ascii="Arial Narrow" w:hAnsi="Arial Narrow" w:cs="Arial"/>
                <w:sz w:val="20"/>
                <w:szCs w:val="20"/>
              </w:rPr>
            </w:pPr>
            <w:r w:rsidRPr="00663D98">
              <w:rPr>
                <w:rFonts w:ascii="Arial Narrow" w:hAnsi="Arial Narrow" w:cs="Arial"/>
                <w:sz w:val="20"/>
                <w:szCs w:val="20"/>
              </w:rPr>
              <w:t>GENERAL – General Schedule (Code GE)</w:t>
            </w:r>
          </w:p>
        </w:tc>
      </w:tr>
      <w:tr w:rsidR="00501EFD" w:rsidRPr="00663D98" w:rsidTr="005C2DD9">
        <w:trPr>
          <w:trHeight w:val="360"/>
        </w:trPr>
        <w:tc>
          <w:tcPr>
            <w:tcW w:w="1023" w:type="pct"/>
            <w:tcBorders>
              <w:top w:val="single" w:sz="4" w:space="0" w:color="auto"/>
              <w:left w:val="single" w:sz="4" w:space="0" w:color="auto"/>
              <w:bottom w:val="single" w:sz="4" w:space="0" w:color="auto"/>
              <w:right w:val="single" w:sz="4" w:space="0" w:color="auto"/>
            </w:tcBorders>
          </w:tcPr>
          <w:p w:rsidR="00501EFD" w:rsidRPr="00663D98" w:rsidRDefault="00501EFD" w:rsidP="00D6638B">
            <w:pPr>
              <w:spacing w:before="40" w:after="40"/>
              <w:jc w:val="both"/>
              <w:rPr>
                <w:rFonts w:ascii="Arial Narrow" w:hAnsi="Arial Narrow" w:cs="Arial"/>
                <w:b/>
                <w:sz w:val="20"/>
                <w:szCs w:val="20"/>
              </w:rPr>
            </w:pPr>
            <w:r w:rsidRPr="00663D98">
              <w:rPr>
                <w:rFonts w:ascii="Arial Narrow" w:hAnsi="Arial Narrow" w:cs="Arial"/>
                <w:b/>
                <w:sz w:val="20"/>
                <w:szCs w:val="20"/>
              </w:rPr>
              <w:t>Prescriber type:</w:t>
            </w:r>
          </w:p>
        </w:tc>
        <w:tc>
          <w:tcPr>
            <w:tcW w:w="3977" w:type="pct"/>
            <w:tcBorders>
              <w:top w:val="single" w:sz="4" w:space="0" w:color="auto"/>
              <w:left w:val="single" w:sz="4" w:space="0" w:color="auto"/>
              <w:bottom w:val="single" w:sz="4" w:space="0" w:color="auto"/>
              <w:right w:val="single" w:sz="4" w:space="0" w:color="auto"/>
            </w:tcBorders>
          </w:tcPr>
          <w:p w:rsidR="00501EFD" w:rsidRPr="00663D98" w:rsidRDefault="00501EFD" w:rsidP="00D6638B">
            <w:pPr>
              <w:spacing w:before="40" w:after="40"/>
              <w:rPr>
                <w:rFonts w:ascii="Arial Narrow" w:hAnsi="Arial Narrow" w:cs="Arial"/>
                <w:sz w:val="20"/>
                <w:szCs w:val="20"/>
              </w:rPr>
            </w:pPr>
            <w:r w:rsidRPr="007C7D16">
              <w:rPr>
                <w:rFonts w:ascii="Arial Narrow" w:hAnsi="Arial Narrow" w:cs="Arial"/>
                <w:sz w:val="20"/>
                <w:szCs w:val="20"/>
              </w:rPr>
              <w:fldChar w:fldCharType="begin">
                <w:ffData>
                  <w:name w:val="Check1"/>
                  <w:enabled/>
                  <w:calcOnExit w:val="0"/>
                  <w:checkBox>
                    <w:sizeAuto/>
                    <w:default w:val="0"/>
                  </w:checkBox>
                </w:ffData>
              </w:fldChar>
            </w:r>
            <w:r w:rsidRPr="00663D98">
              <w:rPr>
                <w:rFonts w:ascii="Arial Narrow" w:hAnsi="Arial Narrow" w:cs="Arial"/>
                <w:sz w:val="20"/>
                <w:szCs w:val="20"/>
              </w:rPr>
              <w:instrText xml:space="preserve"> FORMCHECKBOX </w:instrText>
            </w:r>
            <w:r w:rsidR="00C34BCC">
              <w:rPr>
                <w:rFonts w:ascii="Arial Narrow" w:hAnsi="Arial Narrow" w:cs="Arial"/>
                <w:sz w:val="20"/>
                <w:szCs w:val="20"/>
              </w:rPr>
            </w:r>
            <w:r w:rsidR="00C34BCC">
              <w:rPr>
                <w:rFonts w:ascii="Arial Narrow" w:hAnsi="Arial Narrow" w:cs="Arial"/>
                <w:sz w:val="20"/>
                <w:szCs w:val="20"/>
              </w:rPr>
              <w:fldChar w:fldCharType="separate"/>
            </w:r>
            <w:r w:rsidRPr="007C7D16">
              <w:rPr>
                <w:rFonts w:ascii="Arial Narrow" w:hAnsi="Arial Narrow" w:cs="Arial"/>
                <w:sz w:val="20"/>
                <w:szCs w:val="20"/>
              </w:rPr>
              <w:fldChar w:fldCharType="end"/>
            </w:r>
            <w:r w:rsidRPr="00663D98">
              <w:rPr>
                <w:rFonts w:ascii="Arial Narrow" w:hAnsi="Arial Narrow" w:cs="Arial"/>
                <w:sz w:val="20"/>
                <w:szCs w:val="20"/>
              </w:rPr>
              <w:t xml:space="preserve">Dental  </w:t>
            </w:r>
            <w:r w:rsidRPr="007C7D16">
              <w:rPr>
                <w:rFonts w:ascii="Arial Narrow" w:hAnsi="Arial Narrow" w:cs="Arial"/>
                <w:sz w:val="20"/>
                <w:szCs w:val="20"/>
              </w:rPr>
              <w:fldChar w:fldCharType="begin">
                <w:ffData>
                  <w:name w:val=""/>
                  <w:enabled/>
                  <w:calcOnExit w:val="0"/>
                  <w:checkBox>
                    <w:sizeAuto/>
                    <w:default w:val="1"/>
                  </w:checkBox>
                </w:ffData>
              </w:fldChar>
            </w:r>
            <w:r w:rsidRPr="00663D98">
              <w:rPr>
                <w:rFonts w:ascii="Arial Narrow" w:hAnsi="Arial Narrow" w:cs="Arial"/>
                <w:sz w:val="20"/>
                <w:szCs w:val="20"/>
              </w:rPr>
              <w:instrText xml:space="preserve"> FORMCHECKBOX </w:instrText>
            </w:r>
            <w:r w:rsidR="00C34BCC">
              <w:rPr>
                <w:rFonts w:ascii="Arial Narrow" w:hAnsi="Arial Narrow" w:cs="Arial"/>
                <w:sz w:val="20"/>
                <w:szCs w:val="20"/>
              </w:rPr>
            </w:r>
            <w:r w:rsidR="00C34BCC">
              <w:rPr>
                <w:rFonts w:ascii="Arial Narrow" w:hAnsi="Arial Narrow" w:cs="Arial"/>
                <w:sz w:val="20"/>
                <w:szCs w:val="20"/>
              </w:rPr>
              <w:fldChar w:fldCharType="separate"/>
            </w:r>
            <w:r w:rsidRPr="007C7D16">
              <w:rPr>
                <w:rFonts w:ascii="Arial Narrow" w:hAnsi="Arial Narrow" w:cs="Arial"/>
                <w:sz w:val="20"/>
                <w:szCs w:val="20"/>
              </w:rPr>
              <w:fldChar w:fldCharType="end"/>
            </w:r>
            <w:r w:rsidRPr="00663D98">
              <w:rPr>
                <w:rFonts w:ascii="Arial Narrow" w:hAnsi="Arial Narrow" w:cs="Arial"/>
                <w:sz w:val="20"/>
                <w:szCs w:val="20"/>
              </w:rPr>
              <w:t xml:space="preserve">Medical Practitioners  </w:t>
            </w:r>
            <w:r w:rsidRPr="007C7D16">
              <w:rPr>
                <w:rFonts w:ascii="Arial Narrow" w:hAnsi="Arial Narrow" w:cs="Arial"/>
                <w:sz w:val="20"/>
                <w:szCs w:val="20"/>
              </w:rPr>
              <w:fldChar w:fldCharType="begin">
                <w:ffData>
                  <w:name w:val="Check3"/>
                  <w:enabled/>
                  <w:calcOnExit w:val="0"/>
                  <w:checkBox>
                    <w:sizeAuto/>
                    <w:default w:val="0"/>
                  </w:checkBox>
                </w:ffData>
              </w:fldChar>
            </w:r>
            <w:r w:rsidRPr="00663D98">
              <w:rPr>
                <w:rFonts w:ascii="Arial Narrow" w:hAnsi="Arial Narrow" w:cs="Arial"/>
                <w:sz w:val="20"/>
                <w:szCs w:val="20"/>
              </w:rPr>
              <w:instrText xml:space="preserve"> FORMCHECKBOX </w:instrText>
            </w:r>
            <w:r w:rsidR="00C34BCC">
              <w:rPr>
                <w:rFonts w:ascii="Arial Narrow" w:hAnsi="Arial Narrow" w:cs="Arial"/>
                <w:sz w:val="20"/>
                <w:szCs w:val="20"/>
              </w:rPr>
            </w:r>
            <w:r w:rsidR="00C34BCC">
              <w:rPr>
                <w:rFonts w:ascii="Arial Narrow" w:hAnsi="Arial Narrow" w:cs="Arial"/>
                <w:sz w:val="20"/>
                <w:szCs w:val="20"/>
              </w:rPr>
              <w:fldChar w:fldCharType="separate"/>
            </w:r>
            <w:r w:rsidRPr="007C7D16">
              <w:rPr>
                <w:rFonts w:ascii="Arial Narrow" w:hAnsi="Arial Narrow" w:cs="Arial"/>
                <w:sz w:val="20"/>
                <w:szCs w:val="20"/>
              </w:rPr>
              <w:fldChar w:fldCharType="end"/>
            </w:r>
            <w:r w:rsidRPr="00663D98">
              <w:rPr>
                <w:rFonts w:ascii="Arial Narrow" w:hAnsi="Arial Narrow" w:cs="Arial"/>
                <w:sz w:val="20"/>
                <w:szCs w:val="20"/>
              </w:rPr>
              <w:t xml:space="preserve">Nurse practitioners  </w:t>
            </w:r>
            <w:r w:rsidRPr="007C7D16">
              <w:rPr>
                <w:rFonts w:ascii="Arial Narrow" w:hAnsi="Arial Narrow" w:cs="Arial"/>
                <w:sz w:val="20"/>
                <w:szCs w:val="20"/>
              </w:rPr>
              <w:fldChar w:fldCharType="begin">
                <w:ffData>
                  <w:name w:val=""/>
                  <w:enabled/>
                  <w:calcOnExit w:val="0"/>
                  <w:checkBox>
                    <w:sizeAuto/>
                    <w:default w:val="0"/>
                  </w:checkBox>
                </w:ffData>
              </w:fldChar>
            </w:r>
            <w:r w:rsidRPr="00663D98">
              <w:rPr>
                <w:rFonts w:ascii="Arial Narrow" w:hAnsi="Arial Narrow" w:cs="Arial"/>
                <w:sz w:val="20"/>
                <w:szCs w:val="20"/>
              </w:rPr>
              <w:instrText xml:space="preserve"> FORMCHECKBOX </w:instrText>
            </w:r>
            <w:r w:rsidR="00C34BCC">
              <w:rPr>
                <w:rFonts w:ascii="Arial Narrow" w:hAnsi="Arial Narrow" w:cs="Arial"/>
                <w:sz w:val="20"/>
                <w:szCs w:val="20"/>
              </w:rPr>
            </w:r>
            <w:r w:rsidR="00C34BCC">
              <w:rPr>
                <w:rFonts w:ascii="Arial Narrow" w:hAnsi="Arial Narrow" w:cs="Arial"/>
                <w:sz w:val="20"/>
                <w:szCs w:val="20"/>
              </w:rPr>
              <w:fldChar w:fldCharType="separate"/>
            </w:r>
            <w:r w:rsidRPr="007C7D16">
              <w:rPr>
                <w:rFonts w:ascii="Arial Narrow" w:hAnsi="Arial Narrow" w:cs="Arial"/>
                <w:sz w:val="20"/>
                <w:szCs w:val="20"/>
              </w:rPr>
              <w:fldChar w:fldCharType="end"/>
            </w:r>
            <w:r w:rsidRPr="00663D98">
              <w:rPr>
                <w:rFonts w:ascii="Arial Narrow" w:hAnsi="Arial Narrow" w:cs="Arial"/>
                <w:sz w:val="20"/>
                <w:szCs w:val="20"/>
              </w:rPr>
              <w:t xml:space="preserve">Optometrists </w:t>
            </w:r>
            <w:r w:rsidRPr="007C7D16">
              <w:rPr>
                <w:rFonts w:ascii="Arial Narrow" w:hAnsi="Arial Narrow" w:cs="Arial"/>
                <w:sz w:val="20"/>
                <w:szCs w:val="20"/>
              </w:rPr>
              <w:fldChar w:fldCharType="begin">
                <w:ffData>
                  <w:name w:val="Check5"/>
                  <w:enabled/>
                  <w:calcOnExit w:val="0"/>
                  <w:checkBox>
                    <w:sizeAuto/>
                    <w:default w:val="0"/>
                  </w:checkBox>
                </w:ffData>
              </w:fldChar>
            </w:r>
            <w:r w:rsidRPr="00663D98">
              <w:rPr>
                <w:rFonts w:ascii="Arial Narrow" w:hAnsi="Arial Narrow" w:cs="Arial"/>
                <w:sz w:val="20"/>
                <w:szCs w:val="20"/>
              </w:rPr>
              <w:instrText xml:space="preserve"> FORMCHECKBOX </w:instrText>
            </w:r>
            <w:r w:rsidR="00C34BCC">
              <w:rPr>
                <w:rFonts w:ascii="Arial Narrow" w:hAnsi="Arial Narrow" w:cs="Arial"/>
                <w:sz w:val="20"/>
                <w:szCs w:val="20"/>
              </w:rPr>
            </w:r>
            <w:r w:rsidR="00C34BCC">
              <w:rPr>
                <w:rFonts w:ascii="Arial Narrow" w:hAnsi="Arial Narrow" w:cs="Arial"/>
                <w:sz w:val="20"/>
                <w:szCs w:val="20"/>
              </w:rPr>
              <w:fldChar w:fldCharType="separate"/>
            </w:r>
            <w:r w:rsidRPr="007C7D16">
              <w:rPr>
                <w:rFonts w:ascii="Arial Narrow" w:hAnsi="Arial Narrow" w:cs="Arial"/>
                <w:sz w:val="20"/>
                <w:szCs w:val="20"/>
              </w:rPr>
              <w:fldChar w:fldCharType="end"/>
            </w:r>
            <w:r w:rsidRPr="00663D98">
              <w:rPr>
                <w:rFonts w:ascii="Arial Narrow" w:hAnsi="Arial Narrow" w:cs="Arial"/>
                <w:sz w:val="20"/>
                <w:szCs w:val="20"/>
              </w:rPr>
              <w:t>Midwives</w:t>
            </w:r>
          </w:p>
        </w:tc>
      </w:tr>
      <w:tr w:rsidR="00501EFD" w:rsidRPr="00663D98" w:rsidTr="005C2DD9">
        <w:trPr>
          <w:trHeight w:val="360"/>
        </w:trPr>
        <w:tc>
          <w:tcPr>
            <w:tcW w:w="1023" w:type="pct"/>
            <w:tcBorders>
              <w:top w:val="single" w:sz="4" w:space="0" w:color="auto"/>
              <w:left w:val="single" w:sz="4" w:space="0" w:color="auto"/>
              <w:bottom w:val="single" w:sz="4" w:space="0" w:color="auto"/>
              <w:right w:val="single" w:sz="4" w:space="0" w:color="auto"/>
            </w:tcBorders>
          </w:tcPr>
          <w:p w:rsidR="00501EFD" w:rsidRPr="00663D98" w:rsidRDefault="00501EFD" w:rsidP="00D6638B">
            <w:pPr>
              <w:spacing w:before="40" w:after="40"/>
              <w:jc w:val="both"/>
              <w:rPr>
                <w:rFonts w:ascii="Arial Narrow" w:hAnsi="Arial Narrow" w:cs="Arial"/>
                <w:b/>
                <w:sz w:val="20"/>
                <w:szCs w:val="20"/>
              </w:rPr>
            </w:pPr>
            <w:r w:rsidRPr="00663D98">
              <w:rPr>
                <w:rFonts w:ascii="Arial Narrow" w:hAnsi="Arial Narrow" w:cs="Arial"/>
                <w:b/>
                <w:sz w:val="20"/>
                <w:szCs w:val="20"/>
              </w:rPr>
              <w:t>Severity:</w:t>
            </w:r>
          </w:p>
        </w:tc>
        <w:tc>
          <w:tcPr>
            <w:tcW w:w="3977" w:type="pct"/>
            <w:tcBorders>
              <w:top w:val="single" w:sz="4" w:space="0" w:color="auto"/>
              <w:left w:val="single" w:sz="4" w:space="0" w:color="auto"/>
              <w:bottom w:val="single" w:sz="4" w:space="0" w:color="auto"/>
              <w:right w:val="single" w:sz="4" w:space="0" w:color="auto"/>
            </w:tcBorders>
          </w:tcPr>
          <w:p w:rsidR="00501EFD" w:rsidRPr="00663D98" w:rsidRDefault="00501EFD" w:rsidP="00D6638B">
            <w:pPr>
              <w:spacing w:before="40" w:after="40"/>
              <w:rPr>
                <w:rFonts w:ascii="Arial Narrow" w:hAnsi="Arial Narrow" w:cs="Arial"/>
                <w:sz w:val="20"/>
                <w:szCs w:val="20"/>
              </w:rPr>
            </w:pPr>
            <w:r w:rsidRPr="00663D98">
              <w:rPr>
                <w:rFonts w:ascii="Arial Narrow" w:hAnsi="Arial Narrow" w:cs="Arial"/>
                <w:sz w:val="20"/>
                <w:szCs w:val="20"/>
              </w:rPr>
              <w:t>Metastatic</w:t>
            </w:r>
          </w:p>
        </w:tc>
      </w:tr>
      <w:tr w:rsidR="00501EFD" w:rsidRPr="00663D98" w:rsidTr="005C2DD9">
        <w:trPr>
          <w:trHeight w:val="360"/>
        </w:trPr>
        <w:tc>
          <w:tcPr>
            <w:tcW w:w="1023" w:type="pct"/>
            <w:tcBorders>
              <w:top w:val="single" w:sz="4" w:space="0" w:color="auto"/>
              <w:left w:val="single" w:sz="4" w:space="0" w:color="auto"/>
              <w:bottom w:val="single" w:sz="4" w:space="0" w:color="auto"/>
              <w:right w:val="single" w:sz="4" w:space="0" w:color="auto"/>
            </w:tcBorders>
          </w:tcPr>
          <w:p w:rsidR="00501EFD" w:rsidRPr="00663D98" w:rsidRDefault="00501EFD" w:rsidP="00D6638B">
            <w:pPr>
              <w:spacing w:before="40" w:after="40"/>
              <w:jc w:val="both"/>
              <w:rPr>
                <w:rFonts w:ascii="Arial Narrow" w:hAnsi="Arial Narrow" w:cs="Arial"/>
                <w:b/>
                <w:sz w:val="20"/>
                <w:szCs w:val="20"/>
              </w:rPr>
            </w:pPr>
            <w:r w:rsidRPr="00663D98">
              <w:rPr>
                <w:rFonts w:ascii="Arial Narrow" w:hAnsi="Arial Narrow" w:cs="Arial"/>
                <w:b/>
                <w:sz w:val="20"/>
                <w:szCs w:val="20"/>
              </w:rPr>
              <w:t>Condition:</w:t>
            </w:r>
          </w:p>
        </w:tc>
        <w:tc>
          <w:tcPr>
            <w:tcW w:w="3977" w:type="pct"/>
            <w:tcBorders>
              <w:top w:val="single" w:sz="4" w:space="0" w:color="auto"/>
              <w:left w:val="single" w:sz="4" w:space="0" w:color="auto"/>
              <w:bottom w:val="single" w:sz="4" w:space="0" w:color="auto"/>
              <w:right w:val="single" w:sz="4" w:space="0" w:color="auto"/>
            </w:tcBorders>
          </w:tcPr>
          <w:p w:rsidR="00501EFD" w:rsidRPr="00663D98" w:rsidRDefault="00501EFD" w:rsidP="00D6638B">
            <w:pPr>
              <w:spacing w:before="40" w:after="40"/>
              <w:rPr>
                <w:rFonts w:ascii="Arial Narrow" w:hAnsi="Arial Narrow" w:cs="Arial"/>
                <w:sz w:val="20"/>
                <w:szCs w:val="20"/>
              </w:rPr>
            </w:pPr>
            <w:r w:rsidRPr="00663D98">
              <w:rPr>
                <w:rFonts w:ascii="Arial Narrow" w:hAnsi="Arial Narrow" w:cs="Arial"/>
                <w:sz w:val="20"/>
                <w:szCs w:val="20"/>
              </w:rPr>
              <w:t>Metastatic colorectal cancer</w:t>
            </w:r>
          </w:p>
        </w:tc>
      </w:tr>
      <w:tr w:rsidR="00501EFD" w:rsidRPr="00663D98" w:rsidTr="005C2DD9">
        <w:trPr>
          <w:trHeight w:val="360"/>
        </w:trPr>
        <w:tc>
          <w:tcPr>
            <w:tcW w:w="1023" w:type="pct"/>
            <w:tcBorders>
              <w:top w:val="single" w:sz="4" w:space="0" w:color="auto"/>
              <w:left w:val="single" w:sz="4" w:space="0" w:color="auto"/>
              <w:bottom w:val="single" w:sz="4" w:space="0" w:color="auto"/>
              <w:right w:val="single" w:sz="4" w:space="0" w:color="auto"/>
            </w:tcBorders>
          </w:tcPr>
          <w:p w:rsidR="00501EFD" w:rsidRPr="00663D98" w:rsidRDefault="00501EFD" w:rsidP="00D6638B">
            <w:pPr>
              <w:spacing w:before="40" w:after="40"/>
              <w:jc w:val="both"/>
              <w:rPr>
                <w:rFonts w:ascii="Arial Narrow" w:hAnsi="Arial Narrow" w:cs="Arial"/>
                <w:b/>
                <w:sz w:val="20"/>
                <w:szCs w:val="20"/>
              </w:rPr>
            </w:pPr>
            <w:r w:rsidRPr="00663D98">
              <w:rPr>
                <w:rFonts w:ascii="Arial Narrow" w:hAnsi="Arial Narrow" w:cs="Arial"/>
                <w:b/>
                <w:sz w:val="20"/>
                <w:szCs w:val="20"/>
              </w:rPr>
              <w:t>PBS Indication:</w:t>
            </w:r>
          </w:p>
        </w:tc>
        <w:tc>
          <w:tcPr>
            <w:tcW w:w="3977" w:type="pct"/>
            <w:tcBorders>
              <w:top w:val="single" w:sz="4" w:space="0" w:color="auto"/>
              <w:left w:val="single" w:sz="4" w:space="0" w:color="auto"/>
              <w:bottom w:val="single" w:sz="4" w:space="0" w:color="auto"/>
              <w:right w:val="single" w:sz="4" w:space="0" w:color="auto"/>
            </w:tcBorders>
          </w:tcPr>
          <w:p w:rsidR="00501EFD" w:rsidRPr="00663D98" w:rsidRDefault="00501EFD" w:rsidP="00D6638B">
            <w:pPr>
              <w:spacing w:before="40" w:after="40"/>
              <w:rPr>
                <w:rFonts w:ascii="Arial Narrow" w:hAnsi="Arial Narrow" w:cs="Arial"/>
                <w:sz w:val="20"/>
                <w:szCs w:val="20"/>
              </w:rPr>
            </w:pPr>
            <w:r w:rsidRPr="00663D98">
              <w:rPr>
                <w:rFonts w:ascii="Arial Narrow" w:hAnsi="Arial Narrow" w:cs="Arial"/>
                <w:sz w:val="20"/>
                <w:szCs w:val="20"/>
              </w:rPr>
              <w:t xml:space="preserve">Metastatic colorectal cancer </w:t>
            </w:r>
          </w:p>
        </w:tc>
      </w:tr>
      <w:tr w:rsidR="00501EFD" w:rsidRPr="00663D98" w:rsidTr="005C2DD9">
        <w:trPr>
          <w:trHeight w:val="360"/>
        </w:trPr>
        <w:tc>
          <w:tcPr>
            <w:tcW w:w="1023" w:type="pct"/>
            <w:tcBorders>
              <w:top w:val="single" w:sz="4" w:space="0" w:color="auto"/>
              <w:left w:val="single" w:sz="4" w:space="0" w:color="auto"/>
              <w:bottom w:val="single" w:sz="4" w:space="0" w:color="auto"/>
              <w:right w:val="single" w:sz="4" w:space="0" w:color="auto"/>
            </w:tcBorders>
          </w:tcPr>
          <w:p w:rsidR="00501EFD" w:rsidRPr="00663D98" w:rsidRDefault="00501EFD" w:rsidP="00D6638B">
            <w:pPr>
              <w:spacing w:before="40" w:after="40"/>
              <w:jc w:val="both"/>
              <w:rPr>
                <w:rFonts w:ascii="Arial Narrow" w:hAnsi="Arial Narrow" w:cs="Arial"/>
                <w:b/>
                <w:sz w:val="20"/>
                <w:szCs w:val="20"/>
              </w:rPr>
            </w:pPr>
            <w:r w:rsidRPr="00663D98">
              <w:rPr>
                <w:rFonts w:ascii="Arial Narrow" w:hAnsi="Arial Narrow" w:cs="Arial"/>
                <w:b/>
                <w:sz w:val="20"/>
                <w:szCs w:val="20"/>
              </w:rPr>
              <w:t>Treatment phase:</w:t>
            </w:r>
          </w:p>
        </w:tc>
        <w:tc>
          <w:tcPr>
            <w:tcW w:w="3977" w:type="pct"/>
            <w:tcBorders>
              <w:top w:val="single" w:sz="4" w:space="0" w:color="auto"/>
              <w:left w:val="single" w:sz="4" w:space="0" w:color="auto"/>
              <w:bottom w:val="single" w:sz="4" w:space="0" w:color="auto"/>
              <w:right w:val="single" w:sz="4" w:space="0" w:color="auto"/>
            </w:tcBorders>
          </w:tcPr>
          <w:p w:rsidR="00501EFD" w:rsidRPr="00663D98" w:rsidRDefault="00501EFD" w:rsidP="00D6638B">
            <w:pPr>
              <w:spacing w:before="40" w:after="40"/>
              <w:rPr>
                <w:rFonts w:ascii="Arial Narrow" w:hAnsi="Arial Narrow" w:cs="Arial"/>
                <w:sz w:val="20"/>
                <w:szCs w:val="20"/>
              </w:rPr>
            </w:pPr>
            <w:r w:rsidRPr="00663D98">
              <w:rPr>
                <w:rFonts w:ascii="Arial Narrow" w:hAnsi="Arial Narrow" w:cs="Arial"/>
                <w:sz w:val="20"/>
                <w:szCs w:val="20"/>
              </w:rPr>
              <w:t xml:space="preserve">Continuing treatment  </w:t>
            </w:r>
          </w:p>
        </w:tc>
      </w:tr>
      <w:tr w:rsidR="00501EFD" w:rsidRPr="00663D98" w:rsidTr="005C2DD9">
        <w:trPr>
          <w:trHeight w:val="360"/>
        </w:trPr>
        <w:tc>
          <w:tcPr>
            <w:tcW w:w="1023" w:type="pct"/>
            <w:tcBorders>
              <w:top w:val="single" w:sz="4" w:space="0" w:color="auto"/>
              <w:left w:val="single" w:sz="4" w:space="0" w:color="auto"/>
              <w:bottom w:val="single" w:sz="4" w:space="0" w:color="auto"/>
              <w:right w:val="single" w:sz="4" w:space="0" w:color="auto"/>
            </w:tcBorders>
          </w:tcPr>
          <w:p w:rsidR="00501EFD" w:rsidRPr="00663D98" w:rsidRDefault="00501EFD" w:rsidP="00D6638B">
            <w:pPr>
              <w:spacing w:before="40" w:after="40"/>
              <w:jc w:val="both"/>
              <w:rPr>
                <w:rFonts w:ascii="Arial Narrow" w:hAnsi="Arial Narrow" w:cs="Arial"/>
                <w:b/>
                <w:sz w:val="20"/>
                <w:szCs w:val="20"/>
              </w:rPr>
            </w:pPr>
            <w:r w:rsidRPr="00663D98">
              <w:rPr>
                <w:rFonts w:ascii="Arial Narrow" w:hAnsi="Arial Narrow" w:cs="Arial"/>
                <w:b/>
                <w:sz w:val="20"/>
                <w:szCs w:val="20"/>
              </w:rPr>
              <w:t>Restriction Level / Method:</w:t>
            </w:r>
          </w:p>
          <w:p w:rsidR="00501EFD" w:rsidRPr="00663D98" w:rsidRDefault="00501EFD" w:rsidP="00D6638B">
            <w:pPr>
              <w:spacing w:before="40" w:after="40"/>
              <w:rPr>
                <w:rFonts w:ascii="Arial Narrow" w:hAnsi="Arial Narrow" w:cs="Arial"/>
                <w:sz w:val="20"/>
                <w:szCs w:val="20"/>
              </w:rPr>
            </w:pPr>
          </w:p>
        </w:tc>
        <w:tc>
          <w:tcPr>
            <w:tcW w:w="3977" w:type="pct"/>
            <w:tcBorders>
              <w:top w:val="single" w:sz="4" w:space="0" w:color="auto"/>
              <w:left w:val="single" w:sz="4" w:space="0" w:color="auto"/>
              <w:bottom w:val="single" w:sz="4" w:space="0" w:color="auto"/>
              <w:right w:val="single" w:sz="4" w:space="0" w:color="auto"/>
            </w:tcBorders>
          </w:tcPr>
          <w:p w:rsidR="00501EFD" w:rsidRPr="00663D98" w:rsidRDefault="00501EFD" w:rsidP="00D764D4">
            <w:pPr>
              <w:rPr>
                <w:rFonts w:ascii="Arial Narrow" w:hAnsi="Arial Narrow" w:cs="Arial"/>
                <w:sz w:val="20"/>
                <w:szCs w:val="20"/>
              </w:rPr>
            </w:pPr>
            <w:r w:rsidRPr="007C7D16">
              <w:rPr>
                <w:rFonts w:ascii="Arial Narrow" w:hAnsi="Arial Narrow" w:cs="Arial"/>
                <w:sz w:val="20"/>
                <w:szCs w:val="20"/>
              </w:rPr>
              <w:fldChar w:fldCharType="begin">
                <w:ffData>
                  <w:name w:val="Check1"/>
                  <w:enabled/>
                  <w:calcOnExit w:val="0"/>
                  <w:checkBox>
                    <w:sizeAuto/>
                    <w:default w:val="0"/>
                  </w:checkBox>
                </w:ffData>
              </w:fldChar>
            </w:r>
            <w:r w:rsidRPr="00663D98">
              <w:rPr>
                <w:rFonts w:ascii="Arial Narrow" w:hAnsi="Arial Narrow" w:cs="Arial"/>
                <w:sz w:val="20"/>
                <w:szCs w:val="20"/>
              </w:rPr>
              <w:instrText xml:space="preserve"> FORMCHECKBOX </w:instrText>
            </w:r>
            <w:r w:rsidR="00C34BCC">
              <w:rPr>
                <w:rFonts w:ascii="Arial Narrow" w:hAnsi="Arial Narrow" w:cs="Arial"/>
                <w:sz w:val="20"/>
                <w:szCs w:val="20"/>
              </w:rPr>
            </w:r>
            <w:r w:rsidR="00C34BCC">
              <w:rPr>
                <w:rFonts w:ascii="Arial Narrow" w:hAnsi="Arial Narrow" w:cs="Arial"/>
                <w:sz w:val="20"/>
                <w:szCs w:val="20"/>
              </w:rPr>
              <w:fldChar w:fldCharType="separate"/>
            </w:r>
            <w:r w:rsidRPr="007C7D16">
              <w:rPr>
                <w:rFonts w:ascii="Arial Narrow" w:hAnsi="Arial Narrow" w:cs="Arial"/>
                <w:sz w:val="20"/>
                <w:szCs w:val="20"/>
              </w:rPr>
              <w:fldChar w:fldCharType="end"/>
            </w:r>
            <w:r w:rsidRPr="00663D98">
              <w:rPr>
                <w:rFonts w:ascii="Arial Narrow" w:hAnsi="Arial Narrow" w:cs="Arial"/>
                <w:sz w:val="20"/>
                <w:szCs w:val="20"/>
              </w:rPr>
              <w:t>Restricted benefit</w:t>
            </w:r>
          </w:p>
          <w:p w:rsidR="00501EFD" w:rsidRPr="00663D98" w:rsidRDefault="00501EFD" w:rsidP="00D764D4">
            <w:pPr>
              <w:rPr>
                <w:rFonts w:ascii="Arial Narrow" w:hAnsi="Arial Narrow" w:cs="Arial"/>
                <w:sz w:val="20"/>
                <w:szCs w:val="20"/>
              </w:rPr>
            </w:pPr>
            <w:r w:rsidRPr="007C7D16">
              <w:rPr>
                <w:rFonts w:ascii="Arial Narrow" w:hAnsi="Arial Narrow" w:cs="Arial"/>
                <w:sz w:val="20"/>
                <w:szCs w:val="20"/>
              </w:rPr>
              <w:fldChar w:fldCharType="begin">
                <w:ffData>
                  <w:name w:val=""/>
                  <w:enabled/>
                  <w:calcOnExit w:val="0"/>
                  <w:checkBox>
                    <w:sizeAuto/>
                    <w:default w:val="0"/>
                  </w:checkBox>
                </w:ffData>
              </w:fldChar>
            </w:r>
            <w:r w:rsidRPr="00663D98">
              <w:rPr>
                <w:rFonts w:ascii="Arial Narrow" w:hAnsi="Arial Narrow" w:cs="Arial"/>
                <w:sz w:val="20"/>
                <w:szCs w:val="20"/>
              </w:rPr>
              <w:instrText xml:space="preserve"> FORMCHECKBOX </w:instrText>
            </w:r>
            <w:r w:rsidR="00C34BCC">
              <w:rPr>
                <w:rFonts w:ascii="Arial Narrow" w:hAnsi="Arial Narrow" w:cs="Arial"/>
                <w:sz w:val="20"/>
                <w:szCs w:val="20"/>
              </w:rPr>
            </w:r>
            <w:r w:rsidR="00C34BCC">
              <w:rPr>
                <w:rFonts w:ascii="Arial Narrow" w:hAnsi="Arial Narrow" w:cs="Arial"/>
                <w:sz w:val="20"/>
                <w:szCs w:val="20"/>
              </w:rPr>
              <w:fldChar w:fldCharType="separate"/>
            </w:r>
            <w:r w:rsidRPr="007C7D16">
              <w:rPr>
                <w:rFonts w:ascii="Arial Narrow" w:hAnsi="Arial Narrow" w:cs="Arial"/>
                <w:sz w:val="20"/>
                <w:szCs w:val="20"/>
              </w:rPr>
              <w:fldChar w:fldCharType="end"/>
            </w:r>
            <w:r w:rsidRPr="00663D98">
              <w:rPr>
                <w:rFonts w:ascii="Arial Narrow" w:hAnsi="Arial Narrow" w:cs="Arial"/>
                <w:sz w:val="20"/>
                <w:szCs w:val="20"/>
              </w:rPr>
              <w:t>Authority Required - In Writing</w:t>
            </w:r>
          </w:p>
          <w:p w:rsidR="00501EFD" w:rsidRPr="00663D98" w:rsidRDefault="00501EFD" w:rsidP="00D764D4">
            <w:pPr>
              <w:rPr>
                <w:rFonts w:ascii="Arial Narrow" w:hAnsi="Arial Narrow" w:cs="Arial"/>
                <w:sz w:val="20"/>
                <w:szCs w:val="20"/>
              </w:rPr>
            </w:pPr>
            <w:r w:rsidRPr="007C7D16">
              <w:rPr>
                <w:rFonts w:ascii="Arial Narrow" w:hAnsi="Arial Narrow" w:cs="Arial"/>
                <w:sz w:val="20"/>
                <w:szCs w:val="20"/>
              </w:rPr>
              <w:fldChar w:fldCharType="begin">
                <w:ffData>
                  <w:name w:val="Check3"/>
                  <w:enabled/>
                  <w:calcOnExit w:val="0"/>
                  <w:checkBox>
                    <w:sizeAuto/>
                    <w:default w:val="0"/>
                  </w:checkBox>
                </w:ffData>
              </w:fldChar>
            </w:r>
            <w:r w:rsidRPr="00663D98">
              <w:rPr>
                <w:rFonts w:ascii="Arial Narrow" w:hAnsi="Arial Narrow" w:cs="Arial"/>
                <w:sz w:val="20"/>
                <w:szCs w:val="20"/>
              </w:rPr>
              <w:instrText xml:space="preserve"> FORMCHECKBOX </w:instrText>
            </w:r>
            <w:r w:rsidR="00C34BCC">
              <w:rPr>
                <w:rFonts w:ascii="Arial Narrow" w:hAnsi="Arial Narrow" w:cs="Arial"/>
                <w:sz w:val="20"/>
                <w:szCs w:val="20"/>
              </w:rPr>
            </w:r>
            <w:r w:rsidR="00C34BCC">
              <w:rPr>
                <w:rFonts w:ascii="Arial Narrow" w:hAnsi="Arial Narrow" w:cs="Arial"/>
                <w:sz w:val="20"/>
                <w:szCs w:val="20"/>
              </w:rPr>
              <w:fldChar w:fldCharType="separate"/>
            </w:r>
            <w:r w:rsidRPr="007C7D16">
              <w:rPr>
                <w:rFonts w:ascii="Arial Narrow" w:hAnsi="Arial Narrow" w:cs="Arial"/>
                <w:sz w:val="20"/>
                <w:szCs w:val="20"/>
              </w:rPr>
              <w:fldChar w:fldCharType="end"/>
            </w:r>
            <w:r w:rsidRPr="00663D98">
              <w:rPr>
                <w:rFonts w:ascii="Arial Narrow" w:hAnsi="Arial Narrow" w:cs="Arial"/>
                <w:sz w:val="20"/>
                <w:szCs w:val="20"/>
              </w:rPr>
              <w:t>Authority Required - Telephone</w:t>
            </w:r>
          </w:p>
          <w:p w:rsidR="00501EFD" w:rsidRPr="00663D98" w:rsidRDefault="00501EFD" w:rsidP="00D764D4">
            <w:pPr>
              <w:rPr>
                <w:rFonts w:ascii="Arial Narrow" w:hAnsi="Arial Narrow" w:cs="Arial"/>
                <w:sz w:val="20"/>
                <w:szCs w:val="20"/>
              </w:rPr>
            </w:pPr>
            <w:r w:rsidRPr="007C7D16">
              <w:rPr>
                <w:rFonts w:ascii="Arial Narrow" w:hAnsi="Arial Narrow" w:cs="Arial"/>
                <w:sz w:val="20"/>
                <w:szCs w:val="20"/>
              </w:rPr>
              <w:fldChar w:fldCharType="begin">
                <w:ffData>
                  <w:name w:val=""/>
                  <w:enabled/>
                  <w:calcOnExit w:val="0"/>
                  <w:checkBox>
                    <w:sizeAuto/>
                    <w:default w:val="0"/>
                  </w:checkBox>
                </w:ffData>
              </w:fldChar>
            </w:r>
            <w:r w:rsidRPr="00663D98">
              <w:rPr>
                <w:rFonts w:ascii="Arial Narrow" w:hAnsi="Arial Narrow" w:cs="Arial"/>
                <w:sz w:val="20"/>
                <w:szCs w:val="20"/>
              </w:rPr>
              <w:instrText xml:space="preserve"> FORMCHECKBOX </w:instrText>
            </w:r>
            <w:r w:rsidR="00C34BCC">
              <w:rPr>
                <w:rFonts w:ascii="Arial Narrow" w:hAnsi="Arial Narrow" w:cs="Arial"/>
                <w:sz w:val="20"/>
                <w:szCs w:val="20"/>
              </w:rPr>
            </w:r>
            <w:r w:rsidR="00C34BCC">
              <w:rPr>
                <w:rFonts w:ascii="Arial Narrow" w:hAnsi="Arial Narrow" w:cs="Arial"/>
                <w:sz w:val="20"/>
                <w:szCs w:val="20"/>
              </w:rPr>
              <w:fldChar w:fldCharType="separate"/>
            </w:r>
            <w:r w:rsidRPr="007C7D16">
              <w:rPr>
                <w:rFonts w:ascii="Arial Narrow" w:hAnsi="Arial Narrow" w:cs="Arial"/>
                <w:sz w:val="20"/>
                <w:szCs w:val="20"/>
              </w:rPr>
              <w:fldChar w:fldCharType="end"/>
            </w:r>
            <w:r w:rsidRPr="00663D98">
              <w:rPr>
                <w:rFonts w:ascii="Arial Narrow" w:hAnsi="Arial Narrow" w:cs="Arial"/>
                <w:sz w:val="20"/>
                <w:szCs w:val="20"/>
              </w:rPr>
              <w:t>Authority Required – Emergency</w:t>
            </w:r>
          </w:p>
          <w:p w:rsidR="00501EFD" w:rsidRPr="00663D98" w:rsidRDefault="00501EFD" w:rsidP="00D764D4">
            <w:pPr>
              <w:rPr>
                <w:rFonts w:ascii="Arial Narrow" w:hAnsi="Arial Narrow" w:cs="Arial"/>
                <w:sz w:val="20"/>
                <w:szCs w:val="20"/>
              </w:rPr>
            </w:pPr>
            <w:r w:rsidRPr="007C7D16">
              <w:rPr>
                <w:rFonts w:ascii="Arial Narrow" w:hAnsi="Arial Narrow" w:cs="Arial"/>
                <w:sz w:val="20"/>
                <w:szCs w:val="20"/>
              </w:rPr>
              <w:fldChar w:fldCharType="begin">
                <w:ffData>
                  <w:name w:val="Check5"/>
                  <w:enabled/>
                  <w:calcOnExit w:val="0"/>
                  <w:checkBox>
                    <w:sizeAuto/>
                    <w:default w:val="0"/>
                  </w:checkBox>
                </w:ffData>
              </w:fldChar>
            </w:r>
            <w:r w:rsidRPr="00663D98">
              <w:rPr>
                <w:rFonts w:ascii="Arial Narrow" w:hAnsi="Arial Narrow" w:cs="Arial"/>
                <w:sz w:val="20"/>
                <w:szCs w:val="20"/>
              </w:rPr>
              <w:instrText xml:space="preserve"> FORMCHECKBOX </w:instrText>
            </w:r>
            <w:r w:rsidR="00C34BCC">
              <w:rPr>
                <w:rFonts w:ascii="Arial Narrow" w:hAnsi="Arial Narrow" w:cs="Arial"/>
                <w:sz w:val="20"/>
                <w:szCs w:val="20"/>
              </w:rPr>
            </w:r>
            <w:r w:rsidR="00C34BCC">
              <w:rPr>
                <w:rFonts w:ascii="Arial Narrow" w:hAnsi="Arial Narrow" w:cs="Arial"/>
                <w:sz w:val="20"/>
                <w:szCs w:val="20"/>
              </w:rPr>
              <w:fldChar w:fldCharType="separate"/>
            </w:r>
            <w:r w:rsidRPr="007C7D16">
              <w:rPr>
                <w:rFonts w:ascii="Arial Narrow" w:hAnsi="Arial Narrow" w:cs="Arial"/>
                <w:sz w:val="20"/>
                <w:szCs w:val="20"/>
              </w:rPr>
              <w:fldChar w:fldCharType="end"/>
            </w:r>
            <w:r w:rsidRPr="00663D98">
              <w:rPr>
                <w:rFonts w:ascii="Arial Narrow" w:hAnsi="Arial Narrow" w:cs="Arial"/>
                <w:sz w:val="20"/>
                <w:szCs w:val="20"/>
              </w:rPr>
              <w:t>Authority Required - Electronic</w:t>
            </w:r>
          </w:p>
          <w:p w:rsidR="00501EFD" w:rsidRPr="00663D98" w:rsidRDefault="00501EFD" w:rsidP="00D764D4">
            <w:pPr>
              <w:rPr>
                <w:rFonts w:ascii="Arial Narrow" w:hAnsi="Arial Narrow" w:cs="Arial"/>
                <w:sz w:val="20"/>
                <w:szCs w:val="20"/>
              </w:rPr>
            </w:pPr>
            <w:r w:rsidRPr="007C7D16">
              <w:rPr>
                <w:rFonts w:ascii="Arial Narrow" w:hAnsi="Arial Narrow" w:cs="Arial"/>
                <w:sz w:val="20"/>
                <w:szCs w:val="20"/>
              </w:rPr>
              <w:fldChar w:fldCharType="begin">
                <w:ffData>
                  <w:name w:val=""/>
                  <w:enabled/>
                  <w:calcOnExit w:val="0"/>
                  <w:checkBox>
                    <w:sizeAuto/>
                    <w:default w:val="1"/>
                  </w:checkBox>
                </w:ffData>
              </w:fldChar>
            </w:r>
            <w:r w:rsidRPr="00663D98">
              <w:rPr>
                <w:rFonts w:ascii="Arial Narrow" w:hAnsi="Arial Narrow" w:cs="Arial"/>
                <w:sz w:val="20"/>
                <w:szCs w:val="20"/>
              </w:rPr>
              <w:instrText xml:space="preserve"> FORMCHECKBOX </w:instrText>
            </w:r>
            <w:r w:rsidR="00C34BCC">
              <w:rPr>
                <w:rFonts w:ascii="Arial Narrow" w:hAnsi="Arial Narrow" w:cs="Arial"/>
                <w:sz w:val="20"/>
                <w:szCs w:val="20"/>
              </w:rPr>
            </w:r>
            <w:r w:rsidR="00C34BCC">
              <w:rPr>
                <w:rFonts w:ascii="Arial Narrow" w:hAnsi="Arial Narrow" w:cs="Arial"/>
                <w:sz w:val="20"/>
                <w:szCs w:val="20"/>
              </w:rPr>
              <w:fldChar w:fldCharType="separate"/>
            </w:r>
            <w:r w:rsidRPr="007C7D16">
              <w:rPr>
                <w:rFonts w:ascii="Arial Narrow" w:hAnsi="Arial Narrow" w:cs="Arial"/>
                <w:sz w:val="20"/>
                <w:szCs w:val="20"/>
              </w:rPr>
              <w:fldChar w:fldCharType="end"/>
            </w:r>
            <w:r w:rsidRPr="00663D98">
              <w:rPr>
                <w:rFonts w:ascii="Arial Narrow" w:hAnsi="Arial Narrow" w:cs="Arial"/>
                <w:sz w:val="20"/>
                <w:szCs w:val="20"/>
              </w:rPr>
              <w:t>Streamlined</w:t>
            </w:r>
          </w:p>
        </w:tc>
      </w:tr>
      <w:tr w:rsidR="00501EFD" w:rsidRPr="00663D98" w:rsidTr="005C2DD9">
        <w:trPr>
          <w:trHeight w:val="360"/>
        </w:trPr>
        <w:tc>
          <w:tcPr>
            <w:tcW w:w="1023" w:type="pct"/>
            <w:tcBorders>
              <w:top w:val="single" w:sz="4" w:space="0" w:color="auto"/>
              <w:left w:val="single" w:sz="4" w:space="0" w:color="auto"/>
              <w:bottom w:val="single" w:sz="4" w:space="0" w:color="auto"/>
              <w:right w:val="single" w:sz="4" w:space="0" w:color="auto"/>
            </w:tcBorders>
          </w:tcPr>
          <w:p w:rsidR="00501EFD" w:rsidRPr="00663D98" w:rsidRDefault="00501EFD" w:rsidP="00D6638B">
            <w:pPr>
              <w:spacing w:before="40" w:after="40"/>
              <w:jc w:val="both"/>
              <w:rPr>
                <w:rFonts w:ascii="Arial Narrow" w:hAnsi="Arial Narrow" w:cs="Arial"/>
                <w:b/>
                <w:sz w:val="20"/>
                <w:szCs w:val="20"/>
              </w:rPr>
            </w:pPr>
            <w:r w:rsidRPr="00663D98">
              <w:rPr>
                <w:rFonts w:ascii="Arial Narrow" w:hAnsi="Arial Narrow" w:cs="Arial"/>
                <w:b/>
                <w:sz w:val="20"/>
                <w:szCs w:val="20"/>
              </w:rPr>
              <w:t>Clinical criteria:</w:t>
            </w:r>
          </w:p>
        </w:tc>
        <w:tc>
          <w:tcPr>
            <w:tcW w:w="3977" w:type="pct"/>
            <w:tcBorders>
              <w:top w:val="single" w:sz="4" w:space="0" w:color="auto"/>
              <w:left w:val="single" w:sz="4" w:space="0" w:color="auto"/>
              <w:bottom w:val="single" w:sz="4" w:space="0" w:color="auto"/>
              <w:right w:val="single" w:sz="4" w:space="0" w:color="auto"/>
            </w:tcBorders>
          </w:tcPr>
          <w:p w:rsidR="00501EFD" w:rsidRPr="00663D98" w:rsidRDefault="00501EFD" w:rsidP="00D6638B">
            <w:pPr>
              <w:rPr>
                <w:rFonts w:ascii="Arial Narrow" w:hAnsi="Arial Narrow" w:cs="Arial"/>
                <w:sz w:val="20"/>
                <w:szCs w:val="20"/>
                <w:lang w:eastAsia="en-US" w:bidi="en-US"/>
              </w:rPr>
            </w:pPr>
            <w:r w:rsidRPr="00663D98">
              <w:rPr>
                <w:rFonts w:ascii="Arial Narrow" w:hAnsi="Arial Narrow" w:cs="Arial"/>
                <w:sz w:val="20"/>
                <w:szCs w:val="20"/>
                <w:lang w:eastAsia="en-US" w:bidi="en-US"/>
              </w:rPr>
              <w:t>Patient must have previously been issued with an authority prescription for this drug for this condition,</w:t>
            </w:r>
          </w:p>
          <w:p w:rsidR="00501EFD" w:rsidRPr="00663D98" w:rsidRDefault="00501EFD" w:rsidP="00D6638B">
            <w:pPr>
              <w:rPr>
                <w:rFonts w:ascii="Arial Narrow" w:hAnsi="Arial Narrow" w:cs="Arial"/>
                <w:sz w:val="20"/>
                <w:szCs w:val="20"/>
                <w:lang w:eastAsia="en-US" w:bidi="en-US"/>
              </w:rPr>
            </w:pPr>
          </w:p>
          <w:p w:rsidR="00501EFD" w:rsidRPr="00663D98" w:rsidRDefault="00501EFD" w:rsidP="00D6638B">
            <w:pPr>
              <w:rPr>
                <w:rFonts w:ascii="Arial Narrow" w:hAnsi="Arial Narrow" w:cs="Arial"/>
                <w:sz w:val="20"/>
                <w:szCs w:val="20"/>
                <w:lang w:eastAsia="en-US" w:bidi="en-US"/>
              </w:rPr>
            </w:pPr>
            <w:r w:rsidRPr="00663D98">
              <w:rPr>
                <w:rFonts w:ascii="Arial Narrow" w:hAnsi="Arial Narrow" w:cs="Arial"/>
                <w:sz w:val="20"/>
                <w:szCs w:val="20"/>
                <w:lang w:eastAsia="en-US" w:bidi="en-US"/>
              </w:rPr>
              <w:t>AND</w:t>
            </w:r>
          </w:p>
          <w:p w:rsidR="00501EFD" w:rsidRPr="00663D98" w:rsidRDefault="00501EFD" w:rsidP="00D6638B">
            <w:pPr>
              <w:rPr>
                <w:rFonts w:ascii="Arial Narrow" w:hAnsi="Arial Narrow" w:cs="Arial"/>
                <w:sz w:val="20"/>
                <w:szCs w:val="20"/>
                <w:lang w:eastAsia="en-US" w:bidi="en-US"/>
              </w:rPr>
            </w:pPr>
          </w:p>
          <w:p w:rsidR="00501EFD" w:rsidRPr="00663D98" w:rsidRDefault="00501EFD" w:rsidP="00D6638B">
            <w:pPr>
              <w:jc w:val="both"/>
              <w:rPr>
                <w:rFonts w:ascii="Arial Narrow" w:hAnsi="Arial Narrow" w:cs="Arial"/>
                <w:snapToGrid w:val="0"/>
                <w:sz w:val="20"/>
                <w:szCs w:val="20"/>
                <w:lang w:eastAsia="en-US" w:bidi="en-US"/>
              </w:rPr>
            </w:pPr>
            <w:r w:rsidRPr="00663D98">
              <w:rPr>
                <w:rFonts w:ascii="Arial Narrow" w:hAnsi="Arial Narrow" w:cs="Arial"/>
                <w:snapToGrid w:val="0"/>
                <w:sz w:val="20"/>
                <w:szCs w:val="20"/>
                <w:lang w:eastAsia="en-US" w:bidi="en-US"/>
              </w:rPr>
              <w:t>Patient must not have progressive disease while on this drug,</w:t>
            </w:r>
          </w:p>
          <w:p w:rsidR="00501EFD" w:rsidRPr="00663D98" w:rsidRDefault="00501EFD" w:rsidP="00D6638B">
            <w:pPr>
              <w:jc w:val="both"/>
              <w:rPr>
                <w:rFonts w:ascii="Arial Narrow" w:hAnsi="Arial Narrow" w:cs="Arial"/>
                <w:snapToGrid w:val="0"/>
                <w:sz w:val="20"/>
                <w:szCs w:val="20"/>
                <w:lang w:eastAsia="en-US" w:bidi="en-US"/>
              </w:rPr>
            </w:pPr>
          </w:p>
          <w:p w:rsidR="00501EFD" w:rsidRPr="00663D98" w:rsidRDefault="00501EFD" w:rsidP="00D6638B">
            <w:pPr>
              <w:jc w:val="both"/>
              <w:rPr>
                <w:rFonts w:ascii="Arial Narrow" w:hAnsi="Arial Narrow" w:cs="Arial"/>
                <w:snapToGrid w:val="0"/>
                <w:sz w:val="20"/>
                <w:szCs w:val="20"/>
                <w:lang w:eastAsia="en-US" w:bidi="en-US"/>
              </w:rPr>
            </w:pPr>
            <w:r w:rsidRPr="00663D98">
              <w:rPr>
                <w:rFonts w:ascii="Arial Narrow" w:hAnsi="Arial Narrow" w:cs="Arial"/>
                <w:snapToGrid w:val="0"/>
                <w:sz w:val="20"/>
                <w:szCs w:val="20"/>
                <w:lang w:eastAsia="en-US" w:bidi="en-US"/>
              </w:rPr>
              <w:t>AND</w:t>
            </w:r>
          </w:p>
          <w:p w:rsidR="00501EFD" w:rsidRPr="00663D98" w:rsidRDefault="00501EFD" w:rsidP="00D6638B">
            <w:pPr>
              <w:jc w:val="both"/>
              <w:rPr>
                <w:rFonts w:ascii="Arial Narrow" w:hAnsi="Arial Narrow" w:cs="Arial"/>
                <w:snapToGrid w:val="0"/>
                <w:sz w:val="20"/>
                <w:szCs w:val="20"/>
                <w:lang w:eastAsia="en-US" w:bidi="en-US"/>
              </w:rPr>
            </w:pPr>
          </w:p>
          <w:p w:rsidR="00501EFD" w:rsidRPr="00663D98" w:rsidRDefault="00501EFD" w:rsidP="00D6638B">
            <w:pPr>
              <w:spacing w:before="40" w:after="40"/>
              <w:rPr>
                <w:rFonts w:ascii="Arial Narrow" w:hAnsi="Arial Narrow" w:cs="Arial"/>
                <w:sz w:val="20"/>
                <w:szCs w:val="20"/>
              </w:rPr>
            </w:pPr>
            <w:r w:rsidRPr="00663D98">
              <w:rPr>
                <w:rFonts w:ascii="Arial Narrow" w:hAnsi="Arial Narrow" w:cs="Arial"/>
                <w:snapToGrid w:val="0"/>
                <w:sz w:val="20"/>
                <w:szCs w:val="20"/>
                <w:lang w:eastAsia="en-US" w:bidi="en-US"/>
              </w:rPr>
              <w:t xml:space="preserve">The treatment must be the sole PBS-subsidised therapy for this condition.   </w:t>
            </w:r>
          </w:p>
        </w:tc>
      </w:tr>
      <w:tr w:rsidR="00501EFD" w:rsidRPr="00663D98" w:rsidTr="005C2DD9">
        <w:trPr>
          <w:trHeight w:val="360"/>
        </w:trPr>
        <w:tc>
          <w:tcPr>
            <w:tcW w:w="1023" w:type="pct"/>
            <w:tcBorders>
              <w:top w:val="single" w:sz="4" w:space="0" w:color="auto"/>
              <w:left w:val="single" w:sz="4" w:space="0" w:color="auto"/>
              <w:bottom w:val="single" w:sz="4" w:space="0" w:color="auto"/>
              <w:right w:val="single" w:sz="4" w:space="0" w:color="auto"/>
            </w:tcBorders>
          </w:tcPr>
          <w:p w:rsidR="00501EFD" w:rsidRPr="00663D98" w:rsidRDefault="00501EFD" w:rsidP="00D6638B">
            <w:pPr>
              <w:spacing w:before="40" w:after="40"/>
              <w:jc w:val="both"/>
              <w:rPr>
                <w:rFonts w:ascii="Arial Narrow" w:hAnsi="Arial Narrow" w:cs="Arial"/>
                <w:b/>
                <w:sz w:val="20"/>
                <w:szCs w:val="20"/>
              </w:rPr>
            </w:pPr>
            <w:r w:rsidRPr="00663D98">
              <w:rPr>
                <w:rFonts w:ascii="Arial Narrow" w:hAnsi="Arial Narrow" w:cs="Arial"/>
                <w:b/>
                <w:sz w:val="20"/>
                <w:szCs w:val="20"/>
              </w:rPr>
              <w:t>Prescriber Instructions</w:t>
            </w:r>
          </w:p>
        </w:tc>
        <w:tc>
          <w:tcPr>
            <w:tcW w:w="3977" w:type="pct"/>
            <w:tcBorders>
              <w:top w:val="single" w:sz="4" w:space="0" w:color="auto"/>
              <w:left w:val="single" w:sz="4" w:space="0" w:color="auto"/>
              <w:bottom w:val="single" w:sz="4" w:space="0" w:color="auto"/>
              <w:right w:val="single" w:sz="4" w:space="0" w:color="auto"/>
            </w:tcBorders>
          </w:tcPr>
          <w:p w:rsidR="00501EFD" w:rsidRPr="00663D98" w:rsidRDefault="00501EFD" w:rsidP="00D6638B">
            <w:pPr>
              <w:rPr>
                <w:rFonts w:ascii="Arial Narrow" w:hAnsi="Arial Narrow" w:cs="Arial"/>
                <w:sz w:val="20"/>
                <w:szCs w:val="20"/>
                <w:lang w:eastAsia="en-US" w:bidi="en-US"/>
              </w:rPr>
            </w:pPr>
            <w:r w:rsidRPr="00663D98">
              <w:rPr>
                <w:rFonts w:ascii="Arial Narrow" w:hAnsi="Arial Narrow" w:cs="Arial"/>
                <w:sz w:val="20"/>
                <w:szCs w:val="20"/>
                <w:lang w:eastAsia="en-US" w:bidi="en-US"/>
              </w:rPr>
              <w:t xml:space="preserve">A patient who has progressive disease when treated with this drug is no longer eligible for PBS-subsidised treatment with this drug. </w:t>
            </w:r>
          </w:p>
        </w:tc>
      </w:tr>
      <w:tr w:rsidR="00501EFD" w:rsidRPr="00663D98" w:rsidTr="005C2DD9">
        <w:trPr>
          <w:trHeight w:val="360"/>
        </w:trPr>
        <w:tc>
          <w:tcPr>
            <w:tcW w:w="1023" w:type="pct"/>
            <w:tcBorders>
              <w:top w:val="single" w:sz="4" w:space="0" w:color="auto"/>
              <w:left w:val="single" w:sz="4" w:space="0" w:color="auto"/>
              <w:bottom w:val="single" w:sz="4" w:space="0" w:color="auto"/>
              <w:right w:val="single" w:sz="4" w:space="0" w:color="auto"/>
            </w:tcBorders>
          </w:tcPr>
          <w:p w:rsidR="00501EFD" w:rsidRPr="00663D98" w:rsidRDefault="00501EFD" w:rsidP="00D764D4">
            <w:pPr>
              <w:jc w:val="both"/>
              <w:rPr>
                <w:rFonts w:ascii="Arial Narrow" w:hAnsi="Arial Narrow" w:cs="Arial"/>
                <w:b/>
                <w:sz w:val="20"/>
                <w:szCs w:val="20"/>
              </w:rPr>
            </w:pPr>
            <w:r w:rsidRPr="00663D98">
              <w:rPr>
                <w:rFonts w:ascii="Arial Narrow" w:hAnsi="Arial Narrow" w:cs="Arial"/>
                <w:b/>
                <w:sz w:val="20"/>
                <w:szCs w:val="20"/>
              </w:rPr>
              <w:t>Administrative Advice</w:t>
            </w:r>
          </w:p>
          <w:p w:rsidR="00501EFD" w:rsidRPr="00663D98" w:rsidRDefault="00501EFD" w:rsidP="00D764D4">
            <w:pPr>
              <w:jc w:val="both"/>
              <w:rPr>
                <w:rFonts w:ascii="Arial Narrow" w:hAnsi="Arial Narrow" w:cs="Arial"/>
                <w:i/>
                <w:sz w:val="20"/>
                <w:szCs w:val="20"/>
              </w:rPr>
            </w:pPr>
          </w:p>
          <w:p w:rsidR="00501EFD" w:rsidRPr="00663D98" w:rsidRDefault="00501EFD" w:rsidP="00D764D4">
            <w:pPr>
              <w:jc w:val="both"/>
              <w:rPr>
                <w:rFonts w:ascii="Arial Narrow" w:hAnsi="Arial Narrow" w:cs="Arial"/>
                <w:i/>
                <w:sz w:val="20"/>
                <w:szCs w:val="20"/>
              </w:rPr>
            </w:pPr>
          </w:p>
        </w:tc>
        <w:tc>
          <w:tcPr>
            <w:tcW w:w="3977" w:type="pct"/>
            <w:tcBorders>
              <w:top w:val="single" w:sz="4" w:space="0" w:color="auto"/>
              <w:left w:val="single" w:sz="4" w:space="0" w:color="auto"/>
              <w:bottom w:val="single" w:sz="4" w:space="0" w:color="auto"/>
              <w:right w:val="single" w:sz="4" w:space="0" w:color="auto"/>
            </w:tcBorders>
          </w:tcPr>
          <w:p w:rsidR="00501EFD" w:rsidRPr="00663D98" w:rsidRDefault="00501EFD" w:rsidP="00D764D4">
            <w:pPr>
              <w:rPr>
                <w:rFonts w:ascii="Arial Narrow" w:hAnsi="Arial Narrow" w:cs="Arial"/>
                <w:sz w:val="20"/>
                <w:szCs w:val="20"/>
              </w:rPr>
            </w:pPr>
            <w:r w:rsidRPr="00663D98">
              <w:rPr>
                <w:rFonts w:ascii="Arial Narrow" w:hAnsi="Arial Narrow" w:cs="Arial"/>
                <w:sz w:val="20"/>
                <w:szCs w:val="20"/>
              </w:rPr>
              <w:t>The prescribed dose is not permitted to be increased once it has been reduced.</w:t>
            </w:r>
          </w:p>
          <w:p w:rsidR="00501EFD" w:rsidRPr="00663D98" w:rsidRDefault="00501EFD" w:rsidP="00D764D4">
            <w:pPr>
              <w:rPr>
                <w:rFonts w:ascii="Arial Narrow" w:hAnsi="Arial Narrow" w:cs="Arial"/>
                <w:sz w:val="20"/>
                <w:szCs w:val="20"/>
              </w:rPr>
            </w:pPr>
          </w:p>
          <w:p w:rsidR="00501EFD" w:rsidRPr="00663D98" w:rsidRDefault="00501EFD" w:rsidP="00D764D4">
            <w:pPr>
              <w:rPr>
                <w:rFonts w:ascii="Arial Narrow" w:hAnsi="Arial Narrow" w:cs="Arial"/>
                <w:sz w:val="20"/>
                <w:szCs w:val="20"/>
              </w:rPr>
            </w:pPr>
            <w:r w:rsidRPr="00663D98">
              <w:rPr>
                <w:rFonts w:ascii="Arial Narrow" w:hAnsi="Arial Narrow" w:cs="Arial"/>
                <w:sz w:val="20"/>
                <w:szCs w:val="20"/>
              </w:rPr>
              <w:t xml:space="preserve">No increase in maximum quantity or number of units may be authorised. </w:t>
            </w:r>
          </w:p>
          <w:p w:rsidR="00501EFD" w:rsidRPr="00663D98" w:rsidRDefault="00501EFD" w:rsidP="00D764D4">
            <w:pPr>
              <w:rPr>
                <w:rFonts w:ascii="Arial Narrow" w:hAnsi="Arial Narrow" w:cs="Arial"/>
                <w:sz w:val="20"/>
                <w:szCs w:val="20"/>
              </w:rPr>
            </w:pPr>
          </w:p>
          <w:p w:rsidR="00501EFD" w:rsidRPr="00663D98" w:rsidRDefault="00501EFD" w:rsidP="00D764D4">
            <w:pPr>
              <w:rPr>
                <w:rFonts w:ascii="Arial Narrow" w:hAnsi="Arial Narrow" w:cs="Arial"/>
                <w:sz w:val="20"/>
                <w:szCs w:val="20"/>
              </w:rPr>
            </w:pPr>
            <w:r w:rsidRPr="00663D98">
              <w:rPr>
                <w:rFonts w:ascii="Arial Narrow" w:hAnsi="Arial Narrow" w:cs="Arial"/>
                <w:sz w:val="20"/>
                <w:szCs w:val="20"/>
              </w:rPr>
              <w:t>No increase in the maximum number of repeats may be authorised.</w:t>
            </w:r>
          </w:p>
        </w:tc>
      </w:tr>
    </w:tbl>
    <w:p w:rsidR="003C4865" w:rsidRPr="00663D98" w:rsidRDefault="003C4865" w:rsidP="003C4865">
      <w:pPr>
        <w:widowControl w:val="0"/>
        <w:contextualSpacing/>
        <w:jc w:val="both"/>
        <w:rPr>
          <w:rFonts w:ascii="Arial Narrow" w:hAnsi="Arial Narrow" w:cs="Arial"/>
          <w:snapToGrid w:val="0"/>
          <w:sz w:val="20"/>
          <w:szCs w:val="20"/>
          <w:lang w:eastAsia="en-US"/>
        </w:rPr>
      </w:pPr>
      <w:r w:rsidRPr="00663D98">
        <w:rPr>
          <w:rFonts w:ascii="Arial Narrow" w:hAnsi="Arial Narrow" w:cs="Arial"/>
          <w:snapToGrid w:val="0"/>
          <w:sz w:val="20"/>
          <w:szCs w:val="20"/>
          <w:vertAlign w:val="superscript"/>
          <w:lang w:eastAsia="en-US"/>
        </w:rPr>
        <w:t xml:space="preserve">a </w:t>
      </w:r>
      <w:r w:rsidRPr="00663D98">
        <w:rPr>
          <w:rFonts w:ascii="Arial Narrow" w:hAnsi="Arial Narrow" w:cs="Arial"/>
          <w:snapToGrid w:val="0"/>
          <w:sz w:val="20"/>
          <w:szCs w:val="20"/>
          <w:lang w:eastAsia="en-US"/>
        </w:rPr>
        <w:t>Effective price = $</w:t>
      </w:r>
      <w:r w:rsidR="00C34BCC">
        <w:rPr>
          <w:rFonts w:ascii="Arial Narrow" w:hAnsi="Arial Narrow" w:cs="Arial"/>
          <w:noProof/>
          <w:snapToGrid w:val="0"/>
          <w:color w:val="000000"/>
          <w:sz w:val="20"/>
          <w:szCs w:val="20"/>
          <w:highlight w:val="black"/>
          <w:lang w:eastAsia="en-US"/>
        </w:rPr>
        <w:t>''''''''''''''''''''''</w:t>
      </w:r>
      <w:r w:rsidRPr="00663D98">
        <w:rPr>
          <w:rFonts w:ascii="Arial Narrow" w:hAnsi="Arial Narrow" w:cs="Arial"/>
          <w:snapToGrid w:val="0"/>
          <w:sz w:val="20"/>
          <w:szCs w:val="20"/>
          <w:lang w:eastAsia="en-US"/>
        </w:rPr>
        <w:t xml:space="preserve"> (including </w:t>
      </w:r>
      <w:r w:rsidR="00C34BCC">
        <w:rPr>
          <w:rFonts w:ascii="Arial Narrow" w:hAnsi="Arial Narrow" w:cs="Arial"/>
          <w:noProof/>
          <w:snapToGrid w:val="0"/>
          <w:color w:val="000000"/>
          <w:sz w:val="20"/>
          <w:szCs w:val="20"/>
          <w:highlight w:val="black"/>
          <w:lang w:eastAsia="en-US"/>
        </w:rPr>
        <w:t>'''''</w:t>
      </w:r>
      <w:r w:rsidRPr="00663D98">
        <w:rPr>
          <w:rFonts w:ascii="Arial Narrow" w:hAnsi="Arial Narrow" w:cs="Arial"/>
          <w:snapToGrid w:val="0"/>
          <w:sz w:val="20"/>
          <w:szCs w:val="20"/>
          <w:lang w:eastAsia="en-US"/>
        </w:rPr>
        <w:t xml:space="preserve">% rebate) </w:t>
      </w:r>
      <w:r w:rsidRPr="00663D98">
        <w:rPr>
          <w:rFonts w:ascii="Arial Narrow" w:hAnsi="Arial Narrow" w:cs="Arial"/>
          <w:snapToGrid w:val="0"/>
          <w:sz w:val="20"/>
          <w:szCs w:val="20"/>
          <w:vertAlign w:val="superscript"/>
          <w:lang w:eastAsia="en-US"/>
        </w:rPr>
        <w:t>b</w:t>
      </w:r>
      <w:r w:rsidRPr="00663D98">
        <w:rPr>
          <w:rFonts w:ascii="Arial Narrow" w:hAnsi="Arial Narrow" w:cs="Arial"/>
          <w:snapToGrid w:val="0"/>
          <w:sz w:val="20"/>
          <w:szCs w:val="20"/>
          <w:lang w:eastAsia="en-US"/>
        </w:rPr>
        <w:t xml:space="preserve"> Effective price = $</w:t>
      </w:r>
      <w:r w:rsidR="00C34BCC">
        <w:rPr>
          <w:rFonts w:ascii="Arial Narrow" w:hAnsi="Arial Narrow" w:cs="Arial"/>
          <w:noProof/>
          <w:snapToGrid w:val="0"/>
          <w:color w:val="000000"/>
          <w:sz w:val="20"/>
          <w:szCs w:val="20"/>
          <w:highlight w:val="black"/>
          <w:lang w:eastAsia="en-US"/>
        </w:rPr>
        <w:t>''''''''''''''''''''</w:t>
      </w:r>
      <w:r w:rsidRPr="00663D98">
        <w:rPr>
          <w:rFonts w:ascii="Arial Narrow" w:hAnsi="Arial Narrow" w:cs="Arial"/>
          <w:snapToGrid w:val="0"/>
          <w:sz w:val="20"/>
          <w:szCs w:val="20"/>
          <w:lang w:eastAsia="en-US"/>
        </w:rPr>
        <w:t xml:space="preserve"> (including </w:t>
      </w:r>
      <w:r w:rsidR="00C34BCC">
        <w:rPr>
          <w:rFonts w:ascii="Arial Narrow" w:hAnsi="Arial Narrow" w:cs="Arial"/>
          <w:noProof/>
          <w:snapToGrid w:val="0"/>
          <w:color w:val="000000"/>
          <w:sz w:val="20"/>
          <w:szCs w:val="20"/>
          <w:highlight w:val="black"/>
          <w:lang w:eastAsia="en-US"/>
        </w:rPr>
        <w:t>'''''</w:t>
      </w:r>
      <w:r w:rsidRPr="00663D98">
        <w:rPr>
          <w:rFonts w:ascii="Arial Narrow" w:hAnsi="Arial Narrow" w:cs="Arial"/>
          <w:snapToGrid w:val="0"/>
          <w:sz w:val="20"/>
          <w:szCs w:val="20"/>
          <w:lang w:eastAsia="en-US"/>
        </w:rPr>
        <w:t>% rebate)</w:t>
      </w:r>
    </w:p>
    <w:p w:rsidR="00385C7A" w:rsidRDefault="00385C7A" w:rsidP="00385C7A">
      <w:pPr>
        <w:pStyle w:val="ListParagraph"/>
        <w:numPr>
          <w:ilvl w:val="1"/>
          <w:numId w:val="5"/>
        </w:numPr>
        <w:rPr>
          <w:rFonts w:asciiTheme="minorHAnsi" w:hAnsiTheme="minorHAnsi"/>
          <w:sz w:val="24"/>
          <w:szCs w:val="22"/>
        </w:rPr>
      </w:pPr>
      <w:r w:rsidRPr="00663D98">
        <w:rPr>
          <w:rFonts w:asciiTheme="minorHAnsi" w:hAnsiTheme="minorHAnsi"/>
          <w:sz w:val="24"/>
          <w:szCs w:val="22"/>
        </w:rPr>
        <w:lastRenderedPageBreak/>
        <w:t xml:space="preserve">The proposed restriction was unchanged from the March 2018 minor resubmission. The minor resubmission </w:t>
      </w:r>
      <w:r w:rsidR="00A14D86" w:rsidRPr="00663D98">
        <w:rPr>
          <w:rFonts w:asciiTheme="minorHAnsi" w:hAnsiTheme="minorHAnsi"/>
          <w:sz w:val="24"/>
          <w:szCs w:val="22"/>
        </w:rPr>
        <w:t>(p8</w:t>
      </w:r>
      <w:r w:rsidRPr="00663D98">
        <w:rPr>
          <w:rFonts w:asciiTheme="minorHAnsi" w:hAnsiTheme="minorHAnsi"/>
          <w:sz w:val="24"/>
          <w:szCs w:val="22"/>
        </w:rPr>
        <w:t xml:space="preserve">) indicated that the sponsor would be willing to further amend the restriction to align with the RECOURSE trial eligibility criteria if required. </w:t>
      </w:r>
    </w:p>
    <w:p w:rsidR="00E9550A" w:rsidRDefault="00E9550A" w:rsidP="001A10EA"/>
    <w:p w:rsidR="00E9550A" w:rsidRPr="00E9550A" w:rsidRDefault="00E9550A" w:rsidP="00E9550A">
      <w:pPr>
        <w:pStyle w:val="PBACHeading1"/>
        <w:numPr>
          <w:ilvl w:val="0"/>
          <w:numId w:val="0"/>
        </w:numPr>
        <w:ind w:left="720"/>
        <w:rPr>
          <w:rFonts w:asciiTheme="minorHAnsi" w:eastAsiaTheme="minorHAnsi" w:hAnsiTheme="minorHAnsi" w:cstheme="minorHAnsi"/>
          <w:b w:val="0"/>
          <w:i/>
          <w:snapToGrid/>
          <w:color w:val="000000" w:themeColor="text1"/>
          <w:sz w:val="24"/>
          <w:szCs w:val="24"/>
        </w:rPr>
      </w:pPr>
      <w:r w:rsidRPr="00E9550A">
        <w:rPr>
          <w:rFonts w:asciiTheme="minorHAnsi" w:hAnsiTheme="minorHAnsi" w:cstheme="minorHAnsi"/>
          <w:b w:val="0"/>
          <w:i/>
          <w:sz w:val="24"/>
          <w:szCs w:val="24"/>
        </w:rPr>
        <w:t>For more detail on PBAC’s view, see section 5 PBAC outcome.</w:t>
      </w:r>
    </w:p>
    <w:p w:rsidR="00C603D4" w:rsidRPr="00663D98" w:rsidRDefault="00CE10C4" w:rsidP="00696129">
      <w:pPr>
        <w:pStyle w:val="PBACHeading1"/>
        <w:spacing w:before="240" w:after="120"/>
        <w:ind w:left="709" w:hanging="709"/>
        <w:rPr>
          <w:rFonts w:asciiTheme="minorHAnsi" w:hAnsiTheme="minorHAnsi"/>
          <w:sz w:val="32"/>
          <w:szCs w:val="32"/>
        </w:rPr>
      </w:pPr>
      <w:r w:rsidRPr="00663D98">
        <w:rPr>
          <w:rFonts w:asciiTheme="minorHAnsi" w:hAnsiTheme="minorHAnsi"/>
          <w:sz w:val="32"/>
          <w:szCs w:val="32"/>
        </w:rPr>
        <w:t>Background</w:t>
      </w:r>
    </w:p>
    <w:p w:rsidR="00210F94" w:rsidRPr="00663D98" w:rsidRDefault="00210F94" w:rsidP="00210F94">
      <w:pPr>
        <w:pStyle w:val="ListParagraph"/>
        <w:numPr>
          <w:ilvl w:val="1"/>
          <w:numId w:val="5"/>
        </w:numPr>
        <w:rPr>
          <w:rFonts w:asciiTheme="minorHAnsi" w:eastAsiaTheme="minorHAnsi" w:hAnsiTheme="minorHAnsi" w:cstheme="minorBidi"/>
          <w:snapToGrid/>
          <w:sz w:val="24"/>
          <w:szCs w:val="22"/>
        </w:rPr>
      </w:pPr>
      <w:r w:rsidRPr="00663D98">
        <w:rPr>
          <w:rFonts w:asciiTheme="minorHAnsi" w:eastAsiaTheme="minorHAnsi" w:hAnsiTheme="minorHAnsi" w:cstheme="minorBidi"/>
          <w:snapToGrid/>
          <w:sz w:val="24"/>
          <w:szCs w:val="22"/>
        </w:rPr>
        <w:t>The PBAC first considered trifluridine/tipiracil as a major submission at its November 2016 meeting. Trifluridine/tipiracil was not recommended for listing on the basis of a modest clinical benefit, high and uncertain incremental cost-effectiveness ratio, and concern that the extent of benefit as observed in the clinical trial would not be realised in clinical practice (paragraph 7.1, November 2016 Public Summary Document [PSD]).</w:t>
      </w:r>
    </w:p>
    <w:p w:rsidR="00210F94" w:rsidRPr="00663D98" w:rsidRDefault="00210F94" w:rsidP="00210F94">
      <w:pPr>
        <w:pStyle w:val="ListParagraph"/>
        <w:rPr>
          <w:rFonts w:asciiTheme="minorHAnsi" w:eastAsiaTheme="minorHAnsi" w:hAnsiTheme="minorHAnsi" w:cstheme="minorBidi"/>
          <w:snapToGrid/>
          <w:sz w:val="24"/>
          <w:szCs w:val="22"/>
        </w:rPr>
      </w:pPr>
    </w:p>
    <w:p w:rsidR="00210F94" w:rsidRPr="00663D98" w:rsidRDefault="00210F94" w:rsidP="00210F94">
      <w:pPr>
        <w:pStyle w:val="ListParagraph"/>
        <w:numPr>
          <w:ilvl w:val="1"/>
          <w:numId w:val="5"/>
        </w:numPr>
        <w:rPr>
          <w:rFonts w:asciiTheme="minorHAnsi" w:eastAsiaTheme="minorHAnsi" w:hAnsiTheme="minorHAnsi" w:cstheme="minorBidi"/>
          <w:snapToGrid/>
          <w:sz w:val="24"/>
          <w:szCs w:val="22"/>
        </w:rPr>
      </w:pPr>
      <w:r w:rsidRPr="00663D98">
        <w:rPr>
          <w:rFonts w:asciiTheme="minorHAnsi" w:eastAsiaTheme="minorHAnsi" w:hAnsiTheme="minorHAnsi" w:cstheme="minorBidi"/>
          <w:snapToGrid/>
          <w:sz w:val="24"/>
          <w:szCs w:val="22"/>
        </w:rPr>
        <w:t>A minor resubmission for trifluridine/tipiracil was considered at the March 2017 PBAC meeting where it was not recommended for listing. While the PBAC noted the revised lower incremental-cost effectiveness ratio (ICER) presented, it considered that the ICER remained high and uncertain as concerns regarding the modest benefits observed in clinical practice remained (paragraph 5.1, March 2017 Public Summary Document [PSD]). Further, the PBAC considered that the proposed rebates of 10% and 20% for utilisation over the financial caps were insufficient to address the significant financial impact to the PBS (paragraph 5.8, March 2017 PSD).</w:t>
      </w:r>
    </w:p>
    <w:p w:rsidR="00210F94" w:rsidRPr="00663D98" w:rsidRDefault="00210F94" w:rsidP="00210F94">
      <w:pPr>
        <w:pStyle w:val="ListParagraph"/>
        <w:rPr>
          <w:rFonts w:asciiTheme="minorHAnsi" w:eastAsiaTheme="minorHAnsi" w:hAnsiTheme="minorHAnsi" w:cstheme="minorBidi"/>
          <w:snapToGrid/>
          <w:sz w:val="24"/>
          <w:szCs w:val="22"/>
        </w:rPr>
      </w:pPr>
      <w:r w:rsidRPr="00663D98">
        <w:rPr>
          <w:rFonts w:asciiTheme="minorHAnsi" w:eastAsiaTheme="minorHAnsi" w:hAnsiTheme="minorHAnsi" w:cstheme="minorBidi"/>
          <w:snapToGrid/>
          <w:sz w:val="24"/>
          <w:szCs w:val="22"/>
        </w:rPr>
        <w:t xml:space="preserve"> </w:t>
      </w:r>
    </w:p>
    <w:p w:rsidR="00210F94" w:rsidRPr="00663D98" w:rsidRDefault="00210F94" w:rsidP="00226A45">
      <w:pPr>
        <w:pStyle w:val="ListParagraph"/>
        <w:numPr>
          <w:ilvl w:val="1"/>
          <w:numId w:val="5"/>
        </w:numPr>
        <w:rPr>
          <w:rFonts w:asciiTheme="minorHAnsi" w:eastAsiaTheme="minorHAnsi" w:hAnsiTheme="minorHAnsi" w:cstheme="minorBidi"/>
          <w:snapToGrid/>
          <w:sz w:val="24"/>
          <w:szCs w:val="22"/>
        </w:rPr>
      </w:pPr>
      <w:r w:rsidRPr="00663D98">
        <w:rPr>
          <w:rFonts w:asciiTheme="minorHAnsi" w:eastAsiaTheme="minorHAnsi" w:hAnsiTheme="minorHAnsi" w:cstheme="minorBidi"/>
          <w:snapToGrid/>
          <w:sz w:val="24"/>
          <w:szCs w:val="22"/>
        </w:rPr>
        <w:t>A minor resubmission for trifluridine/tipiracil was considered at the July 2017 PBAC meeting. The PBAC did not recommend the listing of trifluridine/tipiracil based on a modest clinical benefit in the context of substantial toxicity, and high and uncertain ICER given the extent of benefit observed in the trial and model may not be realised in clinical practice (paragraph 5.1, July 2017 PSD). The PBAC noted that the proposed rebate (</w:t>
      </w:r>
      <w:r w:rsidR="00C34BCC">
        <w:rPr>
          <w:rFonts w:asciiTheme="minorHAnsi" w:eastAsiaTheme="minorHAnsi" w:hAnsiTheme="minorHAnsi" w:cstheme="minorBidi"/>
          <w:noProof/>
          <w:snapToGrid/>
          <w:color w:val="000000"/>
          <w:sz w:val="24"/>
          <w:szCs w:val="22"/>
          <w:highlight w:val="black"/>
        </w:rPr>
        <w:t>'''''''''</w:t>
      </w:r>
      <w:r w:rsidRPr="00663D98">
        <w:rPr>
          <w:rFonts w:asciiTheme="minorHAnsi" w:eastAsiaTheme="minorHAnsi" w:hAnsiTheme="minorHAnsi" w:cstheme="minorBidi"/>
          <w:snapToGrid/>
          <w:sz w:val="24"/>
          <w:szCs w:val="22"/>
        </w:rPr>
        <w:t>%) decreased the ICER from $</w:t>
      </w:r>
      <w:r w:rsidR="00226A45">
        <w:rPr>
          <w:rFonts w:asciiTheme="minorHAnsi" w:eastAsiaTheme="minorHAnsi" w:hAnsiTheme="minorHAnsi" w:cstheme="minorBidi"/>
          <w:snapToGrid/>
          <w:sz w:val="24"/>
          <w:szCs w:val="22"/>
        </w:rPr>
        <w:t>45,000 - $75,000</w:t>
      </w:r>
      <w:r w:rsidRPr="00663D98">
        <w:rPr>
          <w:rFonts w:asciiTheme="minorHAnsi" w:eastAsiaTheme="minorHAnsi" w:hAnsiTheme="minorHAnsi" w:cstheme="minorBidi"/>
          <w:snapToGrid/>
          <w:sz w:val="24"/>
          <w:szCs w:val="22"/>
        </w:rPr>
        <w:t xml:space="preserve"> per QALY gained to $</w:t>
      </w:r>
      <w:r w:rsidR="00226A45" w:rsidRPr="00226A45">
        <w:rPr>
          <w:rFonts w:asciiTheme="minorHAnsi" w:eastAsiaTheme="minorHAnsi" w:hAnsiTheme="minorHAnsi" w:cstheme="minorBidi"/>
          <w:snapToGrid/>
          <w:sz w:val="24"/>
          <w:szCs w:val="22"/>
        </w:rPr>
        <w:t xml:space="preserve">45,000 - $75,000 </w:t>
      </w:r>
      <w:r w:rsidRPr="00663D98">
        <w:rPr>
          <w:rFonts w:asciiTheme="minorHAnsi" w:eastAsiaTheme="minorHAnsi" w:hAnsiTheme="minorHAnsi" w:cstheme="minorBidi"/>
          <w:snapToGrid/>
          <w:sz w:val="24"/>
          <w:szCs w:val="22"/>
        </w:rPr>
        <w:t xml:space="preserve">per QALY gained. However, the PBAC considered that the base case ICER presented in the submission likely represented a </w:t>
      </w:r>
      <w:r w:rsidR="00663D98" w:rsidRPr="00663D98">
        <w:rPr>
          <w:rFonts w:asciiTheme="minorHAnsi" w:eastAsiaTheme="minorHAnsi" w:hAnsiTheme="minorHAnsi" w:cstheme="minorBidi"/>
          <w:snapToGrid/>
          <w:sz w:val="24"/>
          <w:szCs w:val="22"/>
        </w:rPr>
        <w:t>best-case</w:t>
      </w:r>
      <w:r w:rsidRPr="00663D98">
        <w:rPr>
          <w:rFonts w:asciiTheme="minorHAnsi" w:eastAsiaTheme="minorHAnsi" w:hAnsiTheme="minorHAnsi" w:cstheme="minorBidi"/>
          <w:snapToGrid/>
          <w:sz w:val="24"/>
          <w:szCs w:val="22"/>
        </w:rPr>
        <w:t xml:space="preserve"> scenario where the benefit observed in the trial setting is reflected in clinical practice and the true ICER would be higher than $</w:t>
      </w:r>
      <w:r w:rsidR="00226A45" w:rsidRPr="00226A45">
        <w:rPr>
          <w:rFonts w:asciiTheme="minorHAnsi" w:eastAsiaTheme="minorHAnsi" w:hAnsiTheme="minorHAnsi" w:cstheme="minorBidi"/>
          <w:snapToGrid/>
          <w:sz w:val="24"/>
          <w:szCs w:val="22"/>
        </w:rPr>
        <w:t xml:space="preserve">45,000 - $75,000 </w:t>
      </w:r>
      <w:r w:rsidRPr="00663D98">
        <w:rPr>
          <w:rFonts w:asciiTheme="minorHAnsi" w:eastAsiaTheme="minorHAnsi" w:hAnsiTheme="minorHAnsi" w:cstheme="minorBidi"/>
          <w:snapToGrid/>
          <w:sz w:val="24"/>
          <w:szCs w:val="22"/>
        </w:rPr>
        <w:t>and therefore not cost-effective at the price proposed (paragraph 5.6, July 2017 PSD).</w:t>
      </w:r>
    </w:p>
    <w:p w:rsidR="00210F94" w:rsidRPr="00663D98" w:rsidRDefault="00210F94" w:rsidP="00210F94">
      <w:pPr>
        <w:pStyle w:val="ListParagraph"/>
        <w:rPr>
          <w:rFonts w:asciiTheme="minorHAnsi" w:eastAsiaTheme="minorHAnsi" w:hAnsiTheme="minorHAnsi" w:cstheme="minorBidi"/>
          <w:snapToGrid/>
          <w:sz w:val="24"/>
          <w:szCs w:val="22"/>
        </w:rPr>
      </w:pPr>
    </w:p>
    <w:p w:rsidR="00210F94" w:rsidRPr="00663D98" w:rsidRDefault="00210F94" w:rsidP="00210F94">
      <w:pPr>
        <w:pStyle w:val="ListParagraph"/>
        <w:numPr>
          <w:ilvl w:val="1"/>
          <w:numId w:val="5"/>
        </w:numPr>
        <w:rPr>
          <w:rFonts w:asciiTheme="minorHAnsi" w:eastAsiaTheme="minorHAnsi" w:hAnsiTheme="minorHAnsi" w:cstheme="minorBidi"/>
          <w:snapToGrid/>
          <w:sz w:val="24"/>
          <w:szCs w:val="22"/>
        </w:rPr>
      </w:pPr>
      <w:r w:rsidRPr="00663D98">
        <w:rPr>
          <w:rFonts w:asciiTheme="minorHAnsi" w:eastAsiaTheme="minorHAnsi" w:hAnsiTheme="minorHAnsi" w:cstheme="minorBidi"/>
          <w:snapToGrid/>
          <w:sz w:val="24"/>
          <w:szCs w:val="22"/>
        </w:rPr>
        <w:t xml:space="preserve">At its November 2017 meeting, the PBAC again considered a minor resubmission for trifluridine/tipiracil where it did not recommend the requested listing for the treatment of mCRC. The PBAC noted that the submission presented a ‘worst case’ scenario sensitivity analysis however, considered that this analysis addressed only one aspect of the potential differences between the trial and likely PBS population (i.e. that G-CSF is not routinely used in Australia in patients with metastatic disease) (paragraph 5.9, November 2017 </w:t>
      </w:r>
      <w:r w:rsidR="003A22C5">
        <w:rPr>
          <w:rFonts w:asciiTheme="minorHAnsi" w:eastAsiaTheme="minorHAnsi" w:hAnsiTheme="minorHAnsi" w:cstheme="minorBidi"/>
          <w:snapToGrid/>
          <w:sz w:val="24"/>
          <w:szCs w:val="22"/>
        </w:rPr>
        <w:t>PSD</w:t>
      </w:r>
      <w:r w:rsidRPr="00663D98">
        <w:rPr>
          <w:rFonts w:asciiTheme="minorHAnsi" w:eastAsiaTheme="minorHAnsi" w:hAnsiTheme="minorHAnsi" w:cstheme="minorBidi"/>
          <w:snapToGrid/>
          <w:sz w:val="24"/>
          <w:szCs w:val="22"/>
        </w:rPr>
        <w:t xml:space="preserve">). </w:t>
      </w:r>
    </w:p>
    <w:p w:rsidR="003C6551" w:rsidRPr="00663D98" w:rsidRDefault="003C6551" w:rsidP="003C6551">
      <w:pPr>
        <w:pStyle w:val="ListParagraph"/>
        <w:rPr>
          <w:rFonts w:asciiTheme="minorHAnsi" w:eastAsiaTheme="minorHAnsi" w:hAnsiTheme="minorHAnsi" w:cstheme="minorBidi"/>
          <w:snapToGrid/>
          <w:sz w:val="24"/>
          <w:szCs w:val="22"/>
        </w:rPr>
      </w:pPr>
    </w:p>
    <w:p w:rsidR="00AF1A96" w:rsidRDefault="00AA7134" w:rsidP="00AF1A96">
      <w:pPr>
        <w:pStyle w:val="ListParagraph"/>
        <w:numPr>
          <w:ilvl w:val="1"/>
          <w:numId w:val="5"/>
        </w:numPr>
        <w:rPr>
          <w:rFonts w:asciiTheme="minorHAnsi" w:eastAsiaTheme="minorHAnsi" w:hAnsiTheme="minorHAnsi" w:cstheme="minorBidi"/>
          <w:snapToGrid/>
          <w:sz w:val="24"/>
          <w:szCs w:val="22"/>
        </w:rPr>
      </w:pPr>
      <w:r w:rsidRPr="00663D98">
        <w:rPr>
          <w:rFonts w:asciiTheme="minorHAnsi" w:eastAsiaTheme="minorHAnsi" w:hAnsiTheme="minorHAnsi" w:cstheme="minorBidi"/>
          <w:snapToGrid/>
          <w:sz w:val="24"/>
          <w:szCs w:val="22"/>
        </w:rPr>
        <w:t>The PBAC considered a subsequent minor resubmission for trifluridine/tipiracil at its March 2018 meeting.</w:t>
      </w:r>
      <w:r w:rsidR="00277B03" w:rsidRPr="00663D98">
        <w:rPr>
          <w:rFonts w:asciiTheme="minorHAnsi" w:eastAsiaTheme="minorHAnsi" w:hAnsiTheme="minorHAnsi" w:cstheme="minorBidi"/>
          <w:snapToGrid/>
          <w:sz w:val="24"/>
          <w:szCs w:val="22"/>
        </w:rPr>
        <w:t xml:space="preserve"> The PBAC maintai</w:t>
      </w:r>
      <w:r w:rsidR="00E515F0" w:rsidRPr="00663D98">
        <w:rPr>
          <w:rFonts w:asciiTheme="minorHAnsi" w:eastAsiaTheme="minorHAnsi" w:hAnsiTheme="minorHAnsi" w:cstheme="minorBidi"/>
          <w:snapToGrid/>
          <w:sz w:val="24"/>
          <w:szCs w:val="22"/>
        </w:rPr>
        <w:t>ned its previous decision not to recommend the requested li</w:t>
      </w:r>
      <w:r w:rsidR="009B5870" w:rsidRPr="00663D98">
        <w:rPr>
          <w:rFonts w:asciiTheme="minorHAnsi" w:eastAsiaTheme="minorHAnsi" w:hAnsiTheme="minorHAnsi" w:cstheme="minorBidi"/>
          <w:snapToGrid/>
          <w:sz w:val="24"/>
          <w:szCs w:val="22"/>
        </w:rPr>
        <w:t>sting for the treatment of mCRC based on its previous concerns</w:t>
      </w:r>
      <w:r w:rsidR="00895129" w:rsidRPr="00663D98">
        <w:rPr>
          <w:rFonts w:asciiTheme="minorHAnsi" w:eastAsiaTheme="minorHAnsi" w:hAnsiTheme="minorHAnsi" w:cstheme="minorBidi"/>
          <w:snapToGrid/>
          <w:sz w:val="24"/>
          <w:szCs w:val="22"/>
        </w:rPr>
        <w:t xml:space="preserve"> regarding the modest clinical benefit and high and uncertain incremental cost-effectiveness ratio. </w:t>
      </w:r>
      <w:r w:rsidR="00317983" w:rsidRPr="00663D98">
        <w:rPr>
          <w:rFonts w:asciiTheme="minorHAnsi" w:eastAsiaTheme="minorHAnsi" w:hAnsiTheme="minorHAnsi" w:cstheme="minorBidi"/>
          <w:snapToGrid/>
          <w:sz w:val="24"/>
          <w:szCs w:val="22"/>
        </w:rPr>
        <w:t>Further, the PBAC considered the submission’s proposed Risk Sharing Arrangement</w:t>
      </w:r>
      <w:r w:rsidR="00897DF4" w:rsidRPr="00663D98">
        <w:rPr>
          <w:rFonts w:asciiTheme="minorHAnsi" w:eastAsiaTheme="minorHAnsi" w:hAnsiTheme="minorHAnsi" w:cstheme="minorBidi"/>
          <w:snapToGrid/>
          <w:sz w:val="24"/>
          <w:szCs w:val="22"/>
        </w:rPr>
        <w:t xml:space="preserve"> was not an appropriate approach to achieve cost-effectiveness given the remaining uncertainty in the estimated utilisation.</w:t>
      </w:r>
    </w:p>
    <w:p w:rsidR="00E9550A" w:rsidRPr="00AF1A96" w:rsidRDefault="00AF1A96" w:rsidP="00AF1A96">
      <w:pPr>
        <w:rPr>
          <w:rFonts w:asciiTheme="minorHAnsi" w:eastAsiaTheme="minorHAnsi" w:hAnsiTheme="minorHAnsi" w:cstheme="minorBidi"/>
          <w:szCs w:val="22"/>
        </w:rPr>
      </w:pPr>
      <w:r w:rsidRPr="00AF1A96">
        <w:rPr>
          <w:rFonts w:asciiTheme="minorHAnsi" w:eastAsiaTheme="minorHAnsi" w:hAnsiTheme="minorHAnsi" w:cstheme="minorBidi"/>
          <w:szCs w:val="22"/>
        </w:rPr>
        <w:t xml:space="preserve"> </w:t>
      </w:r>
    </w:p>
    <w:p w:rsidR="00E9550A" w:rsidRPr="00663D98" w:rsidRDefault="00E9550A" w:rsidP="00E9550A">
      <w:pPr>
        <w:pStyle w:val="ListParagraph"/>
        <w:rPr>
          <w:rFonts w:asciiTheme="minorHAnsi" w:eastAsiaTheme="minorHAnsi" w:hAnsiTheme="minorHAnsi" w:cstheme="minorBidi"/>
          <w:snapToGrid/>
          <w:color w:val="000000" w:themeColor="text1"/>
          <w:sz w:val="28"/>
          <w:szCs w:val="22"/>
        </w:rPr>
      </w:pPr>
      <w:r w:rsidRPr="00663D98">
        <w:rPr>
          <w:rFonts w:asciiTheme="minorHAnsi" w:hAnsiTheme="minorHAnsi"/>
          <w:i/>
          <w:sz w:val="24"/>
        </w:rPr>
        <w:t>For more deta</w:t>
      </w:r>
      <w:r>
        <w:rPr>
          <w:rFonts w:asciiTheme="minorHAnsi" w:hAnsiTheme="minorHAnsi"/>
          <w:i/>
          <w:sz w:val="24"/>
        </w:rPr>
        <w:t>il on PBAC’s view, see section 5</w:t>
      </w:r>
      <w:r w:rsidRPr="00663D98">
        <w:rPr>
          <w:rFonts w:asciiTheme="minorHAnsi" w:hAnsiTheme="minorHAnsi"/>
          <w:i/>
          <w:sz w:val="24"/>
        </w:rPr>
        <w:t xml:space="preserve"> PBAC outcome.</w:t>
      </w:r>
    </w:p>
    <w:p w:rsidR="000B558D" w:rsidRPr="00663D98" w:rsidRDefault="008D7A41" w:rsidP="00F550CF">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663D98">
        <w:rPr>
          <w:rFonts w:asciiTheme="minorHAnsi" w:hAnsiTheme="minorHAnsi"/>
          <w:sz w:val="32"/>
          <w:szCs w:val="32"/>
        </w:rPr>
        <w:t>C</w:t>
      </w:r>
      <w:r w:rsidR="00D84934" w:rsidRPr="00663D98">
        <w:rPr>
          <w:rFonts w:asciiTheme="minorHAnsi" w:hAnsiTheme="minorHAnsi"/>
          <w:sz w:val="32"/>
          <w:szCs w:val="32"/>
        </w:rPr>
        <w:t>onsideration of the evidence</w:t>
      </w:r>
    </w:p>
    <w:p w:rsidR="00E374C1" w:rsidRPr="00663D98" w:rsidRDefault="00E374C1" w:rsidP="00E374C1">
      <w:pPr>
        <w:pStyle w:val="Heading2"/>
        <w:keepLines/>
        <w:spacing w:before="240" w:after="120"/>
        <w:rPr>
          <w:rFonts w:asciiTheme="minorHAnsi" w:eastAsiaTheme="majorEastAsia" w:hAnsiTheme="minorHAnsi" w:cstheme="majorBidi"/>
          <w:sz w:val="28"/>
          <w:szCs w:val="28"/>
          <w:lang w:eastAsia="en-US"/>
        </w:rPr>
      </w:pPr>
      <w:r w:rsidRPr="00663D98">
        <w:rPr>
          <w:rFonts w:asciiTheme="minorHAnsi" w:eastAsiaTheme="majorEastAsia" w:hAnsiTheme="minorHAnsi" w:cstheme="majorBidi"/>
          <w:sz w:val="28"/>
          <w:szCs w:val="28"/>
          <w:lang w:eastAsia="en-US"/>
        </w:rPr>
        <w:t>Sponsor hearing</w:t>
      </w:r>
    </w:p>
    <w:p w:rsidR="002A7BFA" w:rsidRPr="00663D98" w:rsidRDefault="002A7BFA" w:rsidP="00E374C1">
      <w:pPr>
        <w:pStyle w:val="ListParagraph"/>
        <w:widowControl/>
        <w:numPr>
          <w:ilvl w:val="1"/>
          <w:numId w:val="14"/>
        </w:numPr>
        <w:spacing w:before="120" w:after="160"/>
        <w:contextualSpacing w:val="0"/>
        <w:rPr>
          <w:rFonts w:asciiTheme="minorHAnsi" w:hAnsiTheme="minorHAnsi"/>
          <w:sz w:val="24"/>
          <w:szCs w:val="24"/>
        </w:rPr>
      </w:pPr>
      <w:r w:rsidRPr="00663D98">
        <w:rPr>
          <w:rFonts w:asciiTheme="minorHAnsi" w:eastAsiaTheme="minorHAnsi" w:hAnsiTheme="minorHAnsi" w:cstheme="minorBidi"/>
          <w:snapToGrid/>
          <w:sz w:val="24"/>
          <w:szCs w:val="22"/>
        </w:rPr>
        <w:t xml:space="preserve">There was no hearing for this item as it was a minor submission. </w:t>
      </w:r>
    </w:p>
    <w:p w:rsidR="002A7BFA" w:rsidRPr="00663D98" w:rsidRDefault="002A7BFA" w:rsidP="002A7BFA">
      <w:pPr>
        <w:pStyle w:val="Heading2"/>
        <w:keepLines/>
        <w:spacing w:before="240" w:after="120"/>
        <w:rPr>
          <w:rFonts w:asciiTheme="minorHAnsi" w:eastAsiaTheme="majorEastAsia" w:hAnsiTheme="minorHAnsi" w:cstheme="majorBidi"/>
          <w:sz w:val="28"/>
          <w:szCs w:val="28"/>
          <w:lang w:eastAsia="en-US"/>
        </w:rPr>
      </w:pPr>
      <w:r w:rsidRPr="00663D98">
        <w:rPr>
          <w:rFonts w:asciiTheme="minorHAnsi" w:eastAsiaTheme="majorEastAsia" w:hAnsiTheme="minorHAnsi" w:cstheme="majorBidi"/>
          <w:sz w:val="28"/>
          <w:szCs w:val="28"/>
          <w:lang w:eastAsia="en-US"/>
        </w:rPr>
        <w:t xml:space="preserve">Consumer comments </w:t>
      </w:r>
    </w:p>
    <w:p w:rsidR="00E374C1" w:rsidRPr="00663D98" w:rsidRDefault="00283E68" w:rsidP="002A7BFA">
      <w:pPr>
        <w:pStyle w:val="ListParagraph"/>
        <w:widowControl/>
        <w:numPr>
          <w:ilvl w:val="1"/>
          <w:numId w:val="14"/>
        </w:numPr>
        <w:spacing w:before="120" w:after="160"/>
        <w:contextualSpacing w:val="0"/>
        <w:rPr>
          <w:rFonts w:asciiTheme="minorHAnsi" w:hAnsiTheme="minorHAnsi"/>
          <w:sz w:val="24"/>
          <w:szCs w:val="24"/>
        </w:rPr>
      </w:pPr>
      <w:r w:rsidRPr="00663D98">
        <w:rPr>
          <w:rFonts w:asciiTheme="minorHAnsi" w:eastAsiaTheme="minorHAnsi" w:hAnsiTheme="minorHAnsi" w:cstheme="minorBidi"/>
          <w:snapToGrid/>
          <w:sz w:val="24"/>
          <w:szCs w:val="22"/>
        </w:rPr>
        <w:t>The</w:t>
      </w:r>
      <w:r w:rsidR="00707AB1" w:rsidRPr="00663D98">
        <w:rPr>
          <w:rFonts w:asciiTheme="minorHAnsi" w:eastAsiaTheme="minorHAnsi" w:hAnsiTheme="minorHAnsi" w:cstheme="minorBidi"/>
          <w:snapToGrid/>
          <w:sz w:val="24"/>
          <w:szCs w:val="22"/>
        </w:rPr>
        <w:t xml:space="preserve"> PBAC noted and welcomed the input from individuals (1) via the Consumer Comments facility on the PBS website.</w:t>
      </w:r>
      <w:r w:rsidR="000008DD" w:rsidRPr="00663D98">
        <w:rPr>
          <w:rFonts w:asciiTheme="minorHAnsi" w:eastAsiaTheme="minorHAnsi" w:hAnsiTheme="minorHAnsi" w:cstheme="minorBidi"/>
          <w:snapToGrid/>
          <w:sz w:val="24"/>
          <w:szCs w:val="22"/>
        </w:rPr>
        <w:t xml:space="preserve"> The comment indicated that trifluridine/tipiracil would be</w:t>
      </w:r>
      <w:r w:rsidR="00C321F2" w:rsidRPr="00663D98">
        <w:rPr>
          <w:rFonts w:asciiTheme="minorHAnsi" w:eastAsiaTheme="minorHAnsi" w:hAnsiTheme="minorHAnsi" w:cstheme="minorBidi"/>
          <w:snapToGrid/>
          <w:sz w:val="24"/>
          <w:szCs w:val="22"/>
        </w:rPr>
        <w:t xml:space="preserve"> an</w:t>
      </w:r>
      <w:r w:rsidR="000008DD" w:rsidRPr="00663D98">
        <w:rPr>
          <w:rFonts w:asciiTheme="minorHAnsi" w:eastAsiaTheme="minorHAnsi" w:hAnsiTheme="minorHAnsi" w:cstheme="minorBidi"/>
          <w:snapToGrid/>
          <w:sz w:val="24"/>
          <w:szCs w:val="22"/>
        </w:rPr>
        <w:t xml:space="preserve"> important</w:t>
      </w:r>
      <w:r w:rsidR="00C321F2" w:rsidRPr="00663D98">
        <w:rPr>
          <w:rFonts w:asciiTheme="minorHAnsi" w:eastAsiaTheme="minorHAnsi" w:hAnsiTheme="minorHAnsi" w:cstheme="minorBidi"/>
          <w:snapToGrid/>
          <w:sz w:val="24"/>
          <w:szCs w:val="22"/>
        </w:rPr>
        <w:t xml:space="preserve"> third line</w:t>
      </w:r>
      <w:r w:rsidR="000008DD" w:rsidRPr="00663D98">
        <w:rPr>
          <w:rFonts w:asciiTheme="minorHAnsi" w:eastAsiaTheme="minorHAnsi" w:hAnsiTheme="minorHAnsi" w:cstheme="minorBidi"/>
          <w:snapToGrid/>
          <w:sz w:val="24"/>
          <w:szCs w:val="22"/>
        </w:rPr>
        <w:t xml:space="preserve"> </w:t>
      </w:r>
      <w:r w:rsidR="00C321F2" w:rsidRPr="00663D98">
        <w:rPr>
          <w:rFonts w:asciiTheme="minorHAnsi" w:eastAsiaTheme="minorHAnsi" w:hAnsiTheme="minorHAnsi" w:cstheme="minorBidi"/>
          <w:snapToGrid/>
          <w:sz w:val="24"/>
          <w:szCs w:val="22"/>
        </w:rPr>
        <w:t xml:space="preserve">treatment option </w:t>
      </w:r>
      <w:r w:rsidR="000008DD" w:rsidRPr="00663D98">
        <w:rPr>
          <w:rFonts w:asciiTheme="minorHAnsi" w:eastAsiaTheme="minorHAnsi" w:hAnsiTheme="minorHAnsi" w:cstheme="minorBidi"/>
          <w:snapToGrid/>
          <w:sz w:val="24"/>
          <w:szCs w:val="22"/>
        </w:rPr>
        <w:t xml:space="preserve">for patients who have failed </w:t>
      </w:r>
      <w:r w:rsidR="00C321F2" w:rsidRPr="00663D98">
        <w:rPr>
          <w:rFonts w:asciiTheme="minorHAnsi" w:eastAsiaTheme="minorHAnsi" w:hAnsiTheme="minorHAnsi" w:cstheme="minorBidi"/>
          <w:snapToGrid/>
          <w:sz w:val="24"/>
          <w:szCs w:val="22"/>
        </w:rPr>
        <w:t xml:space="preserve">prior therapies for mCRC as there are currently limited treatment options in this setting. </w:t>
      </w:r>
    </w:p>
    <w:p w:rsidR="00CD533F" w:rsidRPr="00663D98" w:rsidRDefault="00CD533F" w:rsidP="002A7BFA">
      <w:pPr>
        <w:pStyle w:val="ListParagraph"/>
        <w:widowControl/>
        <w:numPr>
          <w:ilvl w:val="1"/>
          <w:numId w:val="14"/>
        </w:numPr>
        <w:spacing w:before="120" w:after="160"/>
        <w:contextualSpacing w:val="0"/>
        <w:rPr>
          <w:rFonts w:asciiTheme="minorHAnsi" w:hAnsiTheme="minorHAnsi"/>
          <w:sz w:val="24"/>
          <w:szCs w:val="24"/>
        </w:rPr>
      </w:pPr>
      <w:r w:rsidRPr="00663D98">
        <w:rPr>
          <w:rFonts w:asciiTheme="minorHAnsi" w:hAnsiTheme="minorHAnsi"/>
          <w:sz w:val="24"/>
          <w:szCs w:val="24"/>
        </w:rPr>
        <w:t xml:space="preserve">The Medical Oncology Group of Australia (MOGA) reiterated its support for the trifluridine/tipiracil minor submission. It was noted that the indication for this item represents an area of unmet need after failure of standard prior therapies and trifluridine/tipiracil has a proven survival benefit in a phase 3 trial. </w:t>
      </w:r>
    </w:p>
    <w:p w:rsidR="00D84934" w:rsidRPr="00663D98" w:rsidRDefault="00D84934" w:rsidP="00937958">
      <w:pPr>
        <w:pStyle w:val="Heading2"/>
        <w:keepLines/>
        <w:spacing w:before="240" w:after="120"/>
        <w:rPr>
          <w:rFonts w:asciiTheme="minorHAnsi" w:eastAsiaTheme="majorEastAsia" w:hAnsiTheme="minorHAnsi" w:cstheme="majorBidi"/>
          <w:sz w:val="28"/>
          <w:szCs w:val="28"/>
          <w:lang w:eastAsia="en-US"/>
        </w:rPr>
      </w:pPr>
      <w:r w:rsidRPr="00663D98">
        <w:rPr>
          <w:rFonts w:asciiTheme="minorHAnsi" w:eastAsiaTheme="majorEastAsia" w:hAnsiTheme="minorHAnsi" w:cstheme="majorBidi"/>
          <w:sz w:val="28"/>
          <w:szCs w:val="28"/>
          <w:lang w:eastAsia="en-US"/>
        </w:rPr>
        <w:t>Clinical trials</w:t>
      </w:r>
    </w:p>
    <w:p w:rsidR="0076420C" w:rsidRPr="00663D98" w:rsidRDefault="0076420C" w:rsidP="00897DF4">
      <w:pPr>
        <w:pStyle w:val="ListParagraph"/>
        <w:widowControl/>
        <w:numPr>
          <w:ilvl w:val="1"/>
          <w:numId w:val="14"/>
        </w:numPr>
        <w:spacing w:before="120" w:after="160"/>
        <w:contextualSpacing w:val="0"/>
        <w:rPr>
          <w:rFonts w:asciiTheme="minorHAnsi" w:hAnsiTheme="minorHAnsi"/>
          <w:sz w:val="24"/>
          <w:szCs w:val="24"/>
        </w:rPr>
      </w:pPr>
      <w:r w:rsidRPr="00663D98">
        <w:rPr>
          <w:rFonts w:asciiTheme="minorHAnsi" w:eastAsiaTheme="minorHAnsi" w:hAnsiTheme="minorHAnsi" w:cstheme="minorBidi"/>
          <w:snapToGrid/>
          <w:sz w:val="24"/>
          <w:szCs w:val="22"/>
        </w:rPr>
        <w:t xml:space="preserve">As a minor submission, no </w:t>
      </w:r>
      <w:r w:rsidR="00897DF4" w:rsidRPr="00663D98">
        <w:rPr>
          <w:rFonts w:asciiTheme="minorHAnsi" w:eastAsiaTheme="minorHAnsi" w:hAnsiTheme="minorHAnsi" w:cstheme="minorBidi"/>
          <w:snapToGrid/>
          <w:sz w:val="24"/>
          <w:szCs w:val="22"/>
        </w:rPr>
        <w:t xml:space="preserve">clinical trials were presented.  </w:t>
      </w:r>
    </w:p>
    <w:p w:rsidR="005A3173" w:rsidRPr="00663D98" w:rsidRDefault="005A3173" w:rsidP="00937958">
      <w:pPr>
        <w:pStyle w:val="Heading2"/>
        <w:keepLines/>
        <w:spacing w:before="240" w:after="120"/>
        <w:rPr>
          <w:rFonts w:asciiTheme="minorHAnsi" w:eastAsiaTheme="majorEastAsia" w:hAnsiTheme="minorHAnsi" w:cstheme="majorBidi"/>
          <w:sz w:val="28"/>
          <w:szCs w:val="28"/>
          <w:lang w:eastAsia="en-US"/>
        </w:rPr>
      </w:pPr>
      <w:r w:rsidRPr="00663D98">
        <w:rPr>
          <w:rFonts w:asciiTheme="minorHAnsi" w:eastAsiaTheme="majorEastAsia" w:hAnsiTheme="minorHAnsi" w:cstheme="majorBidi"/>
          <w:sz w:val="28"/>
          <w:szCs w:val="28"/>
          <w:lang w:eastAsia="en-US"/>
        </w:rPr>
        <w:t>Comparative effectiveness</w:t>
      </w:r>
    </w:p>
    <w:p w:rsidR="00AC1B7E" w:rsidRPr="00663D98" w:rsidRDefault="00AC1B7E" w:rsidP="00AC1B7E">
      <w:pPr>
        <w:pStyle w:val="ListParagraph"/>
        <w:widowControl/>
        <w:numPr>
          <w:ilvl w:val="1"/>
          <w:numId w:val="5"/>
        </w:numPr>
        <w:spacing w:after="120"/>
        <w:contextualSpacing w:val="0"/>
        <w:rPr>
          <w:rFonts w:asciiTheme="minorHAnsi" w:eastAsiaTheme="minorHAnsi" w:hAnsiTheme="minorHAnsi" w:cstheme="minorBidi"/>
          <w:snapToGrid/>
          <w:color w:val="000000" w:themeColor="text1"/>
          <w:sz w:val="24"/>
          <w:szCs w:val="22"/>
        </w:rPr>
      </w:pPr>
      <w:r w:rsidRPr="00663D98">
        <w:rPr>
          <w:rFonts w:asciiTheme="minorHAnsi" w:eastAsiaTheme="minorHAnsi" w:hAnsiTheme="minorHAnsi" w:cstheme="minorBidi"/>
          <w:snapToGrid/>
          <w:color w:val="000000" w:themeColor="text1"/>
          <w:sz w:val="24"/>
          <w:szCs w:val="22"/>
        </w:rPr>
        <w:t>At its March 2018 meeting, the PBAC recalled that the median increase in PFS of 0.3 months (HR 0.49; CI: 0.42, 0.58) compared with best supportive care in the RECOURSE trial (n=800) was small, and that the majority of patients (i.e. 53% of patients in the trifluridine/tipiracil treatment arm and 79% of patients in the best supportive care arm) had progressed by week 8. The PBAC recalled that the median gain in overall survival (OS) was 2.0 months (HR 0.69; CI: 0.59, 0.81) in the RECOURSE trial was modest. The PBAC also recalled that the results of the J003 trial (n=169) were similar to those of the RECOURSE trial.</w:t>
      </w:r>
    </w:p>
    <w:p w:rsidR="005A3173" w:rsidRPr="00663D98" w:rsidRDefault="00B27C23" w:rsidP="00937958">
      <w:pPr>
        <w:pStyle w:val="Heading2"/>
        <w:keepLines/>
        <w:spacing w:before="240" w:after="120"/>
        <w:rPr>
          <w:rFonts w:asciiTheme="minorHAnsi" w:eastAsiaTheme="majorEastAsia" w:hAnsiTheme="minorHAnsi" w:cstheme="majorBidi"/>
          <w:sz w:val="28"/>
          <w:szCs w:val="28"/>
          <w:lang w:eastAsia="en-US"/>
        </w:rPr>
      </w:pPr>
      <w:r w:rsidRPr="00663D98">
        <w:rPr>
          <w:rFonts w:asciiTheme="minorHAnsi" w:eastAsiaTheme="majorEastAsia" w:hAnsiTheme="minorHAnsi" w:cstheme="majorBidi"/>
          <w:sz w:val="28"/>
          <w:szCs w:val="28"/>
          <w:lang w:eastAsia="en-US"/>
        </w:rPr>
        <w:lastRenderedPageBreak/>
        <w:t xml:space="preserve">Special pricing arrangement </w:t>
      </w:r>
    </w:p>
    <w:p w:rsidR="00805235" w:rsidRPr="00663D98" w:rsidRDefault="004D549F" w:rsidP="00F97EFC">
      <w:pPr>
        <w:pStyle w:val="ListParagraph"/>
        <w:widowControl/>
        <w:numPr>
          <w:ilvl w:val="1"/>
          <w:numId w:val="14"/>
        </w:numPr>
        <w:spacing w:after="120"/>
        <w:contextualSpacing w:val="0"/>
        <w:rPr>
          <w:rFonts w:asciiTheme="minorHAnsi" w:eastAsiaTheme="minorHAnsi" w:hAnsiTheme="minorHAnsi" w:cstheme="minorBidi"/>
          <w:snapToGrid/>
          <w:color w:val="000000" w:themeColor="text1"/>
          <w:sz w:val="24"/>
          <w:szCs w:val="22"/>
        </w:rPr>
      </w:pPr>
      <w:r w:rsidRPr="00663D98">
        <w:rPr>
          <w:rFonts w:asciiTheme="minorHAnsi" w:eastAsiaTheme="minorHAnsi" w:hAnsiTheme="minorHAnsi" w:cstheme="minorBidi"/>
          <w:snapToGrid/>
          <w:color w:val="000000" w:themeColor="text1"/>
          <w:sz w:val="24"/>
          <w:szCs w:val="22"/>
        </w:rPr>
        <w:t>The minor submission proposed a</w:t>
      </w:r>
      <w:r w:rsidR="00E01C4D" w:rsidRPr="00663D98">
        <w:rPr>
          <w:rFonts w:asciiTheme="minorHAnsi" w:eastAsiaTheme="minorHAnsi" w:hAnsiTheme="minorHAnsi" w:cstheme="minorBidi"/>
          <w:snapToGrid/>
          <w:color w:val="000000" w:themeColor="text1"/>
          <w:sz w:val="24"/>
          <w:szCs w:val="22"/>
        </w:rPr>
        <w:t xml:space="preserve"> revised</w:t>
      </w:r>
      <w:r w:rsidRPr="00663D98">
        <w:rPr>
          <w:rFonts w:asciiTheme="minorHAnsi" w:eastAsiaTheme="minorHAnsi" w:hAnsiTheme="minorHAnsi" w:cstheme="minorBidi"/>
          <w:snapToGrid/>
          <w:color w:val="000000" w:themeColor="text1"/>
          <w:sz w:val="24"/>
          <w:szCs w:val="22"/>
        </w:rPr>
        <w:t xml:space="preserve"> Special Pricing Arrangement (SPA) where the sponsor would rebate </w:t>
      </w:r>
      <w:r w:rsidR="00C34BCC">
        <w:rPr>
          <w:rFonts w:asciiTheme="minorHAnsi" w:eastAsiaTheme="minorHAnsi" w:hAnsiTheme="minorHAnsi" w:cstheme="minorBidi"/>
          <w:noProof/>
          <w:snapToGrid/>
          <w:color w:val="000000"/>
          <w:sz w:val="24"/>
          <w:szCs w:val="22"/>
          <w:highlight w:val="black"/>
        </w:rPr>
        <w:t>'''''</w:t>
      </w:r>
      <w:r w:rsidRPr="00663D98">
        <w:rPr>
          <w:rFonts w:asciiTheme="minorHAnsi" w:eastAsiaTheme="minorHAnsi" w:hAnsiTheme="minorHAnsi" w:cstheme="minorBidi"/>
          <w:snapToGrid/>
          <w:color w:val="000000" w:themeColor="text1"/>
          <w:sz w:val="24"/>
          <w:szCs w:val="22"/>
        </w:rPr>
        <w:t xml:space="preserve">% of </w:t>
      </w:r>
      <w:r w:rsidR="00B8162E" w:rsidRPr="00663D98">
        <w:rPr>
          <w:rFonts w:asciiTheme="minorHAnsi" w:eastAsiaTheme="minorHAnsi" w:hAnsiTheme="minorHAnsi" w:cstheme="minorBidi"/>
          <w:snapToGrid/>
          <w:color w:val="000000" w:themeColor="text1"/>
          <w:sz w:val="24"/>
          <w:szCs w:val="22"/>
        </w:rPr>
        <w:t>Commonwealth PBS expenditure</w:t>
      </w:r>
      <w:r w:rsidR="00945946" w:rsidRPr="00663D98">
        <w:rPr>
          <w:rFonts w:asciiTheme="minorHAnsi" w:eastAsiaTheme="minorHAnsi" w:hAnsiTheme="minorHAnsi" w:cstheme="minorBidi"/>
          <w:snapToGrid/>
          <w:color w:val="000000" w:themeColor="text1"/>
          <w:sz w:val="24"/>
          <w:szCs w:val="22"/>
        </w:rPr>
        <w:t xml:space="preserve">. The March 2018 submission proposed a rebate of </w:t>
      </w:r>
      <w:r w:rsidR="00C34BCC">
        <w:rPr>
          <w:rFonts w:asciiTheme="minorHAnsi" w:eastAsiaTheme="minorHAnsi" w:hAnsiTheme="minorHAnsi" w:cstheme="minorBidi"/>
          <w:noProof/>
          <w:snapToGrid/>
          <w:color w:val="000000"/>
          <w:sz w:val="24"/>
          <w:szCs w:val="22"/>
          <w:highlight w:val="black"/>
        </w:rPr>
        <w:t>'''''''''</w:t>
      </w:r>
      <w:r w:rsidR="00945946" w:rsidRPr="00663D98">
        <w:rPr>
          <w:rFonts w:asciiTheme="minorHAnsi" w:eastAsiaTheme="minorHAnsi" w:hAnsiTheme="minorHAnsi" w:cstheme="minorBidi"/>
          <w:snapToGrid/>
          <w:color w:val="000000" w:themeColor="text1"/>
          <w:sz w:val="24"/>
          <w:szCs w:val="22"/>
        </w:rPr>
        <w:t xml:space="preserve">% of the </w:t>
      </w:r>
      <w:r w:rsidR="00A6383E" w:rsidRPr="00663D98">
        <w:rPr>
          <w:rFonts w:asciiTheme="minorHAnsi" w:eastAsiaTheme="minorHAnsi" w:hAnsiTheme="minorHAnsi" w:cstheme="minorBidi"/>
          <w:snapToGrid/>
          <w:color w:val="000000" w:themeColor="text1"/>
          <w:sz w:val="24"/>
          <w:szCs w:val="22"/>
        </w:rPr>
        <w:t>dispensed price for maximum quantity (</w:t>
      </w:r>
      <w:r w:rsidR="00945946" w:rsidRPr="00663D98">
        <w:rPr>
          <w:rFonts w:asciiTheme="minorHAnsi" w:eastAsiaTheme="minorHAnsi" w:hAnsiTheme="minorHAnsi" w:cstheme="minorBidi"/>
          <w:snapToGrid/>
          <w:color w:val="000000" w:themeColor="text1"/>
          <w:sz w:val="24"/>
          <w:szCs w:val="22"/>
        </w:rPr>
        <w:t>DPMQ</w:t>
      </w:r>
      <w:r w:rsidR="00A6383E" w:rsidRPr="00663D98">
        <w:rPr>
          <w:rFonts w:asciiTheme="minorHAnsi" w:eastAsiaTheme="minorHAnsi" w:hAnsiTheme="minorHAnsi" w:cstheme="minorBidi"/>
          <w:snapToGrid/>
          <w:color w:val="000000" w:themeColor="text1"/>
          <w:sz w:val="24"/>
          <w:szCs w:val="22"/>
        </w:rPr>
        <w:t>)</w:t>
      </w:r>
      <w:r w:rsidR="00945946" w:rsidRPr="00663D98">
        <w:rPr>
          <w:rFonts w:asciiTheme="minorHAnsi" w:eastAsiaTheme="minorHAnsi" w:hAnsiTheme="minorHAnsi" w:cstheme="minorBidi"/>
          <w:snapToGrid/>
          <w:color w:val="000000" w:themeColor="text1"/>
          <w:sz w:val="24"/>
          <w:szCs w:val="22"/>
        </w:rPr>
        <w:t>.</w:t>
      </w:r>
      <w:r w:rsidR="00905D1F" w:rsidRPr="00663D98">
        <w:rPr>
          <w:rFonts w:asciiTheme="minorHAnsi" w:eastAsiaTheme="minorHAnsi" w:hAnsiTheme="minorHAnsi" w:cstheme="minorBidi"/>
          <w:snapToGrid/>
          <w:color w:val="000000" w:themeColor="text1"/>
          <w:sz w:val="24"/>
          <w:szCs w:val="22"/>
        </w:rPr>
        <w:t xml:space="preserve"> </w:t>
      </w:r>
      <w:r w:rsidR="006A7313" w:rsidRPr="00663D98">
        <w:rPr>
          <w:rFonts w:asciiTheme="minorHAnsi" w:eastAsiaTheme="minorHAnsi" w:hAnsiTheme="minorHAnsi" w:cstheme="minorBidi"/>
          <w:snapToGrid/>
          <w:color w:val="000000" w:themeColor="text1"/>
          <w:sz w:val="24"/>
          <w:szCs w:val="22"/>
        </w:rPr>
        <w:t>W</w:t>
      </w:r>
      <w:r w:rsidR="00905D1F" w:rsidRPr="00663D98">
        <w:rPr>
          <w:rFonts w:asciiTheme="minorHAnsi" w:eastAsiaTheme="minorHAnsi" w:hAnsiTheme="minorHAnsi" w:cstheme="minorBidi"/>
          <w:snapToGrid/>
          <w:color w:val="000000" w:themeColor="text1"/>
          <w:sz w:val="24"/>
          <w:szCs w:val="22"/>
        </w:rPr>
        <w:t xml:space="preserve">hile the proposed effective </w:t>
      </w:r>
      <w:r w:rsidR="00AF7C86" w:rsidRPr="00663D98">
        <w:rPr>
          <w:rFonts w:asciiTheme="minorHAnsi" w:eastAsiaTheme="minorHAnsi" w:hAnsiTheme="minorHAnsi" w:cstheme="minorBidi"/>
          <w:snapToGrid/>
          <w:color w:val="000000" w:themeColor="text1"/>
          <w:sz w:val="24"/>
          <w:szCs w:val="22"/>
        </w:rPr>
        <w:t xml:space="preserve">DPMQs in the March 2018 submission </w:t>
      </w:r>
      <w:r w:rsidR="00364CCF" w:rsidRPr="00663D98">
        <w:rPr>
          <w:rFonts w:asciiTheme="minorHAnsi" w:eastAsiaTheme="minorHAnsi" w:hAnsiTheme="minorHAnsi" w:cstheme="minorBidi"/>
          <w:snapToGrid/>
          <w:color w:val="000000" w:themeColor="text1"/>
          <w:sz w:val="24"/>
          <w:szCs w:val="22"/>
        </w:rPr>
        <w:t xml:space="preserve">equate to </w:t>
      </w:r>
      <w:r w:rsidR="00C34BCC">
        <w:rPr>
          <w:rFonts w:asciiTheme="minorHAnsi" w:eastAsiaTheme="minorHAnsi" w:hAnsiTheme="minorHAnsi" w:cstheme="minorBidi"/>
          <w:noProof/>
          <w:snapToGrid/>
          <w:color w:val="000000"/>
          <w:sz w:val="24"/>
          <w:szCs w:val="22"/>
          <w:highlight w:val="black"/>
        </w:rPr>
        <w:t>''''''''</w:t>
      </w:r>
      <w:r w:rsidR="00AF7C86" w:rsidRPr="00663D98">
        <w:rPr>
          <w:rFonts w:asciiTheme="minorHAnsi" w:eastAsiaTheme="minorHAnsi" w:hAnsiTheme="minorHAnsi" w:cstheme="minorBidi"/>
          <w:snapToGrid/>
          <w:color w:val="000000" w:themeColor="text1"/>
          <w:sz w:val="24"/>
          <w:szCs w:val="22"/>
        </w:rPr>
        <w:t>%</w:t>
      </w:r>
      <w:r w:rsidR="00364CCF" w:rsidRPr="00663D98">
        <w:rPr>
          <w:rFonts w:asciiTheme="minorHAnsi" w:eastAsiaTheme="minorHAnsi" w:hAnsiTheme="minorHAnsi" w:cstheme="minorBidi"/>
          <w:snapToGrid/>
          <w:color w:val="000000" w:themeColor="text1"/>
          <w:sz w:val="24"/>
          <w:szCs w:val="22"/>
        </w:rPr>
        <w:t xml:space="preserve"> of the published DPMQs, the proposed effective DPMQs in the current minor resubmission were calculated taking into account the average patient co-payment (see Table 1).</w:t>
      </w:r>
      <w:r w:rsidR="00364CCF" w:rsidRPr="00663D98">
        <w:rPr>
          <w:rFonts w:asciiTheme="minorHAnsi" w:eastAsiaTheme="minorHAnsi" w:hAnsiTheme="minorHAnsi" w:cstheme="minorBidi"/>
          <w:i/>
          <w:snapToGrid/>
          <w:color w:val="000000" w:themeColor="text1"/>
          <w:sz w:val="24"/>
          <w:szCs w:val="22"/>
        </w:rPr>
        <w:t xml:space="preserve">  </w:t>
      </w:r>
    </w:p>
    <w:p w:rsidR="000B558D" w:rsidRPr="00663D98" w:rsidRDefault="004D549F" w:rsidP="00F97EFC">
      <w:pPr>
        <w:pStyle w:val="ListParagraph"/>
        <w:widowControl/>
        <w:numPr>
          <w:ilvl w:val="1"/>
          <w:numId w:val="14"/>
        </w:numPr>
        <w:spacing w:after="120"/>
        <w:contextualSpacing w:val="0"/>
        <w:rPr>
          <w:rFonts w:asciiTheme="minorHAnsi" w:eastAsiaTheme="minorHAnsi" w:hAnsiTheme="minorHAnsi" w:cstheme="minorBidi"/>
          <w:snapToGrid/>
          <w:color w:val="000000" w:themeColor="text1"/>
          <w:sz w:val="24"/>
          <w:szCs w:val="22"/>
        </w:rPr>
      </w:pPr>
      <w:r w:rsidRPr="00663D98">
        <w:rPr>
          <w:rFonts w:asciiTheme="minorHAnsi" w:eastAsiaTheme="minorHAnsi" w:hAnsiTheme="minorHAnsi" w:cstheme="minorBidi"/>
          <w:snapToGrid/>
          <w:color w:val="000000" w:themeColor="text1"/>
          <w:sz w:val="24"/>
          <w:szCs w:val="22"/>
        </w:rPr>
        <w:t xml:space="preserve">A summary of the </w:t>
      </w:r>
      <w:r w:rsidR="000F0B25" w:rsidRPr="00663D98">
        <w:rPr>
          <w:rFonts w:asciiTheme="minorHAnsi" w:eastAsiaTheme="minorHAnsi" w:hAnsiTheme="minorHAnsi" w:cstheme="minorBidi"/>
          <w:snapToGrid/>
          <w:color w:val="000000" w:themeColor="text1"/>
          <w:sz w:val="24"/>
          <w:szCs w:val="22"/>
        </w:rPr>
        <w:t>SPA</w:t>
      </w:r>
      <w:r w:rsidRPr="00663D98">
        <w:rPr>
          <w:rFonts w:asciiTheme="minorHAnsi" w:eastAsiaTheme="minorHAnsi" w:hAnsiTheme="minorHAnsi" w:cstheme="minorBidi"/>
          <w:snapToGrid/>
          <w:color w:val="000000" w:themeColor="text1"/>
          <w:sz w:val="24"/>
          <w:szCs w:val="22"/>
        </w:rPr>
        <w:t xml:space="preserve"> proposed in the March 2018 and current minor resubmission are presented below in Table 1. </w:t>
      </w:r>
    </w:p>
    <w:p w:rsidR="00945946" w:rsidRPr="00663D98" w:rsidRDefault="00945946" w:rsidP="00945946">
      <w:pPr>
        <w:rPr>
          <w:rFonts w:ascii="Arial Narrow" w:eastAsiaTheme="minorHAnsi" w:hAnsi="Arial Narrow"/>
          <w:b/>
          <w:sz w:val="20"/>
        </w:rPr>
      </w:pPr>
      <w:r w:rsidRPr="00663D98">
        <w:rPr>
          <w:rFonts w:ascii="Arial Narrow" w:eastAsiaTheme="minorHAnsi" w:hAnsi="Arial Narrow"/>
          <w:b/>
          <w:sz w:val="20"/>
        </w:rPr>
        <w:t xml:space="preserve">Table 1: Summary of March 2018 and July </w:t>
      </w:r>
      <w:r w:rsidR="00CB40E2" w:rsidRPr="00663D98">
        <w:rPr>
          <w:rFonts w:ascii="Arial Narrow" w:eastAsiaTheme="minorHAnsi" w:hAnsi="Arial Narrow"/>
          <w:b/>
          <w:sz w:val="20"/>
        </w:rPr>
        <w:t>2018 special</w:t>
      </w:r>
      <w:r w:rsidRPr="00663D98">
        <w:rPr>
          <w:rFonts w:ascii="Arial Narrow" w:eastAsiaTheme="minorHAnsi" w:hAnsi="Arial Narrow"/>
          <w:b/>
          <w:sz w:val="20"/>
        </w:rPr>
        <w:t xml:space="preserve"> pricing arrangements </w:t>
      </w:r>
    </w:p>
    <w:tbl>
      <w:tblPr>
        <w:tblStyle w:val="TableGrid"/>
        <w:tblW w:w="4942" w:type="pct"/>
        <w:tblInd w:w="108" w:type="dxa"/>
        <w:tblLook w:val="04A0" w:firstRow="1" w:lastRow="0" w:firstColumn="1" w:lastColumn="0" w:noHBand="0" w:noVBand="1"/>
        <w:tblCaption w:val="Table 1: Summary of March 2018 and July 2018 special pricing arrangements "/>
        <w:tblDescription w:val="Table 1: Summary of March 2018 and July 2018 special pricing arrangements "/>
      </w:tblPr>
      <w:tblGrid>
        <w:gridCol w:w="2653"/>
        <w:gridCol w:w="1193"/>
        <w:gridCol w:w="1147"/>
        <w:gridCol w:w="1206"/>
        <w:gridCol w:w="1162"/>
        <w:gridCol w:w="1774"/>
      </w:tblGrid>
      <w:tr w:rsidR="00945946" w:rsidRPr="00663D98" w:rsidTr="00AF1A96">
        <w:trPr>
          <w:tblHeader/>
        </w:trPr>
        <w:tc>
          <w:tcPr>
            <w:tcW w:w="1452" w:type="pct"/>
          </w:tcPr>
          <w:p w:rsidR="00945946" w:rsidRPr="005C2DD9" w:rsidRDefault="00945946" w:rsidP="00DE6D99">
            <w:pPr>
              <w:pStyle w:val="ListParagraph"/>
              <w:widowControl/>
              <w:spacing w:before="40" w:after="40"/>
              <w:ind w:left="0"/>
              <w:contextualSpacing w:val="0"/>
              <w:rPr>
                <w:rFonts w:ascii="Arial Narrow" w:eastAsiaTheme="minorHAnsi" w:hAnsi="Arial Narrow" w:cstheme="minorBidi"/>
                <w:b/>
                <w:snapToGrid/>
                <w:sz w:val="20"/>
              </w:rPr>
            </w:pPr>
            <w:r w:rsidRPr="005C2DD9">
              <w:rPr>
                <w:rFonts w:ascii="Arial Narrow" w:eastAsiaTheme="minorHAnsi" w:hAnsi="Arial Narrow" w:cstheme="minorBidi"/>
                <w:b/>
                <w:snapToGrid/>
                <w:sz w:val="20"/>
              </w:rPr>
              <w:t>Presentation</w:t>
            </w:r>
          </w:p>
        </w:tc>
        <w:tc>
          <w:tcPr>
            <w:tcW w:w="653" w:type="pct"/>
          </w:tcPr>
          <w:p w:rsidR="00945946" w:rsidRPr="005C2DD9" w:rsidRDefault="00945946" w:rsidP="00DE6D99">
            <w:pPr>
              <w:pStyle w:val="ListParagraph"/>
              <w:widowControl/>
              <w:spacing w:before="40" w:after="40"/>
              <w:ind w:left="0"/>
              <w:contextualSpacing w:val="0"/>
              <w:rPr>
                <w:rFonts w:ascii="Arial Narrow" w:eastAsiaTheme="minorHAnsi" w:hAnsi="Arial Narrow" w:cstheme="minorBidi"/>
                <w:b/>
                <w:snapToGrid/>
                <w:sz w:val="20"/>
              </w:rPr>
            </w:pPr>
            <w:r w:rsidRPr="005C2DD9">
              <w:rPr>
                <w:rFonts w:ascii="Arial Narrow" w:eastAsiaTheme="minorHAnsi" w:hAnsi="Arial Narrow" w:cstheme="minorBidi"/>
                <w:b/>
                <w:snapToGrid/>
                <w:sz w:val="20"/>
              </w:rPr>
              <w:t>Published AEMP</w:t>
            </w:r>
          </w:p>
        </w:tc>
        <w:tc>
          <w:tcPr>
            <w:tcW w:w="628" w:type="pct"/>
          </w:tcPr>
          <w:p w:rsidR="00945946" w:rsidRPr="005C2DD9" w:rsidRDefault="00945946" w:rsidP="00DE6D99">
            <w:pPr>
              <w:pStyle w:val="ListParagraph"/>
              <w:widowControl/>
              <w:spacing w:before="40" w:after="40"/>
              <w:ind w:left="0"/>
              <w:contextualSpacing w:val="0"/>
              <w:rPr>
                <w:rFonts w:ascii="Arial Narrow" w:eastAsiaTheme="minorHAnsi" w:hAnsi="Arial Narrow" w:cstheme="minorBidi"/>
                <w:b/>
                <w:snapToGrid/>
                <w:sz w:val="20"/>
              </w:rPr>
            </w:pPr>
            <w:r w:rsidRPr="005C2DD9">
              <w:rPr>
                <w:rFonts w:ascii="Arial Narrow" w:eastAsiaTheme="minorHAnsi" w:hAnsi="Arial Narrow" w:cstheme="minorBidi"/>
                <w:b/>
                <w:snapToGrid/>
                <w:sz w:val="20"/>
              </w:rPr>
              <w:t>Effective AEMP</w:t>
            </w:r>
          </w:p>
        </w:tc>
        <w:tc>
          <w:tcPr>
            <w:tcW w:w="660" w:type="pct"/>
          </w:tcPr>
          <w:p w:rsidR="00945946" w:rsidRPr="005C2DD9" w:rsidRDefault="00945946" w:rsidP="00DE6D99">
            <w:pPr>
              <w:pStyle w:val="ListParagraph"/>
              <w:widowControl/>
              <w:spacing w:before="40" w:after="40"/>
              <w:ind w:left="0"/>
              <w:contextualSpacing w:val="0"/>
              <w:rPr>
                <w:rFonts w:ascii="Arial Narrow" w:eastAsiaTheme="minorHAnsi" w:hAnsi="Arial Narrow" w:cstheme="minorBidi"/>
                <w:b/>
                <w:snapToGrid/>
                <w:sz w:val="20"/>
              </w:rPr>
            </w:pPr>
            <w:r w:rsidRPr="005C2DD9">
              <w:rPr>
                <w:rFonts w:ascii="Arial Narrow" w:eastAsiaTheme="minorHAnsi" w:hAnsi="Arial Narrow" w:cstheme="minorBidi"/>
                <w:b/>
                <w:snapToGrid/>
                <w:sz w:val="20"/>
              </w:rPr>
              <w:t>Published DPMQ</w:t>
            </w:r>
          </w:p>
        </w:tc>
        <w:tc>
          <w:tcPr>
            <w:tcW w:w="636" w:type="pct"/>
          </w:tcPr>
          <w:p w:rsidR="00945946" w:rsidRPr="005C2DD9" w:rsidRDefault="00945946" w:rsidP="00DE6D99">
            <w:pPr>
              <w:pStyle w:val="ListParagraph"/>
              <w:widowControl/>
              <w:spacing w:before="40" w:after="40"/>
              <w:ind w:left="0"/>
              <w:contextualSpacing w:val="0"/>
              <w:rPr>
                <w:rFonts w:ascii="Arial Narrow" w:eastAsiaTheme="minorHAnsi" w:hAnsi="Arial Narrow" w:cstheme="minorBidi"/>
                <w:b/>
                <w:snapToGrid/>
                <w:sz w:val="20"/>
              </w:rPr>
            </w:pPr>
            <w:r w:rsidRPr="005C2DD9">
              <w:rPr>
                <w:rFonts w:ascii="Arial Narrow" w:eastAsiaTheme="minorHAnsi" w:hAnsi="Arial Narrow" w:cstheme="minorBidi"/>
                <w:b/>
                <w:snapToGrid/>
                <w:sz w:val="20"/>
              </w:rPr>
              <w:t>Effective DPMQ</w:t>
            </w:r>
          </w:p>
        </w:tc>
        <w:tc>
          <w:tcPr>
            <w:tcW w:w="972" w:type="pct"/>
          </w:tcPr>
          <w:p w:rsidR="00945946" w:rsidRPr="005C2DD9" w:rsidRDefault="00945946" w:rsidP="00B8162E">
            <w:pPr>
              <w:pStyle w:val="ListParagraph"/>
              <w:widowControl/>
              <w:spacing w:before="40" w:after="40"/>
              <w:ind w:left="0"/>
              <w:contextualSpacing w:val="0"/>
              <w:rPr>
                <w:rFonts w:ascii="Arial Narrow" w:eastAsiaTheme="minorHAnsi" w:hAnsi="Arial Narrow" w:cstheme="minorBidi"/>
                <w:b/>
                <w:snapToGrid/>
                <w:sz w:val="20"/>
              </w:rPr>
            </w:pPr>
            <w:r w:rsidRPr="005C2DD9">
              <w:rPr>
                <w:rFonts w:ascii="Arial Narrow" w:eastAsiaTheme="minorHAnsi" w:hAnsi="Arial Narrow" w:cstheme="minorBidi"/>
                <w:b/>
                <w:snapToGrid/>
                <w:sz w:val="20"/>
              </w:rPr>
              <w:t xml:space="preserve">% Rebate </w:t>
            </w:r>
          </w:p>
        </w:tc>
      </w:tr>
      <w:tr w:rsidR="00945946" w:rsidRPr="00663D98" w:rsidTr="005C2DD9">
        <w:tc>
          <w:tcPr>
            <w:tcW w:w="5000" w:type="pct"/>
            <w:gridSpan w:val="6"/>
          </w:tcPr>
          <w:p w:rsidR="00945946" w:rsidRPr="00663D98" w:rsidRDefault="00945946" w:rsidP="00DE6D99">
            <w:pPr>
              <w:pStyle w:val="ListParagraph"/>
              <w:widowControl/>
              <w:spacing w:before="40" w:after="40"/>
              <w:ind w:left="0"/>
              <w:contextualSpacing w:val="0"/>
              <w:rPr>
                <w:rFonts w:ascii="Arial Narrow" w:eastAsiaTheme="minorHAnsi" w:hAnsi="Arial Narrow" w:cstheme="minorBidi"/>
                <w:b/>
                <w:snapToGrid/>
                <w:sz w:val="20"/>
              </w:rPr>
            </w:pPr>
            <w:r w:rsidRPr="00663D98">
              <w:rPr>
                <w:rFonts w:ascii="Arial Narrow" w:eastAsiaTheme="minorHAnsi" w:hAnsi="Arial Narrow" w:cstheme="minorBidi"/>
                <w:b/>
                <w:snapToGrid/>
                <w:sz w:val="20"/>
              </w:rPr>
              <w:t xml:space="preserve">March 2018  Submission </w:t>
            </w:r>
          </w:p>
        </w:tc>
      </w:tr>
      <w:tr w:rsidR="00945946" w:rsidRPr="00663D98" w:rsidTr="005C2DD9">
        <w:trPr>
          <w:trHeight w:val="454"/>
        </w:trPr>
        <w:tc>
          <w:tcPr>
            <w:tcW w:w="1452" w:type="pct"/>
            <w:vAlign w:val="center"/>
          </w:tcPr>
          <w:p w:rsidR="00945946" w:rsidRPr="00663D98" w:rsidRDefault="00945946" w:rsidP="00DE6D99">
            <w:pPr>
              <w:keepNext/>
              <w:spacing w:before="40" w:after="40"/>
              <w:rPr>
                <w:rFonts w:ascii="Arial Narrow" w:hAnsi="Arial Narrow" w:cs="Arial"/>
                <w:sz w:val="20"/>
                <w:szCs w:val="20"/>
              </w:rPr>
            </w:pPr>
            <w:r w:rsidRPr="00663D98">
              <w:rPr>
                <w:rFonts w:ascii="Arial Narrow" w:hAnsi="Arial Narrow" w:cs="Arial"/>
                <w:sz w:val="20"/>
                <w:szCs w:val="20"/>
              </w:rPr>
              <w:t>Trifluridine 15 mg + tipiracil 6.14 mg tablet, 20 (Max Qty 3)</w:t>
            </w:r>
          </w:p>
        </w:tc>
        <w:tc>
          <w:tcPr>
            <w:tcW w:w="653" w:type="pct"/>
          </w:tcPr>
          <w:p w:rsidR="00945946" w:rsidRPr="00663D98" w:rsidRDefault="00945946" w:rsidP="00DE6D99">
            <w:pPr>
              <w:keepNext/>
              <w:spacing w:before="40" w:after="40" w:line="264" w:lineRule="auto"/>
              <w:rPr>
                <w:rFonts w:ascii="Arial Narrow" w:hAnsi="Arial Narrow" w:cs="Arial Narrow"/>
                <w:sz w:val="20"/>
                <w:szCs w:val="20"/>
                <w:lang w:eastAsia="en-US" w:bidi="en-US"/>
              </w:rPr>
            </w:pPr>
            <w:r w:rsidRPr="00663D98">
              <w:rPr>
                <w:rFonts w:ascii="Arial Narrow" w:hAnsi="Arial Narrow" w:cs="Arial Narrow"/>
                <w:sz w:val="20"/>
                <w:szCs w:val="20"/>
                <w:lang w:eastAsia="en-US" w:bidi="en-US"/>
              </w:rPr>
              <w:t>$</w:t>
            </w:r>
            <w:r w:rsidR="00C34BCC">
              <w:rPr>
                <w:rFonts w:ascii="Arial Narrow" w:hAnsi="Arial Narrow" w:cs="Arial Narrow"/>
                <w:noProof/>
                <w:color w:val="000000"/>
                <w:sz w:val="20"/>
                <w:szCs w:val="20"/>
                <w:highlight w:val="black"/>
                <w:lang w:eastAsia="en-US" w:bidi="en-US"/>
              </w:rPr>
              <w:t>''''''''''''''''</w:t>
            </w:r>
          </w:p>
          <w:p w:rsidR="00945946" w:rsidRPr="00663D98" w:rsidRDefault="00945946" w:rsidP="00DE6D99">
            <w:pPr>
              <w:pStyle w:val="ListParagraph"/>
              <w:widowControl/>
              <w:spacing w:before="40" w:after="40"/>
              <w:ind w:left="0"/>
              <w:contextualSpacing w:val="0"/>
              <w:jc w:val="left"/>
              <w:rPr>
                <w:rFonts w:ascii="Arial Narrow" w:eastAsiaTheme="minorHAnsi" w:hAnsi="Arial Narrow" w:cstheme="minorBidi"/>
                <w:snapToGrid/>
                <w:sz w:val="20"/>
              </w:rPr>
            </w:pPr>
          </w:p>
        </w:tc>
        <w:tc>
          <w:tcPr>
            <w:tcW w:w="628" w:type="pct"/>
          </w:tcPr>
          <w:p w:rsidR="00945946" w:rsidRPr="00663D98" w:rsidRDefault="00945946" w:rsidP="00DE6D99">
            <w:pPr>
              <w:pStyle w:val="ListParagraph"/>
              <w:widowControl/>
              <w:spacing w:before="40" w:after="40"/>
              <w:ind w:left="0"/>
              <w:contextualSpacing w:val="0"/>
              <w:jc w:val="left"/>
              <w:rPr>
                <w:rFonts w:ascii="Arial Narrow" w:eastAsiaTheme="minorHAnsi" w:hAnsi="Arial Narrow" w:cstheme="minorBidi"/>
                <w:snapToGrid/>
                <w:sz w:val="20"/>
              </w:rPr>
            </w:pPr>
            <w:r w:rsidRPr="00663D98">
              <w:rPr>
                <w:rFonts w:ascii="Arial Narrow" w:eastAsiaTheme="minorHAnsi" w:hAnsi="Arial Narrow" w:cstheme="minorBidi"/>
                <w:snapToGrid/>
                <w:sz w:val="20"/>
              </w:rPr>
              <w:t>$</w:t>
            </w:r>
            <w:r w:rsidR="00C34BCC">
              <w:rPr>
                <w:rFonts w:ascii="Arial Narrow" w:eastAsiaTheme="minorHAnsi" w:hAnsi="Arial Narrow" w:cstheme="minorBidi"/>
                <w:noProof/>
                <w:snapToGrid/>
                <w:color w:val="000000"/>
                <w:sz w:val="20"/>
                <w:highlight w:val="black"/>
              </w:rPr>
              <w:t>''''''''''''''''</w:t>
            </w:r>
          </w:p>
        </w:tc>
        <w:tc>
          <w:tcPr>
            <w:tcW w:w="660" w:type="pct"/>
          </w:tcPr>
          <w:p w:rsidR="00945946" w:rsidRPr="00663D98" w:rsidRDefault="00945946" w:rsidP="00DE6D99">
            <w:pPr>
              <w:pStyle w:val="ListParagraph"/>
              <w:widowControl/>
              <w:spacing w:before="40" w:after="40"/>
              <w:ind w:left="0"/>
              <w:contextualSpacing w:val="0"/>
              <w:jc w:val="left"/>
              <w:rPr>
                <w:rFonts w:ascii="Arial Narrow" w:eastAsiaTheme="minorHAnsi" w:hAnsi="Arial Narrow" w:cstheme="minorBidi"/>
                <w:snapToGrid/>
                <w:sz w:val="20"/>
              </w:rPr>
            </w:pPr>
            <w:r w:rsidRPr="00663D98">
              <w:rPr>
                <w:rFonts w:ascii="Arial Narrow" w:eastAsiaTheme="minorHAnsi" w:hAnsi="Arial Narrow" w:cstheme="minorBidi"/>
                <w:snapToGrid/>
                <w:sz w:val="20"/>
              </w:rPr>
              <w:t>$</w:t>
            </w:r>
            <w:r w:rsidR="00C34BCC">
              <w:rPr>
                <w:rFonts w:ascii="Arial Narrow" w:eastAsiaTheme="minorHAnsi" w:hAnsi="Arial Narrow" w:cstheme="minorBidi"/>
                <w:noProof/>
                <w:snapToGrid/>
                <w:color w:val="000000"/>
                <w:sz w:val="20"/>
                <w:highlight w:val="black"/>
              </w:rPr>
              <w:t>''''''''''''''''''''''</w:t>
            </w:r>
          </w:p>
        </w:tc>
        <w:tc>
          <w:tcPr>
            <w:tcW w:w="636" w:type="pct"/>
          </w:tcPr>
          <w:p w:rsidR="00945946" w:rsidRPr="00C34BCC" w:rsidRDefault="00945946" w:rsidP="00DE6D99">
            <w:pPr>
              <w:keepNext/>
              <w:spacing w:before="40" w:after="40" w:line="264" w:lineRule="auto"/>
              <w:rPr>
                <w:rFonts w:ascii="Arial Narrow" w:hAnsi="Arial Narrow" w:cs="Arial Narrow"/>
                <w:sz w:val="20"/>
                <w:szCs w:val="20"/>
                <w:lang w:eastAsia="en-US" w:bidi="en-US"/>
              </w:rPr>
            </w:pPr>
            <w:r w:rsidRPr="00663D98">
              <w:rPr>
                <w:rFonts w:ascii="Arial Narrow" w:hAnsi="Arial Narrow" w:cs="Arial Narrow"/>
                <w:sz w:val="20"/>
                <w:szCs w:val="20"/>
                <w:lang w:eastAsia="en-US" w:bidi="en-US"/>
              </w:rPr>
              <w:t>$</w:t>
            </w:r>
            <w:r w:rsidR="00C34BCC">
              <w:rPr>
                <w:rFonts w:ascii="Arial Narrow" w:hAnsi="Arial Narrow" w:cs="Arial Narrow"/>
                <w:noProof/>
                <w:color w:val="000000"/>
                <w:sz w:val="20"/>
                <w:szCs w:val="20"/>
                <w:highlight w:val="black"/>
                <w:lang w:eastAsia="en-US" w:bidi="en-US"/>
              </w:rPr>
              <w:t>''''''''''''''''''''</w:t>
            </w:r>
          </w:p>
          <w:p w:rsidR="00945946" w:rsidRPr="00663D98" w:rsidRDefault="00945946" w:rsidP="00DE6D99">
            <w:pPr>
              <w:pStyle w:val="ListParagraph"/>
              <w:widowControl/>
              <w:spacing w:before="40" w:after="40"/>
              <w:ind w:left="0"/>
              <w:contextualSpacing w:val="0"/>
              <w:jc w:val="left"/>
              <w:rPr>
                <w:rFonts w:ascii="Arial Narrow" w:eastAsiaTheme="minorHAnsi" w:hAnsi="Arial Narrow" w:cstheme="minorBidi"/>
                <w:snapToGrid/>
                <w:sz w:val="20"/>
              </w:rPr>
            </w:pPr>
          </w:p>
        </w:tc>
        <w:tc>
          <w:tcPr>
            <w:tcW w:w="972" w:type="pct"/>
            <w:vMerge w:val="restart"/>
            <w:vAlign w:val="center"/>
          </w:tcPr>
          <w:p w:rsidR="00945946" w:rsidRPr="00663D98" w:rsidRDefault="00C34BCC" w:rsidP="00DE6D99">
            <w:pPr>
              <w:keepNext/>
              <w:spacing w:before="40" w:after="40" w:line="264" w:lineRule="auto"/>
              <w:rPr>
                <w:rFonts w:ascii="Arial Narrow" w:eastAsiaTheme="minorHAnsi" w:hAnsi="Arial Narrow" w:cstheme="minorBidi"/>
                <w:sz w:val="20"/>
                <w:szCs w:val="20"/>
              </w:rPr>
            </w:pPr>
            <w:r>
              <w:rPr>
                <w:rFonts w:ascii="Arial Narrow" w:eastAsiaTheme="minorHAnsi" w:hAnsi="Arial Narrow" w:cstheme="minorBidi"/>
                <w:noProof/>
                <w:color w:val="000000"/>
                <w:sz w:val="20"/>
                <w:szCs w:val="20"/>
                <w:highlight w:val="black"/>
              </w:rPr>
              <w:t>'''''''''''</w:t>
            </w:r>
            <w:r w:rsidR="00945946" w:rsidRPr="00663D98">
              <w:rPr>
                <w:rFonts w:ascii="Arial Narrow" w:eastAsiaTheme="minorHAnsi" w:hAnsi="Arial Narrow" w:cstheme="minorBidi"/>
                <w:sz w:val="20"/>
                <w:szCs w:val="20"/>
              </w:rPr>
              <w:t xml:space="preserve">% </w:t>
            </w:r>
            <w:r w:rsidR="00B8162E" w:rsidRPr="00663D98">
              <w:rPr>
                <w:rFonts w:ascii="Arial Narrow" w:eastAsiaTheme="minorHAnsi" w:hAnsi="Arial Narrow" w:cstheme="minorBidi"/>
                <w:sz w:val="20"/>
                <w:szCs w:val="20"/>
              </w:rPr>
              <w:t>(Rebate on published DPMQ)</w:t>
            </w:r>
          </w:p>
        </w:tc>
      </w:tr>
      <w:tr w:rsidR="00945946" w:rsidRPr="00663D98" w:rsidTr="005C2DD9">
        <w:tc>
          <w:tcPr>
            <w:tcW w:w="1452" w:type="pct"/>
            <w:vAlign w:val="center"/>
          </w:tcPr>
          <w:p w:rsidR="00945946" w:rsidRPr="00663D98" w:rsidRDefault="00945946" w:rsidP="00DE6D99">
            <w:pPr>
              <w:pStyle w:val="ListParagraph"/>
              <w:widowControl/>
              <w:spacing w:before="40" w:after="40"/>
              <w:ind w:left="0"/>
              <w:contextualSpacing w:val="0"/>
              <w:jc w:val="left"/>
              <w:rPr>
                <w:rFonts w:ascii="Arial Narrow" w:eastAsiaTheme="minorHAnsi" w:hAnsi="Arial Narrow" w:cstheme="minorBidi"/>
                <w:snapToGrid/>
                <w:sz w:val="20"/>
              </w:rPr>
            </w:pPr>
            <w:r w:rsidRPr="00663D98">
              <w:rPr>
                <w:rFonts w:ascii="Arial Narrow" w:hAnsi="Arial Narrow"/>
                <w:sz w:val="20"/>
              </w:rPr>
              <w:t>Trifluridine 20 mg + tipiracil 8.19 mg tablet, 20 (Max Qty 4)</w:t>
            </w:r>
          </w:p>
        </w:tc>
        <w:tc>
          <w:tcPr>
            <w:tcW w:w="653" w:type="pct"/>
          </w:tcPr>
          <w:p w:rsidR="00945946" w:rsidRPr="00663D98" w:rsidRDefault="00945946" w:rsidP="00DE6D99">
            <w:pPr>
              <w:pStyle w:val="ListParagraph"/>
              <w:widowControl/>
              <w:spacing w:before="40" w:after="40"/>
              <w:ind w:left="0"/>
              <w:contextualSpacing w:val="0"/>
              <w:jc w:val="left"/>
              <w:rPr>
                <w:rFonts w:ascii="Arial Narrow" w:eastAsiaTheme="minorHAnsi" w:hAnsi="Arial Narrow" w:cstheme="minorBidi"/>
                <w:snapToGrid/>
                <w:sz w:val="20"/>
              </w:rPr>
            </w:pPr>
            <w:r w:rsidRPr="00663D98">
              <w:rPr>
                <w:rFonts w:ascii="Arial Narrow" w:hAnsi="Arial Narrow"/>
                <w:snapToGrid/>
                <w:sz w:val="20"/>
                <w:lang w:bidi="en-US"/>
              </w:rPr>
              <w:t>$</w:t>
            </w:r>
            <w:r w:rsidR="00C34BCC">
              <w:rPr>
                <w:rFonts w:ascii="Arial Narrow" w:hAnsi="Arial Narrow"/>
                <w:noProof/>
                <w:snapToGrid/>
                <w:color w:val="000000"/>
                <w:sz w:val="20"/>
                <w:highlight w:val="black"/>
                <w:lang w:bidi="en-US"/>
              </w:rPr>
              <w:t>'''''''''''''''''</w:t>
            </w:r>
          </w:p>
        </w:tc>
        <w:tc>
          <w:tcPr>
            <w:tcW w:w="628" w:type="pct"/>
          </w:tcPr>
          <w:p w:rsidR="00945946" w:rsidRPr="00663D98" w:rsidRDefault="00945946" w:rsidP="00DE6D99">
            <w:pPr>
              <w:pStyle w:val="ListParagraph"/>
              <w:widowControl/>
              <w:spacing w:before="40" w:after="40"/>
              <w:ind w:left="0"/>
              <w:contextualSpacing w:val="0"/>
              <w:jc w:val="left"/>
              <w:rPr>
                <w:rFonts w:ascii="Arial Narrow" w:eastAsiaTheme="minorHAnsi" w:hAnsi="Arial Narrow" w:cstheme="minorBidi"/>
                <w:snapToGrid/>
                <w:sz w:val="20"/>
              </w:rPr>
            </w:pPr>
            <w:r w:rsidRPr="00663D98">
              <w:rPr>
                <w:rFonts w:ascii="Arial Narrow" w:eastAsiaTheme="minorHAnsi" w:hAnsi="Arial Narrow" w:cstheme="minorBidi"/>
                <w:snapToGrid/>
                <w:sz w:val="20"/>
              </w:rPr>
              <w:t>$</w:t>
            </w:r>
            <w:r w:rsidR="00C34BCC">
              <w:rPr>
                <w:rFonts w:ascii="Arial Narrow" w:eastAsiaTheme="minorHAnsi" w:hAnsi="Arial Narrow" w:cstheme="minorBidi"/>
                <w:noProof/>
                <w:snapToGrid/>
                <w:color w:val="000000"/>
                <w:sz w:val="20"/>
                <w:highlight w:val="black"/>
              </w:rPr>
              <w:t>'''''''''''''''''</w:t>
            </w:r>
          </w:p>
        </w:tc>
        <w:tc>
          <w:tcPr>
            <w:tcW w:w="660" w:type="pct"/>
          </w:tcPr>
          <w:p w:rsidR="00945946" w:rsidRPr="00663D98" w:rsidRDefault="00945946" w:rsidP="00945946">
            <w:pPr>
              <w:pStyle w:val="ListParagraph"/>
              <w:widowControl/>
              <w:spacing w:before="40" w:after="40"/>
              <w:ind w:left="0"/>
              <w:contextualSpacing w:val="0"/>
              <w:jc w:val="left"/>
              <w:rPr>
                <w:rFonts w:ascii="Arial Narrow" w:eastAsiaTheme="minorHAnsi" w:hAnsi="Arial Narrow" w:cstheme="minorBidi"/>
                <w:snapToGrid/>
                <w:sz w:val="20"/>
              </w:rPr>
            </w:pPr>
            <w:r w:rsidRPr="00663D98">
              <w:rPr>
                <w:rFonts w:ascii="Arial Narrow" w:eastAsiaTheme="minorHAnsi" w:hAnsi="Arial Narrow" w:cstheme="minorBidi"/>
                <w:snapToGrid/>
                <w:sz w:val="20"/>
              </w:rPr>
              <w:t>$</w:t>
            </w:r>
            <w:r w:rsidR="00C34BCC">
              <w:rPr>
                <w:rFonts w:ascii="Arial Narrow" w:eastAsiaTheme="minorHAnsi" w:hAnsi="Arial Narrow" w:cstheme="minorBidi"/>
                <w:noProof/>
                <w:snapToGrid/>
                <w:color w:val="000000"/>
                <w:sz w:val="20"/>
                <w:highlight w:val="black"/>
              </w:rPr>
              <w:t>''''''''''''''''''''''</w:t>
            </w:r>
          </w:p>
        </w:tc>
        <w:tc>
          <w:tcPr>
            <w:tcW w:w="636" w:type="pct"/>
          </w:tcPr>
          <w:p w:rsidR="00945946" w:rsidRPr="00663D98" w:rsidRDefault="00945946" w:rsidP="00945946">
            <w:pPr>
              <w:pStyle w:val="ListParagraph"/>
              <w:widowControl/>
              <w:spacing w:before="40" w:after="40"/>
              <w:ind w:left="0"/>
              <w:contextualSpacing w:val="0"/>
              <w:jc w:val="left"/>
              <w:rPr>
                <w:rFonts w:ascii="Arial Narrow" w:eastAsiaTheme="minorHAnsi" w:hAnsi="Arial Narrow" w:cstheme="minorBidi"/>
                <w:snapToGrid/>
                <w:sz w:val="20"/>
              </w:rPr>
            </w:pPr>
            <w:r w:rsidRPr="00663D98">
              <w:rPr>
                <w:rFonts w:ascii="Arial Narrow" w:hAnsi="Arial Narrow"/>
                <w:snapToGrid/>
                <w:sz w:val="20"/>
                <w:lang w:bidi="en-US"/>
              </w:rPr>
              <w:t>$</w:t>
            </w:r>
            <w:r w:rsidR="00C34BCC">
              <w:rPr>
                <w:rFonts w:ascii="Arial Narrow" w:hAnsi="Arial Narrow"/>
                <w:noProof/>
                <w:snapToGrid/>
                <w:color w:val="000000"/>
                <w:sz w:val="20"/>
                <w:highlight w:val="black"/>
                <w:lang w:bidi="en-US"/>
              </w:rPr>
              <w:t>'''''''''''''''''''</w:t>
            </w:r>
          </w:p>
        </w:tc>
        <w:tc>
          <w:tcPr>
            <w:tcW w:w="972" w:type="pct"/>
            <w:vMerge/>
          </w:tcPr>
          <w:p w:rsidR="00945946" w:rsidRPr="00663D98" w:rsidRDefault="00945946" w:rsidP="00DE6D99">
            <w:pPr>
              <w:pStyle w:val="ListParagraph"/>
              <w:widowControl/>
              <w:spacing w:before="40" w:after="40"/>
              <w:ind w:left="0"/>
              <w:contextualSpacing w:val="0"/>
              <w:jc w:val="left"/>
              <w:rPr>
                <w:rFonts w:ascii="Arial Narrow" w:eastAsiaTheme="minorHAnsi" w:hAnsi="Arial Narrow" w:cstheme="minorBidi"/>
                <w:snapToGrid/>
                <w:sz w:val="20"/>
              </w:rPr>
            </w:pPr>
          </w:p>
        </w:tc>
      </w:tr>
      <w:tr w:rsidR="00945946" w:rsidRPr="00663D98" w:rsidTr="005C2DD9">
        <w:tc>
          <w:tcPr>
            <w:tcW w:w="5000" w:type="pct"/>
            <w:gridSpan w:val="6"/>
          </w:tcPr>
          <w:p w:rsidR="00945946" w:rsidRPr="00663D98" w:rsidRDefault="00945946" w:rsidP="00DE6D99">
            <w:pPr>
              <w:pStyle w:val="ListParagraph"/>
              <w:widowControl/>
              <w:spacing w:before="40" w:after="40"/>
              <w:ind w:left="0"/>
              <w:contextualSpacing w:val="0"/>
              <w:rPr>
                <w:rFonts w:ascii="Arial Narrow" w:eastAsiaTheme="minorHAnsi" w:hAnsi="Arial Narrow" w:cstheme="minorBidi"/>
                <w:b/>
                <w:snapToGrid/>
                <w:sz w:val="20"/>
              </w:rPr>
            </w:pPr>
            <w:r w:rsidRPr="00663D98">
              <w:rPr>
                <w:rFonts w:ascii="Arial Narrow" w:eastAsiaTheme="minorHAnsi" w:hAnsi="Arial Narrow" w:cstheme="minorBidi"/>
                <w:b/>
                <w:snapToGrid/>
                <w:sz w:val="20"/>
              </w:rPr>
              <w:t>July 2018 Submission</w:t>
            </w:r>
          </w:p>
        </w:tc>
      </w:tr>
      <w:tr w:rsidR="00945946" w:rsidRPr="00663D98" w:rsidTr="005C2DD9">
        <w:tc>
          <w:tcPr>
            <w:tcW w:w="1452" w:type="pct"/>
          </w:tcPr>
          <w:p w:rsidR="00945946" w:rsidRPr="00663D98" w:rsidRDefault="00945946" w:rsidP="00DE6D99">
            <w:pPr>
              <w:pStyle w:val="ListParagraph"/>
              <w:widowControl/>
              <w:spacing w:before="40" w:after="40"/>
              <w:ind w:left="0"/>
              <w:contextualSpacing w:val="0"/>
              <w:rPr>
                <w:rFonts w:ascii="Arial Narrow" w:eastAsiaTheme="minorHAnsi" w:hAnsi="Arial Narrow" w:cstheme="minorBidi"/>
                <w:snapToGrid/>
                <w:sz w:val="20"/>
              </w:rPr>
            </w:pPr>
            <w:r w:rsidRPr="00663D98">
              <w:rPr>
                <w:rFonts w:ascii="Arial Narrow" w:hAnsi="Arial Narrow"/>
                <w:sz w:val="20"/>
              </w:rPr>
              <w:t>Trifluridine 15 mg + tipiracil 6.14 mg tablet, 20 (Max Qty 3)</w:t>
            </w:r>
          </w:p>
        </w:tc>
        <w:tc>
          <w:tcPr>
            <w:tcW w:w="653" w:type="pct"/>
          </w:tcPr>
          <w:p w:rsidR="00945946" w:rsidRPr="00663D98" w:rsidRDefault="00945946" w:rsidP="00DE6D99">
            <w:pPr>
              <w:pStyle w:val="ListParagraph"/>
              <w:widowControl/>
              <w:spacing w:before="40" w:after="40"/>
              <w:ind w:left="0"/>
              <w:contextualSpacing w:val="0"/>
              <w:rPr>
                <w:rFonts w:ascii="Arial Narrow" w:eastAsiaTheme="minorHAnsi" w:hAnsi="Arial Narrow" w:cstheme="minorBidi"/>
                <w:snapToGrid/>
                <w:sz w:val="20"/>
              </w:rPr>
            </w:pPr>
            <w:r w:rsidRPr="00663D98">
              <w:rPr>
                <w:rFonts w:ascii="Arial Narrow" w:eastAsiaTheme="minorHAnsi" w:hAnsi="Arial Narrow" w:cstheme="minorBidi"/>
                <w:snapToGrid/>
                <w:sz w:val="20"/>
              </w:rPr>
              <w:t>$</w:t>
            </w:r>
            <w:r w:rsidR="00C34BCC">
              <w:rPr>
                <w:rFonts w:ascii="Arial Narrow" w:eastAsiaTheme="minorHAnsi" w:hAnsi="Arial Narrow" w:cstheme="minorBidi"/>
                <w:noProof/>
                <w:snapToGrid/>
                <w:color w:val="000000"/>
                <w:sz w:val="20"/>
                <w:highlight w:val="black"/>
              </w:rPr>
              <w:t>''''''''''''''''''</w:t>
            </w:r>
          </w:p>
        </w:tc>
        <w:tc>
          <w:tcPr>
            <w:tcW w:w="628" w:type="pct"/>
          </w:tcPr>
          <w:p w:rsidR="00945946" w:rsidRPr="00663D98" w:rsidRDefault="00945946" w:rsidP="00CE5863">
            <w:pPr>
              <w:pStyle w:val="ListParagraph"/>
              <w:widowControl/>
              <w:spacing w:before="40" w:after="40"/>
              <w:ind w:left="0"/>
              <w:contextualSpacing w:val="0"/>
              <w:rPr>
                <w:rFonts w:ascii="Arial Narrow" w:eastAsiaTheme="minorHAnsi" w:hAnsi="Arial Narrow" w:cstheme="minorBidi"/>
                <w:snapToGrid/>
                <w:sz w:val="20"/>
              </w:rPr>
            </w:pPr>
            <w:r w:rsidRPr="00663D98">
              <w:rPr>
                <w:rFonts w:ascii="Arial Narrow" w:eastAsiaTheme="minorHAnsi" w:hAnsi="Arial Narrow" w:cstheme="minorBidi"/>
                <w:snapToGrid/>
                <w:sz w:val="20"/>
              </w:rPr>
              <w:t>$</w:t>
            </w:r>
            <w:r w:rsidR="00C34BCC">
              <w:rPr>
                <w:rFonts w:ascii="Arial Narrow" w:eastAsiaTheme="minorHAnsi" w:hAnsi="Arial Narrow" w:cstheme="minorBidi"/>
                <w:noProof/>
                <w:snapToGrid/>
                <w:color w:val="000000"/>
                <w:sz w:val="20"/>
                <w:highlight w:val="black"/>
              </w:rPr>
              <w:t>'''''''''''''''</w:t>
            </w:r>
          </w:p>
        </w:tc>
        <w:tc>
          <w:tcPr>
            <w:tcW w:w="660" w:type="pct"/>
          </w:tcPr>
          <w:p w:rsidR="00945946" w:rsidRPr="00663D98" w:rsidRDefault="00CE5863" w:rsidP="00DE6D99">
            <w:pPr>
              <w:pStyle w:val="ListParagraph"/>
              <w:widowControl/>
              <w:spacing w:before="40" w:after="40"/>
              <w:ind w:left="0"/>
              <w:contextualSpacing w:val="0"/>
              <w:rPr>
                <w:rFonts w:ascii="Arial Narrow" w:eastAsiaTheme="minorHAnsi" w:hAnsi="Arial Narrow" w:cstheme="minorBidi"/>
                <w:snapToGrid/>
                <w:sz w:val="20"/>
              </w:rPr>
            </w:pPr>
            <w:r w:rsidRPr="00663D98">
              <w:rPr>
                <w:rFonts w:ascii="Arial Narrow" w:eastAsiaTheme="minorHAnsi" w:hAnsi="Arial Narrow" w:cstheme="minorBidi"/>
                <w:snapToGrid/>
                <w:sz w:val="20"/>
              </w:rPr>
              <w:t>$</w:t>
            </w:r>
            <w:r w:rsidR="00C34BCC">
              <w:rPr>
                <w:rFonts w:ascii="Arial Narrow" w:eastAsiaTheme="minorHAnsi" w:hAnsi="Arial Narrow" w:cstheme="minorBidi"/>
                <w:noProof/>
                <w:snapToGrid/>
                <w:color w:val="000000"/>
                <w:sz w:val="20"/>
                <w:highlight w:val="black"/>
              </w:rPr>
              <w:t>'''''''''''''''''''''</w:t>
            </w:r>
          </w:p>
        </w:tc>
        <w:tc>
          <w:tcPr>
            <w:tcW w:w="636" w:type="pct"/>
          </w:tcPr>
          <w:p w:rsidR="00945946" w:rsidRPr="00663D98" w:rsidRDefault="00945946" w:rsidP="00CE5863">
            <w:pPr>
              <w:pStyle w:val="ListParagraph"/>
              <w:widowControl/>
              <w:spacing w:before="40" w:after="40"/>
              <w:ind w:left="0"/>
              <w:contextualSpacing w:val="0"/>
              <w:rPr>
                <w:rFonts w:ascii="Arial Narrow" w:eastAsiaTheme="minorHAnsi" w:hAnsi="Arial Narrow" w:cstheme="minorBidi"/>
                <w:snapToGrid/>
                <w:sz w:val="20"/>
              </w:rPr>
            </w:pPr>
            <w:r w:rsidRPr="00663D98">
              <w:rPr>
                <w:rFonts w:ascii="Arial Narrow" w:eastAsiaTheme="minorHAnsi" w:hAnsi="Arial Narrow" w:cstheme="minorBidi"/>
                <w:snapToGrid/>
                <w:sz w:val="20"/>
              </w:rPr>
              <w:t>$</w:t>
            </w:r>
            <w:r w:rsidR="00C34BCC">
              <w:rPr>
                <w:rFonts w:ascii="Arial Narrow" w:eastAsiaTheme="minorHAnsi" w:hAnsi="Arial Narrow" w:cstheme="minorBidi"/>
                <w:noProof/>
                <w:snapToGrid/>
                <w:color w:val="000000"/>
                <w:sz w:val="20"/>
                <w:highlight w:val="black"/>
              </w:rPr>
              <w:t>'''''''''''''''''''</w:t>
            </w:r>
            <w:r w:rsidR="005B6435" w:rsidRPr="00663D98">
              <w:rPr>
                <w:rFonts w:ascii="Arial Narrow" w:eastAsiaTheme="minorHAnsi" w:hAnsi="Arial Narrow" w:cstheme="minorBidi"/>
                <w:snapToGrid/>
                <w:sz w:val="20"/>
              </w:rPr>
              <w:t>*</w:t>
            </w:r>
          </w:p>
        </w:tc>
        <w:tc>
          <w:tcPr>
            <w:tcW w:w="972" w:type="pct"/>
            <w:vMerge w:val="restart"/>
            <w:vAlign w:val="center"/>
          </w:tcPr>
          <w:p w:rsidR="00945946" w:rsidRPr="00663D98" w:rsidRDefault="00C34BCC" w:rsidP="00DE6D99">
            <w:pPr>
              <w:pStyle w:val="ListParagraph"/>
              <w:widowControl/>
              <w:spacing w:before="40" w:after="40"/>
              <w:ind w:left="0"/>
              <w:contextualSpacing w:val="0"/>
              <w:jc w:val="left"/>
              <w:rPr>
                <w:rFonts w:ascii="Arial Narrow" w:eastAsiaTheme="minorHAnsi" w:hAnsi="Arial Narrow" w:cstheme="minorBidi"/>
                <w:snapToGrid/>
                <w:sz w:val="20"/>
              </w:rPr>
            </w:pPr>
            <w:r>
              <w:rPr>
                <w:rFonts w:ascii="Arial Narrow" w:eastAsiaTheme="minorHAnsi" w:hAnsi="Arial Narrow" w:cstheme="minorBidi"/>
                <w:noProof/>
                <w:snapToGrid/>
                <w:color w:val="000000"/>
                <w:sz w:val="20"/>
                <w:highlight w:val="black"/>
              </w:rPr>
              <w:t>''''''</w:t>
            </w:r>
            <w:r w:rsidR="00CE5863" w:rsidRPr="00663D98">
              <w:rPr>
                <w:rFonts w:ascii="Arial Narrow" w:eastAsiaTheme="minorHAnsi" w:hAnsi="Arial Narrow" w:cstheme="minorBidi"/>
                <w:snapToGrid/>
                <w:sz w:val="20"/>
              </w:rPr>
              <w:t>%</w:t>
            </w:r>
            <w:r w:rsidR="00945946" w:rsidRPr="00663D98">
              <w:rPr>
                <w:rFonts w:ascii="Arial Narrow" w:eastAsiaTheme="minorHAnsi" w:hAnsi="Arial Narrow" w:cstheme="minorBidi"/>
                <w:snapToGrid/>
                <w:sz w:val="20"/>
              </w:rPr>
              <w:t xml:space="preserve"> </w:t>
            </w:r>
            <w:r w:rsidR="00570587" w:rsidRPr="00663D98">
              <w:rPr>
                <w:rFonts w:ascii="Arial Narrow" w:eastAsiaTheme="minorHAnsi" w:hAnsi="Arial Narrow" w:cstheme="minorBidi"/>
                <w:snapToGrid/>
                <w:sz w:val="20"/>
              </w:rPr>
              <w:t xml:space="preserve"> (Rebate on Commonwealth PBS expenditure) </w:t>
            </w:r>
          </w:p>
        </w:tc>
      </w:tr>
      <w:tr w:rsidR="00945946" w:rsidRPr="00663D98" w:rsidTr="005C2DD9">
        <w:tc>
          <w:tcPr>
            <w:tcW w:w="1452" w:type="pct"/>
          </w:tcPr>
          <w:p w:rsidR="00945946" w:rsidRPr="00663D98" w:rsidRDefault="00945946" w:rsidP="00DE6D99">
            <w:pPr>
              <w:pStyle w:val="ListParagraph"/>
              <w:widowControl/>
              <w:spacing w:before="40" w:after="40"/>
              <w:ind w:left="0"/>
              <w:contextualSpacing w:val="0"/>
              <w:rPr>
                <w:rFonts w:ascii="Arial Narrow" w:eastAsiaTheme="minorHAnsi" w:hAnsi="Arial Narrow" w:cstheme="minorBidi"/>
                <w:snapToGrid/>
                <w:sz w:val="20"/>
              </w:rPr>
            </w:pPr>
            <w:r w:rsidRPr="00663D98">
              <w:rPr>
                <w:rFonts w:ascii="Arial Narrow" w:hAnsi="Arial Narrow"/>
                <w:sz w:val="20"/>
              </w:rPr>
              <w:t>Trifluridine 20 mg + tipiracil 8.19 mg tablet, 20 (Max Qty 4)</w:t>
            </w:r>
          </w:p>
        </w:tc>
        <w:tc>
          <w:tcPr>
            <w:tcW w:w="653" w:type="pct"/>
          </w:tcPr>
          <w:p w:rsidR="00945946" w:rsidRPr="00663D98" w:rsidRDefault="00945946" w:rsidP="00DE6D99">
            <w:pPr>
              <w:pStyle w:val="ListParagraph"/>
              <w:widowControl/>
              <w:spacing w:before="40" w:after="40"/>
              <w:ind w:left="0"/>
              <w:contextualSpacing w:val="0"/>
              <w:rPr>
                <w:rFonts w:ascii="Arial Narrow" w:eastAsiaTheme="minorHAnsi" w:hAnsi="Arial Narrow" w:cstheme="minorBidi"/>
                <w:snapToGrid/>
                <w:sz w:val="20"/>
              </w:rPr>
            </w:pPr>
            <w:r w:rsidRPr="00663D98">
              <w:rPr>
                <w:rFonts w:ascii="Arial Narrow" w:eastAsiaTheme="minorHAnsi" w:hAnsi="Arial Narrow" w:cstheme="minorBidi"/>
                <w:snapToGrid/>
                <w:sz w:val="20"/>
              </w:rPr>
              <w:t>$</w:t>
            </w:r>
            <w:r w:rsidR="00C34BCC">
              <w:rPr>
                <w:rFonts w:ascii="Arial Narrow" w:eastAsiaTheme="minorHAnsi" w:hAnsi="Arial Narrow" w:cstheme="minorBidi"/>
                <w:noProof/>
                <w:snapToGrid/>
                <w:color w:val="000000"/>
                <w:sz w:val="20"/>
                <w:highlight w:val="black"/>
              </w:rPr>
              <w:t>'''''''''''''''''</w:t>
            </w:r>
          </w:p>
        </w:tc>
        <w:tc>
          <w:tcPr>
            <w:tcW w:w="628" w:type="pct"/>
          </w:tcPr>
          <w:p w:rsidR="00945946" w:rsidRPr="00663D98" w:rsidRDefault="00945946" w:rsidP="00CE5863">
            <w:pPr>
              <w:pStyle w:val="ListParagraph"/>
              <w:widowControl/>
              <w:spacing w:before="40" w:after="40"/>
              <w:ind w:left="0"/>
              <w:contextualSpacing w:val="0"/>
              <w:rPr>
                <w:rFonts w:ascii="Arial Narrow" w:eastAsiaTheme="minorHAnsi" w:hAnsi="Arial Narrow" w:cstheme="minorBidi"/>
                <w:snapToGrid/>
                <w:sz w:val="20"/>
              </w:rPr>
            </w:pPr>
            <w:r w:rsidRPr="00663D98">
              <w:rPr>
                <w:rFonts w:ascii="Arial Narrow" w:eastAsiaTheme="minorHAnsi" w:hAnsi="Arial Narrow" w:cstheme="minorBidi"/>
                <w:snapToGrid/>
                <w:sz w:val="20"/>
              </w:rPr>
              <w:t>$</w:t>
            </w:r>
            <w:r w:rsidR="00C34BCC">
              <w:rPr>
                <w:rFonts w:ascii="Arial Narrow" w:eastAsiaTheme="minorHAnsi" w:hAnsi="Arial Narrow" w:cstheme="minorBidi"/>
                <w:noProof/>
                <w:snapToGrid/>
                <w:color w:val="000000"/>
                <w:sz w:val="20"/>
                <w:highlight w:val="black"/>
              </w:rPr>
              <w:t>'''''''''''''''</w:t>
            </w:r>
          </w:p>
        </w:tc>
        <w:tc>
          <w:tcPr>
            <w:tcW w:w="660" w:type="pct"/>
          </w:tcPr>
          <w:p w:rsidR="00945946" w:rsidRPr="00663D98" w:rsidRDefault="00CE5863" w:rsidP="00DE6D99">
            <w:pPr>
              <w:pStyle w:val="ListParagraph"/>
              <w:widowControl/>
              <w:spacing w:before="40" w:after="40"/>
              <w:ind w:left="0"/>
              <w:contextualSpacing w:val="0"/>
              <w:rPr>
                <w:rFonts w:ascii="Arial Narrow" w:eastAsiaTheme="minorHAnsi" w:hAnsi="Arial Narrow" w:cstheme="minorBidi"/>
                <w:snapToGrid/>
                <w:sz w:val="20"/>
              </w:rPr>
            </w:pPr>
            <w:r w:rsidRPr="00663D98">
              <w:rPr>
                <w:rFonts w:ascii="Arial Narrow" w:eastAsiaTheme="minorHAnsi" w:hAnsi="Arial Narrow" w:cstheme="minorBidi"/>
                <w:snapToGrid/>
                <w:sz w:val="20"/>
              </w:rPr>
              <w:t>$</w:t>
            </w:r>
            <w:r w:rsidR="00C34BCC">
              <w:rPr>
                <w:rFonts w:ascii="Arial Narrow" w:eastAsiaTheme="minorHAnsi" w:hAnsi="Arial Narrow" w:cstheme="minorBidi"/>
                <w:noProof/>
                <w:snapToGrid/>
                <w:color w:val="000000"/>
                <w:sz w:val="20"/>
                <w:highlight w:val="black"/>
              </w:rPr>
              <w:t>''''''''''''''''''''</w:t>
            </w:r>
          </w:p>
        </w:tc>
        <w:tc>
          <w:tcPr>
            <w:tcW w:w="636" w:type="pct"/>
          </w:tcPr>
          <w:p w:rsidR="00945946" w:rsidRPr="00663D98" w:rsidRDefault="00945946" w:rsidP="00CE5863">
            <w:pPr>
              <w:pStyle w:val="ListParagraph"/>
              <w:widowControl/>
              <w:spacing w:before="40" w:after="40"/>
              <w:ind w:left="0"/>
              <w:contextualSpacing w:val="0"/>
              <w:rPr>
                <w:rFonts w:ascii="Arial Narrow" w:eastAsiaTheme="minorHAnsi" w:hAnsi="Arial Narrow" w:cstheme="minorBidi"/>
                <w:snapToGrid/>
                <w:sz w:val="20"/>
              </w:rPr>
            </w:pPr>
            <w:r w:rsidRPr="00663D98">
              <w:rPr>
                <w:rFonts w:ascii="Arial Narrow" w:eastAsiaTheme="minorHAnsi" w:hAnsi="Arial Narrow" w:cstheme="minorBidi"/>
                <w:snapToGrid/>
                <w:sz w:val="20"/>
              </w:rPr>
              <w:t>$</w:t>
            </w:r>
            <w:r w:rsidR="00C34BCC">
              <w:rPr>
                <w:rFonts w:ascii="Arial Narrow" w:eastAsiaTheme="minorHAnsi" w:hAnsi="Arial Narrow" w:cstheme="minorBidi"/>
                <w:noProof/>
                <w:snapToGrid/>
                <w:color w:val="000000"/>
                <w:sz w:val="20"/>
                <w:highlight w:val="black"/>
              </w:rPr>
              <w:t>''''''''''''''''''''</w:t>
            </w:r>
            <w:r w:rsidR="005B6435" w:rsidRPr="00663D98">
              <w:rPr>
                <w:rFonts w:ascii="Arial Narrow" w:eastAsiaTheme="minorHAnsi" w:hAnsi="Arial Narrow" w:cstheme="minorBidi"/>
                <w:snapToGrid/>
                <w:sz w:val="20"/>
              </w:rPr>
              <w:t>*</w:t>
            </w:r>
          </w:p>
        </w:tc>
        <w:tc>
          <w:tcPr>
            <w:tcW w:w="972" w:type="pct"/>
            <w:vMerge/>
          </w:tcPr>
          <w:p w:rsidR="00945946" w:rsidRPr="00663D98" w:rsidRDefault="00945946" w:rsidP="00DE6D99">
            <w:pPr>
              <w:pStyle w:val="ListParagraph"/>
              <w:widowControl/>
              <w:spacing w:before="40" w:after="40"/>
              <w:ind w:left="0"/>
              <w:contextualSpacing w:val="0"/>
              <w:rPr>
                <w:rFonts w:ascii="Arial Narrow" w:eastAsiaTheme="minorHAnsi" w:hAnsi="Arial Narrow" w:cstheme="minorBidi"/>
                <w:snapToGrid/>
                <w:sz w:val="20"/>
              </w:rPr>
            </w:pPr>
          </w:p>
        </w:tc>
      </w:tr>
    </w:tbl>
    <w:p w:rsidR="00945946" w:rsidRPr="00663D98" w:rsidRDefault="00945946" w:rsidP="00945946">
      <w:pPr>
        <w:rPr>
          <w:rFonts w:ascii="Arial Narrow" w:eastAsiaTheme="minorHAnsi" w:hAnsi="Arial Narrow" w:cstheme="minorBidi"/>
          <w:sz w:val="20"/>
          <w:szCs w:val="22"/>
        </w:rPr>
      </w:pPr>
      <w:r w:rsidRPr="00663D98">
        <w:rPr>
          <w:rFonts w:ascii="Arial Narrow" w:eastAsiaTheme="minorHAnsi" w:hAnsi="Arial Narrow" w:cstheme="minorBidi"/>
          <w:sz w:val="20"/>
          <w:szCs w:val="22"/>
        </w:rPr>
        <w:t>Abbreviations: AEMP= approved ex-manufacturer price; DPMQ=dispensed price for maximum quantity</w:t>
      </w:r>
    </w:p>
    <w:p w:rsidR="00945946" w:rsidRPr="00663D98" w:rsidRDefault="00945946" w:rsidP="00945946">
      <w:pPr>
        <w:rPr>
          <w:rFonts w:ascii="Arial Narrow" w:eastAsiaTheme="minorHAnsi" w:hAnsi="Arial Narrow" w:cstheme="minorBidi"/>
          <w:sz w:val="20"/>
          <w:szCs w:val="22"/>
        </w:rPr>
      </w:pPr>
      <w:r w:rsidRPr="00663D98">
        <w:rPr>
          <w:rFonts w:ascii="Arial Narrow" w:eastAsiaTheme="minorHAnsi" w:hAnsi="Arial Narrow" w:cstheme="minorBidi"/>
          <w:sz w:val="20"/>
          <w:szCs w:val="22"/>
        </w:rPr>
        <w:t>Source:</w:t>
      </w:r>
      <w:r w:rsidR="005B6435" w:rsidRPr="00663D98">
        <w:rPr>
          <w:rFonts w:ascii="Arial Narrow" w:eastAsiaTheme="minorHAnsi" w:hAnsi="Arial Narrow" w:cstheme="minorBidi"/>
          <w:sz w:val="20"/>
          <w:szCs w:val="22"/>
        </w:rPr>
        <w:t xml:space="preserve"> Table 1 of the March 2018 PBAC Minutes, Table 1 page 5</w:t>
      </w:r>
      <w:r w:rsidRPr="00663D98">
        <w:rPr>
          <w:rFonts w:ascii="Arial Narrow" w:eastAsiaTheme="minorHAnsi" w:hAnsi="Arial Narrow" w:cstheme="minorBidi"/>
          <w:sz w:val="20"/>
          <w:szCs w:val="22"/>
        </w:rPr>
        <w:t xml:space="preserve"> of the submission</w:t>
      </w:r>
    </w:p>
    <w:p w:rsidR="005B6435" w:rsidRPr="00663D98" w:rsidRDefault="005B6435" w:rsidP="00945946">
      <w:pPr>
        <w:rPr>
          <w:rFonts w:ascii="Arial Narrow" w:eastAsiaTheme="minorHAnsi" w:hAnsi="Arial Narrow" w:cstheme="minorBidi"/>
          <w:sz w:val="20"/>
          <w:szCs w:val="22"/>
        </w:rPr>
      </w:pPr>
      <w:r w:rsidRPr="00663D98">
        <w:rPr>
          <w:rFonts w:ascii="Arial Narrow" w:eastAsiaTheme="minorHAnsi" w:hAnsi="Arial Narrow" w:cstheme="minorBidi"/>
          <w:sz w:val="20"/>
          <w:szCs w:val="22"/>
        </w:rPr>
        <w:t xml:space="preserve">*Calculated as (Published DPMQ – average patient co-payment) x (1- </w:t>
      </w:r>
      <w:r w:rsidR="00C34BCC">
        <w:rPr>
          <w:rFonts w:ascii="Arial Narrow" w:eastAsiaTheme="minorHAnsi" w:hAnsi="Arial Narrow" w:cstheme="minorBidi"/>
          <w:noProof/>
          <w:color w:val="000000"/>
          <w:sz w:val="20"/>
          <w:szCs w:val="22"/>
          <w:highlight w:val="black"/>
        </w:rPr>
        <w:t>''''''</w:t>
      </w:r>
      <w:r w:rsidR="00815968" w:rsidRPr="00663D98">
        <w:rPr>
          <w:rFonts w:ascii="Arial Narrow" w:eastAsiaTheme="minorHAnsi" w:hAnsi="Arial Narrow" w:cstheme="minorBidi"/>
          <w:sz w:val="20"/>
          <w:szCs w:val="22"/>
        </w:rPr>
        <w:t>%) + average patient co-payment, assumes average patient co-payment of $33.62</w:t>
      </w:r>
      <w:r w:rsidR="00AC69D8" w:rsidRPr="00663D98">
        <w:rPr>
          <w:rFonts w:ascii="Arial Narrow" w:eastAsiaTheme="minorHAnsi" w:hAnsi="Arial Narrow" w:cstheme="minorBidi"/>
          <w:sz w:val="20"/>
          <w:szCs w:val="22"/>
        </w:rPr>
        <w:t xml:space="preserve"> based on total estimated copayments over 6 years. </w:t>
      </w:r>
    </w:p>
    <w:p w:rsidR="005A3173" w:rsidRPr="00663D98" w:rsidRDefault="005A3173" w:rsidP="00966D0D">
      <w:pPr>
        <w:pStyle w:val="Heading2"/>
        <w:keepLines/>
        <w:spacing w:before="240" w:after="120"/>
        <w:rPr>
          <w:rFonts w:asciiTheme="minorHAnsi" w:eastAsiaTheme="majorEastAsia" w:hAnsiTheme="minorHAnsi" w:cstheme="majorBidi"/>
          <w:sz w:val="28"/>
          <w:szCs w:val="28"/>
          <w:lang w:eastAsia="en-US"/>
        </w:rPr>
      </w:pPr>
      <w:r w:rsidRPr="00663D98">
        <w:rPr>
          <w:rFonts w:asciiTheme="minorHAnsi" w:eastAsiaTheme="majorEastAsia" w:hAnsiTheme="minorHAnsi" w:cstheme="majorBidi"/>
          <w:sz w:val="28"/>
          <w:szCs w:val="28"/>
          <w:lang w:eastAsia="en-US"/>
        </w:rPr>
        <w:t>Economic analysis</w:t>
      </w:r>
    </w:p>
    <w:p w:rsidR="00443E49" w:rsidRPr="00663D98" w:rsidRDefault="00443E49" w:rsidP="00443E49">
      <w:pPr>
        <w:pStyle w:val="ListParagraph"/>
        <w:widowControl/>
        <w:numPr>
          <w:ilvl w:val="1"/>
          <w:numId w:val="5"/>
        </w:numPr>
        <w:spacing w:after="120"/>
        <w:contextualSpacing w:val="0"/>
        <w:rPr>
          <w:rFonts w:asciiTheme="minorHAnsi" w:eastAsiaTheme="minorHAnsi" w:hAnsiTheme="minorHAnsi" w:cstheme="minorBidi"/>
          <w:snapToGrid/>
          <w:color w:val="000000" w:themeColor="text1"/>
          <w:sz w:val="24"/>
          <w:szCs w:val="22"/>
        </w:rPr>
      </w:pPr>
      <w:r w:rsidRPr="00663D98">
        <w:rPr>
          <w:rFonts w:asciiTheme="minorHAnsi" w:eastAsiaTheme="minorHAnsi" w:hAnsiTheme="minorHAnsi" w:cstheme="minorBidi"/>
          <w:snapToGrid/>
          <w:color w:val="000000" w:themeColor="text1"/>
          <w:sz w:val="24"/>
          <w:szCs w:val="22"/>
        </w:rPr>
        <w:t xml:space="preserve">As per the previous submissions, the minor resubmission presented a trial-based economic evaluation. There were no structural changes to the economic model presented in the previous submissions. </w:t>
      </w:r>
    </w:p>
    <w:p w:rsidR="00E95BB9" w:rsidRPr="00663D98" w:rsidRDefault="00460648" w:rsidP="00443E49">
      <w:pPr>
        <w:pStyle w:val="ListParagraph"/>
        <w:widowControl/>
        <w:numPr>
          <w:ilvl w:val="1"/>
          <w:numId w:val="5"/>
        </w:numPr>
        <w:spacing w:after="120"/>
        <w:contextualSpacing w:val="0"/>
        <w:rPr>
          <w:rFonts w:asciiTheme="minorHAnsi" w:eastAsiaTheme="minorHAnsi" w:hAnsiTheme="minorHAnsi" w:cstheme="minorBidi"/>
          <w:snapToGrid/>
          <w:color w:val="000000" w:themeColor="text1"/>
          <w:sz w:val="24"/>
          <w:szCs w:val="22"/>
        </w:rPr>
      </w:pPr>
      <w:r w:rsidRPr="00663D98">
        <w:rPr>
          <w:rFonts w:asciiTheme="minorHAnsi" w:eastAsiaTheme="minorHAnsi" w:hAnsiTheme="minorHAnsi" w:cstheme="minorBidi"/>
          <w:snapToGrid/>
          <w:color w:val="000000" w:themeColor="text1"/>
          <w:sz w:val="24"/>
          <w:szCs w:val="22"/>
        </w:rPr>
        <w:t xml:space="preserve">The </w:t>
      </w:r>
      <w:r w:rsidR="00E95BB9" w:rsidRPr="00663D98">
        <w:rPr>
          <w:rFonts w:asciiTheme="minorHAnsi" w:eastAsiaTheme="minorHAnsi" w:hAnsiTheme="minorHAnsi" w:cstheme="minorBidi"/>
          <w:snapToGrid/>
          <w:color w:val="000000" w:themeColor="text1"/>
          <w:sz w:val="24"/>
          <w:szCs w:val="22"/>
        </w:rPr>
        <w:t xml:space="preserve">economic evaluation was updated in the minor resubmission to include the revised </w:t>
      </w:r>
      <w:r w:rsidR="00C34BCC">
        <w:rPr>
          <w:rFonts w:asciiTheme="minorHAnsi" w:eastAsiaTheme="minorHAnsi" w:hAnsiTheme="minorHAnsi" w:cstheme="minorBidi"/>
          <w:noProof/>
          <w:snapToGrid/>
          <w:color w:val="000000"/>
          <w:sz w:val="24"/>
          <w:szCs w:val="22"/>
          <w:highlight w:val="black"/>
        </w:rPr>
        <w:t>'''''</w:t>
      </w:r>
      <w:r w:rsidR="00E95BB9" w:rsidRPr="00663D98">
        <w:rPr>
          <w:rFonts w:asciiTheme="minorHAnsi" w:eastAsiaTheme="minorHAnsi" w:hAnsiTheme="minorHAnsi" w:cstheme="minorBidi"/>
          <w:snapToGrid/>
          <w:color w:val="000000" w:themeColor="text1"/>
          <w:sz w:val="24"/>
          <w:szCs w:val="22"/>
        </w:rPr>
        <w:t xml:space="preserve">% rebate </w:t>
      </w:r>
      <w:r w:rsidR="00F15831" w:rsidRPr="00663D98">
        <w:rPr>
          <w:rFonts w:asciiTheme="minorHAnsi" w:eastAsiaTheme="minorHAnsi" w:hAnsiTheme="minorHAnsi" w:cstheme="minorBidi"/>
          <w:snapToGrid/>
          <w:color w:val="000000" w:themeColor="text1"/>
          <w:sz w:val="24"/>
          <w:szCs w:val="22"/>
        </w:rPr>
        <w:t>on PBS expenditure</w:t>
      </w:r>
      <w:r w:rsidR="00E95BB9" w:rsidRPr="00663D98">
        <w:rPr>
          <w:rFonts w:asciiTheme="minorHAnsi" w:eastAsiaTheme="minorHAnsi" w:hAnsiTheme="minorHAnsi" w:cstheme="minorBidi"/>
          <w:snapToGrid/>
          <w:color w:val="000000" w:themeColor="text1"/>
          <w:sz w:val="24"/>
          <w:szCs w:val="22"/>
        </w:rPr>
        <w:t>.</w:t>
      </w:r>
      <w:r w:rsidR="00823CC6" w:rsidRPr="00663D98">
        <w:rPr>
          <w:rFonts w:asciiTheme="minorHAnsi" w:eastAsiaTheme="minorHAnsi" w:hAnsiTheme="minorHAnsi" w:cstheme="minorBidi"/>
          <w:snapToGrid/>
          <w:color w:val="000000" w:themeColor="text1"/>
          <w:sz w:val="24"/>
          <w:szCs w:val="22"/>
        </w:rPr>
        <w:t xml:space="preserve"> No other changes were made to the economic evaluation.</w:t>
      </w:r>
      <w:r w:rsidR="00E95BB9" w:rsidRPr="00663D98">
        <w:rPr>
          <w:rFonts w:asciiTheme="minorHAnsi" w:eastAsiaTheme="minorHAnsi" w:hAnsiTheme="minorHAnsi" w:cstheme="minorBidi"/>
          <w:snapToGrid/>
          <w:color w:val="000000" w:themeColor="text1"/>
          <w:sz w:val="24"/>
          <w:szCs w:val="22"/>
        </w:rPr>
        <w:t xml:space="preserve"> </w:t>
      </w:r>
      <w:r w:rsidRPr="00663D98">
        <w:rPr>
          <w:rFonts w:asciiTheme="minorHAnsi" w:eastAsiaTheme="minorHAnsi" w:hAnsiTheme="minorHAnsi" w:cstheme="minorBidi"/>
          <w:snapToGrid/>
          <w:color w:val="000000" w:themeColor="text1"/>
          <w:sz w:val="24"/>
          <w:szCs w:val="22"/>
        </w:rPr>
        <w:t>The results of the</w:t>
      </w:r>
      <w:r w:rsidR="00823CC6" w:rsidRPr="00663D98">
        <w:rPr>
          <w:rFonts w:asciiTheme="minorHAnsi" w:eastAsiaTheme="minorHAnsi" w:hAnsiTheme="minorHAnsi" w:cstheme="minorBidi"/>
          <w:snapToGrid/>
          <w:color w:val="000000" w:themeColor="text1"/>
          <w:sz w:val="24"/>
          <w:szCs w:val="22"/>
        </w:rPr>
        <w:t xml:space="preserve"> base case</w:t>
      </w:r>
      <w:r w:rsidRPr="00663D98">
        <w:rPr>
          <w:rFonts w:asciiTheme="minorHAnsi" w:eastAsiaTheme="minorHAnsi" w:hAnsiTheme="minorHAnsi" w:cstheme="minorBidi"/>
          <w:snapToGrid/>
          <w:color w:val="000000" w:themeColor="text1"/>
          <w:sz w:val="24"/>
          <w:szCs w:val="22"/>
        </w:rPr>
        <w:t xml:space="preserve"> economic analysis are presented below.</w:t>
      </w:r>
    </w:p>
    <w:p w:rsidR="00E95BB9" w:rsidRPr="00663D98" w:rsidRDefault="00E95BB9" w:rsidP="00E95BB9">
      <w:pPr>
        <w:keepNext/>
        <w:rPr>
          <w:rFonts w:ascii="Arial Narrow" w:hAnsi="Arial Narrow"/>
          <w:b/>
          <w:sz w:val="20"/>
          <w:szCs w:val="22"/>
        </w:rPr>
      </w:pPr>
      <w:r w:rsidRPr="00663D98">
        <w:rPr>
          <w:rFonts w:ascii="Arial Narrow" w:hAnsi="Arial Narrow"/>
          <w:b/>
          <w:sz w:val="20"/>
          <w:szCs w:val="22"/>
        </w:rPr>
        <w:lastRenderedPageBreak/>
        <w:t xml:space="preserve">Table 2: Results of the economic analysis </w:t>
      </w:r>
    </w:p>
    <w:tbl>
      <w:tblPr>
        <w:tblStyle w:val="TableGrid"/>
        <w:tblW w:w="5000" w:type="pct"/>
        <w:tblCellMar>
          <w:top w:w="28" w:type="dxa"/>
          <w:left w:w="28" w:type="dxa"/>
          <w:bottom w:w="28" w:type="dxa"/>
          <w:right w:w="28" w:type="dxa"/>
        </w:tblCellMar>
        <w:tblLook w:val="04A0" w:firstRow="1" w:lastRow="0" w:firstColumn="1" w:lastColumn="0" w:noHBand="0" w:noVBand="1"/>
        <w:tblCaption w:val="Table 2: Results of the economic analysis "/>
        <w:tblDescription w:val="Table 2: Results of the economic analysis "/>
      </w:tblPr>
      <w:tblGrid>
        <w:gridCol w:w="4032"/>
        <w:gridCol w:w="2536"/>
        <w:gridCol w:w="1386"/>
        <w:gridCol w:w="1128"/>
      </w:tblGrid>
      <w:tr w:rsidR="00E95BB9" w:rsidRPr="00663D98" w:rsidTr="00AF1A96">
        <w:trPr>
          <w:trHeight w:val="186"/>
          <w:tblHeader/>
        </w:trPr>
        <w:tc>
          <w:tcPr>
            <w:tcW w:w="2220" w:type="pct"/>
            <w:shd w:val="clear" w:color="auto" w:fill="FFFFFF" w:themeFill="background1"/>
          </w:tcPr>
          <w:p w:rsidR="00E95BB9" w:rsidRPr="00663D98" w:rsidRDefault="00E95BB9" w:rsidP="00DE6D99">
            <w:pPr>
              <w:pStyle w:val="TableText0"/>
              <w:spacing w:before="40" w:after="40" w:line="240" w:lineRule="auto"/>
              <w:contextualSpacing/>
              <w:rPr>
                <w:b/>
                <w:sz w:val="20"/>
                <w:szCs w:val="20"/>
              </w:rPr>
            </w:pPr>
          </w:p>
        </w:tc>
        <w:tc>
          <w:tcPr>
            <w:tcW w:w="1396" w:type="pct"/>
            <w:shd w:val="clear" w:color="auto" w:fill="FFFFFF" w:themeFill="background1"/>
            <w:vAlign w:val="center"/>
          </w:tcPr>
          <w:p w:rsidR="00E95BB9" w:rsidRPr="00663D98" w:rsidRDefault="00E95BB9" w:rsidP="00DE6D99">
            <w:pPr>
              <w:pStyle w:val="TableText0"/>
              <w:spacing w:before="40" w:after="40" w:line="240" w:lineRule="auto"/>
              <w:contextualSpacing/>
              <w:jc w:val="center"/>
              <w:rPr>
                <w:b/>
                <w:sz w:val="20"/>
                <w:szCs w:val="20"/>
              </w:rPr>
            </w:pPr>
            <w:r w:rsidRPr="00663D98">
              <w:rPr>
                <w:b/>
                <w:sz w:val="20"/>
                <w:szCs w:val="20"/>
              </w:rPr>
              <w:t>Trifluridine/tipiracil arm</w:t>
            </w:r>
          </w:p>
        </w:tc>
        <w:tc>
          <w:tcPr>
            <w:tcW w:w="763" w:type="pct"/>
            <w:shd w:val="clear" w:color="auto" w:fill="FFFFFF" w:themeFill="background1"/>
            <w:vAlign w:val="center"/>
          </w:tcPr>
          <w:p w:rsidR="00E95BB9" w:rsidRPr="00663D98" w:rsidRDefault="00E95BB9" w:rsidP="00DE6D99">
            <w:pPr>
              <w:pStyle w:val="TableText0"/>
              <w:spacing w:before="40" w:after="40" w:line="240" w:lineRule="auto"/>
              <w:contextualSpacing/>
              <w:jc w:val="center"/>
              <w:rPr>
                <w:b/>
                <w:sz w:val="20"/>
                <w:szCs w:val="20"/>
              </w:rPr>
            </w:pPr>
            <w:r w:rsidRPr="00663D98">
              <w:rPr>
                <w:b/>
                <w:sz w:val="20"/>
                <w:szCs w:val="20"/>
              </w:rPr>
              <w:t>Placebo arm</w:t>
            </w:r>
          </w:p>
        </w:tc>
        <w:tc>
          <w:tcPr>
            <w:tcW w:w="621" w:type="pct"/>
            <w:shd w:val="clear" w:color="auto" w:fill="FFFFFF" w:themeFill="background1"/>
            <w:vAlign w:val="center"/>
          </w:tcPr>
          <w:p w:rsidR="00E95BB9" w:rsidRPr="00663D98" w:rsidRDefault="00E95BB9" w:rsidP="005C2DD9">
            <w:pPr>
              <w:pStyle w:val="TableText0"/>
              <w:spacing w:line="240" w:lineRule="auto"/>
              <w:contextualSpacing/>
              <w:jc w:val="center"/>
              <w:rPr>
                <w:b/>
                <w:sz w:val="20"/>
                <w:szCs w:val="20"/>
              </w:rPr>
            </w:pPr>
            <w:r w:rsidRPr="00663D98">
              <w:rPr>
                <w:b/>
                <w:sz w:val="20"/>
                <w:szCs w:val="20"/>
              </w:rPr>
              <w:t>Increment</w:t>
            </w:r>
          </w:p>
        </w:tc>
      </w:tr>
      <w:tr w:rsidR="005C2DD9" w:rsidRPr="00663D98" w:rsidTr="005C2DD9">
        <w:trPr>
          <w:trHeight w:val="48"/>
        </w:trPr>
        <w:tc>
          <w:tcPr>
            <w:tcW w:w="5000" w:type="pct"/>
            <w:gridSpan w:val="4"/>
            <w:vAlign w:val="bottom"/>
          </w:tcPr>
          <w:p w:rsidR="005C2DD9" w:rsidRPr="00663D98" w:rsidRDefault="005C2DD9" w:rsidP="005C2DD9">
            <w:pPr>
              <w:pStyle w:val="TableText0"/>
              <w:spacing w:before="40" w:after="40" w:line="240" w:lineRule="auto"/>
              <w:contextualSpacing/>
              <w:rPr>
                <w:sz w:val="20"/>
                <w:szCs w:val="20"/>
              </w:rPr>
            </w:pPr>
            <w:r w:rsidRPr="00663D98">
              <w:rPr>
                <w:b/>
                <w:sz w:val="20"/>
                <w:szCs w:val="20"/>
              </w:rPr>
              <w:t>Costs</w:t>
            </w:r>
          </w:p>
        </w:tc>
      </w:tr>
      <w:tr w:rsidR="00E95BB9" w:rsidRPr="00663D98" w:rsidTr="00DE6D99">
        <w:trPr>
          <w:trHeight w:val="166"/>
        </w:trPr>
        <w:tc>
          <w:tcPr>
            <w:tcW w:w="2220" w:type="pct"/>
          </w:tcPr>
          <w:p w:rsidR="00E95BB9" w:rsidRPr="00663D98" w:rsidRDefault="00E95BB9" w:rsidP="00DE6D99">
            <w:pPr>
              <w:pStyle w:val="TableText0"/>
              <w:spacing w:before="40" w:after="40" w:line="240" w:lineRule="auto"/>
              <w:contextualSpacing/>
              <w:rPr>
                <w:sz w:val="20"/>
                <w:szCs w:val="20"/>
              </w:rPr>
            </w:pPr>
            <w:r w:rsidRPr="00663D98">
              <w:rPr>
                <w:sz w:val="20"/>
                <w:szCs w:val="20"/>
              </w:rPr>
              <w:t>Average total drug costs</w:t>
            </w:r>
          </w:p>
        </w:tc>
        <w:tc>
          <w:tcPr>
            <w:tcW w:w="1396" w:type="pct"/>
            <w:vAlign w:val="center"/>
          </w:tcPr>
          <w:p w:rsidR="00E95BB9" w:rsidRPr="00663D98" w:rsidRDefault="00E95BB9" w:rsidP="00F618C3">
            <w:pPr>
              <w:pStyle w:val="TableText0"/>
              <w:spacing w:before="40" w:after="40" w:line="240" w:lineRule="auto"/>
              <w:contextualSpacing/>
              <w:jc w:val="center"/>
              <w:rPr>
                <w:sz w:val="20"/>
                <w:szCs w:val="20"/>
              </w:rPr>
            </w:pPr>
            <w:r w:rsidRPr="00663D98">
              <w:rPr>
                <w:sz w:val="20"/>
                <w:szCs w:val="20"/>
              </w:rPr>
              <w:t>$</w:t>
            </w:r>
            <w:r w:rsidR="00C34BCC">
              <w:rPr>
                <w:noProof/>
                <w:color w:val="000000"/>
                <w:sz w:val="20"/>
                <w:szCs w:val="20"/>
                <w:highlight w:val="black"/>
              </w:rPr>
              <w:t>'''''''''''''''''''''''</w:t>
            </w:r>
            <w:r w:rsidRPr="00663D98">
              <w:rPr>
                <w:sz w:val="20"/>
                <w:szCs w:val="20"/>
              </w:rPr>
              <w:t xml:space="preserve"> </w:t>
            </w:r>
          </w:p>
        </w:tc>
        <w:tc>
          <w:tcPr>
            <w:tcW w:w="763" w:type="pct"/>
            <w:vAlign w:val="center"/>
          </w:tcPr>
          <w:p w:rsidR="00E95BB9" w:rsidRPr="00663D98" w:rsidRDefault="00E95BB9" w:rsidP="00DE6D99">
            <w:pPr>
              <w:pStyle w:val="TableText0"/>
              <w:spacing w:before="40" w:after="40" w:line="240" w:lineRule="auto"/>
              <w:contextualSpacing/>
              <w:jc w:val="center"/>
              <w:rPr>
                <w:sz w:val="20"/>
                <w:szCs w:val="20"/>
              </w:rPr>
            </w:pPr>
            <w:r w:rsidRPr="00663D98">
              <w:rPr>
                <w:sz w:val="20"/>
                <w:szCs w:val="20"/>
              </w:rPr>
              <w:t>$0.00</w:t>
            </w:r>
          </w:p>
        </w:tc>
        <w:tc>
          <w:tcPr>
            <w:tcW w:w="621" w:type="pct"/>
            <w:vAlign w:val="center"/>
          </w:tcPr>
          <w:p w:rsidR="00E95BB9" w:rsidRPr="00663D98" w:rsidRDefault="00E95BB9" w:rsidP="00F618C3">
            <w:pPr>
              <w:pStyle w:val="TableText0"/>
              <w:spacing w:before="40" w:after="40" w:line="240" w:lineRule="auto"/>
              <w:contextualSpacing/>
              <w:jc w:val="center"/>
              <w:rPr>
                <w:sz w:val="20"/>
                <w:szCs w:val="20"/>
              </w:rPr>
            </w:pPr>
            <w:r w:rsidRPr="00663D98">
              <w:rPr>
                <w:sz w:val="20"/>
                <w:szCs w:val="20"/>
              </w:rPr>
              <w:t>$</w:t>
            </w:r>
            <w:r w:rsidR="00C34BCC">
              <w:rPr>
                <w:noProof/>
                <w:color w:val="000000"/>
                <w:sz w:val="20"/>
                <w:szCs w:val="20"/>
                <w:highlight w:val="black"/>
              </w:rPr>
              <w:t>''''''''''''''''''''</w:t>
            </w:r>
          </w:p>
        </w:tc>
      </w:tr>
      <w:tr w:rsidR="00E95BB9" w:rsidRPr="00663D98" w:rsidTr="00DE6D99">
        <w:trPr>
          <w:trHeight w:val="32"/>
        </w:trPr>
        <w:tc>
          <w:tcPr>
            <w:tcW w:w="2220" w:type="pct"/>
          </w:tcPr>
          <w:p w:rsidR="00E95BB9" w:rsidRPr="00663D98" w:rsidRDefault="00E95BB9" w:rsidP="00DE6D99">
            <w:pPr>
              <w:pStyle w:val="TableText0"/>
              <w:spacing w:before="40" w:after="40" w:line="240" w:lineRule="auto"/>
              <w:contextualSpacing/>
              <w:rPr>
                <w:sz w:val="20"/>
                <w:szCs w:val="20"/>
              </w:rPr>
            </w:pPr>
            <w:r w:rsidRPr="00663D98">
              <w:rPr>
                <w:sz w:val="20"/>
                <w:szCs w:val="20"/>
              </w:rPr>
              <w:t>Average cost per patient to manage AEs</w:t>
            </w:r>
          </w:p>
        </w:tc>
        <w:tc>
          <w:tcPr>
            <w:tcW w:w="1396" w:type="pct"/>
            <w:vAlign w:val="center"/>
          </w:tcPr>
          <w:p w:rsidR="00E95BB9" w:rsidRPr="00663D98" w:rsidRDefault="00E95BB9" w:rsidP="00DE6D99">
            <w:pPr>
              <w:pStyle w:val="TableText0"/>
              <w:spacing w:before="40" w:after="40" w:line="240" w:lineRule="auto"/>
              <w:contextualSpacing/>
              <w:jc w:val="center"/>
              <w:rPr>
                <w:sz w:val="20"/>
                <w:szCs w:val="20"/>
              </w:rPr>
            </w:pPr>
            <w:r w:rsidRPr="00663D98">
              <w:rPr>
                <w:sz w:val="20"/>
                <w:szCs w:val="20"/>
              </w:rPr>
              <w:t>$</w:t>
            </w:r>
            <w:r w:rsidR="00C34BCC">
              <w:rPr>
                <w:noProof/>
                <w:color w:val="000000"/>
                <w:sz w:val="20"/>
                <w:szCs w:val="20"/>
                <w:highlight w:val="black"/>
              </w:rPr>
              <w:t>'''''''''''''''</w:t>
            </w:r>
            <w:r w:rsidRPr="00663D98">
              <w:rPr>
                <w:sz w:val="20"/>
                <w:szCs w:val="20"/>
              </w:rPr>
              <w:t xml:space="preserve"> </w:t>
            </w:r>
          </w:p>
        </w:tc>
        <w:tc>
          <w:tcPr>
            <w:tcW w:w="763" w:type="pct"/>
            <w:vAlign w:val="center"/>
          </w:tcPr>
          <w:p w:rsidR="00E95BB9" w:rsidRPr="00663D98" w:rsidRDefault="00E95BB9" w:rsidP="00DE6D99">
            <w:pPr>
              <w:pStyle w:val="TableText0"/>
              <w:spacing w:before="40" w:after="40" w:line="240" w:lineRule="auto"/>
              <w:contextualSpacing/>
              <w:jc w:val="center"/>
              <w:rPr>
                <w:sz w:val="20"/>
                <w:szCs w:val="20"/>
              </w:rPr>
            </w:pPr>
            <w:r w:rsidRPr="00663D98">
              <w:rPr>
                <w:sz w:val="20"/>
                <w:szCs w:val="20"/>
              </w:rPr>
              <w:t>$0.00</w:t>
            </w:r>
          </w:p>
        </w:tc>
        <w:tc>
          <w:tcPr>
            <w:tcW w:w="621" w:type="pct"/>
            <w:vAlign w:val="center"/>
          </w:tcPr>
          <w:p w:rsidR="00E95BB9" w:rsidRPr="00663D98" w:rsidRDefault="00E95BB9" w:rsidP="00DE6D99">
            <w:pPr>
              <w:pStyle w:val="TableText0"/>
              <w:spacing w:before="40" w:after="40" w:line="240" w:lineRule="auto"/>
              <w:contextualSpacing/>
              <w:jc w:val="center"/>
              <w:rPr>
                <w:sz w:val="20"/>
                <w:szCs w:val="20"/>
              </w:rPr>
            </w:pPr>
            <w:r w:rsidRPr="00663D98">
              <w:rPr>
                <w:sz w:val="20"/>
                <w:szCs w:val="20"/>
              </w:rPr>
              <w:t>$</w:t>
            </w:r>
            <w:r w:rsidR="00C34BCC">
              <w:rPr>
                <w:noProof/>
                <w:color w:val="000000"/>
                <w:sz w:val="20"/>
                <w:szCs w:val="20"/>
                <w:highlight w:val="black"/>
              </w:rPr>
              <w:t>'''''''''''''''</w:t>
            </w:r>
          </w:p>
        </w:tc>
      </w:tr>
      <w:tr w:rsidR="00E95BB9" w:rsidRPr="00663D98" w:rsidTr="00DE6D99">
        <w:trPr>
          <w:trHeight w:val="145"/>
        </w:trPr>
        <w:tc>
          <w:tcPr>
            <w:tcW w:w="2220" w:type="pct"/>
          </w:tcPr>
          <w:p w:rsidR="00E95BB9" w:rsidRPr="00663D98" w:rsidRDefault="00E95BB9" w:rsidP="00DE6D99">
            <w:pPr>
              <w:pStyle w:val="TableText0"/>
              <w:spacing w:before="40" w:after="40" w:line="240" w:lineRule="auto"/>
              <w:contextualSpacing/>
              <w:rPr>
                <w:sz w:val="20"/>
                <w:szCs w:val="20"/>
              </w:rPr>
            </w:pPr>
            <w:r w:rsidRPr="00663D98">
              <w:rPr>
                <w:sz w:val="20"/>
                <w:szCs w:val="20"/>
              </w:rPr>
              <w:t>Clinician visits</w:t>
            </w:r>
          </w:p>
        </w:tc>
        <w:tc>
          <w:tcPr>
            <w:tcW w:w="1396" w:type="pct"/>
            <w:vAlign w:val="center"/>
          </w:tcPr>
          <w:p w:rsidR="00E95BB9" w:rsidRPr="00663D98" w:rsidRDefault="00E95BB9" w:rsidP="00DE6D99">
            <w:pPr>
              <w:pStyle w:val="TableText0"/>
              <w:spacing w:before="40" w:after="40" w:line="240" w:lineRule="auto"/>
              <w:contextualSpacing/>
              <w:jc w:val="center"/>
              <w:rPr>
                <w:sz w:val="20"/>
                <w:szCs w:val="20"/>
              </w:rPr>
            </w:pPr>
            <w:r w:rsidRPr="00663D98">
              <w:rPr>
                <w:sz w:val="20"/>
                <w:szCs w:val="20"/>
              </w:rPr>
              <w:t>$</w:t>
            </w:r>
            <w:r w:rsidR="00C34BCC">
              <w:rPr>
                <w:noProof/>
                <w:color w:val="000000"/>
                <w:sz w:val="20"/>
                <w:szCs w:val="20"/>
                <w:highlight w:val="black"/>
              </w:rPr>
              <w:t>''''''''''''''''''</w:t>
            </w:r>
          </w:p>
        </w:tc>
        <w:tc>
          <w:tcPr>
            <w:tcW w:w="763" w:type="pct"/>
            <w:vAlign w:val="center"/>
          </w:tcPr>
          <w:p w:rsidR="00E95BB9" w:rsidRPr="00663D98" w:rsidRDefault="00E95BB9" w:rsidP="00DE6D99">
            <w:pPr>
              <w:pStyle w:val="TableText0"/>
              <w:spacing w:before="40" w:after="40" w:line="240" w:lineRule="auto"/>
              <w:contextualSpacing/>
              <w:jc w:val="center"/>
              <w:rPr>
                <w:sz w:val="20"/>
                <w:szCs w:val="20"/>
              </w:rPr>
            </w:pPr>
            <w:r w:rsidRPr="00663D98">
              <w:rPr>
                <w:sz w:val="20"/>
                <w:szCs w:val="20"/>
              </w:rPr>
              <w:t>$</w:t>
            </w:r>
            <w:r w:rsidR="00C34BCC">
              <w:rPr>
                <w:noProof/>
                <w:color w:val="000000"/>
                <w:sz w:val="20"/>
                <w:szCs w:val="20"/>
                <w:highlight w:val="black"/>
              </w:rPr>
              <w:t>''''''''''''''''</w:t>
            </w:r>
          </w:p>
        </w:tc>
        <w:tc>
          <w:tcPr>
            <w:tcW w:w="621" w:type="pct"/>
            <w:vAlign w:val="center"/>
          </w:tcPr>
          <w:p w:rsidR="00E95BB9" w:rsidRPr="00663D98" w:rsidRDefault="00E95BB9" w:rsidP="00DE6D99">
            <w:pPr>
              <w:pStyle w:val="TableText0"/>
              <w:spacing w:before="40" w:after="40" w:line="240" w:lineRule="auto"/>
              <w:contextualSpacing/>
              <w:jc w:val="center"/>
              <w:rPr>
                <w:sz w:val="20"/>
                <w:szCs w:val="20"/>
              </w:rPr>
            </w:pPr>
            <w:r w:rsidRPr="00663D98">
              <w:rPr>
                <w:sz w:val="20"/>
                <w:szCs w:val="20"/>
              </w:rPr>
              <w:t>$</w:t>
            </w:r>
            <w:r w:rsidR="00C34BCC">
              <w:rPr>
                <w:noProof/>
                <w:color w:val="000000"/>
                <w:sz w:val="20"/>
                <w:szCs w:val="20"/>
                <w:highlight w:val="black"/>
              </w:rPr>
              <w:t>''''''''''''''''</w:t>
            </w:r>
          </w:p>
        </w:tc>
      </w:tr>
      <w:tr w:rsidR="00E95BB9" w:rsidRPr="00663D98" w:rsidTr="00DE6D99">
        <w:trPr>
          <w:trHeight w:val="135"/>
        </w:trPr>
        <w:tc>
          <w:tcPr>
            <w:tcW w:w="2220" w:type="pct"/>
          </w:tcPr>
          <w:p w:rsidR="00E95BB9" w:rsidRPr="00663D98" w:rsidRDefault="00E95BB9" w:rsidP="00DE6D99">
            <w:pPr>
              <w:pStyle w:val="TableText0"/>
              <w:spacing w:before="40" w:after="40" w:line="240" w:lineRule="auto"/>
              <w:contextualSpacing/>
              <w:rPr>
                <w:sz w:val="20"/>
                <w:szCs w:val="20"/>
              </w:rPr>
            </w:pPr>
            <w:r w:rsidRPr="00663D98">
              <w:rPr>
                <w:sz w:val="20"/>
                <w:szCs w:val="20"/>
              </w:rPr>
              <w:t>Monitoring costs</w:t>
            </w:r>
          </w:p>
        </w:tc>
        <w:tc>
          <w:tcPr>
            <w:tcW w:w="1396" w:type="pct"/>
            <w:vAlign w:val="center"/>
          </w:tcPr>
          <w:p w:rsidR="00E95BB9" w:rsidRPr="00663D98" w:rsidRDefault="00E95BB9" w:rsidP="00DE6D99">
            <w:pPr>
              <w:pStyle w:val="TableText0"/>
              <w:spacing w:before="40" w:after="40" w:line="240" w:lineRule="auto"/>
              <w:contextualSpacing/>
              <w:jc w:val="center"/>
              <w:rPr>
                <w:sz w:val="20"/>
                <w:szCs w:val="20"/>
              </w:rPr>
            </w:pPr>
            <w:r w:rsidRPr="00663D98">
              <w:rPr>
                <w:sz w:val="20"/>
                <w:szCs w:val="20"/>
              </w:rPr>
              <w:t>$</w:t>
            </w:r>
            <w:r w:rsidR="00C34BCC">
              <w:rPr>
                <w:noProof/>
                <w:color w:val="000000"/>
                <w:sz w:val="20"/>
                <w:szCs w:val="20"/>
                <w:highlight w:val="black"/>
              </w:rPr>
              <w:t>''''''''''''</w:t>
            </w:r>
          </w:p>
        </w:tc>
        <w:tc>
          <w:tcPr>
            <w:tcW w:w="763" w:type="pct"/>
            <w:vAlign w:val="center"/>
          </w:tcPr>
          <w:p w:rsidR="00E95BB9" w:rsidRPr="00663D98" w:rsidRDefault="00E95BB9" w:rsidP="00DE6D99">
            <w:pPr>
              <w:pStyle w:val="TableText0"/>
              <w:spacing w:before="40" w:after="40" w:line="240" w:lineRule="auto"/>
              <w:contextualSpacing/>
              <w:jc w:val="center"/>
              <w:rPr>
                <w:sz w:val="20"/>
                <w:szCs w:val="20"/>
              </w:rPr>
            </w:pPr>
            <w:r w:rsidRPr="00663D98">
              <w:rPr>
                <w:sz w:val="20"/>
                <w:szCs w:val="20"/>
              </w:rPr>
              <w:t>$0.00</w:t>
            </w:r>
          </w:p>
        </w:tc>
        <w:tc>
          <w:tcPr>
            <w:tcW w:w="621" w:type="pct"/>
            <w:vAlign w:val="center"/>
          </w:tcPr>
          <w:p w:rsidR="00E95BB9" w:rsidRPr="00663D98" w:rsidRDefault="00E95BB9" w:rsidP="00DE6D99">
            <w:pPr>
              <w:pStyle w:val="TableText0"/>
              <w:spacing w:before="40" w:after="40" w:line="240" w:lineRule="auto"/>
              <w:contextualSpacing/>
              <w:jc w:val="center"/>
              <w:rPr>
                <w:sz w:val="20"/>
                <w:szCs w:val="20"/>
              </w:rPr>
            </w:pPr>
            <w:r w:rsidRPr="00663D98">
              <w:rPr>
                <w:sz w:val="20"/>
                <w:szCs w:val="20"/>
              </w:rPr>
              <w:t>$</w:t>
            </w:r>
            <w:r w:rsidR="00C34BCC">
              <w:rPr>
                <w:noProof/>
                <w:color w:val="000000"/>
                <w:sz w:val="20"/>
                <w:szCs w:val="20"/>
                <w:highlight w:val="black"/>
              </w:rPr>
              <w:t>'''''''''''''''</w:t>
            </w:r>
          </w:p>
        </w:tc>
      </w:tr>
      <w:tr w:rsidR="00E95BB9" w:rsidRPr="00663D98" w:rsidTr="00DE6D99">
        <w:trPr>
          <w:trHeight w:val="125"/>
        </w:trPr>
        <w:tc>
          <w:tcPr>
            <w:tcW w:w="2220" w:type="pct"/>
            <w:tcBorders>
              <w:bottom w:val="double" w:sz="4" w:space="0" w:color="auto"/>
            </w:tcBorders>
            <w:vAlign w:val="bottom"/>
          </w:tcPr>
          <w:p w:rsidR="00E95BB9" w:rsidRPr="00663D98" w:rsidRDefault="00E95BB9" w:rsidP="00DE6D99">
            <w:pPr>
              <w:pStyle w:val="TableText0"/>
              <w:spacing w:before="40" w:after="40" w:line="240" w:lineRule="auto"/>
              <w:contextualSpacing/>
              <w:rPr>
                <w:b/>
                <w:sz w:val="20"/>
                <w:szCs w:val="20"/>
              </w:rPr>
            </w:pPr>
            <w:r w:rsidRPr="00663D98">
              <w:rPr>
                <w:b/>
                <w:sz w:val="20"/>
                <w:szCs w:val="20"/>
              </w:rPr>
              <w:t>Total costs</w:t>
            </w:r>
          </w:p>
        </w:tc>
        <w:tc>
          <w:tcPr>
            <w:tcW w:w="1396" w:type="pct"/>
            <w:tcBorders>
              <w:bottom w:val="double" w:sz="4" w:space="0" w:color="auto"/>
            </w:tcBorders>
            <w:vAlign w:val="center"/>
          </w:tcPr>
          <w:p w:rsidR="00E95BB9" w:rsidRPr="00663D98" w:rsidRDefault="00E95BB9" w:rsidP="00F618C3">
            <w:pPr>
              <w:pStyle w:val="TableText0"/>
              <w:spacing w:before="40" w:after="40" w:line="240" w:lineRule="auto"/>
              <w:contextualSpacing/>
              <w:jc w:val="center"/>
              <w:rPr>
                <w:sz w:val="20"/>
                <w:szCs w:val="20"/>
              </w:rPr>
            </w:pPr>
            <w:r w:rsidRPr="00663D98">
              <w:rPr>
                <w:sz w:val="20"/>
                <w:szCs w:val="20"/>
              </w:rPr>
              <w:t>$</w:t>
            </w:r>
            <w:r w:rsidR="00C34BCC">
              <w:rPr>
                <w:noProof/>
                <w:color w:val="000000"/>
                <w:sz w:val="20"/>
                <w:szCs w:val="20"/>
                <w:highlight w:val="black"/>
              </w:rPr>
              <w:t>''''''''''''''''''''</w:t>
            </w:r>
          </w:p>
        </w:tc>
        <w:tc>
          <w:tcPr>
            <w:tcW w:w="763" w:type="pct"/>
            <w:tcBorders>
              <w:bottom w:val="double" w:sz="4" w:space="0" w:color="auto"/>
            </w:tcBorders>
            <w:vAlign w:val="center"/>
          </w:tcPr>
          <w:p w:rsidR="00E95BB9" w:rsidRPr="00663D98" w:rsidRDefault="00E95BB9" w:rsidP="00DE6D99">
            <w:pPr>
              <w:pStyle w:val="TableText0"/>
              <w:spacing w:before="40" w:after="40" w:line="240" w:lineRule="auto"/>
              <w:contextualSpacing/>
              <w:jc w:val="center"/>
              <w:rPr>
                <w:sz w:val="20"/>
                <w:szCs w:val="20"/>
              </w:rPr>
            </w:pPr>
            <w:r w:rsidRPr="00663D98">
              <w:rPr>
                <w:sz w:val="20"/>
                <w:szCs w:val="20"/>
              </w:rPr>
              <w:t>$</w:t>
            </w:r>
            <w:r w:rsidR="00C34BCC">
              <w:rPr>
                <w:noProof/>
                <w:color w:val="000000"/>
                <w:sz w:val="20"/>
                <w:szCs w:val="20"/>
                <w:highlight w:val="black"/>
              </w:rPr>
              <w:t>''''''''''''''''</w:t>
            </w:r>
          </w:p>
        </w:tc>
        <w:tc>
          <w:tcPr>
            <w:tcW w:w="621" w:type="pct"/>
            <w:tcBorders>
              <w:bottom w:val="double" w:sz="4" w:space="0" w:color="auto"/>
            </w:tcBorders>
            <w:vAlign w:val="center"/>
          </w:tcPr>
          <w:p w:rsidR="00E95BB9" w:rsidRPr="00663D98" w:rsidRDefault="00E95BB9" w:rsidP="00F618C3">
            <w:pPr>
              <w:pStyle w:val="TableText0"/>
              <w:spacing w:before="40" w:after="40" w:line="240" w:lineRule="auto"/>
              <w:contextualSpacing/>
              <w:jc w:val="center"/>
              <w:rPr>
                <w:sz w:val="20"/>
                <w:szCs w:val="20"/>
              </w:rPr>
            </w:pPr>
            <w:r w:rsidRPr="00663D98">
              <w:rPr>
                <w:sz w:val="20"/>
                <w:szCs w:val="20"/>
              </w:rPr>
              <w:t>$</w:t>
            </w:r>
            <w:r w:rsidR="00C34BCC">
              <w:rPr>
                <w:noProof/>
                <w:color w:val="000000"/>
                <w:sz w:val="20"/>
                <w:szCs w:val="20"/>
                <w:highlight w:val="black"/>
              </w:rPr>
              <w:t>''''''''''''''''''''</w:t>
            </w:r>
          </w:p>
        </w:tc>
      </w:tr>
      <w:tr w:rsidR="005C2DD9" w:rsidRPr="00663D98" w:rsidTr="005C2DD9">
        <w:trPr>
          <w:trHeight w:val="95"/>
        </w:trPr>
        <w:tc>
          <w:tcPr>
            <w:tcW w:w="5000" w:type="pct"/>
            <w:gridSpan w:val="4"/>
            <w:tcBorders>
              <w:top w:val="double" w:sz="4" w:space="0" w:color="auto"/>
            </w:tcBorders>
            <w:vAlign w:val="bottom"/>
          </w:tcPr>
          <w:p w:rsidR="005C2DD9" w:rsidRPr="00663D98" w:rsidRDefault="005C2DD9" w:rsidP="005C2DD9">
            <w:pPr>
              <w:pStyle w:val="TableText0"/>
              <w:spacing w:before="40" w:after="40" w:line="240" w:lineRule="auto"/>
              <w:contextualSpacing/>
              <w:rPr>
                <w:sz w:val="20"/>
                <w:szCs w:val="20"/>
              </w:rPr>
            </w:pPr>
            <w:r w:rsidRPr="00663D98">
              <w:rPr>
                <w:b/>
                <w:sz w:val="20"/>
                <w:szCs w:val="20"/>
              </w:rPr>
              <w:t>Outcomes</w:t>
            </w:r>
          </w:p>
        </w:tc>
      </w:tr>
      <w:tr w:rsidR="00E95BB9" w:rsidRPr="00663D98" w:rsidTr="00DE6D99">
        <w:trPr>
          <w:trHeight w:val="78"/>
        </w:trPr>
        <w:tc>
          <w:tcPr>
            <w:tcW w:w="2220" w:type="pct"/>
            <w:vAlign w:val="bottom"/>
          </w:tcPr>
          <w:p w:rsidR="00E95BB9" w:rsidRPr="00663D98" w:rsidRDefault="00E95BB9" w:rsidP="00DE6D99">
            <w:pPr>
              <w:pStyle w:val="TableText0"/>
              <w:spacing w:before="40" w:after="40" w:line="240" w:lineRule="auto"/>
              <w:contextualSpacing/>
              <w:rPr>
                <w:sz w:val="20"/>
                <w:szCs w:val="20"/>
              </w:rPr>
            </w:pPr>
            <w:r w:rsidRPr="00663D98">
              <w:rPr>
                <w:sz w:val="20"/>
                <w:szCs w:val="20"/>
              </w:rPr>
              <w:t>Mean OS (in months)</w:t>
            </w:r>
          </w:p>
        </w:tc>
        <w:tc>
          <w:tcPr>
            <w:tcW w:w="1396" w:type="pct"/>
            <w:vAlign w:val="center"/>
          </w:tcPr>
          <w:p w:rsidR="00E95BB9" w:rsidRPr="00663D98" w:rsidRDefault="00E95BB9" w:rsidP="00DE6D99">
            <w:pPr>
              <w:pStyle w:val="TableText0"/>
              <w:spacing w:before="40" w:after="40" w:line="240" w:lineRule="auto"/>
              <w:contextualSpacing/>
              <w:jc w:val="center"/>
              <w:rPr>
                <w:sz w:val="20"/>
                <w:szCs w:val="20"/>
              </w:rPr>
            </w:pPr>
            <w:r w:rsidRPr="00663D98">
              <w:rPr>
                <w:sz w:val="20"/>
                <w:szCs w:val="20"/>
              </w:rPr>
              <w:t>10.0</w:t>
            </w:r>
          </w:p>
        </w:tc>
        <w:tc>
          <w:tcPr>
            <w:tcW w:w="763" w:type="pct"/>
            <w:vAlign w:val="center"/>
          </w:tcPr>
          <w:p w:rsidR="00E95BB9" w:rsidRPr="00663D98" w:rsidRDefault="00E95BB9" w:rsidP="00DE6D99">
            <w:pPr>
              <w:pStyle w:val="TableText0"/>
              <w:spacing w:before="40" w:after="40" w:line="240" w:lineRule="auto"/>
              <w:contextualSpacing/>
              <w:jc w:val="center"/>
              <w:rPr>
                <w:sz w:val="20"/>
                <w:szCs w:val="20"/>
              </w:rPr>
            </w:pPr>
            <w:r w:rsidRPr="00663D98">
              <w:rPr>
                <w:sz w:val="20"/>
                <w:szCs w:val="20"/>
              </w:rPr>
              <w:t>7.4</w:t>
            </w:r>
          </w:p>
        </w:tc>
        <w:tc>
          <w:tcPr>
            <w:tcW w:w="621" w:type="pct"/>
            <w:vAlign w:val="center"/>
          </w:tcPr>
          <w:p w:rsidR="00E95BB9" w:rsidRPr="00663D98" w:rsidRDefault="00E95BB9" w:rsidP="00DE6D99">
            <w:pPr>
              <w:pStyle w:val="TableText0"/>
              <w:spacing w:before="40" w:after="40" w:line="240" w:lineRule="auto"/>
              <w:contextualSpacing/>
              <w:jc w:val="center"/>
              <w:rPr>
                <w:sz w:val="20"/>
                <w:szCs w:val="20"/>
              </w:rPr>
            </w:pPr>
            <w:r w:rsidRPr="00663D98">
              <w:rPr>
                <w:sz w:val="20"/>
                <w:szCs w:val="20"/>
              </w:rPr>
              <w:t>2.6</w:t>
            </w:r>
          </w:p>
        </w:tc>
      </w:tr>
      <w:tr w:rsidR="00E95BB9" w:rsidRPr="00663D98" w:rsidTr="00DE6D99">
        <w:trPr>
          <w:trHeight w:val="67"/>
        </w:trPr>
        <w:tc>
          <w:tcPr>
            <w:tcW w:w="2220" w:type="pct"/>
            <w:vAlign w:val="bottom"/>
          </w:tcPr>
          <w:p w:rsidR="00E95BB9" w:rsidRPr="00663D98" w:rsidRDefault="00E95BB9" w:rsidP="00DE6D99">
            <w:pPr>
              <w:pStyle w:val="TableText0"/>
              <w:spacing w:before="40" w:after="40" w:line="240" w:lineRule="auto"/>
              <w:contextualSpacing/>
              <w:rPr>
                <w:sz w:val="20"/>
                <w:szCs w:val="20"/>
              </w:rPr>
            </w:pPr>
            <w:r w:rsidRPr="00663D98">
              <w:rPr>
                <w:sz w:val="20"/>
                <w:szCs w:val="20"/>
              </w:rPr>
              <w:t>Mean OS (in years)</w:t>
            </w:r>
          </w:p>
        </w:tc>
        <w:tc>
          <w:tcPr>
            <w:tcW w:w="1396" w:type="pct"/>
            <w:vAlign w:val="center"/>
          </w:tcPr>
          <w:p w:rsidR="00E95BB9" w:rsidRPr="00663D98" w:rsidRDefault="00E95BB9" w:rsidP="00DE6D99">
            <w:pPr>
              <w:pStyle w:val="TableText0"/>
              <w:spacing w:before="40" w:after="40" w:line="240" w:lineRule="auto"/>
              <w:contextualSpacing/>
              <w:jc w:val="center"/>
              <w:rPr>
                <w:sz w:val="20"/>
                <w:szCs w:val="20"/>
              </w:rPr>
            </w:pPr>
            <w:r w:rsidRPr="00663D98">
              <w:rPr>
                <w:sz w:val="20"/>
                <w:szCs w:val="20"/>
              </w:rPr>
              <w:t>0.84</w:t>
            </w:r>
          </w:p>
        </w:tc>
        <w:tc>
          <w:tcPr>
            <w:tcW w:w="763" w:type="pct"/>
            <w:vAlign w:val="center"/>
          </w:tcPr>
          <w:p w:rsidR="00E95BB9" w:rsidRPr="00663D98" w:rsidRDefault="00E95BB9" w:rsidP="00DE6D99">
            <w:pPr>
              <w:pStyle w:val="TableText0"/>
              <w:spacing w:before="40" w:after="40" w:line="240" w:lineRule="auto"/>
              <w:contextualSpacing/>
              <w:jc w:val="center"/>
              <w:rPr>
                <w:sz w:val="20"/>
                <w:szCs w:val="20"/>
              </w:rPr>
            </w:pPr>
            <w:r w:rsidRPr="00663D98">
              <w:rPr>
                <w:sz w:val="20"/>
                <w:szCs w:val="20"/>
              </w:rPr>
              <w:t>0.62</w:t>
            </w:r>
          </w:p>
        </w:tc>
        <w:tc>
          <w:tcPr>
            <w:tcW w:w="621" w:type="pct"/>
            <w:vAlign w:val="center"/>
          </w:tcPr>
          <w:p w:rsidR="00E95BB9" w:rsidRPr="00663D98" w:rsidRDefault="00E95BB9" w:rsidP="00DE6D99">
            <w:pPr>
              <w:pStyle w:val="TableText0"/>
              <w:spacing w:before="40" w:after="40" w:line="240" w:lineRule="auto"/>
              <w:contextualSpacing/>
              <w:jc w:val="center"/>
              <w:rPr>
                <w:sz w:val="20"/>
                <w:szCs w:val="20"/>
              </w:rPr>
            </w:pPr>
            <w:r w:rsidRPr="00663D98">
              <w:rPr>
                <w:sz w:val="20"/>
                <w:szCs w:val="20"/>
              </w:rPr>
              <w:t>0.22</w:t>
            </w:r>
          </w:p>
        </w:tc>
      </w:tr>
      <w:tr w:rsidR="00E95BB9" w:rsidRPr="00663D98" w:rsidTr="00DE6D99">
        <w:trPr>
          <w:trHeight w:val="200"/>
        </w:trPr>
        <w:tc>
          <w:tcPr>
            <w:tcW w:w="2220" w:type="pct"/>
            <w:tcBorders>
              <w:bottom w:val="double" w:sz="4" w:space="0" w:color="auto"/>
            </w:tcBorders>
            <w:vAlign w:val="bottom"/>
          </w:tcPr>
          <w:p w:rsidR="00E95BB9" w:rsidRPr="00663D98" w:rsidRDefault="00E95BB9" w:rsidP="00DE6D99">
            <w:pPr>
              <w:pStyle w:val="TableText0"/>
              <w:spacing w:before="40" w:after="40" w:line="240" w:lineRule="auto"/>
              <w:contextualSpacing/>
              <w:rPr>
                <w:sz w:val="20"/>
                <w:szCs w:val="20"/>
              </w:rPr>
            </w:pPr>
            <w:r w:rsidRPr="00663D98">
              <w:rPr>
                <w:sz w:val="20"/>
                <w:szCs w:val="20"/>
              </w:rPr>
              <w:t>Mean QALYs</w:t>
            </w:r>
          </w:p>
        </w:tc>
        <w:tc>
          <w:tcPr>
            <w:tcW w:w="1396" w:type="pct"/>
            <w:tcBorders>
              <w:bottom w:val="double" w:sz="4" w:space="0" w:color="auto"/>
            </w:tcBorders>
            <w:vAlign w:val="center"/>
          </w:tcPr>
          <w:p w:rsidR="00E95BB9" w:rsidRPr="00663D98" w:rsidRDefault="00E95BB9" w:rsidP="00DE6D99">
            <w:pPr>
              <w:pStyle w:val="TableText0"/>
              <w:spacing w:before="40" w:after="40" w:line="240" w:lineRule="auto"/>
              <w:contextualSpacing/>
              <w:jc w:val="center"/>
              <w:rPr>
                <w:sz w:val="20"/>
                <w:szCs w:val="20"/>
              </w:rPr>
            </w:pPr>
            <w:r w:rsidRPr="00663D98">
              <w:rPr>
                <w:sz w:val="20"/>
                <w:szCs w:val="20"/>
              </w:rPr>
              <w:t>0.54</w:t>
            </w:r>
          </w:p>
        </w:tc>
        <w:tc>
          <w:tcPr>
            <w:tcW w:w="763" w:type="pct"/>
            <w:tcBorders>
              <w:bottom w:val="double" w:sz="4" w:space="0" w:color="auto"/>
            </w:tcBorders>
            <w:vAlign w:val="center"/>
          </w:tcPr>
          <w:p w:rsidR="00E95BB9" w:rsidRPr="00663D98" w:rsidRDefault="00E95BB9" w:rsidP="00DE6D99">
            <w:pPr>
              <w:pStyle w:val="TableText0"/>
              <w:spacing w:before="40" w:after="40" w:line="240" w:lineRule="auto"/>
              <w:contextualSpacing/>
              <w:jc w:val="center"/>
              <w:rPr>
                <w:sz w:val="20"/>
                <w:szCs w:val="20"/>
              </w:rPr>
            </w:pPr>
            <w:r w:rsidRPr="00663D98">
              <w:rPr>
                <w:sz w:val="20"/>
                <w:szCs w:val="20"/>
              </w:rPr>
              <w:t>0.39</w:t>
            </w:r>
          </w:p>
        </w:tc>
        <w:tc>
          <w:tcPr>
            <w:tcW w:w="621" w:type="pct"/>
            <w:tcBorders>
              <w:bottom w:val="double" w:sz="4" w:space="0" w:color="auto"/>
            </w:tcBorders>
            <w:vAlign w:val="center"/>
          </w:tcPr>
          <w:p w:rsidR="00E95BB9" w:rsidRPr="00663D98" w:rsidRDefault="00E95BB9" w:rsidP="00DE6D99">
            <w:pPr>
              <w:pStyle w:val="TableText0"/>
              <w:spacing w:before="40" w:after="40" w:line="240" w:lineRule="auto"/>
              <w:contextualSpacing/>
              <w:jc w:val="center"/>
              <w:rPr>
                <w:sz w:val="20"/>
                <w:szCs w:val="20"/>
              </w:rPr>
            </w:pPr>
            <w:r w:rsidRPr="00663D98">
              <w:rPr>
                <w:sz w:val="20"/>
                <w:szCs w:val="20"/>
              </w:rPr>
              <w:t>0.15</w:t>
            </w:r>
          </w:p>
        </w:tc>
      </w:tr>
      <w:tr w:rsidR="00E95BB9" w:rsidRPr="00663D98" w:rsidTr="00DE6D99">
        <w:trPr>
          <w:trHeight w:val="227"/>
        </w:trPr>
        <w:tc>
          <w:tcPr>
            <w:tcW w:w="4379" w:type="pct"/>
            <w:gridSpan w:val="3"/>
            <w:tcBorders>
              <w:top w:val="double" w:sz="4" w:space="0" w:color="auto"/>
            </w:tcBorders>
            <w:vAlign w:val="center"/>
          </w:tcPr>
          <w:p w:rsidR="00E95BB9" w:rsidRPr="00663D98" w:rsidRDefault="00E95BB9" w:rsidP="00DE6D99">
            <w:pPr>
              <w:pStyle w:val="TableText0"/>
              <w:spacing w:before="40" w:after="40" w:line="240" w:lineRule="auto"/>
              <w:contextualSpacing/>
              <w:jc w:val="right"/>
              <w:rPr>
                <w:sz w:val="20"/>
                <w:szCs w:val="20"/>
              </w:rPr>
            </w:pPr>
            <w:r w:rsidRPr="00663D98">
              <w:rPr>
                <w:sz w:val="20"/>
                <w:szCs w:val="20"/>
              </w:rPr>
              <w:t>Incremental cost of trifluridine/tipiracil vs placebo per LY gained:</w:t>
            </w:r>
          </w:p>
        </w:tc>
        <w:tc>
          <w:tcPr>
            <w:tcW w:w="621" w:type="pct"/>
            <w:tcBorders>
              <w:top w:val="double" w:sz="4" w:space="0" w:color="auto"/>
            </w:tcBorders>
            <w:vAlign w:val="center"/>
          </w:tcPr>
          <w:p w:rsidR="00E95BB9" w:rsidRPr="00663D98" w:rsidRDefault="00E95BB9" w:rsidP="00F618C3">
            <w:pPr>
              <w:pStyle w:val="TableText0"/>
              <w:spacing w:before="40" w:after="40" w:line="240" w:lineRule="auto"/>
              <w:contextualSpacing/>
              <w:jc w:val="center"/>
              <w:rPr>
                <w:sz w:val="20"/>
                <w:szCs w:val="20"/>
              </w:rPr>
            </w:pPr>
            <w:r w:rsidRPr="00663D98">
              <w:rPr>
                <w:sz w:val="20"/>
                <w:szCs w:val="20"/>
              </w:rPr>
              <w:t>$</w:t>
            </w:r>
            <w:r w:rsidR="00C34BCC">
              <w:rPr>
                <w:noProof/>
                <w:color w:val="000000"/>
                <w:sz w:val="20"/>
                <w:szCs w:val="20"/>
                <w:highlight w:val="black"/>
              </w:rPr>
              <w:t>''''''''''''''''</w:t>
            </w:r>
          </w:p>
        </w:tc>
      </w:tr>
      <w:tr w:rsidR="00E95BB9" w:rsidRPr="00663D98" w:rsidTr="00DE6D99">
        <w:trPr>
          <w:trHeight w:val="227"/>
        </w:trPr>
        <w:tc>
          <w:tcPr>
            <w:tcW w:w="4379" w:type="pct"/>
            <w:gridSpan w:val="3"/>
            <w:vAlign w:val="center"/>
          </w:tcPr>
          <w:p w:rsidR="00E95BB9" w:rsidRPr="00663D98" w:rsidRDefault="00E95BB9" w:rsidP="00DE6D99">
            <w:pPr>
              <w:pStyle w:val="TableText0"/>
              <w:spacing w:before="40" w:after="40" w:line="240" w:lineRule="auto"/>
              <w:contextualSpacing/>
              <w:jc w:val="right"/>
              <w:rPr>
                <w:b/>
                <w:sz w:val="20"/>
                <w:szCs w:val="20"/>
              </w:rPr>
            </w:pPr>
            <w:r w:rsidRPr="00663D98">
              <w:rPr>
                <w:b/>
                <w:sz w:val="20"/>
                <w:szCs w:val="20"/>
              </w:rPr>
              <w:t>Incremental cost of trifluridine/tipiracil vs placebo per QALY gained:</w:t>
            </w:r>
          </w:p>
        </w:tc>
        <w:tc>
          <w:tcPr>
            <w:tcW w:w="621" w:type="pct"/>
            <w:vAlign w:val="center"/>
          </w:tcPr>
          <w:p w:rsidR="00E95BB9" w:rsidRPr="00663D98" w:rsidRDefault="00E95BB9" w:rsidP="00F618C3">
            <w:pPr>
              <w:pStyle w:val="TableText0"/>
              <w:spacing w:before="40" w:after="40" w:line="240" w:lineRule="auto"/>
              <w:contextualSpacing/>
              <w:jc w:val="center"/>
              <w:rPr>
                <w:b/>
                <w:sz w:val="20"/>
                <w:szCs w:val="20"/>
              </w:rPr>
            </w:pPr>
            <w:r w:rsidRPr="00663D98">
              <w:rPr>
                <w:b/>
                <w:sz w:val="20"/>
                <w:szCs w:val="20"/>
              </w:rPr>
              <w:t>$</w:t>
            </w:r>
            <w:r w:rsidR="00C34BCC">
              <w:rPr>
                <w:b/>
                <w:noProof/>
                <w:color w:val="000000"/>
                <w:sz w:val="20"/>
                <w:szCs w:val="20"/>
                <w:highlight w:val="black"/>
              </w:rPr>
              <w:t>''''''''''''''</w:t>
            </w:r>
          </w:p>
        </w:tc>
      </w:tr>
    </w:tbl>
    <w:p w:rsidR="00E95BB9" w:rsidRPr="00663D98" w:rsidRDefault="00E95BB9" w:rsidP="00E95BB9">
      <w:pPr>
        <w:pStyle w:val="TableFooter"/>
        <w:widowControl/>
        <w:rPr>
          <w:szCs w:val="18"/>
        </w:rPr>
      </w:pPr>
      <w:r w:rsidRPr="00663D98">
        <w:rPr>
          <w:szCs w:val="18"/>
        </w:rPr>
        <w:t>Abbreviations: AE = adverse event; OS = overall survival; QALY = quality adjusted life year</w:t>
      </w:r>
    </w:p>
    <w:p w:rsidR="00E95BB9" w:rsidRPr="00663D98" w:rsidRDefault="00E95BB9" w:rsidP="00E95BB9">
      <w:pPr>
        <w:jc w:val="both"/>
        <w:rPr>
          <w:rFonts w:ascii="Arial Narrow" w:hAnsi="Arial Narrow"/>
          <w:sz w:val="18"/>
          <w:szCs w:val="18"/>
        </w:rPr>
      </w:pPr>
      <w:r w:rsidRPr="00663D98">
        <w:rPr>
          <w:rFonts w:ascii="Arial Narrow" w:hAnsi="Arial Narrow"/>
          <w:sz w:val="18"/>
          <w:szCs w:val="18"/>
        </w:rPr>
        <w:t xml:space="preserve">Source: </w:t>
      </w:r>
      <w:r w:rsidR="00F618C3" w:rsidRPr="00663D98">
        <w:rPr>
          <w:rFonts w:ascii="Arial Narrow" w:hAnsi="Arial Narrow"/>
          <w:sz w:val="18"/>
          <w:szCs w:val="18"/>
        </w:rPr>
        <w:t xml:space="preserve">2. Revised </w:t>
      </w:r>
      <w:r w:rsidR="00823CC6" w:rsidRPr="00663D98">
        <w:rPr>
          <w:rFonts w:ascii="Arial Narrow" w:hAnsi="Arial Narrow"/>
          <w:sz w:val="18"/>
          <w:szCs w:val="18"/>
        </w:rPr>
        <w:t>e</w:t>
      </w:r>
      <w:r w:rsidRPr="00663D98">
        <w:rPr>
          <w:rFonts w:ascii="Arial Narrow" w:hAnsi="Arial Narrow"/>
          <w:sz w:val="18"/>
          <w:szCs w:val="18"/>
        </w:rPr>
        <w:t>conomic &amp; fi</w:t>
      </w:r>
      <w:r w:rsidR="00F618C3" w:rsidRPr="00663D98">
        <w:rPr>
          <w:rFonts w:ascii="Arial Narrow" w:hAnsi="Arial Narrow"/>
          <w:sz w:val="18"/>
          <w:szCs w:val="18"/>
        </w:rPr>
        <w:t xml:space="preserve">nancial </w:t>
      </w:r>
      <w:r w:rsidR="005C2DD9" w:rsidRPr="00663D98">
        <w:rPr>
          <w:rFonts w:ascii="Arial Narrow" w:hAnsi="Arial Narrow"/>
          <w:sz w:val="18"/>
          <w:szCs w:val="18"/>
        </w:rPr>
        <w:t>analyses -</w:t>
      </w:r>
      <w:r w:rsidR="00823CC6" w:rsidRPr="00663D98">
        <w:rPr>
          <w:rFonts w:ascii="Arial Narrow" w:hAnsi="Arial Narrow"/>
          <w:sz w:val="18"/>
          <w:szCs w:val="18"/>
        </w:rPr>
        <w:t xml:space="preserve"> </w:t>
      </w:r>
      <w:r w:rsidR="00F618C3" w:rsidRPr="00663D98">
        <w:rPr>
          <w:rFonts w:ascii="Arial Narrow" w:hAnsi="Arial Narrow"/>
          <w:sz w:val="18"/>
          <w:szCs w:val="18"/>
        </w:rPr>
        <w:t>LONSURF</w:t>
      </w:r>
      <w:r w:rsidR="00823CC6" w:rsidRPr="00663D98">
        <w:rPr>
          <w:rFonts w:ascii="Arial Narrow" w:hAnsi="Arial Narrow"/>
          <w:sz w:val="18"/>
          <w:szCs w:val="18"/>
        </w:rPr>
        <w:t xml:space="preserve"> - </w:t>
      </w:r>
      <w:r w:rsidR="005C2DD9" w:rsidRPr="00663D98">
        <w:rPr>
          <w:rFonts w:ascii="Arial Narrow" w:hAnsi="Arial Narrow"/>
          <w:sz w:val="18"/>
          <w:szCs w:val="18"/>
        </w:rPr>
        <w:t>mCRC -</w:t>
      </w:r>
      <w:r w:rsidR="00F618C3" w:rsidRPr="00663D98">
        <w:rPr>
          <w:rFonts w:ascii="Arial Narrow" w:hAnsi="Arial Narrow"/>
          <w:sz w:val="18"/>
          <w:szCs w:val="18"/>
        </w:rPr>
        <w:t xml:space="preserve"> Jul</w:t>
      </w:r>
      <w:r w:rsidRPr="00663D98">
        <w:rPr>
          <w:rFonts w:ascii="Arial Narrow" w:hAnsi="Arial Narrow"/>
          <w:sz w:val="18"/>
          <w:szCs w:val="18"/>
        </w:rPr>
        <w:t xml:space="preserve"> 2018 resub</w:t>
      </w:r>
      <w:r w:rsidR="00F618C3" w:rsidRPr="00663D98">
        <w:rPr>
          <w:rFonts w:ascii="Arial Narrow" w:hAnsi="Arial Narrow"/>
          <w:sz w:val="18"/>
          <w:szCs w:val="18"/>
        </w:rPr>
        <w:t>mission - FINAL</w:t>
      </w:r>
      <w:r w:rsidRPr="00663D98">
        <w:rPr>
          <w:rFonts w:ascii="Arial Narrow" w:hAnsi="Arial Narrow"/>
          <w:sz w:val="18"/>
          <w:szCs w:val="18"/>
        </w:rPr>
        <w:t xml:space="preserve"> Excel workbook provided with the submission </w:t>
      </w:r>
    </w:p>
    <w:p w:rsidR="00F20195" w:rsidRPr="00663D98" w:rsidRDefault="00F20195" w:rsidP="00E95BB9">
      <w:pPr>
        <w:jc w:val="both"/>
        <w:rPr>
          <w:rFonts w:ascii="Arial Narrow" w:hAnsi="Arial Narrow"/>
          <w:sz w:val="18"/>
          <w:szCs w:val="18"/>
        </w:rPr>
      </w:pPr>
    </w:p>
    <w:p w:rsidR="00F20195" w:rsidRPr="00663D98" w:rsidRDefault="00F20195" w:rsidP="00226A45">
      <w:pPr>
        <w:pStyle w:val="ListParagraph"/>
        <w:widowControl/>
        <w:numPr>
          <w:ilvl w:val="1"/>
          <w:numId w:val="5"/>
        </w:numPr>
        <w:spacing w:after="120"/>
        <w:contextualSpacing w:val="0"/>
        <w:rPr>
          <w:rFonts w:asciiTheme="minorHAnsi" w:eastAsiaTheme="minorHAnsi" w:hAnsiTheme="minorHAnsi" w:cstheme="minorBidi"/>
          <w:snapToGrid/>
          <w:color w:val="000000" w:themeColor="text1"/>
          <w:sz w:val="24"/>
          <w:szCs w:val="22"/>
        </w:rPr>
      </w:pPr>
      <w:r w:rsidRPr="00663D98">
        <w:rPr>
          <w:rFonts w:asciiTheme="minorHAnsi" w:eastAsiaTheme="minorHAnsi" w:hAnsiTheme="minorHAnsi" w:cstheme="minorBidi"/>
          <w:snapToGrid/>
          <w:color w:val="000000" w:themeColor="text1"/>
          <w:sz w:val="24"/>
          <w:szCs w:val="22"/>
        </w:rPr>
        <w:t xml:space="preserve">The revised economic analysis which incorporates the </w:t>
      </w:r>
      <w:r w:rsidR="000F1239" w:rsidRPr="00663D98">
        <w:rPr>
          <w:rFonts w:asciiTheme="minorHAnsi" w:eastAsiaTheme="minorHAnsi" w:hAnsiTheme="minorHAnsi" w:cstheme="minorBidi"/>
          <w:snapToGrid/>
          <w:color w:val="000000" w:themeColor="text1"/>
          <w:sz w:val="24"/>
          <w:szCs w:val="22"/>
        </w:rPr>
        <w:t xml:space="preserve">revised </w:t>
      </w:r>
      <w:r w:rsidR="00C34BCC">
        <w:rPr>
          <w:rFonts w:asciiTheme="minorHAnsi" w:eastAsiaTheme="minorHAnsi" w:hAnsiTheme="minorHAnsi" w:cstheme="minorBidi"/>
          <w:noProof/>
          <w:snapToGrid/>
          <w:color w:val="000000"/>
          <w:sz w:val="24"/>
          <w:szCs w:val="22"/>
          <w:highlight w:val="black"/>
        </w:rPr>
        <w:t>'''''</w:t>
      </w:r>
      <w:r w:rsidR="000F1239" w:rsidRPr="00663D98">
        <w:rPr>
          <w:rFonts w:asciiTheme="minorHAnsi" w:eastAsiaTheme="minorHAnsi" w:hAnsiTheme="minorHAnsi" w:cstheme="minorBidi"/>
          <w:snapToGrid/>
          <w:color w:val="000000" w:themeColor="text1"/>
          <w:sz w:val="24"/>
          <w:szCs w:val="22"/>
        </w:rPr>
        <w:t>%</w:t>
      </w:r>
      <w:r w:rsidRPr="00663D98">
        <w:rPr>
          <w:rFonts w:asciiTheme="minorHAnsi" w:eastAsiaTheme="minorHAnsi" w:hAnsiTheme="minorHAnsi" w:cstheme="minorBidi"/>
          <w:snapToGrid/>
          <w:color w:val="000000" w:themeColor="text1"/>
          <w:sz w:val="24"/>
          <w:szCs w:val="22"/>
        </w:rPr>
        <w:t xml:space="preserve"> rebate and resulted in a base case ICER of $</w:t>
      </w:r>
      <w:r w:rsidR="00226A45" w:rsidRPr="00226A45">
        <w:rPr>
          <w:rFonts w:asciiTheme="minorHAnsi" w:eastAsiaTheme="minorHAnsi" w:hAnsiTheme="minorHAnsi" w:cstheme="minorBidi"/>
          <w:snapToGrid/>
          <w:color w:val="000000" w:themeColor="text1"/>
          <w:sz w:val="24"/>
          <w:szCs w:val="22"/>
        </w:rPr>
        <w:t xml:space="preserve">15,000 - $45,000 </w:t>
      </w:r>
      <w:r w:rsidRPr="00663D98">
        <w:rPr>
          <w:rFonts w:asciiTheme="minorHAnsi" w:eastAsiaTheme="minorHAnsi" w:hAnsiTheme="minorHAnsi" w:cstheme="minorBidi"/>
          <w:snapToGrid/>
          <w:color w:val="000000" w:themeColor="text1"/>
          <w:sz w:val="24"/>
          <w:szCs w:val="22"/>
        </w:rPr>
        <w:t>per QALY gained.</w:t>
      </w:r>
    </w:p>
    <w:p w:rsidR="003B125C" w:rsidRPr="00663D98" w:rsidRDefault="002457EB" w:rsidP="00F20195">
      <w:pPr>
        <w:pStyle w:val="ListParagraph"/>
        <w:widowControl/>
        <w:numPr>
          <w:ilvl w:val="1"/>
          <w:numId w:val="5"/>
        </w:numPr>
        <w:spacing w:after="120"/>
        <w:contextualSpacing w:val="0"/>
        <w:rPr>
          <w:rFonts w:asciiTheme="minorHAnsi" w:eastAsiaTheme="minorHAnsi" w:hAnsiTheme="minorHAnsi" w:cstheme="minorBidi"/>
          <w:snapToGrid/>
          <w:color w:val="000000" w:themeColor="text1"/>
          <w:sz w:val="24"/>
          <w:szCs w:val="22"/>
        </w:rPr>
      </w:pPr>
      <w:r w:rsidRPr="00663D98">
        <w:rPr>
          <w:rFonts w:asciiTheme="minorHAnsi" w:eastAsiaTheme="minorHAnsi" w:hAnsiTheme="minorHAnsi" w:cstheme="minorBidi"/>
          <w:snapToGrid/>
          <w:color w:val="000000" w:themeColor="text1"/>
          <w:sz w:val="24"/>
          <w:szCs w:val="22"/>
        </w:rPr>
        <w:t xml:space="preserve">The minor resubmission also presented </w:t>
      </w:r>
      <w:r w:rsidR="00BD0995" w:rsidRPr="00663D98">
        <w:rPr>
          <w:rFonts w:asciiTheme="minorHAnsi" w:eastAsiaTheme="minorHAnsi" w:hAnsiTheme="minorHAnsi" w:cstheme="minorBidi"/>
          <w:snapToGrid/>
          <w:color w:val="000000" w:themeColor="text1"/>
          <w:sz w:val="24"/>
          <w:szCs w:val="22"/>
        </w:rPr>
        <w:t xml:space="preserve">results from the </w:t>
      </w:r>
      <w:r w:rsidRPr="00663D98">
        <w:rPr>
          <w:rFonts w:asciiTheme="minorHAnsi" w:eastAsiaTheme="minorHAnsi" w:hAnsiTheme="minorHAnsi" w:cstheme="minorBidi"/>
          <w:snapToGrid/>
          <w:color w:val="000000" w:themeColor="text1"/>
          <w:sz w:val="24"/>
          <w:szCs w:val="22"/>
        </w:rPr>
        <w:t>same sensitivity analysis</w:t>
      </w:r>
      <w:r w:rsidR="00061B6F" w:rsidRPr="00663D98">
        <w:rPr>
          <w:rFonts w:asciiTheme="minorHAnsi" w:eastAsiaTheme="minorHAnsi" w:hAnsiTheme="minorHAnsi" w:cstheme="minorBidi"/>
          <w:snapToGrid/>
          <w:color w:val="000000" w:themeColor="text1"/>
          <w:sz w:val="24"/>
          <w:szCs w:val="22"/>
        </w:rPr>
        <w:t xml:space="preserve"> (updated to include the revised </w:t>
      </w:r>
      <w:r w:rsidR="00C34BCC">
        <w:rPr>
          <w:rFonts w:asciiTheme="minorHAnsi" w:eastAsiaTheme="minorHAnsi" w:hAnsiTheme="minorHAnsi" w:cstheme="minorBidi"/>
          <w:noProof/>
          <w:snapToGrid/>
          <w:color w:val="000000"/>
          <w:sz w:val="24"/>
          <w:szCs w:val="22"/>
          <w:highlight w:val="black"/>
        </w:rPr>
        <w:t>'''''</w:t>
      </w:r>
      <w:r w:rsidR="00061B6F" w:rsidRPr="00663D98">
        <w:rPr>
          <w:rFonts w:asciiTheme="minorHAnsi" w:eastAsiaTheme="minorHAnsi" w:hAnsiTheme="minorHAnsi" w:cstheme="minorBidi"/>
          <w:snapToGrid/>
          <w:color w:val="000000" w:themeColor="text1"/>
          <w:sz w:val="24"/>
          <w:szCs w:val="22"/>
        </w:rPr>
        <w:t>% rebate)</w:t>
      </w:r>
      <w:r w:rsidRPr="00663D98">
        <w:rPr>
          <w:rFonts w:asciiTheme="minorHAnsi" w:eastAsiaTheme="minorHAnsi" w:hAnsiTheme="minorHAnsi" w:cstheme="minorBidi"/>
          <w:snapToGrid/>
          <w:color w:val="000000" w:themeColor="text1"/>
          <w:sz w:val="24"/>
          <w:szCs w:val="22"/>
        </w:rPr>
        <w:t xml:space="preserve"> presented in the previous March 2018 and November 2017 minor submissions which attempted to stimulate a ‘</w:t>
      </w:r>
      <w:r w:rsidR="00A619EF" w:rsidRPr="00663D98">
        <w:rPr>
          <w:rFonts w:asciiTheme="minorHAnsi" w:eastAsiaTheme="minorHAnsi" w:hAnsiTheme="minorHAnsi" w:cstheme="minorBidi"/>
          <w:snapToGrid/>
          <w:color w:val="000000" w:themeColor="text1"/>
          <w:sz w:val="24"/>
          <w:szCs w:val="22"/>
        </w:rPr>
        <w:t>worst</w:t>
      </w:r>
      <w:r w:rsidRPr="00663D98">
        <w:rPr>
          <w:rFonts w:asciiTheme="minorHAnsi" w:eastAsiaTheme="minorHAnsi" w:hAnsiTheme="minorHAnsi" w:cstheme="minorBidi"/>
          <w:snapToGrid/>
          <w:color w:val="000000" w:themeColor="text1"/>
          <w:sz w:val="24"/>
          <w:szCs w:val="22"/>
        </w:rPr>
        <w:t xml:space="preserve"> case’ scenario assuming:</w:t>
      </w:r>
    </w:p>
    <w:p w:rsidR="00EF1226" w:rsidRPr="00663D98" w:rsidRDefault="00EF1226" w:rsidP="005C2DD9">
      <w:pPr>
        <w:pStyle w:val="ListParagraph"/>
        <w:numPr>
          <w:ilvl w:val="0"/>
          <w:numId w:val="15"/>
        </w:numPr>
        <w:spacing w:after="120"/>
        <w:ind w:left="1077" w:hanging="357"/>
        <w:rPr>
          <w:rFonts w:asciiTheme="minorHAnsi" w:eastAsiaTheme="minorHAnsi" w:hAnsiTheme="minorHAnsi" w:cstheme="minorBidi"/>
          <w:snapToGrid/>
          <w:color w:val="000000" w:themeColor="text1"/>
          <w:sz w:val="24"/>
          <w:szCs w:val="22"/>
        </w:rPr>
      </w:pPr>
      <w:r w:rsidRPr="00663D98">
        <w:rPr>
          <w:rFonts w:asciiTheme="minorHAnsi" w:eastAsiaTheme="minorHAnsi" w:hAnsiTheme="minorHAnsi" w:cstheme="minorBidi"/>
          <w:snapToGrid/>
          <w:color w:val="000000" w:themeColor="text1"/>
          <w:sz w:val="24"/>
          <w:szCs w:val="22"/>
        </w:rPr>
        <w:t>No benefit of treatment in patients who received granulocyte colony stimulating factors (G-CSF). Placebo outcomes were applied for the 9.4% of patients in the trifluridine/tipiracil arm treated with G-CSF, and the costs for G-CSF were also removed.</w:t>
      </w:r>
    </w:p>
    <w:p w:rsidR="00EF1226" w:rsidRPr="00663D98" w:rsidRDefault="00EF1226" w:rsidP="005C2DD9">
      <w:pPr>
        <w:pStyle w:val="ListParagraph"/>
        <w:numPr>
          <w:ilvl w:val="0"/>
          <w:numId w:val="15"/>
        </w:numPr>
        <w:spacing w:after="120"/>
        <w:ind w:left="1077" w:hanging="357"/>
        <w:rPr>
          <w:rFonts w:asciiTheme="minorHAnsi" w:eastAsiaTheme="minorHAnsi" w:hAnsiTheme="minorHAnsi" w:cstheme="minorBidi"/>
          <w:snapToGrid/>
          <w:color w:val="000000" w:themeColor="text1"/>
          <w:sz w:val="24"/>
          <w:szCs w:val="22"/>
        </w:rPr>
      </w:pPr>
      <w:r w:rsidRPr="00663D98">
        <w:rPr>
          <w:rFonts w:asciiTheme="minorHAnsi" w:eastAsiaTheme="minorHAnsi" w:hAnsiTheme="minorHAnsi" w:cstheme="minorBidi"/>
          <w:snapToGrid/>
          <w:color w:val="000000" w:themeColor="text1"/>
          <w:sz w:val="24"/>
          <w:szCs w:val="22"/>
        </w:rPr>
        <w:t xml:space="preserve">Quality of life for patients treated with trifluridine/tipiracil is considered to be no better than for patients treated with regorafenib. The utility value applied to patients in the progression-free health state is the unadjusted regorafenib trial utility value for the progression-free health state of 0.73 without the adjustment of a 2.5% increase (utility value for progression-free health state in the base-case analysis is 0.75). </w:t>
      </w:r>
    </w:p>
    <w:p w:rsidR="00BE5C8E" w:rsidRPr="00663D98" w:rsidRDefault="00BE5C8E" w:rsidP="00226A45">
      <w:pPr>
        <w:spacing w:after="120"/>
        <w:ind w:left="720"/>
        <w:rPr>
          <w:rFonts w:asciiTheme="minorHAnsi" w:eastAsiaTheme="minorHAnsi" w:hAnsiTheme="minorHAnsi" w:cstheme="minorBidi"/>
          <w:color w:val="000000" w:themeColor="text1"/>
          <w:szCs w:val="22"/>
        </w:rPr>
      </w:pPr>
      <w:r w:rsidRPr="00663D98">
        <w:rPr>
          <w:rFonts w:asciiTheme="minorHAnsi" w:eastAsiaTheme="minorHAnsi" w:hAnsiTheme="minorHAnsi" w:cstheme="minorBidi"/>
          <w:color w:val="000000" w:themeColor="text1"/>
          <w:szCs w:val="22"/>
        </w:rPr>
        <w:t>The resulting ICER from the sensitivity analysis was $</w:t>
      </w:r>
      <w:r w:rsidR="00226A45">
        <w:rPr>
          <w:rFonts w:asciiTheme="minorHAnsi" w:eastAsiaTheme="minorHAnsi" w:hAnsiTheme="minorHAnsi" w:cstheme="minorBidi"/>
          <w:color w:val="000000" w:themeColor="text1"/>
          <w:szCs w:val="22"/>
        </w:rPr>
        <w:t>15,000 - $45,000</w:t>
      </w:r>
      <w:r w:rsidRPr="00663D98">
        <w:rPr>
          <w:rFonts w:asciiTheme="minorHAnsi" w:eastAsiaTheme="minorHAnsi" w:hAnsiTheme="minorHAnsi" w:cstheme="minorBidi"/>
          <w:color w:val="000000" w:themeColor="text1"/>
          <w:szCs w:val="22"/>
        </w:rPr>
        <w:t xml:space="preserve"> per QALY gained.</w:t>
      </w:r>
    </w:p>
    <w:p w:rsidR="00883719" w:rsidRPr="00663D98" w:rsidRDefault="00883719" w:rsidP="00883719">
      <w:pPr>
        <w:pStyle w:val="ListParagraph"/>
        <w:numPr>
          <w:ilvl w:val="1"/>
          <w:numId w:val="5"/>
        </w:numPr>
        <w:rPr>
          <w:rFonts w:asciiTheme="minorHAnsi" w:eastAsiaTheme="minorHAnsi" w:hAnsiTheme="minorHAnsi" w:cstheme="minorBidi"/>
          <w:snapToGrid/>
          <w:color w:val="000000" w:themeColor="text1"/>
          <w:sz w:val="24"/>
          <w:szCs w:val="22"/>
        </w:rPr>
      </w:pPr>
      <w:r w:rsidRPr="00663D98">
        <w:rPr>
          <w:rFonts w:asciiTheme="minorHAnsi" w:eastAsiaTheme="minorHAnsi" w:hAnsiTheme="minorHAnsi" w:cstheme="minorBidi"/>
          <w:snapToGrid/>
          <w:color w:val="000000" w:themeColor="text1"/>
          <w:sz w:val="24"/>
          <w:szCs w:val="22"/>
        </w:rPr>
        <w:t xml:space="preserve">The PBAC previously considered this sensitivity analysis addressed only one aspect of the potential differences between the trial and likely PBS population (i.e. that G-CSF is not routinely used in Australia in patients with metastatic disease), and it did not adequately address that the PBS population are likely to have additional and/or more extensive comorbidities compared with the trial patients (paragraph 5.9, November 2017 </w:t>
      </w:r>
      <w:r w:rsidR="007E0C70" w:rsidRPr="00663D98">
        <w:rPr>
          <w:rFonts w:asciiTheme="minorHAnsi" w:eastAsiaTheme="minorHAnsi" w:hAnsiTheme="minorHAnsi" w:cstheme="minorBidi"/>
          <w:snapToGrid/>
          <w:color w:val="000000" w:themeColor="text1"/>
          <w:sz w:val="24"/>
          <w:szCs w:val="22"/>
        </w:rPr>
        <w:t>PSD</w:t>
      </w:r>
      <w:r w:rsidRPr="00663D98">
        <w:rPr>
          <w:rFonts w:asciiTheme="minorHAnsi" w:eastAsiaTheme="minorHAnsi" w:hAnsiTheme="minorHAnsi" w:cstheme="minorBidi"/>
          <w:snapToGrid/>
          <w:color w:val="000000" w:themeColor="text1"/>
          <w:sz w:val="24"/>
          <w:szCs w:val="22"/>
        </w:rPr>
        <w:t>).</w:t>
      </w:r>
    </w:p>
    <w:p w:rsidR="003C2FB5" w:rsidRPr="00663D98" w:rsidRDefault="0093066C" w:rsidP="008306F3">
      <w:pPr>
        <w:pStyle w:val="Heading2"/>
        <w:keepLines/>
        <w:spacing w:before="240" w:after="120"/>
        <w:rPr>
          <w:rFonts w:asciiTheme="minorHAnsi" w:eastAsiaTheme="majorEastAsia" w:hAnsiTheme="minorHAnsi" w:cstheme="majorBidi"/>
          <w:sz w:val="28"/>
          <w:szCs w:val="28"/>
          <w:lang w:eastAsia="en-US"/>
        </w:rPr>
      </w:pPr>
      <w:r w:rsidRPr="00663D98">
        <w:rPr>
          <w:rFonts w:asciiTheme="minorHAnsi" w:eastAsiaTheme="majorEastAsia" w:hAnsiTheme="minorHAnsi" w:cstheme="majorBidi"/>
          <w:sz w:val="28"/>
          <w:szCs w:val="28"/>
          <w:lang w:eastAsia="en-US"/>
        </w:rPr>
        <w:t>Drug cost/patient/</w:t>
      </w:r>
      <w:r w:rsidR="005034F3" w:rsidRPr="00663D98">
        <w:rPr>
          <w:rFonts w:asciiTheme="minorHAnsi" w:eastAsiaTheme="majorEastAsia" w:hAnsiTheme="minorHAnsi" w:cstheme="majorBidi"/>
          <w:sz w:val="28"/>
          <w:szCs w:val="28"/>
          <w:lang w:eastAsia="en-US"/>
        </w:rPr>
        <w:t>course</w:t>
      </w:r>
      <w:r w:rsidRPr="00663D98">
        <w:rPr>
          <w:rFonts w:asciiTheme="minorHAnsi" w:eastAsiaTheme="majorEastAsia" w:hAnsiTheme="minorHAnsi" w:cstheme="majorBidi"/>
          <w:sz w:val="28"/>
          <w:szCs w:val="28"/>
          <w:lang w:eastAsia="en-US"/>
        </w:rPr>
        <w:t>: $</w:t>
      </w:r>
      <w:r w:rsidR="00C34BCC">
        <w:rPr>
          <w:rFonts w:asciiTheme="minorHAnsi" w:eastAsiaTheme="majorEastAsia" w:hAnsiTheme="minorHAnsi" w:cstheme="majorBidi"/>
          <w:noProof/>
          <w:color w:val="000000"/>
          <w:sz w:val="28"/>
          <w:szCs w:val="28"/>
          <w:highlight w:val="black"/>
          <w:lang w:eastAsia="en-US"/>
        </w:rPr>
        <w:t>''''''''''</w:t>
      </w:r>
    </w:p>
    <w:p w:rsidR="00BC2F8A" w:rsidRPr="00663D98" w:rsidRDefault="00AC69D8" w:rsidP="00BC2F8A">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663D98">
        <w:rPr>
          <w:rFonts w:asciiTheme="minorHAnsi" w:eastAsiaTheme="minorHAnsi" w:hAnsiTheme="minorHAnsi" w:cstheme="minorBidi"/>
          <w:snapToGrid/>
          <w:sz w:val="24"/>
          <w:szCs w:val="22"/>
        </w:rPr>
        <w:t>The average effective dispensed cost per patient per cycle (one month) is approximately $</w:t>
      </w:r>
      <w:r w:rsidR="00C34BCC">
        <w:rPr>
          <w:rFonts w:asciiTheme="minorHAnsi" w:eastAsiaTheme="minorHAnsi" w:hAnsiTheme="minorHAnsi" w:cstheme="minorBidi"/>
          <w:noProof/>
          <w:snapToGrid/>
          <w:color w:val="000000"/>
          <w:sz w:val="24"/>
          <w:szCs w:val="22"/>
          <w:highlight w:val="black"/>
        </w:rPr>
        <w:t>'''''''''''</w:t>
      </w:r>
      <w:r w:rsidR="00814494" w:rsidRPr="00663D98">
        <w:rPr>
          <w:rStyle w:val="FootnoteReference"/>
          <w:rFonts w:asciiTheme="minorHAnsi" w:eastAsiaTheme="minorHAnsi" w:hAnsiTheme="minorHAnsi" w:cstheme="minorBidi"/>
          <w:snapToGrid/>
          <w:sz w:val="24"/>
          <w:szCs w:val="22"/>
        </w:rPr>
        <w:footnoteReference w:id="1"/>
      </w:r>
      <w:r w:rsidR="00814494" w:rsidRPr="00663D98">
        <w:rPr>
          <w:rFonts w:asciiTheme="minorHAnsi" w:eastAsiaTheme="minorHAnsi" w:hAnsiTheme="minorHAnsi" w:cstheme="minorBidi"/>
          <w:snapToGrid/>
          <w:sz w:val="24"/>
          <w:szCs w:val="22"/>
        </w:rPr>
        <w:t xml:space="preserve"> based on the minor resubmission’s estimate of the total net financial implications over 6 years ($</w:t>
      </w:r>
      <w:r w:rsidR="00C34BCC">
        <w:rPr>
          <w:rFonts w:asciiTheme="minorHAnsi" w:eastAsiaTheme="minorHAnsi" w:hAnsiTheme="minorHAnsi" w:cstheme="minorBidi"/>
          <w:noProof/>
          <w:snapToGrid/>
          <w:color w:val="000000"/>
          <w:sz w:val="24"/>
          <w:szCs w:val="22"/>
          <w:highlight w:val="black"/>
        </w:rPr>
        <w:t>''''''''''''''''''''''</w:t>
      </w:r>
      <w:r w:rsidR="00814494" w:rsidRPr="00663D98">
        <w:rPr>
          <w:rFonts w:asciiTheme="minorHAnsi" w:eastAsiaTheme="minorHAnsi" w:hAnsiTheme="minorHAnsi" w:cstheme="minorBidi"/>
          <w:snapToGrid/>
          <w:sz w:val="24"/>
          <w:szCs w:val="22"/>
        </w:rPr>
        <w:t>) divided by the estimated total number of patients over 6 years (</w:t>
      </w:r>
      <w:r w:rsidR="00C34BCC">
        <w:rPr>
          <w:rFonts w:asciiTheme="minorHAnsi" w:eastAsiaTheme="minorHAnsi" w:hAnsiTheme="minorHAnsi" w:cstheme="minorBidi"/>
          <w:noProof/>
          <w:snapToGrid/>
          <w:color w:val="000000"/>
          <w:sz w:val="24"/>
          <w:szCs w:val="22"/>
          <w:highlight w:val="black"/>
        </w:rPr>
        <w:t>''''''''''''</w:t>
      </w:r>
      <w:r w:rsidR="00814494" w:rsidRPr="00663D98">
        <w:rPr>
          <w:rFonts w:asciiTheme="minorHAnsi" w:eastAsiaTheme="minorHAnsi" w:hAnsiTheme="minorHAnsi" w:cstheme="minorBidi"/>
          <w:snapToGrid/>
          <w:sz w:val="24"/>
          <w:szCs w:val="22"/>
        </w:rPr>
        <w:t>), divided by the average number of cycles per patient (3.42). Based on this per cycle cost and an average of 3.42 cycles of treatment per patient, the total effective dispensed cost would be $</w:t>
      </w:r>
      <w:r w:rsidR="00C34BCC">
        <w:rPr>
          <w:rFonts w:asciiTheme="minorHAnsi" w:eastAsiaTheme="minorHAnsi" w:hAnsiTheme="minorHAnsi" w:cstheme="minorBidi"/>
          <w:noProof/>
          <w:snapToGrid/>
          <w:color w:val="000000"/>
          <w:sz w:val="24"/>
          <w:szCs w:val="22"/>
          <w:highlight w:val="black"/>
        </w:rPr>
        <w:t>'''''''''</w:t>
      </w:r>
      <w:r w:rsidR="00814494" w:rsidRPr="00663D98">
        <w:rPr>
          <w:rFonts w:asciiTheme="minorHAnsi" w:eastAsiaTheme="minorHAnsi" w:hAnsiTheme="minorHAnsi" w:cstheme="minorBidi"/>
          <w:snapToGrid/>
          <w:sz w:val="24"/>
          <w:szCs w:val="22"/>
        </w:rPr>
        <w:t>.</w:t>
      </w:r>
      <w:r w:rsidR="00814494" w:rsidRPr="00663D98">
        <w:rPr>
          <w:rFonts w:asciiTheme="minorHAnsi" w:eastAsiaTheme="minorHAnsi" w:hAnsiTheme="minorHAnsi" w:cstheme="minorBidi"/>
          <w:i/>
          <w:snapToGrid/>
          <w:sz w:val="24"/>
          <w:szCs w:val="22"/>
        </w:rPr>
        <w:t xml:space="preserve"> </w:t>
      </w:r>
    </w:p>
    <w:p w:rsidR="005A3173" w:rsidRPr="00663D98" w:rsidRDefault="005A3173" w:rsidP="008306F3">
      <w:pPr>
        <w:pStyle w:val="Heading2"/>
        <w:keepLines/>
        <w:spacing w:before="240" w:after="120"/>
        <w:rPr>
          <w:rFonts w:asciiTheme="minorHAnsi" w:eastAsiaTheme="majorEastAsia" w:hAnsiTheme="minorHAnsi" w:cstheme="majorBidi"/>
          <w:sz w:val="28"/>
          <w:szCs w:val="28"/>
          <w:lang w:eastAsia="en-US"/>
        </w:rPr>
      </w:pPr>
      <w:r w:rsidRPr="00663D98">
        <w:rPr>
          <w:rFonts w:asciiTheme="minorHAnsi" w:eastAsiaTheme="majorEastAsia" w:hAnsiTheme="minorHAnsi" w:cstheme="majorBidi"/>
          <w:sz w:val="28"/>
          <w:szCs w:val="28"/>
          <w:lang w:eastAsia="en-US"/>
        </w:rPr>
        <w:t>Estimated PBS usage &amp; financial implications</w:t>
      </w:r>
    </w:p>
    <w:p w:rsidR="00656D7D" w:rsidRPr="00663D98" w:rsidRDefault="00656D7D" w:rsidP="00656D7D">
      <w:pPr>
        <w:pStyle w:val="ListParagraph"/>
        <w:widowControl/>
        <w:numPr>
          <w:ilvl w:val="1"/>
          <w:numId w:val="14"/>
        </w:numPr>
        <w:spacing w:after="120"/>
        <w:contextualSpacing w:val="0"/>
        <w:rPr>
          <w:rFonts w:asciiTheme="minorHAnsi" w:eastAsiaTheme="minorHAnsi" w:hAnsiTheme="minorHAnsi" w:cstheme="minorBidi"/>
          <w:snapToGrid/>
          <w:color w:val="000000" w:themeColor="text1"/>
          <w:sz w:val="24"/>
          <w:szCs w:val="24"/>
        </w:rPr>
      </w:pPr>
      <w:r w:rsidRPr="00635728">
        <w:rPr>
          <w:rFonts w:asciiTheme="minorHAnsi" w:hAnsiTheme="minorHAnsi"/>
          <w:sz w:val="24"/>
          <w:szCs w:val="24"/>
          <w:lang w:eastAsia="en-AU"/>
        </w:rPr>
        <w:t xml:space="preserve">Similar to the approach used in prior submissions, the extent of use of trifluridine/ tipiracil assumed that a proportion of incident patients diagnosed with mCRC who receive treatment with a biologic and/or chemotherapy will be treated with trifluridine/tipiracil as a last-line treatment. </w:t>
      </w:r>
    </w:p>
    <w:p w:rsidR="00E62F18" w:rsidRPr="00663D98" w:rsidRDefault="00CA646D" w:rsidP="00B84D5C">
      <w:pPr>
        <w:pStyle w:val="ListParagraph"/>
        <w:widowControl/>
        <w:numPr>
          <w:ilvl w:val="1"/>
          <w:numId w:val="14"/>
        </w:numPr>
        <w:spacing w:after="120"/>
        <w:contextualSpacing w:val="0"/>
        <w:rPr>
          <w:rFonts w:asciiTheme="minorHAnsi" w:eastAsiaTheme="minorHAnsi" w:hAnsiTheme="minorHAnsi" w:cstheme="minorBidi"/>
          <w:snapToGrid/>
          <w:color w:val="000000" w:themeColor="text1"/>
          <w:sz w:val="24"/>
          <w:szCs w:val="24"/>
        </w:rPr>
      </w:pPr>
      <w:r w:rsidRPr="00635728">
        <w:rPr>
          <w:rFonts w:asciiTheme="minorHAnsi" w:hAnsiTheme="minorHAnsi"/>
          <w:sz w:val="24"/>
          <w:szCs w:val="24"/>
          <w:lang w:eastAsia="en-AU"/>
        </w:rPr>
        <w:t>At its meeting in March 2018, the PBAC considered a report from</w:t>
      </w:r>
      <w:r w:rsidR="002113FD" w:rsidRPr="00635728">
        <w:rPr>
          <w:rFonts w:asciiTheme="minorHAnsi" w:hAnsiTheme="minorHAnsi"/>
          <w:sz w:val="24"/>
          <w:szCs w:val="24"/>
          <w:lang w:eastAsia="en-AU"/>
        </w:rPr>
        <w:t xml:space="preserve"> the Drug Utilisation Sub-Committee</w:t>
      </w:r>
      <w:r w:rsidRPr="00635728">
        <w:rPr>
          <w:rFonts w:asciiTheme="minorHAnsi" w:hAnsiTheme="minorHAnsi"/>
          <w:sz w:val="24"/>
          <w:szCs w:val="24"/>
          <w:lang w:eastAsia="en-AU"/>
        </w:rPr>
        <w:t xml:space="preserve"> </w:t>
      </w:r>
      <w:r w:rsidR="002113FD" w:rsidRPr="00635728">
        <w:rPr>
          <w:rFonts w:asciiTheme="minorHAnsi" w:hAnsiTheme="minorHAnsi"/>
          <w:sz w:val="24"/>
          <w:szCs w:val="24"/>
          <w:lang w:eastAsia="en-AU"/>
        </w:rPr>
        <w:t>(</w:t>
      </w:r>
      <w:r w:rsidRPr="00635728">
        <w:rPr>
          <w:rFonts w:asciiTheme="minorHAnsi" w:hAnsiTheme="minorHAnsi"/>
          <w:sz w:val="24"/>
          <w:szCs w:val="24"/>
          <w:lang w:eastAsia="en-AU"/>
        </w:rPr>
        <w:t>DUSC</w:t>
      </w:r>
      <w:r w:rsidR="002113FD" w:rsidRPr="00635728">
        <w:rPr>
          <w:rFonts w:asciiTheme="minorHAnsi" w:hAnsiTheme="minorHAnsi"/>
          <w:sz w:val="24"/>
          <w:szCs w:val="24"/>
          <w:lang w:eastAsia="en-AU"/>
        </w:rPr>
        <w:t>)</w:t>
      </w:r>
      <w:r w:rsidRPr="00635728">
        <w:rPr>
          <w:rFonts w:asciiTheme="minorHAnsi" w:hAnsiTheme="minorHAnsi"/>
          <w:sz w:val="24"/>
          <w:szCs w:val="24"/>
          <w:lang w:eastAsia="en-AU"/>
        </w:rPr>
        <w:t xml:space="preserve"> examining the utilisation of cetuximab, panitumumab and bevacizumab for mCRC. The sponsor considered that forecasting </w:t>
      </w:r>
      <w:r w:rsidR="00B9484F" w:rsidRPr="00635728">
        <w:rPr>
          <w:rFonts w:asciiTheme="minorHAnsi" w:hAnsiTheme="minorHAnsi"/>
          <w:sz w:val="24"/>
          <w:szCs w:val="24"/>
          <w:lang w:eastAsia="en-AU"/>
        </w:rPr>
        <w:t>the number</w:t>
      </w:r>
      <w:r w:rsidRPr="00635728">
        <w:rPr>
          <w:rFonts w:asciiTheme="minorHAnsi" w:hAnsiTheme="minorHAnsi"/>
          <w:sz w:val="24"/>
          <w:szCs w:val="24"/>
          <w:lang w:eastAsia="en-AU"/>
        </w:rPr>
        <w:t xml:space="preserve"> of patients treated for mCRC based on the DUSC report would be an underestimate as it only include</w:t>
      </w:r>
      <w:r w:rsidR="00B9484F" w:rsidRPr="00635728">
        <w:rPr>
          <w:rFonts w:asciiTheme="minorHAnsi" w:hAnsiTheme="minorHAnsi"/>
          <w:sz w:val="24"/>
          <w:szCs w:val="24"/>
          <w:lang w:eastAsia="en-AU"/>
        </w:rPr>
        <w:t>d</w:t>
      </w:r>
      <w:r w:rsidRPr="00635728">
        <w:rPr>
          <w:rFonts w:asciiTheme="minorHAnsi" w:hAnsiTheme="minorHAnsi"/>
          <w:sz w:val="24"/>
          <w:szCs w:val="24"/>
          <w:lang w:eastAsia="en-AU"/>
        </w:rPr>
        <w:t xml:space="preserve"> biologic therapy and </w:t>
      </w:r>
      <w:r w:rsidR="00B9484F" w:rsidRPr="00635728">
        <w:rPr>
          <w:rFonts w:asciiTheme="minorHAnsi" w:hAnsiTheme="minorHAnsi"/>
          <w:sz w:val="24"/>
          <w:szCs w:val="24"/>
          <w:lang w:eastAsia="en-AU"/>
        </w:rPr>
        <w:t>did</w:t>
      </w:r>
      <w:r w:rsidRPr="00635728">
        <w:rPr>
          <w:rFonts w:asciiTheme="minorHAnsi" w:hAnsiTheme="minorHAnsi"/>
          <w:sz w:val="24"/>
          <w:szCs w:val="24"/>
          <w:lang w:eastAsia="en-AU"/>
        </w:rPr>
        <w:t xml:space="preserve"> not include patients who only receive chemotherapy. </w:t>
      </w:r>
      <w:r w:rsidR="003D702E" w:rsidRPr="00663D98">
        <w:rPr>
          <w:rFonts w:asciiTheme="minorHAnsi" w:eastAsiaTheme="minorHAnsi" w:hAnsiTheme="minorHAnsi" w:cstheme="minorBidi"/>
          <w:snapToGrid/>
          <w:color w:val="000000" w:themeColor="text1"/>
          <w:sz w:val="24"/>
          <w:szCs w:val="24"/>
        </w:rPr>
        <w:t xml:space="preserve">The minor resubmission </w:t>
      </w:r>
      <w:r w:rsidRPr="00663D98">
        <w:rPr>
          <w:rFonts w:asciiTheme="minorHAnsi" w:eastAsiaTheme="minorHAnsi" w:hAnsiTheme="minorHAnsi" w:cstheme="minorBidi"/>
          <w:snapToGrid/>
          <w:color w:val="000000" w:themeColor="text1"/>
          <w:sz w:val="24"/>
          <w:szCs w:val="24"/>
        </w:rPr>
        <w:t xml:space="preserve">used a 10% PBS data sample to estimate the proportion of patients who </w:t>
      </w:r>
      <w:r w:rsidR="00B9484F" w:rsidRPr="00663D98">
        <w:rPr>
          <w:rFonts w:asciiTheme="minorHAnsi" w:eastAsiaTheme="minorHAnsi" w:hAnsiTheme="minorHAnsi" w:cstheme="minorBidi"/>
          <w:snapToGrid/>
          <w:color w:val="000000" w:themeColor="text1"/>
          <w:sz w:val="24"/>
          <w:szCs w:val="24"/>
        </w:rPr>
        <w:t xml:space="preserve">are </w:t>
      </w:r>
      <w:r w:rsidR="00CE0AC8" w:rsidRPr="00663D98">
        <w:rPr>
          <w:rFonts w:asciiTheme="minorHAnsi" w:eastAsiaTheme="minorHAnsi" w:hAnsiTheme="minorHAnsi" w:cstheme="minorBidi"/>
          <w:snapToGrid/>
          <w:color w:val="000000" w:themeColor="text1"/>
          <w:sz w:val="24"/>
          <w:szCs w:val="24"/>
        </w:rPr>
        <w:t>treated with</w:t>
      </w:r>
      <w:r w:rsidRPr="00663D98">
        <w:rPr>
          <w:rFonts w:asciiTheme="minorHAnsi" w:eastAsiaTheme="minorHAnsi" w:hAnsiTheme="minorHAnsi" w:cstheme="minorBidi"/>
          <w:snapToGrid/>
          <w:color w:val="000000" w:themeColor="text1"/>
          <w:sz w:val="24"/>
          <w:szCs w:val="24"/>
        </w:rPr>
        <w:t xml:space="preserve"> </w:t>
      </w:r>
      <w:r w:rsidR="00B9484F" w:rsidRPr="00663D98">
        <w:rPr>
          <w:rFonts w:asciiTheme="minorHAnsi" w:eastAsiaTheme="minorHAnsi" w:hAnsiTheme="minorHAnsi" w:cstheme="minorBidi"/>
          <w:snapToGrid/>
          <w:color w:val="000000" w:themeColor="text1"/>
          <w:sz w:val="24"/>
          <w:szCs w:val="24"/>
        </w:rPr>
        <w:t>chemo</w:t>
      </w:r>
      <w:r w:rsidRPr="00663D98">
        <w:rPr>
          <w:rFonts w:asciiTheme="minorHAnsi" w:eastAsiaTheme="minorHAnsi" w:hAnsiTheme="minorHAnsi" w:cstheme="minorBidi"/>
          <w:snapToGrid/>
          <w:color w:val="000000" w:themeColor="text1"/>
          <w:sz w:val="24"/>
          <w:szCs w:val="24"/>
        </w:rPr>
        <w:t>therapy</w:t>
      </w:r>
      <w:r w:rsidR="00CE0AC8" w:rsidRPr="00663D98">
        <w:rPr>
          <w:rFonts w:asciiTheme="minorHAnsi" w:eastAsiaTheme="minorHAnsi" w:hAnsiTheme="minorHAnsi" w:cstheme="minorBidi"/>
          <w:snapToGrid/>
          <w:color w:val="000000" w:themeColor="text1"/>
          <w:sz w:val="24"/>
          <w:szCs w:val="24"/>
        </w:rPr>
        <w:t xml:space="preserve"> only</w:t>
      </w:r>
      <w:r w:rsidRPr="00663D98">
        <w:rPr>
          <w:rFonts w:asciiTheme="minorHAnsi" w:eastAsiaTheme="minorHAnsi" w:hAnsiTheme="minorHAnsi" w:cstheme="minorBidi"/>
          <w:snapToGrid/>
          <w:color w:val="000000" w:themeColor="text1"/>
          <w:sz w:val="24"/>
          <w:szCs w:val="24"/>
        </w:rPr>
        <w:t xml:space="preserve">. </w:t>
      </w:r>
    </w:p>
    <w:p w:rsidR="00E62F18" w:rsidRPr="00F77FD5" w:rsidRDefault="00E62F18" w:rsidP="00B84D5C">
      <w:pPr>
        <w:pStyle w:val="ListParagraph"/>
        <w:widowControl/>
        <w:numPr>
          <w:ilvl w:val="1"/>
          <w:numId w:val="14"/>
        </w:numPr>
        <w:spacing w:after="120"/>
        <w:contextualSpacing w:val="0"/>
        <w:rPr>
          <w:rFonts w:asciiTheme="minorHAnsi" w:eastAsiaTheme="minorHAnsi" w:hAnsiTheme="minorHAnsi" w:cstheme="minorBidi"/>
          <w:snapToGrid/>
          <w:color w:val="000000" w:themeColor="text1"/>
          <w:sz w:val="24"/>
          <w:szCs w:val="22"/>
        </w:rPr>
      </w:pPr>
      <w:r w:rsidRPr="00663D98">
        <w:rPr>
          <w:rFonts w:asciiTheme="minorHAnsi" w:eastAsiaTheme="minorHAnsi" w:hAnsiTheme="minorHAnsi" w:cstheme="minorBidi"/>
          <w:snapToGrid/>
          <w:color w:val="000000" w:themeColor="text1"/>
          <w:sz w:val="24"/>
          <w:szCs w:val="22"/>
        </w:rPr>
        <w:t xml:space="preserve">The minor resubmission estimated </w:t>
      </w:r>
      <w:r w:rsidR="00927C84">
        <w:rPr>
          <w:rFonts w:asciiTheme="minorHAnsi" w:eastAsiaTheme="minorHAnsi" w:hAnsiTheme="minorHAnsi" w:cstheme="minorBidi"/>
          <w:snapToGrid/>
          <w:color w:val="000000" w:themeColor="text1"/>
          <w:sz w:val="24"/>
          <w:szCs w:val="22"/>
        </w:rPr>
        <w:t>less than 10,000</w:t>
      </w:r>
      <w:r w:rsidRPr="00663D98">
        <w:rPr>
          <w:rFonts w:asciiTheme="minorHAnsi" w:eastAsiaTheme="minorHAnsi" w:hAnsiTheme="minorHAnsi" w:cstheme="minorBidi"/>
          <w:snapToGrid/>
          <w:color w:val="000000" w:themeColor="text1"/>
          <w:sz w:val="24"/>
          <w:szCs w:val="22"/>
        </w:rPr>
        <w:t xml:space="preserve"> prevalent patients based on the 10% PBS data sample (year ending at December 2016).</w:t>
      </w:r>
      <w:r w:rsidR="006A7313" w:rsidRPr="00663D98">
        <w:rPr>
          <w:rFonts w:asciiTheme="minorHAnsi" w:eastAsiaTheme="minorHAnsi" w:hAnsiTheme="minorHAnsi" w:cstheme="minorBidi"/>
          <w:i/>
          <w:snapToGrid/>
          <w:color w:val="000000" w:themeColor="text1"/>
          <w:sz w:val="24"/>
          <w:szCs w:val="22"/>
        </w:rPr>
        <w:t xml:space="preserve"> </w:t>
      </w:r>
      <w:r w:rsidRPr="00663D98">
        <w:rPr>
          <w:rFonts w:asciiTheme="minorHAnsi" w:eastAsiaTheme="minorHAnsi" w:hAnsiTheme="minorHAnsi" w:cstheme="minorBidi"/>
          <w:snapToGrid/>
          <w:color w:val="000000" w:themeColor="text1"/>
          <w:sz w:val="24"/>
          <w:szCs w:val="22"/>
        </w:rPr>
        <w:t>The minor resubmission offset the potential overestimation due to use of therapies in other indications and due to the inability to identify use of fluoropyrimidines specifically for mCRC by excluding patients who were dispensed only 5-fluorouracil or capecitabine</w:t>
      </w:r>
      <w:r w:rsidR="00F77FD5">
        <w:rPr>
          <w:rFonts w:asciiTheme="minorHAnsi" w:eastAsiaTheme="minorHAnsi" w:hAnsiTheme="minorHAnsi" w:cstheme="minorBidi"/>
          <w:snapToGrid/>
          <w:color w:val="000000" w:themeColor="text1"/>
          <w:sz w:val="24"/>
          <w:szCs w:val="22"/>
        </w:rPr>
        <w:t xml:space="preserve"> </w:t>
      </w:r>
      <w:r w:rsidR="00F77FD5" w:rsidRPr="00052D38">
        <w:rPr>
          <w:rFonts w:asciiTheme="minorHAnsi" w:eastAsiaTheme="minorHAnsi" w:hAnsiTheme="minorHAnsi" w:cstheme="minorBidi"/>
          <w:snapToGrid/>
          <w:color w:val="000000" w:themeColor="text1"/>
          <w:sz w:val="24"/>
          <w:szCs w:val="22"/>
        </w:rPr>
        <w:t>from the analyses</w:t>
      </w:r>
      <w:r w:rsidRPr="00F77FD5">
        <w:rPr>
          <w:rFonts w:asciiTheme="minorHAnsi" w:eastAsiaTheme="minorHAnsi" w:hAnsiTheme="minorHAnsi" w:cstheme="minorBidi"/>
          <w:snapToGrid/>
          <w:color w:val="000000" w:themeColor="text1"/>
          <w:sz w:val="24"/>
          <w:szCs w:val="22"/>
        </w:rPr>
        <w:t xml:space="preserve">. Based on the 10% PBS data, the minor resubmission estimated that </w:t>
      </w:r>
      <w:r w:rsidR="00C34BCC">
        <w:rPr>
          <w:rFonts w:asciiTheme="minorHAnsi" w:eastAsiaTheme="minorHAnsi" w:hAnsiTheme="minorHAnsi" w:cstheme="minorBidi"/>
          <w:noProof/>
          <w:snapToGrid/>
          <w:color w:val="000000"/>
          <w:sz w:val="24"/>
          <w:szCs w:val="22"/>
          <w:highlight w:val="black"/>
        </w:rPr>
        <w:t>''''''</w:t>
      </w:r>
      <w:r w:rsidRPr="00F77FD5">
        <w:rPr>
          <w:rFonts w:asciiTheme="minorHAnsi" w:eastAsiaTheme="minorHAnsi" w:hAnsiTheme="minorHAnsi" w:cstheme="minorBidi"/>
          <w:snapToGrid/>
          <w:color w:val="000000" w:themeColor="text1"/>
          <w:sz w:val="24"/>
          <w:szCs w:val="22"/>
        </w:rPr>
        <w:t>% (</w:t>
      </w:r>
      <w:r w:rsidR="00927C84">
        <w:rPr>
          <w:rFonts w:asciiTheme="minorHAnsi" w:eastAsiaTheme="minorHAnsi" w:hAnsiTheme="minorHAnsi" w:cstheme="minorBidi"/>
          <w:snapToGrid/>
          <w:color w:val="000000" w:themeColor="text1"/>
          <w:sz w:val="24"/>
          <w:szCs w:val="22"/>
        </w:rPr>
        <w:t>less than 10,000</w:t>
      </w:r>
      <w:r w:rsidRPr="00F77FD5">
        <w:rPr>
          <w:rFonts w:asciiTheme="minorHAnsi" w:eastAsiaTheme="minorHAnsi" w:hAnsiTheme="minorHAnsi" w:cstheme="minorBidi"/>
          <w:snapToGrid/>
          <w:color w:val="000000" w:themeColor="text1"/>
          <w:sz w:val="24"/>
          <w:szCs w:val="22"/>
        </w:rPr>
        <w:t xml:space="preserve"> patients) of patients were treated with biologics for mCRC for the year ending 2016.</w:t>
      </w:r>
    </w:p>
    <w:p w:rsidR="00E64319" w:rsidRPr="00663D98" w:rsidRDefault="00CA646D" w:rsidP="00EA13EC">
      <w:pPr>
        <w:pStyle w:val="ListParagraph"/>
        <w:widowControl/>
        <w:numPr>
          <w:ilvl w:val="1"/>
          <w:numId w:val="14"/>
        </w:numPr>
        <w:spacing w:after="120"/>
        <w:contextualSpacing w:val="0"/>
        <w:rPr>
          <w:rFonts w:asciiTheme="minorHAnsi" w:eastAsiaTheme="minorHAnsi" w:hAnsiTheme="minorHAnsi" w:cstheme="minorBidi"/>
          <w:snapToGrid/>
          <w:color w:val="000000" w:themeColor="text1"/>
          <w:sz w:val="24"/>
          <w:szCs w:val="22"/>
        </w:rPr>
      </w:pPr>
      <w:r w:rsidRPr="00663D98">
        <w:rPr>
          <w:rFonts w:asciiTheme="minorHAnsi" w:eastAsiaTheme="minorHAnsi" w:hAnsiTheme="minorHAnsi" w:cstheme="minorBidi"/>
          <w:snapToGrid/>
          <w:color w:val="000000" w:themeColor="text1"/>
          <w:sz w:val="24"/>
          <w:szCs w:val="22"/>
        </w:rPr>
        <w:t xml:space="preserve">The minor resubmission forecast the number of incident mCRC patients receiving biologic therapy based on the DUSC report. The forecast of incident patients was then </w:t>
      </w:r>
      <w:r w:rsidR="00A645BE" w:rsidRPr="00663D98">
        <w:rPr>
          <w:rFonts w:asciiTheme="minorHAnsi" w:eastAsiaTheme="minorHAnsi" w:hAnsiTheme="minorHAnsi" w:cstheme="minorBidi"/>
          <w:snapToGrid/>
          <w:color w:val="000000" w:themeColor="text1"/>
          <w:sz w:val="24"/>
          <w:szCs w:val="22"/>
        </w:rPr>
        <w:t xml:space="preserve">increased to include </w:t>
      </w:r>
      <w:r w:rsidR="00001C03" w:rsidRPr="00663D98">
        <w:rPr>
          <w:rFonts w:asciiTheme="minorHAnsi" w:eastAsiaTheme="minorHAnsi" w:hAnsiTheme="minorHAnsi" w:cstheme="minorBidi"/>
          <w:snapToGrid/>
          <w:color w:val="000000" w:themeColor="text1"/>
          <w:sz w:val="24"/>
          <w:szCs w:val="22"/>
        </w:rPr>
        <w:t xml:space="preserve">the sponsor’s estimate of </w:t>
      </w:r>
      <w:r w:rsidR="00A645BE" w:rsidRPr="00663D98">
        <w:rPr>
          <w:rFonts w:asciiTheme="minorHAnsi" w:eastAsiaTheme="minorHAnsi" w:hAnsiTheme="minorHAnsi" w:cstheme="minorBidi"/>
          <w:snapToGrid/>
          <w:color w:val="000000" w:themeColor="text1"/>
          <w:sz w:val="24"/>
          <w:szCs w:val="22"/>
        </w:rPr>
        <w:t xml:space="preserve">additional patients </w:t>
      </w:r>
      <w:r w:rsidR="00EA13EC" w:rsidRPr="00663D98">
        <w:rPr>
          <w:rFonts w:asciiTheme="minorHAnsi" w:eastAsiaTheme="minorHAnsi" w:hAnsiTheme="minorHAnsi" w:cstheme="minorBidi"/>
          <w:snapToGrid/>
          <w:color w:val="000000" w:themeColor="text1"/>
          <w:sz w:val="24"/>
          <w:szCs w:val="22"/>
        </w:rPr>
        <w:t>treated with</w:t>
      </w:r>
      <w:r w:rsidR="00A645BE" w:rsidRPr="00663D98">
        <w:rPr>
          <w:rFonts w:asciiTheme="minorHAnsi" w:eastAsiaTheme="minorHAnsi" w:hAnsiTheme="minorHAnsi" w:cstheme="minorBidi"/>
          <w:snapToGrid/>
          <w:color w:val="000000" w:themeColor="text1"/>
          <w:sz w:val="24"/>
          <w:szCs w:val="22"/>
        </w:rPr>
        <w:t xml:space="preserve"> chemotherapy alone (i.e. the number of incident patients treated with biologic therapy divided by </w:t>
      </w:r>
      <w:r w:rsidR="00C34BCC">
        <w:rPr>
          <w:rFonts w:asciiTheme="minorHAnsi" w:eastAsiaTheme="minorHAnsi" w:hAnsiTheme="minorHAnsi" w:cstheme="minorBidi"/>
          <w:noProof/>
          <w:snapToGrid/>
          <w:color w:val="000000"/>
          <w:sz w:val="24"/>
          <w:szCs w:val="22"/>
          <w:highlight w:val="black"/>
        </w:rPr>
        <w:t>'''''</w:t>
      </w:r>
      <w:r w:rsidR="00A645BE" w:rsidRPr="00663D98">
        <w:rPr>
          <w:rFonts w:asciiTheme="minorHAnsi" w:eastAsiaTheme="minorHAnsi" w:hAnsiTheme="minorHAnsi" w:cstheme="minorBidi"/>
          <w:snapToGrid/>
          <w:color w:val="000000" w:themeColor="text1"/>
          <w:sz w:val="24"/>
          <w:szCs w:val="22"/>
        </w:rPr>
        <w:t xml:space="preserve">%). </w:t>
      </w:r>
      <w:r w:rsidR="00927912" w:rsidRPr="00663D98">
        <w:rPr>
          <w:rFonts w:asciiTheme="minorHAnsi" w:eastAsiaTheme="minorHAnsi" w:hAnsiTheme="minorHAnsi" w:cstheme="minorBidi"/>
          <w:snapToGrid/>
          <w:color w:val="000000" w:themeColor="text1"/>
          <w:sz w:val="24"/>
          <w:szCs w:val="22"/>
        </w:rPr>
        <w:t>Details on the source of the 10% PBS sample and PBS item codes included in the analysis could not be located in the minor resubmission. As such, the sponsor’s estimate of the proportion of mCRC who had not been supplied a biologic could not be validated</w:t>
      </w:r>
      <w:r w:rsidR="005F0960" w:rsidRPr="00663D98">
        <w:rPr>
          <w:rFonts w:asciiTheme="minorHAnsi" w:eastAsiaTheme="minorHAnsi" w:hAnsiTheme="minorHAnsi" w:cstheme="minorBidi"/>
          <w:snapToGrid/>
          <w:color w:val="000000" w:themeColor="text1"/>
          <w:sz w:val="24"/>
          <w:szCs w:val="22"/>
        </w:rPr>
        <w:t xml:space="preserve"> and the forecast of the incident mCRC treated population </w:t>
      </w:r>
      <w:r w:rsidR="0030189B" w:rsidRPr="00663D98">
        <w:rPr>
          <w:rFonts w:asciiTheme="minorHAnsi" w:eastAsiaTheme="minorHAnsi" w:hAnsiTheme="minorHAnsi" w:cstheme="minorBidi"/>
          <w:snapToGrid/>
          <w:color w:val="000000" w:themeColor="text1"/>
          <w:sz w:val="24"/>
          <w:szCs w:val="22"/>
        </w:rPr>
        <w:t xml:space="preserve">likely to be prescribed </w:t>
      </w:r>
      <w:r w:rsidR="0030189B" w:rsidRPr="00635728">
        <w:rPr>
          <w:rFonts w:asciiTheme="minorHAnsi" w:hAnsiTheme="minorHAnsi" w:cstheme="minorHAnsi"/>
          <w:sz w:val="24"/>
          <w:lang w:eastAsia="en-AU"/>
        </w:rPr>
        <w:t>trifluridine/tipiracil</w:t>
      </w:r>
      <w:r w:rsidR="0030189B" w:rsidRPr="00635728">
        <w:rPr>
          <w:lang w:eastAsia="en-AU"/>
        </w:rPr>
        <w:t xml:space="preserve"> </w:t>
      </w:r>
      <w:r w:rsidR="005F0960" w:rsidRPr="00663D98">
        <w:rPr>
          <w:rFonts w:asciiTheme="minorHAnsi" w:eastAsiaTheme="minorHAnsi" w:hAnsiTheme="minorHAnsi" w:cstheme="minorBidi"/>
          <w:snapToGrid/>
          <w:color w:val="000000" w:themeColor="text1"/>
          <w:sz w:val="24"/>
          <w:szCs w:val="22"/>
        </w:rPr>
        <w:t xml:space="preserve">is </w:t>
      </w:r>
      <w:r w:rsidR="0057585B" w:rsidRPr="00663D98">
        <w:rPr>
          <w:rFonts w:asciiTheme="minorHAnsi" w:eastAsiaTheme="minorHAnsi" w:hAnsiTheme="minorHAnsi" w:cstheme="minorBidi"/>
          <w:snapToGrid/>
          <w:color w:val="000000" w:themeColor="text1"/>
          <w:sz w:val="24"/>
          <w:szCs w:val="22"/>
        </w:rPr>
        <w:t xml:space="preserve">therefore </w:t>
      </w:r>
      <w:r w:rsidR="005F0960" w:rsidRPr="00663D98">
        <w:rPr>
          <w:rFonts w:asciiTheme="minorHAnsi" w:eastAsiaTheme="minorHAnsi" w:hAnsiTheme="minorHAnsi" w:cstheme="minorBidi"/>
          <w:snapToGrid/>
          <w:color w:val="000000" w:themeColor="text1"/>
          <w:sz w:val="24"/>
          <w:szCs w:val="22"/>
        </w:rPr>
        <w:t>uncertain</w:t>
      </w:r>
      <w:r w:rsidR="00927912" w:rsidRPr="00663D98">
        <w:rPr>
          <w:rFonts w:asciiTheme="minorHAnsi" w:eastAsiaTheme="minorHAnsi" w:hAnsiTheme="minorHAnsi" w:cstheme="minorBidi"/>
          <w:snapToGrid/>
          <w:color w:val="000000" w:themeColor="text1"/>
          <w:sz w:val="24"/>
          <w:szCs w:val="22"/>
        </w:rPr>
        <w:t>.</w:t>
      </w:r>
      <w:r w:rsidR="00051F7A" w:rsidRPr="00663D98">
        <w:rPr>
          <w:rFonts w:asciiTheme="minorHAnsi" w:eastAsiaTheme="minorHAnsi" w:hAnsiTheme="minorHAnsi" w:cstheme="minorBidi"/>
          <w:snapToGrid/>
          <w:color w:val="000000" w:themeColor="text1"/>
          <w:sz w:val="24"/>
          <w:szCs w:val="22"/>
        </w:rPr>
        <w:t xml:space="preserve"> </w:t>
      </w:r>
      <w:r w:rsidR="00FA09C9" w:rsidRPr="00663D98">
        <w:rPr>
          <w:rFonts w:asciiTheme="minorHAnsi" w:eastAsiaTheme="minorHAnsi" w:hAnsiTheme="minorHAnsi" w:cstheme="minorBidi"/>
          <w:snapToGrid/>
          <w:color w:val="000000" w:themeColor="text1"/>
          <w:sz w:val="24"/>
          <w:szCs w:val="22"/>
        </w:rPr>
        <w:t xml:space="preserve">The minor resubmission </w:t>
      </w:r>
      <w:r w:rsidR="005D05CC" w:rsidRPr="00663D98">
        <w:rPr>
          <w:rFonts w:asciiTheme="minorHAnsi" w:eastAsiaTheme="minorHAnsi" w:hAnsiTheme="minorHAnsi" w:cstheme="minorBidi"/>
          <w:snapToGrid/>
          <w:color w:val="000000" w:themeColor="text1"/>
          <w:sz w:val="24"/>
          <w:szCs w:val="22"/>
        </w:rPr>
        <w:t xml:space="preserve">also </w:t>
      </w:r>
      <w:r w:rsidR="00FA09C9" w:rsidRPr="00663D98">
        <w:rPr>
          <w:rFonts w:asciiTheme="minorHAnsi" w:eastAsiaTheme="minorHAnsi" w:hAnsiTheme="minorHAnsi" w:cstheme="minorBidi"/>
          <w:snapToGrid/>
          <w:color w:val="000000" w:themeColor="text1"/>
          <w:sz w:val="24"/>
          <w:szCs w:val="22"/>
        </w:rPr>
        <w:t xml:space="preserve">did not specify whether the analysis of the 10% PBS dataset </w:t>
      </w:r>
      <w:r w:rsidR="006A35B3" w:rsidRPr="00663D98">
        <w:rPr>
          <w:rFonts w:asciiTheme="minorHAnsi" w:eastAsiaTheme="minorHAnsi" w:hAnsiTheme="minorHAnsi" w:cstheme="minorBidi"/>
          <w:snapToGrid/>
          <w:color w:val="000000" w:themeColor="text1"/>
          <w:sz w:val="24"/>
          <w:szCs w:val="22"/>
        </w:rPr>
        <w:t>included both patients treated with first line and second line therapies.</w:t>
      </w:r>
      <w:r w:rsidR="00051F7A" w:rsidRPr="00663D98">
        <w:rPr>
          <w:rFonts w:asciiTheme="minorHAnsi" w:eastAsiaTheme="minorHAnsi" w:hAnsiTheme="minorHAnsi" w:cstheme="minorBidi"/>
          <w:snapToGrid/>
          <w:color w:val="000000" w:themeColor="text1"/>
          <w:sz w:val="24"/>
          <w:szCs w:val="22"/>
        </w:rPr>
        <w:t xml:space="preserve"> The pre-PBAC Response stated that the analysis of the 10% PBS dataset</w:t>
      </w:r>
      <w:r w:rsidR="000F2CB8" w:rsidRPr="00663D98">
        <w:rPr>
          <w:rFonts w:asciiTheme="minorHAnsi" w:eastAsiaTheme="minorHAnsi" w:hAnsiTheme="minorHAnsi" w:cstheme="minorBidi"/>
          <w:snapToGrid/>
          <w:color w:val="000000" w:themeColor="text1"/>
          <w:sz w:val="24"/>
          <w:szCs w:val="22"/>
        </w:rPr>
        <w:t xml:space="preserve"> included all prevalent patients treated for mCRC receiving any line of therapy and</w:t>
      </w:r>
      <w:r w:rsidR="00051F7A" w:rsidRPr="00663D98">
        <w:rPr>
          <w:rFonts w:asciiTheme="minorHAnsi" w:eastAsiaTheme="minorHAnsi" w:hAnsiTheme="minorHAnsi" w:cstheme="minorBidi"/>
          <w:snapToGrid/>
          <w:color w:val="000000" w:themeColor="text1"/>
          <w:sz w:val="24"/>
          <w:szCs w:val="22"/>
        </w:rPr>
        <w:t xml:space="preserve"> included PBS item codes for bevacizumab, cetuximab, panitumumab, irinotecan and oxaliplatin</w:t>
      </w:r>
      <w:r w:rsidR="000F2CB8" w:rsidRPr="00663D98">
        <w:rPr>
          <w:rFonts w:asciiTheme="minorHAnsi" w:eastAsiaTheme="minorHAnsi" w:hAnsiTheme="minorHAnsi" w:cstheme="minorBidi"/>
          <w:snapToGrid/>
          <w:color w:val="000000" w:themeColor="text1"/>
          <w:sz w:val="24"/>
          <w:szCs w:val="22"/>
        </w:rPr>
        <w:t xml:space="preserve">. </w:t>
      </w:r>
    </w:p>
    <w:p w:rsidR="00136907" w:rsidRPr="00663D98" w:rsidRDefault="00C420F7" w:rsidP="00D65770">
      <w:pPr>
        <w:pStyle w:val="ListParagraph"/>
        <w:widowControl/>
        <w:numPr>
          <w:ilvl w:val="1"/>
          <w:numId w:val="14"/>
        </w:numPr>
        <w:spacing w:after="120"/>
        <w:contextualSpacing w:val="0"/>
        <w:rPr>
          <w:rFonts w:asciiTheme="minorHAnsi" w:eastAsiaTheme="minorHAnsi" w:hAnsiTheme="minorHAnsi" w:cstheme="minorBidi"/>
          <w:snapToGrid/>
          <w:color w:val="000000" w:themeColor="text1"/>
          <w:sz w:val="24"/>
          <w:szCs w:val="22"/>
        </w:rPr>
      </w:pPr>
      <w:r w:rsidRPr="00663D98">
        <w:rPr>
          <w:rFonts w:asciiTheme="minorHAnsi" w:eastAsiaTheme="minorHAnsi" w:hAnsiTheme="minorHAnsi" w:cstheme="minorBidi"/>
          <w:snapToGrid/>
          <w:color w:val="000000" w:themeColor="text1"/>
          <w:sz w:val="24"/>
          <w:szCs w:val="22"/>
        </w:rPr>
        <w:t>The minor resubmission used a second source of data to</w:t>
      </w:r>
      <w:r w:rsidR="00B46116" w:rsidRPr="00663D98">
        <w:rPr>
          <w:rFonts w:asciiTheme="minorHAnsi" w:eastAsiaTheme="minorHAnsi" w:hAnsiTheme="minorHAnsi" w:cstheme="minorBidi"/>
          <w:snapToGrid/>
          <w:color w:val="000000" w:themeColor="text1"/>
          <w:sz w:val="24"/>
          <w:szCs w:val="22"/>
        </w:rPr>
        <w:t xml:space="preserve"> estimate </w:t>
      </w:r>
      <w:r w:rsidR="00986FCB" w:rsidRPr="00663D98">
        <w:rPr>
          <w:rFonts w:asciiTheme="minorHAnsi" w:eastAsiaTheme="minorHAnsi" w:hAnsiTheme="minorHAnsi" w:cstheme="minorBidi"/>
          <w:snapToGrid/>
          <w:color w:val="000000" w:themeColor="text1"/>
          <w:sz w:val="24"/>
          <w:szCs w:val="22"/>
        </w:rPr>
        <w:t>the extent of use of chemotherapy alone for the treatment of mCRC</w:t>
      </w:r>
      <w:r w:rsidR="0051144E" w:rsidRPr="00663D98">
        <w:rPr>
          <w:rFonts w:asciiTheme="minorHAnsi" w:eastAsiaTheme="minorHAnsi" w:hAnsiTheme="minorHAnsi" w:cstheme="minorBidi"/>
          <w:snapToGrid/>
          <w:color w:val="000000" w:themeColor="text1"/>
          <w:sz w:val="24"/>
          <w:szCs w:val="22"/>
        </w:rPr>
        <w:t>, the minor resubmission utilised retrospective data from a report of analyses from the Australian Comprehensive Cancer Outcomes and Research Database (ACCORD)</w:t>
      </w:r>
      <w:r w:rsidR="00D65770" w:rsidRPr="00663D98">
        <w:rPr>
          <w:rFonts w:asciiTheme="minorHAnsi" w:eastAsiaTheme="minorHAnsi" w:hAnsiTheme="minorHAnsi" w:cstheme="minorBidi"/>
          <w:snapToGrid/>
          <w:color w:val="000000" w:themeColor="text1"/>
          <w:sz w:val="24"/>
          <w:szCs w:val="22"/>
        </w:rPr>
        <w:t xml:space="preserve">. Patients with a diagnosis of mCRC between 1-January-2011 and 1-January-2015 included in the database were managed at one of seven Melbourne-based centres: Royal Melbourne Hospital, the Western Hospital, the Box Hill </w:t>
      </w:r>
      <w:r w:rsidR="00F37582" w:rsidRPr="00663D98">
        <w:rPr>
          <w:rFonts w:asciiTheme="minorHAnsi" w:eastAsiaTheme="minorHAnsi" w:hAnsiTheme="minorHAnsi" w:cstheme="minorBidi"/>
          <w:snapToGrid/>
          <w:color w:val="000000" w:themeColor="text1"/>
          <w:sz w:val="24"/>
          <w:szCs w:val="22"/>
        </w:rPr>
        <w:t>Hospital</w:t>
      </w:r>
      <w:r w:rsidR="00D65770" w:rsidRPr="00663D98">
        <w:rPr>
          <w:rFonts w:asciiTheme="minorHAnsi" w:eastAsiaTheme="minorHAnsi" w:hAnsiTheme="minorHAnsi" w:cstheme="minorBidi"/>
          <w:snapToGrid/>
          <w:color w:val="000000" w:themeColor="text1"/>
          <w:sz w:val="24"/>
          <w:szCs w:val="22"/>
        </w:rPr>
        <w:t xml:space="preserve">, the Melbourne Private Hospital, the Western Private Hospital, the Epworth Eastern </w:t>
      </w:r>
      <w:r w:rsidR="00F37582" w:rsidRPr="00663D98">
        <w:rPr>
          <w:rFonts w:asciiTheme="minorHAnsi" w:eastAsiaTheme="minorHAnsi" w:hAnsiTheme="minorHAnsi" w:cstheme="minorBidi"/>
          <w:snapToGrid/>
          <w:color w:val="000000" w:themeColor="text1"/>
          <w:sz w:val="24"/>
          <w:szCs w:val="22"/>
        </w:rPr>
        <w:t>Hospital</w:t>
      </w:r>
      <w:r w:rsidR="00D65770" w:rsidRPr="00663D98">
        <w:rPr>
          <w:rFonts w:asciiTheme="minorHAnsi" w:eastAsiaTheme="minorHAnsi" w:hAnsiTheme="minorHAnsi" w:cstheme="minorBidi"/>
          <w:snapToGrid/>
          <w:color w:val="000000" w:themeColor="text1"/>
          <w:sz w:val="24"/>
          <w:szCs w:val="22"/>
        </w:rPr>
        <w:t>, and the inner city private practice (Epworth Freemasons). The representativeness of these hospitals for others across Australia is unknown.</w:t>
      </w:r>
      <w:r w:rsidR="004461FB" w:rsidRPr="00663D98">
        <w:rPr>
          <w:rFonts w:asciiTheme="minorHAnsi" w:eastAsiaTheme="minorHAnsi" w:hAnsiTheme="minorHAnsi" w:cstheme="minorBidi"/>
          <w:snapToGrid/>
          <w:color w:val="000000" w:themeColor="text1"/>
          <w:sz w:val="24"/>
          <w:szCs w:val="22"/>
        </w:rPr>
        <w:t xml:space="preserve"> The minor resubmission noted that patients treated with biologics </w:t>
      </w:r>
      <w:r w:rsidR="00E64319" w:rsidRPr="00663D98">
        <w:rPr>
          <w:rFonts w:asciiTheme="minorHAnsi" w:eastAsiaTheme="minorHAnsi" w:hAnsiTheme="minorHAnsi" w:cstheme="minorBidi"/>
          <w:snapToGrid/>
          <w:color w:val="000000" w:themeColor="text1"/>
          <w:sz w:val="24"/>
          <w:szCs w:val="22"/>
        </w:rPr>
        <w:t>represent approximately</w:t>
      </w:r>
      <w:r w:rsidR="004461FB" w:rsidRPr="00663D98">
        <w:rPr>
          <w:rFonts w:asciiTheme="minorHAnsi" w:eastAsiaTheme="minorHAnsi" w:hAnsiTheme="minorHAnsi" w:cstheme="minorBidi"/>
          <w:snapToGrid/>
          <w:color w:val="000000" w:themeColor="text1"/>
          <w:sz w:val="24"/>
          <w:szCs w:val="22"/>
        </w:rPr>
        <w:t xml:space="preserve"> 60% (</w:t>
      </w:r>
      <w:r w:rsidR="00927C84">
        <w:rPr>
          <w:rFonts w:asciiTheme="minorHAnsi" w:eastAsiaTheme="minorHAnsi" w:hAnsiTheme="minorHAnsi" w:cstheme="minorBidi"/>
          <w:snapToGrid/>
          <w:color w:val="000000" w:themeColor="text1"/>
          <w:sz w:val="24"/>
          <w:szCs w:val="22"/>
        </w:rPr>
        <w:t>less than 10,000</w:t>
      </w:r>
      <w:r w:rsidR="004461FB" w:rsidRPr="00663D98">
        <w:rPr>
          <w:rFonts w:asciiTheme="minorHAnsi" w:eastAsiaTheme="minorHAnsi" w:hAnsiTheme="minorHAnsi" w:cstheme="minorBidi"/>
          <w:snapToGrid/>
          <w:color w:val="000000" w:themeColor="text1"/>
          <w:sz w:val="24"/>
          <w:szCs w:val="22"/>
        </w:rPr>
        <w:t xml:space="preserve"> patients) </w:t>
      </w:r>
      <w:r w:rsidR="00E64319" w:rsidRPr="00663D98">
        <w:rPr>
          <w:rFonts w:asciiTheme="minorHAnsi" w:eastAsiaTheme="minorHAnsi" w:hAnsiTheme="minorHAnsi" w:cstheme="minorBidi"/>
          <w:snapToGrid/>
          <w:color w:val="000000" w:themeColor="text1"/>
          <w:sz w:val="24"/>
          <w:szCs w:val="22"/>
        </w:rPr>
        <w:t>of the total population treated for mCRC.</w:t>
      </w:r>
      <w:r w:rsidR="004461FB" w:rsidRPr="00663D98">
        <w:rPr>
          <w:rFonts w:asciiTheme="minorHAnsi" w:eastAsiaTheme="minorHAnsi" w:hAnsiTheme="minorHAnsi" w:cstheme="minorBidi"/>
          <w:snapToGrid/>
          <w:color w:val="000000" w:themeColor="text1"/>
          <w:sz w:val="24"/>
          <w:szCs w:val="22"/>
        </w:rPr>
        <w:t xml:space="preserve"> </w:t>
      </w:r>
      <w:r w:rsidRPr="00663D98">
        <w:rPr>
          <w:rFonts w:asciiTheme="minorHAnsi" w:eastAsiaTheme="minorHAnsi" w:hAnsiTheme="minorHAnsi" w:cstheme="minorBidi"/>
          <w:snapToGrid/>
          <w:color w:val="000000" w:themeColor="text1"/>
          <w:sz w:val="24"/>
          <w:szCs w:val="22"/>
        </w:rPr>
        <w:t xml:space="preserve"> The minor resubmission claimed that when patients treated with fluoropyrimidine alone were removed from the analysis, the estimated proportion of patients treated with biologics is </w:t>
      </w:r>
      <w:r w:rsidR="00C34BCC">
        <w:rPr>
          <w:rFonts w:asciiTheme="minorHAnsi" w:eastAsiaTheme="minorHAnsi" w:hAnsiTheme="minorHAnsi" w:cstheme="minorBidi"/>
          <w:noProof/>
          <w:snapToGrid/>
          <w:color w:val="000000"/>
          <w:sz w:val="24"/>
          <w:szCs w:val="22"/>
          <w:highlight w:val="black"/>
        </w:rPr>
        <w:t>''''''</w:t>
      </w:r>
      <w:r w:rsidRPr="00663D98">
        <w:rPr>
          <w:rFonts w:asciiTheme="minorHAnsi" w:eastAsiaTheme="minorHAnsi" w:hAnsiTheme="minorHAnsi" w:cstheme="minorBidi"/>
          <w:snapToGrid/>
          <w:color w:val="000000" w:themeColor="text1"/>
          <w:sz w:val="24"/>
          <w:szCs w:val="22"/>
        </w:rPr>
        <w:t>% which approximately consistent with the</w:t>
      </w:r>
      <w:r w:rsidR="00855CB7" w:rsidRPr="00663D98">
        <w:rPr>
          <w:rFonts w:asciiTheme="minorHAnsi" w:eastAsiaTheme="minorHAnsi" w:hAnsiTheme="minorHAnsi" w:cstheme="minorBidi"/>
          <w:snapToGrid/>
          <w:color w:val="000000" w:themeColor="text1"/>
          <w:sz w:val="24"/>
          <w:szCs w:val="22"/>
        </w:rPr>
        <w:t xml:space="preserve"> estimated</w:t>
      </w:r>
      <w:r w:rsidR="00164850" w:rsidRPr="00663D98">
        <w:rPr>
          <w:rFonts w:asciiTheme="minorHAnsi" w:eastAsiaTheme="minorHAnsi" w:hAnsiTheme="minorHAnsi" w:cstheme="minorBidi"/>
          <w:snapToGrid/>
          <w:color w:val="000000" w:themeColor="text1"/>
          <w:sz w:val="24"/>
          <w:szCs w:val="22"/>
        </w:rPr>
        <w:t xml:space="preserve"> </w:t>
      </w:r>
      <w:r w:rsidR="00C34BCC">
        <w:rPr>
          <w:rFonts w:asciiTheme="minorHAnsi" w:eastAsiaTheme="minorHAnsi" w:hAnsiTheme="minorHAnsi" w:cstheme="minorBidi"/>
          <w:noProof/>
          <w:snapToGrid/>
          <w:color w:val="000000"/>
          <w:sz w:val="24"/>
          <w:szCs w:val="22"/>
          <w:highlight w:val="black"/>
        </w:rPr>
        <w:t>'''''</w:t>
      </w:r>
      <w:r w:rsidR="00164850" w:rsidRPr="00663D98">
        <w:rPr>
          <w:rFonts w:asciiTheme="minorHAnsi" w:eastAsiaTheme="minorHAnsi" w:hAnsiTheme="minorHAnsi" w:cstheme="minorBidi"/>
          <w:snapToGrid/>
          <w:color w:val="000000" w:themeColor="text1"/>
          <w:sz w:val="24"/>
          <w:szCs w:val="22"/>
        </w:rPr>
        <w:t xml:space="preserve">% </w:t>
      </w:r>
      <w:r w:rsidRPr="00663D98">
        <w:rPr>
          <w:rFonts w:asciiTheme="minorHAnsi" w:eastAsiaTheme="minorHAnsi" w:hAnsiTheme="minorHAnsi" w:cstheme="minorBidi"/>
          <w:snapToGrid/>
          <w:color w:val="000000" w:themeColor="text1"/>
          <w:sz w:val="24"/>
          <w:szCs w:val="22"/>
        </w:rPr>
        <w:t>from the 10% PBS dataset.</w:t>
      </w:r>
      <w:r w:rsidR="00164850" w:rsidRPr="00663D98">
        <w:rPr>
          <w:rFonts w:asciiTheme="minorHAnsi" w:eastAsiaTheme="minorHAnsi" w:hAnsiTheme="minorHAnsi" w:cstheme="minorBidi"/>
          <w:snapToGrid/>
          <w:color w:val="000000" w:themeColor="text1"/>
          <w:sz w:val="24"/>
          <w:szCs w:val="22"/>
        </w:rPr>
        <w:t xml:space="preserve"> </w:t>
      </w:r>
      <w:r w:rsidR="00855CB7" w:rsidRPr="00663D98">
        <w:rPr>
          <w:rFonts w:asciiTheme="minorHAnsi" w:eastAsiaTheme="minorHAnsi" w:hAnsiTheme="minorHAnsi" w:cstheme="minorBidi"/>
          <w:snapToGrid/>
          <w:color w:val="000000" w:themeColor="text1"/>
          <w:sz w:val="24"/>
          <w:szCs w:val="22"/>
        </w:rPr>
        <w:t>T</w:t>
      </w:r>
      <w:r w:rsidR="00164850" w:rsidRPr="00663D98">
        <w:rPr>
          <w:rFonts w:asciiTheme="minorHAnsi" w:eastAsiaTheme="minorHAnsi" w:hAnsiTheme="minorHAnsi" w:cstheme="minorBidi"/>
          <w:snapToGrid/>
          <w:color w:val="000000" w:themeColor="text1"/>
          <w:sz w:val="24"/>
          <w:szCs w:val="22"/>
        </w:rPr>
        <w:t>he</w:t>
      </w:r>
      <w:r w:rsidR="00855CB7" w:rsidRPr="00663D98">
        <w:rPr>
          <w:rFonts w:asciiTheme="minorHAnsi" w:eastAsiaTheme="minorHAnsi" w:hAnsiTheme="minorHAnsi" w:cstheme="minorBidi"/>
          <w:snapToGrid/>
          <w:color w:val="000000" w:themeColor="text1"/>
          <w:sz w:val="24"/>
          <w:szCs w:val="22"/>
        </w:rPr>
        <w:t xml:space="preserve"> estimate that </w:t>
      </w:r>
      <w:r w:rsidR="00C34BCC">
        <w:rPr>
          <w:rFonts w:asciiTheme="minorHAnsi" w:eastAsiaTheme="minorHAnsi" w:hAnsiTheme="minorHAnsi" w:cstheme="minorBidi"/>
          <w:noProof/>
          <w:snapToGrid/>
          <w:color w:val="000000"/>
          <w:sz w:val="24"/>
          <w:szCs w:val="22"/>
          <w:highlight w:val="black"/>
        </w:rPr>
        <w:t>'''''</w:t>
      </w:r>
      <w:r w:rsidR="00164850" w:rsidRPr="00663D98">
        <w:rPr>
          <w:rFonts w:asciiTheme="minorHAnsi" w:eastAsiaTheme="minorHAnsi" w:hAnsiTheme="minorHAnsi" w:cstheme="minorBidi"/>
          <w:snapToGrid/>
          <w:color w:val="000000" w:themeColor="text1"/>
          <w:sz w:val="24"/>
          <w:szCs w:val="22"/>
        </w:rPr>
        <w:t xml:space="preserve">% of </w:t>
      </w:r>
      <w:r w:rsidR="00653E9F">
        <w:rPr>
          <w:rFonts w:asciiTheme="minorHAnsi" w:eastAsiaTheme="minorHAnsi" w:hAnsiTheme="minorHAnsi" w:cstheme="minorBidi"/>
          <w:snapToGrid/>
          <w:color w:val="000000" w:themeColor="text1"/>
          <w:sz w:val="24"/>
          <w:szCs w:val="22"/>
        </w:rPr>
        <w:t xml:space="preserve">mCRC </w:t>
      </w:r>
      <w:r w:rsidR="00164850" w:rsidRPr="00653E9F">
        <w:rPr>
          <w:rFonts w:asciiTheme="minorHAnsi" w:eastAsiaTheme="minorHAnsi" w:hAnsiTheme="minorHAnsi" w:cstheme="minorBidi"/>
          <w:snapToGrid/>
          <w:color w:val="000000" w:themeColor="text1"/>
          <w:sz w:val="24"/>
          <w:szCs w:val="22"/>
        </w:rPr>
        <w:t>patients are treated with biologics from the PBS dataset</w:t>
      </w:r>
      <w:r w:rsidR="00855CB7" w:rsidRPr="00653E9F">
        <w:rPr>
          <w:rFonts w:asciiTheme="minorHAnsi" w:eastAsiaTheme="minorHAnsi" w:hAnsiTheme="minorHAnsi" w:cstheme="minorBidi"/>
          <w:snapToGrid/>
          <w:color w:val="000000" w:themeColor="text1"/>
          <w:sz w:val="24"/>
          <w:szCs w:val="22"/>
        </w:rPr>
        <w:t xml:space="preserve"> was used in the minor resubmission to adjust for the estimates of incident patients treated with biologics</w:t>
      </w:r>
      <w:r w:rsidR="00164850" w:rsidRPr="00663D98">
        <w:rPr>
          <w:rFonts w:asciiTheme="minorHAnsi" w:eastAsiaTheme="minorHAnsi" w:hAnsiTheme="minorHAnsi" w:cstheme="minorBidi"/>
          <w:snapToGrid/>
          <w:color w:val="000000" w:themeColor="text1"/>
          <w:sz w:val="24"/>
          <w:szCs w:val="22"/>
        </w:rPr>
        <w:t>.</w:t>
      </w:r>
    </w:p>
    <w:p w:rsidR="004F64CF" w:rsidRPr="00663D98" w:rsidRDefault="00164850" w:rsidP="00833CF7">
      <w:pPr>
        <w:pStyle w:val="ListParagraph"/>
        <w:widowControl/>
        <w:numPr>
          <w:ilvl w:val="1"/>
          <w:numId w:val="14"/>
        </w:numPr>
        <w:spacing w:after="120"/>
        <w:contextualSpacing w:val="0"/>
        <w:rPr>
          <w:rFonts w:asciiTheme="minorHAnsi" w:eastAsiaTheme="minorHAnsi" w:hAnsiTheme="minorHAnsi" w:cstheme="minorBidi"/>
          <w:snapToGrid/>
          <w:color w:val="000000" w:themeColor="text1"/>
          <w:sz w:val="24"/>
          <w:szCs w:val="22"/>
        </w:rPr>
      </w:pPr>
      <w:r w:rsidRPr="00663D98">
        <w:rPr>
          <w:rFonts w:asciiTheme="minorHAnsi" w:eastAsiaTheme="minorHAnsi" w:hAnsiTheme="minorHAnsi" w:cstheme="minorBidi"/>
          <w:snapToGrid/>
          <w:color w:val="000000" w:themeColor="text1"/>
          <w:sz w:val="24"/>
          <w:szCs w:val="22"/>
        </w:rPr>
        <w:t>T</w:t>
      </w:r>
      <w:r w:rsidR="00833CF7" w:rsidRPr="00663D98">
        <w:rPr>
          <w:rFonts w:asciiTheme="minorHAnsi" w:eastAsiaTheme="minorHAnsi" w:hAnsiTheme="minorHAnsi" w:cstheme="minorBidi"/>
          <w:snapToGrid/>
          <w:color w:val="000000" w:themeColor="text1"/>
          <w:sz w:val="24"/>
          <w:szCs w:val="22"/>
        </w:rPr>
        <w:t>he minor resubmission applied a growth rate of 1.6% for the Australian population based on Australian Bureau of Statistics data on the basis that the DUSC report noted that the growth rate in patient numbers appears to be plateauing.</w:t>
      </w:r>
      <w:r w:rsidR="00514A34" w:rsidRPr="00663D98">
        <w:rPr>
          <w:rFonts w:asciiTheme="minorHAnsi" w:eastAsiaTheme="minorHAnsi" w:hAnsiTheme="minorHAnsi" w:cstheme="minorBidi"/>
          <w:snapToGrid/>
          <w:color w:val="000000" w:themeColor="text1"/>
          <w:sz w:val="24"/>
          <w:szCs w:val="22"/>
        </w:rPr>
        <w:t xml:space="preserve"> Further, the assumed uptake rate was revised to be </w:t>
      </w:r>
      <w:r w:rsidR="00C34BCC">
        <w:rPr>
          <w:rFonts w:asciiTheme="minorHAnsi" w:eastAsiaTheme="minorHAnsi" w:hAnsiTheme="minorHAnsi" w:cstheme="minorBidi"/>
          <w:noProof/>
          <w:snapToGrid/>
          <w:color w:val="000000"/>
          <w:sz w:val="24"/>
          <w:szCs w:val="22"/>
          <w:highlight w:val="black"/>
        </w:rPr>
        <w:t>'''''</w:t>
      </w:r>
      <w:r w:rsidR="00514A34" w:rsidRPr="00663D98">
        <w:rPr>
          <w:rFonts w:asciiTheme="minorHAnsi" w:eastAsiaTheme="minorHAnsi" w:hAnsiTheme="minorHAnsi" w:cstheme="minorBidi"/>
          <w:snapToGrid/>
          <w:color w:val="000000" w:themeColor="text1"/>
          <w:sz w:val="24"/>
          <w:szCs w:val="22"/>
        </w:rPr>
        <w:t xml:space="preserve">% in all years compared to </w:t>
      </w:r>
      <w:r w:rsidR="00C34BCC">
        <w:rPr>
          <w:rFonts w:asciiTheme="minorHAnsi" w:eastAsiaTheme="minorHAnsi" w:hAnsiTheme="minorHAnsi" w:cstheme="minorBidi"/>
          <w:noProof/>
          <w:snapToGrid/>
          <w:color w:val="000000"/>
          <w:sz w:val="24"/>
          <w:szCs w:val="22"/>
          <w:highlight w:val="black"/>
        </w:rPr>
        <w:t>'''''</w:t>
      </w:r>
      <w:r w:rsidR="00514A34" w:rsidRPr="00663D98">
        <w:rPr>
          <w:rFonts w:asciiTheme="minorHAnsi" w:eastAsiaTheme="minorHAnsi" w:hAnsiTheme="minorHAnsi" w:cstheme="minorBidi"/>
          <w:snapToGrid/>
          <w:color w:val="000000" w:themeColor="text1"/>
          <w:sz w:val="24"/>
          <w:szCs w:val="22"/>
        </w:rPr>
        <w:t xml:space="preserve">% in the first year increasing to </w:t>
      </w:r>
      <w:r w:rsidR="00C34BCC">
        <w:rPr>
          <w:rFonts w:asciiTheme="minorHAnsi" w:eastAsiaTheme="minorHAnsi" w:hAnsiTheme="minorHAnsi" w:cstheme="minorBidi"/>
          <w:noProof/>
          <w:snapToGrid/>
          <w:color w:val="000000"/>
          <w:sz w:val="24"/>
          <w:szCs w:val="22"/>
          <w:highlight w:val="black"/>
        </w:rPr>
        <w:t>''''''</w:t>
      </w:r>
      <w:r w:rsidR="00514A34" w:rsidRPr="00663D98">
        <w:rPr>
          <w:rFonts w:asciiTheme="minorHAnsi" w:eastAsiaTheme="minorHAnsi" w:hAnsiTheme="minorHAnsi" w:cstheme="minorBidi"/>
          <w:snapToGrid/>
          <w:color w:val="000000" w:themeColor="text1"/>
          <w:sz w:val="24"/>
          <w:szCs w:val="22"/>
        </w:rPr>
        <w:t xml:space="preserve">% in subsequent years in previous submissions. </w:t>
      </w:r>
      <w:r w:rsidR="00CA3428" w:rsidRPr="00663D98">
        <w:rPr>
          <w:rFonts w:asciiTheme="minorHAnsi" w:eastAsiaTheme="minorHAnsi" w:hAnsiTheme="minorHAnsi" w:cstheme="minorBidi"/>
          <w:snapToGrid/>
          <w:color w:val="000000" w:themeColor="text1"/>
          <w:sz w:val="24"/>
          <w:szCs w:val="22"/>
        </w:rPr>
        <w:t>The distribution of patients by dose and packs was based on the RECOURSE trial. The average number of courses per patient was assumed to be 3.4</w:t>
      </w:r>
      <w:r w:rsidR="00255358" w:rsidRPr="00663D98">
        <w:rPr>
          <w:rFonts w:asciiTheme="minorHAnsi" w:eastAsiaTheme="minorHAnsi" w:hAnsiTheme="minorHAnsi" w:cstheme="minorBidi"/>
          <w:snapToGrid/>
          <w:color w:val="000000" w:themeColor="text1"/>
          <w:sz w:val="24"/>
          <w:szCs w:val="22"/>
        </w:rPr>
        <w:t>2</w:t>
      </w:r>
      <w:r w:rsidR="00CA3428" w:rsidRPr="00663D98">
        <w:rPr>
          <w:rFonts w:asciiTheme="minorHAnsi" w:eastAsiaTheme="minorHAnsi" w:hAnsiTheme="minorHAnsi" w:cstheme="minorBidi"/>
          <w:snapToGrid/>
          <w:color w:val="000000" w:themeColor="text1"/>
          <w:sz w:val="24"/>
          <w:szCs w:val="22"/>
        </w:rPr>
        <w:t xml:space="preserve"> based on the RECOURSE trial</w:t>
      </w:r>
      <w:r w:rsidR="00CB5C24" w:rsidRPr="00663D98">
        <w:rPr>
          <w:rFonts w:asciiTheme="minorHAnsi" w:eastAsiaTheme="minorHAnsi" w:hAnsiTheme="minorHAnsi" w:cstheme="minorBidi"/>
          <w:snapToGrid/>
          <w:color w:val="000000" w:themeColor="text1"/>
          <w:sz w:val="24"/>
          <w:szCs w:val="22"/>
        </w:rPr>
        <w:t xml:space="preserve"> as per the previous submissions</w:t>
      </w:r>
      <w:r w:rsidR="00CA3428" w:rsidRPr="00663D98">
        <w:rPr>
          <w:rFonts w:asciiTheme="minorHAnsi" w:eastAsiaTheme="minorHAnsi" w:hAnsiTheme="minorHAnsi" w:cstheme="minorBidi"/>
          <w:snapToGrid/>
          <w:color w:val="000000" w:themeColor="text1"/>
          <w:sz w:val="24"/>
          <w:szCs w:val="22"/>
        </w:rPr>
        <w:t xml:space="preserve">. </w:t>
      </w:r>
      <w:r w:rsidR="00C03FC7" w:rsidRPr="00663D98">
        <w:rPr>
          <w:rFonts w:asciiTheme="minorHAnsi" w:eastAsiaTheme="minorHAnsi" w:hAnsiTheme="minorHAnsi" w:cstheme="minorBidi"/>
          <w:snapToGrid/>
          <w:color w:val="000000" w:themeColor="text1"/>
          <w:sz w:val="24"/>
          <w:szCs w:val="22"/>
        </w:rPr>
        <w:t>The estimated utilisation and financial implications are presented below.</w:t>
      </w:r>
    </w:p>
    <w:p w:rsidR="00C03FC7" w:rsidRPr="00663D98" w:rsidRDefault="00C03FC7" w:rsidP="0068763C">
      <w:pPr>
        <w:keepNext/>
        <w:rPr>
          <w:rFonts w:ascii="Arial Narrow" w:hAnsi="Arial Narrow"/>
          <w:b/>
          <w:sz w:val="20"/>
          <w:szCs w:val="22"/>
        </w:rPr>
      </w:pPr>
      <w:r w:rsidRPr="00663D98">
        <w:rPr>
          <w:rFonts w:ascii="Arial Narrow" w:hAnsi="Arial Narrow"/>
          <w:b/>
          <w:sz w:val="20"/>
          <w:szCs w:val="22"/>
        </w:rPr>
        <w:t xml:space="preserve">Table 3: Estimated use and financial implications </w:t>
      </w:r>
    </w:p>
    <w:tbl>
      <w:tblPr>
        <w:tblStyle w:val="TableGrid"/>
        <w:tblW w:w="5000" w:type="pct"/>
        <w:tblCellMar>
          <w:left w:w="28" w:type="dxa"/>
          <w:right w:w="28" w:type="dxa"/>
        </w:tblCellMar>
        <w:tblLook w:val="04A0" w:firstRow="1" w:lastRow="0" w:firstColumn="1" w:lastColumn="0" w:noHBand="0" w:noVBand="1"/>
        <w:tblCaption w:val="Table 3: Estimated use and financial implications "/>
        <w:tblDescription w:val="Table 3: Estimated use and financial implications "/>
      </w:tblPr>
      <w:tblGrid>
        <w:gridCol w:w="1926"/>
        <w:gridCol w:w="1018"/>
        <w:gridCol w:w="1018"/>
        <w:gridCol w:w="1019"/>
        <w:gridCol w:w="1019"/>
        <w:gridCol w:w="1019"/>
        <w:gridCol w:w="1019"/>
        <w:gridCol w:w="1044"/>
      </w:tblGrid>
      <w:tr w:rsidR="00C03FC7" w:rsidRPr="00663D98" w:rsidTr="005C2DD9">
        <w:trPr>
          <w:tblHeader/>
        </w:trPr>
        <w:tc>
          <w:tcPr>
            <w:tcW w:w="1067" w:type="pct"/>
            <w:shd w:val="clear" w:color="auto" w:fill="auto"/>
          </w:tcPr>
          <w:p w:rsidR="00C03FC7" w:rsidRPr="00663D98" w:rsidRDefault="00C03FC7" w:rsidP="0068763C">
            <w:pPr>
              <w:pStyle w:val="TableText0"/>
              <w:spacing w:before="40" w:after="40"/>
              <w:rPr>
                <w:b/>
                <w:sz w:val="18"/>
                <w:szCs w:val="18"/>
              </w:rPr>
            </w:pPr>
          </w:p>
        </w:tc>
        <w:tc>
          <w:tcPr>
            <w:tcW w:w="567" w:type="pct"/>
            <w:shd w:val="clear" w:color="auto" w:fill="auto"/>
            <w:vAlign w:val="center"/>
          </w:tcPr>
          <w:p w:rsidR="00C03FC7" w:rsidRPr="00663D98" w:rsidRDefault="00C03FC7" w:rsidP="0068763C">
            <w:pPr>
              <w:pStyle w:val="TableText0"/>
              <w:spacing w:before="40" w:after="40"/>
              <w:jc w:val="center"/>
              <w:rPr>
                <w:b/>
                <w:sz w:val="18"/>
                <w:szCs w:val="18"/>
              </w:rPr>
            </w:pPr>
            <w:r w:rsidRPr="00663D98">
              <w:rPr>
                <w:b/>
                <w:sz w:val="18"/>
                <w:szCs w:val="18"/>
              </w:rPr>
              <w:t>Year 1</w:t>
            </w:r>
          </w:p>
        </w:tc>
        <w:tc>
          <w:tcPr>
            <w:tcW w:w="567" w:type="pct"/>
            <w:shd w:val="clear" w:color="auto" w:fill="auto"/>
            <w:vAlign w:val="center"/>
          </w:tcPr>
          <w:p w:rsidR="00C03FC7" w:rsidRPr="00663D98" w:rsidRDefault="00C03FC7" w:rsidP="0068763C">
            <w:pPr>
              <w:pStyle w:val="TableText0"/>
              <w:spacing w:before="40" w:after="40"/>
              <w:jc w:val="center"/>
              <w:rPr>
                <w:b/>
                <w:sz w:val="18"/>
                <w:szCs w:val="18"/>
              </w:rPr>
            </w:pPr>
            <w:r w:rsidRPr="00663D98">
              <w:rPr>
                <w:b/>
                <w:sz w:val="18"/>
                <w:szCs w:val="18"/>
              </w:rPr>
              <w:t>Year 2</w:t>
            </w:r>
          </w:p>
        </w:tc>
        <w:tc>
          <w:tcPr>
            <w:tcW w:w="567" w:type="pct"/>
            <w:shd w:val="clear" w:color="auto" w:fill="auto"/>
            <w:vAlign w:val="center"/>
          </w:tcPr>
          <w:p w:rsidR="00C03FC7" w:rsidRPr="00663D98" w:rsidRDefault="00C03FC7" w:rsidP="0068763C">
            <w:pPr>
              <w:pStyle w:val="TableText0"/>
              <w:spacing w:before="40" w:after="40"/>
              <w:jc w:val="center"/>
              <w:rPr>
                <w:b/>
                <w:sz w:val="18"/>
                <w:szCs w:val="18"/>
              </w:rPr>
            </w:pPr>
            <w:r w:rsidRPr="00663D98">
              <w:rPr>
                <w:b/>
                <w:sz w:val="18"/>
                <w:szCs w:val="18"/>
              </w:rPr>
              <w:t>Year 3</w:t>
            </w:r>
          </w:p>
        </w:tc>
        <w:tc>
          <w:tcPr>
            <w:tcW w:w="567" w:type="pct"/>
            <w:shd w:val="clear" w:color="auto" w:fill="auto"/>
            <w:vAlign w:val="center"/>
          </w:tcPr>
          <w:p w:rsidR="00C03FC7" w:rsidRPr="00663D98" w:rsidRDefault="00C03FC7" w:rsidP="0068763C">
            <w:pPr>
              <w:pStyle w:val="TableText0"/>
              <w:spacing w:before="40" w:after="40"/>
              <w:jc w:val="center"/>
              <w:rPr>
                <w:b/>
                <w:sz w:val="18"/>
                <w:szCs w:val="18"/>
              </w:rPr>
            </w:pPr>
            <w:r w:rsidRPr="00663D98">
              <w:rPr>
                <w:b/>
                <w:sz w:val="18"/>
                <w:szCs w:val="18"/>
              </w:rPr>
              <w:t>Year 4</w:t>
            </w:r>
          </w:p>
        </w:tc>
        <w:tc>
          <w:tcPr>
            <w:tcW w:w="567" w:type="pct"/>
            <w:shd w:val="clear" w:color="auto" w:fill="auto"/>
            <w:vAlign w:val="center"/>
          </w:tcPr>
          <w:p w:rsidR="00C03FC7" w:rsidRPr="00663D98" w:rsidRDefault="00C03FC7" w:rsidP="0068763C">
            <w:pPr>
              <w:pStyle w:val="TableText0"/>
              <w:spacing w:before="40" w:after="40"/>
              <w:jc w:val="center"/>
              <w:rPr>
                <w:b/>
                <w:sz w:val="18"/>
                <w:szCs w:val="18"/>
              </w:rPr>
            </w:pPr>
            <w:r w:rsidRPr="00663D98">
              <w:rPr>
                <w:b/>
                <w:sz w:val="18"/>
                <w:szCs w:val="18"/>
              </w:rPr>
              <w:t>Year 5</w:t>
            </w:r>
          </w:p>
        </w:tc>
        <w:tc>
          <w:tcPr>
            <w:tcW w:w="567" w:type="pct"/>
            <w:shd w:val="clear" w:color="auto" w:fill="auto"/>
            <w:vAlign w:val="center"/>
          </w:tcPr>
          <w:p w:rsidR="00C03FC7" w:rsidRPr="00663D98" w:rsidRDefault="00C03FC7" w:rsidP="0068763C">
            <w:pPr>
              <w:pStyle w:val="TableText0"/>
              <w:spacing w:before="40" w:after="40"/>
              <w:jc w:val="center"/>
              <w:rPr>
                <w:b/>
                <w:sz w:val="18"/>
                <w:szCs w:val="18"/>
              </w:rPr>
            </w:pPr>
            <w:r w:rsidRPr="00663D98">
              <w:rPr>
                <w:b/>
                <w:sz w:val="18"/>
                <w:szCs w:val="18"/>
              </w:rPr>
              <w:t>Year 6</w:t>
            </w:r>
          </w:p>
        </w:tc>
        <w:tc>
          <w:tcPr>
            <w:tcW w:w="533" w:type="pct"/>
            <w:shd w:val="clear" w:color="auto" w:fill="auto"/>
          </w:tcPr>
          <w:p w:rsidR="00C03FC7" w:rsidRPr="00663D98" w:rsidRDefault="00C03FC7" w:rsidP="0068763C">
            <w:pPr>
              <w:pStyle w:val="TableText0"/>
              <w:spacing w:before="40" w:after="40"/>
              <w:jc w:val="center"/>
              <w:rPr>
                <w:b/>
                <w:sz w:val="18"/>
                <w:szCs w:val="18"/>
              </w:rPr>
            </w:pPr>
            <w:r w:rsidRPr="00663D98">
              <w:rPr>
                <w:b/>
                <w:sz w:val="18"/>
                <w:szCs w:val="18"/>
              </w:rPr>
              <w:t>Total</w:t>
            </w:r>
          </w:p>
        </w:tc>
      </w:tr>
      <w:tr w:rsidR="00B77C93" w:rsidRPr="00663D98" w:rsidTr="005C2DD9">
        <w:tc>
          <w:tcPr>
            <w:tcW w:w="1067" w:type="pct"/>
          </w:tcPr>
          <w:p w:rsidR="00B77C93" w:rsidRPr="00663D98" w:rsidRDefault="00B77C93" w:rsidP="0068763C">
            <w:pPr>
              <w:pStyle w:val="TableText0"/>
              <w:spacing w:before="40" w:after="40"/>
              <w:rPr>
                <w:sz w:val="18"/>
                <w:szCs w:val="18"/>
              </w:rPr>
            </w:pPr>
            <w:r w:rsidRPr="00663D98">
              <w:rPr>
                <w:sz w:val="18"/>
                <w:szCs w:val="18"/>
              </w:rPr>
              <w:t>Likely number of patients in each year</w:t>
            </w:r>
            <w:r w:rsidR="00AB3ADE" w:rsidRPr="00663D98">
              <w:rPr>
                <w:sz w:val="18"/>
                <w:szCs w:val="18"/>
              </w:rPr>
              <w:t>*</w:t>
            </w:r>
          </w:p>
        </w:tc>
        <w:tc>
          <w:tcPr>
            <w:tcW w:w="567" w:type="pct"/>
            <w:vAlign w:val="center"/>
          </w:tcPr>
          <w:p w:rsidR="00B77C93" w:rsidRPr="00C34BCC" w:rsidRDefault="00C34BCC" w:rsidP="0068763C">
            <w:pPr>
              <w:keepNext/>
              <w:jc w:val="center"/>
              <w:rPr>
                <w:rFonts w:ascii="Arial Narrow" w:hAnsi="Arial Narrow"/>
                <w:b/>
                <w:color w:val="000000"/>
                <w:sz w:val="20"/>
                <w:szCs w:val="20"/>
                <w:highlight w:val="black"/>
              </w:rPr>
            </w:pPr>
            <w:r>
              <w:rPr>
                <w:rFonts w:ascii="Arial Narrow" w:hAnsi="Arial Narrow"/>
                <w:b/>
                <w:noProof/>
                <w:color w:val="000000"/>
                <w:sz w:val="20"/>
                <w:szCs w:val="20"/>
                <w:highlight w:val="black"/>
              </w:rPr>
              <w:t>''''''''</w:t>
            </w:r>
          </w:p>
        </w:tc>
        <w:tc>
          <w:tcPr>
            <w:tcW w:w="567" w:type="pct"/>
            <w:vAlign w:val="center"/>
          </w:tcPr>
          <w:p w:rsidR="00B77C93" w:rsidRPr="00C34BCC" w:rsidRDefault="00C34BCC" w:rsidP="0068763C">
            <w:pPr>
              <w:keepNext/>
              <w:jc w:val="center"/>
              <w:rPr>
                <w:rFonts w:ascii="Arial Narrow" w:hAnsi="Arial Narrow"/>
                <w:b/>
                <w:color w:val="000000"/>
                <w:sz w:val="20"/>
                <w:szCs w:val="20"/>
                <w:highlight w:val="black"/>
              </w:rPr>
            </w:pPr>
            <w:r>
              <w:rPr>
                <w:rFonts w:ascii="Arial Narrow" w:hAnsi="Arial Narrow"/>
                <w:b/>
                <w:noProof/>
                <w:color w:val="000000"/>
                <w:sz w:val="20"/>
                <w:szCs w:val="20"/>
                <w:highlight w:val="black"/>
              </w:rPr>
              <w:t>'''''''</w:t>
            </w:r>
          </w:p>
        </w:tc>
        <w:tc>
          <w:tcPr>
            <w:tcW w:w="567" w:type="pct"/>
            <w:vAlign w:val="center"/>
          </w:tcPr>
          <w:p w:rsidR="00B77C93" w:rsidRPr="00C34BCC" w:rsidRDefault="00C34BCC" w:rsidP="0068763C">
            <w:pPr>
              <w:keepNext/>
              <w:jc w:val="center"/>
              <w:rPr>
                <w:rFonts w:ascii="Arial Narrow" w:hAnsi="Arial Narrow"/>
                <w:b/>
                <w:color w:val="000000"/>
                <w:sz w:val="20"/>
                <w:szCs w:val="20"/>
                <w:highlight w:val="black"/>
              </w:rPr>
            </w:pPr>
            <w:r>
              <w:rPr>
                <w:rFonts w:ascii="Arial Narrow" w:hAnsi="Arial Narrow"/>
                <w:b/>
                <w:noProof/>
                <w:color w:val="000000"/>
                <w:sz w:val="20"/>
                <w:szCs w:val="20"/>
                <w:highlight w:val="black"/>
              </w:rPr>
              <w:t>'''''''</w:t>
            </w:r>
          </w:p>
        </w:tc>
        <w:tc>
          <w:tcPr>
            <w:tcW w:w="567" w:type="pct"/>
            <w:vAlign w:val="center"/>
          </w:tcPr>
          <w:p w:rsidR="00B77C93" w:rsidRPr="00C34BCC" w:rsidRDefault="00C34BCC" w:rsidP="0068763C">
            <w:pPr>
              <w:keepNext/>
              <w:jc w:val="center"/>
              <w:rPr>
                <w:rFonts w:ascii="Arial Narrow" w:hAnsi="Arial Narrow"/>
                <w:b/>
                <w:color w:val="000000"/>
                <w:sz w:val="20"/>
                <w:szCs w:val="20"/>
                <w:highlight w:val="black"/>
              </w:rPr>
            </w:pPr>
            <w:r>
              <w:rPr>
                <w:rFonts w:ascii="Arial Narrow" w:hAnsi="Arial Narrow"/>
                <w:b/>
                <w:noProof/>
                <w:color w:val="000000"/>
                <w:sz w:val="20"/>
                <w:szCs w:val="20"/>
                <w:highlight w:val="black"/>
              </w:rPr>
              <w:t>''''''''</w:t>
            </w:r>
          </w:p>
        </w:tc>
        <w:tc>
          <w:tcPr>
            <w:tcW w:w="567" w:type="pct"/>
            <w:vAlign w:val="center"/>
          </w:tcPr>
          <w:p w:rsidR="00B77C93" w:rsidRPr="00C34BCC" w:rsidRDefault="00C34BCC" w:rsidP="0068763C">
            <w:pPr>
              <w:keepNext/>
              <w:jc w:val="center"/>
              <w:rPr>
                <w:rFonts w:ascii="Arial Narrow" w:hAnsi="Arial Narrow"/>
                <w:b/>
                <w:color w:val="000000"/>
                <w:sz w:val="20"/>
                <w:szCs w:val="20"/>
                <w:highlight w:val="black"/>
              </w:rPr>
            </w:pPr>
            <w:r>
              <w:rPr>
                <w:rFonts w:ascii="Arial Narrow" w:hAnsi="Arial Narrow"/>
                <w:b/>
                <w:noProof/>
                <w:color w:val="000000"/>
                <w:sz w:val="20"/>
                <w:szCs w:val="20"/>
                <w:highlight w:val="black"/>
              </w:rPr>
              <w:t>'''''''</w:t>
            </w:r>
          </w:p>
        </w:tc>
        <w:tc>
          <w:tcPr>
            <w:tcW w:w="567" w:type="pct"/>
            <w:vAlign w:val="center"/>
          </w:tcPr>
          <w:p w:rsidR="00B77C93" w:rsidRPr="00C34BCC" w:rsidRDefault="00C34BCC" w:rsidP="0068763C">
            <w:pPr>
              <w:keepNext/>
              <w:jc w:val="center"/>
              <w:rPr>
                <w:rFonts w:ascii="Arial Narrow" w:hAnsi="Arial Narrow"/>
                <w:b/>
                <w:color w:val="000000"/>
                <w:sz w:val="20"/>
                <w:szCs w:val="20"/>
                <w:highlight w:val="black"/>
              </w:rPr>
            </w:pPr>
            <w:r>
              <w:rPr>
                <w:rFonts w:ascii="Arial Narrow" w:hAnsi="Arial Narrow"/>
                <w:b/>
                <w:noProof/>
                <w:color w:val="000000"/>
                <w:sz w:val="20"/>
                <w:szCs w:val="20"/>
                <w:highlight w:val="black"/>
              </w:rPr>
              <w:t>''''''''</w:t>
            </w:r>
          </w:p>
        </w:tc>
        <w:tc>
          <w:tcPr>
            <w:tcW w:w="533" w:type="pct"/>
            <w:vAlign w:val="center"/>
          </w:tcPr>
          <w:p w:rsidR="00B77C93" w:rsidRPr="00C34BCC" w:rsidRDefault="00C34BCC" w:rsidP="0068763C">
            <w:pPr>
              <w:keepNext/>
              <w:autoSpaceDE w:val="0"/>
              <w:autoSpaceDN w:val="0"/>
              <w:adjustRightInd w:val="0"/>
              <w:spacing w:before="40" w:after="40"/>
              <w:jc w:val="center"/>
              <w:rPr>
                <w:rFonts w:ascii="Arial Narrow" w:hAnsi="Arial Narrow"/>
                <w:b/>
                <w:sz w:val="20"/>
                <w:szCs w:val="20"/>
                <w:highlight w:val="black"/>
              </w:rPr>
            </w:pPr>
            <w:r>
              <w:rPr>
                <w:rFonts w:ascii="Arial Narrow" w:hAnsi="Arial Narrow"/>
                <w:b/>
                <w:noProof/>
                <w:color w:val="000000"/>
                <w:sz w:val="20"/>
                <w:szCs w:val="20"/>
                <w:highlight w:val="black"/>
              </w:rPr>
              <w:t>'''''''''''</w:t>
            </w:r>
          </w:p>
        </w:tc>
      </w:tr>
      <w:tr w:rsidR="00B77C93" w:rsidRPr="00663D98" w:rsidTr="005C2DD9">
        <w:trPr>
          <w:trHeight w:val="319"/>
        </w:trPr>
        <w:tc>
          <w:tcPr>
            <w:tcW w:w="1067" w:type="pct"/>
          </w:tcPr>
          <w:p w:rsidR="00B77C93" w:rsidRPr="00663D98" w:rsidRDefault="00B77C93" w:rsidP="0068763C">
            <w:pPr>
              <w:keepNext/>
              <w:autoSpaceDE w:val="0"/>
              <w:autoSpaceDN w:val="0"/>
              <w:adjustRightInd w:val="0"/>
              <w:spacing w:before="40" w:after="40"/>
              <w:rPr>
                <w:rFonts w:ascii="Arial Narrow" w:hAnsi="Arial Narrow" w:cs="Arial Narrow"/>
                <w:color w:val="000000"/>
                <w:sz w:val="18"/>
                <w:szCs w:val="18"/>
              </w:rPr>
            </w:pPr>
            <w:r w:rsidRPr="00663D98">
              <w:rPr>
                <w:rFonts w:ascii="Arial Narrow" w:hAnsi="Arial Narrow" w:cs="Arial Narrow"/>
                <w:color w:val="000000"/>
                <w:sz w:val="18"/>
                <w:szCs w:val="18"/>
              </w:rPr>
              <w:t>Number of patients receiving 15 mg x 20 x 1 pack per cycle</w:t>
            </w:r>
          </w:p>
        </w:tc>
        <w:tc>
          <w:tcPr>
            <w:tcW w:w="567" w:type="pct"/>
            <w:vAlign w:val="center"/>
          </w:tcPr>
          <w:p w:rsidR="00B77C93" w:rsidRPr="00C34BCC" w:rsidRDefault="00C34BCC" w:rsidP="0068763C">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567" w:type="pct"/>
            <w:vAlign w:val="center"/>
          </w:tcPr>
          <w:p w:rsidR="00B77C93" w:rsidRPr="00C34BCC" w:rsidRDefault="00C34BCC" w:rsidP="0068763C">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567" w:type="pct"/>
            <w:vAlign w:val="center"/>
          </w:tcPr>
          <w:p w:rsidR="00B77C93" w:rsidRPr="00C34BCC" w:rsidRDefault="00C34BCC" w:rsidP="0068763C">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567" w:type="pct"/>
            <w:vAlign w:val="center"/>
          </w:tcPr>
          <w:p w:rsidR="00B77C93" w:rsidRPr="00C34BCC" w:rsidRDefault="00C34BCC" w:rsidP="0068763C">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567" w:type="pct"/>
            <w:vAlign w:val="center"/>
          </w:tcPr>
          <w:p w:rsidR="00B77C93" w:rsidRPr="00C34BCC" w:rsidRDefault="00C34BCC" w:rsidP="0068763C">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567" w:type="pct"/>
            <w:vAlign w:val="center"/>
          </w:tcPr>
          <w:p w:rsidR="00B77C93" w:rsidRPr="00C34BCC" w:rsidRDefault="00C34BCC" w:rsidP="0068763C">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533" w:type="pct"/>
          </w:tcPr>
          <w:p w:rsidR="00B77C93" w:rsidRPr="00663D98" w:rsidRDefault="00B77C93" w:rsidP="0068763C">
            <w:pPr>
              <w:keepNext/>
              <w:autoSpaceDE w:val="0"/>
              <w:autoSpaceDN w:val="0"/>
              <w:adjustRightInd w:val="0"/>
              <w:spacing w:before="40" w:after="40"/>
              <w:jc w:val="center"/>
              <w:rPr>
                <w:rFonts w:ascii="Arial Narrow" w:hAnsi="Arial Narrow"/>
                <w:sz w:val="18"/>
                <w:szCs w:val="18"/>
              </w:rPr>
            </w:pPr>
          </w:p>
        </w:tc>
      </w:tr>
      <w:tr w:rsidR="00B77C93" w:rsidRPr="00663D98" w:rsidTr="005C2DD9">
        <w:trPr>
          <w:trHeight w:val="319"/>
        </w:trPr>
        <w:tc>
          <w:tcPr>
            <w:tcW w:w="1067" w:type="pct"/>
          </w:tcPr>
          <w:p w:rsidR="00B77C93" w:rsidRPr="00663D98" w:rsidRDefault="00B77C93" w:rsidP="0068763C">
            <w:pPr>
              <w:keepNext/>
              <w:autoSpaceDE w:val="0"/>
              <w:autoSpaceDN w:val="0"/>
              <w:adjustRightInd w:val="0"/>
              <w:spacing w:before="40" w:after="40"/>
              <w:rPr>
                <w:rFonts w:ascii="Arial Narrow" w:hAnsi="Arial Narrow" w:cs="Arial Narrow"/>
                <w:color w:val="000000"/>
                <w:sz w:val="18"/>
                <w:szCs w:val="18"/>
              </w:rPr>
            </w:pPr>
            <w:r w:rsidRPr="00663D98">
              <w:rPr>
                <w:rFonts w:ascii="Arial Narrow" w:hAnsi="Arial Narrow" w:cs="Arial Narrow"/>
                <w:color w:val="000000"/>
                <w:sz w:val="18"/>
                <w:szCs w:val="18"/>
              </w:rPr>
              <w:t>Number of patients receiving 15 mg x 20 x 2 packs per cycle</w:t>
            </w:r>
          </w:p>
        </w:tc>
        <w:tc>
          <w:tcPr>
            <w:tcW w:w="567" w:type="pct"/>
            <w:vAlign w:val="center"/>
          </w:tcPr>
          <w:p w:rsidR="00B77C93" w:rsidRPr="00C34BCC" w:rsidRDefault="00C34BCC" w:rsidP="0068763C">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567" w:type="pct"/>
            <w:vAlign w:val="center"/>
          </w:tcPr>
          <w:p w:rsidR="00B77C93" w:rsidRPr="00C34BCC" w:rsidRDefault="00C34BCC" w:rsidP="0068763C">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567" w:type="pct"/>
            <w:vAlign w:val="center"/>
          </w:tcPr>
          <w:p w:rsidR="00B77C93" w:rsidRPr="00C34BCC" w:rsidRDefault="00C34BCC" w:rsidP="0068763C">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567" w:type="pct"/>
            <w:vAlign w:val="center"/>
          </w:tcPr>
          <w:p w:rsidR="00B77C93" w:rsidRPr="00C34BCC" w:rsidRDefault="00C34BCC" w:rsidP="0068763C">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567" w:type="pct"/>
            <w:vAlign w:val="center"/>
          </w:tcPr>
          <w:p w:rsidR="00B77C93" w:rsidRPr="00C34BCC" w:rsidRDefault="00C34BCC" w:rsidP="0068763C">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567" w:type="pct"/>
            <w:vAlign w:val="center"/>
          </w:tcPr>
          <w:p w:rsidR="00B77C93" w:rsidRPr="00C34BCC" w:rsidRDefault="00C34BCC" w:rsidP="0068763C">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533" w:type="pct"/>
          </w:tcPr>
          <w:p w:rsidR="00B77C93" w:rsidRPr="00663D98" w:rsidRDefault="00B77C93" w:rsidP="0068763C">
            <w:pPr>
              <w:keepNext/>
              <w:autoSpaceDE w:val="0"/>
              <w:autoSpaceDN w:val="0"/>
              <w:adjustRightInd w:val="0"/>
              <w:spacing w:before="40" w:after="40"/>
              <w:jc w:val="center"/>
              <w:rPr>
                <w:rFonts w:ascii="Arial Narrow" w:hAnsi="Arial Narrow"/>
                <w:sz w:val="18"/>
                <w:szCs w:val="18"/>
              </w:rPr>
            </w:pPr>
          </w:p>
        </w:tc>
      </w:tr>
      <w:tr w:rsidR="00B77C93" w:rsidRPr="00663D98" w:rsidTr="005C2DD9">
        <w:trPr>
          <w:trHeight w:val="319"/>
        </w:trPr>
        <w:tc>
          <w:tcPr>
            <w:tcW w:w="1067" w:type="pct"/>
          </w:tcPr>
          <w:p w:rsidR="00B77C93" w:rsidRPr="00663D98" w:rsidRDefault="00B77C93" w:rsidP="0068763C">
            <w:pPr>
              <w:keepNext/>
              <w:autoSpaceDE w:val="0"/>
              <w:autoSpaceDN w:val="0"/>
              <w:adjustRightInd w:val="0"/>
              <w:spacing w:before="40" w:after="40"/>
              <w:rPr>
                <w:rFonts w:ascii="Arial Narrow" w:hAnsi="Arial Narrow" w:cs="Arial Narrow"/>
                <w:color w:val="000000"/>
                <w:sz w:val="18"/>
                <w:szCs w:val="18"/>
              </w:rPr>
            </w:pPr>
            <w:r w:rsidRPr="00663D98">
              <w:rPr>
                <w:rFonts w:ascii="Arial Narrow" w:hAnsi="Arial Narrow" w:cs="Arial Narrow"/>
                <w:color w:val="000000"/>
                <w:sz w:val="18"/>
                <w:szCs w:val="18"/>
              </w:rPr>
              <w:t>Number of patients receiving 15 mg x 20 x 3 packs per cycle</w:t>
            </w:r>
          </w:p>
        </w:tc>
        <w:tc>
          <w:tcPr>
            <w:tcW w:w="567" w:type="pct"/>
            <w:vAlign w:val="center"/>
          </w:tcPr>
          <w:p w:rsidR="00B77C93" w:rsidRPr="00C34BCC" w:rsidRDefault="00C34BCC" w:rsidP="0068763C">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567" w:type="pct"/>
            <w:vAlign w:val="center"/>
          </w:tcPr>
          <w:p w:rsidR="00B77C93" w:rsidRPr="00C34BCC" w:rsidRDefault="00C34BCC" w:rsidP="0068763C">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567" w:type="pct"/>
            <w:vAlign w:val="center"/>
          </w:tcPr>
          <w:p w:rsidR="00B77C93" w:rsidRPr="00C34BCC" w:rsidRDefault="00C34BCC" w:rsidP="0068763C">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567" w:type="pct"/>
            <w:vAlign w:val="center"/>
          </w:tcPr>
          <w:p w:rsidR="00B77C93" w:rsidRPr="00C34BCC" w:rsidRDefault="00C34BCC" w:rsidP="0068763C">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567" w:type="pct"/>
            <w:vAlign w:val="center"/>
          </w:tcPr>
          <w:p w:rsidR="00B77C93" w:rsidRPr="00C34BCC" w:rsidRDefault="00C34BCC" w:rsidP="0068763C">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567" w:type="pct"/>
            <w:vAlign w:val="center"/>
          </w:tcPr>
          <w:p w:rsidR="00B77C93" w:rsidRPr="00C34BCC" w:rsidRDefault="00C34BCC" w:rsidP="0068763C">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533" w:type="pct"/>
          </w:tcPr>
          <w:p w:rsidR="00B77C93" w:rsidRPr="00663D98" w:rsidRDefault="00B77C93" w:rsidP="0068763C">
            <w:pPr>
              <w:keepNext/>
              <w:autoSpaceDE w:val="0"/>
              <w:autoSpaceDN w:val="0"/>
              <w:adjustRightInd w:val="0"/>
              <w:spacing w:before="40" w:after="40"/>
              <w:jc w:val="center"/>
              <w:rPr>
                <w:rFonts w:ascii="Arial Narrow" w:hAnsi="Arial Narrow"/>
                <w:sz w:val="18"/>
                <w:szCs w:val="18"/>
              </w:rPr>
            </w:pPr>
          </w:p>
        </w:tc>
      </w:tr>
      <w:tr w:rsidR="00B77C93" w:rsidRPr="00663D98" w:rsidTr="005C2DD9">
        <w:trPr>
          <w:trHeight w:val="319"/>
        </w:trPr>
        <w:tc>
          <w:tcPr>
            <w:tcW w:w="1067" w:type="pct"/>
          </w:tcPr>
          <w:p w:rsidR="00B77C93" w:rsidRPr="00663D98" w:rsidRDefault="00B77C93" w:rsidP="0068763C">
            <w:pPr>
              <w:keepNext/>
              <w:autoSpaceDE w:val="0"/>
              <w:autoSpaceDN w:val="0"/>
              <w:adjustRightInd w:val="0"/>
              <w:spacing w:before="40" w:after="40"/>
              <w:rPr>
                <w:rFonts w:ascii="Arial Narrow" w:hAnsi="Arial Narrow" w:cs="Arial Narrow"/>
                <w:color w:val="000000"/>
                <w:sz w:val="18"/>
                <w:szCs w:val="18"/>
              </w:rPr>
            </w:pPr>
            <w:r w:rsidRPr="00663D98">
              <w:rPr>
                <w:rFonts w:ascii="Arial Narrow" w:hAnsi="Arial Narrow" w:cs="Arial Narrow"/>
                <w:color w:val="000000"/>
                <w:sz w:val="18"/>
                <w:szCs w:val="18"/>
              </w:rPr>
              <w:t>Number of patients receiving 20 mg x 20 x 1 pack per cycle</w:t>
            </w:r>
          </w:p>
        </w:tc>
        <w:tc>
          <w:tcPr>
            <w:tcW w:w="567" w:type="pct"/>
            <w:vAlign w:val="center"/>
          </w:tcPr>
          <w:p w:rsidR="00B77C93" w:rsidRPr="00C34BCC" w:rsidRDefault="00C34BCC" w:rsidP="0068763C">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567" w:type="pct"/>
            <w:vAlign w:val="center"/>
          </w:tcPr>
          <w:p w:rsidR="00B77C93" w:rsidRPr="00C34BCC" w:rsidRDefault="00C34BCC" w:rsidP="0068763C">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567" w:type="pct"/>
            <w:vAlign w:val="center"/>
          </w:tcPr>
          <w:p w:rsidR="00B77C93" w:rsidRPr="00C34BCC" w:rsidRDefault="00C34BCC" w:rsidP="0068763C">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567" w:type="pct"/>
            <w:vAlign w:val="center"/>
          </w:tcPr>
          <w:p w:rsidR="00B77C93" w:rsidRPr="00C34BCC" w:rsidRDefault="00C34BCC" w:rsidP="0068763C">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567" w:type="pct"/>
            <w:vAlign w:val="center"/>
          </w:tcPr>
          <w:p w:rsidR="00B77C93" w:rsidRPr="00C34BCC" w:rsidRDefault="00C34BCC" w:rsidP="0068763C">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567" w:type="pct"/>
            <w:vAlign w:val="center"/>
          </w:tcPr>
          <w:p w:rsidR="00B77C93" w:rsidRPr="00C34BCC" w:rsidRDefault="00C34BCC" w:rsidP="0068763C">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533" w:type="pct"/>
          </w:tcPr>
          <w:p w:rsidR="00B77C93" w:rsidRPr="00663D98" w:rsidRDefault="00B77C93" w:rsidP="0068763C">
            <w:pPr>
              <w:keepNext/>
              <w:autoSpaceDE w:val="0"/>
              <w:autoSpaceDN w:val="0"/>
              <w:adjustRightInd w:val="0"/>
              <w:spacing w:before="40" w:after="40"/>
              <w:jc w:val="center"/>
              <w:rPr>
                <w:rFonts w:ascii="Arial Narrow" w:hAnsi="Arial Narrow"/>
                <w:sz w:val="18"/>
                <w:szCs w:val="18"/>
              </w:rPr>
            </w:pPr>
          </w:p>
        </w:tc>
      </w:tr>
      <w:tr w:rsidR="00B77C93" w:rsidRPr="00663D98" w:rsidTr="005C2DD9">
        <w:trPr>
          <w:trHeight w:val="319"/>
        </w:trPr>
        <w:tc>
          <w:tcPr>
            <w:tcW w:w="1067" w:type="pct"/>
          </w:tcPr>
          <w:p w:rsidR="00B77C93" w:rsidRPr="00663D98" w:rsidRDefault="00B77C93" w:rsidP="0068763C">
            <w:pPr>
              <w:keepNext/>
              <w:autoSpaceDE w:val="0"/>
              <w:autoSpaceDN w:val="0"/>
              <w:adjustRightInd w:val="0"/>
              <w:spacing w:before="40" w:after="40"/>
              <w:rPr>
                <w:rFonts w:ascii="Arial Narrow" w:hAnsi="Arial Narrow" w:cs="Arial Narrow"/>
                <w:color w:val="000000"/>
                <w:sz w:val="18"/>
                <w:szCs w:val="18"/>
              </w:rPr>
            </w:pPr>
            <w:r w:rsidRPr="00663D98">
              <w:rPr>
                <w:rFonts w:ascii="Arial Narrow" w:hAnsi="Arial Narrow" w:cs="Arial Narrow"/>
                <w:color w:val="000000"/>
                <w:sz w:val="18"/>
                <w:szCs w:val="18"/>
              </w:rPr>
              <w:t>Number of patients receiving 20 mg x 20 x 2 packs per cycle</w:t>
            </w:r>
          </w:p>
        </w:tc>
        <w:tc>
          <w:tcPr>
            <w:tcW w:w="567" w:type="pct"/>
            <w:vAlign w:val="center"/>
          </w:tcPr>
          <w:p w:rsidR="00B77C93" w:rsidRPr="00C34BCC" w:rsidRDefault="00C34BCC" w:rsidP="0068763C">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567" w:type="pct"/>
            <w:vAlign w:val="center"/>
          </w:tcPr>
          <w:p w:rsidR="00B77C93" w:rsidRPr="00C34BCC" w:rsidRDefault="00C34BCC" w:rsidP="0068763C">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567" w:type="pct"/>
            <w:vAlign w:val="center"/>
          </w:tcPr>
          <w:p w:rsidR="00B77C93" w:rsidRPr="00C34BCC" w:rsidRDefault="00C34BCC" w:rsidP="0068763C">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567" w:type="pct"/>
            <w:vAlign w:val="center"/>
          </w:tcPr>
          <w:p w:rsidR="00B77C93" w:rsidRPr="00C34BCC" w:rsidRDefault="00C34BCC" w:rsidP="0068763C">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567" w:type="pct"/>
            <w:vAlign w:val="center"/>
          </w:tcPr>
          <w:p w:rsidR="00B77C93" w:rsidRPr="00C34BCC" w:rsidRDefault="00C34BCC" w:rsidP="0068763C">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567" w:type="pct"/>
            <w:vAlign w:val="center"/>
          </w:tcPr>
          <w:p w:rsidR="00B77C93" w:rsidRPr="00C34BCC" w:rsidRDefault="00C34BCC" w:rsidP="0068763C">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533" w:type="pct"/>
          </w:tcPr>
          <w:p w:rsidR="00B77C93" w:rsidRPr="00663D98" w:rsidRDefault="00B77C93" w:rsidP="0068763C">
            <w:pPr>
              <w:keepNext/>
              <w:autoSpaceDE w:val="0"/>
              <w:autoSpaceDN w:val="0"/>
              <w:adjustRightInd w:val="0"/>
              <w:spacing w:before="40" w:after="40"/>
              <w:jc w:val="center"/>
              <w:rPr>
                <w:rFonts w:ascii="Arial Narrow" w:hAnsi="Arial Narrow"/>
                <w:sz w:val="18"/>
                <w:szCs w:val="18"/>
              </w:rPr>
            </w:pPr>
          </w:p>
        </w:tc>
      </w:tr>
      <w:tr w:rsidR="00B77C93" w:rsidRPr="00663D98" w:rsidTr="005C2DD9">
        <w:trPr>
          <w:trHeight w:val="319"/>
        </w:trPr>
        <w:tc>
          <w:tcPr>
            <w:tcW w:w="1067" w:type="pct"/>
          </w:tcPr>
          <w:p w:rsidR="00B77C93" w:rsidRPr="00663D98" w:rsidRDefault="00B77C93" w:rsidP="0068763C">
            <w:pPr>
              <w:keepNext/>
              <w:autoSpaceDE w:val="0"/>
              <w:autoSpaceDN w:val="0"/>
              <w:adjustRightInd w:val="0"/>
              <w:spacing w:before="40" w:after="40"/>
              <w:rPr>
                <w:rFonts w:ascii="Arial Narrow" w:hAnsi="Arial Narrow" w:cs="Arial Narrow"/>
                <w:color w:val="000000"/>
                <w:sz w:val="18"/>
                <w:szCs w:val="18"/>
              </w:rPr>
            </w:pPr>
            <w:r w:rsidRPr="00663D98">
              <w:rPr>
                <w:rFonts w:ascii="Arial Narrow" w:hAnsi="Arial Narrow" w:cs="Arial Narrow"/>
                <w:color w:val="000000"/>
                <w:sz w:val="18"/>
                <w:szCs w:val="18"/>
              </w:rPr>
              <w:t>Number of patients receiving 20 mg x 20 x 3 packs per cycle</w:t>
            </w:r>
          </w:p>
        </w:tc>
        <w:tc>
          <w:tcPr>
            <w:tcW w:w="567" w:type="pct"/>
            <w:vAlign w:val="center"/>
          </w:tcPr>
          <w:p w:rsidR="00B77C93" w:rsidRPr="00C34BCC" w:rsidRDefault="00C34BCC" w:rsidP="0068763C">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567" w:type="pct"/>
            <w:vAlign w:val="center"/>
          </w:tcPr>
          <w:p w:rsidR="00B77C93" w:rsidRPr="00C34BCC" w:rsidRDefault="00C34BCC" w:rsidP="0068763C">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567" w:type="pct"/>
            <w:vAlign w:val="center"/>
          </w:tcPr>
          <w:p w:rsidR="00B77C93" w:rsidRPr="00C34BCC" w:rsidRDefault="00C34BCC" w:rsidP="0068763C">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567" w:type="pct"/>
            <w:vAlign w:val="center"/>
          </w:tcPr>
          <w:p w:rsidR="00B77C93" w:rsidRPr="00C34BCC" w:rsidRDefault="00C34BCC" w:rsidP="0068763C">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567" w:type="pct"/>
            <w:vAlign w:val="center"/>
          </w:tcPr>
          <w:p w:rsidR="00B77C93" w:rsidRPr="00C34BCC" w:rsidRDefault="00C34BCC" w:rsidP="0068763C">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567" w:type="pct"/>
            <w:vAlign w:val="center"/>
          </w:tcPr>
          <w:p w:rsidR="00B77C93" w:rsidRPr="00C34BCC" w:rsidRDefault="00C34BCC" w:rsidP="0068763C">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533" w:type="pct"/>
          </w:tcPr>
          <w:p w:rsidR="00B77C93" w:rsidRPr="00663D98" w:rsidRDefault="00B77C93" w:rsidP="0068763C">
            <w:pPr>
              <w:keepNext/>
              <w:autoSpaceDE w:val="0"/>
              <w:autoSpaceDN w:val="0"/>
              <w:adjustRightInd w:val="0"/>
              <w:spacing w:before="40" w:after="40"/>
              <w:jc w:val="center"/>
              <w:rPr>
                <w:rFonts w:ascii="Arial Narrow" w:hAnsi="Arial Narrow"/>
                <w:sz w:val="18"/>
                <w:szCs w:val="18"/>
              </w:rPr>
            </w:pPr>
          </w:p>
        </w:tc>
      </w:tr>
      <w:tr w:rsidR="00B77C93" w:rsidRPr="00663D98" w:rsidTr="005C2DD9">
        <w:trPr>
          <w:trHeight w:val="319"/>
        </w:trPr>
        <w:tc>
          <w:tcPr>
            <w:tcW w:w="1067" w:type="pct"/>
          </w:tcPr>
          <w:p w:rsidR="00B77C93" w:rsidRPr="00663D98" w:rsidRDefault="00B77C93" w:rsidP="0068763C">
            <w:pPr>
              <w:keepNext/>
              <w:autoSpaceDE w:val="0"/>
              <w:autoSpaceDN w:val="0"/>
              <w:adjustRightInd w:val="0"/>
              <w:spacing w:before="40" w:after="40"/>
              <w:rPr>
                <w:rFonts w:ascii="Arial Narrow" w:hAnsi="Arial Narrow" w:cs="Arial Narrow"/>
                <w:color w:val="000000"/>
                <w:sz w:val="18"/>
                <w:szCs w:val="18"/>
              </w:rPr>
            </w:pPr>
            <w:r w:rsidRPr="00663D98">
              <w:rPr>
                <w:rFonts w:ascii="Arial Narrow" w:hAnsi="Arial Narrow" w:cs="Arial Narrow"/>
                <w:color w:val="000000"/>
                <w:sz w:val="18"/>
                <w:szCs w:val="18"/>
              </w:rPr>
              <w:t>Number of patients receiving 20 mg x 20 x 4 packs per cycle</w:t>
            </w:r>
          </w:p>
        </w:tc>
        <w:tc>
          <w:tcPr>
            <w:tcW w:w="567" w:type="pct"/>
            <w:vAlign w:val="center"/>
          </w:tcPr>
          <w:p w:rsidR="00B77C93" w:rsidRPr="00C34BCC" w:rsidRDefault="00C34BCC" w:rsidP="0068763C">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567" w:type="pct"/>
            <w:vAlign w:val="center"/>
          </w:tcPr>
          <w:p w:rsidR="00B77C93" w:rsidRPr="00C34BCC" w:rsidRDefault="00C34BCC" w:rsidP="0068763C">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567" w:type="pct"/>
            <w:vAlign w:val="center"/>
          </w:tcPr>
          <w:p w:rsidR="00B77C93" w:rsidRPr="00C34BCC" w:rsidRDefault="00C34BCC" w:rsidP="0068763C">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567" w:type="pct"/>
            <w:vAlign w:val="center"/>
          </w:tcPr>
          <w:p w:rsidR="00B77C93" w:rsidRPr="00C34BCC" w:rsidRDefault="00C34BCC" w:rsidP="0068763C">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567" w:type="pct"/>
            <w:vAlign w:val="center"/>
          </w:tcPr>
          <w:p w:rsidR="00B77C93" w:rsidRPr="00C34BCC" w:rsidRDefault="00C34BCC" w:rsidP="0068763C">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567" w:type="pct"/>
            <w:vAlign w:val="center"/>
          </w:tcPr>
          <w:p w:rsidR="00B77C93" w:rsidRPr="00C34BCC" w:rsidRDefault="00C34BCC" w:rsidP="0068763C">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533" w:type="pct"/>
          </w:tcPr>
          <w:p w:rsidR="00B77C93" w:rsidRPr="00663D98" w:rsidRDefault="00B77C93" w:rsidP="0068763C">
            <w:pPr>
              <w:keepNext/>
              <w:autoSpaceDE w:val="0"/>
              <w:autoSpaceDN w:val="0"/>
              <w:adjustRightInd w:val="0"/>
              <w:spacing w:before="40" w:after="40"/>
              <w:jc w:val="center"/>
              <w:rPr>
                <w:rFonts w:ascii="Arial Narrow" w:hAnsi="Arial Narrow"/>
                <w:sz w:val="18"/>
                <w:szCs w:val="18"/>
              </w:rPr>
            </w:pPr>
          </w:p>
        </w:tc>
      </w:tr>
      <w:tr w:rsidR="00C03FC7" w:rsidRPr="00663D98" w:rsidTr="005C2DD9">
        <w:trPr>
          <w:trHeight w:val="319"/>
        </w:trPr>
        <w:tc>
          <w:tcPr>
            <w:tcW w:w="1067" w:type="pct"/>
          </w:tcPr>
          <w:p w:rsidR="00C03FC7" w:rsidRPr="00663D98" w:rsidRDefault="00C03FC7" w:rsidP="0068763C">
            <w:pPr>
              <w:keepNext/>
              <w:autoSpaceDE w:val="0"/>
              <w:autoSpaceDN w:val="0"/>
              <w:adjustRightInd w:val="0"/>
              <w:spacing w:before="40" w:after="40"/>
              <w:rPr>
                <w:rFonts w:ascii="Arial Narrow" w:hAnsi="Arial Narrow" w:cs="Arial Narrow"/>
                <w:color w:val="000000"/>
                <w:sz w:val="18"/>
                <w:szCs w:val="18"/>
              </w:rPr>
            </w:pPr>
            <w:r w:rsidRPr="00663D98">
              <w:rPr>
                <w:rFonts w:ascii="Arial Narrow" w:hAnsi="Arial Narrow" w:cs="Arial Narrow"/>
                <w:color w:val="000000"/>
                <w:sz w:val="18"/>
                <w:szCs w:val="18"/>
              </w:rPr>
              <w:t>Average number of cycles of treatment per patient</w:t>
            </w:r>
          </w:p>
        </w:tc>
        <w:tc>
          <w:tcPr>
            <w:tcW w:w="3399" w:type="pct"/>
            <w:gridSpan w:val="6"/>
            <w:vAlign w:val="center"/>
          </w:tcPr>
          <w:p w:rsidR="00C03FC7" w:rsidRPr="00663D98" w:rsidRDefault="00C03FC7" w:rsidP="0068763C">
            <w:pPr>
              <w:keepNext/>
              <w:autoSpaceDE w:val="0"/>
              <w:autoSpaceDN w:val="0"/>
              <w:adjustRightInd w:val="0"/>
              <w:spacing w:before="40" w:after="40"/>
              <w:jc w:val="center"/>
              <w:rPr>
                <w:rFonts w:ascii="Arial Narrow" w:hAnsi="Arial Narrow" w:cs="Arial Narrow"/>
                <w:color w:val="000000"/>
                <w:sz w:val="18"/>
                <w:szCs w:val="18"/>
              </w:rPr>
            </w:pPr>
            <w:r w:rsidRPr="00663D98">
              <w:rPr>
                <w:rFonts w:ascii="Arial Narrow" w:hAnsi="Arial Narrow" w:cs="Arial Narrow"/>
                <w:color w:val="000000"/>
                <w:sz w:val="18"/>
                <w:szCs w:val="18"/>
              </w:rPr>
              <w:t>3.42</w:t>
            </w:r>
          </w:p>
        </w:tc>
        <w:tc>
          <w:tcPr>
            <w:tcW w:w="533" w:type="pct"/>
          </w:tcPr>
          <w:p w:rsidR="00C03FC7" w:rsidRPr="00663D98" w:rsidRDefault="00C03FC7" w:rsidP="0068763C">
            <w:pPr>
              <w:keepNext/>
              <w:autoSpaceDE w:val="0"/>
              <w:autoSpaceDN w:val="0"/>
              <w:adjustRightInd w:val="0"/>
              <w:spacing w:before="40" w:after="40"/>
              <w:jc w:val="center"/>
              <w:rPr>
                <w:rFonts w:ascii="Arial Narrow" w:hAnsi="Arial Narrow" w:cs="Arial Narrow"/>
                <w:color w:val="000000"/>
                <w:sz w:val="18"/>
                <w:szCs w:val="18"/>
              </w:rPr>
            </w:pPr>
          </w:p>
        </w:tc>
      </w:tr>
      <w:tr w:rsidR="00DE6D99" w:rsidRPr="00663D98" w:rsidTr="005C2DD9">
        <w:trPr>
          <w:trHeight w:val="319"/>
        </w:trPr>
        <w:tc>
          <w:tcPr>
            <w:tcW w:w="1067" w:type="pct"/>
          </w:tcPr>
          <w:p w:rsidR="00DE6D99" w:rsidRPr="00663D98" w:rsidRDefault="00DE6D99" w:rsidP="0068763C">
            <w:pPr>
              <w:keepNext/>
              <w:autoSpaceDE w:val="0"/>
              <w:autoSpaceDN w:val="0"/>
              <w:adjustRightInd w:val="0"/>
              <w:spacing w:before="40" w:after="40"/>
              <w:rPr>
                <w:rFonts w:ascii="Arial Narrow" w:hAnsi="Arial Narrow" w:cs="Arial Narrow"/>
                <w:color w:val="000000"/>
                <w:sz w:val="18"/>
                <w:szCs w:val="18"/>
              </w:rPr>
            </w:pPr>
            <w:r w:rsidRPr="00663D98">
              <w:rPr>
                <w:rFonts w:ascii="Arial Narrow" w:hAnsi="Arial Narrow" w:cs="Arial Narrow"/>
                <w:color w:val="000000"/>
                <w:sz w:val="18"/>
                <w:szCs w:val="18"/>
              </w:rPr>
              <w:t xml:space="preserve">Total dispensed cost </w:t>
            </w:r>
          </w:p>
        </w:tc>
        <w:tc>
          <w:tcPr>
            <w:tcW w:w="567" w:type="pct"/>
            <w:vAlign w:val="center"/>
          </w:tcPr>
          <w:p w:rsidR="00DE6D99" w:rsidRPr="00663D98" w:rsidRDefault="00DE6D99" w:rsidP="0068763C">
            <w:pPr>
              <w:keepNext/>
              <w:jc w:val="center"/>
              <w:rPr>
                <w:rFonts w:ascii="Arial Narrow" w:hAnsi="Arial Narrow"/>
                <w:b/>
                <w:bCs/>
                <w:sz w:val="20"/>
                <w:szCs w:val="20"/>
              </w:rPr>
            </w:pPr>
            <w:r w:rsidRPr="00663D98">
              <w:rPr>
                <w:rFonts w:ascii="Arial Narrow" w:hAnsi="Arial Narrow" w:cs="Calibri"/>
                <w:b/>
                <w:bCs/>
                <w:sz w:val="20"/>
                <w:szCs w:val="20"/>
              </w:rPr>
              <w:t>$</w:t>
            </w:r>
            <w:r w:rsidR="00C34BCC">
              <w:rPr>
                <w:rFonts w:ascii="Arial Narrow" w:hAnsi="Arial Narrow" w:cs="Calibri"/>
                <w:b/>
                <w:bCs/>
                <w:noProof/>
                <w:color w:val="000000"/>
                <w:sz w:val="20"/>
                <w:szCs w:val="20"/>
                <w:highlight w:val="black"/>
              </w:rPr>
              <w:t>''''''''''''''''''''</w:t>
            </w:r>
          </w:p>
        </w:tc>
        <w:tc>
          <w:tcPr>
            <w:tcW w:w="567" w:type="pct"/>
            <w:vAlign w:val="center"/>
          </w:tcPr>
          <w:p w:rsidR="00DE6D99" w:rsidRPr="00663D98" w:rsidRDefault="00DE6D99" w:rsidP="0068763C">
            <w:pPr>
              <w:keepNext/>
              <w:jc w:val="center"/>
              <w:rPr>
                <w:rFonts w:ascii="Arial Narrow" w:hAnsi="Arial Narrow"/>
                <w:b/>
                <w:bCs/>
                <w:sz w:val="20"/>
                <w:szCs w:val="20"/>
              </w:rPr>
            </w:pPr>
            <w:r w:rsidRPr="00663D98">
              <w:rPr>
                <w:rFonts w:ascii="Arial Narrow" w:hAnsi="Arial Narrow" w:cs="Calibri"/>
                <w:b/>
                <w:bCs/>
                <w:sz w:val="20"/>
                <w:szCs w:val="20"/>
              </w:rPr>
              <w:t>$</w:t>
            </w:r>
            <w:r w:rsidR="00C34BCC">
              <w:rPr>
                <w:rFonts w:ascii="Arial Narrow" w:hAnsi="Arial Narrow" w:cs="Calibri"/>
                <w:b/>
                <w:bCs/>
                <w:noProof/>
                <w:color w:val="000000"/>
                <w:sz w:val="20"/>
                <w:szCs w:val="20"/>
                <w:highlight w:val="black"/>
              </w:rPr>
              <w:t>'''''''''''''''''''</w:t>
            </w:r>
          </w:p>
        </w:tc>
        <w:tc>
          <w:tcPr>
            <w:tcW w:w="567" w:type="pct"/>
            <w:vAlign w:val="center"/>
          </w:tcPr>
          <w:p w:rsidR="00DE6D99" w:rsidRPr="00663D98" w:rsidRDefault="00DE6D99" w:rsidP="0068763C">
            <w:pPr>
              <w:keepNext/>
              <w:jc w:val="center"/>
              <w:rPr>
                <w:rFonts w:ascii="Arial Narrow" w:hAnsi="Arial Narrow"/>
                <w:b/>
                <w:bCs/>
                <w:sz w:val="20"/>
                <w:szCs w:val="20"/>
              </w:rPr>
            </w:pPr>
            <w:r w:rsidRPr="00663D98">
              <w:rPr>
                <w:rFonts w:ascii="Arial Narrow" w:hAnsi="Arial Narrow" w:cs="Calibri"/>
                <w:b/>
                <w:bCs/>
                <w:sz w:val="20"/>
                <w:szCs w:val="20"/>
              </w:rPr>
              <w:t>$</w:t>
            </w:r>
            <w:r w:rsidR="00C34BCC">
              <w:rPr>
                <w:rFonts w:ascii="Arial Narrow" w:hAnsi="Arial Narrow" w:cs="Calibri"/>
                <w:b/>
                <w:bCs/>
                <w:noProof/>
                <w:color w:val="000000"/>
                <w:sz w:val="20"/>
                <w:szCs w:val="20"/>
                <w:highlight w:val="black"/>
              </w:rPr>
              <w:t>''''''''''''''''''</w:t>
            </w:r>
          </w:p>
        </w:tc>
        <w:tc>
          <w:tcPr>
            <w:tcW w:w="567" w:type="pct"/>
            <w:vAlign w:val="center"/>
          </w:tcPr>
          <w:p w:rsidR="00DE6D99" w:rsidRPr="00663D98" w:rsidRDefault="00DE6D99" w:rsidP="0068763C">
            <w:pPr>
              <w:keepNext/>
              <w:jc w:val="center"/>
              <w:rPr>
                <w:rFonts w:ascii="Arial Narrow" w:hAnsi="Arial Narrow"/>
                <w:b/>
                <w:bCs/>
                <w:sz w:val="20"/>
                <w:szCs w:val="20"/>
              </w:rPr>
            </w:pPr>
            <w:r w:rsidRPr="00663D98">
              <w:rPr>
                <w:rFonts w:ascii="Arial Narrow" w:hAnsi="Arial Narrow" w:cs="Calibri"/>
                <w:b/>
                <w:bCs/>
                <w:sz w:val="20"/>
                <w:szCs w:val="20"/>
              </w:rPr>
              <w:t>$</w:t>
            </w:r>
            <w:r w:rsidR="00C34BCC">
              <w:rPr>
                <w:rFonts w:ascii="Arial Narrow" w:hAnsi="Arial Narrow" w:cs="Calibri"/>
                <w:b/>
                <w:bCs/>
                <w:noProof/>
                <w:color w:val="000000"/>
                <w:sz w:val="20"/>
                <w:szCs w:val="20"/>
                <w:highlight w:val="black"/>
              </w:rPr>
              <w:t>''''''''''''''''''</w:t>
            </w:r>
          </w:p>
        </w:tc>
        <w:tc>
          <w:tcPr>
            <w:tcW w:w="567" w:type="pct"/>
            <w:vAlign w:val="center"/>
          </w:tcPr>
          <w:p w:rsidR="00DE6D99" w:rsidRPr="00663D98" w:rsidRDefault="00DE6D99" w:rsidP="0068763C">
            <w:pPr>
              <w:keepNext/>
              <w:jc w:val="center"/>
              <w:rPr>
                <w:rFonts w:ascii="Arial Narrow" w:hAnsi="Arial Narrow"/>
                <w:b/>
                <w:bCs/>
                <w:sz w:val="20"/>
                <w:szCs w:val="20"/>
              </w:rPr>
            </w:pPr>
            <w:r w:rsidRPr="00663D98">
              <w:rPr>
                <w:rFonts w:ascii="Arial Narrow" w:hAnsi="Arial Narrow" w:cs="Calibri"/>
                <w:b/>
                <w:bCs/>
                <w:sz w:val="20"/>
                <w:szCs w:val="20"/>
              </w:rPr>
              <w:t>$</w:t>
            </w:r>
            <w:r w:rsidR="00C34BCC">
              <w:rPr>
                <w:rFonts w:ascii="Arial Narrow" w:hAnsi="Arial Narrow" w:cs="Calibri"/>
                <w:b/>
                <w:bCs/>
                <w:noProof/>
                <w:color w:val="000000"/>
                <w:sz w:val="20"/>
                <w:szCs w:val="20"/>
                <w:highlight w:val="black"/>
              </w:rPr>
              <w:t>'''''''''''''''''</w:t>
            </w:r>
          </w:p>
        </w:tc>
        <w:tc>
          <w:tcPr>
            <w:tcW w:w="567" w:type="pct"/>
            <w:vAlign w:val="center"/>
          </w:tcPr>
          <w:p w:rsidR="00DE6D99" w:rsidRPr="00663D98" w:rsidRDefault="00DE6D99" w:rsidP="0068763C">
            <w:pPr>
              <w:keepNext/>
              <w:jc w:val="center"/>
              <w:rPr>
                <w:rFonts w:ascii="Arial Narrow" w:hAnsi="Arial Narrow"/>
                <w:b/>
                <w:bCs/>
                <w:sz w:val="20"/>
                <w:szCs w:val="20"/>
              </w:rPr>
            </w:pPr>
            <w:r w:rsidRPr="00663D98">
              <w:rPr>
                <w:rFonts w:ascii="Arial Narrow" w:hAnsi="Arial Narrow" w:cs="Calibri"/>
                <w:b/>
                <w:bCs/>
                <w:sz w:val="20"/>
                <w:szCs w:val="20"/>
              </w:rPr>
              <w:t>$</w:t>
            </w:r>
            <w:r w:rsidR="00C34BCC">
              <w:rPr>
                <w:rFonts w:ascii="Arial Narrow" w:hAnsi="Arial Narrow" w:cs="Calibri"/>
                <w:b/>
                <w:bCs/>
                <w:noProof/>
                <w:color w:val="000000"/>
                <w:sz w:val="20"/>
                <w:szCs w:val="20"/>
                <w:highlight w:val="black"/>
              </w:rPr>
              <w:t>'''''''''''''''''''''</w:t>
            </w:r>
          </w:p>
        </w:tc>
        <w:tc>
          <w:tcPr>
            <w:tcW w:w="533" w:type="pct"/>
          </w:tcPr>
          <w:p w:rsidR="00DE6D99" w:rsidRPr="00663D98" w:rsidRDefault="00FE4776" w:rsidP="0068763C">
            <w:pPr>
              <w:keepNext/>
              <w:autoSpaceDE w:val="0"/>
              <w:autoSpaceDN w:val="0"/>
              <w:adjustRightInd w:val="0"/>
              <w:spacing w:before="40" w:after="40"/>
              <w:jc w:val="center"/>
              <w:rPr>
                <w:rFonts w:ascii="Arial Narrow" w:hAnsi="Arial Narrow"/>
                <w:b/>
                <w:sz w:val="20"/>
                <w:szCs w:val="20"/>
              </w:rPr>
            </w:pPr>
            <w:r w:rsidRPr="00663D98">
              <w:rPr>
                <w:rFonts w:ascii="Arial Narrow" w:hAnsi="Arial Narrow"/>
                <w:b/>
                <w:sz w:val="20"/>
                <w:szCs w:val="20"/>
              </w:rPr>
              <w:t>$</w:t>
            </w:r>
            <w:r w:rsidR="00C34BCC">
              <w:rPr>
                <w:rFonts w:ascii="Arial Narrow" w:hAnsi="Arial Narrow"/>
                <w:b/>
                <w:noProof/>
                <w:color w:val="000000"/>
                <w:sz w:val="20"/>
                <w:szCs w:val="20"/>
                <w:highlight w:val="black"/>
              </w:rPr>
              <w:t>'''''''''''''''''''''''</w:t>
            </w:r>
          </w:p>
        </w:tc>
      </w:tr>
      <w:tr w:rsidR="00FE4776" w:rsidRPr="00663D98" w:rsidTr="005C2DD9">
        <w:trPr>
          <w:trHeight w:val="319"/>
        </w:trPr>
        <w:tc>
          <w:tcPr>
            <w:tcW w:w="1067" w:type="pct"/>
          </w:tcPr>
          <w:p w:rsidR="00FE4776" w:rsidRPr="00663D98" w:rsidRDefault="00FE4776" w:rsidP="0068763C">
            <w:pPr>
              <w:keepNext/>
              <w:autoSpaceDE w:val="0"/>
              <w:autoSpaceDN w:val="0"/>
              <w:adjustRightInd w:val="0"/>
              <w:spacing w:before="40" w:after="40"/>
              <w:rPr>
                <w:rFonts w:ascii="Arial Narrow" w:hAnsi="Arial Narrow" w:cs="Arial Narrow"/>
                <w:color w:val="000000"/>
                <w:sz w:val="18"/>
                <w:szCs w:val="18"/>
              </w:rPr>
            </w:pPr>
            <w:r w:rsidRPr="00663D98">
              <w:rPr>
                <w:rFonts w:ascii="Arial Narrow" w:hAnsi="Arial Narrow" w:cs="Arial Narrow"/>
                <w:color w:val="000000"/>
                <w:sz w:val="18"/>
                <w:szCs w:val="18"/>
              </w:rPr>
              <w:t>Total rebates paid</w:t>
            </w:r>
          </w:p>
        </w:tc>
        <w:tc>
          <w:tcPr>
            <w:tcW w:w="567" w:type="pct"/>
            <w:vAlign w:val="center"/>
          </w:tcPr>
          <w:p w:rsidR="00FE4776" w:rsidRPr="00663D98" w:rsidRDefault="00FE4776" w:rsidP="0068763C">
            <w:pPr>
              <w:keepNext/>
              <w:jc w:val="center"/>
              <w:rPr>
                <w:rFonts w:ascii="Arial Narrow" w:hAnsi="Arial Narrow"/>
                <w:sz w:val="20"/>
                <w:szCs w:val="20"/>
              </w:rPr>
            </w:pPr>
            <w:r w:rsidRPr="00663D98">
              <w:rPr>
                <w:rFonts w:ascii="Arial Narrow" w:hAnsi="Arial Narrow" w:cs="Calibri"/>
                <w:sz w:val="20"/>
                <w:szCs w:val="20"/>
              </w:rPr>
              <w:t>-$</w:t>
            </w:r>
            <w:r w:rsidR="00C34BCC">
              <w:rPr>
                <w:rFonts w:ascii="Arial Narrow" w:hAnsi="Arial Narrow" w:cs="Calibri"/>
                <w:noProof/>
                <w:color w:val="000000"/>
                <w:sz w:val="20"/>
                <w:szCs w:val="20"/>
                <w:highlight w:val="black"/>
              </w:rPr>
              <w:t>'''''''''''''''''''''''</w:t>
            </w:r>
          </w:p>
        </w:tc>
        <w:tc>
          <w:tcPr>
            <w:tcW w:w="567" w:type="pct"/>
            <w:vAlign w:val="center"/>
          </w:tcPr>
          <w:p w:rsidR="00FE4776" w:rsidRPr="00663D98" w:rsidRDefault="00FE4776" w:rsidP="0068763C">
            <w:pPr>
              <w:keepNext/>
              <w:jc w:val="center"/>
              <w:rPr>
                <w:rFonts w:ascii="Arial Narrow" w:hAnsi="Arial Narrow"/>
                <w:sz w:val="20"/>
                <w:szCs w:val="20"/>
              </w:rPr>
            </w:pPr>
            <w:r w:rsidRPr="00663D98">
              <w:rPr>
                <w:rFonts w:ascii="Arial Narrow" w:hAnsi="Arial Narrow" w:cs="Calibri"/>
                <w:sz w:val="20"/>
                <w:szCs w:val="20"/>
              </w:rPr>
              <w:t>-$</w:t>
            </w:r>
            <w:r w:rsidR="00C34BCC">
              <w:rPr>
                <w:rFonts w:ascii="Arial Narrow" w:hAnsi="Arial Narrow" w:cs="Calibri"/>
                <w:noProof/>
                <w:color w:val="000000"/>
                <w:sz w:val="20"/>
                <w:szCs w:val="20"/>
                <w:highlight w:val="black"/>
              </w:rPr>
              <w:t>''''''''''''''''''''''</w:t>
            </w:r>
          </w:p>
        </w:tc>
        <w:tc>
          <w:tcPr>
            <w:tcW w:w="567" w:type="pct"/>
            <w:vAlign w:val="center"/>
          </w:tcPr>
          <w:p w:rsidR="00FE4776" w:rsidRPr="00663D98" w:rsidRDefault="00FE4776" w:rsidP="0068763C">
            <w:pPr>
              <w:keepNext/>
              <w:jc w:val="center"/>
              <w:rPr>
                <w:rFonts w:ascii="Arial Narrow" w:hAnsi="Arial Narrow"/>
                <w:sz w:val="20"/>
                <w:szCs w:val="20"/>
              </w:rPr>
            </w:pPr>
            <w:r w:rsidRPr="00663D98">
              <w:rPr>
                <w:rFonts w:ascii="Arial Narrow" w:hAnsi="Arial Narrow" w:cs="Calibri"/>
                <w:sz w:val="20"/>
                <w:szCs w:val="20"/>
              </w:rPr>
              <w:t>-$</w:t>
            </w:r>
            <w:r w:rsidR="00C34BCC">
              <w:rPr>
                <w:rFonts w:ascii="Arial Narrow" w:hAnsi="Arial Narrow" w:cs="Calibri"/>
                <w:noProof/>
                <w:color w:val="000000"/>
                <w:sz w:val="20"/>
                <w:szCs w:val="20"/>
                <w:highlight w:val="black"/>
              </w:rPr>
              <w:t>'''''''''''''''''''''''</w:t>
            </w:r>
          </w:p>
        </w:tc>
        <w:tc>
          <w:tcPr>
            <w:tcW w:w="567" w:type="pct"/>
            <w:vAlign w:val="center"/>
          </w:tcPr>
          <w:p w:rsidR="00FE4776" w:rsidRPr="00663D98" w:rsidRDefault="00FE4776" w:rsidP="0068763C">
            <w:pPr>
              <w:keepNext/>
              <w:jc w:val="center"/>
              <w:rPr>
                <w:rFonts w:ascii="Arial Narrow" w:hAnsi="Arial Narrow"/>
                <w:sz w:val="20"/>
                <w:szCs w:val="20"/>
              </w:rPr>
            </w:pPr>
            <w:r w:rsidRPr="00663D98">
              <w:rPr>
                <w:rFonts w:ascii="Arial Narrow" w:hAnsi="Arial Narrow" w:cs="Calibri"/>
                <w:sz w:val="20"/>
                <w:szCs w:val="20"/>
              </w:rPr>
              <w:t>-$</w:t>
            </w:r>
            <w:r w:rsidR="00C34BCC">
              <w:rPr>
                <w:rFonts w:ascii="Arial Narrow" w:hAnsi="Arial Narrow" w:cs="Calibri"/>
                <w:noProof/>
                <w:color w:val="000000"/>
                <w:sz w:val="20"/>
                <w:szCs w:val="20"/>
                <w:highlight w:val="black"/>
              </w:rPr>
              <w:t>'''''''''''''''''''''''</w:t>
            </w:r>
          </w:p>
        </w:tc>
        <w:tc>
          <w:tcPr>
            <w:tcW w:w="567" w:type="pct"/>
            <w:vAlign w:val="center"/>
          </w:tcPr>
          <w:p w:rsidR="00FE4776" w:rsidRPr="00663D98" w:rsidRDefault="00FE4776" w:rsidP="0068763C">
            <w:pPr>
              <w:keepNext/>
              <w:jc w:val="center"/>
              <w:rPr>
                <w:rFonts w:ascii="Arial Narrow" w:hAnsi="Arial Narrow"/>
                <w:sz w:val="20"/>
                <w:szCs w:val="20"/>
              </w:rPr>
            </w:pPr>
            <w:r w:rsidRPr="00663D98">
              <w:rPr>
                <w:rFonts w:ascii="Arial Narrow" w:hAnsi="Arial Narrow" w:cs="Calibri"/>
                <w:sz w:val="20"/>
                <w:szCs w:val="20"/>
              </w:rPr>
              <w:t>-$</w:t>
            </w:r>
            <w:r w:rsidR="00C34BCC">
              <w:rPr>
                <w:rFonts w:ascii="Arial Narrow" w:hAnsi="Arial Narrow" w:cs="Calibri"/>
                <w:noProof/>
                <w:color w:val="000000"/>
                <w:sz w:val="20"/>
                <w:szCs w:val="20"/>
                <w:highlight w:val="black"/>
              </w:rPr>
              <w:t>'''''''''''''''''''''''</w:t>
            </w:r>
          </w:p>
        </w:tc>
        <w:tc>
          <w:tcPr>
            <w:tcW w:w="567" w:type="pct"/>
            <w:vAlign w:val="center"/>
          </w:tcPr>
          <w:p w:rsidR="00FE4776" w:rsidRPr="00663D98" w:rsidRDefault="00FE4776" w:rsidP="0068763C">
            <w:pPr>
              <w:keepNext/>
              <w:jc w:val="center"/>
              <w:rPr>
                <w:rFonts w:ascii="Arial Narrow" w:hAnsi="Arial Narrow"/>
                <w:sz w:val="20"/>
                <w:szCs w:val="20"/>
              </w:rPr>
            </w:pPr>
            <w:r w:rsidRPr="00663D98">
              <w:rPr>
                <w:rFonts w:ascii="Arial Narrow" w:hAnsi="Arial Narrow" w:cs="Calibri"/>
                <w:sz w:val="20"/>
                <w:szCs w:val="20"/>
              </w:rPr>
              <w:t>-$</w:t>
            </w:r>
            <w:r w:rsidR="00C34BCC">
              <w:rPr>
                <w:rFonts w:ascii="Arial Narrow" w:hAnsi="Arial Narrow" w:cs="Calibri"/>
                <w:noProof/>
                <w:color w:val="000000"/>
                <w:sz w:val="20"/>
                <w:szCs w:val="20"/>
                <w:highlight w:val="black"/>
              </w:rPr>
              <w:t>''''''''''''''''''''''</w:t>
            </w:r>
          </w:p>
        </w:tc>
        <w:tc>
          <w:tcPr>
            <w:tcW w:w="533" w:type="pct"/>
          </w:tcPr>
          <w:p w:rsidR="00FE4776" w:rsidRPr="00663D98" w:rsidRDefault="00FE4776" w:rsidP="0068763C">
            <w:pPr>
              <w:keepNext/>
              <w:spacing w:before="40" w:after="40"/>
              <w:jc w:val="center"/>
              <w:rPr>
                <w:rFonts w:ascii="Arial Narrow" w:hAnsi="Arial Narrow"/>
                <w:sz w:val="20"/>
                <w:szCs w:val="20"/>
              </w:rPr>
            </w:pPr>
          </w:p>
        </w:tc>
      </w:tr>
      <w:tr w:rsidR="00FE4776" w:rsidRPr="00663D98" w:rsidTr="005C2DD9">
        <w:trPr>
          <w:trHeight w:val="319"/>
        </w:trPr>
        <w:tc>
          <w:tcPr>
            <w:tcW w:w="1067" w:type="pct"/>
          </w:tcPr>
          <w:p w:rsidR="00FE4776" w:rsidRPr="00663D98" w:rsidRDefault="00FE4776" w:rsidP="0068763C">
            <w:pPr>
              <w:keepNext/>
              <w:autoSpaceDE w:val="0"/>
              <w:autoSpaceDN w:val="0"/>
              <w:adjustRightInd w:val="0"/>
              <w:spacing w:before="40" w:after="40"/>
              <w:rPr>
                <w:rFonts w:ascii="Arial Narrow" w:hAnsi="Arial Narrow" w:cs="Arial Narrow"/>
                <w:color w:val="000000"/>
                <w:sz w:val="18"/>
                <w:szCs w:val="18"/>
              </w:rPr>
            </w:pPr>
            <w:r w:rsidRPr="00663D98">
              <w:rPr>
                <w:rFonts w:ascii="Arial Narrow" w:hAnsi="Arial Narrow" w:cs="Arial Narrow"/>
                <w:color w:val="000000"/>
                <w:sz w:val="18"/>
                <w:szCs w:val="18"/>
              </w:rPr>
              <w:t>General patient co-payments</w:t>
            </w:r>
          </w:p>
        </w:tc>
        <w:tc>
          <w:tcPr>
            <w:tcW w:w="567" w:type="pct"/>
            <w:vAlign w:val="center"/>
          </w:tcPr>
          <w:p w:rsidR="00FE4776" w:rsidRPr="00663D98" w:rsidRDefault="00FE4776" w:rsidP="0068763C">
            <w:pPr>
              <w:keepNext/>
              <w:jc w:val="center"/>
              <w:rPr>
                <w:rFonts w:ascii="Arial Narrow" w:hAnsi="Arial Narrow"/>
                <w:sz w:val="20"/>
                <w:szCs w:val="20"/>
              </w:rPr>
            </w:pPr>
            <w:r w:rsidRPr="00663D98">
              <w:rPr>
                <w:rFonts w:ascii="Arial Narrow" w:hAnsi="Arial Narrow" w:cs="Calibri"/>
                <w:sz w:val="20"/>
                <w:szCs w:val="20"/>
              </w:rPr>
              <w:t>-$</w:t>
            </w:r>
            <w:r w:rsidR="00C34BCC">
              <w:rPr>
                <w:rFonts w:ascii="Arial Narrow" w:hAnsi="Arial Narrow" w:cs="Calibri"/>
                <w:noProof/>
                <w:color w:val="000000"/>
                <w:sz w:val="20"/>
                <w:szCs w:val="20"/>
                <w:highlight w:val="black"/>
              </w:rPr>
              <w:t>'''''''''''''''''</w:t>
            </w:r>
          </w:p>
        </w:tc>
        <w:tc>
          <w:tcPr>
            <w:tcW w:w="567" w:type="pct"/>
            <w:vAlign w:val="center"/>
          </w:tcPr>
          <w:p w:rsidR="00FE4776" w:rsidRPr="00663D98" w:rsidRDefault="00FE4776" w:rsidP="0068763C">
            <w:pPr>
              <w:keepNext/>
              <w:jc w:val="center"/>
              <w:rPr>
                <w:rFonts w:ascii="Arial Narrow" w:hAnsi="Arial Narrow"/>
                <w:sz w:val="20"/>
                <w:szCs w:val="20"/>
              </w:rPr>
            </w:pPr>
            <w:r w:rsidRPr="00663D98">
              <w:rPr>
                <w:rFonts w:ascii="Arial Narrow" w:hAnsi="Arial Narrow" w:cs="Calibri"/>
                <w:sz w:val="20"/>
                <w:szCs w:val="20"/>
              </w:rPr>
              <w:t>-$</w:t>
            </w:r>
            <w:r w:rsidR="00C34BCC">
              <w:rPr>
                <w:rFonts w:ascii="Arial Narrow" w:hAnsi="Arial Narrow" w:cs="Calibri"/>
                <w:noProof/>
                <w:color w:val="000000"/>
                <w:sz w:val="20"/>
                <w:szCs w:val="20"/>
                <w:highlight w:val="black"/>
              </w:rPr>
              <w:t>'''''''''''''''</w:t>
            </w:r>
          </w:p>
        </w:tc>
        <w:tc>
          <w:tcPr>
            <w:tcW w:w="567" w:type="pct"/>
            <w:vAlign w:val="center"/>
          </w:tcPr>
          <w:p w:rsidR="00FE4776" w:rsidRPr="00663D98" w:rsidRDefault="00FE4776" w:rsidP="0068763C">
            <w:pPr>
              <w:keepNext/>
              <w:jc w:val="center"/>
              <w:rPr>
                <w:rFonts w:ascii="Arial Narrow" w:hAnsi="Arial Narrow"/>
                <w:sz w:val="20"/>
                <w:szCs w:val="20"/>
              </w:rPr>
            </w:pPr>
            <w:r w:rsidRPr="00663D98">
              <w:rPr>
                <w:rFonts w:ascii="Arial Narrow" w:hAnsi="Arial Narrow" w:cs="Calibri"/>
                <w:sz w:val="20"/>
                <w:szCs w:val="20"/>
              </w:rPr>
              <w:t>-$</w:t>
            </w:r>
            <w:r w:rsidR="00C34BCC">
              <w:rPr>
                <w:rFonts w:ascii="Arial Narrow" w:hAnsi="Arial Narrow" w:cs="Calibri"/>
                <w:noProof/>
                <w:color w:val="000000"/>
                <w:sz w:val="20"/>
                <w:szCs w:val="20"/>
                <w:highlight w:val="black"/>
              </w:rPr>
              <w:t>''''''''''''''''</w:t>
            </w:r>
          </w:p>
        </w:tc>
        <w:tc>
          <w:tcPr>
            <w:tcW w:w="567" w:type="pct"/>
            <w:vAlign w:val="center"/>
          </w:tcPr>
          <w:p w:rsidR="00FE4776" w:rsidRPr="00663D98" w:rsidRDefault="00FE4776" w:rsidP="0068763C">
            <w:pPr>
              <w:keepNext/>
              <w:jc w:val="center"/>
              <w:rPr>
                <w:rFonts w:ascii="Arial Narrow" w:hAnsi="Arial Narrow"/>
                <w:sz w:val="20"/>
                <w:szCs w:val="20"/>
              </w:rPr>
            </w:pPr>
            <w:r w:rsidRPr="00663D98">
              <w:rPr>
                <w:rFonts w:ascii="Arial Narrow" w:hAnsi="Arial Narrow" w:cs="Calibri"/>
                <w:sz w:val="20"/>
                <w:szCs w:val="20"/>
              </w:rPr>
              <w:t>-$</w:t>
            </w:r>
            <w:r w:rsidR="00C34BCC">
              <w:rPr>
                <w:rFonts w:ascii="Arial Narrow" w:hAnsi="Arial Narrow" w:cs="Calibri"/>
                <w:noProof/>
                <w:color w:val="000000"/>
                <w:sz w:val="20"/>
                <w:szCs w:val="20"/>
                <w:highlight w:val="black"/>
              </w:rPr>
              <w:t>''''''''''''''''</w:t>
            </w:r>
          </w:p>
        </w:tc>
        <w:tc>
          <w:tcPr>
            <w:tcW w:w="567" w:type="pct"/>
            <w:vAlign w:val="center"/>
          </w:tcPr>
          <w:p w:rsidR="00FE4776" w:rsidRPr="00663D98" w:rsidRDefault="00FE4776" w:rsidP="0068763C">
            <w:pPr>
              <w:keepNext/>
              <w:jc w:val="center"/>
              <w:rPr>
                <w:rFonts w:ascii="Arial Narrow" w:hAnsi="Arial Narrow"/>
                <w:sz w:val="20"/>
                <w:szCs w:val="20"/>
              </w:rPr>
            </w:pPr>
            <w:r w:rsidRPr="00663D98">
              <w:rPr>
                <w:rFonts w:ascii="Arial Narrow" w:hAnsi="Arial Narrow" w:cs="Calibri"/>
                <w:sz w:val="20"/>
                <w:szCs w:val="20"/>
              </w:rPr>
              <w:t>-$</w:t>
            </w:r>
            <w:r w:rsidR="00C34BCC">
              <w:rPr>
                <w:rFonts w:ascii="Arial Narrow" w:hAnsi="Arial Narrow" w:cs="Calibri"/>
                <w:noProof/>
                <w:color w:val="000000"/>
                <w:sz w:val="20"/>
                <w:szCs w:val="20"/>
                <w:highlight w:val="black"/>
              </w:rPr>
              <w:t>'''''''''''''''</w:t>
            </w:r>
          </w:p>
        </w:tc>
        <w:tc>
          <w:tcPr>
            <w:tcW w:w="567" w:type="pct"/>
            <w:vAlign w:val="center"/>
          </w:tcPr>
          <w:p w:rsidR="00FE4776" w:rsidRPr="00663D98" w:rsidRDefault="00FE4776" w:rsidP="0068763C">
            <w:pPr>
              <w:keepNext/>
              <w:jc w:val="center"/>
              <w:rPr>
                <w:rFonts w:ascii="Arial Narrow" w:hAnsi="Arial Narrow"/>
                <w:sz w:val="20"/>
                <w:szCs w:val="20"/>
              </w:rPr>
            </w:pPr>
            <w:r w:rsidRPr="00663D98">
              <w:rPr>
                <w:rFonts w:ascii="Arial Narrow" w:hAnsi="Arial Narrow" w:cs="Calibri"/>
                <w:sz w:val="20"/>
                <w:szCs w:val="20"/>
              </w:rPr>
              <w:t>-$</w:t>
            </w:r>
            <w:r w:rsidR="00C34BCC">
              <w:rPr>
                <w:rFonts w:ascii="Arial Narrow" w:hAnsi="Arial Narrow" w:cs="Calibri"/>
                <w:noProof/>
                <w:color w:val="000000"/>
                <w:sz w:val="20"/>
                <w:szCs w:val="20"/>
                <w:highlight w:val="black"/>
              </w:rPr>
              <w:t>'''''''''''''''</w:t>
            </w:r>
          </w:p>
        </w:tc>
        <w:tc>
          <w:tcPr>
            <w:tcW w:w="533" w:type="pct"/>
          </w:tcPr>
          <w:p w:rsidR="00FE4776" w:rsidRPr="00663D98" w:rsidRDefault="00FE4776" w:rsidP="0068763C">
            <w:pPr>
              <w:keepNext/>
              <w:autoSpaceDE w:val="0"/>
              <w:autoSpaceDN w:val="0"/>
              <w:adjustRightInd w:val="0"/>
              <w:spacing w:before="40" w:after="40"/>
              <w:jc w:val="center"/>
              <w:rPr>
                <w:rFonts w:ascii="Arial Narrow" w:hAnsi="Arial Narrow"/>
                <w:color w:val="000000" w:themeColor="text1"/>
                <w:sz w:val="20"/>
                <w:szCs w:val="20"/>
              </w:rPr>
            </w:pPr>
          </w:p>
        </w:tc>
      </w:tr>
      <w:tr w:rsidR="00FE4776" w:rsidRPr="00663D98" w:rsidTr="005C2DD9">
        <w:trPr>
          <w:trHeight w:val="319"/>
        </w:trPr>
        <w:tc>
          <w:tcPr>
            <w:tcW w:w="1067" w:type="pct"/>
          </w:tcPr>
          <w:p w:rsidR="00FE4776" w:rsidRPr="00663D98" w:rsidRDefault="00FE4776" w:rsidP="0068763C">
            <w:pPr>
              <w:keepNext/>
              <w:autoSpaceDE w:val="0"/>
              <w:autoSpaceDN w:val="0"/>
              <w:adjustRightInd w:val="0"/>
              <w:spacing w:before="40" w:after="40"/>
              <w:rPr>
                <w:rFonts w:ascii="Arial Narrow" w:hAnsi="Arial Narrow" w:cs="Arial Narrow"/>
                <w:color w:val="000000"/>
                <w:sz w:val="18"/>
                <w:szCs w:val="18"/>
              </w:rPr>
            </w:pPr>
            <w:r w:rsidRPr="00663D98">
              <w:rPr>
                <w:rFonts w:ascii="Arial Narrow" w:hAnsi="Arial Narrow" w:cs="Arial Narrow"/>
                <w:color w:val="000000"/>
                <w:sz w:val="18"/>
                <w:szCs w:val="18"/>
              </w:rPr>
              <w:t>Concessional patient co-payments</w:t>
            </w:r>
          </w:p>
        </w:tc>
        <w:tc>
          <w:tcPr>
            <w:tcW w:w="567" w:type="pct"/>
            <w:vAlign w:val="center"/>
          </w:tcPr>
          <w:p w:rsidR="00FE4776" w:rsidRPr="00663D98" w:rsidRDefault="00FE4776" w:rsidP="0068763C">
            <w:pPr>
              <w:keepNext/>
              <w:jc w:val="center"/>
              <w:rPr>
                <w:rFonts w:ascii="Arial Narrow" w:hAnsi="Arial Narrow"/>
                <w:sz w:val="20"/>
                <w:szCs w:val="20"/>
              </w:rPr>
            </w:pPr>
            <w:r w:rsidRPr="00663D98">
              <w:rPr>
                <w:rFonts w:ascii="Arial Narrow" w:hAnsi="Arial Narrow" w:cs="Calibri"/>
                <w:sz w:val="20"/>
                <w:szCs w:val="20"/>
              </w:rPr>
              <w:t>-$</w:t>
            </w:r>
            <w:r w:rsidR="00C34BCC">
              <w:rPr>
                <w:rFonts w:ascii="Arial Narrow" w:hAnsi="Arial Narrow" w:cs="Calibri"/>
                <w:noProof/>
                <w:color w:val="000000"/>
                <w:sz w:val="20"/>
                <w:szCs w:val="20"/>
                <w:highlight w:val="black"/>
              </w:rPr>
              <w:t>'''''''''''''''''</w:t>
            </w:r>
          </w:p>
        </w:tc>
        <w:tc>
          <w:tcPr>
            <w:tcW w:w="567" w:type="pct"/>
            <w:vAlign w:val="center"/>
          </w:tcPr>
          <w:p w:rsidR="00FE4776" w:rsidRPr="00663D98" w:rsidRDefault="00FE4776" w:rsidP="0068763C">
            <w:pPr>
              <w:keepNext/>
              <w:jc w:val="center"/>
              <w:rPr>
                <w:rFonts w:ascii="Arial Narrow" w:hAnsi="Arial Narrow"/>
                <w:sz w:val="20"/>
                <w:szCs w:val="20"/>
              </w:rPr>
            </w:pPr>
            <w:r w:rsidRPr="00663D98">
              <w:rPr>
                <w:rFonts w:ascii="Arial Narrow" w:hAnsi="Arial Narrow" w:cs="Calibri"/>
                <w:sz w:val="20"/>
                <w:szCs w:val="20"/>
              </w:rPr>
              <w:t>-$</w:t>
            </w:r>
            <w:r w:rsidR="00C34BCC">
              <w:rPr>
                <w:rFonts w:ascii="Arial Narrow" w:hAnsi="Arial Narrow" w:cs="Calibri"/>
                <w:noProof/>
                <w:color w:val="000000"/>
                <w:sz w:val="20"/>
                <w:szCs w:val="20"/>
                <w:highlight w:val="black"/>
              </w:rPr>
              <w:t>'''''''''''''''</w:t>
            </w:r>
          </w:p>
        </w:tc>
        <w:tc>
          <w:tcPr>
            <w:tcW w:w="567" w:type="pct"/>
            <w:vAlign w:val="center"/>
          </w:tcPr>
          <w:p w:rsidR="00FE4776" w:rsidRPr="00663D98" w:rsidRDefault="00FE4776" w:rsidP="0068763C">
            <w:pPr>
              <w:keepNext/>
              <w:jc w:val="center"/>
              <w:rPr>
                <w:rFonts w:ascii="Arial Narrow" w:hAnsi="Arial Narrow"/>
                <w:sz w:val="20"/>
                <w:szCs w:val="20"/>
              </w:rPr>
            </w:pPr>
            <w:r w:rsidRPr="00663D98">
              <w:rPr>
                <w:rFonts w:ascii="Arial Narrow" w:hAnsi="Arial Narrow" w:cs="Calibri"/>
                <w:sz w:val="20"/>
                <w:szCs w:val="20"/>
              </w:rPr>
              <w:t>-$</w:t>
            </w:r>
            <w:r w:rsidR="00C34BCC">
              <w:rPr>
                <w:rFonts w:ascii="Arial Narrow" w:hAnsi="Arial Narrow" w:cs="Calibri"/>
                <w:noProof/>
                <w:color w:val="000000"/>
                <w:sz w:val="20"/>
                <w:szCs w:val="20"/>
                <w:highlight w:val="black"/>
              </w:rPr>
              <w:t>'''''''''''''''</w:t>
            </w:r>
          </w:p>
        </w:tc>
        <w:tc>
          <w:tcPr>
            <w:tcW w:w="567" w:type="pct"/>
            <w:vAlign w:val="center"/>
          </w:tcPr>
          <w:p w:rsidR="00FE4776" w:rsidRPr="00663D98" w:rsidRDefault="00FE4776" w:rsidP="0068763C">
            <w:pPr>
              <w:keepNext/>
              <w:jc w:val="center"/>
              <w:rPr>
                <w:rFonts w:ascii="Arial Narrow" w:hAnsi="Arial Narrow"/>
                <w:sz w:val="20"/>
                <w:szCs w:val="20"/>
              </w:rPr>
            </w:pPr>
            <w:r w:rsidRPr="00663D98">
              <w:rPr>
                <w:rFonts w:ascii="Arial Narrow" w:hAnsi="Arial Narrow" w:cs="Calibri"/>
                <w:sz w:val="20"/>
                <w:szCs w:val="20"/>
              </w:rPr>
              <w:t>-$</w:t>
            </w:r>
            <w:r w:rsidR="00C34BCC">
              <w:rPr>
                <w:rFonts w:ascii="Arial Narrow" w:hAnsi="Arial Narrow" w:cs="Calibri"/>
                <w:noProof/>
                <w:color w:val="000000"/>
                <w:sz w:val="20"/>
                <w:szCs w:val="20"/>
                <w:highlight w:val="black"/>
              </w:rPr>
              <w:t>'''''''''''''''</w:t>
            </w:r>
          </w:p>
        </w:tc>
        <w:tc>
          <w:tcPr>
            <w:tcW w:w="567" w:type="pct"/>
            <w:vAlign w:val="center"/>
          </w:tcPr>
          <w:p w:rsidR="00FE4776" w:rsidRPr="00663D98" w:rsidRDefault="00FE4776" w:rsidP="0068763C">
            <w:pPr>
              <w:keepNext/>
              <w:jc w:val="center"/>
              <w:rPr>
                <w:rFonts w:ascii="Arial Narrow" w:hAnsi="Arial Narrow"/>
                <w:sz w:val="20"/>
                <w:szCs w:val="20"/>
              </w:rPr>
            </w:pPr>
            <w:r w:rsidRPr="00663D98">
              <w:rPr>
                <w:rFonts w:ascii="Arial Narrow" w:hAnsi="Arial Narrow" w:cs="Calibri"/>
                <w:sz w:val="20"/>
                <w:szCs w:val="20"/>
              </w:rPr>
              <w:t>-$</w:t>
            </w:r>
            <w:r w:rsidR="00C34BCC">
              <w:rPr>
                <w:rFonts w:ascii="Arial Narrow" w:hAnsi="Arial Narrow" w:cs="Calibri"/>
                <w:noProof/>
                <w:color w:val="000000"/>
                <w:sz w:val="20"/>
                <w:szCs w:val="20"/>
                <w:highlight w:val="black"/>
              </w:rPr>
              <w:t>'''''''''''''''''</w:t>
            </w:r>
          </w:p>
        </w:tc>
        <w:tc>
          <w:tcPr>
            <w:tcW w:w="567" w:type="pct"/>
            <w:vAlign w:val="center"/>
          </w:tcPr>
          <w:p w:rsidR="00FE4776" w:rsidRPr="00663D98" w:rsidRDefault="00FE4776" w:rsidP="0068763C">
            <w:pPr>
              <w:keepNext/>
              <w:jc w:val="center"/>
              <w:rPr>
                <w:rFonts w:ascii="Arial Narrow" w:hAnsi="Arial Narrow"/>
                <w:sz w:val="20"/>
                <w:szCs w:val="20"/>
              </w:rPr>
            </w:pPr>
            <w:r w:rsidRPr="00663D98">
              <w:rPr>
                <w:rFonts w:ascii="Arial Narrow" w:hAnsi="Arial Narrow" w:cs="Calibri"/>
                <w:sz w:val="20"/>
                <w:szCs w:val="20"/>
              </w:rPr>
              <w:t>-$</w:t>
            </w:r>
            <w:r w:rsidR="00C34BCC">
              <w:rPr>
                <w:rFonts w:ascii="Arial Narrow" w:hAnsi="Arial Narrow" w:cs="Calibri"/>
                <w:noProof/>
                <w:color w:val="000000"/>
                <w:sz w:val="20"/>
                <w:szCs w:val="20"/>
                <w:highlight w:val="black"/>
              </w:rPr>
              <w:t>''''''''''''''''</w:t>
            </w:r>
          </w:p>
        </w:tc>
        <w:tc>
          <w:tcPr>
            <w:tcW w:w="533" w:type="pct"/>
          </w:tcPr>
          <w:p w:rsidR="00FE4776" w:rsidRPr="00663D98" w:rsidRDefault="00FE4776" w:rsidP="0068763C">
            <w:pPr>
              <w:keepNext/>
              <w:autoSpaceDE w:val="0"/>
              <w:autoSpaceDN w:val="0"/>
              <w:adjustRightInd w:val="0"/>
              <w:spacing w:before="40" w:after="40"/>
              <w:jc w:val="center"/>
              <w:rPr>
                <w:rFonts w:ascii="Arial Narrow" w:hAnsi="Arial Narrow"/>
                <w:color w:val="000000" w:themeColor="text1"/>
                <w:sz w:val="20"/>
                <w:szCs w:val="20"/>
              </w:rPr>
            </w:pPr>
          </w:p>
        </w:tc>
      </w:tr>
      <w:tr w:rsidR="00FE4776" w:rsidRPr="00663D98" w:rsidTr="005C2DD9">
        <w:trPr>
          <w:trHeight w:val="319"/>
        </w:trPr>
        <w:tc>
          <w:tcPr>
            <w:tcW w:w="1067" w:type="pct"/>
          </w:tcPr>
          <w:p w:rsidR="00FE4776" w:rsidRPr="00663D98" w:rsidRDefault="00FE4776" w:rsidP="0068763C">
            <w:pPr>
              <w:keepNext/>
              <w:autoSpaceDE w:val="0"/>
              <w:autoSpaceDN w:val="0"/>
              <w:adjustRightInd w:val="0"/>
              <w:spacing w:before="40" w:after="40"/>
              <w:rPr>
                <w:rFonts w:ascii="Arial Narrow" w:hAnsi="Arial Narrow" w:cs="Arial Narrow"/>
                <w:b/>
                <w:bCs/>
                <w:color w:val="000000"/>
                <w:sz w:val="18"/>
                <w:szCs w:val="18"/>
              </w:rPr>
            </w:pPr>
            <w:r w:rsidRPr="00663D98">
              <w:rPr>
                <w:rFonts w:ascii="Arial Narrow" w:hAnsi="Arial Narrow" w:cs="Arial Narrow"/>
                <w:b/>
                <w:bCs/>
                <w:color w:val="000000"/>
                <w:sz w:val="18"/>
                <w:szCs w:val="18"/>
              </w:rPr>
              <w:t>Net financial implications for PBS budget</w:t>
            </w:r>
          </w:p>
        </w:tc>
        <w:tc>
          <w:tcPr>
            <w:tcW w:w="567" w:type="pct"/>
            <w:vAlign w:val="center"/>
          </w:tcPr>
          <w:p w:rsidR="00FE4776" w:rsidRPr="00663D98" w:rsidRDefault="00FE4776" w:rsidP="0068763C">
            <w:pPr>
              <w:keepNext/>
              <w:jc w:val="center"/>
              <w:rPr>
                <w:rFonts w:ascii="Arial Narrow" w:hAnsi="Arial Narrow"/>
                <w:b/>
                <w:bCs/>
                <w:sz w:val="20"/>
                <w:szCs w:val="20"/>
              </w:rPr>
            </w:pPr>
            <w:r w:rsidRPr="00663D98">
              <w:rPr>
                <w:rFonts w:ascii="Arial Narrow" w:hAnsi="Arial Narrow" w:cs="Calibri"/>
                <w:b/>
                <w:bCs/>
                <w:sz w:val="20"/>
                <w:szCs w:val="20"/>
              </w:rPr>
              <w:t>$</w:t>
            </w:r>
            <w:r w:rsidR="00C34BCC">
              <w:rPr>
                <w:rFonts w:ascii="Arial Narrow" w:hAnsi="Arial Narrow" w:cs="Calibri"/>
                <w:b/>
                <w:bCs/>
                <w:noProof/>
                <w:color w:val="000000"/>
                <w:sz w:val="20"/>
                <w:szCs w:val="20"/>
                <w:highlight w:val="black"/>
              </w:rPr>
              <w:t>''''''''''''''''''''</w:t>
            </w:r>
          </w:p>
        </w:tc>
        <w:tc>
          <w:tcPr>
            <w:tcW w:w="567" w:type="pct"/>
            <w:vAlign w:val="center"/>
          </w:tcPr>
          <w:p w:rsidR="00FE4776" w:rsidRPr="00663D98" w:rsidRDefault="00FE4776" w:rsidP="0068763C">
            <w:pPr>
              <w:keepNext/>
              <w:jc w:val="center"/>
              <w:rPr>
                <w:rFonts w:ascii="Arial Narrow" w:hAnsi="Arial Narrow"/>
                <w:b/>
                <w:bCs/>
                <w:sz w:val="20"/>
                <w:szCs w:val="20"/>
              </w:rPr>
            </w:pPr>
            <w:r w:rsidRPr="00663D98">
              <w:rPr>
                <w:rFonts w:ascii="Arial Narrow" w:hAnsi="Arial Narrow" w:cs="Calibri"/>
                <w:b/>
                <w:bCs/>
                <w:sz w:val="20"/>
                <w:szCs w:val="20"/>
              </w:rPr>
              <w:t>$</w:t>
            </w:r>
            <w:r w:rsidR="00C34BCC">
              <w:rPr>
                <w:rFonts w:ascii="Arial Narrow" w:hAnsi="Arial Narrow" w:cs="Calibri"/>
                <w:b/>
                <w:bCs/>
                <w:noProof/>
                <w:color w:val="000000"/>
                <w:sz w:val="20"/>
                <w:szCs w:val="20"/>
                <w:highlight w:val="black"/>
              </w:rPr>
              <w:t>'''''''''''''''''</w:t>
            </w:r>
          </w:p>
        </w:tc>
        <w:tc>
          <w:tcPr>
            <w:tcW w:w="567" w:type="pct"/>
            <w:vAlign w:val="center"/>
          </w:tcPr>
          <w:p w:rsidR="00FE4776" w:rsidRPr="00663D98" w:rsidRDefault="00FE4776" w:rsidP="0068763C">
            <w:pPr>
              <w:keepNext/>
              <w:jc w:val="center"/>
              <w:rPr>
                <w:rFonts w:ascii="Arial Narrow" w:hAnsi="Arial Narrow"/>
                <w:b/>
                <w:bCs/>
                <w:sz w:val="20"/>
                <w:szCs w:val="20"/>
              </w:rPr>
            </w:pPr>
            <w:r w:rsidRPr="00663D98">
              <w:rPr>
                <w:rFonts w:ascii="Arial Narrow" w:hAnsi="Arial Narrow" w:cs="Calibri"/>
                <w:b/>
                <w:bCs/>
                <w:sz w:val="20"/>
                <w:szCs w:val="20"/>
              </w:rPr>
              <w:t>$</w:t>
            </w:r>
            <w:r w:rsidR="00C34BCC">
              <w:rPr>
                <w:rFonts w:ascii="Arial Narrow" w:hAnsi="Arial Narrow" w:cs="Calibri"/>
                <w:b/>
                <w:bCs/>
                <w:noProof/>
                <w:color w:val="000000"/>
                <w:sz w:val="20"/>
                <w:szCs w:val="20"/>
                <w:highlight w:val="black"/>
              </w:rPr>
              <w:t>'''''''''''''''''''</w:t>
            </w:r>
          </w:p>
        </w:tc>
        <w:tc>
          <w:tcPr>
            <w:tcW w:w="567" w:type="pct"/>
            <w:vAlign w:val="center"/>
          </w:tcPr>
          <w:p w:rsidR="00FE4776" w:rsidRPr="00663D98" w:rsidRDefault="00FE4776" w:rsidP="0068763C">
            <w:pPr>
              <w:keepNext/>
              <w:jc w:val="center"/>
              <w:rPr>
                <w:rFonts w:ascii="Arial Narrow" w:hAnsi="Arial Narrow"/>
                <w:b/>
                <w:bCs/>
                <w:sz w:val="20"/>
                <w:szCs w:val="20"/>
              </w:rPr>
            </w:pPr>
            <w:r w:rsidRPr="00663D98">
              <w:rPr>
                <w:rFonts w:ascii="Arial Narrow" w:hAnsi="Arial Narrow" w:cs="Calibri"/>
                <w:b/>
                <w:bCs/>
                <w:sz w:val="20"/>
                <w:szCs w:val="20"/>
              </w:rPr>
              <w:t>$</w:t>
            </w:r>
            <w:r w:rsidR="00C34BCC">
              <w:rPr>
                <w:rFonts w:ascii="Arial Narrow" w:hAnsi="Arial Narrow" w:cs="Calibri"/>
                <w:b/>
                <w:bCs/>
                <w:noProof/>
                <w:color w:val="000000"/>
                <w:sz w:val="20"/>
                <w:szCs w:val="20"/>
                <w:highlight w:val="black"/>
              </w:rPr>
              <w:t>''''''''''''''''''</w:t>
            </w:r>
          </w:p>
        </w:tc>
        <w:tc>
          <w:tcPr>
            <w:tcW w:w="567" w:type="pct"/>
            <w:vAlign w:val="center"/>
          </w:tcPr>
          <w:p w:rsidR="00FE4776" w:rsidRPr="00663D98" w:rsidRDefault="00FE4776" w:rsidP="0068763C">
            <w:pPr>
              <w:keepNext/>
              <w:jc w:val="center"/>
              <w:rPr>
                <w:rFonts w:ascii="Arial Narrow" w:hAnsi="Arial Narrow"/>
                <w:b/>
                <w:bCs/>
                <w:sz w:val="20"/>
                <w:szCs w:val="20"/>
              </w:rPr>
            </w:pPr>
            <w:r w:rsidRPr="00663D98">
              <w:rPr>
                <w:rFonts w:ascii="Arial Narrow" w:hAnsi="Arial Narrow" w:cs="Calibri"/>
                <w:b/>
                <w:bCs/>
                <w:sz w:val="20"/>
                <w:szCs w:val="20"/>
              </w:rPr>
              <w:t>$</w:t>
            </w:r>
            <w:r w:rsidR="00C34BCC">
              <w:rPr>
                <w:rFonts w:ascii="Arial Narrow" w:hAnsi="Arial Narrow" w:cs="Calibri"/>
                <w:b/>
                <w:bCs/>
                <w:noProof/>
                <w:color w:val="000000"/>
                <w:sz w:val="20"/>
                <w:szCs w:val="20"/>
                <w:highlight w:val="black"/>
              </w:rPr>
              <w:t>''''''''''''''''''</w:t>
            </w:r>
          </w:p>
        </w:tc>
        <w:tc>
          <w:tcPr>
            <w:tcW w:w="567" w:type="pct"/>
            <w:vAlign w:val="center"/>
          </w:tcPr>
          <w:p w:rsidR="00FE4776" w:rsidRPr="00663D98" w:rsidRDefault="00FE4776" w:rsidP="0068763C">
            <w:pPr>
              <w:keepNext/>
              <w:jc w:val="center"/>
              <w:rPr>
                <w:rFonts w:ascii="Arial Narrow" w:hAnsi="Arial Narrow"/>
                <w:b/>
                <w:bCs/>
                <w:sz w:val="20"/>
                <w:szCs w:val="20"/>
              </w:rPr>
            </w:pPr>
            <w:r w:rsidRPr="00663D98">
              <w:rPr>
                <w:rFonts w:ascii="Arial Narrow" w:hAnsi="Arial Narrow" w:cs="Calibri"/>
                <w:b/>
                <w:bCs/>
                <w:sz w:val="20"/>
                <w:szCs w:val="20"/>
              </w:rPr>
              <w:t>$</w:t>
            </w:r>
            <w:r w:rsidR="00C34BCC">
              <w:rPr>
                <w:rFonts w:ascii="Arial Narrow" w:hAnsi="Arial Narrow" w:cs="Calibri"/>
                <w:b/>
                <w:bCs/>
                <w:noProof/>
                <w:color w:val="000000"/>
                <w:sz w:val="20"/>
                <w:szCs w:val="20"/>
                <w:highlight w:val="black"/>
              </w:rPr>
              <w:t>'''''''''''''''''''''</w:t>
            </w:r>
          </w:p>
        </w:tc>
        <w:tc>
          <w:tcPr>
            <w:tcW w:w="533" w:type="pct"/>
            <w:vAlign w:val="center"/>
          </w:tcPr>
          <w:p w:rsidR="00FE4776" w:rsidRPr="00663D98" w:rsidRDefault="00FE4776" w:rsidP="0068763C">
            <w:pPr>
              <w:keepNext/>
              <w:jc w:val="center"/>
              <w:rPr>
                <w:rFonts w:ascii="Arial Narrow" w:hAnsi="Arial Narrow"/>
                <w:b/>
                <w:bCs/>
                <w:color w:val="000000"/>
                <w:sz w:val="20"/>
                <w:szCs w:val="20"/>
              </w:rPr>
            </w:pPr>
            <w:r w:rsidRPr="00663D98">
              <w:rPr>
                <w:rFonts w:ascii="Arial Narrow" w:hAnsi="Arial Narrow"/>
                <w:b/>
                <w:bCs/>
                <w:color w:val="000000"/>
                <w:sz w:val="20"/>
                <w:szCs w:val="20"/>
              </w:rPr>
              <w:t>$</w:t>
            </w:r>
            <w:r w:rsidR="00C34BCC">
              <w:rPr>
                <w:rFonts w:ascii="Arial Narrow" w:hAnsi="Arial Narrow"/>
                <w:b/>
                <w:bCs/>
                <w:noProof/>
                <w:color w:val="000000"/>
                <w:sz w:val="20"/>
                <w:szCs w:val="20"/>
                <w:highlight w:val="black"/>
              </w:rPr>
              <w:t>'''''''''''''''''''''</w:t>
            </w:r>
          </w:p>
        </w:tc>
      </w:tr>
    </w:tbl>
    <w:p w:rsidR="00C03FC7" w:rsidRPr="00663D98" w:rsidRDefault="00C03FC7" w:rsidP="0068763C">
      <w:pPr>
        <w:keepNext/>
        <w:rPr>
          <w:rFonts w:ascii="Arial Narrow" w:hAnsi="Arial Narrow"/>
          <w:sz w:val="18"/>
          <w:szCs w:val="22"/>
        </w:rPr>
      </w:pPr>
      <w:r w:rsidRPr="00663D98">
        <w:rPr>
          <w:rFonts w:ascii="Arial Narrow" w:hAnsi="Arial Narrow"/>
          <w:sz w:val="18"/>
          <w:szCs w:val="22"/>
        </w:rPr>
        <w:t xml:space="preserve">Source: </w:t>
      </w:r>
      <w:r w:rsidR="00A35269" w:rsidRPr="00663D98">
        <w:rPr>
          <w:rFonts w:ascii="Arial Narrow" w:hAnsi="Arial Narrow"/>
          <w:sz w:val="18"/>
          <w:szCs w:val="22"/>
        </w:rPr>
        <w:t xml:space="preserve">2. Revised economic &amp; financial </w:t>
      </w:r>
      <w:r w:rsidR="00653E9F" w:rsidRPr="00663D98">
        <w:rPr>
          <w:rFonts w:ascii="Arial Narrow" w:hAnsi="Arial Narrow"/>
          <w:sz w:val="18"/>
          <w:szCs w:val="22"/>
        </w:rPr>
        <w:t>analyses -</w:t>
      </w:r>
      <w:r w:rsidR="00A35269" w:rsidRPr="00663D98">
        <w:rPr>
          <w:rFonts w:ascii="Arial Narrow" w:hAnsi="Arial Narrow"/>
          <w:sz w:val="18"/>
          <w:szCs w:val="22"/>
        </w:rPr>
        <w:t xml:space="preserve"> LONSURF - </w:t>
      </w:r>
      <w:r w:rsidR="00653E9F" w:rsidRPr="00663D98">
        <w:rPr>
          <w:rFonts w:ascii="Arial Narrow" w:hAnsi="Arial Narrow"/>
          <w:sz w:val="18"/>
          <w:szCs w:val="22"/>
        </w:rPr>
        <w:t>mCRC -</w:t>
      </w:r>
      <w:r w:rsidR="00A35269" w:rsidRPr="00663D98">
        <w:rPr>
          <w:rFonts w:ascii="Arial Narrow" w:hAnsi="Arial Narrow"/>
          <w:sz w:val="18"/>
          <w:szCs w:val="22"/>
        </w:rPr>
        <w:t xml:space="preserve"> Jul 2018 resubmission - FINAL Excel workbook provided with the submission</w:t>
      </w:r>
    </w:p>
    <w:p w:rsidR="00AB3ADE" w:rsidRDefault="00AB3ADE" w:rsidP="0068763C">
      <w:pPr>
        <w:keepNext/>
        <w:rPr>
          <w:rFonts w:ascii="Arial Narrow" w:hAnsi="Arial Narrow"/>
          <w:sz w:val="18"/>
          <w:szCs w:val="22"/>
        </w:rPr>
      </w:pPr>
      <w:r w:rsidRPr="00663D98">
        <w:rPr>
          <w:rFonts w:ascii="Arial Narrow" w:hAnsi="Arial Narrow"/>
          <w:sz w:val="18"/>
          <w:szCs w:val="22"/>
        </w:rPr>
        <w:t>*</w:t>
      </w:r>
      <w:r w:rsidR="00DF6A51" w:rsidRPr="00663D98">
        <w:rPr>
          <w:rFonts w:ascii="Arial Narrow" w:hAnsi="Arial Narrow"/>
          <w:sz w:val="18"/>
          <w:szCs w:val="22"/>
        </w:rPr>
        <w:t xml:space="preserve">Estimated number of patients based on uptake rate of </w:t>
      </w:r>
      <w:r w:rsidR="00C34BCC">
        <w:rPr>
          <w:rFonts w:ascii="Arial Narrow" w:hAnsi="Arial Narrow"/>
          <w:noProof/>
          <w:color w:val="000000"/>
          <w:sz w:val="18"/>
          <w:szCs w:val="22"/>
          <w:highlight w:val="black"/>
        </w:rPr>
        <w:t>''''''</w:t>
      </w:r>
      <w:r w:rsidR="00DF6A51" w:rsidRPr="00663D98">
        <w:rPr>
          <w:rFonts w:ascii="Arial Narrow" w:hAnsi="Arial Narrow"/>
          <w:sz w:val="18"/>
          <w:szCs w:val="22"/>
        </w:rPr>
        <w:t xml:space="preserve">% in all years. </w:t>
      </w:r>
    </w:p>
    <w:p w:rsidR="00CF5FB7" w:rsidRDefault="00CF5FB7" w:rsidP="00A35269">
      <w:pPr>
        <w:rPr>
          <w:rFonts w:ascii="Arial Narrow" w:hAnsi="Arial Narrow"/>
          <w:sz w:val="18"/>
          <w:szCs w:val="22"/>
        </w:rPr>
      </w:pPr>
    </w:p>
    <w:p w:rsidR="00CF5FB7" w:rsidRPr="00CF5FB7" w:rsidRDefault="00CF5FB7" w:rsidP="00A35269">
      <w:pPr>
        <w:rPr>
          <w:rFonts w:asciiTheme="minorHAnsi" w:eastAsiaTheme="minorHAnsi" w:hAnsiTheme="minorHAnsi" w:cstheme="minorBidi"/>
          <w:color w:val="000000" w:themeColor="text1"/>
          <w:szCs w:val="22"/>
          <w:lang w:eastAsia="en-US"/>
        </w:rPr>
      </w:pPr>
      <w:r>
        <w:rPr>
          <w:rFonts w:asciiTheme="minorHAnsi" w:eastAsiaTheme="minorHAnsi" w:hAnsiTheme="minorHAnsi" w:cstheme="minorBidi"/>
          <w:color w:val="000000" w:themeColor="text1"/>
          <w:szCs w:val="22"/>
          <w:lang w:eastAsia="en-US"/>
        </w:rPr>
        <w:t xml:space="preserve">The redacted table shows that the total estimated number of patients over 6 years was 10,000 – 50,000. </w:t>
      </w:r>
    </w:p>
    <w:p w:rsidR="00A35269" w:rsidRPr="00663D98" w:rsidRDefault="00A35269" w:rsidP="00A35269">
      <w:pPr>
        <w:rPr>
          <w:rFonts w:asciiTheme="minorHAnsi" w:eastAsiaTheme="minorHAnsi" w:hAnsiTheme="minorHAnsi" w:cstheme="minorBidi"/>
          <w:color w:val="000000" w:themeColor="text1"/>
          <w:szCs w:val="22"/>
        </w:rPr>
      </w:pPr>
    </w:p>
    <w:p w:rsidR="00A35269" w:rsidRPr="00663D98" w:rsidRDefault="00A35269" w:rsidP="00565BF9">
      <w:pPr>
        <w:pStyle w:val="ListParagraph"/>
        <w:numPr>
          <w:ilvl w:val="1"/>
          <w:numId w:val="14"/>
        </w:numPr>
        <w:rPr>
          <w:rFonts w:asciiTheme="minorHAnsi" w:eastAsiaTheme="minorHAnsi" w:hAnsiTheme="minorHAnsi" w:cstheme="minorBidi"/>
          <w:snapToGrid/>
          <w:color w:val="000000" w:themeColor="text1"/>
          <w:sz w:val="24"/>
          <w:szCs w:val="22"/>
        </w:rPr>
      </w:pPr>
      <w:r w:rsidRPr="00663D98">
        <w:rPr>
          <w:rFonts w:asciiTheme="minorHAnsi" w:eastAsiaTheme="minorHAnsi" w:hAnsiTheme="minorHAnsi" w:cstheme="minorBidi"/>
          <w:snapToGrid/>
          <w:color w:val="000000" w:themeColor="text1"/>
          <w:sz w:val="24"/>
          <w:szCs w:val="22"/>
        </w:rPr>
        <w:t>The resubmission estimate</w:t>
      </w:r>
      <w:r w:rsidR="00565BF9" w:rsidRPr="00663D98">
        <w:rPr>
          <w:rFonts w:asciiTheme="minorHAnsi" w:eastAsiaTheme="minorHAnsi" w:hAnsiTheme="minorHAnsi" w:cstheme="minorBidi"/>
          <w:snapToGrid/>
          <w:color w:val="000000" w:themeColor="text1"/>
          <w:sz w:val="24"/>
          <w:szCs w:val="22"/>
        </w:rPr>
        <w:t>d a net cost to the PBS of</w:t>
      </w:r>
      <w:r w:rsidR="00927C84">
        <w:rPr>
          <w:rFonts w:asciiTheme="minorHAnsi" w:eastAsiaTheme="minorHAnsi" w:hAnsiTheme="minorHAnsi" w:cstheme="minorBidi"/>
          <w:snapToGrid/>
          <w:color w:val="000000" w:themeColor="text1"/>
          <w:sz w:val="24"/>
          <w:szCs w:val="22"/>
        </w:rPr>
        <w:t xml:space="preserve"> less than</w:t>
      </w:r>
      <w:r w:rsidR="00565BF9" w:rsidRPr="00663D98">
        <w:rPr>
          <w:rFonts w:asciiTheme="minorHAnsi" w:eastAsiaTheme="minorHAnsi" w:hAnsiTheme="minorHAnsi" w:cstheme="minorBidi"/>
          <w:snapToGrid/>
          <w:color w:val="000000" w:themeColor="text1"/>
          <w:sz w:val="24"/>
          <w:szCs w:val="22"/>
        </w:rPr>
        <w:t xml:space="preserve"> $</w:t>
      </w:r>
      <w:r w:rsidR="00927C84">
        <w:rPr>
          <w:rFonts w:asciiTheme="minorHAnsi" w:eastAsiaTheme="minorHAnsi" w:hAnsiTheme="minorHAnsi" w:cstheme="minorBidi"/>
          <w:snapToGrid/>
          <w:color w:val="000000" w:themeColor="text1"/>
          <w:sz w:val="24"/>
          <w:szCs w:val="22"/>
        </w:rPr>
        <w:t>10 million</w:t>
      </w:r>
      <w:r w:rsidRPr="00663D98">
        <w:rPr>
          <w:rFonts w:asciiTheme="minorHAnsi" w:eastAsiaTheme="minorHAnsi" w:hAnsiTheme="minorHAnsi" w:cstheme="minorBidi"/>
          <w:snapToGrid/>
          <w:color w:val="000000" w:themeColor="text1"/>
          <w:sz w:val="24"/>
          <w:szCs w:val="22"/>
        </w:rPr>
        <w:t xml:space="preserve"> in Year 6 of listing, with a total net cost to the PBS of $</w:t>
      </w:r>
      <w:r w:rsidR="005B57BA">
        <w:rPr>
          <w:rFonts w:asciiTheme="minorHAnsi" w:eastAsiaTheme="minorHAnsi" w:hAnsiTheme="minorHAnsi" w:cstheme="minorBidi"/>
          <w:snapToGrid/>
          <w:color w:val="000000" w:themeColor="text1"/>
          <w:sz w:val="24"/>
          <w:szCs w:val="22"/>
        </w:rPr>
        <w:t>2</w:t>
      </w:r>
      <w:r w:rsidR="00927C84">
        <w:rPr>
          <w:rFonts w:asciiTheme="minorHAnsi" w:eastAsiaTheme="minorHAnsi" w:hAnsiTheme="minorHAnsi" w:cstheme="minorBidi"/>
          <w:snapToGrid/>
          <w:color w:val="000000" w:themeColor="text1"/>
          <w:sz w:val="24"/>
          <w:szCs w:val="22"/>
        </w:rPr>
        <w:t>0 - $</w:t>
      </w:r>
      <w:r w:rsidR="005B57BA">
        <w:rPr>
          <w:rFonts w:asciiTheme="minorHAnsi" w:eastAsiaTheme="minorHAnsi" w:hAnsiTheme="minorHAnsi" w:cstheme="minorBidi"/>
          <w:snapToGrid/>
          <w:color w:val="000000" w:themeColor="text1"/>
          <w:sz w:val="24"/>
          <w:szCs w:val="22"/>
        </w:rPr>
        <w:t>3</w:t>
      </w:r>
      <w:r w:rsidR="00927C84">
        <w:rPr>
          <w:rFonts w:asciiTheme="minorHAnsi" w:eastAsiaTheme="minorHAnsi" w:hAnsiTheme="minorHAnsi" w:cstheme="minorBidi"/>
          <w:snapToGrid/>
          <w:color w:val="000000" w:themeColor="text1"/>
          <w:sz w:val="24"/>
          <w:szCs w:val="22"/>
        </w:rPr>
        <w:t>0 million</w:t>
      </w:r>
      <w:r w:rsidRPr="00663D98">
        <w:rPr>
          <w:rFonts w:asciiTheme="minorHAnsi" w:eastAsiaTheme="minorHAnsi" w:hAnsiTheme="minorHAnsi" w:cstheme="minorBidi"/>
          <w:snapToGrid/>
          <w:color w:val="000000" w:themeColor="text1"/>
          <w:sz w:val="24"/>
          <w:szCs w:val="22"/>
        </w:rPr>
        <w:t xml:space="preserve"> over the first 6 years of listing. The revised financial estimates incorporated the proposed </w:t>
      </w:r>
      <w:r w:rsidR="00C34BCC">
        <w:rPr>
          <w:rFonts w:asciiTheme="minorHAnsi" w:eastAsiaTheme="minorHAnsi" w:hAnsiTheme="minorHAnsi" w:cstheme="minorBidi"/>
          <w:noProof/>
          <w:snapToGrid/>
          <w:color w:val="000000"/>
          <w:sz w:val="24"/>
          <w:szCs w:val="22"/>
          <w:highlight w:val="black"/>
        </w:rPr>
        <w:t>'''''</w:t>
      </w:r>
      <w:r w:rsidR="00565BF9" w:rsidRPr="00663D98">
        <w:rPr>
          <w:rFonts w:asciiTheme="minorHAnsi" w:eastAsiaTheme="minorHAnsi" w:hAnsiTheme="minorHAnsi" w:cstheme="minorBidi"/>
          <w:snapToGrid/>
          <w:color w:val="000000" w:themeColor="text1"/>
          <w:sz w:val="24"/>
          <w:szCs w:val="22"/>
        </w:rPr>
        <w:t xml:space="preserve">% rebate on </w:t>
      </w:r>
      <w:r w:rsidR="00F15831" w:rsidRPr="00663D98">
        <w:rPr>
          <w:rFonts w:asciiTheme="minorHAnsi" w:eastAsiaTheme="minorHAnsi" w:hAnsiTheme="minorHAnsi" w:cstheme="minorBidi"/>
          <w:snapToGrid/>
          <w:color w:val="000000" w:themeColor="text1"/>
          <w:sz w:val="24"/>
          <w:szCs w:val="22"/>
        </w:rPr>
        <w:t>PBS expenditure</w:t>
      </w:r>
      <w:r w:rsidR="00565BF9" w:rsidRPr="00663D98">
        <w:rPr>
          <w:rFonts w:asciiTheme="minorHAnsi" w:eastAsiaTheme="minorHAnsi" w:hAnsiTheme="minorHAnsi" w:cstheme="minorBidi"/>
          <w:snapToGrid/>
          <w:color w:val="000000" w:themeColor="text1"/>
          <w:sz w:val="24"/>
          <w:szCs w:val="22"/>
        </w:rPr>
        <w:t xml:space="preserve">. The </w:t>
      </w:r>
      <w:r w:rsidR="00F37582" w:rsidRPr="00663D98">
        <w:rPr>
          <w:rFonts w:asciiTheme="minorHAnsi" w:eastAsiaTheme="minorHAnsi" w:hAnsiTheme="minorHAnsi" w:cstheme="minorBidi"/>
          <w:snapToGrid/>
          <w:color w:val="000000" w:themeColor="text1"/>
          <w:sz w:val="24"/>
          <w:szCs w:val="22"/>
        </w:rPr>
        <w:t xml:space="preserve">minor </w:t>
      </w:r>
      <w:r w:rsidR="00565BF9" w:rsidRPr="00663D98">
        <w:rPr>
          <w:rFonts w:asciiTheme="minorHAnsi" w:eastAsiaTheme="minorHAnsi" w:hAnsiTheme="minorHAnsi" w:cstheme="minorBidi"/>
          <w:snapToGrid/>
          <w:color w:val="000000" w:themeColor="text1"/>
          <w:sz w:val="24"/>
          <w:szCs w:val="22"/>
        </w:rPr>
        <w:t xml:space="preserve">resubmission’s estimated financial implications </w:t>
      </w:r>
      <w:r w:rsidR="00F37582" w:rsidRPr="00663D98">
        <w:rPr>
          <w:rFonts w:asciiTheme="minorHAnsi" w:eastAsiaTheme="minorHAnsi" w:hAnsiTheme="minorHAnsi" w:cstheme="minorBidi"/>
          <w:snapToGrid/>
          <w:color w:val="000000" w:themeColor="text1"/>
          <w:sz w:val="24"/>
          <w:szCs w:val="22"/>
        </w:rPr>
        <w:t xml:space="preserve">were </w:t>
      </w:r>
      <w:r w:rsidR="00565BF9" w:rsidRPr="00663D98">
        <w:rPr>
          <w:rFonts w:asciiTheme="minorHAnsi" w:eastAsiaTheme="minorHAnsi" w:hAnsiTheme="minorHAnsi" w:cstheme="minorBidi"/>
          <w:snapToGrid/>
          <w:color w:val="000000" w:themeColor="text1"/>
          <w:sz w:val="24"/>
          <w:szCs w:val="22"/>
        </w:rPr>
        <w:t>not evaluated.</w:t>
      </w:r>
    </w:p>
    <w:p w:rsidR="00F57C9F" w:rsidRPr="00663D98" w:rsidRDefault="00F57C9F" w:rsidP="00F57C9F">
      <w:pPr>
        <w:pStyle w:val="ListParagraph"/>
        <w:rPr>
          <w:rFonts w:asciiTheme="minorHAnsi" w:eastAsiaTheme="minorHAnsi" w:hAnsiTheme="minorHAnsi" w:cstheme="minorBidi"/>
          <w:snapToGrid/>
          <w:color w:val="000000" w:themeColor="text1"/>
          <w:sz w:val="24"/>
          <w:szCs w:val="22"/>
        </w:rPr>
      </w:pPr>
    </w:p>
    <w:p w:rsidR="00F57C9F" w:rsidRPr="00663D98" w:rsidRDefault="00F57C9F" w:rsidP="00565BF9">
      <w:pPr>
        <w:pStyle w:val="ListParagraph"/>
        <w:numPr>
          <w:ilvl w:val="1"/>
          <w:numId w:val="14"/>
        </w:numPr>
        <w:rPr>
          <w:rFonts w:asciiTheme="minorHAnsi" w:eastAsiaTheme="minorHAnsi" w:hAnsiTheme="minorHAnsi" w:cstheme="minorBidi"/>
          <w:snapToGrid/>
          <w:color w:val="000000" w:themeColor="text1"/>
          <w:sz w:val="24"/>
          <w:szCs w:val="22"/>
        </w:rPr>
      </w:pPr>
      <w:r w:rsidRPr="00663D98">
        <w:rPr>
          <w:rFonts w:asciiTheme="minorHAnsi" w:eastAsiaTheme="minorHAnsi" w:hAnsiTheme="minorHAnsi" w:cstheme="minorBidi"/>
          <w:snapToGrid/>
          <w:color w:val="000000" w:themeColor="text1"/>
          <w:sz w:val="24"/>
          <w:szCs w:val="22"/>
        </w:rPr>
        <w:t xml:space="preserve">The minor resubmission proposed a Risk Sharing Arrangement based on its revised estimates with 100% rebate for PBS expenditure above the estimated utilisation. </w:t>
      </w:r>
    </w:p>
    <w:p w:rsidR="000E67AC" w:rsidRPr="00663D98" w:rsidRDefault="000E67AC" w:rsidP="000E67AC">
      <w:pPr>
        <w:pStyle w:val="ListParagraph"/>
        <w:rPr>
          <w:rFonts w:asciiTheme="minorHAnsi" w:eastAsiaTheme="minorHAnsi" w:hAnsiTheme="minorHAnsi" w:cstheme="minorBidi"/>
          <w:snapToGrid/>
          <w:color w:val="000000" w:themeColor="text1"/>
          <w:sz w:val="24"/>
          <w:szCs w:val="22"/>
        </w:rPr>
      </w:pPr>
    </w:p>
    <w:p w:rsidR="00565BF9" w:rsidRPr="00663D98" w:rsidRDefault="000E67AC" w:rsidP="000E67AC">
      <w:pPr>
        <w:pStyle w:val="ListParagraph"/>
        <w:numPr>
          <w:ilvl w:val="1"/>
          <w:numId w:val="14"/>
        </w:numPr>
        <w:rPr>
          <w:rFonts w:asciiTheme="minorHAnsi" w:eastAsiaTheme="minorHAnsi" w:hAnsiTheme="minorHAnsi" w:cstheme="minorBidi"/>
          <w:snapToGrid/>
          <w:color w:val="000000" w:themeColor="text1"/>
          <w:sz w:val="24"/>
          <w:szCs w:val="22"/>
        </w:rPr>
      </w:pPr>
      <w:r w:rsidRPr="00663D98">
        <w:rPr>
          <w:rFonts w:asciiTheme="minorHAnsi" w:eastAsiaTheme="minorHAnsi" w:hAnsiTheme="minorHAnsi" w:cstheme="minorBidi"/>
          <w:snapToGrid/>
          <w:color w:val="000000" w:themeColor="text1"/>
          <w:sz w:val="24"/>
          <w:szCs w:val="22"/>
        </w:rPr>
        <w:t>The March 2018 submission estimated a net cost to the PBS of $</w:t>
      </w:r>
      <w:r w:rsidR="00927C84">
        <w:rPr>
          <w:rFonts w:asciiTheme="minorHAnsi" w:eastAsiaTheme="minorHAnsi" w:hAnsiTheme="minorHAnsi" w:cstheme="minorBidi"/>
          <w:snapToGrid/>
          <w:color w:val="000000" w:themeColor="text1"/>
          <w:sz w:val="24"/>
          <w:szCs w:val="22"/>
        </w:rPr>
        <w:t>10 - $20 million</w:t>
      </w:r>
      <w:r w:rsidRPr="00663D98">
        <w:rPr>
          <w:rFonts w:asciiTheme="minorHAnsi" w:eastAsiaTheme="minorHAnsi" w:hAnsiTheme="minorHAnsi" w:cstheme="minorBidi"/>
          <w:snapToGrid/>
          <w:color w:val="000000" w:themeColor="text1"/>
          <w:sz w:val="24"/>
          <w:szCs w:val="22"/>
        </w:rPr>
        <w:t xml:space="preserve"> in Year 6 of listing, with a total net cost to the PBS of $</w:t>
      </w:r>
      <w:r w:rsidR="00927C84">
        <w:rPr>
          <w:rFonts w:asciiTheme="minorHAnsi" w:eastAsiaTheme="minorHAnsi" w:hAnsiTheme="minorHAnsi" w:cstheme="minorBidi"/>
          <w:snapToGrid/>
          <w:color w:val="000000" w:themeColor="text1"/>
          <w:sz w:val="24"/>
          <w:szCs w:val="22"/>
        </w:rPr>
        <w:t>60 - $100 million</w:t>
      </w:r>
      <w:r w:rsidRPr="00663D98">
        <w:rPr>
          <w:rFonts w:asciiTheme="minorHAnsi" w:eastAsiaTheme="minorHAnsi" w:hAnsiTheme="minorHAnsi" w:cstheme="minorBidi"/>
          <w:snapToGrid/>
          <w:color w:val="000000" w:themeColor="text1"/>
          <w:sz w:val="24"/>
          <w:szCs w:val="22"/>
        </w:rPr>
        <w:t xml:space="preserve"> over the first 6 years of listing.</w:t>
      </w:r>
    </w:p>
    <w:p w:rsidR="00E374C1" w:rsidRPr="00663D98" w:rsidRDefault="00E374C1" w:rsidP="00E374C1">
      <w:pPr>
        <w:pStyle w:val="ListParagraph"/>
        <w:rPr>
          <w:rFonts w:asciiTheme="minorHAnsi" w:eastAsiaTheme="minorHAnsi" w:hAnsiTheme="minorHAnsi" w:cstheme="minorBidi"/>
          <w:snapToGrid/>
          <w:color w:val="000000" w:themeColor="text1"/>
          <w:sz w:val="24"/>
          <w:szCs w:val="22"/>
        </w:rPr>
      </w:pPr>
    </w:p>
    <w:p w:rsidR="00E374C1" w:rsidRPr="00663D98" w:rsidRDefault="00E374C1" w:rsidP="00E374C1">
      <w:pPr>
        <w:pStyle w:val="ListParagraph"/>
        <w:rPr>
          <w:rFonts w:asciiTheme="minorHAnsi" w:eastAsiaTheme="minorHAnsi" w:hAnsiTheme="minorHAnsi" w:cstheme="minorBidi"/>
          <w:snapToGrid/>
          <w:color w:val="000000" w:themeColor="text1"/>
          <w:sz w:val="28"/>
          <w:szCs w:val="22"/>
        </w:rPr>
      </w:pPr>
      <w:r w:rsidRPr="00663D98">
        <w:rPr>
          <w:rFonts w:asciiTheme="minorHAnsi" w:hAnsiTheme="minorHAnsi"/>
          <w:i/>
          <w:sz w:val="24"/>
        </w:rPr>
        <w:t>For more deta</w:t>
      </w:r>
      <w:r w:rsidR="00E9550A">
        <w:rPr>
          <w:rFonts w:asciiTheme="minorHAnsi" w:hAnsiTheme="minorHAnsi"/>
          <w:i/>
          <w:sz w:val="24"/>
        </w:rPr>
        <w:t>il on PBAC’s view, see section 5</w:t>
      </w:r>
      <w:r w:rsidRPr="00663D98">
        <w:rPr>
          <w:rFonts w:asciiTheme="minorHAnsi" w:hAnsiTheme="minorHAnsi"/>
          <w:i/>
          <w:sz w:val="24"/>
        </w:rPr>
        <w:t xml:space="preserve"> PBAC outcome.</w:t>
      </w:r>
    </w:p>
    <w:p w:rsidR="005B3BAA" w:rsidRPr="00663D98" w:rsidRDefault="005B3BAA" w:rsidP="005B3BAA">
      <w:pPr>
        <w:pStyle w:val="Heading1"/>
        <w:keepNext/>
        <w:keepLines/>
        <w:widowControl/>
        <w:numPr>
          <w:ilvl w:val="0"/>
          <w:numId w:val="14"/>
        </w:numPr>
        <w:spacing w:before="240" w:after="120"/>
        <w:ind w:left="709" w:hanging="709"/>
        <w:contextualSpacing w:val="0"/>
        <w:jc w:val="left"/>
        <w:rPr>
          <w:rFonts w:asciiTheme="minorHAnsi" w:eastAsiaTheme="minorHAnsi" w:hAnsiTheme="minorHAnsi" w:cstheme="minorBidi"/>
          <w:color w:val="000000" w:themeColor="text1"/>
        </w:rPr>
      </w:pPr>
      <w:r w:rsidRPr="00663D98">
        <w:rPr>
          <w:rFonts w:asciiTheme="minorHAnsi" w:hAnsiTheme="minorHAnsi"/>
          <w:sz w:val="32"/>
          <w:szCs w:val="32"/>
        </w:rPr>
        <w:t xml:space="preserve">PBAC Outcome </w:t>
      </w:r>
    </w:p>
    <w:p w:rsidR="005143C2" w:rsidRPr="00663D98" w:rsidRDefault="00A90214" w:rsidP="005B3BAA">
      <w:pPr>
        <w:pStyle w:val="ListParagraph"/>
        <w:widowControl/>
        <w:numPr>
          <w:ilvl w:val="1"/>
          <w:numId w:val="14"/>
        </w:numPr>
        <w:spacing w:after="120"/>
        <w:contextualSpacing w:val="0"/>
        <w:rPr>
          <w:rFonts w:asciiTheme="minorHAnsi" w:eastAsiaTheme="minorHAnsi" w:hAnsiTheme="minorHAnsi" w:cstheme="minorBidi"/>
          <w:snapToGrid/>
          <w:color w:val="000000" w:themeColor="text1"/>
          <w:sz w:val="24"/>
          <w:szCs w:val="22"/>
        </w:rPr>
      </w:pPr>
      <w:r w:rsidRPr="00663D98">
        <w:rPr>
          <w:rFonts w:asciiTheme="minorHAnsi" w:eastAsiaTheme="minorHAnsi" w:hAnsiTheme="minorHAnsi" w:cstheme="minorBidi"/>
          <w:snapToGrid/>
          <w:color w:val="000000" w:themeColor="text1"/>
          <w:sz w:val="24"/>
          <w:szCs w:val="22"/>
        </w:rPr>
        <w:t xml:space="preserve">The PBAC recommended the listing of trifluridine with tipiracil for the treatment of patients with metastatic colorectal cancer (mCRC) who have been treated previously or are not considered suitable for current available therapies. </w:t>
      </w:r>
      <w:r w:rsidR="004A687E" w:rsidRPr="00663D98">
        <w:rPr>
          <w:rFonts w:asciiTheme="minorHAnsi" w:eastAsiaTheme="minorHAnsi" w:hAnsiTheme="minorHAnsi" w:cstheme="minorBidi"/>
          <w:snapToGrid/>
          <w:color w:val="000000" w:themeColor="text1"/>
          <w:sz w:val="24"/>
          <w:szCs w:val="22"/>
        </w:rPr>
        <w:t>The PBAC considered that</w:t>
      </w:r>
      <w:r w:rsidR="00E44320" w:rsidRPr="00663D98">
        <w:rPr>
          <w:rFonts w:asciiTheme="minorHAnsi" w:eastAsiaTheme="minorHAnsi" w:hAnsiTheme="minorHAnsi" w:cstheme="minorBidi"/>
          <w:snapToGrid/>
          <w:color w:val="000000" w:themeColor="text1"/>
          <w:sz w:val="24"/>
          <w:szCs w:val="22"/>
        </w:rPr>
        <w:t xml:space="preserve"> for some patients,</w:t>
      </w:r>
      <w:r w:rsidR="004A687E" w:rsidRPr="00663D98">
        <w:rPr>
          <w:rFonts w:asciiTheme="minorHAnsi" w:eastAsiaTheme="minorHAnsi" w:hAnsiTheme="minorHAnsi" w:cstheme="minorBidi"/>
          <w:snapToGrid/>
          <w:color w:val="000000" w:themeColor="text1"/>
          <w:sz w:val="24"/>
          <w:szCs w:val="22"/>
        </w:rPr>
        <w:t xml:space="preserve"> trifluridine with tipiracil may provide a meaningful benefit compared with placebo.</w:t>
      </w:r>
      <w:r w:rsidR="0051597D" w:rsidRPr="00663D98">
        <w:rPr>
          <w:rFonts w:asciiTheme="minorHAnsi" w:eastAsiaTheme="minorHAnsi" w:hAnsiTheme="minorHAnsi" w:cstheme="minorBidi"/>
          <w:snapToGrid/>
          <w:color w:val="000000" w:themeColor="text1"/>
          <w:sz w:val="24"/>
          <w:szCs w:val="22"/>
        </w:rPr>
        <w:t xml:space="preserve"> The PBAC considered that the reduced </w:t>
      </w:r>
      <w:r w:rsidR="00E70F58" w:rsidRPr="00663D98">
        <w:rPr>
          <w:rFonts w:asciiTheme="minorHAnsi" w:eastAsiaTheme="minorHAnsi" w:hAnsiTheme="minorHAnsi" w:cstheme="minorBidi"/>
          <w:snapToGrid/>
          <w:color w:val="000000" w:themeColor="text1"/>
          <w:sz w:val="24"/>
          <w:szCs w:val="22"/>
        </w:rPr>
        <w:t>proposed price</w:t>
      </w:r>
      <w:r w:rsidR="0051597D" w:rsidRPr="00663D98">
        <w:rPr>
          <w:rFonts w:asciiTheme="minorHAnsi" w:eastAsiaTheme="minorHAnsi" w:hAnsiTheme="minorHAnsi" w:cstheme="minorBidi"/>
          <w:snapToGrid/>
          <w:color w:val="000000" w:themeColor="text1"/>
          <w:sz w:val="24"/>
          <w:szCs w:val="22"/>
        </w:rPr>
        <w:t xml:space="preserve"> in conjunction with the proposed financial caps based on revised utilisation estimates</w:t>
      </w:r>
      <w:r w:rsidR="004F18CC" w:rsidRPr="00663D98">
        <w:rPr>
          <w:rFonts w:asciiTheme="minorHAnsi" w:eastAsiaTheme="minorHAnsi" w:hAnsiTheme="minorHAnsi" w:cstheme="minorBidi"/>
          <w:snapToGrid/>
          <w:color w:val="000000" w:themeColor="text1"/>
          <w:sz w:val="24"/>
          <w:szCs w:val="22"/>
        </w:rPr>
        <w:t>,</w:t>
      </w:r>
      <w:r w:rsidR="0051597D" w:rsidRPr="00663D98">
        <w:rPr>
          <w:rFonts w:asciiTheme="minorHAnsi" w:eastAsiaTheme="minorHAnsi" w:hAnsiTheme="minorHAnsi" w:cstheme="minorBidi"/>
          <w:snapToGrid/>
          <w:color w:val="000000" w:themeColor="text1"/>
          <w:sz w:val="24"/>
          <w:szCs w:val="22"/>
        </w:rPr>
        <w:t xml:space="preserve"> were adequate to address the Committee’s uncertainty around cost-effectiveness. </w:t>
      </w:r>
    </w:p>
    <w:p w:rsidR="0051597D" w:rsidRPr="00663D98" w:rsidRDefault="004F18CC" w:rsidP="005C7A0D">
      <w:pPr>
        <w:pStyle w:val="ListParagraph"/>
        <w:widowControl/>
        <w:numPr>
          <w:ilvl w:val="1"/>
          <w:numId w:val="14"/>
        </w:numPr>
        <w:spacing w:after="120"/>
        <w:contextualSpacing w:val="0"/>
        <w:rPr>
          <w:rFonts w:asciiTheme="minorHAnsi" w:eastAsiaTheme="minorHAnsi" w:hAnsiTheme="minorHAnsi" w:cstheme="minorBidi"/>
          <w:snapToGrid/>
          <w:color w:val="000000" w:themeColor="text1"/>
          <w:sz w:val="24"/>
          <w:szCs w:val="22"/>
        </w:rPr>
      </w:pPr>
      <w:r w:rsidRPr="00663D98">
        <w:rPr>
          <w:rFonts w:asciiTheme="minorHAnsi" w:eastAsiaTheme="minorHAnsi" w:hAnsiTheme="minorHAnsi" w:cstheme="minorBidi"/>
          <w:snapToGrid/>
          <w:color w:val="000000" w:themeColor="text1"/>
          <w:sz w:val="24"/>
          <w:szCs w:val="22"/>
        </w:rPr>
        <w:t>The PBAC noted that the Medical Oncology Group of Australia (MOGA) reiterated its support for the tr</w:t>
      </w:r>
      <w:r w:rsidR="00234DA1" w:rsidRPr="00663D98">
        <w:rPr>
          <w:rFonts w:asciiTheme="minorHAnsi" w:eastAsiaTheme="minorHAnsi" w:hAnsiTheme="minorHAnsi" w:cstheme="minorBidi"/>
          <w:snapToGrid/>
          <w:color w:val="000000" w:themeColor="text1"/>
          <w:sz w:val="24"/>
          <w:szCs w:val="22"/>
        </w:rPr>
        <w:t>ifluridine/tipiracil submission on the basis</w:t>
      </w:r>
      <w:r w:rsidR="005C7A0D" w:rsidRPr="00663D98">
        <w:rPr>
          <w:rFonts w:asciiTheme="minorHAnsi" w:eastAsiaTheme="minorHAnsi" w:hAnsiTheme="minorHAnsi" w:cstheme="minorBidi"/>
          <w:snapToGrid/>
          <w:color w:val="000000" w:themeColor="text1"/>
          <w:sz w:val="24"/>
          <w:szCs w:val="22"/>
        </w:rPr>
        <w:t xml:space="preserve"> that the treatment represents an area of unmet need and is proven to improve survival in a phase III trial.</w:t>
      </w:r>
      <w:r w:rsidR="007C2547" w:rsidRPr="00663D98">
        <w:rPr>
          <w:rFonts w:asciiTheme="minorHAnsi" w:eastAsiaTheme="minorHAnsi" w:hAnsiTheme="minorHAnsi" w:cstheme="minorBidi"/>
          <w:snapToGrid/>
          <w:color w:val="000000" w:themeColor="text1"/>
          <w:sz w:val="24"/>
          <w:szCs w:val="22"/>
        </w:rPr>
        <w:t xml:space="preserve"> </w:t>
      </w:r>
      <w:r w:rsidR="00DC14A4" w:rsidRPr="00663D98">
        <w:rPr>
          <w:rFonts w:asciiTheme="minorHAnsi" w:eastAsiaTheme="minorHAnsi" w:hAnsiTheme="minorHAnsi" w:cstheme="minorBidi"/>
          <w:snapToGrid/>
          <w:color w:val="000000" w:themeColor="text1"/>
          <w:sz w:val="24"/>
          <w:szCs w:val="22"/>
        </w:rPr>
        <w:t xml:space="preserve">The PBAC acknowledged </w:t>
      </w:r>
      <w:r w:rsidR="00F0536E" w:rsidRPr="00663D98">
        <w:rPr>
          <w:rFonts w:asciiTheme="minorHAnsi" w:eastAsiaTheme="minorHAnsi" w:hAnsiTheme="minorHAnsi" w:cstheme="minorBidi"/>
          <w:snapToGrid/>
          <w:color w:val="000000" w:themeColor="text1"/>
          <w:sz w:val="24"/>
          <w:szCs w:val="22"/>
        </w:rPr>
        <w:t xml:space="preserve">there are currently limited treatment options for patients with mCRC who have failed or are intolerant to current </w:t>
      </w:r>
      <w:r w:rsidR="00B63C01" w:rsidRPr="00663D98">
        <w:rPr>
          <w:rFonts w:asciiTheme="minorHAnsi" w:eastAsiaTheme="minorHAnsi" w:hAnsiTheme="minorHAnsi" w:cstheme="minorBidi"/>
          <w:snapToGrid/>
          <w:color w:val="000000" w:themeColor="text1"/>
          <w:sz w:val="24"/>
          <w:szCs w:val="22"/>
        </w:rPr>
        <w:t>first and second line therapies.</w:t>
      </w:r>
    </w:p>
    <w:p w:rsidR="00F0536E" w:rsidRPr="00663D98" w:rsidRDefault="00B63C01" w:rsidP="00B63C01">
      <w:pPr>
        <w:pStyle w:val="ListParagraph"/>
        <w:widowControl/>
        <w:numPr>
          <w:ilvl w:val="1"/>
          <w:numId w:val="14"/>
        </w:numPr>
        <w:spacing w:after="120"/>
        <w:contextualSpacing w:val="0"/>
        <w:rPr>
          <w:rFonts w:asciiTheme="minorHAnsi" w:eastAsiaTheme="minorHAnsi" w:hAnsiTheme="minorHAnsi" w:cstheme="minorBidi"/>
          <w:snapToGrid/>
          <w:color w:val="000000" w:themeColor="text1"/>
          <w:sz w:val="24"/>
          <w:szCs w:val="22"/>
        </w:rPr>
      </w:pPr>
      <w:r w:rsidRPr="00663D98">
        <w:rPr>
          <w:rFonts w:asciiTheme="minorHAnsi" w:eastAsiaTheme="minorHAnsi" w:hAnsiTheme="minorHAnsi" w:cstheme="minorBidi"/>
          <w:snapToGrid/>
          <w:color w:val="000000" w:themeColor="text1"/>
          <w:sz w:val="24"/>
          <w:szCs w:val="22"/>
        </w:rPr>
        <w:t xml:space="preserve">The PBAC recalled that the median increase in progression free survival (PFS) of 0.3 months (HR 0.49; CI: 0.42, 0.58) compared with best supportive care in the RECOURSE trial (n=800) was small, and that the majority of patients (i.e. 53% of patients in the trifluridine/tipiracil treatment arm and 79% of patients in the best supportive care arm) had progressed by week 8. The PBAC recalled that the median gain in overall survival (OS) of 2.0 months (HR 0.69; CI: 0.59, 0.81) in the RECOURSE trial was modest. The PBAC also recalled that the results of the J003 trial (n=169) were similar to those of the RECOURSE trial. However, the PBAC considered that in the context of limited treatment options, </w:t>
      </w:r>
      <w:r w:rsidR="00880255" w:rsidRPr="00663D98">
        <w:rPr>
          <w:rFonts w:asciiTheme="minorHAnsi" w:eastAsiaTheme="minorHAnsi" w:hAnsiTheme="minorHAnsi" w:cstheme="minorBidi"/>
          <w:snapToGrid/>
          <w:color w:val="000000" w:themeColor="text1"/>
          <w:sz w:val="24"/>
          <w:szCs w:val="22"/>
        </w:rPr>
        <w:t xml:space="preserve">the </w:t>
      </w:r>
      <w:r w:rsidR="006C24CD">
        <w:rPr>
          <w:rFonts w:asciiTheme="minorHAnsi" w:eastAsiaTheme="minorHAnsi" w:hAnsiTheme="minorHAnsi" w:cstheme="minorBidi"/>
          <w:snapToGrid/>
          <w:color w:val="000000" w:themeColor="text1"/>
          <w:sz w:val="24"/>
          <w:szCs w:val="22"/>
        </w:rPr>
        <w:t xml:space="preserve">small </w:t>
      </w:r>
      <w:r w:rsidR="00880255" w:rsidRPr="00663D98">
        <w:rPr>
          <w:rFonts w:asciiTheme="minorHAnsi" w:eastAsiaTheme="minorHAnsi" w:hAnsiTheme="minorHAnsi" w:cstheme="minorBidi"/>
          <w:snapToGrid/>
          <w:color w:val="000000" w:themeColor="text1"/>
          <w:sz w:val="24"/>
          <w:szCs w:val="22"/>
        </w:rPr>
        <w:t>treatment benefit of trifluridine with tipiracil may be meaningful for some patients.</w:t>
      </w:r>
    </w:p>
    <w:p w:rsidR="00021948" w:rsidRPr="00663D98" w:rsidRDefault="00190035" w:rsidP="00B63C01">
      <w:pPr>
        <w:pStyle w:val="ListParagraph"/>
        <w:widowControl/>
        <w:numPr>
          <w:ilvl w:val="1"/>
          <w:numId w:val="14"/>
        </w:numPr>
        <w:spacing w:after="120"/>
        <w:contextualSpacing w:val="0"/>
        <w:rPr>
          <w:rFonts w:asciiTheme="minorHAnsi" w:eastAsiaTheme="minorHAnsi" w:hAnsiTheme="minorHAnsi" w:cstheme="minorBidi"/>
          <w:snapToGrid/>
          <w:color w:val="000000" w:themeColor="text1"/>
          <w:sz w:val="24"/>
          <w:szCs w:val="22"/>
        </w:rPr>
      </w:pPr>
      <w:r w:rsidRPr="00663D98">
        <w:rPr>
          <w:rFonts w:asciiTheme="minorHAnsi" w:eastAsiaTheme="minorHAnsi" w:hAnsiTheme="minorHAnsi" w:cstheme="minorBidi"/>
          <w:snapToGrid/>
          <w:color w:val="000000" w:themeColor="text1"/>
          <w:sz w:val="24"/>
          <w:szCs w:val="22"/>
        </w:rPr>
        <w:t xml:space="preserve">The PBAC </w:t>
      </w:r>
      <w:r w:rsidR="0022094B" w:rsidRPr="00663D98">
        <w:rPr>
          <w:rFonts w:asciiTheme="minorHAnsi" w:eastAsiaTheme="minorHAnsi" w:hAnsiTheme="minorHAnsi" w:cstheme="minorBidi"/>
          <w:snapToGrid/>
          <w:color w:val="000000" w:themeColor="text1"/>
          <w:sz w:val="24"/>
          <w:szCs w:val="22"/>
        </w:rPr>
        <w:t xml:space="preserve">recalled that the toxicity associated with trifluridine with tipiracil was similar to other oral antineoplastic agents listed on the PBS, with myelosuppression being a key adverse event. </w:t>
      </w:r>
      <w:r w:rsidR="00021948" w:rsidRPr="00663D98">
        <w:rPr>
          <w:rFonts w:asciiTheme="minorHAnsi" w:eastAsiaTheme="minorHAnsi" w:hAnsiTheme="minorHAnsi" w:cstheme="minorBidi"/>
          <w:snapToGrid/>
          <w:color w:val="000000" w:themeColor="text1"/>
          <w:sz w:val="24"/>
          <w:szCs w:val="22"/>
        </w:rPr>
        <w:t xml:space="preserve">The PBAC considered although the toxicity associated with trifluridine with tipiracil may be significant in the context of a modest benefit, the appropriateness of treatment with trifluridine with tipiracil could be left up to the treating clinician. </w:t>
      </w:r>
    </w:p>
    <w:p w:rsidR="00880255" w:rsidRPr="00663D98" w:rsidRDefault="00B608A0" w:rsidP="00BF6BAB">
      <w:pPr>
        <w:pStyle w:val="ListParagraph"/>
        <w:widowControl/>
        <w:numPr>
          <w:ilvl w:val="1"/>
          <w:numId w:val="14"/>
        </w:numPr>
        <w:spacing w:after="120"/>
        <w:contextualSpacing w:val="0"/>
        <w:rPr>
          <w:rFonts w:asciiTheme="minorHAnsi" w:eastAsiaTheme="minorHAnsi" w:hAnsiTheme="minorHAnsi" w:cstheme="minorBidi"/>
          <w:snapToGrid/>
          <w:color w:val="000000" w:themeColor="text1"/>
          <w:sz w:val="24"/>
          <w:szCs w:val="22"/>
        </w:rPr>
      </w:pPr>
      <w:r w:rsidRPr="00663D98">
        <w:rPr>
          <w:rFonts w:asciiTheme="minorHAnsi" w:eastAsiaTheme="minorHAnsi" w:hAnsiTheme="minorHAnsi" w:cstheme="minorBidi"/>
          <w:snapToGrid/>
          <w:color w:val="000000" w:themeColor="text1"/>
          <w:sz w:val="24"/>
          <w:szCs w:val="22"/>
        </w:rPr>
        <w:t xml:space="preserve">The PBAC noted that the minor </w:t>
      </w:r>
      <w:r w:rsidR="00D54264" w:rsidRPr="00663D98">
        <w:rPr>
          <w:rFonts w:asciiTheme="minorHAnsi" w:eastAsiaTheme="minorHAnsi" w:hAnsiTheme="minorHAnsi" w:cstheme="minorBidi"/>
          <w:snapToGrid/>
          <w:color w:val="000000" w:themeColor="text1"/>
          <w:sz w:val="24"/>
          <w:szCs w:val="22"/>
        </w:rPr>
        <w:t xml:space="preserve">resubmission proposed a revised </w:t>
      </w:r>
      <w:r w:rsidR="00F818C7" w:rsidRPr="00663D98">
        <w:rPr>
          <w:rFonts w:asciiTheme="minorHAnsi" w:eastAsiaTheme="minorHAnsi" w:hAnsiTheme="minorHAnsi" w:cstheme="minorBidi"/>
          <w:snapToGrid/>
          <w:color w:val="000000" w:themeColor="text1"/>
          <w:sz w:val="24"/>
          <w:szCs w:val="22"/>
        </w:rPr>
        <w:t xml:space="preserve">effective </w:t>
      </w:r>
      <w:r w:rsidR="000E0284" w:rsidRPr="00663D98">
        <w:rPr>
          <w:rFonts w:asciiTheme="minorHAnsi" w:eastAsiaTheme="minorHAnsi" w:hAnsiTheme="minorHAnsi" w:cstheme="minorBidi"/>
          <w:snapToGrid/>
          <w:color w:val="000000" w:themeColor="text1"/>
          <w:sz w:val="24"/>
          <w:szCs w:val="22"/>
        </w:rPr>
        <w:t>price for</w:t>
      </w:r>
      <w:r w:rsidR="00D54264" w:rsidRPr="00663D98">
        <w:rPr>
          <w:rFonts w:asciiTheme="minorHAnsi" w:eastAsiaTheme="minorHAnsi" w:hAnsiTheme="minorHAnsi" w:cstheme="minorBidi"/>
          <w:snapToGrid/>
          <w:color w:val="000000" w:themeColor="text1"/>
          <w:sz w:val="24"/>
          <w:szCs w:val="22"/>
        </w:rPr>
        <w:t xml:space="preserve"> triflurid</w:t>
      </w:r>
      <w:r w:rsidR="00F818C7" w:rsidRPr="00663D98">
        <w:rPr>
          <w:rFonts w:asciiTheme="minorHAnsi" w:eastAsiaTheme="minorHAnsi" w:hAnsiTheme="minorHAnsi" w:cstheme="minorBidi"/>
          <w:snapToGrid/>
          <w:color w:val="000000" w:themeColor="text1"/>
          <w:sz w:val="24"/>
          <w:szCs w:val="22"/>
        </w:rPr>
        <w:t xml:space="preserve">ine with tipiracil based on a rebate of </w:t>
      </w:r>
      <w:r w:rsidR="00C34BCC">
        <w:rPr>
          <w:rFonts w:asciiTheme="minorHAnsi" w:eastAsiaTheme="minorHAnsi" w:hAnsiTheme="minorHAnsi" w:cstheme="minorBidi"/>
          <w:noProof/>
          <w:snapToGrid/>
          <w:color w:val="000000"/>
          <w:sz w:val="24"/>
          <w:szCs w:val="22"/>
          <w:highlight w:val="black"/>
        </w:rPr>
        <w:t>'''''</w:t>
      </w:r>
      <w:r w:rsidR="00547FE0" w:rsidRPr="00663D98">
        <w:rPr>
          <w:rFonts w:asciiTheme="minorHAnsi" w:eastAsiaTheme="minorHAnsi" w:hAnsiTheme="minorHAnsi" w:cstheme="minorBidi"/>
          <w:snapToGrid/>
          <w:color w:val="000000" w:themeColor="text1"/>
          <w:sz w:val="24"/>
          <w:szCs w:val="22"/>
        </w:rPr>
        <w:t xml:space="preserve">% of Commonwealth PBS expenditure. The PBAC noted that incorporating the reduced effective price into the economic model </w:t>
      </w:r>
      <w:r w:rsidR="00302128" w:rsidRPr="00663D98">
        <w:rPr>
          <w:rFonts w:asciiTheme="minorHAnsi" w:eastAsiaTheme="minorHAnsi" w:hAnsiTheme="minorHAnsi" w:cstheme="minorBidi"/>
          <w:snapToGrid/>
          <w:color w:val="000000" w:themeColor="text1"/>
          <w:sz w:val="24"/>
          <w:szCs w:val="22"/>
        </w:rPr>
        <w:t>reduced the ICER to $</w:t>
      </w:r>
      <w:r w:rsidR="00BF6BAB">
        <w:rPr>
          <w:rFonts w:asciiTheme="minorHAnsi" w:eastAsiaTheme="minorHAnsi" w:hAnsiTheme="minorHAnsi" w:cstheme="minorBidi"/>
          <w:snapToGrid/>
          <w:color w:val="000000" w:themeColor="text1"/>
          <w:sz w:val="24"/>
          <w:szCs w:val="22"/>
        </w:rPr>
        <w:t>15,000 - $45,000</w:t>
      </w:r>
      <w:r w:rsidR="00302128" w:rsidRPr="00663D98">
        <w:rPr>
          <w:rFonts w:asciiTheme="minorHAnsi" w:eastAsiaTheme="minorHAnsi" w:hAnsiTheme="minorHAnsi" w:cstheme="minorBidi"/>
          <w:snapToGrid/>
          <w:color w:val="000000" w:themeColor="text1"/>
          <w:sz w:val="24"/>
          <w:szCs w:val="22"/>
        </w:rPr>
        <w:t xml:space="preserve"> per QALY gained from an ICER of $</w:t>
      </w:r>
      <w:r w:rsidR="00BF6BAB">
        <w:rPr>
          <w:rFonts w:asciiTheme="minorHAnsi" w:eastAsiaTheme="minorHAnsi" w:hAnsiTheme="minorHAnsi" w:cstheme="minorBidi"/>
          <w:snapToGrid/>
          <w:color w:val="000000" w:themeColor="text1"/>
          <w:sz w:val="24"/>
          <w:szCs w:val="22"/>
        </w:rPr>
        <w:t>45,000 - $75,000</w:t>
      </w:r>
      <w:r w:rsidR="00302128" w:rsidRPr="00663D98">
        <w:rPr>
          <w:rFonts w:asciiTheme="minorHAnsi" w:eastAsiaTheme="minorHAnsi" w:hAnsiTheme="minorHAnsi" w:cstheme="minorBidi"/>
          <w:snapToGrid/>
          <w:color w:val="000000" w:themeColor="text1"/>
          <w:sz w:val="24"/>
          <w:szCs w:val="22"/>
        </w:rPr>
        <w:t xml:space="preserve"> per QALY gai</w:t>
      </w:r>
      <w:r w:rsidR="00552057" w:rsidRPr="00663D98">
        <w:rPr>
          <w:rFonts w:asciiTheme="minorHAnsi" w:eastAsiaTheme="minorHAnsi" w:hAnsiTheme="minorHAnsi" w:cstheme="minorBidi"/>
          <w:snapToGrid/>
          <w:color w:val="000000" w:themeColor="text1"/>
          <w:sz w:val="24"/>
          <w:szCs w:val="22"/>
        </w:rPr>
        <w:t xml:space="preserve">ned in the previous submission. </w:t>
      </w:r>
      <w:r w:rsidR="00302128" w:rsidRPr="00663D98">
        <w:rPr>
          <w:rFonts w:asciiTheme="minorHAnsi" w:eastAsiaTheme="minorHAnsi" w:hAnsiTheme="minorHAnsi" w:cstheme="minorBidi"/>
          <w:snapToGrid/>
          <w:color w:val="000000" w:themeColor="text1"/>
          <w:sz w:val="24"/>
          <w:szCs w:val="22"/>
        </w:rPr>
        <w:t>The PBAC recalled that it previously considered that the base case ICER should not</w:t>
      </w:r>
      <w:r w:rsidR="00782DF7" w:rsidRPr="00663D98">
        <w:rPr>
          <w:rFonts w:asciiTheme="minorHAnsi" w:eastAsiaTheme="minorHAnsi" w:hAnsiTheme="minorHAnsi" w:cstheme="minorBidi"/>
          <w:snapToGrid/>
          <w:color w:val="000000" w:themeColor="text1"/>
          <w:sz w:val="24"/>
          <w:szCs w:val="22"/>
        </w:rPr>
        <w:t xml:space="preserve"> exceed</w:t>
      </w:r>
      <w:r w:rsidR="00302128" w:rsidRPr="00663D98">
        <w:rPr>
          <w:rFonts w:asciiTheme="minorHAnsi" w:eastAsiaTheme="minorHAnsi" w:hAnsiTheme="minorHAnsi" w:cstheme="minorBidi"/>
          <w:snapToGrid/>
          <w:color w:val="000000" w:themeColor="text1"/>
          <w:sz w:val="24"/>
          <w:szCs w:val="22"/>
        </w:rPr>
        <w:t xml:space="preserve"> $</w:t>
      </w:r>
      <w:r w:rsidR="00BF6BAB" w:rsidRPr="00BF6BAB">
        <w:rPr>
          <w:rFonts w:asciiTheme="minorHAnsi" w:eastAsiaTheme="minorHAnsi" w:hAnsiTheme="minorHAnsi" w:cstheme="minorBidi"/>
          <w:snapToGrid/>
          <w:color w:val="000000" w:themeColor="text1"/>
          <w:sz w:val="24"/>
          <w:szCs w:val="22"/>
        </w:rPr>
        <w:t xml:space="preserve">45,000 - $75,000 </w:t>
      </w:r>
      <w:r w:rsidR="00302128" w:rsidRPr="00663D98">
        <w:rPr>
          <w:rFonts w:asciiTheme="minorHAnsi" w:eastAsiaTheme="minorHAnsi" w:hAnsiTheme="minorHAnsi" w:cstheme="minorBidi"/>
          <w:snapToGrid/>
          <w:color w:val="000000" w:themeColor="text1"/>
          <w:sz w:val="24"/>
          <w:szCs w:val="22"/>
        </w:rPr>
        <w:t>per QALY gained.</w:t>
      </w:r>
      <w:r w:rsidR="00552057" w:rsidRPr="00663D98">
        <w:rPr>
          <w:rFonts w:asciiTheme="minorHAnsi" w:eastAsiaTheme="minorHAnsi" w:hAnsiTheme="minorHAnsi" w:cstheme="minorBidi"/>
          <w:snapToGrid/>
          <w:color w:val="000000" w:themeColor="text1"/>
          <w:sz w:val="24"/>
          <w:szCs w:val="22"/>
        </w:rPr>
        <w:t xml:space="preserve"> The PBAC recalled it previously considered the true ICER would be higher than $</w:t>
      </w:r>
      <w:r w:rsidR="00BF6BAB" w:rsidRPr="00BF6BAB">
        <w:rPr>
          <w:rFonts w:asciiTheme="minorHAnsi" w:eastAsiaTheme="minorHAnsi" w:hAnsiTheme="minorHAnsi" w:cstheme="minorBidi"/>
          <w:snapToGrid/>
          <w:color w:val="000000" w:themeColor="text1"/>
          <w:sz w:val="24"/>
          <w:szCs w:val="22"/>
        </w:rPr>
        <w:t xml:space="preserve">45,000 - $75,000 </w:t>
      </w:r>
      <w:r w:rsidR="00552057" w:rsidRPr="00663D98">
        <w:rPr>
          <w:rFonts w:asciiTheme="minorHAnsi" w:eastAsiaTheme="minorHAnsi" w:hAnsiTheme="minorHAnsi" w:cstheme="minorBidi"/>
          <w:snapToGrid/>
          <w:color w:val="000000" w:themeColor="text1"/>
          <w:sz w:val="24"/>
          <w:szCs w:val="22"/>
        </w:rPr>
        <w:t xml:space="preserve">per QALY gained as it was uncertain that the benefit observed in the clinical trial setting would be realised to the same extent in clinical practice. However, the PBAC </w:t>
      </w:r>
      <w:r w:rsidR="00D35A78" w:rsidRPr="00663D98">
        <w:rPr>
          <w:rFonts w:asciiTheme="minorHAnsi" w:eastAsiaTheme="minorHAnsi" w:hAnsiTheme="minorHAnsi" w:cstheme="minorBidi"/>
          <w:snapToGrid/>
          <w:color w:val="000000" w:themeColor="text1"/>
          <w:sz w:val="24"/>
          <w:szCs w:val="22"/>
        </w:rPr>
        <w:t>considered that</w:t>
      </w:r>
      <w:r w:rsidR="00443444" w:rsidRPr="00663D98">
        <w:rPr>
          <w:rFonts w:asciiTheme="minorHAnsi" w:eastAsiaTheme="minorHAnsi" w:hAnsiTheme="minorHAnsi" w:cstheme="minorBidi"/>
          <w:snapToGrid/>
          <w:color w:val="000000" w:themeColor="text1"/>
          <w:sz w:val="24"/>
          <w:szCs w:val="22"/>
        </w:rPr>
        <w:t xml:space="preserve"> the</w:t>
      </w:r>
      <w:r w:rsidR="00D35A78" w:rsidRPr="00663D98">
        <w:rPr>
          <w:rFonts w:asciiTheme="minorHAnsi" w:eastAsiaTheme="minorHAnsi" w:hAnsiTheme="minorHAnsi" w:cstheme="minorBidi"/>
          <w:snapToGrid/>
          <w:color w:val="000000" w:themeColor="text1"/>
          <w:sz w:val="24"/>
          <w:szCs w:val="22"/>
        </w:rPr>
        <w:t xml:space="preserve"> </w:t>
      </w:r>
      <w:r w:rsidR="00BC7D6A" w:rsidRPr="00663D98">
        <w:rPr>
          <w:rFonts w:asciiTheme="minorHAnsi" w:eastAsiaTheme="minorHAnsi" w:hAnsiTheme="minorHAnsi" w:cstheme="minorBidi"/>
          <w:snapToGrid/>
          <w:color w:val="000000" w:themeColor="text1"/>
          <w:sz w:val="24"/>
          <w:szCs w:val="22"/>
        </w:rPr>
        <w:t>reduced effective price</w:t>
      </w:r>
      <w:r w:rsidR="00D35A78" w:rsidRPr="00663D98">
        <w:rPr>
          <w:rFonts w:asciiTheme="minorHAnsi" w:eastAsiaTheme="minorHAnsi" w:hAnsiTheme="minorHAnsi" w:cstheme="minorBidi"/>
          <w:snapToGrid/>
          <w:color w:val="000000" w:themeColor="text1"/>
          <w:sz w:val="24"/>
          <w:szCs w:val="22"/>
        </w:rPr>
        <w:t xml:space="preserve"> proposed was sufficient to address </w:t>
      </w:r>
      <w:r w:rsidR="00BA15D5" w:rsidRPr="00663D98">
        <w:rPr>
          <w:rFonts w:asciiTheme="minorHAnsi" w:eastAsiaTheme="minorHAnsi" w:hAnsiTheme="minorHAnsi" w:cstheme="minorBidi"/>
          <w:snapToGrid/>
          <w:color w:val="000000" w:themeColor="text1"/>
          <w:sz w:val="24"/>
          <w:szCs w:val="22"/>
        </w:rPr>
        <w:t>its</w:t>
      </w:r>
      <w:r w:rsidR="00D35A78" w:rsidRPr="00663D98">
        <w:rPr>
          <w:rFonts w:asciiTheme="minorHAnsi" w:eastAsiaTheme="minorHAnsi" w:hAnsiTheme="minorHAnsi" w:cstheme="minorBidi"/>
          <w:snapToGrid/>
          <w:color w:val="000000" w:themeColor="text1"/>
          <w:sz w:val="24"/>
          <w:szCs w:val="22"/>
        </w:rPr>
        <w:t xml:space="preserve"> </w:t>
      </w:r>
      <w:r w:rsidR="00BA15D5" w:rsidRPr="00663D98">
        <w:rPr>
          <w:rFonts w:asciiTheme="minorHAnsi" w:eastAsiaTheme="minorHAnsi" w:hAnsiTheme="minorHAnsi" w:cstheme="minorBidi"/>
          <w:snapToGrid/>
          <w:color w:val="000000" w:themeColor="text1"/>
          <w:sz w:val="24"/>
          <w:szCs w:val="22"/>
        </w:rPr>
        <w:t xml:space="preserve">concern </w:t>
      </w:r>
      <w:r w:rsidR="00AE28A0" w:rsidRPr="00663D98">
        <w:rPr>
          <w:rFonts w:asciiTheme="minorHAnsi" w:eastAsiaTheme="minorHAnsi" w:hAnsiTheme="minorHAnsi" w:cstheme="minorBidi"/>
          <w:snapToGrid/>
          <w:color w:val="000000" w:themeColor="text1"/>
          <w:sz w:val="24"/>
          <w:szCs w:val="22"/>
        </w:rPr>
        <w:t xml:space="preserve">that the true </w:t>
      </w:r>
      <w:r w:rsidR="00D35A78" w:rsidRPr="00663D98">
        <w:rPr>
          <w:rFonts w:asciiTheme="minorHAnsi" w:eastAsiaTheme="minorHAnsi" w:hAnsiTheme="minorHAnsi" w:cstheme="minorBidi"/>
          <w:snapToGrid/>
          <w:color w:val="000000" w:themeColor="text1"/>
          <w:sz w:val="24"/>
          <w:szCs w:val="22"/>
        </w:rPr>
        <w:t>ICER</w:t>
      </w:r>
      <w:r w:rsidR="00AE28A0" w:rsidRPr="00663D98">
        <w:rPr>
          <w:rFonts w:asciiTheme="minorHAnsi" w:eastAsiaTheme="minorHAnsi" w:hAnsiTheme="minorHAnsi" w:cstheme="minorBidi"/>
          <w:snapToGrid/>
          <w:color w:val="000000" w:themeColor="text1"/>
          <w:sz w:val="24"/>
          <w:szCs w:val="22"/>
        </w:rPr>
        <w:t xml:space="preserve"> would not be higher than $</w:t>
      </w:r>
      <w:r w:rsidR="00BF6BAB" w:rsidRPr="00BF6BAB">
        <w:rPr>
          <w:rFonts w:asciiTheme="minorHAnsi" w:eastAsiaTheme="minorHAnsi" w:hAnsiTheme="minorHAnsi" w:cstheme="minorBidi"/>
          <w:snapToGrid/>
          <w:color w:val="000000" w:themeColor="text1"/>
          <w:sz w:val="24"/>
          <w:szCs w:val="22"/>
        </w:rPr>
        <w:t xml:space="preserve">45,000 - $75,000 </w:t>
      </w:r>
      <w:r w:rsidR="00AE28A0" w:rsidRPr="00663D98">
        <w:rPr>
          <w:rFonts w:asciiTheme="minorHAnsi" w:eastAsiaTheme="minorHAnsi" w:hAnsiTheme="minorHAnsi" w:cstheme="minorBidi"/>
          <w:snapToGrid/>
          <w:color w:val="000000" w:themeColor="text1"/>
          <w:sz w:val="24"/>
          <w:szCs w:val="22"/>
        </w:rPr>
        <w:t>per QALY</w:t>
      </w:r>
      <w:r w:rsidR="00D35A78" w:rsidRPr="00663D98">
        <w:rPr>
          <w:rFonts w:asciiTheme="minorHAnsi" w:eastAsiaTheme="minorHAnsi" w:hAnsiTheme="minorHAnsi" w:cstheme="minorBidi"/>
          <w:snapToGrid/>
          <w:color w:val="000000" w:themeColor="text1"/>
          <w:sz w:val="24"/>
          <w:szCs w:val="22"/>
        </w:rPr>
        <w:t xml:space="preserve"> </w:t>
      </w:r>
      <w:r w:rsidR="00443444" w:rsidRPr="00663D98">
        <w:rPr>
          <w:rFonts w:asciiTheme="minorHAnsi" w:eastAsiaTheme="minorHAnsi" w:hAnsiTheme="minorHAnsi" w:cstheme="minorBidi"/>
          <w:snapToGrid/>
          <w:color w:val="000000" w:themeColor="text1"/>
          <w:sz w:val="24"/>
          <w:szCs w:val="22"/>
        </w:rPr>
        <w:t>and therefore</w:t>
      </w:r>
      <w:r w:rsidR="00BA15D5" w:rsidRPr="00663D98">
        <w:rPr>
          <w:rFonts w:asciiTheme="minorHAnsi" w:eastAsiaTheme="minorHAnsi" w:hAnsiTheme="minorHAnsi" w:cstheme="minorBidi"/>
          <w:snapToGrid/>
          <w:color w:val="000000" w:themeColor="text1"/>
          <w:sz w:val="24"/>
          <w:szCs w:val="22"/>
        </w:rPr>
        <w:t>,</w:t>
      </w:r>
      <w:r w:rsidR="00443444" w:rsidRPr="00663D98">
        <w:rPr>
          <w:rFonts w:asciiTheme="minorHAnsi" w:eastAsiaTheme="minorHAnsi" w:hAnsiTheme="minorHAnsi" w:cstheme="minorBidi"/>
          <w:snapToGrid/>
          <w:color w:val="000000" w:themeColor="text1"/>
          <w:sz w:val="24"/>
          <w:szCs w:val="22"/>
        </w:rPr>
        <w:t xml:space="preserve"> was sufficiently satisfied of </w:t>
      </w:r>
      <w:r w:rsidR="00D35A78" w:rsidRPr="00663D98">
        <w:rPr>
          <w:rFonts w:asciiTheme="minorHAnsi" w:eastAsiaTheme="minorHAnsi" w:hAnsiTheme="minorHAnsi" w:cstheme="minorBidi"/>
          <w:snapToGrid/>
          <w:color w:val="000000" w:themeColor="text1"/>
          <w:sz w:val="24"/>
          <w:szCs w:val="22"/>
        </w:rPr>
        <w:t xml:space="preserve">the cost-effectiveness of trifluridine with tipiracil for the treatment of mCRC. </w:t>
      </w:r>
    </w:p>
    <w:p w:rsidR="0092551F" w:rsidRPr="00663D98" w:rsidRDefault="00BC7D6A" w:rsidP="00302128">
      <w:pPr>
        <w:pStyle w:val="ListParagraph"/>
        <w:widowControl/>
        <w:numPr>
          <w:ilvl w:val="1"/>
          <w:numId w:val="14"/>
        </w:numPr>
        <w:spacing w:after="120"/>
        <w:contextualSpacing w:val="0"/>
        <w:rPr>
          <w:rFonts w:asciiTheme="minorHAnsi" w:eastAsiaTheme="minorHAnsi" w:hAnsiTheme="minorHAnsi" w:cstheme="minorBidi"/>
          <w:snapToGrid/>
          <w:color w:val="000000" w:themeColor="text1"/>
          <w:sz w:val="24"/>
          <w:szCs w:val="22"/>
        </w:rPr>
      </w:pPr>
      <w:r w:rsidRPr="00663D98">
        <w:rPr>
          <w:rFonts w:asciiTheme="minorHAnsi" w:eastAsiaTheme="minorHAnsi" w:hAnsiTheme="minorHAnsi" w:cstheme="minorBidi"/>
          <w:snapToGrid/>
          <w:color w:val="000000" w:themeColor="text1"/>
          <w:sz w:val="24"/>
          <w:szCs w:val="22"/>
        </w:rPr>
        <w:t xml:space="preserve">The PBAC </w:t>
      </w:r>
      <w:r w:rsidR="002732C9" w:rsidRPr="00663D98">
        <w:rPr>
          <w:rFonts w:asciiTheme="minorHAnsi" w:eastAsiaTheme="minorHAnsi" w:hAnsiTheme="minorHAnsi" w:cstheme="minorBidi"/>
          <w:snapToGrid/>
          <w:color w:val="000000" w:themeColor="text1"/>
          <w:sz w:val="24"/>
          <w:szCs w:val="22"/>
        </w:rPr>
        <w:t>noted that the submission estimated substantially lower utilisation rates compared to the previous submission (</w:t>
      </w:r>
      <w:r w:rsidR="007D2C79">
        <w:rPr>
          <w:rFonts w:asciiTheme="minorHAnsi" w:eastAsiaTheme="minorHAnsi" w:hAnsiTheme="minorHAnsi" w:cstheme="minorBidi"/>
          <w:snapToGrid/>
          <w:color w:val="000000" w:themeColor="text1"/>
          <w:sz w:val="24"/>
          <w:szCs w:val="22"/>
        </w:rPr>
        <w:t>less than 10,000</w:t>
      </w:r>
      <w:r w:rsidR="002732C9" w:rsidRPr="00663D98">
        <w:rPr>
          <w:rFonts w:asciiTheme="minorHAnsi" w:eastAsiaTheme="minorHAnsi" w:hAnsiTheme="minorHAnsi" w:cstheme="minorBidi"/>
          <w:snapToGrid/>
          <w:color w:val="000000" w:themeColor="text1"/>
          <w:sz w:val="24"/>
          <w:szCs w:val="22"/>
        </w:rPr>
        <w:t xml:space="preserve"> patients compared to </w:t>
      </w:r>
      <w:r w:rsidR="007D2C79">
        <w:rPr>
          <w:rFonts w:asciiTheme="minorHAnsi" w:eastAsiaTheme="minorHAnsi" w:hAnsiTheme="minorHAnsi" w:cstheme="minorBidi"/>
          <w:snapToGrid/>
          <w:color w:val="000000" w:themeColor="text1"/>
          <w:sz w:val="24"/>
          <w:szCs w:val="22"/>
        </w:rPr>
        <w:t>10,000 – 50,000</w:t>
      </w:r>
      <w:r w:rsidR="002732C9" w:rsidRPr="00663D98">
        <w:rPr>
          <w:rFonts w:asciiTheme="minorHAnsi" w:eastAsiaTheme="minorHAnsi" w:hAnsiTheme="minorHAnsi" w:cstheme="minorBidi"/>
          <w:snapToGrid/>
          <w:color w:val="000000" w:themeColor="text1"/>
          <w:sz w:val="24"/>
          <w:szCs w:val="22"/>
        </w:rPr>
        <w:t xml:space="preserve"> patients over the first 6 years of listing)</w:t>
      </w:r>
      <w:r w:rsidR="00541E87" w:rsidRPr="00663D98">
        <w:rPr>
          <w:rFonts w:asciiTheme="minorHAnsi" w:eastAsiaTheme="minorHAnsi" w:hAnsiTheme="minorHAnsi" w:cstheme="minorBidi"/>
          <w:snapToGrid/>
          <w:color w:val="000000" w:themeColor="text1"/>
          <w:sz w:val="24"/>
          <w:szCs w:val="22"/>
        </w:rPr>
        <w:t xml:space="preserve"> which in conjunction with the reduced effective price</w:t>
      </w:r>
      <w:r w:rsidR="00C12050" w:rsidRPr="00663D98">
        <w:rPr>
          <w:rFonts w:asciiTheme="minorHAnsi" w:eastAsiaTheme="minorHAnsi" w:hAnsiTheme="minorHAnsi" w:cstheme="minorBidi"/>
          <w:snapToGrid/>
          <w:color w:val="000000" w:themeColor="text1"/>
          <w:sz w:val="24"/>
          <w:szCs w:val="22"/>
        </w:rPr>
        <w:t>,</w:t>
      </w:r>
      <w:r w:rsidR="00541E87" w:rsidRPr="00663D98">
        <w:rPr>
          <w:rFonts w:asciiTheme="minorHAnsi" w:eastAsiaTheme="minorHAnsi" w:hAnsiTheme="minorHAnsi" w:cstheme="minorBidi"/>
          <w:snapToGrid/>
          <w:color w:val="000000" w:themeColor="text1"/>
          <w:sz w:val="24"/>
          <w:szCs w:val="22"/>
        </w:rPr>
        <w:t xml:space="preserve"> resulted in an estimate</w:t>
      </w:r>
      <w:r w:rsidR="00A7410D" w:rsidRPr="00663D98">
        <w:rPr>
          <w:rFonts w:asciiTheme="minorHAnsi" w:eastAsiaTheme="minorHAnsi" w:hAnsiTheme="minorHAnsi" w:cstheme="minorBidi"/>
          <w:snapToGrid/>
          <w:color w:val="000000" w:themeColor="text1"/>
          <w:sz w:val="24"/>
          <w:szCs w:val="22"/>
        </w:rPr>
        <w:t>d net financial impact of $</w:t>
      </w:r>
      <w:r w:rsidR="00927C84">
        <w:rPr>
          <w:rFonts w:asciiTheme="minorHAnsi" w:eastAsiaTheme="minorHAnsi" w:hAnsiTheme="minorHAnsi" w:cstheme="minorBidi"/>
          <w:snapToGrid/>
          <w:color w:val="000000" w:themeColor="text1"/>
          <w:sz w:val="24"/>
          <w:szCs w:val="22"/>
        </w:rPr>
        <w:t>20 - $30</w:t>
      </w:r>
      <w:r w:rsidR="00A7410D" w:rsidRPr="00663D98">
        <w:rPr>
          <w:rFonts w:asciiTheme="minorHAnsi" w:eastAsiaTheme="minorHAnsi" w:hAnsiTheme="minorHAnsi" w:cstheme="minorBidi"/>
          <w:snapToGrid/>
          <w:color w:val="000000" w:themeColor="text1"/>
          <w:sz w:val="24"/>
          <w:szCs w:val="22"/>
        </w:rPr>
        <w:t xml:space="preserve"> million</w:t>
      </w:r>
      <w:r w:rsidR="00541E87" w:rsidRPr="00663D98">
        <w:rPr>
          <w:rFonts w:asciiTheme="minorHAnsi" w:eastAsiaTheme="minorHAnsi" w:hAnsiTheme="minorHAnsi" w:cstheme="minorBidi"/>
          <w:snapToGrid/>
          <w:color w:val="000000" w:themeColor="text1"/>
          <w:sz w:val="24"/>
          <w:szCs w:val="22"/>
        </w:rPr>
        <w:t xml:space="preserve"> over the first 6 years of listing.</w:t>
      </w:r>
      <w:r w:rsidR="000E0284" w:rsidRPr="00663D98">
        <w:rPr>
          <w:rFonts w:asciiTheme="minorHAnsi" w:eastAsiaTheme="minorHAnsi" w:hAnsiTheme="minorHAnsi" w:cstheme="minorBidi"/>
          <w:snapToGrid/>
          <w:color w:val="000000" w:themeColor="text1"/>
          <w:sz w:val="24"/>
          <w:szCs w:val="22"/>
        </w:rPr>
        <w:t xml:space="preserve"> The PBAC considered</w:t>
      </w:r>
      <w:r w:rsidR="00C12050" w:rsidRPr="00663D98">
        <w:rPr>
          <w:rFonts w:asciiTheme="minorHAnsi" w:eastAsiaTheme="minorHAnsi" w:hAnsiTheme="minorHAnsi" w:cstheme="minorBidi"/>
          <w:snapToGrid/>
          <w:color w:val="000000" w:themeColor="text1"/>
          <w:sz w:val="24"/>
          <w:szCs w:val="22"/>
        </w:rPr>
        <w:t xml:space="preserve"> </w:t>
      </w:r>
      <w:r w:rsidR="001E2DE3" w:rsidRPr="00663D98">
        <w:rPr>
          <w:rFonts w:asciiTheme="minorHAnsi" w:eastAsiaTheme="minorHAnsi" w:hAnsiTheme="minorHAnsi" w:cstheme="minorBidi"/>
          <w:snapToGrid/>
          <w:color w:val="000000" w:themeColor="text1"/>
          <w:sz w:val="24"/>
          <w:szCs w:val="22"/>
        </w:rPr>
        <w:t>although there remained some uncertainty around the methodology used to estimate the number of patients that would be treated with triflu</w:t>
      </w:r>
      <w:r w:rsidR="00B87103" w:rsidRPr="00663D98">
        <w:rPr>
          <w:rFonts w:asciiTheme="minorHAnsi" w:eastAsiaTheme="minorHAnsi" w:hAnsiTheme="minorHAnsi" w:cstheme="minorBidi"/>
          <w:snapToGrid/>
          <w:color w:val="000000" w:themeColor="text1"/>
          <w:sz w:val="24"/>
          <w:szCs w:val="22"/>
        </w:rPr>
        <w:t>ridine with tipiracil, the</w:t>
      </w:r>
      <w:r w:rsidR="0065400D" w:rsidRPr="00663D98">
        <w:rPr>
          <w:rFonts w:asciiTheme="minorHAnsi" w:eastAsiaTheme="minorHAnsi" w:hAnsiTheme="minorHAnsi" w:cstheme="minorBidi"/>
          <w:snapToGrid/>
          <w:color w:val="000000" w:themeColor="text1"/>
          <w:sz w:val="24"/>
          <w:szCs w:val="22"/>
        </w:rPr>
        <w:t xml:space="preserve"> PBAC noted the</w:t>
      </w:r>
      <w:r w:rsidR="00B87103" w:rsidRPr="00663D98">
        <w:rPr>
          <w:rFonts w:asciiTheme="minorHAnsi" w:eastAsiaTheme="minorHAnsi" w:hAnsiTheme="minorHAnsi" w:cstheme="minorBidi"/>
          <w:snapToGrid/>
          <w:color w:val="000000" w:themeColor="text1"/>
          <w:sz w:val="24"/>
          <w:szCs w:val="22"/>
        </w:rPr>
        <w:t xml:space="preserve"> estimates were significantly reduced from the estimated financial impact in t</w:t>
      </w:r>
      <w:r w:rsidR="00A7410D" w:rsidRPr="00663D98">
        <w:rPr>
          <w:rFonts w:asciiTheme="minorHAnsi" w:eastAsiaTheme="minorHAnsi" w:hAnsiTheme="minorHAnsi" w:cstheme="minorBidi"/>
          <w:snapToGrid/>
          <w:color w:val="000000" w:themeColor="text1"/>
          <w:sz w:val="24"/>
          <w:szCs w:val="22"/>
        </w:rPr>
        <w:t>he previous submission of $</w:t>
      </w:r>
      <w:r w:rsidR="00927C84">
        <w:rPr>
          <w:rFonts w:asciiTheme="minorHAnsi" w:eastAsiaTheme="minorHAnsi" w:hAnsiTheme="minorHAnsi" w:cstheme="minorBidi"/>
          <w:snapToGrid/>
          <w:color w:val="000000" w:themeColor="text1"/>
          <w:sz w:val="24"/>
          <w:szCs w:val="22"/>
        </w:rPr>
        <w:t>30 - $60</w:t>
      </w:r>
      <w:r w:rsidR="00A7410D" w:rsidRPr="00663D98">
        <w:rPr>
          <w:rFonts w:asciiTheme="minorHAnsi" w:eastAsiaTheme="minorHAnsi" w:hAnsiTheme="minorHAnsi" w:cstheme="minorBidi"/>
          <w:snapToGrid/>
          <w:color w:val="000000" w:themeColor="text1"/>
          <w:sz w:val="24"/>
          <w:szCs w:val="22"/>
        </w:rPr>
        <w:t xml:space="preserve"> million </w:t>
      </w:r>
      <w:r w:rsidR="0065400D" w:rsidRPr="00663D98">
        <w:rPr>
          <w:rFonts w:asciiTheme="minorHAnsi" w:eastAsiaTheme="minorHAnsi" w:hAnsiTheme="minorHAnsi" w:cstheme="minorBidi"/>
          <w:snapToGrid/>
          <w:color w:val="000000" w:themeColor="text1"/>
          <w:sz w:val="24"/>
          <w:szCs w:val="22"/>
        </w:rPr>
        <w:t xml:space="preserve">over 6 years. The PBAC </w:t>
      </w:r>
      <w:r w:rsidR="00B87103" w:rsidRPr="00663D98">
        <w:rPr>
          <w:rFonts w:asciiTheme="minorHAnsi" w:eastAsiaTheme="minorHAnsi" w:hAnsiTheme="minorHAnsi" w:cstheme="minorBidi"/>
          <w:snapToGrid/>
          <w:color w:val="000000" w:themeColor="text1"/>
          <w:sz w:val="24"/>
          <w:szCs w:val="22"/>
        </w:rPr>
        <w:t xml:space="preserve">considered </w:t>
      </w:r>
      <w:r w:rsidR="00A7410D" w:rsidRPr="00663D98">
        <w:rPr>
          <w:rFonts w:asciiTheme="minorHAnsi" w:eastAsiaTheme="minorHAnsi" w:hAnsiTheme="minorHAnsi" w:cstheme="minorBidi"/>
          <w:snapToGrid/>
          <w:color w:val="000000" w:themeColor="text1"/>
          <w:sz w:val="24"/>
          <w:szCs w:val="22"/>
        </w:rPr>
        <w:t xml:space="preserve">that the revised estimated utilisation would more likely reflect the actual utilisation of trifluridine with tipiracil. On this basis, the PBAC </w:t>
      </w:r>
      <w:r w:rsidR="00920642" w:rsidRPr="00663D98">
        <w:rPr>
          <w:rFonts w:asciiTheme="minorHAnsi" w:eastAsiaTheme="minorHAnsi" w:hAnsiTheme="minorHAnsi" w:cstheme="minorBidi"/>
          <w:snapToGrid/>
          <w:color w:val="000000" w:themeColor="text1"/>
          <w:sz w:val="24"/>
          <w:szCs w:val="22"/>
        </w:rPr>
        <w:t>was satisfied</w:t>
      </w:r>
      <w:r w:rsidR="00A7410D" w:rsidRPr="00663D98">
        <w:rPr>
          <w:rFonts w:asciiTheme="minorHAnsi" w:eastAsiaTheme="minorHAnsi" w:hAnsiTheme="minorHAnsi" w:cstheme="minorBidi"/>
          <w:snapToGrid/>
          <w:color w:val="000000" w:themeColor="text1"/>
          <w:sz w:val="24"/>
          <w:szCs w:val="22"/>
        </w:rPr>
        <w:t xml:space="preserve"> that the proposed </w:t>
      </w:r>
      <w:r w:rsidR="00920642" w:rsidRPr="00663D98">
        <w:rPr>
          <w:rFonts w:asciiTheme="minorHAnsi" w:eastAsiaTheme="minorHAnsi" w:hAnsiTheme="minorHAnsi" w:cstheme="minorBidi"/>
          <w:snapToGrid/>
          <w:color w:val="000000" w:themeColor="text1"/>
          <w:sz w:val="24"/>
          <w:szCs w:val="22"/>
        </w:rPr>
        <w:t>Risk Sharing Arrangement consisting of 100% rebate for Commonwealth expenditure above the estimated utilisation would be adequate to ensure the cost-effectiveness of trifluridine with tipiracil</w:t>
      </w:r>
      <w:r w:rsidR="00F37582" w:rsidRPr="00663D98">
        <w:rPr>
          <w:rFonts w:asciiTheme="minorHAnsi" w:eastAsiaTheme="minorHAnsi" w:hAnsiTheme="minorHAnsi" w:cstheme="minorBidi"/>
          <w:snapToGrid/>
          <w:color w:val="000000" w:themeColor="text1"/>
          <w:sz w:val="24"/>
          <w:szCs w:val="22"/>
        </w:rPr>
        <w:t xml:space="preserve"> and appropriate to manage the remaining uncertainty in the budget impact analysis</w:t>
      </w:r>
      <w:r w:rsidR="00920642" w:rsidRPr="00663D98">
        <w:rPr>
          <w:rFonts w:asciiTheme="minorHAnsi" w:eastAsiaTheme="minorHAnsi" w:hAnsiTheme="minorHAnsi" w:cstheme="minorBidi"/>
          <w:snapToGrid/>
          <w:color w:val="000000" w:themeColor="text1"/>
          <w:sz w:val="24"/>
          <w:szCs w:val="22"/>
        </w:rPr>
        <w:t xml:space="preserve">. </w:t>
      </w:r>
    </w:p>
    <w:p w:rsidR="00407BE1" w:rsidRPr="00663D98" w:rsidRDefault="00407BE1" w:rsidP="00302128">
      <w:pPr>
        <w:pStyle w:val="ListParagraph"/>
        <w:widowControl/>
        <w:numPr>
          <w:ilvl w:val="1"/>
          <w:numId w:val="14"/>
        </w:numPr>
        <w:spacing w:after="120"/>
        <w:contextualSpacing w:val="0"/>
        <w:rPr>
          <w:rFonts w:asciiTheme="minorHAnsi" w:eastAsiaTheme="minorHAnsi" w:hAnsiTheme="minorHAnsi" w:cstheme="minorBidi"/>
          <w:snapToGrid/>
          <w:color w:val="000000" w:themeColor="text1"/>
          <w:sz w:val="24"/>
          <w:szCs w:val="22"/>
        </w:rPr>
      </w:pPr>
      <w:r w:rsidRPr="00663D98">
        <w:rPr>
          <w:rFonts w:asciiTheme="minorHAnsi" w:eastAsiaTheme="minorHAnsi" w:hAnsiTheme="minorHAnsi" w:cstheme="minorBidi"/>
          <w:snapToGrid/>
          <w:color w:val="000000" w:themeColor="text1"/>
          <w:sz w:val="24"/>
          <w:szCs w:val="22"/>
        </w:rPr>
        <w:t xml:space="preserve">The PBAC advised that trifluridine with tipiracil should not be treated as interchangeable on an individual patient basis with any other drugs under Section 101 (3BA) of the </w:t>
      </w:r>
      <w:r w:rsidRPr="00663D98">
        <w:rPr>
          <w:rFonts w:asciiTheme="minorHAnsi" w:eastAsiaTheme="minorHAnsi" w:hAnsiTheme="minorHAnsi" w:cstheme="minorBidi"/>
          <w:i/>
          <w:snapToGrid/>
          <w:color w:val="000000" w:themeColor="text1"/>
          <w:sz w:val="24"/>
          <w:szCs w:val="22"/>
        </w:rPr>
        <w:t>National Health Act 1953</w:t>
      </w:r>
      <w:r w:rsidRPr="00663D98">
        <w:rPr>
          <w:rFonts w:asciiTheme="minorHAnsi" w:eastAsiaTheme="minorHAnsi" w:hAnsiTheme="minorHAnsi" w:cstheme="minorBidi"/>
          <w:snapToGrid/>
          <w:color w:val="000000" w:themeColor="text1"/>
          <w:sz w:val="24"/>
          <w:szCs w:val="22"/>
        </w:rPr>
        <w:t xml:space="preserve">. </w:t>
      </w:r>
    </w:p>
    <w:p w:rsidR="00876B56" w:rsidRPr="00663D98" w:rsidRDefault="00876B56" w:rsidP="00302128">
      <w:pPr>
        <w:pStyle w:val="ListParagraph"/>
        <w:widowControl/>
        <w:numPr>
          <w:ilvl w:val="1"/>
          <w:numId w:val="14"/>
        </w:numPr>
        <w:spacing w:after="120"/>
        <w:contextualSpacing w:val="0"/>
        <w:rPr>
          <w:rFonts w:asciiTheme="minorHAnsi" w:eastAsiaTheme="minorHAnsi" w:hAnsiTheme="minorHAnsi" w:cstheme="minorBidi"/>
          <w:snapToGrid/>
          <w:color w:val="000000" w:themeColor="text1"/>
          <w:sz w:val="24"/>
          <w:szCs w:val="22"/>
        </w:rPr>
      </w:pPr>
      <w:r w:rsidRPr="00663D98">
        <w:rPr>
          <w:rFonts w:asciiTheme="minorHAnsi" w:eastAsiaTheme="minorHAnsi" w:hAnsiTheme="minorHAnsi" w:cstheme="minorBidi"/>
          <w:snapToGrid/>
          <w:color w:val="000000" w:themeColor="text1"/>
          <w:sz w:val="24"/>
          <w:szCs w:val="22"/>
        </w:rPr>
        <w:t xml:space="preserve">The PBAC recommended that the Early Supply Rule should apply </w:t>
      </w:r>
      <w:r w:rsidR="0092551F" w:rsidRPr="00663D98">
        <w:rPr>
          <w:rFonts w:asciiTheme="minorHAnsi" w:eastAsiaTheme="minorHAnsi" w:hAnsiTheme="minorHAnsi" w:cstheme="minorBidi"/>
          <w:snapToGrid/>
          <w:color w:val="000000" w:themeColor="text1"/>
          <w:sz w:val="24"/>
          <w:szCs w:val="22"/>
        </w:rPr>
        <w:t>to</w:t>
      </w:r>
      <w:r w:rsidRPr="00663D98">
        <w:rPr>
          <w:rFonts w:asciiTheme="minorHAnsi" w:eastAsiaTheme="minorHAnsi" w:hAnsiTheme="minorHAnsi" w:cstheme="minorBidi"/>
          <w:snapToGrid/>
          <w:color w:val="000000" w:themeColor="text1"/>
          <w:sz w:val="24"/>
          <w:szCs w:val="22"/>
        </w:rPr>
        <w:t xml:space="preserve"> trifluridine with tipiracil. </w:t>
      </w:r>
    </w:p>
    <w:p w:rsidR="004365CE" w:rsidRPr="00663D98" w:rsidRDefault="00407BE1" w:rsidP="00302128">
      <w:pPr>
        <w:pStyle w:val="ListParagraph"/>
        <w:widowControl/>
        <w:numPr>
          <w:ilvl w:val="1"/>
          <w:numId w:val="14"/>
        </w:numPr>
        <w:spacing w:after="120"/>
        <w:contextualSpacing w:val="0"/>
        <w:rPr>
          <w:rFonts w:asciiTheme="minorHAnsi" w:eastAsiaTheme="minorHAnsi" w:hAnsiTheme="minorHAnsi" w:cstheme="minorBidi"/>
          <w:snapToGrid/>
          <w:color w:val="000000" w:themeColor="text1"/>
          <w:sz w:val="24"/>
          <w:szCs w:val="22"/>
        </w:rPr>
      </w:pPr>
      <w:r w:rsidRPr="00663D98">
        <w:rPr>
          <w:rFonts w:asciiTheme="minorHAnsi" w:eastAsiaTheme="minorHAnsi" w:hAnsiTheme="minorHAnsi" w:cstheme="minorBidi"/>
          <w:snapToGrid/>
          <w:color w:val="000000" w:themeColor="text1"/>
          <w:sz w:val="24"/>
          <w:szCs w:val="22"/>
        </w:rPr>
        <w:t>The PBAC advised that trifluridine with tipiracil is not suitable for prescribing by nurse practitioners</w:t>
      </w:r>
    </w:p>
    <w:p w:rsidR="005B3BAA" w:rsidRPr="00663D98" w:rsidRDefault="005143C2" w:rsidP="005B3BAA">
      <w:pPr>
        <w:pStyle w:val="ListParagraph"/>
        <w:widowControl/>
        <w:numPr>
          <w:ilvl w:val="1"/>
          <w:numId w:val="14"/>
        </w:numPr>
        <w:spacing w:after="120"/>
        <w:contextualSpacing w:val="0"/>
        <w:rPr>
          <w:rFonts w:asciiTheme="minorHAnsi" w:eastAsiaTheme="minorHAnsi" w:hAnsiTheme="minorHAnsi" w:cstheme="minorBidi"/>
          <w:snapToGrid/>
          <w:color w:val="000000" w:themeColor="text1"/>
          <w:sz w:val="24"/>
          <w:szCs w:val="22"/>
        </w:rPr>
      </w:pPr>
      <w:r w:rsidRPr="00663D98">
        <w:rPr>
          <w:rFonts w:asciiTheme="minorHAnsi" w:eastAsiaTheme="minorHAnsi" w:hAnsiTheme="minorHAnsi" w:cstheme="minorBidi"/>
          <w:snapToGrid/>
          <w:color w:val="000000" w:themeColor="text1"/>
          <w:sz w:val="24"/>
          <w:szCs w:val="22"/>
        </w:rPr>
        <w:t xml:space="preserve">The PBAC noted that this submission </w:t>
      </w:r>
      <w:r w:rsidR="004365CE" w:rsidRPr="00663D98">
        <w:rPr>
          <w:rFonts w:asciiTheme="minorHAnsi" w:eastAsiaTheme="minorHAnsi" w:hAnsiTheme="minorHAnsi" w:cstheme="minorBidi"/>
          <w:snapToGrid/>
          <w:color w:val="000000" w:themeColor="text1"/>
          <w:sz w:val="24"/>
          <w:szCs w:val="22"/>
        </w:rPr>
        <w:t>would not meet the criteria</w:t>
      </w:r>
      <w:r w:rsidRPr="00663D98">
        <w:rPr>
          <w:rFonts w:asciiTheme="minorHAnsi" w:eastAsiaTheme="minorHAnsi" w:hAnsiTheme="minorHAnsi" w:cstheme="minorBidi"/>
          <w:snapToGrid/>
          <w:color w:val="000000" w:themeColor="text1"/>
          <w:sz w:val="24"/>
          <w:szCs w:val="22"/>
        </w:rPr>
        <w:t xml:space="preserve"> for an Independent Review as it received a positive recommendation. </w:t>
      </w:r>
    </w:p>
    <w:p w:rsidR="005B3BAA" w:rsidRPr="00635728" w:rsidRDefault="005B3BAA" w:rsidP="005B3BAA">
      <w:pPr>
        <w:spacing w:before="240"/>
        <w:jc w:val="both"/>
        <w:rPr>
          <w:rFonts w:asciiTheme="minorHAnsi" w:hAnsiTheme="minorHAnsi" w:cs="Arial"/>
          <w:b/>
          <w:bCs/>
          <w:snapToGrid w:val="0"/>
        </w:rPr>
      </w:pPr>
      <w:r w:rsidRPr="00635728">
        <w:rPr>
          <w:rFonts w:asciiTheme="minorHAnsi" w:hAnsiTheme="minorHAnsi" w:cs="Arial"/>
          <w:b/>
          <w:bCs/>
          <w:snapToGrid w:val="0"/>
        </w:rPr>
        <w:t>Outcome:</w:t>
      </w:r>
    </w:p>
    <w:p w:rsidR="005B3BAA" w:rsidRPr="00635728" w:rsidRDefault="005B3BAA" w:rsidP="005B3BAA">
      <w:pPr>
        <w:jc w:val="both"/>
        <w:rPr>
          <w:rFonts w:asciiTheme="minorHAnsi" w:hAnsiTheme="minorHAnsi" w:cs="Arial"/>
          <w:bCs/>
          <w:snapToGrid w:val="0"/>
        </w:rPr>
      </w:pPr>
      <w:r w:rsidRPr="00635728">
        <w:rPr>
          <w:rFonts w:asciiTheme="minorHAnsi" w:hAnsiTheme="minorHAnsi" w:cs="Arial"/>
          <w:bCs/>
          <w:snapToGrid w:val="0"/>
        </w:rPr>
        <w:t xml:space="preserve">Recommended </w:t>
      </w:r>
    </w:p>
    <w:p w:rsidR="0010522E" w:rsidRPr="00663D98" w:rsidRDefault="0010522E" w:rsidP="0010522E">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663D98">
        <w:rPr>
          <w:rFonts w:asciiTheme="minorHAnsi" w:hAnsiTheme="minorHAnsi"/>
          <w:sz w:val="32"/>
          <w:szCs w:val="32"/>
        </w:rPr>
        <w:t>Recommended listing</w:t>
      </w:r>
    </w:p>
    <w:p w:rsidR="0010522E" w:rsidRPr="00663D98" w:rsidRDefault="0010522E" w:rsidP="0010522E">
      <w:pPr>
        <w:widowControl w:val="0"/>
        <w:numPr>
          <w:ilvl w:val="1"/>
          <w:numId w:val="5"/>
        </w:numPr>
        <w:spacing w:after="120"/>
        <w:jc w:val="both"/>
        <w:rPr>
          <w:rFonts w:asciiTheme="minorHAnsi" w:hAnsiTheme="minorHAnsi" w:cs="Arial"/>
          <w:b/>
          <w:bCs/>
          <w:snapToGrid w:val="0"/>
          <w:szCs w:val="22"/>
          <w:lang w:eastAsia="en-US"/>
        </w:rPr>
      </w:pPr>
      <w:r w:rsidRPr="00663D98">
        <w:rPr>
          <w:rFonts w:asciiTheme="minorHAnsi" w:hAnsiTheme="minorHAnsi" w:cs="Arial"/>
          <w:bCs/>
          <w:snapToGrid w:val="0"/>
          <w:szCs w:val="22"/>
          <w:lang w:eastAsia="en-US"/>
        </w:rPr>
        <w:t>Add new item:</w:t>
      </w:r>
    </w:p>
    <w:tbl>
      <w:tblPr>
        <w:tblW w:w="4909" w:type="pct"/>
        <w:tblLook w:val="0000" w:firstRow="0" w:lastRow="0" w:firstColumn="0" w:lastColumn="0" w:noHBand="0" w:noVBand="0"/>
      </w:tblPr>
      <w:tblGrid>
        <w:gridCol w:w="1941"/>
        <w:gridCol w:w="1367"/>
        <w:gridCol w:w="730"/>
        <w:gridCol w:w="880"/>
        <w:gridCol w:w="1002"/>
        <w:gridCol w:w="3154"/>
      </w:tblGrid>
      <w:tr w:rsidR="0010522E" w:rsidRPr="00663D98" w:rsidTr="0010522E">
        <w:trPr>
          <w:trHeight w:val="465"/>
        </w:trPr>
        <w:tc>
          <w:tcPr>
            <w:tcW w:w="1823" w:type="pct"/>
            <w:gridSpan w:val="2"/>
            <w:tcBorders>
              <w:bottom w:val="single" w:sz="4" w:space="0" w:color="auto"/>
            </w:tcBorders>
          </w:tcPr>
          <w:p w:rsidR="0010522E" w:rsidRPr="00663D98" w:rsidRDefault="0010522E" w:rsidP="00663D98">
            <w:pPr>
              <w:keepNext/>
              <w:spacing w:before="40" w:after="40"/>
              <w:jc w:val="both"/>
              <w:rPr>
                <w:rFonts w:ascii="Arial Narrow" w:hAnsi="Arial Narrow" w:cs="Arial"/>
                <w:b/>
                <w:sz w:val="20"/>
                <w:szCs w:val="20"/>
              </w:rPr>
            </w:pPr>
            <w:r w:rsidRPr="00663D98">
              <w:rPr>
                <w:rFonts w:ascii="Arial Narrow" w:hAnsi="Arial Narrow" w:cs="Arial"/>
                <w:b/>
                <w:sz w:val="20"/>
                <w:szCs w:val="20"/>
              </w:rPr>
              <w:t>Name, Restriction,</w:t>
            </w:r>
          </w:p>
          <w:p w:rsidR="0010522E" w:rsidRPr="00663D98" w:rsidRDefault="0010522E" w:rsidP="00663D98">
            <w:pPr>
              <w:keepNext/>
              <w:spacing w:before="40" w:after="40"/>
              <w:jc w:val="both"/>
              <w:rPr>
                <w:rFonts w:ascii="Arial Narrow" w:hAnsi="Arial Narrow" w:cs="Arial"/>
                <w:b/>
                <w:sz w:val="20"/>
                <w:szCs w:val="20"/>
              </w:rPr>
            </w:pPr>
            <w:r w:rsidRPr="00663D98">
              <w:rPr>
                <w:rFonts w:ascii="Arial Narrow" w:hAnsi="Arial Narrow" w:cs="Arial"/>
                <w:b/>
                <w:sz w:val="20"/>
                <w:szCs w:val="20"/>
              </w:rPr>
              <w:t>Manner of administration and form</w:t>
            </w:r>
          </w:p>
        </w:tc>
        <w:tc>
          <w:tcPr>
            <w:tcW w:w="402" w:type="pct"/>
            <w:tcBorders>
              <w:bottom w:val="single" w:sz="4" w:space="0" w:color="auto"/>
            </w:tcBorders>
          </w:tcPr>
          <w:p w:rsidR="0010522E" w:rsidRPr="00663D98" w:rsidRDefault="0010522E" w:rsidP="00663D98">
            <w:pPr>
              <w:keepNext/>
              <w:spacing w:before="40" w:after="40"/>
              <w:jc w:val="both"/>
              <w:rPr>
                <w:rFonts w:ascii="Arial Narrow" w:hAnsi="Arial Narrow" w:cs="Arial"/>
                <w:b/>
                <w:sz w:val="20"/>
                <w:szCs w:val="20"/>
              </w:rPr>
            </w:pPr>
            <w:r w:rsidRPr="00663D98">
              <w:rPr>
                <w:rFonts w:ascii="Arial Narrow" w:hAnsi="Arial Narrow" w:cs="Arial"/>
                <w:b/>
                <w:sz w:val="20"/>
                <w:szCs w:val="20"/>
              </w:rPr>
              <w:t>Max.</w:t>
            </w:r>
          </w:p>
          <w:p w:rsidR="0010522E" w:rsidRPr="00663D98" w:rsidRDefault="0010522E" w:rsidP="00663D98">
            <w:pPr>
              <w:keepNext/>
              <w:spacing w:before="40" w:after="40"/>
              <w:jc w:val="both"/>
              <w:rPr>
                <w:rFonts w:ascii="Arial Narrow" w:hAnsi="Arial Narrow" w:cs="Arial"/>
                <w:b/>
                <w:sz w:val="20"/>
                <w:szCs w:val="20"/>
              </w:rPr>
            </w:pPr>
            <w:r w:rsidRPr="00663D98">
              <w:rPr>
                <w:rFonts w:ascii="Arial Narrow" w:hAnsi="Arial Narrow" w:cs="Arial"/>
                <w:b/>
                <w:sz w:val="20"/>
                <w:szCs w:val="20"/>
              </w:rPr>
              <w:t>Qty</w:t>
            </w:r>
          </w:p>
        </w:tc>
        <w:tc>
          <w:tcPr>
            <w:tcW w:w="485" w:type="pct"/>
            <w:tcBorders>
              <w:bottom w:val="single" w:sz="4" w:space="0" w:color="auto"/>
            </w:tcBorders>
          </w:tcPr>
          <w:p w:rsidR="0010522E" w:rsidRPr="00663D98" w:rsidRDefault="0010522E" w:rsidP="00663D98">
            <w:pPr>
              <w:keepNext/>
              <w:spacing w:before="40" w:after="40"/>
              <w:jc w:val="both"/>
              <w:rPr>
                <w:rFonts w:ascii="Arial Narrow" w:hAnsi="Arial Narrow" w:cs="Arial"/>
                <w:b/>
                <w:sz w:val="20"/>
                <w:szCs w:val="20"/>
              </w:rPr>
            </w:pPr>
            <w:r w:rsidRPr="00663D98">
              <w:rPr>
                <w:rFonts w:ascii="Arial Narrow" w:hAnsi="Arial Narrow" w:cs="Arial"/>
                <w:b/>
                <w:sz w:val="20"/>
                <w:szCs w:val="20"/>
              </w:rPr>
              <w:t>№.of</w:t>
            </w:r>
          </w:p>
          <w:p w:rsidR="0010522E" w:rsidRPr="00663D98" w:rsidRDefault="0010522E" w:rsidP="00663D98">
            <w:pPr>
              <w:keepNext/>
              <w:spacing w:before="40" w:after="40"/>
              <w:jc w:val="both"/>
              <w:rPr>
                <w:rFonts w:ascii="Arial Narrow" w:hAnsi="Arial Narrow" w:cs="Arial"/>
                <w:b/>
                <w:sz w:val="20"/>
                <w:szCs w:val="20"/>
              </w:rPr>
            </w:pPr>
            <w:r w:rsidRPr="00663D98">
              <w:rPr>
                <w:rFonts w:ascii="Arial Narrow" w:hAnsi="Arial Narrow" w:cs="Arial"/>
                <w:b/>
                <w:sz w:val="20"/>
                <w:szCs w:val="20"/>
              </w:rPr>
              <w:t>Rpts</w:t>
            </w:r>
          </w:p>
        </w:tc>
        <w:tc>
          <w:tcPr>
            <w:tcW w:w="2290" w:type="pct"/>
            <w:gridSpan w:val="2"/>
            <w:tcBorders>
              <w:bottom w:val="single" w:sz="4" w:space="0" w:color="auto"/>
            </w:tcBorders>
          </w:tcPr>
          <w:p w:rsidR="0010522E" w:rsidRPr="00635728" w:rsidRDefault="0010522E" w:rsidP="00663D98">
            <w:pPr>
              <w:keepNext/>
              <w:spacing w:before="40" w:after="40"/>
              <w:jc w:val="both"/>
              <w:rPr>
                <w:rFonts w:ascii="Arial Narrow" w:hAnsi="Arial Narrow" w:cs="Arial"/>
                <w:b/>
                <w:sz w:val="20"/>
                <w:szCs w:val="20"/>
              </w:rPr>
            </w:pPr>
            <w:r w:rsidRPr="00663D98">
              <w:rPr>
                <w:rFonts w:ascii="Arial Narrow" w:hAnsi="Arial Narrow" w:cs="Arial"/>
                <w:b/>
                <w:sz w:val="20"/>
                <w:szCs w:val="20"/>
              </w:rPr>
              <w:t>Proprietary Name and Manufacturer</w:t>
            </w:r>
          </w:p>
        </w:tc>
      </w:tr>
      <w:tr w:rsidR="0010522E" w:rsidRPr="00663D98" w:rsidTr="0010522E">
        <w:trPr>
          <w:trHeight w:val="567"/>
        </w:trPr>
        <w:tc>
          <w:tcPr>
            <w:tcW w:w="1823" w:type="pct"/>
            <w:gridSpan w:val="2"/>
          </w:tcPr>
          <w:p w:rsidR="0010522E" w:rsidRPr="00663D98" w:rsidRDefault="0010522E" w:rsidP="00663D98">
            <w:pPr>
              <w:keepNext/>
              <w:spacing w:before="40" w:after="40"/>
              <w:jc w:val="both"/>
              <w:rPr>
                <w:rFonts w:ascii="Arial Narrow" w:hAnsi="Arial Narrow" w:cs="Arial"/>
                <w:smallCaps/>
                <w:sz w:val="20"/>
                <w:szCs w:val="20"/>
              </w:rPr>
            </w:pPr>
            <w:r w:rsidRPr="00663D98">
              <w:rPr>
                <w:rFonts w:ascii="Arial Narrow" w:hAnsi="Arial Narrow" w:cs="Arial"/>
                <w:smallCaps/>
                <w:sz w:val="20"/>
                <w:szCs w:val="20"/>
              </w:rPr>
              <w:t>TRIFLURIDINE + TIPIRACIL</w:t>
            </w:r>
          </w:p>
          <w:p w:rsidR="0010522E" w:rsidRPr="00663D98" w:rsidRDefault="0010522E" w:rsidP="00663D98">
            <w:pPr>
              <w:keepNext/>
              <w:spacing w:before="40" w:after="40"/>
              <w:jc w:val="both"/>
              <w:rPr>
                <w:rFonts w:ascii="Arial Narrow" w:hAnsi="Arial Narrow" w:cs="Arial"/>
                <w:smallCaps/>
                <w:sz w:val="20"/>
                <w:szCs w:val="20"/>
              </w:rPr>
            </w:pPr>
            <w:r w:rsidRPr="00663D98">
              <w:rPr>
                <w:rFonts w:ascii="Arial Narrow" w:hAnsi="Arial Narrow" w:cs="Arial"/>
                <w:smallCaps/>
                <w:sz w:val="20"/>
                <w:szCs w:val="20"/>
              </w:rPr>
              <w:t>Trifluridine 15 mg + tipiracil 6.14 mg tablet, 20</w:t>
            </w:r>
          </w:p>
          <w:p w:rsidR="0010522E" w:rsidRPr="00663D98" w:rsidRDefault="0010522E" w:rsidP="00663D98">
            <w:pPr>
              <w:keepNext/>
              <w:spacing w:before="40" w:after="40"/>
              <w:jc w:val="both"/>
              <w:rPr>
                <w:rFonts w:ascii="Arial Narrow" w:hAnsi="Arial Narrow" w:cs="Arial"/>
                <w:sz w:val="20"/>
                <w:szCs w:val="20"/>
              </w:rPr>
            </w:pPr>
            <w:r w:rsidRPr="00663D98">
              <w:rPr>
                <w:rFonts w:ascii="Arial Narrow" w:hAnsi="Arial Narrow" w:cs="Arial"/>
                <w:smallCaps/>
                <w:sz w:val="20"/>
                <w:szCs w:val="20"/>
              </w:rPr>
              <w:t>Trifluridine 20 mg + tipiracil 8.19 mg tablet, 20</w:t>
            </w:r>
          </w:p>
        </w:tc>
        <w:tc>
          <w:tcPr>
            <w:tcW w:w="402" w:type="pct"/>
          </w:tcPr>
          <w:p w:rsidR="0010522E" w:rsidRPr="00663D98" w:rsidRDefault="0010522E" w:rsidP="00663D98">
            <w:pPr>
              <w:keepNext/>
              <w:spacing w:before="40" w:after="40"/>
              <w:jc w:val="both"/>
              <w:rPr>
                <w:rFonts w:ascii="Arial Narrow" w:hAnsi="Arial Narrow" w:cs="Arial"/>
                <w:sz w:val="20"/>
                <w:szCs w:val="20"/>
              </w:rPr>
            </w:pPr>
          </w:p>
          <w:p w:rsidR="0010522E" w:rsidRPr="00663D98" w:rsidRDefault="0010522E" w:rsidP="00663D98">
            <w:pPr>
              <w:keepNext/>
              <w:spacing w:before="40" w:after="40"/>
              <w:jc w:val="both"/>
              <w:rPr>
                <w:rFonts w:ascii="Arial Narrow" w:hAnsi="Arial Narrow" w:cs="Arial"/>
                <w:sz w:val="20"/>
                <w:szCs w:val="20"/>
              </w:rPr>
            </w:pPr>
            <w:r w:rsidRPr="00663D98">
              <w:rPr>
                <w:rFonts w:ascii="Arial Narrow" w:hAnsi="Arial Narrow" w:cs="Arial"/>
                <w:sz w:val="20"/>
                <w:szCs w:val="20"/>
              </w:rPr>
              <w:t>3</w:t>
            </w:r>
          </w:p>
          <w:p w:rsidR="0010522E" w:rsidRPr="00663D98" w:rsidRDefault="0010522E" w:rsidP="00663D98">
            <w:pPr>
              <w:keepNext/>
              <w:spacing w:before="40" w:after="40"/>
              <w:jc w:val="both"/>
              <w:rPr>
                <w:rFonts w:ascii="Arial Narrow" w:hAnsi="Arial Narrow" w:cs="Arial"/>
                <w:sz w:val="20"/>
                <w:szCs w:val="20"/>
              </w:rPr>
            </w:pPr>
          </w:p>
          <w:p w:rsidR="0010522E" w:rsidRPr="00663D98" w:rsidRDefault="0010522E" w:rsidP="00663D98">
            <w:pPr>
              <w:keepNext/>
              <w:spacing w:before="40" w:after="40"/>
              <w:jc w:val="both"/>
              <w:rPr>
                <w:rFonts w:ascii="Arial Narrow" w:hAnsi="Arial Narrow" w:cs="Arial"/>
                <w:sz w:val="20"/>
                <w:szCs w:val="20"/>
              </w:rPr>
            </w:pPr>
            <w:r w:rsidRPr="00663D98">
              <w:rPr>
                <w:rFonts w:ascii="Arial Narrow" w:hAnsi="Arial Narrow" w:cs="Arial"/>
                <w:sz w:val="20"/>
                <w:szCs w:val="20"/>
              </w:rPr>
              <w:t>4</w:t>
            </w:r>
          </w:p>
        </w:tc>
        <w:tc>
          <w:tcPr>
            <w:tcW w:w="485" w:type="pct"/>
          </w:tcPr>
          <w:p w:rsidR="0010522E" w:rsidRPr="00663D98" w:rsidRDefault="0010522E" w:rsidP="00663D98">
            <w:pPr>
              <w:keepNext/>
              <w:spacing w:before="40" w:after="40"/>
              <w:jc w:val="both"/>
              <w:rPr>
                <w:rFonts w:ascii="Arial Narrow" w:hAnsi="Arial Narrow" w:cs="Arial"/>
                <w:sz w:val="20"/>
                <w:szCs w:val="20"/>
              </w:rPr>
            </w:pPr>
          </w:p>
          <w:p w:rsidR="0010522E" w:rsidRPr="00663D98" w:rsidRDefault="0010522E" w:rsidP="00663D98">
            <w:pPr>
              <w:keepNext/>
              <w:spacing w:before="40" w:after="40"/>
              <w:jc w:val="both"/>
              <w:rPr>
                <w:rFonts w:ascii="Arial Narrow" w:hAnsi="Arial Narrow" w:cs="Arial"/>
                <w:sz w:val="20"/>
                <w:szCs w:val="20"/>
              </w:rPr>
            </w:pPr>
            <w:r w:rsidRPr="00663D98">
              <w:rPr>
                <w:rFonts w:ascii="Arial Narrow" w:hAnsi="Arial Narrow" w:cs="Arial"/>
                <w:sz w:val="20"/>
                <w:szCs w:val="20"/>
              </w:rPr>
              <w:t>2</w:t>
            </w:r>
          </w:p>
          <w:p w:rsidR="0010522E" w:rsidRPr="00663D98" w:rsidRDefault="0010522E" w:rsidP="00663D98">
            <w:pPr>
              <w:keepNext/>
              <w:spacing w:before="40" w:after="40"/>
              <w:jc w:val="both"/>
              <w:rPr>
                <w:rFonts w:ascii="Arial Narrow" w:hAnsi="Arial Narrow" w:cs="Arial"/>
                <w:sz w:val="20"/>
                <w:szCs w:val="20"/>
              </w:rPr>
            </w:pPr>
          </w:p>
          <w:p w:rsidR="0010522E" w:rsidRPr="00663D98" w:rsidRDefault="0010522E" w:rsidP="00663D98">
            <w:pPr>
              <w:keepNext/>
              <w:spacing w:before="40" w:after="40"/>
              <w:jc w:val="both"/>
              <w:rPr>
                <w:rFonts w:ascii="Arial Narrow" w:hAnsi="Arial Narrow" w:cs="Arial"/>
                <w:sz w:val="20"/>
                <w:szCs w:val="20"/>
              </w:rPr>
            </w:pPr>
            <w:r w:rsidRPr="00663D98">
              <w:rPr>
                <w:rFonts w:ascii="Arial Narrow" w:hAnsi="Arial Narrow" w:cs="Arial"/>
                <w:sz w:val="20"/>
                <w:szCs w:val="20"/>
              </w:rPr>
              <w:t>2</w:t>
            </w:r>
          </w:p>
        </w:tc>
        <w:tc>
          <w:tcPr>
            <w:tcW w:w="552" w:type="pct"/>
          </w:tcPr>
          <w:p w:rsidR="0010522E" w:rsidRPr="00663D98" w:rsidRDefault="0010522E" w:rsidP="00663D98">
            <w:pPr>
              <w:keepNext/>
              <w:spacing w:before="40" w:after="40"/>
              <w:jc w:val="both"/>
              <w:rPr>
                <w:rFonts w:ascii="Arial Narrow" w:hAnsi="Arial Narrow" w:cs="Arial"/>
                <w:sz w:val="20"/>
                <w:szCs w:val="20"/>
              </w:rPr>
            </w:pPr>
          </w:p>
          <w:p w:rsidR="0010522E" w:rsidRPr="00663D98" w:rsidRDefault="0010522E" w:rsidP="00663D98">
            <w:pPr>
              <w:keepNext/>
              <w:spacing w:before="40" w:after="40"/>
              <w:jc w:val="both"/>
              <w:rPr>
                <w:rFonts w:ascii="Arial Narrow" w:hAnsi="Arial Narrow" w:cs="Arial"/>
                <w:sz w:val="20"/>
                <w:szCs w:val="20"/>
              </w:rPr>
            </w:pPr>
            <w:r w:rsidRPr="00663D98">
              <w:rPr>
                <w:rFonts w:ascii="Arial Narrow" w:hAnsi="Arial Narrow" w:cs="Arial"/>
                <w:sz w:val="20"/>
                <w:szCs w:val="20"/>
              </w:rPr>
              <w:t>LONSURF</w:t>
            </w:r>
          </w:p>
        </w:tc>
        <w:tc>
          <w:tcPr>
            <w:tcW w:w="1738" w:type="pct"/>
          </w:tcPr>
          <w:p w:rsidR="0010522E" w:rsidRPr="00663D98" w:rsidRDefault="0010522E" w:rsidP="00663D98">
            <w:pPr>
              <w:keepNext/>
              <w:spacing w:before="40" w:after="40"/>
              <w:jc w:val="both"/>
              <w:rPr>
                <w:rFonts w:ascii="Arial Narrow" w:hAnsi="Arial Narrow" w:cs="Arial"/>
                <w:sz w:val="20"/>
                <w:szCs w:val="20"/>
              </w:rPr>
            </w:pPr>
          </w:p>
          <w:p w:rsidR="0010522E" w:rsidRPr="00663D98" w:rsidRDefault="0010522E" w:rsidP="00663D98">
            <w:pPr>
              <w:keepNext/>
              <w:spacing w:before="40" w:after="40"/>
              <w:jc w:val="both"/>
              <w:rPr>
                <w:rFonts w:ascii="Arial Narrow" w:hAnsi="Arial Narrow" w:cs="Arial"/>
                <w:sz w:val="20"/>
                <w:szCs w:val="20"/>
              </w:rPr>
            </w:pPr>
            <w:r w:rsidRPr="00663D98">
              <w:rPr>
                <w:rFonts w:ascii="Arial Narrow" w:hAnsi="Arial Narrow" w:cs="Arial"/>
                <w:sz w:val="20"/>
                <w:szCs w:val="20"/>
              </w:rPr>
              <w:t xml:space="preserve">Servier Laboratories </w:t>
            </w:r>
          </w:p>
        </w:tc>
      </w:tr>
      <w:tr w:rsidR="0010522E" w:rsidRPr="00663D98" w:rsidTr="0010522E">
        <w:trPr>
          <w:cantSplit/>
          <w:trHeight w:val="360"/>
        </w:trPr>
        <w:tc>
          <w:tcPr>
            <w:tcW w:w="1070" w:type="pct"/>
            <w:tcBorders>
              <w:top w:val="single" w:sz="4" w:space="0" w:color="auto"/>
              <w:left w:val="single" w:sz="4" w:space="0" w:color="auto"/>
              <w:bottom w:val="single" w:sz="4" w:space="0" w:color="auto"/>
              <w:right w:val="single" w:sz="4" w:space="0" w:color="auto"/>
            </w:tcBorders>
          </w:tcPr>
          <w:p w:rsidR="0010522E" w:rsidRPr="00663D98" w:rsidRDefault="0010522E" w:rsidP="00663D98">
            <w:pPr>
              <w:spacing w:before="40" w:after="40"/>
              <w:jc w:val="both"/>
              <w:rPr>
                <w:rFonts w:ascii="Arial Narrow" w:hAnsi="Arial Narrow" w:cs="Arial"/>
                <w:b/>
                <w:sz w:val="20"/>
                <w:szCs w:val="20"/>
              </w:rPr>
            </w:pPr>
            <w:r w:rsidRPr="00663D98">
              <w:rPr>
                <w:rFonts w:ascii="Arial Narrow" w:hAnsi="Arial Narrow" w:cs="Arial"/>
                <w:b/>
                <w:sz w:val="20"/>
                <w:szCs w:val="20"/>
              </w:rPr>
              <w:t xml:space="preserve">Category / </w:t>
            </w:r>
          </w:p>
          <w:p w:rsidR="0010522E" w:rsidRPr="00663D98" w:rsidRDefault="0010522E" w:rsidP="00663D98">
            <w:pPr>
              <w:spacing w:before="40" w:after="40"/>
              <w:jc w:val="both"/>
              <w:rPr>
                <w:rFonts w:ascii="Arial Narrow" w:hAnsi="Arial Narrow" w:cs="Arial"/>
                <w:b/>
                <w:sz w:val="20"/>
                <w:szCs w:val="20"/>
              </w:rPr>
            </w:pPr>
            <w:r w:rsidRPr="00663D98">
              <w:rPr>
                <w:rFonts w:ascii="Arial Narrow" w:hAnsi="Arial Narrow" w:cs="Arial"/>
                <w:b/>
                <w:sz w:val="20"/>
                <w:szCs w:val="20"/>
              </w:rPr>
              <w:t>Program</w:t>
            </w:r>
          </w:p>
        </w:tc>
        <w:tc>
          <w:tcPr>
            <w:tcW w:w="3930" w:type="pct"/>
            <w:gridSpan w:val="5"/>
            <w:tcBorders>
              <w:top w:val="single" w:sz="4" w:space="0" w:color="auto"/>
              <w:left w:val="single" w:sz="4" w:space="0" w:color="auto"/>
              <w:bottom w:val="single" w:sz="4" w:space="0" w:color="auto"/>
              <w:right w:val="single" w:sz="4" w:space="0" w:color="auto"/>
            </w:tcBorders>
          </w:tcPr>
          <w:p w:rsidR="0010522E" w:rsidRPr="00663D98" w:rsidRDefault="0010522E" w:rsidP="00663D98">
            <w:pPr>
              <w:spacing w:before="40" w:after="40"/>
              <w:rPr>
                <w:rFonts w:ascii="Arial Narrow" w:hAnsi="Arial Narrow" w:cs="Arial"/>
                <w:sz w:val="20"/>
                <w:szCs w:val="20"/>
              </w:rPr>
            </w:pPr>
            <w:r w:rsidRPr="00663D98">
              <w:rPr>
                <w:rFonts w:ascii="Arial Narrow" w:hAnsi="Arial Narrow" w:cs="Arial"/>
                <w:sz w:val="20"/>
                <w:szCs w:val="20"/>
              </w:rPr>
              <w:t>GENERAL – General Schedule (Code GE)</w:t>
            </w:r>
          </w:p>
          <w:p w:rsidR="0010522E" w:rsidRPr="00663D98" w:rsidRDefault="0010522E" w:rsidP="00663D98">
            <w:pPr>
              <w:spacing w:before="40" w:after="40"/>
              <w:rPr>
                <w:rFonts w:ascii="Arial Narrow" w:hAnsi="Arial Narrow" w:cs="Arial"/>
                <w:sz w:val="20"/>
                <w:szCs w:val="20"/>
              </w:rPr>
            </w:pPr>
          </w:p>
        </w:tc>
      </w:tr>
      <w:tr w:rsidR="0010522E" w:rsidRPr="00663D98" w:rsidTr="0010522E">
        <w:trPr>
          <w:cantSplit/>
          <w:trHeight w:val="360"/>
        </w:trPr>
        <w:tc>
          <w:tcPr>
            <w:tcW w:w="1070" w:type="pct"/>
            <w:tcBorders>
              <w:top w:val="single" w:sz="4" w:space="0" w:color="auto"/>
              <w:left w:val="single" w:sz="4" w:space="0" w:color="auto"/>
              <w:bottom w:val="single" w:sz="4" w:space="0" w:color="auto"/>
              <w:right w:val="single" w:sz="4" w:space="0" w:color="auto"/>
            </w:tcBorders>
          </w:tcPr>
          <w:p w:rsidR="0010522E" w:rsidRPr="00663D98" w:rsidRDefault="0010522E" w:rsidP="00663D98">
            <w:pPr>
              <w:spacing w:before="40" w:after="40"/>
              <w:jc w:val="both"/>
              <w:rPr>
                <w:rFonts w:ascii="Arial Narrow" w:hAnsi="Arial Narrow" w:cs="Arial"/>
                <w:b/>
                <w:sz w:val="20"/>
                <w:szCs w:val="20"/>
              </w:rPr>
            </w:pPr>
            <w:r w:rsidRPr="00663D98">
              <w:rPr>
                <w:rFonts w:ascii="Arial Narrow" w:hAnsi="Arial Narrow" w:cs="Arial"/>
                <w:b/>
                <w:sz w:val="20"/>
                <w:szCs w:val="20"/>
              </w:rPr>
              <w:t>Prescriber type:</w:t>
            </w:r>
          </w:p>
        </w:tc>
        <w:tc>
          <w:tcPr>
            <w:tcW w:w="3930" w:type="pct"/>
            <w:gridSpan w:val="5"/>
            <w:tcBorders>
              <w:top w:val="single" w:sz="4" w:space="0" w:color="auto"/>
              <w:left w:val="single" w:sz="4" w:space="0" w:color="auto"/>
              <w:bottom w:val="single" w:sz="4" w:space="0" w:color="auto"/>
              <w:right w:val="single" w:sz="4" w:space="0" w:color="auto"/>
            </w:tcBorders>
          </w:tcPr>
          <w:p w:rsidR="0010522E" w:rsidRPr="00F77FD5" w:rsidRDefault="0010522E" w:rsidP="00663D98">
            <w:pPr>
              <w:spacing w:before="40" w:after="40"/>
              <w:rPr>
                <w:rFonts w:ascii="Arial Narrow" w:hAnsi="Arial Narrow" w:cs="Arial"/>
                <w:sz w:val="20"/>
                <w:szCs w:val="20"/>
              </w:rPr>
            </w:pPr>
            <w:r w:rsidRPr="007C7D16">
              <w:rPr>
                <w:rFonts w:ascii="Arial Narrow" w:hAnsi="Arial Narrow" w:cs="Arial"/>
                <w:sz w:val="20"/>
                <w:szCs w:val="20"/>
              </w:rPr>
              <w:fldChar w:fldCharType="begin">
                <w:ffData>
                  <w:name w:val="Check1"/>
                  <w:enabled/>
                  <w:calcOnExit w:val="0"/>
                  <w:checkBox>
                    <w:sizeAuto/>
                    <w:default w:val="0"/>
                  </w:checkBox>
                </w:ffData>
              </w:fldChar>
            </w:r>
            <w:r w:rsidRPr="00663D98">
              <w:rPr>
                <w:rFonts w:ascii="Arial Narrow" w:hAnsi="Arial Narrow" w:cs="Arial"/>
                <w:sz w:val="20"/>
                <w:szCs w:val="20"/>
              </w:rPr>
              <w:instrText xml:space="preserve"> FORMCHECKBOX </w:instrText>
            </w:r>
            <w:r w:rsidR="00C34BCC">
              <w:rPr>
                <w:rFonts w:ascii="Arial Narrow" w:hAnsi="Arial Narrow" w:cs="Arial"/>
                <w:sz w:val="20"/>
                <w:szCs w:val="20"/>
              </w:rPr>
            </w:r>
            <w:r w:rsidR="00C34BCC">
              <w:rPr>
                <w:rFonts w:ascii="Arial Narrow" w:hAnsi="Arial Narrow" w:cs="Arial"/>
                <w:sz w:val="20"/>
                <w:szCs w:val="20"/>
              </w:rPr>
              <w:fldChar w:fldCharType="separate"/>
            </w:r>
            <w:r w:rsidRPr="007C7D16">
              <w:rPr>
                <w:rFonts w:ascii="Arial Narrow" w:hAnsi="Arial Narrow" w:cs="Arial"/>
                <w:sz w:val="20"/>
                <w:szCs w:val="20"/>
              </w:rPr>
              <w:fldChar w:fldCharType="end"/>
            </w:r>
            <w:r w:rsidRPr="00663D98">
              <w:rPr>
                <w:rFonts w:ascii="Arial Narrow" w:hAnsi="Arial Narrow" w:cs="Arial"/>
                <w:sz w:val="20"/>
                <w:szCs w:val="20"/>
              </w:rPr>
              <w:t xml:space="preserve">Dental  </w:t>
            </w:r>
            <w:r w:rsidRPr="007C7D16">
              <w:rPr>
                <w:rFonts w:ascii="Arial Narrow" w:hAnsi="Arial Narrow" w:cs="Arial"/>
                <w:sz w:val="20"/>
                <w:szCs w:val="20"/>
              </w:rPr>
              <w:fldChar w:fldCharType="begin">
                <w:ffData>
                  <w:name w:val=""/>
                  <w:enabled/>
                  <w:calcOnExit w:val="0"/>
                  <w:checkBox>
                    <w:sizeAuto/>
                    <w:default w:val="1"/>
                  </w:checkBox>
                </w:ffData>
              </w:fldChar>
            </w:r>
            <w:r w:rsidRPr="00663D98">
              <w:rPr>
                <w:rFonts w:ascii="Arial Narrow" w:hAnsi="Arial Narrow" w:cs="Arial"/>
                <w:sz w:val="20"/>
                <w:szCs w:val="20"/>
              </w:rPr>
              <w:instrText xml:space="preserve"> FORMCHECKBOX </w:instrText>
            </w:r>
            <w:r w:rsidR="00C34BCC">
              <w:rPr>
                <w:rFonts w:ascii="Arial Narrow" w:hAnsi="Arial Narrow" w:cs="Arial"/>
                <w:sz w:val="20"/>
                <w:szCs w:val="20"/>
              </w:rPr>
            </w:r>
            <w:r w:rsidR="00C34BCC">
              <w:rPr>
                <w:rFonts w:ascii="Arial Narrow" w:hAnsi="Arial Narrow" w:cs="Arial"/>
                <w:sz w:val="20"/>
                <w:szCs w:val="20"/>
              </w:rPr>
              <w:fldChar w:fldCharType="separate"/>
            </w:r>
            <w:r w:rsidRPr="007C7D16">
              <w:rPr>
                <w:rFonts w:ascii="Arial Narrow" w:hAnsi="Arial Narrow" w:cs="Arial"/>
                <w:sz w:val="20"/>
                <w:szCs w:val="20"/>
              </w:rPr>
              <w:fldChar w:fldCharType="end"/>
            </w:r>
            <w:r w:rsidRPr="00663D98">
              <w:rPr>
                <w:rFonts w:ascii="Arial Narrow" w:hAnsi="Arial Narrow" w:cs="Arial"/>
                <w:sz w:val="20"/>
                <w:szCs w:val="20"/>
              </w:rPr>
              <w:t xml:space="preserve">Medical Practitioners  </w:t>
            </w:r>
            <w:r w:rsidRPr="007C7D16">
              <w:rPr>
                <w:rFonts w:ascii="Arial Narrow" w:hAnsi="Arial Narrow" w:cs="Arial"/>
                <w:sz w:val="20"/>
                <w:szCs w:val="20"/>
              </w:rPr>
              <w:fldChar w:fldCharType="begin">
                <w:ffData>
                  <w:name w:val="Check3"/>
                  <w:enabled/>
                  <w:calcOnExit w:val="0"/>
                  <w:checkBox>
                    <w:sizeAuto/>
                    <w:default w:val="0"/>
                  </w:checkBox>
                </w:ffData>
              </w:fldChar>
            </w:r>
            <w:r w:rsidRPr="00663D98">
              <w:rPr>
                <w:rFonts w:ascii="Arial Narrow" w:hAnsi="Arial Narrow" w:cs="Arial"/>
                <w:sz w:val="20"/>
                <w:szCs w:val="20"/>
              </w:rPr>
              <w:instrText xml:space="preserve"> FORMCHECKBOX </w:instrText>
            </w:r>
            <w:r w:rsidR="00C34BCC">
              <w:rPr>
                <w:rFonts w:ascii="Arial Narrow" w:hAnsi="Arial Narrow" w:cs="Arial"/>
                <w:sz w:val="20"/>
                <w:szCs w:val="20"/>
              </w:rPr>
            </w:r>
            <w:r w:rsidR="00C34BCC">
              <w:rPr>
                <w:rFonts w:ascii="Arial Narrow" w:hAnsi="Arial Narrow" w:cs="Arial"/>
                <w:sz w:val="20"/>
                <w:szCs w:val="20"/>
              </w:rPr>
              <w:fldChar w:fldCharType="separate"/>
            </w:r>
            <w:r w:rsidRPr="007C7D16">
              <w:rPr>
                <w:rFonts w:ascii="Arial Narrow" w:hAnsi="Arial Narrow" w:cs="Arial"/>
                <w:sz w:val="20"/>
                <w:szCs w:val="20"/>
              </w:rPr>
              <w:fldChar w:fldCharType="end"/>
            </w:r>
            <w:r w:rsidRPr="00663D98">
              <w:rPr>
                <w:rFonts w:ascii="Arial Narrow" w:hAnsi="Arial Narrow" w:cs="Arial"/>
                <w:sz w:val="20"/>
                <w:szCs w:val="20"/>
              </w:rPr>
              <w:t>Nurse practitioners</w:t>
            </w:r>
            <w:r w:rsidRPr="00F77FD5">
              <w:rPr>
                <w:rFonts w:ascii="Arial Narrow" w:hAnsi="Arial Narrow" w:cs="Arial"/>
                <w:sz w:val="20"/>
                <w:szCs w:val="20"/>
              </w:rPr>
              <w:t xml:space="preserve">  </w:t>
            </w:r>
            <w:r w:rsidRPr="007C7D16">
              <w:rPr>
                <w:rFonts w:ascii="Arial Narrow" w:hAnsi="Arial Narrow" w:cs="Arial"/>
                <w:sz w:val="20"/>
                <w:szCs w:val="20"/>
              </w:rPr>
              <w:fldChar w:fldCharType="begin">
                <w:ffData>
                  <w:name w:val=""/>
                  <w:enabled/>
                  <w:calcOnExit w:val="0"/>
                  <w:checkBox>
                    <w:sizeAuto/>
                    <w:default w:val="0"/>
                  </w:checkBox>
                </w:ffData>
              </w:fldChar>
            </w:r>
            <w:r w:rsidRPr="00663D98">
              <w:rPr>
                <w:rFonts w:ascii="Arial Narrow" w:hAnsi="Arial Narrow" w:cs="Arial"/>
                <w:sz w:val="20"/>
                <w:szCs w:val="20"/>
              </w:rPr>
              <w:instrText xml:space="preserve"> FORMCHECKBOX </w:instrText>
            </w:r>
            <w:r w:rsidR="00C34BCC">
              <w:rPr>
                <w:rFonts w:ascii="Arial Narrow" w:hAnsi="Arial Narrow" w:cs="Arial"/>
                <w:sz w:val="20"/>
                <w:szCs w:val="20"/>
              </w:rPr>
            </w:r>
            <w:r w:rsidR="00C34BCC">
              <w:rPr>
                <w:rFonts w:ascii="Arial Narrow" w:hAnsi="Arial Narrow" w:cs="Arial"/>
                <w:sz w:val="20"/>
                <w:szCs w:val="20"/>
              </w:rPr>
              <w:fldChar w:fldCharType="separate"/>
            </w:r>
            <w:r w:rsidRPr="007C7D16">
              <w:rPr>
                <w:rFonts w:ascii="Arial Narrow" w:hAnsi="Arial Narrow" w:cs="Arial"/>
                <w:sz w:val="20"/>
                <w:szCs w:val="20"/>
              </w:rPr>
              <w:fldChar w:fldCharType="end"/>
            </w:r>
            <w:r w:rsidRPr="00663D98">
              <w:rPr>
                <w:rFonts w:ascii="Arial Narrow" w:hAnsi="Arial Narrow" w:cs="Arial"/>
                <w:sz w:val="20"/>
                <w:szCs w:val="20"/>
              </w:rPr>
              <w:t>Optometrists</w:t>
            </w:r>
          </w:p>
          <w:p w:rsidR="0010522E" w:rsidRPr="00F77FD5" w:rsidRDefault="0010522E" w:rsidP="00663D98">
            <w:pPr>
              <w:spacing w:before="40" w:after="40"/>
              <w:rPr>
                <w:rFonts w:ascii="Arial Narrow" w:hAnsi="Arial Narrow" w:cs="Arial"/>
                <w:sz w:val="20"/>
                <w:szCs w:val="20"/>
              </w:rPr>
            </w:pPr>
            <w:r w:rsidRPr="007C7D16">
              <w:rPr>
                <w:rFonts w:ascii="Arial Narrow" w:hAnsi="Arial Narrow" w:cs="Arial"/>
                <w:sz w:val="20"/>
                <w:szCs w:val="20"/>
              </w:rPr>
              <w:fldChar w:fldCharType="begin">
                <w:ffData>
                  <w:name w:val="Check5"/>
                  <w:enabled/>
                  <w:calcOnExit w:val="0"/>
                  <w:checkBox>
                    <w:sizeAuto/>
                    <w:default w:val="0"/>
                  </w:checkBox>
                </w:ffData>
              </w:fldChar>
            </w:r>
            <w:r w:rsidRPr="00663D98">
              <w:rPr>
                <w:rFonts w:ascii="Arial Narrow" w:hAnsi="Arial Narrow" w:cs="Arial"/>
                <w:sz w:val="20"/>
                <w:szCs w:val="20"/>
              </w:rPr>
              <w:instrText xml:space="preserve"> FORMCHECKBOX </w:instrText>
            </w:r>
            <w:r w:rsidR="00C34BCC">
              <w:rPr>
                <w:rFonts w:ascii="Arial Narrow" w:hAnsi="Arial Narrow" w:cs="Arial"/>
                <w:sz w:val="20"/>
                <w:szCs w:val="20"/>
              </w:rPr>
            </w:r>
            <w:r w:rsidR="00C34BCC">
              <w:rPr>
                <w:rFonts w:ascii="Arial Narrow" w:hAnsi="Arial Narrow" w:cs="Arial"/>
                <w:sz w:val="20"/>
                <w:szCs w:val="20"/>
              </w:rPr>
              <w:fldChar w:fldCharType="separate"/>
            </w:r>
            <w:r w:rsidRPr="007C7D16">
              <w:rPr>
                <w:rFonts w:ascii="Arial Narrow" w:hAnsi="Arial Narrow" w:cs="Arial"/>
                <w:sz w:val="20"/>
                <w:szCs w:val="20"/>
              </w:rPr>
              <w:fldChar w:fldCharType="end"/>
            </w:r>
            <w:r w:rsidRPr="00663D98">
              <w:rPr>
                <w:rFonts w:ascii="Arial Narrow" w:hAnsi="Arial Narrow" w:cs="Arial"/>
                <w:sz w:val="20"/>
                <w:szCs w:val="20"/>
              </w:rPr>
              <w:t>Midwives</w:t>
            </w:r>
          </w:p>
        </w:tc>
      </w:tr>
      <w:tr w:rsidR="0010522E" w:rsidRPr="00663D98" w:rsidTr="0010522E">
        <w:trPr>
          <w:cantSplit/>
          <w:trHeight w:val="360"/>
        </w:trPr>
        <w:tc>
          <w:tcPr>
            <w:tcW w:w="1070" w:type="pct"/>
            <w:tcBorders>
              <w:top w:val="single" w:sz="4" w:space="0" w:color="auto"/>
              <w:left w:val="single" w:sz="4" w:space="0" w:color="auto"/>
              <w:bottom w:val="single" w:sz="4" w:space="0" w:color="auto"/>
              <w:right w:val="single" w:sz="4" w:space="0" w:color="auto"/>
            </w:tcBorders>
          </w:tcPr>
          <w:p w:rsidR="0010522E" w:rsidRPr="00663D98" w:rsidRDefault="0010522E" w:rsidP="00663D98">
            <w:pPr>
              <w:spacing w:before="40" w:after="40"/>
              <w:jc w:val="both"/>
              <w:rPr>
                <w:rFonts w:ascii="Arial Narrow" w:hAnsi="Arial Narrow" w:cs="Arial"/>
                <w:b/>
                <w:sz w:val="20"/>
                <w:szCs w:val="20"/>
              </w:rPr>
            </w:pPr>
            <w:r w:rsidRPr="00663D98">
              <w:rPr>
                <w:rFonts w:ascii="Arial Narrow" w:hAnsi="Arial Narrow" w:cs="Arial"/>
                <w:b/>
                <w:sz w:val="20"/>
                <w:szCs w:val="20"/>
              </w:rPr>
              <w:t>Severity:</w:t>
            </w:r>
          </w:p>
        </w:tc>
        <w:tc>
          <w:tcPr>
            <w:tcW w:w="3930" w:type="pct"/>
            <w:gridSpan w:val="5"/>
            <w:tcBorders>
              <w:top w:val="single" w:sz="4" w:space="0" w:color="auto"/>
              <w:left w:val="single" w:sz="4" w:space="0" w:color="auto"/>
              <w:bottom w:val="single" w:sz="4" w:space="0" w:color="auto"/>
              <w:right w:val="single" w:sz="4" w:space="0" w:color="auto"/>
            </w:tcBorders>
          </w:tcPr>
          <w:p w:rsidR="0010522E" w:rsidRPr="00663D98" w:rsidRDefault="0010522E" w:rsidP="00663D98">
            <w:pPr>
              <w:spacing w:before="40" w:after="40"/>
              <w:rPr>
                <w:rFonts w:ascii="Arial Narrow" w:hAnsi="Arial Narrow" w:cs="Arial"/>
                <w:sz w:val="20"/>
                <w:szCs w:val="20"/>
              </w:rPr>
            </w:pPr>
            <w:r w:rsidRPr="00663D98">
              <w:rPr>
                <w:rFonts w:ascii="Arial Narrow" w:hAnsi="Arial Narrow" w:cs="Arial"/>
                <w:sz w:val="20"/>
                <w:szCs w:val="20"/>
              </w:rPr>
              <w:t xml:space="preserve">Metastatic </w:t>
            </w:r>
          </w:p>
        </w:tc>
      </w:tr>
      <w:tr w:rsidR="0010522E" w:rsidRPr="00663D98" w:rsidTr="0010522E">
        <w:trPr>
          <w:cantSplit/>
          <w:trHeight w:val="360"/>
        </w:trPr>
        <w:tc>
          <w:tcPr>
            <w:tcW w:w="1070" w:type="pct"/>
            <w:tcBorders>
              <w:top w:val="single" w:sz="4" w:space="0" w:color="auto"/>
              <w:left w:val="single" w:sz="4" w:space="0" w:color="auto"/>
              <w:bottom w:val="single" w:sz="4" w:space="0" w:color="auto"/>
              <w:right w:val="single" w:sz="4" w:space="0" w:color="auto"/>
            </w:tcBorders>
          </w:tcPr>
          <w:p w:rsidR="0010522E" w:rsidRPr="00663D98" w:rsidRDefault="0010522E" w:rsidP="00663D98">
            <w:pPr>
              <w:spacing w:before="40" w:after="40"/>
              <w:jc w:val="both"/>
              <w:rPr>
                <w:rFonts w:ascii="Arial Narrow" w:hAnsi="Arial Narrow" w:cs="Arial"/>
                <w:b/>
                <w:sz w:val="20"/>
                <w:szCs w:val="20"/>
              </w:rPr>
            </w:pPr>
            <w:r w:rsidRPr="00663D98">
              <w:rPr>
                <w:rFonts w:ascii="Arial Narrow" w:hAnsi="Arial Narrow" w:cs="Arial"/>
                <w:b/>
                <w:sz w:val="20"/>
                <w:szCs w:val="20"/>
              </w:rPr>
              <w:t>Condition:</w:t>
            </w:r>
          </w:p>
        </w:tc>
        <w:tc>
          <w:tcPr>
            <w:tcW w:w="3930" w:type="pct"/>
            <w:gridSpan w:val="5"/>
            <w:tcBorders>
              <w:top w:val="single" w:sz="4" w:space="0" w:color="auto"/>
              <w:left w:val="single" w:sz="4" w:space="0" w:color="auto"/>
              <w:bottom w:val="single" w:sz="4" w:space="0" w:color="auto"/>
              <w:right w:val="single" w:sz="4" w:space="0" w:color="auto"/>
            </w:tcBorders>
          </w:tcPr>
          <w:p w:rsidR="0010522E" w:rsidRPr="00663D98" w:rsidRDefault="0010522E" w:rsidP="00663D98">
            <w:pPr>
              <w:spacing w:before="40" w:after="40"/>
              <w:rPr>
                <w:rFonts w:ascii="Arial Narrow" w:hAnsi="Arial Narrow" w:cs="Arial"/>
                <w:sz w:val="20"/>
                <w:szCs w:val="20"/>
              </w:rPr>
            </w:pPr>
            <w:r w:rsidRPr="00663D98">
              <w:rPr>
                <w:rFonts w:ascii="Arial Narrow" w:hAnsi="Arial Narrow" w:cs="Arial"/>
                <w:sz w:val="20"/>
                <w:szCs w:val="20"/>
              </w:rPr>
              <w:t>Metastatic colorectal cancer</w:t>
            </w:r>
          </w:p>
        </w:tc>
      </w:tr>
      <w:tr w:rsidR="0010522E" w:rsidRPr="00663D98" w:rsidTr="0010522E">
        <w:trPr>
          <w:cantSplit/>
          <w:trHeight w:val="360"/>
        </w:trPr>
        <w:tc>
          <w:tcPr>
            <w:tcW w:w="1070" w:type="pct"/>
            <w:tcBorders>
              <w:top w:val="single" w:sz="4" w:space="0" w:color="auto"/>
              <w:left w:val="single" w:sz="4" w:space="0" w:color="auto"/>
              <w:bottom w:val="single" w:sz="4" w:space="0" w:color="auto"/>
              <w:right w:val="single" w:sz="4" w:space="0" w:color="auto"/>
            </w:tcBorders>
          </w:tcPr>
          <w:p w:rsidR="0010522E" w:rsidRPr="00663D98" w:rsidRDefault="0010522E" w:rsidP="00663D98">
            <w:pPr>
              <w:spacing w:before="40" w:after="40"/>
              <w:jc w:val="both"/>
              <w:rPr>
                <w:rFonts w:ascii="Arial Narrow" w:hAnsi="Arial Narrow" w:cs="Arial"/>
                <w:b/>
                <w:sz w:val="20"/>
                <w:szCs w:val="20"/>
              </w:rPr>
            </w:pPr>
            <w:r w:rsidRPr="00663D98">
              <w:rPr>
                <w:rFonts w:ascii="Arial Narrow" w:hAnsi="Arial Narrow" w:cs="Arial"/>
                <w:b/>
                <w:sz w:val="20"/>
                <w:szCs w:val="20"/>
              </w:rPr>
              <w:t>PBS Indication:</w:t>
            </w:r>
          </w:p>
        </w:tc>
        <w:tc>
          <w:tcPr>
            <w:tcW w:w="3930" w:type="pct"/>
            <w:gridSpan w:val="5"/>
            <w:tcBorders>
              <w:top w:val="single" w:sz="4" w:space="0" w:color="auto"/>
              <w:left w:val="single" w:sz="4" w:space="0" w:color="auto"/>
              <w:bottom w:val="single" w:sz="4" w:space="0" w:color="auto"/>
              <w:right w:val="single" w:sz="4" w:space="0" w:color="auto"/>
            </w:tcBorders>
          </w:tcPr>
          <w:p w:rsidR="0010522E" w:rsidRPr="00663D98" w:rsidRDefault="0010522E" w:rsidP="00663D98">
            <w:pPr>
              <w:spacing w:before="40" w:after="40"/>
              <w:rPr>
                <w:rFonts w:ascii="Arial Narrow" w:hAnsi="Arial Narrow" w:cs="Arial"/>
                <w:sz w:val="20"/>
                <w:szCs w:val="20"/>
              </w:rPr>
            </w:pPr>
            <w:r w:rsidRPr="00663D98">
              <w:rPr>
                <w:rFonts w:ascii="Arial Narrow" w:hAnsi="Arial Narrow" w:cs="Arial"/>
                <w:sz w:val="20"/>
                <w:szCs w:val="20"/>
              </w:rPr>
              <w:t xml:space="preserve">Metastatic colorectal cancer </w:t>
            </w:r>
          </w:p>
        </w:tc>
      </w:tr>
      <w:tr w:rsidR="0010522E" w:rsidRPr="00663D98" w:rsidTr="0010522E">
        <w:trPr>
          <w:cantSplit/>
          <w:trHeight w:val="360"/>
        </w:trPr>
        <w:tc>
          <w:tcPr>
            <w:tcW w:w="1070" w:type="pct"/>
            <w:tcBorders>
              <w:top w:val="single" w:sz="4" w:space="0" w:color="auto"/>
              <w:left w:val="single" w:sz="4" w:space="0" w:color="auto"/>
              <w:bottom w:val="single" w:sz="4" w:space="0" w:color="auto"/>
              <w:right w:val="single" w:sz="4" w:space="0" w:color="auto"/>
            </w:tcBorders>
          </w:tcPr>
          <w:p w:rsidR="0010522E" w:rsidRPr="00663D98" w:rsidRDefault="0010522E" w:rsidP="00663D98">
            <w:pPr>
              <w:spacing w:before="40" w:after="40"/>
              <w:jc w:val="both"/>
              <w:rPr>
                <w:rFonts w:ascii="Arial Narrow" w:hAnsi="Arial Narrow" w:cs="Arial"/>
                <w:b/>
                <w:sz w:val="20"/>
                <w:szCs w:val="20"/>
              </w:rPr>
            </w:pPr>
            <w:r w:rsidRPr="00663D98">
              <w:rPr>
                <w:rFonts w:ascii="Arial Narrow" w:hAnsi="Arial Narrow" w:cs="Arial"/>
                <w:b/>
                <w:sz w:val="20"/>
                <w:szCs w:val="20"/>
              </w:rPr>
              <w:t>Treatment phase:</w:t>
            </w:r>
          </w:p>
        </w:tc>
        <w:tc>
          <w:tcPr>
            <w:tcW w:w="3930" w:type="pct"/>
            <w:gridSpan w:val="5"/>
            <w:tcBorders>
              <w:top w:val="single" w:sz="4" w:space="0" w:color="auto"/>
              <w:left w:val="single" w:sz="4" w:space="0" w:color="auto"/>
              <w:bottom w:val="single" w:sz="4" w:space="0" w:color="auto"/>
              <w:right w:val="single" w:sz="4" w:space="0" w:color="auto"/>
            </w:tcBorders>
          </w:tcPr>
          <w:p w:rsidR="0010522E" w:rsidRPr="00663D98" w:rsidRDefault="0010522E" w:rsidP="00663D98">
            <w:pPr>
              <w:spacing w:before="40" w:after="40"/>
              <w:rPr>
                <w:rFonts w:ascii="Arial Narrow" w:hAnsi="Arial Narrow" w:cs="Arial"/>
                <w:sz w:val="20"/>
                <w:szCs w:val="20"/>
              </w:rPr>
            </w:pPr>
            <w:r w:rsidRPr="00663D98">
              <w:rPr>
                <w:rFonts w:ascii="Arial Narrow" w:hAnsi="Arial Narrow" w:cs="Arial"/>
                <w:sz w:val="20"/>
                <w:szCs w:val="20"/>
              </w:rPr>
              <w:t xml:space="preserve">Initial treatment </w:t>
            </w:r>
          </w:p>
        </w:tc>
      </w:tr>
      <w:tr w:rsidR="0010522E" w:rsidRPr="00663D98" w:rsidTr="0010522E">
        <w:trPr>
          <w:cantSplit/>
          <w:trHeight w:val="360"/>
        </w:trPr>
        <w:tc>
          <w:tcPr>
            <w:tcW w:w="1070" w:type="pct"/>
            <w:tcBorders>
              <w:top w:val="single" w:sz="4" w:space="0" w:color="auto"/>
              <w:left w:val="single" w:sz="4" w:space="0" w:color="auto"/>
              <w:bottom w:val="single" w:sz="4" w:space="0" w:color="auto"/>
              <w:right w:val="single" w:sz="4" w:space="0" w:color="auto"/>
            </w:tcBorders>
          </w:tcPr>
          <w:p w:rsidR="0010522E" w:rsidRPr="00663D98" w:rsidRDefault="0010522E" w:rsidP="00663D98">
            <w:pPr>
              <w:spacing w:before="40" w:after="40"/>
              <w:jc w:val="both"/>
              <w:rPr>
                <w:rFonts w:ascii="Arial Narrow" w:hAnsi="Arial Narrow" w:cs="Arial"/>
                <w:b/>
                <w:sz w:val="20"/>
                <w:szCs w:val="20"/>
              </w:rPr>
            </w:pPr>
            <w:r w:rsidRPr="00663D98">
              <w:rPr>
                <w:rFonts w:ascii="Arial Narrow" w:hAnsi="Arial Narrow" w:cs="Arial"/>
                <w:b/>
                <w:sz w:val="20"/>
                <w:szCs w:val="20"/>
              </w:rPr>
              <w:t>Restriction Level / Method:</w:t>
            </w:r>
          </w:p>
          <w:p w:rsidR="0010522E" w:rsidRPr="00663D98" w:rsidRDefault="0010522E" w:rsidP="00663D98">
            <w:pPr>
              <w:spacing w:before="40" w:after="40"/>
              <w:rPr>
                <w:rFonts w:ascii="Arial Narrow" w:hAnsi="Arial Narrow" w:cs="Arial"/>
                <w:sz w:val="20"/>
                <w:szCs w:val="20"/>
              </w:rPr>
            </w:pPr>
          </w:p>
        </w:tc>
        <w:tc>
          <w:tcPr>
            <w:tcW w:w="3930" w:type="pct"/>
            <w:gridSpan w:val="5"/>
            <w:tcBorders>
              <w:top w:val="single" w:sz="4" w:space="0" w:color="auto"/>
              <w:left w:val="single" w:sz="4" w:space="0" w:color="auto"/>
              <w:bottom w:val="single" w:sz="4" w:space="0" w:color="auto"/>
              <w:right w:val="single" w:sz="4" w:space="0" w:color="auto"/>
            </w:tcBorders>
          </w:tcPr>
          <w:p w:rsidR="0010522E" w:rsidRPr="00F77FD5" w:rsidRDefault="0010522E" w:rsidP="00663D98">
            <w:pPr>
              <w:spacing w:before="40" w:after="40"/>
              <w:rPr>
                <w:rFonts w:ascii="Arial Narrow" w:hAnsi="Arial Narrow" w:cs="Arial"/>
                <w:sz w:val="20"/>
                <w:szCs w:val="20"/>
              </w:rPr>
            </w:pPr>
            <w:r w:rsidRPr="007C7D16">
              <w:rPr>
                <w:rFonts w:ascii="Arial Narrow" w:hAnsi="Arial Narrow" w:cs="Arial"/>
                <w:sz w:val="20"/>
                <w:szCs w:val="20"/>
              </w:rPr>
              <w:fldChar w:fldCharType="begin">
                <w:ffData>
                  <w:name w:val="Check1"/>
                  <w:enabled/>
                  <w:calcOnExit w:val="0"/>
                  <w:checkBox>
                    <w:sizeAuto/>
                    <w:default w:val="0"/>
                  </w:checkBox>
                </w:ffData>
              </w:fldChar>
            </w:r>
            <w:r w:rsidRPr="00663D98">
              <w:rPr>
                <w:rFonts w:ascii="Arial Narrow" w:hAnsi="Arial Narrow" w:cs="Arial"/>
                <w:sz w:val="20"/>
                <w:szCs w:val="20"/>
              </w:rPr>
              <w:instrText xml:space="preserve"> FORMCHECKBOX </w:instrText>
            </w:r>
            <w:r w:rsidR="00C34BCC">
              <w:rPr>
                <w:rFonts w:ascii="Arial Narrow" w:hAnsi="Arial Narrow" w:cs="Arial"/>
                <w:sz w:val="20"/>
                <w:szCs w:val="20"/>
              </w:rPr>
            </w:r>
            <w:r w:rsidR="00C34BCC">
              <w:rPr>
                <w:rFonts w:ascii="Arial Narrow" w:hAnsi="Arial Narrow" w:cs="Arial"/>
                <w:sz w:val="20"/>
                <w:szCs w:val="20"/>
              </w:rPr>
              <w:fldChar w:fldCharType="separate"/>
            </w:r>
            <w:r w:rsidRPr="007C7D16">
              <w:rPr>
                <w:rFonts w:ascii="Arial Narrow" w:hAnsi="Arial Narrow" w:cs="Arial"/>
                <w:sz w:val="20"/>
                <w:szCs w:val="20"/>
              </w:rPr>
              <w:fldChar w:fldCharType="end"/>
            </w:r>
            <w:r w:rsidRPr="00663D98">
              <w:rPr>
                <w:rFonts w:ascii="Arial Narrow" w:hAnsi="Arial Narrow" w:cs="Arial"/>
                <w:sz w:val="20"/>
                <w:szCs w:val="20"/>
              </w:rPr>
              <w:t>Restricted benefit</w:t>
            </w:r>
          </w:p>
          <w:p w:rsidR="0010522E" w:rsidRPr="00F77FD5" w:rsidRDefault="0010522E" w:rsidP="00663D98">
            <w:pPr>
              <w:spacing w:before="40" w:after="40"/>
              <w:rPr>
                <w:rFonts w:ascii="Arial Narrow" w:hAnsi="Arial Narrow" w:cs="Arial"/>
                <w:sz w:val="20"/>
                <w:szCs w:val="20"/>
              </w:rPr>
            </w:pPr>
            <w:r w:rsidRPr="007C7D16">
              <w:rPr>
                <w:rFonts w:ascii="Arial Narrow" w:hAnsi="Arial Narrow" w:cs="Arial"/>
                <w:sz w:val="20"/>
                <w:szCs w:val="20"/>
              </w:rPr>
              <w:fldChar w:fldCharType="begin">
                <w:ffData>
                  <w:name w:val=""/>
                  <w:enabled/>
                  <w:calcOnExit w:val="0"/>
                  <w:checkBox>
                    <w:sizeAuto/>
                    <w:default w:val="0"/>
                  </w:checkBox>
                </w:ffData>
              </w:fldChar>
            </w:r>
            <w:r w:rsidRPr="00663D98">
              <w:rPr>
                <w:rFonts w:ascii="Arial Narrow" w:hAnsi="Arial Narrow" w:cs="Arial"/>
                <w:sz w:val="20"/>
                <w:szCs w:val="20"/>
              </w:rPr>
              <w:instrText xml:space="preserve"> FORMCHECKBOX </w:instrText>
            </w:r>
            <w:r w:rsidR="00C34BCC">
              <w:rPr>
                <w:rFonts w:ascii="Arial Narrow" w:hAnsi="Arial Narrow" w:cs="Arial"/>
                <w:sz w:val="20"/>
                <w:szCs w:val="20"/>
              </w:rPr>
            </w:r>
            <w:r w:rsidR="00C34BCC">
              <w:rPr>
                <w:rFonts w:ascii="Arial Narrow" w:hAnsi="Arial Narrow" w:cs="Arial"/>
                <w:sz w:val="20"/>
                <w:szCs w:val="20"/>
              </w:rPr>
              <w:fldChar w:fldCharType="separate"/>
            </w:r>
            <w:r w:rsidRPr="007C7D16">
              <w:rPr>
                <w:rFonts w:ascii="Arial Narrow" w:hAnsi="Arial Narrow" w:cs="Arial"/>
                <w:sz w:val="20"/>
                <w:szCs w:val="20"/>
              </w:rPr>
              <w:fldChar w:fldCharType="end"/>
            </w:r>
            <w:r w:rsidRPr="00663D98">
              <w:rPr>
                <w:rFonts w:ascii="Arial Narrow" w:hAnsi="Arial Narrow" w:cs="Arial"/>
                <w:sz w:val="20"/>
                <w:szCs w:val="20"/>
              </w:rPr>
              <w:t>Authority Required - In Writing</w:t>
            </w:r>
          </w:p>
          <w:p w:rsidR="0010522E" w:rsidRPr="00F77FD5" w:rsidRDefault="0010522E" w:rsidP="00663D98">
            <w:pPr>
              <w:spacing w:before="40" w:after="40"/>
              <w:rPr>
                <w:rFonts w:ascii="Arial Narrow" w:hAnsi="Arial Narrow" w:cs="Arial"/>
                <w:sz w:val="20"/>
                <w:szCs w:val="20"/>
              </w:rPr>
            </w:pPr>
            <w:r w:rsidRPr="007C7D16">
              <w:rPr>
                <w:rFonts w:ascii="Arial Narrow" w:hAnsi="Arial Narrow" w:cs="Arial"/>
                <w:sz w:val="20"/>
                <w:szCs w:val="20"/>
              </w:rPr>
              <w:fldChar w:fldCharType="begin">
                <w:ffData>
                  <w:name w:val="Check3"/>
                  <w:enabled/>
                  <w:calcOnExit w:val="0"/>
                  <w:checkBox>
                    <w:sizeAuto/>
                    <w:default w:val="0"/>
                  </w:checkBox>
                </w:ffData>
              </w:fldChar>
            </w:r>
            <w:r w:rsidRPr="00663D98">
              <w:rPr>
                <w:rFonts w:ascii="Arial Narrow" w:hAnsi="Arial Narrow" w:cs="Arial"/>
                <w:sz w:val="20"/>
                <w:szCs w:val="20"/>
              </w:rPr>
              <w:instrText xml:space="preserve"> FORMCHECKBOX </w:instrText>
            </w:r>
            <w:r w:rsidR="00C34BCC">
              <w:rPr>
                <w:rFonts w:ascii="Arial Narrow" w:hAnsi="Arial Narrow" w:cs="Arial"/>
                <w:sz w:val="20"/>
                <w:szCs w:val="20"/>
              </w:rPr>
            </w:r>
            <w:r w:rsidR="00C34BCC">
              <w:rPr>
                <w:rFonts w:ascii="Arial Narrow" w:hAnsi="Arial Narrow" w:cs="Arial"/>
                <w:sz w:val="20"/>
                <w:szCs w:val="20"/>
              </w:rPr>
              <w:fldChar w:fldCharType="separate"/>
            </w:r>
            <w:r w:rsidRPr="007C7D16">
              <w:rPr>
                <w:rFonts w:ascii="Arial Narrow" w:hAnsi="Arial Narrow" w:cs="Arial"/>
                <w:sz w:val="20"/>
                <w:szCs w:val="20"/>
              </w:rPr>
              <w:fldChar w:fldCharType="end"/>
            </w:r>
            <w:r w:rsidRPr="00663D98">
              <w:rPr>
                <w:rFonts w:ascii="Arial Narrow" w:hAnsi="Arial Narrow" w:cs="Arial"/>
                <w:sz w:val="20"/>
                <w:szCs w:val="20"/>
              </w:rPr>
              <w:t>Authority Required - Telephone</w:t>
            </w:r>
          </w:p>
          <w:p w:rsidR="0010522E" w:rsidRPr="00F77FD5" w:rsidRDefault="0010522E" w:rsidP="00663D98">
            <w:pPr>
              <w:spacing w:before="40" w:after="40"/>
              <w:rPr>
                <w:rFonts w:ascii="Arial Narrow" w:hAnsi="Arial Narrow" w:cs="Arial"/>
                <w:sz w:val="20"/>
                <w:szCs w:val="20"/>
              </w:rPr>
            </w:pPr>
            <w:r w:rsidRPr="007C7D16">
              <w:rPr>
                <w:rFonts w:ascii="Arial Narrow" w:hAnsi="Arial Narrow" w:cs="Arial"/>
                <w:sz w:val="20"/>
                <w:szCs w:val="20"/>
              </w:rPr>
              <w:fldChar w:fldCharType="begin">
                <w:ffData>
                  <w:name w:val=""/>
                  <w:enabled/>
                  <w:calcOnExit w:val="0"/>
                  <w:checkBox>
                    <w:sizeAuto/>
                    <w:default w:val="0"/>
                  </w:checkBox>
                </w:ffData>
              </w:fldChar>
            </w:r>
            <w:r w:rsidRPr="00663D98">
              <w:rPr>
                <w:rFonts w:ascii="Arial Narrow" w:hAnsi="Arial Narrow" w:cs="Arial"/>
                <w:sz w:val="20"/>
                <w:szCs w:val="20"/>
              </w:rPr>
              <w:instrText xml:space="preserve"> FORMCHECKBOX </w:instrText>
            </w:r>
            <w:r w:rsidR="00C34BCC">
              <w:rPr>
                <w:rFonts w:ascii="Arial Narrow" w:hAnsi="Arial Narrow" w:cs="Arial"/>
                <w:sz w:val="20"/>
                <w:szCs w:val="20"/>
              </w:rPr>
            </w:r>
            <w:r w:rsidR="00C34BCC">
              <w:rPr>
                <w:rFonts w:ascii="Arial Narrow" w:hAnsi="Arial Narrow" w:cs="Arial"/>
                <w:sz w:val="20"/>
                <w:szCs w:val="20"/>
              </w:rPr>
              <w:fldChar w:fldCharType="separate"/>
            </w:r>
            <w:r w:rsidRPr="007C7D16">
              <w:rPr>
                <w:rFonts w:ascii="Arial Narrow" w:hAnsi="Arial Narrow" w:cs="Arial"/>
                <w:sz w:val="20"/>
                <w:szCs w:val="20"/>
              </w:rPr>
              <w:fldChar w:fldCharType="end"/>
            </w:r>
            <w:r w:rsidRPr="00663D98">
              <w:rPr>
                <w:rFonts w:ascii="Arial Narrow" w:hAnsi="Arial Narrow" w:cs="Arial"/>
                <w:sz w:val="20"/>
                <w:szCs w:val="20"/>
              </w:rPr>
              <w:t>Authority Required – Emergency</w:t>
            </w:r>
          </w:p>
          <w:p w:rsidR="0010522E" w:rsidRPr="00F77FD5" w:rsidRDefault="0010522E" w:rsidP="00663D98">
            <w:pPr>
              <w:spacing w:before="40" w:after="40"/>
              <w:rPr>
                <w:rFonts w:ascii="Arial Narrow" w:hAnsi="Arial Narrow" w:cs="Arial"/>
                <w:sz w:val="20"/>
                <w:szCs w:val="20"/>
              </w:rPr>
            </w:pPr>
            <w:r w:rsidRPr="007C7D16">
              <w:rPr>
                <w:rFonts w:ascii="Arial Narrow" w:hAnsi="Arial Narrow" w:cs="Arial"/>
                <w:sz w:val="20"/>
                <w:szCs w:val="20"/>
              </w:rPr>
              <w:fldChar w:fldCharType="begin">
                <w:ffData>
                  <w:name w:val="Check5"/>
                  <w:enabled/>
                  <w:calcOnExit w:val="0"/>
                  <w:checkBox>
                    <w:sizeAuto/>
                    <w:default w:val="0"/>
                  </w:checkBox>
                </w:ffData>
              </w:fldChar>
            </w:r>
            <w:r w:rsidRPr="00663D98">
              <w:rPr>
                <w:rFonts w:ascii="Arial Narrow" w:hAnsi="Arial Narrow" w:cs="Arial"/>
                <w:sz w:val="20"/>
                <w:szCs w:val="20"/>
              </w:rPr>
              <w:instrText xml:space="preserve"> FORMCHECKBOX </w:instrText>
            </w:r>
            <w:r w:rsidR="00C34BCC">
              <w:rPr>
                <w:rFonts w:ascii="Arial Narrow" w:hAnsi="Arial Narrow" w:cs="Arial"/>
                <w:sz w:val="20"/>
                <w:szCs w:val="20"/>
              </w:rPr>
            </w:r>
            <w:r w:rsidR="00C34BCC">
              <w:rPr>
                <w:rFonts w:ascii="Arial Narrow" w:hAnsi="Arial Narrow" w:cs="Arial"/>
                <w:sz w:val="20"/>
                <w:szCs w:val="20"/>
              </w:rPr>
              <w:fldChar w:fldCharType="separate"/>
            </w:r>
            <w:r w:rsidRPr="007C7D16">
              <w:rPr>
                <w:rFonts w:ascii="Arial Narrow" w:hAnsi="Arial Narrow" w:cs="Arial"/>
                <w:sz w:val="20"/>
                <w:szCs w:val="20"/>
              </w:rPr>
              <w:fldChar w:fldCharType="end"/>
            </w:r>
            <w:r w:rsidRPr="00663D98">
              <w:rPr>
                <w:rFonts w:ascii="Arial Narrow" w:hAnsi="Arial Narrow" w:cs="Arial"/>
                <w:sz w:val="20"/>
                <w:szCs w:val="20"/>
              </w:rPr>
              <w:t>Authority Required - Electronic</w:t>
            </w:r>
          </w:p>
          <w:p w:rsidR="0010522E" w:rsidRPr="00F77FD5" w:rsidRDefault="0010522E" w:rsidP="00663D98">
            <w:pPr>
              <w:spacing w:before="40" w:after="40"/>
              <w:rPr>
                <w:rFonts w:ascii="Arial Narrow" w:hAnsi="Arial Narrow" w:cs="Arial"/>
                <w:sz w:val="20"/>
                <w:szCs w:val="20"/>
              </w:rPr>
            </w:pPr>
            <w:r w:rsidRPr="007C7D16">
              <w:rPr>
                <w:rFonts w:ascii="Arial Narrow" w:hAnsi="Arial Narrow" w:cs="Arial"/>
                <w:sz w:val="20"/>
                <w:szCs w:val="20"/>
              </w:rPr>
              <w:fldChar w:fldCharType="begin">
                <w:ffData>
                  <w:name w:val="Check5"/>
                  <w:enabled/>
                  <w:calcOnExit w:val="0"/>
                  <w:checkBox>
                    <w:sizeAuto/>
                    <w:default w:val="1"/>
                  </w:checkBox>
                </w:ffData>
              </w:fldChar>
            </w:r>
            <w:r w:rsidRPr="00663D98">
              <w:rPr>
                <w:rFonts w:ascii="Arial Narrow" w:hAnsi="Arial Narrow" w:cs="Arial"/>
                <w:sz w:val="20"/>
                <w:szCs w:val="20"/>
              </w:rPr>
              <w:instrText xml:space="preserve"> FORMCHECKBOX </w:instrText>
            </w:r>
            <w:r w:rsidR="00C34BCC">
              <w:rPr>
                <w:rFonts w:ascii="Arial Narrow" w:hAnsi="Arial Narrow" w:cs="Arial"/>
                <w:sz w:val="20"/>
                <w:szCs w:val="20"/>
              </w:rPr>
            </w:r>
            <w:r w:rsidR="00C34BCC">
              <w:rPr>
                <w:rFonts w:ascii="Arial Narrow" w:hAnsi="Arial Narrow" w:cs="Arial"/>
                <w:sz w:val="20"/>
                <w:szCs w:val="20"/>
              </w:rPr>
              <w:fldChar w:fldCharType="separate"/>
            </w:r>
            <w:r w:rsidRPr="007C7D16">
              <w:rPr>
                <w:rFonts w:ascii="Arial Narrow" w:hAnsi="Arial Narrow" w:cs="Arial"/>
                <w:sz w:val="20"/>
                <w:szCs w:val="20"/>
              </w:rPr>
              <w:fldChar w:fldCharType="end"/>
            </w:r>
            <w:r w:rsidRPr="00663D98">
              <w:rPr>
                <w:rFonts w:ascii="Arial Narrow" w:hAnsi="Arial Narrow" w:cs="Arial"/>
                <w:sz w:val="20"/>
                <w:szCs w:val="20"/>
              </w:rPr>
              <w:t>Streamlined</w:t>
            </w:r>
          </w:p>
        </w:tc>
      </w:tr>
      <w:tr w:rsidR="0010522E" w:rsidRPr="00663D98" w:rsidTr="0010522E">
        <w:trPr>
          <w:cantSplit/>
          <w:trHeight w:val="360"/>
        </w:trPr>
        <w:tc>
          <w:tcPr>
            <w:tcW w:w="1070" w:type="pct"/>
            <w:tcBorders>
              <w:top w:val="single" w:sz="4" w:space="0" w:color="auto"/>
              <w:left w:val="single" w:sz="4" w:space="0" w:color="auto"/>
              <w:bottom w:val="single" w:sz="4" w:space="0" w:color="auto"/>
              <w:right w:val="single" w:sz="4" w:space="0" w:color="auto"/>
            </w:tcBorders>
          </w:tcPr>
          <w:p w:rsidR="0010522E" w:rsidRPr="00663D98" w:rsidRDefault="0010522E" w:rsidP="00663D98">
            <w:pPr>
              <w:spacing w:before="40" w:after="40"/>
              <w:jc w:val="both"/>
              <w:rPr>
                <w:rFonts w:ascii="Arial Narrow" w:hAnsi="Arial Narrow" w:cs="Arial"/>
                <w:b/>
                <w:sz w:val="20"/>
                <w:szCs w:val="20"/>
              </w:rPr>
            </w:pPr>
            <w:r w:rsidRPr="00663D98">
              <w:rPr>
                <w:rFonts w:ascii="Arial Narrow" w:hAnsi="Arial Narrow" w:cs="Arial"/>
                <w:b/>
                <w:sz w:val="20"/>
                <w:szCs w:val="20"/>
              </w:rPr>
              <w:t>Clinical criteria:</w:t>
            </w:r>
          </w:p>
          <w:p w:rsidR="0010522E" w:rsidRPr="00663D98" w:rsidRDefault="0010522E" w:rsidP="00663D98">
            <w:pPr>
              <w:spacing w:before="40" w:after="40"/>
              <w:jc w:val="both"/>
              <w:rPr>
                <w:rFonts w:ascii="Arial Narrow" w:hAnsi="Arial Narrow" w:cs="Arial"/>
                <w:sz w:val="20"/>
                <w:szCs w:val="20"/>
              </w:rPr>
            </w:pPr>
          </w:p>
        </w:tc>
        <w:tc>
          <w:tcPr>
            <w:tcW w:w="3930" w:type="pct"/>
            <w:gridSpan w:val="5"/>
            <w:tcBorders>
              <w:top w:val="single" w:sz="4" w:space="0" w:color="auto"/>
              <w:left w:val="single" w:sz="4" w:space="0" w:color="auto"/>
              <w:bottom w:val="single" w:sz="4" w:space="0" w:color="auto"/>
              <w:right w:val="single" w:sz="4" w:space="0" w:color="auto"/>
            </w:tcBorders>
          </w:tcPr>
          <w:p w:rsidR="0010522E" w:rsidRPr="00663D98" w:rsidRDefault="0010522E" w:rsidP="00663D98">
            <w:pPr>
              <w:rPr>
                <w:rFonts w:ascii="Arial Narrow" w:hAnsi="Arial Narrow" w:cs="Arial"/>
                <w:sz w:val="20"/>
                <w:szCs w:val="20"/>
                <w:lang w:eastAsia="en-US" w:bidi="en-US"/>
              </w:rPr>
            </w:pPr>
            <w:r w:rsidRPr="00663D98">
              <w:rPr>
                <w:rFonts w:ascii="Arial Narrow" w:hAnsi="Arial Narrow" w:cs="Arial"/>
                <w:sz w:val="20"/>
                <w:szCs w:val="20"/>
                <w:lang w:eastAsia="en-US" w:bidi="en-US"/>
              </w:rPr>
              <w:t>Patient must have a WHO performance status of 1 or less,</w:t>
            </w:r>
          </w:p>
          <w:p w:rsidR="0010522E" w:rsidRPr="00663D98" w:rsidRDefault="0010522E" w:rsidP="00663D98">
            <w:pPr>
              <w:rPr>
                <w:rFonts w:ascii="Arial Narrow" w:hAnsi="Arial Narrow" w:cs="Arial"/>
                <w:sz w:val="20"/>
                <w:szCs w:val="20"/>
                <w:lang w:eastAsia="en-US" w:bidi="en-US"/>
              </w:rPr>
            </w:pPr>
          </w:p>
          <w:p w:rsidR="0010522E" w:rsidRPr="00663D98" w:rsidRDefault="0010522E" w:rsidP="00663D98">
            <w:pPr>
              <w:rPr>
                <w:rFonts w:ascii="Arial Narrow" w:hAnsi="Arial Narrow" w:cs="Arial"/>
                <w:sz w:val="20"/>
                <w:szCs w:val="20"/>
                <w:lang w:eastAsia="en-US" w:bidi="en-US"/>
              </w:rPr>
            </w:pPr>
            <w:r w:rsidRPr="00663D98">
              <w:rPr>
                <w:rFonts w:ascii="Arial Narrow" w:hAnsi="Arial Narrow" w:cs="Arial"/>
                <w:sz w:val="20"/>
                <w:szCs w:val="20"/>
                <w:lang w:eastAsia="en-US" w:bidi="en-US"/>
              </w:rPr>
              <w:t>AND</w:t>
            </w:r>
          </w:p>
          <w:p w:rsidR="0010522E" w:rsidRPr="00663D98" w:rsidRDefault="0010522E" w:rsidP="00663D98">
            <w:pPr>
              <w:jc w:val="both"/>
              <w:rPr>
                <w:rFonts w:ascii="Arial Narrow" w:hAnsi="Arial Narrow" w:cs="Arial"/>
                <w:snapToGrid w:val="0"/>
                <w:sz w:val="20"/>
                <w:szCs w:val="20"/>
                <w:lang w:eastAsia="en-US" w:bidi="en-US"/>
              </w:rPr>
            </w:pPr>
          </w:p>
          <w:p w:rsidR="0010522E" w:rsidRPr="00663D98" w:rsidRDefault="0010522E" w:rsidP="00663D98">
            <w:pPr>
              <w:jc w:val="both"/>
              <w:rPr>
                <w:rFonts w:ascii="Arial Narrow" w:hAnsi="Arial Narrow" w:cs="Arial"/>
                <w:snapToGrid w:val="0"/>
                <w:sz w:val="20"/>
                <w:szCs w:val="20"/>
                <w:lang w:eastAsia="en-US" w:bidi="en-US"/>
              </w:rPr>
            </w:pPr>
            <w:r w:rsidRPr="00663D98">
              <w:rPr>
                <w:rFonts w:ascii="Arial Narrow" w:hAnsi="Arial Narrow" w:cs="Arial"/>
                <w:snapToGrid w:val="0"/>
                <w:sz w:val="20"/>
                <w:szCs w:val="20"/>
                <w:lang w:eastAsia="en-US" w:bidi="en-US"/>
              </w:rPr>
              <w:t>Patient must have previously received treatment with fluoropyrimidine, oxaliplatin, irinotecan-based chemotherapies, an anti-VEGF agent and an anti-EGFR agent, OR</w:t>
            </w:r>
          </w:p>
          <w:p w:rsidR="0010522E" w:rsidRPr="00663D98" w:rsidRDefault="0010522E" w:rsidP="00663D98">
            <w:pPr>
              <w:jc w:val="both"/>
              <w:rPr>
                <w:rFonts w:ascii="Arial Narrow" w:hAnsi="Arial Narrow" w:cs="Arial"/>
                <w:snapToGrid w:val="0"/>
                <w:sz w:val="20"/>
                <w:szCs w:val="20"/>
                <w:lang w:eastAsia="en-US" w:bidi="en-US"/>
              </w:rPr>
            </w:pPr>
          </w:p>
          <w:p w:rsidR="0010522E" w:rsidRPr="00663D98" w:rsidRDefault="0010522E" w:rsidP="00663D98">
            <w:pPr>
              <w:spacing w:before="40" w:after="40"/>
              <w:rPr>
                <w:rFonts w:ascii="Arial Narrow" w:hAnsi="Arial Narrow" w:cs="Arial"/>
                <w:sz w:val="20"/>
                <w:szCs w:val="20"/>
              </w:rPr>
            </w:pPr>
            <w:r w:rsidRPr="00663D98">
              <w:rPr>
                <w:rFonts w:ascii="Arial Narrow" w:hAnsi="Arial Narrow" w:cs="Arial"/>
                <w:snapToGrid w:val="0"/>
                <w:sz w:val="20"/>
                <w:szCs w:val="20"/>
                <w:lang w:eastAsia="en-US" w:bidi="en-US"/>
              </w:rPr>
              <w:t>Patient must not be a candidate for treatment with fluoropyrimidine, oxaliplatin, and irinotecan-based chemotherapies, anti-VEGF agents and anti-EGFR agents.</w:t>
            </w:r>
          </w:p>
        </w:tc>
      </w:tr>
      <w:tr w:rsidR="0010522E" w:rsidRPr="00663D98" w:rsidTr="0010522E">
        <w:trPr>
          <w:cantSplit/>
          <w:trHeight w:val="360"/>
        </w:trPr>
        <w:tc>
          <w:tcPr>
            <w:tcW w:w="1070" w:type="pct"/>
            <w:tcBorders>
              <w:top w:val="single" w:sz="4" w:space="0" w:color="auto"/>
              <w:left w:val="single" w:sz="4" w:space="0" w:color="auto"/>
              <w:bottom w:val="single" w:sz="4" w:space="0" w:color="auto"/>
              <w:right w:val="single" w:sz="4" w:space="0" w:color="auto"/>
            </w:tcBorders>
          </w:tcPr>
          <w:p w:rsidR="0010522E" w:rsidRPr="00663D98" w:rsidRDefault="0010522E" w:rsidP="00663D98">
            <w:pPr>
              <w:spacing w:before="40" w:after="40"/>
              <w:jc w:val="both"/>
              <w:rPr>
                <w:rFonts w:ascii="Arial Narrow" w:hAnsi="Arial Narrow" w:cs="Arial"/>
                <w:b/>
                <w:sz w:val="20"/>
                <w:szCs w:val="20"/>
              </w:rPr>
            </w:pPr>
            <w:r w:rsidRPr="00663D98">
              <w:rPr>
                <w:rFonts w:ascii="Arial Narrow" w:hAnsi="Arial Narrow" w:cs="Arial"/>
                <w:b/>
                <w:sz w:val="20"/>
                <w:szCs w:val="20"/>
              </w:rPr>
              <w:t>Administrative Advice</w:t>
            </w:r>
          </w:p>
          <w:p w:rsidR="0010522E" w:rsidRPr="00663D98" w:rsidRDefault="0010522E" w:rsidP="00663D98">
            <w:pPr>
              <w:spacing w:before="40" w:after="40"/>
              <w:jc w:val="both"/>
              <w:rPr>
                <w:rFonts w:ascii="Arial Narrow" w:hAnsi="Arial Narrow" w:cs="Arial"/>
                <w:i/>
                <w:sz w:val="20"/>
                <w:szCs w:val="20"/>
              </w:rPr>
            </w:pPr>
          </w:p>
        </w:tc>
        <w:tc>
          <w:tcPr>
            <w:tcW w:w="3930" w:type="pct"/>
            <w:gridSpan w:val="5"/>
            <w:tcBorders>
              <w:top w:val="single" w:sz="4" w:space="0" w:color="auto"/>
              <w:left w:val="single" w:sz="4" w:space="0" w:color="auto"/>
              <w:bottom w:val="single" w:sz="4" w:space="0" w:color="auto"/>
              <w:right w:val="single" w:sz="4" w:space="0" w:color="auto"/>
            </w:tcBorders>
          </w:tcPr>
          <w:p w:rsidR="0010522E" w:rsidRPr="00663D98" w:rsidRDefault="0010522E" w:rsidP="00663D98">
            <w:pPr>
              <w:rPr>
                <w:rFonts w:ascii="Arial Narrow" w:hAnsi="Arial Narrow" w:cs="Arial"/>
                <w:sz w:val="20"/>
                <w:szCs w:val="20"/>
                <w:lang w:eastAsia="en-US" w:bidi="en-US"/>
              </w:rPr>
            </w:pPr>
            <w:r w:rsidRPr="00663D98">
              <w:rPr>
                <w:rFonts w:ascii="Arial Narrow" w:hAnsi="Arial Narrow" w:cs="Arial"/>
                <w:sz w:val="20"/>
                <w:szCs w:val="20"/>
                <w:lang w:eastAsia="en-US" w:bidi="en-US"/>
              </w:rPr>
              <w:t>Patient must have a WHO performance status of 1 or less,</w:t>
            </w:r>
          </w:p>
          <w:p w:rsidR="0010522E" w:rsidRPr="00663D98" w:rsidRDefault="0010522E" w:rsidP="00663D98">
            <w:pPr>
              <w:rPr>
                <w:rFonts w:ascii="Arial Narrow" w:hAnsi="Arial Narrow" w:cs="Arial"/>
                <w:sz w:val="20"/>
                <w:szCs w:val="20"/>
                <w:lang w:eastAsia="en-US" w:bidi="en-US"/>
              </w:rPr>
            </w:pPr>
          </w:p>
          <w:p w:rsidR="0010522E" w:rsidRPr="00663D98" w:rsidRDefault="0010522E" w:rsidP="00663D98">
            <w:pPr>
              <w:rPr>
                <w:rFonts w:ascii="Arial Narrow" w:hAnsi="Arial Narrow" w:cs="Arial"/>
                <w:sz w:val="20"/>
                <w:szCs w:val="20"/>
                <w:lang w:eastAsia="en-US" w:bidi="en-US"/>
              </w:rPr>
            </w:pPr>
            <w:r w:rsidRPr="00663D98">
              <w:rPr>
                <w:rFonts w:ascii="Arial Narrow" w:hAnsi="Arial Narrow" w:cs="Arial"/>
                <w:sz w:val="20"/>
                <w:szCs w:val="20"/>
                <w:lang w:eastAsia="en-US" w:bidi="en-US"/>
              </w:rPr>
              <w:t>AND</w:t>
            </w:r>
          </w:p>
          <w:p w:rsidR="0010522E" w:rsidRPr="00663D98" w:rsidRDefault="0010522E" w:rsidP="00663D98">
            <w:pPr>
              <w:jc w:val="both"/>
              <w:rPr>
                <w:rFonts w:ascii="Arial Narrow" w:hAnsi="Arial Narrow" w:cs="Arial"/>
                <w:snapToGrid w:val="0"/>
                <w:sz w:val="20"/>
                <w:szCs w:val="20"/>
                <w:lang w:eastAsia="en-US" w:bidi="en-US"/>
              </w:rPr>
            </w:pPr>
          </w:p>
          <w:p w:rsidR="0010522E" w:rsidRPr="00663D98" w:rsidRDefault="0010522E" w:rsidP="00663D98">
            <w:pPr>
              <w:jc w:val="both"/>
              <w:rPr>
                <w:rFonts w:ascii="Arial Narrow" w:hAnsi="Arial Narrow" w:cs="Arial"/>
                <w:snapToGrid w:val="0"/>
                <w:sz w:val="20"/>
                <w:szCs w:val="20"/>
                <w:lang w:eastAsia="en-US" w:bidi="en-US"/>
              </w:rPr>
            </w:pPr>
            <w:r w:rsidRPr="00663D98">
              <w:rPr>
                <w:rFonts w:ascii="Arial Narrow" w:hAnsi="Arial Narrow" w:cs="Arial"/>
                <w:snapToGrid w:val="0"/>
                <w:sz w:val="20"/>
                <w:szCs w:val="20"/>
                <w:lang w:eastAsia="en-US" w:bidi="en-US"/>
              </w:rPr>
              <w:t>Patient must have previously received treatment with fluoropyrimidine, oxaliplatin, irinotecan-based chemotherapies, an anti-VEGF agent and an anti-EGFR agent, OR</w:t>
            </w:r>
          </w:p>
          <w:p w:rsidR="0010522E" w:rsidRPr="00663D98" w:rsidRDefault="0010522E" w:rsidP="00663D98">
            <w:pPr>
              <w:jc w:val="both"/>
              <w:rPr>
                <w:rFonts w:ascii="Arial Narrow" w:hAnsi="Arial Narrow" w:cs="Arial"/>
                <w:snapToGrid w:val="0"/>
                <w:sz w:val="20"/>
                <w:szCs w:val="20"/>
                <w:lang w:eastAsia="en-US" w:bidi="en-US"/>
              </w:rPr>
            </w:pPr>
          </w:p>
          <w:p w:rsidR="0010522E" w:rsidRPr="00663D98" w:rsidRDefault="0010522E" w:rsidP="00663D98">
            <w:pPr>
              <w:spacing w:before="40" w:after="40"/>
              <w:rPr>
                <w:rFonts w:ascii="Arial Narrow" w:hAnsi="Arial Narrow" w:cs="Arial"/>
                <w:sz w:val="20"/>
                <w:szCs w:val="20"/>
              </w:rPr>
            </w:pPr>
            <w:r w:rsidRPr="00663D98">
              <w:rPr>
                <w:rFonts w:ascii="Arial Narrow" w:hAnsi="Arial Narrow" w:cs="Arial"/>
                <w:snapToGrid w:val="0"/>
                <w:sz w:val="20"/>
                <w:szCs w:val="20"/>
                <w:lang w:eastAsia="en-US" w:bidi="en-US"/>
              </w:rPr>
              <w:t>Patient must not be a candidate for treatment with fluoropyrimidine, oxaliplatin, and irinotecan-based chemotherapies, anti-VEGF agents and anti-EGFR agents.</w:t>
            </w:r>
          </w:p>
        </w:tc>
      </w:tr>
    </w:tbl>
    <w:p w:rsidR="0010522E" w:rsidRPr="00663D98" w:rsidRDefault="0010522E" w:rsidP="006A7313">
      <w:pPr>
        <w:rPr>
          <w:rFonts w:eastAsiaTheme="minorHAnsi"/>
        </w:rPr>
      </w:pPr>
    </w:p>
    <w:p w:rsidR="0010522E" w:rsidRPr="00663D98" w:rsidRDefault="0010522E" w:rsidP="0010522E">
      <w:pPr>
        <w:rPr>
          <w:rFonts w:eastAsiaTheme="minorHAnsi"/>
        </w:rPr>
      </w:pPr>
    </w:p>
    <w:p w:rsidR="0068763C" w:rsidRDefault="0068763C">
      <w:r>
        <w:br w:type="page"/>
      </w:r>
    </w:p>
    <w:tbl>
      <w:tblPr>
        <w:tblW w:w="4915" w:type="pct"/>
        <w:tblLook w:val="0000" w:firstRow="0" w:lastRow="0" w:firstColumn="0" w:lastColumn="0" w:noHBand="0" w:noVBand="0"/>
      </w:tblPr>
      <w:tblGrid>
        <w:gridCol w:w="1944"/>
        <w:gridCol w:w="7141"/>
      </w:tblGrid>
      <w:tr w:rsidR="0010522E" w:rsidRPr="00663D98" w:rsidTr="00663D98">
        <w:trPr>
          <w:trHeight w:val="360"/>
        </w:trPr>
        <w:tc>
          <w:tcPr>
            <w:tcW w:w="1070" w:type="pct"/>
            <w:tcBorders>
              <w:top w:val="single" w:sz="4" w:space="0" w:color="auto"/>
              <w:left w:val="single" w:sz="4" w:space="0" w:color="auto"/>
              <w:bottom w:val="single" w:sz="4" w:space="0" w:color="auto"/>
              <w:right w:val="single" w:sz="4" w:space="0" w:color="auto"/>
            </w:tcBorders>
          </w:tcPr>
          <w:p w:rsidR="0010522E" w:rsidRPr="00663D98" w:rsidRDefault="0010522E" w:rsidP="00663D98">
            <w:pPr>
              <w:spacing w:before="40" w:after="40"/>
              <w:jc w:val="both"/>
              <w:rPr>
                <w:rFonts w:ascii="Arial Narrow" w:hAnsi="Arial Narrow" w:cs="Arial"/>
                <w:b/>
                <w:sz w:val="20"/>
                <w:szCs w:val="20"/>
              </w:rPr>
            </w:pPr>
            <w:r w:rsidRPr="00663D98">
              <w:rPr>
                <w:rFonts w:ascii="Arial Narrow" w:hAnsi="Arial Narrow" w:cs="Arial"/>
                <w:b/>
                <w:sz w:val="20"/>
                <w:szCs w:val="20"/>
              </w:rPr>
              <w:t>Category / Program</w:t>
            </w:r>
          </w:p>
        </w:tc>
        <w:tc>
          <w:tcPr>
            <w:tcW w:w="3930" w:type="pct"/>
            <w:tcBorders>
              <w:top w:val="single" w:sz="4" w:space="0" w:color="auto"/>
              <w:left w:val="single" w:sz="4" w:space="0" w:color="auto"/>
              <w:bottom w:val="single" w:sz="4" w:space="0" w:color="auto"/>
              <w:right w:val="single" w:sz="4" w:space="0" w:color="auto"/>
            </w:tcBorders>
          </w:tcPr>
          <w:p w:rsidR="0010522E" w:rsidRPr="00663D98" w:rsidRDefault="0010522E" w:rsidP="00663D98">
            <w:pPr>
              <w:spacing w:before="40" w:after="40"/>
              <w:rPr>
                <w:rFonts w:ascii="Arial Narrow" w:hAnsi="Arial Narrow" w:cs="Arial"/>
                <w:sz w:val="20"/>
                <w:szCs w:val="20"/>
              </w:rPr>
            </w:pPr>
            <w:r w:rsidRPr="00663D98">
              <w:rPr>
                <w:rFonts w:ascii="Arial Narrow" w:hAnsi="Arial Narrow" w:cs="Arial"/>
                <w:sz w:val="20"/>
                <w:szCs w:val="20"/>
              </w:rPr>
              <w:t>GENERAL – General Schedule (Code GE)</w:t>
            </w:r>
          </w:p>
        </w:tc>
      </w:tr>
      <w:tr w:rsidR="0010522E" w:rsidRPr="00663D98" w:rsidTr="00663D98">
        <w:trPr>
          <w:trHeight w:val="360"/>
        </w:trPr>
        <w:tc>
          <w:tcPr>
            <w:tcW w:w="1070" w:type="pct"/>
            <w:tcBorders>
              <w:top w:val="single" w:sz="4" w:space="0" w:color="auto"/>
              <w:left w:val="single" w:sz="4" w:space="0" w:color="auto"/>
              <w:bottom w:val="single" w:sz="4" w:space="0" w:color="auto"/>
              <w:right w:val="single" w:sz="4" w:space="0" w:color="auto"/>
            </w:tcBorders>
          </w:tcPr>
          <w:p w:rsidR="0010522E" w:rsidRPr="00663D98" w:rsidRDefault="0010522E" w:rsidP="00663D98">
            <w:pPr>
              <w:spacing w:before="40" w:after="40"/>
              <w:jc w:val="both"/>
              <w:rPr>
                <w:rFonts w:ascii="Arial Narrow" w:hAnsi="Arial Narrow" w:cs="Arial"/>
                <w:b/>
                <w:sz w:val="20"/>
                <w:szCs w:val="20"/>
              </w:rPr>
            </w:pPr>
            <w:r w:rsidRPr="00663D98">
              <w:rPr>
                <w:rFonts w:ascii="Arial Narrow" w:hAnsi="Arial Narrow" w:cs="Arial"/>
                <w:b/>
                <w:sz w:val="20"/>
                <w:szCs w:val="20"/>
              </w:rPr>
              <w:t>Prescriber type:</w:t>
            </w:r>
          </w:p>
        </w:tc>
        <w:tc>
          <w:tcPr>
            <w:tcW w:w="3930" w:type="pct"/>
            <w:tcBorders>
              <w:top w:val="single" w:sz="4" w:space="0" w:color="auto"/>
              <w:left w:val="single" w:sz="4" w:space="0" w:color="auto"/>
              <w:bottom w:val="single" w:sz="4" w:space="0" w:color="auto"/>
              <w:right w:val="single" w:sz="4" w:space="0" w:color="auto"/>
            </w:tcBorders>
          </w:tcPr>
          <w:p w:rsidR="0010522E" w:rsidRPr="00F77FD5" w:rsidRDefault="0010522E" w:rsidP="00663D98">
            <w:pPr>
              <w:spacing w:before="40" w:after="40"/>
              <w:rPr>
                <w:rFonts w:ascii="Arial Narrow" w:hAnsi="Arial Narrow" w:cs="Arial"/>
                <w:sz w:val="20"/>
                <w:szCs w:val="20"/>
              </w:rPr>
            </w:pPr>
            <w:r w:rsidRPr="007C7D16">
              <w:rPr>
                <w:rFonts w:ascii="Arial Narrow" w:hAnsi="Arial Narrow" w:cs="Arial"/>
                <w:sz w:val="20"/>
                <w:szCs w:val="20"/>
              </w:rPr>
              <w:fldChar w:fldCharType="begin">
                <w:ffData>
                  <w:name w:val="Check1"/>
                  <w:enabled/>
                  <w:calcOnExit w:val="0"/>
                  <w:checkBox>
                    <w:sizeAuto/>
                    <w:default w:val="0"/>
                  </w:checkBox>
                </w:ffData>
              </w:fldChar>
            </w:r>
            <w:r w:rsidRPr="00663D98">
              <w:rPr>
                <w:rFonts w:ascii="Arial Narrow" w:hAnsi="Arial Narrow" w:cs="Arial"/>
                <w:sz w:val="20"/>
                <w:szCs w:val="20"/>
              </w:rPr>
              <w:instrText xml:space="preserve"> FORMCHECKBOX </w:instrText>
            </w:r>
            <w:r w:rsidR="00C34BCC">
              <w:rPr>
                <w:rFonts w:ascii="Arial Narrow" w:hAnsi="Arial Narrow" w:cs="Arial"/>
                <w:sz w:val="20"/>
                <w:szCs w:val="20"/>
              </w:rPr>
            </w:r>
            <w:r w:rsidR="00C34BCC">
              <w:rPr>
                <w:rFonts w:ascii="Arial Narrow" w:hAnsi="Arial Narrow" w:cs="Arial"/>
                <w:sz w:val="20"/>
                <w:szCs w:val="20"/>
              </w:rPr>
              <w:fldChar w:fldCharType="separate"/>
            </w:r>
            <w:r w:rsidRPr="007C7D16">
              <w:rPr>
                <w:rFonts w:ascii="Arial Narrow" w:hAnsi="Arial Narrow" w:cs="Arial"/>
                <w:sz w:val="20"/>
                <w:szCs w:val="20"/>
              </w:rPr>
              <w:fldChar w:fldCharType="end"/>
            </w:r>
            <w:r w:rsidRPr="00663D98">
              <w:rPr>
                <w:rFonts w:ascii="Arial Narrow" w:hAnsi="Arial Narrow" w:cs="Arial"/>
                <w:sz w:val="20"/>
                <w:szCs w:val="20"/>
              </w:rPr>
              <w:t xml:space="preserve">Dental  </w:t>
            </w:r>
            <w:r w:rsidRPr="007C7D16">
              <w:rPr>
                <w:rFonts w:ascii="Arial Narrow" w:hAnsi="Arial Narrow" w:cs="Arial"/>
                <w:sz w:val="20"/>
                <w:szCs w:val="20"/>
              </w:rPr>
              <w:fldChar w:fldCharType="begin">
                <w:ffData>
                  <w:name w:val=""/>
                  <w:enabled/>
                  <w:calcOnExit w:val="0"/>
                  <w:checkBox>
                    <w:sizeAuto/>
                    <w:default w:val="1"/>
                  </w:checkBox>
                </w:ffData>
              </w:fldChar>
            </w:r>
            <w:r w:rsidRPr="00663D98">
              <w:rPr>
                <w:rFonts w:ascii="Arial Narrow" w:hAnsi="Arial Narrow" w:cs="Arial"/>
                <w:sz w:val="20"/>
                <w:szCs w:val="20"/>
              </w:rPr>
              <w:instrText xml:space="preserve"> FORMCHECKBOX </w:instrText>
            </w:r>
            <w:r w:rsidR="00C34BCC">
              <w:rPr>
                <w:rFonts w:ascii="Arial Narrow" w:hAnsi="Arial Narrow" w:cs="Arial"/>
                <w:sz w:val="20"/>
                <w:szCs w:val="20"/>
              </w:rPr>
            </w:r>
            <w:r w:rsidR="00C34BCC">
              <w:rPr>
                <w:rFonts w:ascii="Arial Narrow" w:hAnsi="Arial Narrow" w:cs="Arial"/>
                <w:sz w:val="20"/>
                <w:szCs w:val="20"/>
              </w:rPr>
              <w:fldChar w:fldCharType="separate"/>
            </w:r>
            <w:r w:rsidRPr="007C7D16">
              <w:rPr>
                <w:rFonts w:ascii="Arial Narrow" w:hAnsi="Arial Narrow" w:cs="Arial"/>
                <w:sz w:val="20"/>
                <w:szCs w:val="20"/>
              </w:rPr>
              <w:fldChar w:fldCharType="end"/>
            </w:r>
            <w:r w:rsidRPr="00663D98">
              <w:rPr>
                <w:rFonts w:ascii="Arial Narrow" w:hAnsi="Arial Narrow" w:cs="Arial"/>
                <w:sz w:val="20"/>
                <w:szCs w:val="20"/>
              </w:rPr>
              <w:t xml:space="preserve">Medical Practitioners  </w:t>
            </w:r>
            <w:r w:rsidRPr="007C7D16">
              <w:rPr>
                <w:rFonts w:ascii="Arial Narrow" w:hAnsi="Arial Narrow" w:cs="Arial"/>
                <w:sz w:val="20"/>
                <w:szCs w:val="20"/>
              </w:rPr>
              <w:fldChar w:fldCharType="begin">
                <w:ffData>
                  <w:name w:val="Check3"/>
                  <w:enabled/>
                  <w:calcOnExit w:val="0"/>
                  <w:checkBox>
                    <w:sizeAuto/>
                    <w:default w:val="0"/>
                  </w:checkBox>
                </w:ffData>
              </w:fldChar>
            </w:r>
            <w:r w:rsidRPr="00663D98">
              <w:rPr>
                <w:rFonts w:ascii="Arial Narrow" w:hAnsi="Arial Narrow" w:cs="Arial"/>
                <w:sz w:val="20"/>
                <w:szCs w:val="20"/>
              </w:rPr>
              <w:instrText xml:space="preserve"> FORMCHECKBOX </w:instrText>
            </w:r>
            <w:r w:rsidR="00C34BCC">
              <w:rPr>
                <w:rFonts w:ascii="Arial Narrow" w:hAnsi="Arial Narrow" w:cs="Arial"/>
                <w:sz w:val="20"/>
                <w:szCs w:val="20"/>
              </w:rPr>
            </w:r>
            <w:r w:rsidR="00C34BCC">
              <w:rPr>
                <w:rFonts w:ascii="Arial Narrow" w:hAnsi="Arial Narrow" w:cs="Arial"/>
                <w:sz w:val="20"/>
                <w:szCs w:val="20"/>
              </w:rPr>
              <w:fldChar w:fldCharType="separate"/>
            </w:r>
            <w:r w:rsidRPr="007C7D16">
              <w:rPr>
                <w:rFonts w:ascii="Arial Narrow" w:hAnsi="Arial Narrow" w:cs="Arial"/>
                <w:sz w:val="20"/>
                <w:szCs w:val="20"/>
              </w:rPr>
              <w:fldChar w:fldCharType="end"/>
            </w:r>
            <w:r w:rsidRPr="00663D98">
              <w:rPr>
                <w:rFonts w:ascii="Arial Narrow" w:hAnsi="Arial Narrow" w:cs="Arial"/>
                <w:sz w:val="20"/>
                <w:szCs w:val="20"/>
              </w:rPr>
              <w:t xml:space="preserve">Nurse practitioners  </w:t>
            </w:r>
            <w:r w:rsidRPr="007C7D16">
              <w:rPr>
                <w:rFonts w:ascii="Arial Narrow" w:hAnsi="Arial Narrow" w:cs="Arial"/>
                <w:sz w:val="20"/>
                <w:szCs w:val="20"/>
              </w:rPr>
              <w:fldChar w:fldCharType="begin">
                <w:ffData>
                  <w:name w:val=""/>
                  <w:enabled/>
                  <w:calcOnExit w:val="0"/>
                  <w:checkBox>
                    <w:sizeAuto/>
                    <w:default w:val="0"/>
                  </w:checkBox>
                </w:ffData>
              </w:fldChar>
            </w:r>
            <w:r w:rsidRPr="00663D98">
              <w:rPr>
                <w:rFonts w:ascii="Arial Narrow" w:hAnsi="Arial Narrow" w:cs="Arial"/>
                <w:sz w:val="20"/>
                <w:szCs w:val="20"/>
              </w:rPr>
              <w:instrText xml:space="preserve"> FORMCHECKBOX </w:instrText>
            </w:r>
            <w:r w:rsidR="00C34BCC">
              <w:rPr>
                <w:rFonts w:ascii="Arial Narrow" w:hAnsi="Arial Narrow" w:cs="Arial"/>
                <w:sz w:val="20"/>
                <w:szCs w:val="20"/>
              </w:rPr>
            </w:r>
            <w:r w:rsidR="00C34BCC">
              <w:rPr>
                <w:rFonts w:ascii="Arial Narrow" w:hAnsi="Arial Narrow" w:cs="Arial"/>
                <w:sz w:val="20"/>
                <w:szCs w:val="20"/>
              </w:rPr>
              <w:fldChar w:fldCharType="separate"/>
            </w:r>
            <w:r w:rsidRPr="007C7D16">
              <w:rPr>
                <w:rFonts w:ascii="Arial Narrow" w:hAnsi="Arial Narrow" w:cs="Arial"/>
                <w:sz w:val="20"/>
                <w:szCs w:val="20"/>
              </w:rPr>
              <w:fldChar w:fldCharType="end"/>
            </w:r>
            <w:r w:rsidRPr="00663D98">
              <w:rPr>
                <w:rFonts w:ascii="Arial Narrow" w:hAnsi="Arial Narrow" w:cs="Arial"/>
                <w:sz w:val="20"/>
                <w:szCs w:val="20"/>
              </w:rPr>
              <w:t>Optometrists</w:t>
            </w:r>
            <w:r w:rsidRPr="00F77FD5">
              <w:rPr>
                <w:rFonts w:ascii="Arial Narrow" w:hAnsi="Arial Narrow" w:cs="Arial"/>
                <w:sz w:val="20"/>
                <w:szCs w:val="20"/>
              </w:rPr>
              <w:t xml:space="preserve"> </w:t>
            </w:r>
            <w:r w:rsidRPr="007C7D16">
              <w:rPr>
                <w:rFonts w:ascii="Arial Narrow" w:hAnsi="Arial Narrow" w:cs="Arial"/>
                <w:sz w:val="20"/>
                <w:szCs w:val="20"/>
              </w:rPr>
              <w:fldChar w:fldCharType="begin">
                <w:ffData>
                  <w:name w:val="Check5"/>
                  <w:enabled/>
                  <w:calcOnExit w:val="0"/>
                  <w:checkBox>
                    <w:sizeAuto/>
                    <w:default w:val="0"/>
                  </w:checkBox>
                </w:ffData>
              </w:fldChar>
            </w:r>
            <w:r w:rsidRPr="00663D98">
              <w:rPr>
                <w:rFonts w:ascii="Arial Narrow" w:hAnsi="Arial Narrow" w:cs="Arial"/>
                <w:sz w:val="20"/>
                <w:szCs w:val="20"/>
              </w:rPr>
              <w:instrText xml:space="preserve"> FORMCHECKBOX </w:instrText>
            </w:r>
            <w:r w:rsidR="00C34BCC">
              <w:rPr>
                <w:rFonts w:ascii="Arial Narrow" w:hAnsi="Arial Narrow" w:cs="Arial"/>
                <w:sz w:val="20"/>
                <w:szCs w:val="20"/>
              </w:rPr>
            </w:r>
            <w:r w:rsidR="00C34BCC">
              <w:rPr>
                <w:rFonts w:ascii="Arial Narrow" w:hAnsi="Arial Narrow" w:cs="Arial"/>
                <w:sz w:val="20"/>
                <w:szCs w:val="20"/>
              </w:rPr>
              <w:fldChar w:fldCharType="separate"/>
            </w:r>
            <w:r w:rsidRPr="007C7D16">
              <w:rPr>
                <w:rFonts w:ascii="Arial Narrow" w:hAnsi="Arial Narrow" w:cs="Arial"/>
                <w:sz w:val="20"/>
                <w:szCs w:val="20"/>
              </w:rPr>
              <w:fldChar w:fldCharType="end"/>
            </w:r>
            <w:r w:rsidRPr="00663D98">
              <w:rPr>
                <w:rFonts w:ascii="Arial Narrow" w:hAnsi="Arial Narrow" w:cs="Arial"/>
                <w:sz w:val="20"/>
                <w:szCs w:val="20"/>
              </w:rPr>
              <w:t>Midwives</w:t>
            </w:r>
          </w:p>
        </w:tc>
      </w:tr>
      <w:tr w:rsidR="0010522E" w:rsidRPr="00663D98" w:rsidTr="00663D98">
        <w:trPr>
          <w:trHeight w:val="360"/>
        </w:trPr>
        <w:tc>
          <w:tcPr>
            <w:tcW w:w="1070" w:type="pct"/>
            <w:tcBorders>
              <w:top w:val="single" w:sz="4" w:space="0" w:color="auto"/>
              <w:left w:val="single" w:sz="4" w:space="0" w:color="auto"/>
              <w:bottom w:val="single" w:sz="4" w:space="0" w:color="auto"/>
              <w:right w:val="single" w:sz="4" w:space="0" w:color="auto"/>
            </w:tcBorders>
          </w:tcPr>
          <w:p w:rsidR="0010522E" w:rsidRPr="00663D98" w:rsidRDefault="0010522E" w:rsidP="00663D98">
            <w:pPr>
              <w:spacing w:before="40" w:after="40"/>
              <w:jc w:val="both"/>
              <w:rPr>
                <w:rFonts w:ascii="Arial Narrow" w:hAnsi="Arial Narrow" w:cs="Arial"/>
                <w:b/>
                <w:sz w:val="20"/>
                <w:szCs w:val="20"/>
              </w:rPr>
            </w:pPr>
            <w:r w:rsidRPr="00663D98">
              <w:rPr>
                <w:rFonts w:ascii="Arial Narrow" w:hAnsi="Arial Narrow" w:cs="Arial"/>
                <w:b/>
                <w:sz w:val="20"/>
                <w:szCs w:val="20"/>
              </w:rPr>
              <w:t>Severity:</w:t>
            </w:r>
          </w:p>
        </w:tc>
        <w:tc>
          <w:tcPr>
            <w:tcW w:w="3930" w:type="pct"/>
            <w:tcBorders>
              <w:top w:val="single" w:sz="4" w:space="0" w:color="auto"/>
              <w:left w:val="single" w:sz="4" w:space="0" w:color="auto"/>
              <w:bottom w:val="single" w:sz="4" w:space="0" w:color="auto"/>
              <w:right w:val="single" w:sz="4" w:space="0" w:color="auto"/>
            </w:tcBorders>
          </w:tcPr>
          <w:p w:rsidR="0010522E" w:rsidRPr="00663D98" w:rsidRDefault="0010522E" w:rsidP="00663D98">
            <w:pPr>
              <w:spacing w:before="40" w:after="40"/>
              <w:rPr>
                <w:rFonts w:ascii="Arial Narrow" w:hAnsi="Arial Narrow" w:cs="Arial"/>
                <w:sz w:val="20"/>
                <w:szCs w:val="20"/>
              </w:rPr>
            </w:pPr>
            <w:r w:rsidRPr="00663D98">
              <w:rPr>
                <w:rFonts w:ascii="Arial Narrow" w:hAnsi="Arial Narrow" w:cs="Arial"/>
                <w:sz w:val="20"/>
                <w:szCs w:val="20"/>
              </w:rPr>
              <w:t>Metastatic</w:t>
            </w:r>
          </w:p>
        </w:tc>
      </w:tr>
      <w:tr w:rsidR="0010522E" w:rsidRPr="00663D98" w:rsidTr="00663D98">
        <w:trPr>
          <w:trHeight w:val="360"/>
        </w:trPr>
        <w:tc>
          <w:tcPr>
            <w:tcW w:w="1070" w:type="pct"/>
            <w:tcBorders>
              <w:top w:val="single" w:sz="4" w:space="0" w:color="auto"/>
              <w:left w:val="single" w:sz="4" w:space="0" w:color="auto"/>
              <w:bottom w:val="single" w:sz="4" w:space="0" w:color="auto"/>
              <w:right w:val="single" w:sz="4" w:space="0" w:color="auto"/>
            </w:tcBorders>
          </w:tcPr>
          <w:p w:rsidR="0010522E" w:rsidRPr="00663D98" w:rsidRDefault="0010522E" w:rsidP="00663D98">
            <w:pPr>
              <w:spacing w:before="40" w:after="40"/>
              <w:jc w:val="both"/>
              <w:rPr>
                <w:rFonts w:ascii="Arial Narrow" w:hAnsi="Arial Narrow" w:cs="Arial"/>
                <w:b/>
                <w:sz w:val="20"/>
                <w:szCs w:val="20"/>
              </w:rPr>
            </w:pPr>
            <w:r w:rsidRPr="00663D98">
              <w:rPr>
                <w:rFonts w:ascii="Arial Narrow" w:hAnsi="Arial Narrow" w:cs="Arial"/>
                <w:b/>
                <w:sz w:val="20"/>
                <w:szCs w:val="20"/>
              </w:rPr>
              <w:t>Condition:</w:t>
            </w:r>
          </w:p>
        </w:tc>
        <w:tc>
          <w:tcPr>
            <w:tcW w:w="3930" w:type="pct"/>
            <w:tcBorders>
              <w:top w:val="single" w:sz="4" w:space="0" w:color="auto"/>
              <w:left w:val="single" w:sz="4" w:space="0" w:color="auto"/>
              <w:bottom w:val="single" w:sz="4" w:space="0" w:color="auto"/>
              <w:right w:val="single" w:sz="4" w:space="0" w:color="auto"/>
            </w:tcBorders>
          </w:tcPr>
          <w:p w:rsidR="0010522E" w:rsidRPr="00663D98" w:rsidRDefault="0010522E" w:rsidP="00663D98">
            <w:pPr>
              <w:spacing w:before="40" w:after="40"/>
              <w:rPr>
                <w:rFonts w:ascii="Arial Narrow" w:hAnsi="Arial Narrow" w:cs="Arial"/>
                <w:sz w:val="20"/>
                <w:szCs w:val="20"/>
              </w:rPr>
            </w:pPr>
            <w:r w:rsidRPr="00663D98">
              <w:rPr>
                <w:rFonts w:ascii="Arial Narrow" w:hAnsi="Arial Narrow" w:cs="Arial"/>
                <w:sz w:val="20"/>
                <w:szCs w:val="20"/>
              </w:rPr>
              <w:t>Metastatic colorectal cancer</w:t>
            </w:r>
          </w:p>
        </w:tc>
      </w:tr>
      <w:tr w:rsidR="0010522E" w:rsidRPr="00663D98" w:rsidTr="00663D98">
        <w:trPr>
          <w:trHeight w:val="360"/>
        </w:trPr>
        <w:tc>
          <w:tcPr>
            <w:tcW w:w="1070" w:type="pct"/>
            <w:tcBorders>
              <w:top w:val="single" w:sz="4" w:space="0" w:color="auto"/>
              <w:left w:val="single" w:sz="4" w:space="0" w:color="auto"/>
              <w:bottom w:val="single" w:sz="4" w:space="0" w:color="auto"/>
              <w:right w:val="single" w:sz="4" w:space="0" w:color="auto"/>
            </w:tcBorders>
          </w:tcPr>
          <w:p w:rsidR="0010522E" w:rsidRPr="00663D98" w:rsidRDefault="0010522E" w:rsidP="00663D98">
            <w:pPr>
              <w:spacing w:before="40" w:after="40"/>
              <w:jc w:val="both"/>
              <w:rPr>
                <w:rFonts w:ascii="Arial Narrow" w:hAnsi="Arial Narrow" w:cs="Arial"/>
                <w:b/>
                <w:sz w:val="20"/>
                <w:szCs w:val="20"/>
              </w:rPr>
            </w:pPr>
            <w:r w:rsidRPr="00663D98">
              <w:rPr>
                <w:rFonts w:ascii="Arial Narrow" w:hAnsi="Arial Narrow" w:cs="Arial"/>
                <w:b/>
                <w:sz w:val="20"/>
                <w:szCs w:val="20"/>
              </w:rPr>
              <w:t>PBS Indication:</w:t>
            </w:r>
          </w:p>
        </w:tc>
        <w:tc>
          <w:tcPr>
            <w:tcW w:w="3930" w:type="pct"/>
            <w:tcBorders>
              <w:top w:val="single" w:sz="4" w:space="0" w:color="auto"/>
              <w:left w:val="single" w:sz="4" w:space="0" w:color="auto"/>
              <w:bottom w:val="single" w:sz="4" w:space="0" w:color="auto"/>
              <w:right w:val="single" w:sz="4" w:space="0" w:color="auto"/>
            </w:tcBorders>
          </w:tcPr>
          <w:p w:rsidR="0010522E" w:rsidRPr="00663D98" w:rsidRDefault="0010522E" w:rsidP="00663D98">
            <w:pPr>
              <w:spacing w:before="40" w:after="40"/>
              <w:rPr>
                <w:rFonts w:ascii="Arial Narrow" w:hAnsi="Arial Narrow" w:cs="Arial"/>
                <w:sz w:val="20"/>
                <w:szCs w:val="20"/>
              </w:rPr>
            </w:pPr>
            <w:r w:rsidRPr="00663D98">
              <w:rPr>
                <w:rFonts w:ascii="Arial Narrow" w:hAnsi="Arial Narrow" w:cs="Arial"/>
                <w:sz w:val="20"/>
                <w:szCs w:val="20"/>
              </w:rPr>
              <w:t xml:space="preserve">Metastatic colorectal cancer </w:t>
            </w:r>
          </w:p>
        </w:tc>
      </w:tr>
      <w:tr w:rsidR="0010522E" w:rsidRPr="00663D98" w:rsidTr="00663D98">
        <w:trPr>
          <w:trHeight w:val="360"/>
        </w:trPr>
        <w:tc>
          <w:tcPr>
            <w:tcW w:w="1070" w:type="pct"/>
            <w:tcBorders>
              <w:top w:val="single" w:sz="4" w:space="0" w:color="auto"/>
              <w:left w:val="single" w:sz="4" w:space="0" w:color="auto"/>
              <w:bottom w:val="single" w:sz="4" w:space="0" w:color="auto"/>
              <w:right w:val="single" w:sz="4" w:space="0" w:color="auto"/>
            </w:tcBorders>
          </w:tcPr>
          <w:p w:rsidR="0010522E" w:rsidRPr="00663D98" w:rsidRDefault="0010522E" w:rsidP="00663D98">
            <w:pPr>
              <w:spacing w:before="40" w:after="40"/>
              <w:jc w:val="both"/>
              <w:rPr>
                <w:rFonts w:ascii="Arial Narrow" w:hAnsi="Arial Narrow" w:cs="Arial"/>
                <w:b/>
                <w:sz w:val="20"/>
                <w:szCs w:val="20"/>
              </w:rPr>
            </w:pPr>
            <w:r w:rsidRPr="00663D98">
              <w:rPr>
                <w:rFonts w:ascii="Arial Narrow" w:hAnsi="Arial Narrow" w:cs="Arial"/>
                <w:b/>
                <w:sz w:val="20"/>
                <w:szCs w:val="20"/>
              </w:rPr>
              <w:t>Treatment phase:</w:t>
            </w:r>
          </w:p>
        </w:tc>
        <w:tc>
          <w:tcPr>
            <w:tcW w:w="3930" w:type="pct"/>
            <w:tcBorders>
              <w:top w:val="single" w:sz="4" w:space="0" w:color="auto"/>
              <w:left w:val="single" w:sz="4" w:space="0" w:color="auto"/>
              <w:bottom w:val="single" w:sz="4" w:space="0" w:color="auto"/>
              <w:right w:val="single" w:sz="4" w:space="0" w:color="auto"/>
            </w:tcBorders>
          </w:tcPr>
          <w:p w:rsidR="0010522E" w:rsidRPr="00663D98" w:rsidRDefault="0010522E" w:rsidP="00663D98">
            <w:pPr>
              <w:spacing w:before="40" w:after="40"/>
              <w:rPr>
                <w:rFonts w:ascii="Arial Narrow" w:hAnsi="Arial Narrow" w:cs="Arial"/>
                <w:sz w:val="20"/>
                <w:szCs w:val="20"/>
              </w:rPr>
            </w:pPr>
            <w:r w:rsidRPr="00663D98">
              <w:rPr>
                <w:rFonts w:ascii="Arial Narrow" w:hAnsi="Arial Narrow" w:cs="Arial"/>
                <w:sz w:val="20"/>
                <w:szCs w:val="20"/>
              </w:rPr>
              <w:t xml:space="preserve">Continuing treatment  </w:t>
            </w:r>
          </w:p>
        </w:tc>
      </w:tr>
      <w:tr w:rsidR="0010522E" w:rsidRPr="00663D98" w:rsidTr="00663D98">
        <w:trPr>
          <w:trHeight w:val="360"/>
        </w:trPr>
        <w:tc>
          <w:tcPr>
            <w:tcW w:w="1070" w:type="pct"/>
            <w:tcBorders>
              <w:top w:val="single" w:sz="4" w:space="0" w:color="auto"/>
              <w:left w:val="single" w:sz="4" w:space="0" w:color="auto"/>
              <w:bottom w:val="single" w:sz="4" w:space="0" w:color="auto"/>
              <w:right w:val="single" w:sz="4" w:space="0" w:color="auto"/>
            </w:tcBorders>
          </w:tcPr>
          <w:p w:rsidR="0010522E" w:rsidRPr="00663D98" w:rsidRDefault="0010522E" w:rsidP="00663D98">
            <w:pPr>
              <w:spacing w:before="40" w:after="40"/>
              <w:jc w:val="both"/>
              <w:rPr>
                <w:rFonts w:ascii="Arial Narrow" w:hAnsi="Arial Narrow" w:cs="Arial"/>
                <w:b/>
                <w:sz w:val="20"/>
                <w:szCs w:val="20"/>
              </w:rPr>
            </w:pPr>
            <w:r w:rsidRPr="00663D98">
              <w:rPr>
                <w:rFonts w:ascii="Arial Narrow" w:hAnsi="Arial Narrow" w:cs="Arial"/>
                <w:b/>
                <w:sz w:val="20"/>
                <w:szCs w:val="20"/>
              </w:rPr>
              <w:t>Restriction Level / Method:</w:t>
            </w:r>
          </w:p>
          <w:p w:rsidR="0010522E" w:rsidRPr="00663D98" w:rsidRDefault="0010522E" w:rsidP="00663D98">
            <w:pPr>
              <w:spacing w:before="40" w:after="40"/>
              <w:rPr>
                <w:rFonts w:ascii="Arial Narrow" w:hAnsi="Arial Narrow" w:cs="Arial"/>
                <w:sz w:val="20"/>
                <w:szCs w:val="20"/>
              </w:rPr>
            </w:pPr>
          </w:p>
        </w:tc>
        <w:tc>
          <w:tcPr>
            <w:tcW w:w="3930" w:type="pct"/>
            <w:tcBorders>
              <w:top w:val="single" w:sz="4" w:space="0" w:color="auto"/>
              <w:left w:val="single" w:sz="4" w:space="0" w:color="auto"/>
              <w:bottom w:val="single" w:sz="4" w:space="0" w:color="auto"/>
              <w:right w:val="single" w:sz="4" w:space="0" w:color="auto"/>
            </w:tcBorders>
          </w:tcPr>
          <w:p w:rsidR="0010522E" w:rsidRPr="00F77FD5" w:rsidRDefault="0010522E" w:rsidP="00663D98">
            <w:pPr>
              <w:spacing w:before="40" w:after="40"/>
              <w:rPr>
                <w:rFonts w:ascii="Arial Narrow" w:hAnsi="Arial Narrow" w:cs="Arial"/>
                <w:sz w:val="20"/>
                <w:szCs w:val="20"/>
              </w:rPr>
            </w:pPr>
            <w:r w:rsidRPr="007C7D16">
              <w:rPr>
                <w:rFonts w:ascii="Arial Narrow" w:hAnsi="Arial Narrow" w:cs="Arial"/>
                <w:sz w:val="20"/>
                <w:szCs w:val="20"/>
              </w:rPr>
              <w:fldChar w:fldCharType="begin">
                <w:ffData>
                  <w:name w:val="Check1"/>
                  <w:enabled/>
                  <w:calcOnExit w:val="0"/>
                  <w:checkBox>
                    <w:sizeAuto/>
                    <w:default w:val="0"/>
                  </w:checkBox>
                </w:ffData>
              </w:fldChar>
            </w:r>
            <w:r w:rsidRPr="00663D98">
              <w:rPr>
                <w:rFonts w:ascii="Arial Narrow" w:hAnsi="Arial Narrow" w:cs="Arial"/>
                <w:sz w:val="20"/>
                <w:szCs w:val="20"/>
              </w:rPr>
              <w:instrText xml:space="preserve"> FORMCHECKBOX </w:instrText>
            </w:r>
            <w:r w:rsidR="00C34BCC">
              <w:rPr>
                <w:rFonts w:ascii="Arial Narrow" w:hAnsi="Arial Narrow" w:cs="Arial"/>
                <w:sz w:val="20"/>
                <w:szCs w:val="20"/>
              </w:rPr>
            </w:r>
            <w:r w:rsidR="00C34BCC">
              <w:rPr>
                <w:rFonts w:ascii="Arial Narrow" w:hAnsi="Arial Narrow" w:cs="Arial"/>
                <w:sz w:val="20"/>
                <w:szCs w:val="20"/>
              </w:rPr>
              <w:fldChar w:fldCharType="separate"/>
            </w:r>
            <w:r w:rsidRPr="007C7D16">
              <w:rPr>
                <w:rFonts w:ascii="Arial Narrow" w:hAnsi="Arial Narrow" w:cs="Arial"/>
                <w:sz w:val="20"/>
                <w:szCs w:val="20"/>
              </w:rPr>
              <w:fldChar w:fldCharType="end"/>
            </w:r>
            <w:r w:rsidRPr="00663D98">
              <w:rPr>
                <w:rFonts w:ascii="Arial Narrow" w:hAnsi="Arial Narrow" w:cs="Arial"/>
                <w:sz w:val="20"/>
                <w:szCs w:val="20"/>
              </w:rPr>
              <w:t>Restricted benefit</w:t>
            </w:r>
          </w:p>
          <w:p w:rsidR="0010522E" w:rsidRPr="00F77FD5" w:rsidRDefault="0010522E" w:rsidP="00663D98">
            <w:pPr>
              <w:spacing w:before="40" w:after="40"/>
              <w:rPr>
                <w:rFonts w:ascii="Arial Narrow" w:hAnsi="Arial Narrow" w:cs="Arial"/>
                <w:sz w:val="20"/>
                <w:szCs w:val="20"/>
              </w:rPr>
            </w:pPr>
            <w:r w:rsidRPr="007C7D16">
              <w:rPr>
                <w:rFonts w:ascii="Arial Narrow" w:hAnsi="Arial Narrow" w:cs="Arial"/>
                <w:sz w:val="20"/>
                <w:szCs w:val="20"/>
              </w:rPr>
              <w:fldChar w:fldCharType="begin">
                <w:ffData>
                  <w:name w:val=""/>
                  <w:enabled/>
                  <w:calcOnExit w:val="0"/>
                  <w:checkBox>
                    <w:sizeAuto/>
                    <w:default w:val="0"/>
                  </w:checkBox>
                </w:ffData>
              </w:fldChar>
            </w:r>
            <w:r w:rsidRPr="00663D98">
              <w:rPr>
                <w:rFonts w:ascii="Arial Narrow" w:hAnsi="Arial Narrow" w:cs="Arial"/>
                <w:sz w:val="20"/>
                <w:szCs w:val="20"/>
              </w:rPr>
              <w:instrText xml:space="preserve"> FORMCHECKBOX </w:instrText>
            </w:r>
            <w:r w:rsidR="00C34BCC">
              <w:rPr>
                <w:rFonts w:ascii="Arial Narrow" w:hAnsi="Arial Narrow" w:cs="Arial"/>
                <w:sz w:val="20"/>
                <w:szCs w:val="20"/>
              </w:rPr>
            </w:r>
            <w:r w:rsidR="00C34BCC">
              <w:rPr>
                <w:rFonts w:ascii="Arial Narrow" w:hAnsi="Arial Narrow" w:cs="Arial"/>
                <w:sz w:val="20"/>
                <w:szCs w:val="20"/>
              </w:rPr>
              <w:fldChar w:fldCharType="separate"/>
            </w:r>
            <w:r w:rsidRPr="007C7D16">
              <w:rPr>
                <w:rFonts w:ascii="Arial Narrow" w:hAnsi="Arial Narrow" w:cs="Arial"/>
                <w:sz w:val="20"/>
                <w:szCs w:val="20"/>
              </w:rPr>
              <w:fldChar w:fldCharType="end"/>
            </w:r>
            <w:r w:rsidRPr="00663D98">
              <w:rPr>
                <w:rFonts w:ascii="Arial Narrow" w:hAnsi="Arial Narrow" w:cs="Arial"/>
                <w:sz w:val="20"/>
                <w:szCs w:val="20"/>
              </w:rPr>
              <w:t>Authority Required - In Writing</w:t>
            </w:r>
          </w:p>
          <w:p w:rsidR="0010522E" w:rsidRPr="00F77FD5" w:rsidRDefault="0010522E" w:rsidP="00663D98">
            <w:pPr>
              <w:spacing w:before="40" w:after="40"/>
              <w:rPr>
                <w:rFonts w:ascii="Arial Narrow" w:hAnsi="Arial Narrow" w:cs="Arial"/>
                <w:sz w:val="20"/>
                <w:szCs w:val="20"/>
              </w:rPr>
            </w:pPr>
            <w:r w:rsidRPr="007C7D16">
              <w:rPr>
                <w:rFonts w:ascii="Arial Narrow" w:hAnsi="Arial Narrow" w:cs="Arial"/>
                <w:sz w:val="20"/>
                <w:szCs w:val="20"/>
              </w:rPr>
              <w:fldChar w:fldCharType="begin">
                <w:ffData>
                  <w:name w:val="Check3"/>
                  <w:enabled/>
                  <w:calcOnExit w:val="0"/>
                  <w:checkBox>
                    <w:sizeAuto/>
                    <w:default w:val="0"/>
                  </w:checkBox>
                </w:ffData>
              </w:fldChar>
            </w:r>
            <w:r w:rsidRPr="00663D98">
              <w:rPr>
                <w:rFonts w:ascii="Arial Narrow" w:hAnsi="Arial Narrow" w:cs="Arial"/>
                <w:sz w:val="20"/>
                <w:szCs w:val="20"/>
              </w:rPr>
              <w:instrText xml:space="preserve"> FORMCHECKBOX </w:instrText>
            </w:r>
            <w:r w:rsidR="00C34BCC">
              <w:rPr>
                <w:rFonts w:ascii="Arial Narrow" w:hAnsi="Arial Narrow" w:cs="Arial"/>
                <w:sz w:val="20"/>
                <w:szCs w:val="20"/>
              </w:rPr>
            </w:r>
            <w:r w:rsidR="00C34BCC">
              <w:rPr>
                <w:rFonts w:ascii="Arial Narrow" w:hAnsi="Arial Narrow" w:cs="Arial"/>
                <w:sz w:val="20"/>
                <w:szCs w:val="20"/>
              </w:rPr>
              <w:fldChar w:fldCharType="separate"/>
            </w:r>
            <w:r w:rsidRPr="007C7D16">
              <w:rPr>
                <w:rFonts w:ascii="Arial Narrow" w:hAnsi="Arial Narrow" w:cs="Arial"/>
                <w:sz w:val="20"/>
                <w:szCs w:val="20"/>
              </w:rPr>
              <w:fldChar w:fldCharType="end"/>
            </w:r>
            <w:r w:rsidRPr="00663D98">
              <w:rPr>
                <w:rFonts w:ascii="Arial Narrow" w:hAnsi="Arial Narrow" w:cs="Arial"/>
                <w:sz w:val="20"/>
                <w:szCs w:val="20"/>
              </w:rPr>
              <w:t>Authority Required - Telephone</w:t>
            </w:r>
          </w:p>
          <w:p w:rsidR="0010522E" w:rsidRPr="00F77FD5" w:rsidRDefault="0010522E" w:rsidP="00663D98">
            <w:pPr>
              <w:spacing w:before="40" w:after="40"/>
              <w:rPr>
                <w:rFonts w:ascii="Arial Narrow" w:hAnsi="Arial Narrow" w:cs="Arial"/>
                <w:sz w:val="20"/>
                <w:szCs w:val="20"/>
              </w:rPr>
            </w:pPr>
            <w:r w:rsidRPr="007C7D16">
              <w:rPr>
                <w:rFonts w:ascii="Arial Narrow" w:hAnsi="Arial Narrow" w:cs="Arial"/>
                <w:sz w:val="20"/>
                <w:szCs w:val="20"/>
              </w:rPr>
              <w:fldChar w:fldCharType="begin">
                <w:ffData>
                  <w:name w:val=""/>
                  <w:enabled/>
                  <w:calcOnExit w:val="0"/>
                  <w:checkBox>
                    <w:sizeAuto/>
                    <w:default w:val="0"/>
                  </w:checkBox>
                </w:ffData>
              </w:fldChar>
            </w:r>
            <w:r w:rsidRPr="00663D98">
              <w:rPr>
                <w:rFonts w:ascii="Arial Narrow" w:hAnsi="Arial Narrow" w:cs="Arial"/>
                <w:sz w:val="20"/>
                <w:szCs w:val="20"/>
              </w:rPr>
              <w:instrText xml:space="preserve"> FORMCHECKBOX </w:instrText>
            </w:r>
            <w:r w:rsidR="00C34BCC">
              <w:rPr>
                <w:rFonts w:ascii="Arial Narrow" w:hAnsi="Arial Narrow" w:cs="Arial"/>
                <w:sz w:val="20"/>
                <w:szCs w:val="20"/>
              </w:rPr>
            </w:r>
            <w:r w:rsidR="00C34BCC">
              <w:rPr>
                <w:rFonts w:ascii="Arial Narrow" w:hAnsi="Arial Narrow" w:cs="Arial"/>
                <w:sz w:val="20"/>
                <w:szCs w:val="20"/>
              </w:rPr>
              <w:fldChar w:fldCharType="separate"/>
            </w:r>
            <w:r w:rsidRPr="007C7D16">
              <w:rPr>
                <w:rFonts w:ascii="Arial Narrow" w:hAnsi="Arial Narrow" w:cs="Arial"/>
                <w:sz w:val="20"/>
                <w:szCs w:val="20"/>
              </w:rPr>
              <w:fldChar w:fldCharType="end"/>
            </w:r>
            <w:r w:rsidRPr="00663D98">
              <w:rPr>
                <w:rFonts w:ascii="Arial Narrow" w:hAnsi="Arial Narrow" w:cs="Arial"/>
                <w:sz w:val="20"/>
                <w:szCs w:val="20"/>
              </w:rPr>
              <w:t>Authority Required – Emergency</w:t>
            </w:r>
          </w:p>
          <w:p w:rsidR="0010522E" w:rsidRPr="00F77FD5" w:rsidRDefault="0010522E" w:rsidP="00663D98">
            <w:pPr>
              <w:spacing w:before="40" w:after="40"/>
              <w:rPr>
                <w:rFonts w:ascii="Arial Narrow" w:hAnsi="Arial Narrow" w:cs="Arial"/>
                <w:sz w:val="20"/>
                <w:szCs w:val="20"/>
              </w:rPr>
            </w:pPr>
            <w:r w:rsidRPr="007C7D16">
              <w:rPr>
                <w:rFonts w:ascii="Arial Narrow" w:hAnsi="Arial Narrow" w:cs="Arial"/>
                <w:sz w:val="20"/>
                <w:szCs w:val="20"/>
              </w:rPr>
              <w:fldChar w:fldCharType="begin">
                <w:ffData>
                  <w:name w:val="Check5"/>
                  <w:enabled/>
                  <w:calcOnExit w:val="0"/>
                  <w:checkBox>
                    <w:sizeAuto/>
                    <w:default w:val="0"/>
                  </w:checkBox>
                </w:ffData>
              </w:fldChar>
            </w:r>
            <w:r w:rsidRPr="00663D98">
              <w:rPr>
                <w:rFonts w:ascii="Arial Narrow" w:hAnsi="Arial Narrow" w:cs="Arial"/>
                <w:sz w:val="20"/>
                <w:szCs w:val="20"/>
              </w:rPr>
              <w:instrText xml:space="preserve"> FORMCHECKBOX </w:instrText>
            </w:r>
            <w:r w:rsidR="00C34BCC">
              <w:rPr>
                <w:rFonts w:ascii="Arial Narrow" w:hAnsi="Arial Narrow" w:cs="Arial"/>
                <w:sz w:val="20"/>
                <w:szCs w:val="20"/>
              </w:rPr>
            </w:r>
            <w:r w:rsidR="00C34BCC">
              <w:rPr>
                <w:rFonts w:ascii="Arial Narrow" w:hAnsi="Arial Narrow" w:cs="Arial"/>
                <w:sz w:val="20"/>
                <w:szCs w:val="20"/>
              </w:rPr>
              <w:fldChar w:fldCharType="separate"/>
            </w:r>
            <w:r w:rsidRPr="007C7D16">
              <w:rPr>
                <w:rFonts w:ascii="Arial Narrow" w:hAnsi="Arial Narrow" w:cs="Arial"/>
                <w:sz w:val="20"/>
                <w:szCs w:val="20"/>
              </w:rPr>
              <w:fldChar w:fldCharType="end"/>
            </w:r>
            <w:r w:rsidRPr="00663D98">
              <w:rPr>
                <w:rFonts w:ascii="Arial Narrow" w:hAnsi="Arial Narrow" w:cs="Arial"/>
                <w:sz w:val="20"/>
                <w:szCs w:val="20"/>
              </w:rPr>
              <w:t>Authority Required - Electronic</w:t>
            </w:r>
          </w:p>
          <w:p w:rsidR="0010522E" w:rsidRPr="00F77FD5" w:rsidRDefault="0010522E" w:rsidP="00663D98">
            <w:pPr>
              <w:spacing w:before="40" w:after="40"/>
              <w:rPr>
                <w:rFonts w:ascii="Arial Narrow" w:hAnsi="Arial Narrow" w:cs="Arial"/>
                <w:sz w:val="20"/>
                <w:szCs w:val="20"/>
              </w:rPr>
            </w:pPr>
            <w:r w:rsidRPr="007C7D16">
              <w:rPr>
                <w:rFonts w:ascii="Arial Narrow" w:hAnsi="Arial Narrow" w:cs="Arial"/>
                <w:sz w:val="20"/>
                <w:szCs w:val="20"/>
              </w:rPr>
              <w:fldChar w:fldCharType="begin">
                <w:ffData>
                  <w:name w:val=""/>
                  <w:enabled/>
                  <w:calcOnExit w:val="0"/>
                  <w:checkBox>
                    <w:sizeAuto/>
                    <w:default w:val="1"/>
                  </w:checkBox>
                </w:ffData>
              </w:fldChar>
            </w:r>
            <w:r w:rsidRPr="00663D98">
              <w:rPr>
                <w:rFonts w:ascii="Arial Narrow" w:hAnsi="Arial Narrow" w:cs="Arial"/>
                <w:sz w:val="20"/>
                <w:szCs w:val="20"/>
              </w:rPr>
              <w:instrText xml:space="preserve"> FORMCHECKBOX </w:instrText>
            </w:r>
            <w:r w:rsidR="00C34BCC">
              <w:rPr>
                <w:rFonts w:ascii="Arial Narrow" w:hAnsi="Arial Narrow" w:cs="Arial"/>
                <w:sz w:val="20"/>
                <w:szCs w:val="20"/>
              </w:rPr>
            </w:r>
            <w:r w:rsidR="00C34BCC">
              <w:rPr>
                <w:rFonts w:ascii="Arial Narrow" w:hAnsi="Arial Narrow" w:cs="Arial"/>
                <w:sz w:val="20"/>
                <w:szCs w:val="20"/>
              </w:rPr>
              <w:fldChar w:fldCharType="separate"/>
            </w:r>
            <w:r w:rsidRPr="007C7D16">
              <w:rPr>
                <w:rFonts w:ascii="Arial Narrow" w:hAnsi="Arial Narrow" w:cs="Arial"/>
                <w:sz w:val="20"/>
                <w:szCs w:val="20"/>
              </w:rPr>
              <w:fldChar w:fldCharType="end"/>
            </w:r>
            <w:r w:rsidRPr="00663D98">
              <w:rPr>
                <w:rFonts w:ascii="Arial Narrow" w:hAnsi="Arial Narrow" w:cs="Arial"/>
                <w:sz w:val="20"/>
                <w:szCs w:val="20"/>
              </w:rPr>
              <w:t>Streamlined</w:t>
            </w:r>
          </w:p>
        </w:tc>
      </w:tr>
      <w:tr w:rsidR="0010522E" w:rsidRPr="00663D98" w:rsidTr="00663D98">
        <w:trPr>
          <w:trHeight w:val="360"/>
        </w:trPr>
        <w:tc>
          <w:tcPr>
            <w:tcW w:w="1070" w:type="pct"/>
            <w:tcBorders>
              <w:top w:val="single" w:sz="4" w:space="0" w:color="auto"/>
              <w:left w:val="single" w:sz="4" w:space="0" w:color="auto"/>
              <w:bottom w:val="single" w:sz="4" w:space="0" w:color="auto"/>
              <w:right w:val="single" w:sz="4" w:space="0" w:color="auto"/>
            </w:tcBorders>
          </w:tcPr>
          <w:p w:rsidR="0010522E" w:rsidRPr="00663D98" w:rsidRDefault="0010522E" w:rsidP="00663D98">
            <w:pPr>
              <w:spacing w:before="40" w:after="40"/>
              <w:jc w:val="both"/>
              <w:rPr>
                <w:rFonts w:ascii="Arial Narrow" w:hAnsi="Arial Narrow" w:cs="Arial"/>
                <w:b/>
                <w:sz w:val="20"/>
                <w:szCs w:val="20"/>
              </w:rPr>
            </w:pPr>
            <w:r w:rsidRPr="00663D98">
              <w:rPr>
                <w:rFonts w:ascii="Arial Narrow" w:hAnsi="Arial Narrow" w:cs="Arial"/>
                <w:b/>
                <w:sz w:val="20"/>
                <w:szCs w:val="20"/>
              </w:rPr>
              <w:t>Clinical criteria:</w:t>
            </w:r>
          </w:p>
        </w:tc>
        <w:tc>
          <w:tcPr>
            <w:tcW w:w="3930" w:type="pct"/>
            <w:tcBorders>
              <w:top w:val="single" w:sz="4" w:space="0" w:color="auto"/>
              <w:left w:val="single" w:sz="4" w:space="0" w:color="auto"/>
              <w:bottom w:val="single" w:sz="4" w:space="0" w:color="auto"/>
              <w:right w:val="single" w:sz="4" w:space="0" w:color="auto"/>
            </w:tcBorders>
          </w:tcPr>
          <w:p w:rsidR="0010522E" w:rsidRPr="00663D98" w:rsidRDefault="0010522E" w:rsidP="00663D98">
            <w:pPr>
              <w:rPr>
                <w:rFonts w:ascii="Arial Narrow" w:hAnsi="Arial Narrow" w:cs="Arial"/>
                <w:sz w:val="20"/>
                <w:szCs w:val="20"/>
                <w:lang w:eastAsia="en-US" w:bidi="en-US"/>
              </w:rPr>
            </w:pPr>
            <w:r w:rsidRPr="00663D98">
              <w:rPr>
                <w:rFonts w:ascii="Arial Narrow" w:hAnsi="Arial Narrow" w:cs="Arial"/>
                <w:sz w:val="20"/>
                <w:szCs w:val="20"/>
                <w:lang w:eastAsia="en-US" w:bidi="en-US"/>
              </w:rPr>
              <w:t>Patient must have previously been issued with an authority prescription for this drug for this condition,</w:t>
            </w:r>
          </w:p>
          <w:p w:rsidR="0010522E" w:rsidRPr="00663D98" w:rsidRDefault="0010522E" w:rsidP="00663D98">
            <w:pPr>
              <w:rPr>
                <w:rFonts w:ascii="Arial Narrow" w:hAnsi="Arial Narrow" w:cs="Arial"/>
                <w:sz w:val="20"/>
                <w:szCs w:val="20"/>
                <w:lang w:eastAsia="en-US" w:bidi="en-US"/>
              </w:rPr>
            </w:pPr>
          </w:p>
          <w:p w:rsidR="0010522E" w:rsidRPr="00663D98" w:rsidRDefault="0010522E" w:rsidP="00663D98">
            <w:pPr>
              <w:rPr>
                <w:rFonts w:ascii="Arial Narrow" w:hAnsi="Arial Narrow" w:cs="Arial"/>
                <w:sz w:val="20"/>
                <w:szCs w:val="20"/>
                <w:lang w:eastAsia="en-US" w:bidi="en-US"/>
              </w:rPr>
            </w:pPr>
            <w:r w:rsidRPr="00663D98">
              <w:rPr>
                <w:rFonts w:ascii="Arial Narrow" w:hAnsi="Arial Narrow" w:cs="Arial"/>
                <w:sz w:val="20"/>
                <w:szCs w:val="20"/>
                <w:lang w:eastAsia="en-US" w:bidi="en-US"/>
              </w:rPr>
              <w:t>AND</w:t>
            </w:r>
          </w:p>
          <w:p w:rsidR="0010522E" w:rsidRPr="00663D98" w:rsidRDefault="0010522E" w:rsidP="00663D98">
            <w:pPr>
              <w:rPr>
                <w:rFonts w:ascii="Arial Narrow" w:hAnsi="Arial Narrow" w:cs="Arial"/>
                <w:sz w:val="20"/>
                <w:szCs w:val="20"/>
                <w:lang w:eastAsia="en-US" w:bidi="en-US"/>
              </w:rPr>
            </w:pPr>
          </w:p>
          <w:p w:rsidR="0010522E" w:rsidRPr="00663D98" w:rsidRDefault="0010522E" w:rsidP="00663D98">
            <w:pPr>
              <w:jc w:val="both"/>
              <w:rPr>
                <w:rFonts w:ascii="Arial Narrow" w:hAnsi="Arial Narrow" w:cs="Arial"/>
                <w:snapToGrid w:val="0"/>
                <w:sz w:val="20"/>
                <w:szCs w:val="20"/>
                <w:lang w:eastAsia="en-US" w:bidi="en-US"/>
              </w:rPr>
            </w:pPr>
            <w:r w:rsidRPr="00663D98">
              <w:rPr>
                <w:rFonts w:ascii="Arial Narrow" w:hAnsi="Arial Narrow" w:cs="Arial"/>
                <w:snapToGrid w:val="0"/>
                <w:sz w:val="20"/>
                <w:szCs w:val="20"/>
                <w:lang w:eastAsia="en-US" w:bidi="en-US"/>
              </w:rPr>
              <w:t>Patient must not have progressive disease while on this drug,</w:t>
            </w:r>
          </w:p>
          <w:p w:rsidR="0010522E" w:rsidRPr="00663D98" w:rsidRDefault="0010522E" w:rsidP="00663D98">
            <w:pPr>
              <w:jc w:val="both"/>
              <w:rPr>
                <w:rFonts w:ascii="Arial Narrow" w:hAnsi="Arial Narrow" w:cs="Arial"/>
                <w:snapToGrid w:val="0"/>
                <w:sz w:val="20"/>
                <w:szCs w:val="20"/>
                <w:lang w:eastAsia="en-US" w:bidi="en-US"/>
              </w:rPr>
            </w:pPr>
          </w:p>
          <w:p w:rsidR="0010522E" w:rsidRPr="00663D98" w:rsidRDefault="0010522E" w:rsidP="00663D98">
            <w:pPr>
              <w:jc w:val="both"/>
              <w:rPr>
                <w:rFonts w:ascii="Arial Narrow" w:hAnsi="Arial Narrow" w:cs="Arial"/>
                <w:snapToGrid w:val="0"/>
                <w:sz w:val="20"/>
                <w:szCs w:val="20"/>
                <w:lang w:eastAsia="en-US" w:bidi="en-US"/>
              </w:rPr>
            </w:pPr>
            <w:r w:rsidRPr="00663D98">
              <w:rPr>
                <w:rFonts w:ascii="Arial Narrow" w:hAnsi="Arial Narrow" w:cs="Arial"/>
                <w:snapToGrid w:val="0"/>
                <w:sz w:val="20"/>
                <w:szCs w:val="20"/>
                <w:lang w:eastAsia="en-US" w:bidi="en-US"/>
              </w:rPr>
              <w:t>AND</w:t>
            </w:r>
          </w:p>
          <w:p w:rsidR="0010522E" w:rsidRPr="00663D98" w:rsidRDefault="0010522E" w:rsidP="00663D98">
            <w:pPr>
              <w:jc w:val="both"/>
              <w:rPr>
                <w:rFonts w:ascii="Arial Narrow" w:hAnsi="Arial Narrow" w:cs="Arial"/>
                <w:snapToGrid w:val="0"/>
                <w:sz w:val="20"/>
                <w:szCs w:val="20"/>
                <w:lang w:eastAsia="en-US" w:bidi="en-US"/>
              </w:rPr>
            </w:pPr>
          </w:p>
          <w:p w:rsidR="0010522E" w:rsidRPr="00663D98" w:rsidRDefault="0010522E" w:rsidP="00663D98">
            <w:pPr>
              <w:spacing w:before="40" w:after="40"/>
              <w:rPr>
                <w:rFonts w:ascii="Arial Narrow" w:hAnsi="Arial Narrow" w:cs="Arial"/>
                <w:sz w:val="20"/>
                <w:szCs w:val="20"/>
              </w:rPr>
            </w:pPr>
            <w:r w:rsidRPr="00663D98">
              <w:rPr>
                <w:rFonts w:ascii="Arial Narrow" w:hAnsi="Arial Narrow" w:cs="Arial"/>
                <w:snapToGrid w:val="0"/>
                <w:sz w:val="20"/>
                <w:szCs w:val="20"/>
                <w:lang w:eastAsia="en-US" w:bidi="en-US"/>
              </w:rPr>
              <w:t xml:space="preserve">The treatment must be the sole PBS-subsidised therapy for this condition.   </w:t>
            </w:r>
          </w:p>
        </w:tc>
      </w:tr>
      <w:tr w:rsidR="0010522E" w:rsidRPr="00663D98" w:rsidTr="00663D98">
        <w:trPr>
          <w:trHeight w:val="360"/>
        </w:trPr>
        <w:tc>
          <w:tcPr>
            <w:tcW w:w="1070" w:type="pct"/>
            <w:tcBorders>
              <w:top w:val="single" w:sz="4" w:space="0" w:color="auto"/>
              <w:left w:val="single" w:sz="4" w:space="0" w:color="auto"/>
              <w:bottom w:val="single" w:sz="4" w:space="0" w:color="auto"/>
              <w:right w:val="single" w:sz="4" w:space="0" w:color="auto"/>
            </w:tcBorders>
          </w:tcPr>
          <w:p w:rsidR="0010522E" w:rsidRPr="00663D98" w:rsidRDefault="0010522E" w:rsidP="00663D98">
            <w:pPr>
              <w:spacing w:before="40" w:after="40"/>
              <w:jc w:val="both"/>
              <w:rPr>
                <w:rFonts w:ascii="Arial Narrow" w:hAnsi="Arial Narrow" w:cs="Arial"/>
                <w:b/>
                <w:sz w:val="20"/>
                <w:szCs w:val="20"/>
              </w:rPr>
            </w:pPr>
            <w:r w:rsidRPr="00663D98">
              <w:rPr>
                <w:rFonts w:ascii="Arial Narrow" w:hAnsi="Arial Narrow" w:cs="Arial"/>
                <w:b/>
                <w:sz w:val="20"/>
                <w:szCs w:val="20"/>
              </w:rPr>
              <w:t>Prescriber Instructions</w:t>
            </w:r>
          </w:p>
        </w:tc>
        <w:tc>
          <w:tcPr>
            <w:tcW w:w="3930" w:type="pct"/>
            <w:tcBorders>
              <w:top w:val="single" w:sz="4" w:space="0" w:color="auto"/>
              <w:left w:val="single" w:sz="4" w:space="0" w:color="auto"/>
              <w:bottom w:val="single" w:sz="4" w:space="0" w:color="auto"/>
              <w:right w:val="single" w:sz="4" w:space="0" w:color="auto"/>
            </w:tcBorders>
          </w:tcPr>
          <w:p w:rsidR="0010522E" w:rsidRPr="00663D98" w:rsidRDefault="0010522E" w:rsidP="00663D98">
            <w:pPr>
              <w:rPr>
                <w:rFonts w:ascii="Arial Narrow" w:hAnsi="Arial Narrow" w:cs="Arial"/>
                <w:sz w:val="20"/>
                <w:szCs w:val="20"/>
                <w:lang w:eastAsia="en-US" w:bidi="en-US"/>
              </w:rPr>
            </w:pPr>
            <w:r w:rsidRPr="00663D98">
              <w:rPr>
                <w:rFonts w:ascii="Arial Narrow" w:hAnsi="Arial Narrow" w:cs="Arial"/>
                <w:sz w:val="20"/>
                <w:szCs w:val="20"/>
                <w:lang w:eastAsia="en-US" w:bidi="en-US"/>
              </w:rPr>
              <w:t xml:space="preserve">A patient who has progressive disease when treated with this drug is no longer eligible for PBS-subsidised treatment with this drug. </w:t>
            </w:r>
          </w:p>
        </w:tc>
      </w:tr>
      <w:tr w:rsidR="0010522E" w:rsidRPr="00663D98" w:rsidTr="00663D98">
        <w:trPr>
          <w:trHeight w:val="360"/>
        </w:trPr>
        <w:tc>
          <w:tcPr>
            <w:tcW w:w="1070" w:type="pct"/>
            <w:tcBorders>
              <w:top w:val="single" w:sz="4" w:space="0" w:color="auto"/>
              <w:left w:val="single" w:sz="4" w:space="0" w:color="auto"/>
              <w:bottom w:val="single" w:sz="4" w:space="0" w:color="auto"/>
              <w:right w:val="single" w:sz="4" w:space="0" w:color="auto"/>
            </w:tcBorders>
          </w:tcPr>
          <w:p w:rsidR="0010522E" w:rsidRPr="00663D98" w:rsidRDefault="0010522E" w:rsidP="00663D98">
            <w:pPr>
              <w:spacing w:before="40" w:after="40"/>
              <w:jc w:val="both"/>
              <w:rPr>
                <w:rFonts w:ascii="Arial Narrow" w:hAnsi="Arial Narrow" w:cs="Arial"/>
                <w:b/>
                <w:sz w:val="20"/>
                <w:szCs w:val="20"/>
              </w:rPr>
            </w:pPr>
            <w:r w:rsidRPr="00663D98">
              <w:rPr>
                <w:rFonts w:ascii="Arial Narrow" w:hAnsi="Arial Narrow" w:cs="Arial"/>
                <w:b/>
                <w:sz w:val="20"/>
                <w:szCs w:val="20"/>
              </w:rPr>
              <w:t>Administrative Advice</w:t>
            </w:r>
          </w:p>
          <w:p w:rsidR="0010522E" w:rsidRPr="00663D98" w:rsidRDefault="0010522E" w:rsidP="00663D98">
            <w:pPr>
              <w:spacing w:before="40" w:after="40"/>
              <w:jc w:val="both"/>
              <w:rPr>
                <w:rFonts w:ascii="Arial Narrow" w:hAnsi="Arial Narrow" w:cs="Arial"/>
                <w:i/>
                <w:sz w:val="20"/>
                <w:szCs w:val="20"/>
              </w:rPr>
            </w:pPr>
          </w:p>
          <w:p w:rsidR="0010522E" w:rsidRPr="00663D98" w:rsidRDefault="0010522E" w:rsidP="00663D98">
            <w:pPr>
              <w:spacing w:before="40" w:after="40"/>
              <w:jc w:val="both"/>
              <w:rPr>
                <w:rFonts w:ascii="Arial Narrow" w:hAnsi="Arial Narrow" w:cs="Arial"/>
                <w:i/>
                <w:sz w:val="20"/>
                <w:szCs w:val="20"/>
              </w:rPr>
            </w:pPr>
          </w:p>
        </w:tc>
        <w:tc>
          <w:tcPr>
            <w:tcW w:w="3930" w:type="pct"/>
            <w:tcBorders>
              <w:top w:val="single" w:sz="4" w:space="0" w:color="auto"/>
              <w:left w:val="single" w:sz="4" w:space="0" w:color="auto"/>
              <w:bottom w:val="single" w:sz="4" w:space="0" w:color="auto"/>
              <w:right w:val="single" w:sz="4" w:space="0" w:color="auto"/>
            </w:tcBorders>
          </w:tcPr>
          <w:p w:rsidR="0010522E" w:rsidRPr="00663D98" w:rsidRDefault="0010522E" w:rsidP="00663D98">
            <w:pPr>
              <w:spacing w:before="40" w:after="40"/>
              <w:rPr>
                <w:rFonts w:ascii="Arial Narrow" w:hAnsi="Arial Narrow" w:cs="Arial"/>
                <w:sz w:val="20"/>
                <w:szCs w:val="20"/>
              </w:rPr>
            </w:pPr>
            <w:r w:rsidRPr="00663D98">
              <w:rPr>
                <w:rFonts w:ascii="Arial Narrow" w:hAnsi="Arial Narrow" w:cs="Arial"/>
                <w:sz w:val="20"/>
                <w:szCs w:val="20"/>
              </w:rPr>
              <w:t>The prescribed dose is not permitted to be increased once it has been reduced.</w:t>
            </w:r>
          </w:p>
          <w:p w:rsidR="0010522E" w:rsidRPr="00663D98" w:rsidRDefault="0010522E" w:rsidP="00663D98">
            <w:pPr>
              <w:spacing w:before="40" w:after="40"/>
              <w:rPr>
                <w:rFonts w:ascii="Arial Narrow" w:hAnsi="Arial Narrow" w:cs="Arial"/>
                <w:sz w:val="20"/>
                <w:szCs w:val="20"/>
              </w:rPr>
            </w:pPr>
          </w:p>
          <w:p w:rsidR="0010522E" w:rsidRPr="00663D98" w:rsidRDefault="0010522E" w:rsidP="00663D98">
            <w:pPr>
              <w:spacing w:before="40" w:after="40"/>
              <w:rPr>
                <w:rFonts w:ascii="Arial Narrow" w:hAnsi="Arial Narrow" w:cs="Arial"/>
                <w:sz w:val="20"/>
                <w:szCs w:val="20"/>
              </w:rPr>
            </w:pPr>
            <w:r w:rsidRPr="00663D98">
              <w:rPr>
                <w:rFonts w:ascii="Arial Narrow" w:hAnsi="Arial Narrow" w:cs="Arial"/>
                <w:sz w:val="20"/>
                <w:szCs w:val="20"/>
              </w:rPr>
              <w:t xml:space="preserve">No increase in maximum quantity or number of units may be authorised. </w:t>
            </w:r>
          </w:p>
          <w:p w:rsidR="0010522E" w:rsidRPr="00663D98" w:rsidRDefault="0010522E" w:rsidP="00663D98">
            <w:pPr>
              <w:spacing w:before="40" w:after="40"/>
              <w:rPr>
                <w:rFonts w:ascii="Arial Narrow" w:hAnsi="Arial Narrow" w:cs="Arial"/>
                <w:sz w:val="20"/>
                <w:szCs w:val="20"/>
              </w:rPr>
            </w:pPr>
          </w:p>
          <w:p w:rsidR="0010522E" w:rsidRPr="00663D98" w:rsidRDefault="0010522E" w:rsidP="00663D98">
            <w:pPr>
              <w:spacing w:before="40" w:after="40"/>
              <w:rPr>
                <w:rFonts w:ascii="Arial Narrow" w:hAnsi="Arial Narrow" w:cs="Arial"/>
                <w:sz w:val="20"/>
                <w:szCs w:val="20"/>
              </w:rPr>
            </w:pPr>
            <w:r w:rsidRPr="00663D98">
              <w:rPr>
                <w:rFonts w:ascii="Arial Narrow" w:hAnsi="Arial Narrow" w:cs="Arial"/>
                <w:sz w:val="20"/>
                <w:szCs w:val="20"/>
              </w:rPr>
              <w:t>No increase in the maximum number of repeats may be authorised.</w:t>
            </w:r>
          </w:p>
        </w:tc>
      </w:tr>
    </w:tbl>
    <w:p w:rsidR="001A10EA" w:rsidRDefault="001A10EA" w:rsidP="001A10EA">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bookmarkStart w:id="1" w:name="_GoBack"/>
      <w:bookmarkEnd w:id="1"/>
      <w:r>
        <w:rPr>
          <w:rFonts w:asciiTheme="minorHAnsi" w:hAnsiTheme="minorHAnsi"/>
          <w:sz w:val="32"/>
          <w:szCs w:val="32"/>
        </w:rPr>
        <w:t xml:space="preserve">Context for Decision </w:t>
      </w:r>
    </w:p>
    <w:p w:rsidR="001A10EA" w:rsidRDefault="001A10EA" w:rsidP="001A10EA">
      <w:pPr>
        <w:jc w:val="both"/>
        <w:rPr>
          <w:rFonts w:asciiTheme="minorHAnsi" w:hAnsiTheme="minorHAnsi" w:cs="Arial"/>
        </w:rPr>
      </w:pPr>
      <w:r w:rsidRPr="00C07617">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A10EA" w:rsidRPr="001A10EA" w:rsidRDefault="001A10EA" w:rsidP="001A10EA">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t xml:space="preserve">Sponsor’s Comment </w:t>
      </w:r>
    </w:p>
    <w:p w:rsidR="0010522E" w:rsidRPr="00663D98" w:rsidRDefault="001A10EA" w:rsidP="0010522E">
      <w:pPr>
        <w:tabs>
          <w:tab w:val="left" w:pos="1215"/>
        </w:tabs>
        <w:rPr>
          <w:rFonts w:eastAsiaTheme="minorHAnsi"/>
        </w:rPr>
      </w:pPr>
      <w:r w:rsidRPr="00C07617">
        <w:rPr>
          <w:rFonts w:asciiTheme="minorHAnsi" w:hAnsiTheme="minorHAnsi" w:cs="Arial"/>
          <w:bCs/>
        </w:rPr>
        <w:t>The sponsor had no comment.</w:t>
      </w:r>
    </w:p>
    <w:sectPr w:rsidR="0010522E" w:rsidRPr="00663D98"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BCC" w:rsidRDefault="00C34BCC">
      <w:r>
        <w:separator/>
      </w:r>
    </w:p>
    <w:p w:rsidR="00C34BCC" w:rsidRDefault="00C34BCC"/>
  </w:endnote>
  <w:endnote w:type="continuationSeparator" w:id="0">
    <w:p w:rsidR="00C34BCC" w:rsidRDefault="00C34BCC">
      <w:r>
        <w:continuationSeparator/>
      </w:r>
    </w:p>
    <w:p w:rsidR="00C34BCC" w:rsidRDefault="00C34B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5B57BA" w:rsidTr="005A3173">
      <w:trPr>
        <w:trHeight w:val="151"/>
      </w:trPr>
      <w:tc>
        <w:tcPr>
          <w:tcW w:w="2250" w:type="pct"/>
          <w:tcBorders>
            <w:top w:val="nil"/>
            <w:left w:val="nil"/>
            <w:bottom w:val="single" w:sz="4" w:space="0" w:color="4F81BD"/>
            <w:right w:val="nil"/>
          </w:tcBorders>
        </w:tcPr>
        <w:p w:rsidR="005B57BA" w:rsidRPr="005A3173" w:rsidRDefault="005B57BA" w:rsidP="005A3173">
          <w:pPr>
            <w:pStyle w:val="Header"/>
            <w:spacing w:line="276" w:lineRule="auto"/>
            <w:rPr>
              <w:rFonts w:ascii="Calibri" w:eastAsia="MS Gothic" w:hAnsi="Calibri"/>
              <w:b/>
              <w:bCs/>
              <w:color w:val="4F81BD"/>
            </w:rPr>
          </w:pPr>
        </w:p>
      </w:tc>
      <w:tc>
        <w:tcPr>
          <w:tcW w:w="500" w:type="pct"/>
          <w:vMerge w:val="restart"/>
          <w:noWrap/>
          <w:vAlign w:val="center"/>
          <w:hideMark/>
        </w:tcPr>
        <w:p w:rsidR="005B57BA" w:rsidRPr="005A3173" w:rsidRDefault="005B57B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5B57BA" w:rsidRPr="005A3173" w:rsidRDefault="005B57BA" w:rsidP="005A3173">
          <w:pPr>
            <w:pStyle w:val="Header"/>
            <w:spacing w:line="276" w:lineRule="auto"/>
            <w:rPr>
              <w:rFonts w:ascii="Calibri" w:eastAsia="MS Gothic" w:hAnsi="Calibri"/>
              <w:b/>
              <w:bCs/>
              <w:color w:val="4F81BD"/>
            </w:rPr>
          </w:pPr>
        </w:p>
      </w:tc>
    </w:tr>
    <w:tr w:rsidR="005B57BA" w:rsidTr="005A3173">
      <w:trPr>
        <w:trHeight w:val="150"/>
      </w:trPr>
      <w:tc>
        <w:tcPr>
          <w:tcW w:w="2250" w:type="pct"/>
          <w:tcBorders>
            <w:top w:val="single" w:sz="4" w:space="0" w:color="4F81BD"/>
            <w:left w:val="nil"/>
            <w:bottom w:val="nil"/>
            <w:right w:val="nil"/>
          </w:tcBorders>
        </w:tcPr>
        <w:p w:rsidR="005B57BA" w:rsidRPr="005A3173" w:rsidRDefault="005B57BA" w:rsidP="005A3173">
          <w:pPr>
            <w:pStyle w:val="Header"/>
            <w:spacing w:line="276" w:lineRule="auto"/>
            <w:rPr>
              <w:rFonts w:ascii="Calibri" w:eastAsia="MS Gothic" w:hAnsi="Calibri"/>
              <w:b/>
              <w:bCs/>
              <w:color w:val="4F81BD"/>
            </w:rPr>
          </w:pPr>
        </w:p>
      </w:tc>
      <w:tc>
        <w:tcPr>
          <w:tcW w:w="0" w:type="auto"/>
          <w:vMerge/>
          <w:vAlign w:val="center"/>
          <w:hideMark/>
        </w:tcPr>
        <w:p w:rsidR="005B57BA" w:rsidRPr="005A3173" w:rsidRDefault="005B57BA" w:rsidP="005A3173">
          <w:pPr>
            <w:rPr>
              <w:rFonts w:ascii="Calibri" w:hAnsi="Calibri"/>
              <w:color w:val="365F91"/>
              <w:sz w:val="22"/>
              <w:szCs w:val="22"/>
            </w:rPr>
          </w:pPr>
        </w:p>
      </w:tc>
      <w:tc>
        <w:tcPr>
          <w:tcW w:w="2250" w:type="pct"/>
          <w:tcBorders>
            <w:top w:val="single" w:sz="4" w:space="0" w:color="4F81BD"/>
            <w:left w:val="nil"/>
            <w:bottom w:val="nil"/>
            <w:right w:val="nil"/>
          </w:tcBorders>
        </w:tcPr>
        <w:p w:rsidR="005B57BA" w:rsidRPr="005A3173" w:rsidRDefault="005B57BA" w:rsidP="005A3173">
          <w:pPr>
            <w:pStyle w:val="Header"/>
            <w:spacing w:line="276" w:lineRule="auto"/>
            <w:rPr>
              <w:rFonts w:ascii="Calibri" w:eastAsia="MS Gothic" w:hAnsi="Calibri"/>
              <w:b/>
              <w:bCs/>
              <w:color w:val="4F81BD"/>
            </w:rPr>
          </w:pPr>
        </w:p>
      </w:tc>
    </w:tr>
  </w:tbl>
  <w:p w:rsidR="005B57BA" w:rsidRDefault="005B57B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B57BA" w:rsidRDefault="005B57BA">
    <w:pPr>
      <w:pStyle w:val="Footer"/>
    </w:pPr>
  </w:p>
  <w:p w:rsidR="005B57BA" w:rsidRDefault="005B57B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7BA" w:rsidRDefault="005B57BA">
    <w:pPr>
      <w:pStyle w:val="Footer"/>
      <w:jc w:val="center"/>
    </w:pPr>
  </w:p>
  <w:p w:rsidR="005B57BA" w:rsidRPr="005C2DD9" w:rsidRDefault="00C34BCC">
    <w:pPr>
      <w:pStyle w:val="Footer"/>
      <w:jc w:val="center"/>
      <w:rPr>
        <w:rFonts w:asciiTheme="minorHAnsi" w:hAnsiTheme="minorHAnsi" w:cstheme="minorHAnsi"/>
      </w:rPr>
    </w:pPr>
    <w:sdt>
      <w:sdtPr>
        <w:id w:val="-1253199806"/>
        <w:docPartObj>
          <w:docPartGallery w:val="Page Numbers (Bottom of Page)"/>
          <w:docPartUnique/>
        </w:docPartObj>
      </w:sdtPr>
      <w:sdtEndPr>
        <w:rPr>
          <w:rFonts w:asciiTheme="minorHAnsi" w:hAnsiTheme="minorHAnsi" w:cstheme="minorHAnsi"/>
          <w:noProof/>
        </w:rPr>
      </w:sdtEndPr>
      <w:sdtContent>
        <w:r w:rsidR="005B57BA" w:rsidRPr="005C2DD9">
          <w:rPr>
            <w:rFonts w:asciiTheme="minorHAnsi" w:hAnsiTheme="minorHAnsi" w:cstheme="minorHAnsi"/>
          </w:rPr>
          <w:fldChar w:fldCharType="begin"/>
        </w:r>
        <w:r w:rsidR="005B57BA" w:rsidRPr="005C2DD9">
          <w:rPr>
            <w:rFonts w:asciiTheme="minorHAnsi" w:hAnsiTheme="minorHAnsi" w:cstheme="minorHAnsi"/>
          </w:rPr>
          <w:instrText xml:space="preserve"> PAGE   \* MERGEFORMAT </w:instrText>
        </w:r>
        <w:r w:rsidR="005B57BA" w:rsidRPr="005C2DD9">
          <w:rPr>
            <w:rFonts w:asciiTheme="minorHAnsi" w:hAnsiTheme="minorHAnsi" w:cstheme="minorHAnsi"/>
          </w:rPr>
          <w:fldChar w:fldCharType="separate"/>
        </w:r>
        <w:r>
          <w:rPr>
            <w:rFonts w:asciiTheme="minorHAnsi" w:hAnsiTheme="minorHAnsi" w:cstheme="minorHAnsi"/>
            <w:noProof/>
          </w:rPr>
          <w:t>2</w:t>
        </w:r>
        <w:r w:rsidR="005B57BA" w:rsidRPr="005C2DD9">
          <w:rPr>
            <w:rFonts w:asciiTheme="minorHAnsi" w:hAnsiTheme="minorHAnsi" w:cstheme="minorHAnsi"/>
            <w:noProof/>
          </w:rPr>
          <w:fldChar w:fldCharType="end"/>
        </w:r>
      </w:sdtContent>
    </w:sdt>
  </w:p>
  <w:p w:rsidR="005B57BA" w:rsidRPr="005E1333" w:rsidRDefault="005B57BA" w:rsidP="009643C0">
    <w:pPr>
      <w:pStyle w:val="Footer"/>
      <w:jc w:val="center"/>
      <w:rPr>
        <w:rFonts w:asciiTheme="minorHAnsi" w:hAnsiTheme="minorHAnsi" w:cs="Arial"/>
        <w:b/>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5B57BA" w:rsidTr="005A3173">
      <w:trPr>
        <w:trHeight w:val="151"/>
      </w:trPr>
      <w:tc>
        <w:tcPr>
          <w:tcW w:w="2250" w:type="pct"/>
          <w:tcBorders>
            <w:top w:val="nil"/>
            <w:left w:val="nil"/>
            <w:bottom w:val="single" w:sz="4" w:space="0" w:color="4F81BD"/>
            <w:right w:val="nil"/>
          </w:tcBorders>
        </w:tcPr>
        <w:p w:rsidR="005B57BA" w:rsidRPr="005A3173" w:rsidRDefault="005B57BA" w:rsidP="005A3173">
          <w:pPr>
            <w:pStyle w:val="Header"/>
            <w:spacing w:line="276" w:lineRule="auto"/>
            <w:rPr>
              <w:rFonts w:ascii="Calibri" w:eastAsia="MS Gothic" w:hAnsi="Calibri"/>
              <w:b/>
              <w:bCs/>
              <w:color w:val="4F81BD"/>
            </w:rPr>
          </w:pPr>
        </w:p>
      </w:tc>
      <w:tc>
        <w:tcPr>
          <w:tcW w:w="500" w:type="pct"/>
          <w:vMerge w:val="restart"/>
          <w:noWrap/>
          <w:vAlign w:val="center"/>
          <w:hideMark/>
        </w:tcPr>
        <w:p w:rsidR="005B57BA" w:rsidRPr="005A3173" w:rsidRDefault="005B57B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5B57BA" w:rsidRPr="005A3173" w:rsidRDefault="005B57BA" w:rsidP="005A3173">
          <w:pPr>
            <w:pStyle w:val="Header"/>
            <w:spacing w:line="276" w:lineRule="auto"/>
            <w:rPr>
              <w:rFonts w:ascii="Calibri" w:eastAsia="MS Gothic" w:hAnsi="Calibri"/>
              <w:b/>
              <w:bCs/>
              <w:color w:val="4F81BD"/>
            </w:rPr>
          </w:pPr>
        </w:p>
      </w:tc>
    </w:tr>
    <w:tr w:rsidR="005B57BA" w:rsidTr="005A3173">
      <w:trPr>
        <w:trHeight w:val="150"/>
      </w:trPr>
      <w:tc>
        <w:tcPr>
          <w:tcW w:w="2250" w:type="pct"/>
          <w:tcBorders>
            <w:top w:val="single" w:sz="4" w:space="0" w:color="4F81BD"/>
            <w:left w:val="nil"/>
            <w:bottom w:val="nil"/>
            <w:right w:val="nil"/>
          </w:tcBorders>
        </w:tcPr>
        <w:p w:rsidR="005B57BA" w:rsidRPr="005A3173" w:rsidRDefault="005B57BA" w:rsidP="005A3173">
          <w:pPr>
            <w:pStyle w:val="Header"/>
            <w:spacing w:line="276" w:lineRule="auto"/>
            <w:rPr>
              <w:rFonts w:ascii="Calibri" w:eastAsia="MS Gothic" w:hAnsi="Calibri"/>
              <w:b/>
              <w:bCs/>
              <w:color w:val="4F81BD"/>
            </w:rPr>
          </w:pPr>
        </w:p>
      </w:tc>
      <w:tc>
        <w:tcPr>
          <w:tcW w:w="0" w:type="auto"/>
          <w:vMerge/>
          <w:vAlign w:val="center"/>
          <w:hideMark/>
        </w:tcPr>
        <w:p w:rsidR="005B57BA" w:rsidRPr="005A3173" w:rsidRDefault="005B57BA" w:rsidP="005A3173">
          <w:pPr>
            <w:rPr>
              <w:rFonts w:ascii="Calibri" w:hAnsi="Calibri"/>
              <w:color w:val="365F91"/>
              <w:sz w:val="22"/>
              <w:szCs w:val="22"/>
            </w:rPr>
          </w:pPr>
        </w:p>
      </w:tc>
      <w:tc>
        <w:tcPr>
          <w:tcW w:w="2250" w:type="pct"/>
          <w:tcBorders>
            <w:top w:val="single" w:sz="4" w:space="0" w:color="4F81BD"/>
            <w:left w:val="nil"/>
            <w:bottom w:val="nil"/>
            <w:right w:val="nil"/>
          </w:tcBorders>
        </w:tcPr>
        <w:p w:rsidR="005B57BA" w:rsidRPr="005A3173" w:rsidRDefault="005B57BA"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5B57BA" w:rsidTr="005A3173">
      <w:trPr>
        <w:trHeight w:val="151"/>
      </w:trPr>
      <w:tc>
        <w:tcPr>
          <w:tcW w:w="2250" w:type="pct"/>
          <w:tcBorders>
            <w:top w:val="nil"/>
            <w:left w:val="nil"/>
            <w:bottom w:val="single" w:sz="4" w:space="0" w:color="4F81BD"/>
            <w:right w:val="nil"/>
          </w:tcBorders>
        </w:tcPr>
        <w:p w:rsidR="005B57BA" w:rsidRPr="005A3173" w:rsidRDefault="005B57BA" w:rsidP="005A3173">
          <w:pPr>
            <w:pStyle w:val="Header"/>
            <w:spacing w:line="276" w:lineRule="auto"/>
            <w:rPr>
              <w:rFonts w:ascii="Calibri" w:eastAsia="MS Gothic" w:hAnsi="Calibri"/>
              <w:b/>
              <w:bCs/>
              <w:color w:val="4F81BD"/>
            </w:rPr>
          </w:pPr>
        </w:p>
      </w:tc>
      <w:tc>
        <w:tcPr>
          <w:tcW w:w="500" w:type="pct"/>
          <w:vMerge w:val="restart"/>
          <w:noWrap/>
          <w:vAlign w:val="center"/>
          <w:hideMark/>
        </w:tcPr>
        <w:p w:rsidR="005B57BA" w:rsidRPr="005A3173" w:rsidRDefault="005B57B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5B57BA" w:rsidRPr="005A3173" w:rsidRDefault="005B57BA" w:rsidP="005A3173">
          <w:pPr>
            <w:pStyle w:val="Header"/>
            <w:spacing w:line="276" w:lineRule="auto"/>
            <w:rPr>
              <w:rFonts w:ascii="Calibri" w:eastAsia="MS Gothic" w:hAnsi="Calibri"/>
              <w:b/>
              <w:bCs/>
              <w:color w:val="4F81BD"/>
            </w:rPr>
          </w:pPr>
        </w:p>
      </w:tc>
    </w:tr>
    <w:tr w:rsidR="005B57BA" w:rsidTr="005A3173">
      <w:trPr>
        <w:trHeight w:val="150"/>
      </w:trPr>
      <w:tc>
        <w:tcPr>
          <w:tcW w:w="2250" w:type="pct"/>
          <w:tcBorders>
            <w:top w:val="single" w:sz="4" w:space="0" w:color="4F81BD"/>
            <w:left w:val="nil"/>
            <w:bottom w:val="nil"/>
            <w:right w:val="nil"/>
          </w:tcBorders>
        </w:tcPr>
        <w:p w:rsidR="005B57BA" w:rsidRPr="005A3173" w:rsidRDefault="005B57BA" w:rsidP="005A3173">
          <w:pPr>
            <w:pStyle w:val="Header"/>
            <w:spacing w:line="276" w:lineRule="auto"/>
            <w:rPr>
              <w:rFonts w:ascii="Calibri" w:eastAsia="MS Gothic" w:hAnsi="Calibri"/>
              <w:b/>
              <w:bCs/>
              <w:color w:val="4F81BD"/>
            </w:rPr>
          </w:pPr>
        </w:p>
      </w:tc>
      <w:tc>
        <w:tcPr>
          <w:tcW w:w="0" w:type="auto"/>
          <w:vMerge/>
          <w:vAlign w:val="center"/>
          <w:hideMark/>
        </w:tcPr>
        <w:p w:rsidR="005B57BA" w:rsidRPr="005A3173" w:rsidRDefault="005B57BA" w:rsidP="005A3173">
          <w:pPr>
            <w:rPr>
              <w:rFonts w:ascii="Calibri" w:hAnsi="Calibri"/>
              <w:color w:val="365F91"/>
              <w:sz w:val="22"/>
              <w:szCs w:val="22"/>
            </w:rPr>
          </w:pPr>
        </w:p>
      </w:tc>
      <w:tc>
        <w:tcPr>
          <w:tcW w:w="2250" w:type="pct"/>
          <w:tcBorders>
            <w:top w:val="single" w:sz="4" w:space="0" w:color="4F81BD"/>
            <w:left w:val="nil"/>
            <w:bottom w:val="nil"/>
            <w:right w:val="nil"/>
          </w:tcBorders>
        </w:tcPr>
        <w:p w:rsidR="005B57BA" w:rsidRPr="005A3173" w:rsidRDefault="005B57BA" w:rsidP="005A3173">
          <w:pPr>
            <w:pStyle w:val="Header"/>
            <w:spacing w:line="276" w:lineRule="auto"/>
            <w:rPr>
              <w:rFonts w:ascii="Calibri" w:eastAsia="MS Gothic" w:hAnsi="Calibri"/>
              <w:b/>
              <w:bCs/>
              <w:color w:val="4F81BD"/>
            </w:rPr>
          </w:pPr>
        </w:p>
      </w:tc>
    </w:tr>
  </w:tbl>
  <w:p w:rsidR="005B57BA" w:rsidRPr="007C0F57" w:rsidRDefault="005B57B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5B57BA" w:rsidRPr="007C0F57" w:rsidRDefault="005B57BA" w:rsidP="007C0F57">
    <w:pPr>
      <w:pStyle w:val="Footer"/>
      <w:jc w:val="center"/>
      <w:rPr>
        <w:b/>
        <w:i/>
        <w:sz w:val="20"/>
        <w:szCs w:val="20"/>
      </w:rPr>
    </w:pPr>
    <w:r w:rsidRPr="007C0F57">
      <w:rPr>
        <w:b/>
        <w:i/>
        <w:sz w:val="20"/>
        <w:szCs w:val="20"/>
      </w:rPr>
      <w:t>Commercial-in-Confidence</w:t>
    </w:r>
  </w:p>
  <w:p w:rsidR="005B57BA" w:rsidRDefault="005B57B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BCC" w:rsidRDefault="00C34BCC">
      <w:r>
        <w:separator/>
      </w:r>
    </w:p>
    <w:p w:rsidR="00C34BCC" w:rsidRDefault="00C34BCC"/>
  </w:footnote>
  <w:footnote w:type="continuationSeparator" w:id="0">
    <w:p w:rsidR="00C34BCC" w:rsidRDefault="00C34BCC">
      <w:r>
        <w:continuationSeparator/>
      </w:r>
    </w:p>
    <w:p w:rsidR="00C34BCC" w:rsidRDefault="00C34BCC"/>
  </w:footnote>
  <w:footnote w:id="1">
    <w:p w:rsidR="005B57BA" w:rsidRPr="005C2DD9" w:rsidRDefault="005B57BA">
      <w:pPr>
        <w:pStyle w:val="FootnoteText"/>
        <w:rPr>
          <w:rFonts w:ascii="Arial Narrow" w:hAnsi="Arial Narrow"/>
        </w:rPr>
      </w:pPr>
      <w:r w:rsidRPr="005C2DD9">
        <w:rPr>
          <w:rStyle w:val="FootnoteReference"/>
          <w:rFonts w:ascii="Arial Narrow" w:hAnsi="Arial Narrow"/>
        </w:rPr>
        <w:footnoteRef/>
      </w:r>
      <w:r w:rsidRPr="005C2DD9">
        <w:rPr>
          <w:rFonts w:ascii="Arial Narrow" w:hAnsi="Arial Narrow"/>
        </w:rPr>
        <w:t xml:space="preserve"> The average effective dispensed price per cycle based on the individual patient data was $</w:t>
      </w:r>
      <w:r w:rsidR="00C34BCC">
        <w:rPr>
          <w:rFonts w:ascii="Arial Narrow" w:hAnsi="Arial Narrow"/>
          <w:noProof/>
          <w:color w:val="000000"/>
          <w:highlight w:val="black"/>
        </w:rPr>
        <w:t>''''''''''''''''''''''</w:t>
      </w:r>
      <w:r w:rsidRPr="005C2DD9">
        <w:rPr>
          <w:rFonts w:ascii="Arial Narrow" w:hAnsi="Arial Narrow"/>
        </w:rPr>
        <w:t xml:space="preserve"> (sourced from the ‘Recourse IPD – summary’ worksheet of the economic and financial workbook submitted with the minor resubmission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5B57BA" w:rsidRPr="008E0D90" w:rsidTr="00A06225">
      <w:trPr>
        <w:trHeight w:val="151"/>
      </w:trPr>
      <w:tc>
        <w:tcPr>
          <w:tcW w:w="2389" w:type="pct"/>
          <w:tcBorders>
            <w:top w:val="nil"/>
            <w:left w:val="nil"/>
            <w:bottom w:val="single" w:sz="4" w:space="0" w:color="4F81BD"/>
            <w:right w:val="nil"/>
          </w:tcBorders>
        </w:tcPr>
        <w:p w:rsidR="005B57BA" w:rsidRPr="00A06225" w:rsidRDefault="005B57BA">
          <w:pPr>
            <w:pStyle w:val="Header"/>
            <w:spacing w:line="276" w:lineRule="auto"/>
            <w:rPr>
              <w:rFonts w:ascii="Cambria" w:eastAsia="MS Gothic" w:hAnsi="Cambria"/>
              <w:b/>
              <w:bCs/>
              <w:color w:val="4F81BD"/>
            </w:rPr>
          </w:pPr>
        </w:p>
      </w:tc>
      <w:tc>
        <w:tcPr>
          <w:tcW w:w="333" w:type="pct"/>
          <w:vMerge w:val="restart"/>
          <w:noWrap/>
          <w:vAlign w:val="center"/>
          <w:hideMark/>
        </w:tcPr>
        <w:p w:rsidR="005B57BA" w:rsidRPr="00A06225" w:rsidRDefault="005B57B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5B57BA" w:rsidRPr="00A06225" w:rsidRDefault="005B57BA">
          <w:pPr>
            <w:pStyle w:val="Header"/>
            <w:spacing w:line="276" w:lineRule="auto"/>
            <w:rPr>
              <w:rFonts w:ascii="Cambria" w:eastAsia="MS Gothic" w:hAnsi="Cambria"/>
              <w:b/>
              <w:bCs/>
              <w:color w:val="4F81BD"/>
            </w:rPr>
          </w:pPr>
        </w:p>
      </w:tc>
    </w:tr>
    <w:tr w:rsidR="005B57BA" w:rsidRPr="008E0D90" w:rsidTr="00A06225">
      <w:trPr>
        <w:trHeight w:val="150"/>
      </w:trPr>
      <w:tc>
        <w:tcPr>
          <w:tcW w:w="2389" w:type="pct"/>
          <w:tcBorders>
            <w:top w:val="single" w:sz="4" w:space="0" w:color="4F81BD"/>
            <w:left w:val="nil"/>
            <w:bottom w:val="nil"/>
            <w:right w:val="nil"/>
          </w:tcBorders>
        </w:tcPr>
        <w:p w:rsidR="005B57BA" w:rsidRPr="00A06225" w:rsidRDefault="005B57BA">
          <w:pPr>
            <w:pStyle w:val="Header"/>
            <w:spacing w:line="276" w:lineRule="auto"/>
            <w:rPr>
              <w:rFonts w:ascii="Cambria" w:eastAsia="MS Gothic" w:hAnsi="Cambria"/>
              <w:b/>
              <w:bCs/>
              <w:color w:val="4F81BD"/>
            </w:rPr>
          </w:pPr>
        </w:p>
      </w:tc>
      <w:tc>
        <w:tcPr>
          <w:tcW w:w="0" w:type="auto"/>
          <w:vMerge/>
          <w:vAlign w:val="center"/>
          <w:hideMark/>
        </w:tcPr>
        <w:p w:rsidR="005B57BA" w:rsidRPr="00A06225" w:rsidRDefault="005B57BA">
          <w:pPr>
            <w:rPr>
              <w:rFonts w:ascii="Cambria" w:hAnsi="Cambria"/>
              <w:color w:val="4F81BD"/>
              <w:sz w:val="22"/>
              <w:szCs w:val="22"/>
            </w:rPr>
          </w:pPr>
        </w:p>
      </w:tc>
      <w:tc>
        <w:tcPr>
          <w:tcW w:w="2278" w:type="pct"/>
          <w:tcBorders>
            <w:top w:val="single" w:sz="4" w:space="0" w:color="4F81BD"/>
            <w:left w:val="nil"/>
            <w:bottom w:val="nil"/>
            <w:right w:val="nil"/>
          </w:tcBorders>
        </w:tcPr>
        <w:p w:rsidR="005B57BA" w:rsidRPr="00A06225" w:rsidRDefault="005B57BA">
          <w:pPr>
            <w:pStyle w:val="Header"/>
            <w:spacing w:line="276" w:lineRule="auto"/>
            <w:rPr>
              <w:rFonts w:ascii="Cambria" w:eastAsia="MS Gothic" w:hAnsi="Cambria"/>
              <w:b/>
              <w:bCs/>
              <w:color w:val="4F81BD"/>
            </w:rPr>
          </w:pPr>
        </w:p>
      </w:tc>
    </w:tr>
  </w:tbl>
  <w:p w:rsidR="005B57BA" w:rsidRDefault="005B57BA">
    <w:pPr>
      <w:pStyle w:val="Header"/>
    </w:pPr>
  </w:p>
  <w:p w:rsidR="005B57BA" w:rsidRDefault="005B57B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7BA" w:rsidRPr="007045D3" w:rsidRDefault="005B57BA" w:rsidP="007045D3">
    <w:pPr>
      <w:tabs>
        <w:tab w:val="center" w:pos="4513"/>
        <w:tab w:val="right" w:pos="9026"/>
      </w:tabs>
      <w:jc w:val="center"/>
      <w:rPr>
        <w:rFonts w:asciiTheme="minorHAnsi" w:eastAsiaTheme="minorHAnsi" w:hAnsiTheme="minorHAnsi" w:cstheme="minorHAnsi"/>
        <w:i/>
        <w:color w:val="808080"/>
        <w:sz w:val="22"/>
        <w:szCs w:val="22"/>
        <w:lang w:eastAsia="en-US"/>
      </w:rPr>
    </w:pPr>
    <w:r w:rsidRPr="007045D3">
      <w:rPr>
        <w:rFonts w:asciiTheme="minorHAnsi" w:eastAsiaTheme="minorHAnsi" w:hAnsiTheme="minorHAnsi" w:cstheme="minorHAnsi"/>
        <w:i/>
        <w:color w:val="808080"/>
        <w:sz w:val="22"/>
        <w:szCs w:val="22"/>
        <w:lang w:eastAsia="en-US"/>
      </w:rPr>
      <w:t xml:space="preserve">Public Summary Document – </w:t>
    </w:r>
    <w:r>
      <w:rPr>
        <w:rFonts w:asciiTheme="minorHAnsi" w:eastAsiaTheme="minorHAnsi" w:hAnsiTheme="minorHAnsi" w:cstheme="minorHAnsi"/>
        <w:i/>
        <w:color w:val="808080"/>
        <w:sz w:val="22"/>
        <w:szCs w:val="22"/>
        <w:lang w:eastAsia="en-US"/>
      </w:rPr>
      <w:t>July 2018</w:t>
    </w:r>
    <w:r w:rsidRPr="007045D3">
      <w:rPr>
        <w:rFonts w:asciiTheme="minorHAnsi" w:eastAsiaTheme="minorHAnsi" w:hAnsiTheme="minorHAnsi" w:cstheme="minorHAnsi"/>
        <w:i/>
        <w:color w:val="808080"/>
        <w:sz w:val="22"/>
        <w:szCs w:val="22"/>
        <w:lang w:eastAsia="en-US"/>
      </w:rPr>
      <w:t xml:space="preserve"> PBAC Meeting</w:t>
    </w:r>
  </w:p>
  <w:p w:rsidR="005B57BA" w:rsidRDefault="005B57BA"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A96" w:rsidRDefault="00AF1A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7">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7670E35"/>
    <w:multiLevelType w:val="hybridMultilevel"/>
    <w:tmpl w:val="6DE44E7C"/>
    <w:lvl w:ilvl="0" w:tplc="0C090001">
      <w:start w:val="1"/>
      <w:numFmt w:val="bullet"/>
      <w:lvlText w:val=""/>
      <w:lvlJc w:val="left"/>
      <w:pPr>
        <w:ind w:left="-4008" w:hanging="360"/>
      </w:pPr>
      <w:rPr>
        <w:rFonts w:ascii="Symbol" w:hAnsi="Symbol" w:hint="default"/>
      </w:rPr>
    </w:lvl>
    <w:lvl w:ilvl="1" w:tplc="0C090003" w:tentative="1">
      <w:start w:val="1"/>
      <w:numFmt w:val="bullet"/>
      <w:lvlText w:val="o"/>
      <w:lvlJc w:val="left"/>
      <w:pPr>
        <w:ind w:left="-3288" w:hanging="360"/>
      </w:pPr>
      <w:rPr>
        <w:rFonts w:ascii="Courier New" w:hAnsi="Courier New" w:cs="Courier New" w:hint="default"/>
      </w:rPr>
    </w:lvl>
    <w:lvl w:ilvl="2" w:tplc="0C090005" w:tentative="1">
      <w:start w:val="1"/>
      <w:numFmt w:val="bullet"/>
      <w:lvlText w:val=""/>
      <w:lvlJc w:val="left"/>
      <w:pPr>
        <w:ind w:left="-2568" w:hanging="360"/>
      </w:pPr>
      <w:rPr>
        <w:rFonts w:ascii="Wingdings" w:hAnsi="Wingdings" w:hint="default"/>
      </w:rPr>
    </w:lvl>
    <w:lvl w:ilvl="3" w:tplc="0C090001" w:tentative="1">
      <w:start w:val="1"/>
      <w:numFmt w:val="bullet"/>
      <w:lvlText w:val=""/>
      <w:lvlJc w:val="left"/>
      <w:pPr>
        <w:ind w:left="-1848" w:hanging="360"/>
      </w:pPr>
      <w:rPr>
        <w:rFonts w:ascii="Symbol" w:hAnsi="Symbol" w:hint="default"/>
      </w:rPr>
    </w:lvl>
    <w:lvl w:ilvl="4" w:tplc="0C090003" w:tentative="1">
      <w:start w:val="1"/>
      <w:numFmt w:val="bullet"/>
      <w:lvlText w:val="o"/>
      <w:lvlJc w:val="left"/>
      <w:pPr>
        <w:ind w:left="-1128" w:hanging="360"/>
      </w:pPr>
      <w:rPr>
        <w:rFonts w:ascii="Courier New" w:hAnsi="Courier New" w:cs="Courier New" w:hint="default"/>
      </w:rPr>
    </w:lvl>
    <w:lvl w:ilvl="5" w:tplc="0C090005" w:tentative="1">
      <w:start w:val="1"/>
      <w:numFmt w:val="bullet"/>
      <w:lvlText w:val=""/>
      <w:lvlJc w:val="left"/>
      <w:pPr>
        <w:ind w:left="-408" w:hanging="360"/>
      </w:pPr>
      <w:rPr>
        <w:rFonts w:ascii="Wingdings" w:hAnsi="Wingdings" w:hint="default"/>
      </w:rPr>
    </w:lvl>
    <w:lvl w:ilvl="6" w:tplc="0C090001" w:tentative="1">
      <w:start w:val="1"/>
      <w:numFmt w:val="bullet"/>
      <w:lvlText w:val=""/>
      <w:lvlJc w:val="left"/>
      <w:pPr>
        <w:ind w:left="312" w:hanging="360"/>
      </w:pPr>
      <w:rPr>
        <w:rFonts w:ascii="Symbol" w:hAnsi="Symbol" w:hint="default"/>
      </w:rPr>
    </w:lvl>
    <w:lvl w:ilvl="7" w:tplc="0C090003" w:tentative="1">
      <w:start w:val="1"/>
      <w:numFmt w:val="bullet"/>
      <w:lvlText w:val="o"/>
      <w:lvlJc w:val="left"/>
      <w:pPr>
        <w:ind w:left="1032" w:hanging="360"/>
      </w:pPr>
      <w:rPr>
        <w:rFonts w:ascii="Courier New" w:hAnsi="Courier New" w:cs="Courier New" w:hint="default"/>
      </w:rPr>
    </w:lvl>
    <w:lvl w:ilvl="8" w:tplc="0C090005" w:tentative="1">
      <w:start w:val="1"/>
      <w:numFmt w:val="bullet"/>
      <w:lvlText w:val=""/>
      <w:lvlJc w:val="left"/>
      <w:pPr>
        <w:ind w:left="1752" w:hanging="360"/>
      </w:pPr>
      <w:rPr>
        <w:rFonts w:ascii="Wingdings" w:hAnsi="Wingdings" w:hint="default"/>
      </w:rPr>
    </w:lvl>
  </w:abstractNum>
  <w:abstractNum w:abstractNumId="12">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84D033C"/>
    <w:multiLevelType w:val="multilevel"/>
    <w:tmpl w:val="DED40C30"/>
    <w:lvl w:ilvl="0">
      <w:start w:val="1"/>
      <w:numFmt w:val="decimal"/>
      <w:pStyle w:val="PBACHeading1"/>
      <w:lvlText w:val="%1"/>
      <w:lvlJc w:val="left"/>
      <w:pPr>
        <w:ind w:left="720" w:hanging="720"/>
      </w:pPr>
      <w:rPr>
        <w:rFonts w:hint="default"/>
        <w:b/>
        <w:sz w:val="32"/>
        <w:szCs w:val="32"/>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4"/>
  </w:num>
  <w:num w:numId="4">
    <w:abstractNumId w:val="12"/>
  </w:num>
  <w:num w:numId="5">
    <w:abstractNumId w:val="14"/>
  </w:num>
  <w:num w:numId="6">
    <w:abstractNumId w:val="5"/>
  </w:num>
  <w:num w:numId="7">
    <w:abstractNumId w:val="10"/>
  </w:num>
  <w:num w:numId="8">
    <w:abstractNumId w:val="3"/>
  </w:num>
  <w:num w:numId="9">
    <w:abstractNumId w:val="9"/>
  </w:num>
  <w:num w:numId="10">
    <w:abstractNumId w:val="8"/>
  </w:num>
  <w:num w:numId="11">
    <w:abstractNumId w:val="7"/>
  </w:num>
  <w:num w:numId="12">
    <w:abstractNumId w:val="1"/>
  </w:num>
  <w:num w:numId="13">
    <w:abstractNumId w:val="0"/>
  </w:num>
  <w:num w:numId="14">
    <w:abstractNumId w:val="14"/>
  </w:num>
  <w:num w:numId="15">
    <w:abstractNumId w:val="11"/>
  </w:num>
  <w:num w:numId="16">
    <w:abstractNumId w:val="13"/>
  </w:num>
  <w:num w:numId="1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08DD"/>
    <w:rsid w:val="00001C03"/>
    <w:rsid w:val="000025AD"/>
    <w:rsid w:val="00002A98"/>
    <w:rsid w:val="0000335D"/>
    <w:rsid w:val="000037CE"/>
    <w:rsid w:val="000052E5"/>
    <w:rsid w:val="00021948"/>
    <w:rsid w:val="0002464A"/>
    <w:rsid w:val="0003106B"/>
    <w:rsid w:val="00035B3B"/>
    <w:rsid w:val="000421A1"/>
    <w:rsid w:val="0004240E"/>
    <w:rsid w:val="00045E26"/>
    <w:rsid w:val="000514B5"/>
    <w:rsid w:val="00051F7A"/>
    <w:rsid w:val="000602C6"/>
    <w:rsid w:val="00060E64"/>
    <w:rsid w:val="00061B6F"/>
    <w:rsid w:val="00066705"/>
    <w:rsid w:val="00066755"/>
    <w:rsid w:val="00077143"/>
    <w:rsid w:val="00082169"/>
    <w:rsid w:val="000969AD"/>
    <w:rsid w:val="000971C7"/>
    <w:rsid w:val="000B558D"/>
    <w:rsid w:val="000B68D0"/>
    <w:rsid w:val="000C6996"/>
    <w:rsid w:val="000C7F25"/>
    <w:rsid w:val="000D23BA"/>
    <w:rsid w:val="000E0284"/>
    <w:rsid w:val="000E0F1B"/>
    <w:rsid w:val="000E67AC"/>
    <w:rsid w:val="000E681E"/>
    <w:rsid w:val="000F0003"/>
    <w:rsid w:val="000F0B25"/>
    <w:rsid w:val="000F1239"/>
    <w:rsid w:val="000F2CB8"/>
    <w:rsid w:val="000F4E6A"/>
    <w:rsid w:val="0010118E"/>
    <w:rsid w:val="001035F6"/>
    <w:rsid w:val="00104227"/>
    <w:rsid w:val="0010522E"/>
    <w:rsid w:val="001107BF"/>
    <w:rsid w:val="0012417C"/>
    <w:rsid w:val="00136907"/>
    <w:rsid w:val="00142395"/>
    <w:rsid w:val="00142714"/>
    <w:rsid w:val="001452ED"/>
    <w:rsid w:val="00163329"/>
    <w:rsid w:val="00164623"/>
    <w:rsid w:val="00164850"/>
    <w:rsid w:val="00165B64"/>
    <w:rsid w:val="00180713"/>
    <w:rsid w:val="001830CE"/>
    <w:rsid w:val="0018643B"/>
    <w:rsid w:val="00190035"/>
    <w:rsid w:val="00196307"/>
    <w:rsid w:val="001A10EA"/>
    <w:rsid w:val="001A33EA"/>
    <w:rsid w:val="001B017F"/>
    <w:rsid w:val="001B2BBC"/>
    <w:rsid w:val="001B5129"/>
    <w:rsid w:val="001C1195"/>
    <w:rsid w:val="001E2B56"/>
    <w:rsid w:val="001E2DE3"/>
    <w:rsid w:val="001F1850"/>
    <w:rsid w:val="00203FAC"/>
    <w:rsid w:val="00206CBD"/>
    <w:rsid w:val="00207C6E"/>
    <w:rsid w:val="00210F94"/>
    <w:rsid w:val="002113FD"/>
    <w:rsid w:val="00213CFB"/>
    <w:rsid w:val="00217BE1"/>
    <w:rsid w:val="0022094B"/>
    <w:rsid w:val="00222459"/>
    <w:rsid w:val="00226A45"/>
    <w:rsid w:val="00230C9F"/>
    <w:rsid w:val="00234DA1"/>
    <w:rsid w:val="002457EB"/>
    <w:rsid w:val="00251D56"/>
    <w:rsid w:val="00255358"/>
    <w:rsid w:val="00271BA1"/>
    <w:rsid w:val="002727A9"/>
    <w:rsid w:val="002732C9"/>
    <w:rsid w:val="002762FA"/>
    <w:rsid w:val="00277505"/>
    <w:rsid w:val="00277B03"/>
    <w:rsid w:val="00283E68"/>
    <w:rsid w:val="002920EC"/>
    <w:rsid w:val="0029458F"/>
    <w:rsid w:val="00297138"/>
    <w:rsid w:val="002A104C"/>
    <w:rsid w:val="002A4960"/>
    <w:rsid w:val="002A7BFA"/>
    <w:rsid w:val="002B1AE6"/>
    <w:rsid w:val="002B2DE8"/>
    <w:rsid w:val="002B30F8"/>
    <w:rsid w:val="002B5596"/>
    <w:rsid w:val="002C212F"/>
    <w:rsid w:val="002D4543"/>
    <w:rsid w:val="002E3153"/>
    <w:rsid w:val="002E72CA"/>
    <w:rsid w:val="002F0B90"/>
    <w:rsid w:val="002F600D"/>
    <w:rsid w:val="00300AD6"/>
    <w:rsid w:val="0030189B"/>
    <w:rsid w:val="00302128"/>
    <w:rsid w:val="0030442A"/>
    <w:rsid w:val="00317983"/>
    <w:rsid w:val="00317C6C"/>
    <w:rsid w:val="00326E79"/>
    <w:rsid w:val="0033518A"/>
    <w:rsid w:val="003367EF"/>
    <w:rsid w:val="00341AE4"/>
    <w:rsid w:val="0035416F"/>
    <w:rsid w:val="00364CCF"/>
    <w:rsid w:val="00365BE9"/>
    <w:rsid w:val="00370401"/>
    <w:rsid w:val="00385C7A"/>
    <w:rsid w:val="003872CF"/>
    <w:rsid w:val="0039782C"/>
    <w:rsid w:val="003A22C5"/>
    <w:rsid w:val="003A5B4A"/>
    <w:rsid w:val="003B125C"/>
    <w:rsid w:val="003B23C5"/>
    <w:rsid w:val="003B2A75"/>
    <w:rsid w:val="003B6124"/>
    <w:rsid w:val="003C2FB5"/>
    <w:rsid w:val="003C4865"/>
    <w:rsid w:val="003C6551"/>
    <w:rsid w:val="003C78E5"/>
    <w:rsid w:val="003D4AC4"/>
    <w:rsid w:val="003D63B7"/>
    <w:rsid w:val="003D702E"/>
    <w:rsid w:val="003E33CD"/>
    <w:rsid w:val="003E468B"/>
    <w:rsid w:val="003F3228"/>
    <w:rsid w:val="003F5C8C"/>
    <w:rsid w:val="00403A41"/>
    <w:rsid w:val="00407BE1"/>
    <w:rsid w:val="0042259F"/>
    <w:rsid w:val="004252EC"/>
    <w:rsid w:val="004365CE"/>
    <w:rsid w:val="00443444"/>
    <w:rsid w:val="00443E49"/>
    <w:rsid w:val="004461FB"/>
    <w:rsid w:val="004465BD"/>
    <w:rsid w:val="00460648"/>
    <w:rsid w:val="00466ADA"/>
    <w:rsid w:val="00476245"/>
    <w:rsid w:val="00483035"/>
    <w:rsid w:val="00485940"/>
    <w:rsid w:val="004A2484"/>
    <w:rsid w:val="004A5A85"/>
    <w:rsid w:val="004A687E"/>
    <w:rsid w:val="004A71D1"/>
    <w:rsid w:val="004B5640"/>
    <w:rsid w:val="004C1BD7"/>
    <w:rsid w:val="004C31FE"/>
    <w:rsid w:val="004C691D"/>
    <w:rsid w:val="004C6C07"/>
    <w:rsid w:val="004C7816"/>
    <w:rsid w:val="004D549F"/>
    <w:rsid w:val="004E0977"/>
    <w:rsid w:val="004E2A6F"/>
    <w:rsid w:val="004E692D"/>
    <w:rsid w:val="004F18CC"/>
    <w:rsid w:val="004F64CF"/>
    <w:rsid w:val="00501554"/>
    <w:rsid w:val="00501EFD"/>
    <w:rsid w:val="005034F3"/>
    <w:rsid w:val="0051144E"/>
    <w:rsid w:val="005143C2"/>
    <w:rsid w:val="00514A34"/>
    <w:rsid w:val="00514CD7"/>
    <w:rsid w:val="0051597D"/>
    <w:rsid w:val="005319B2"/>
    <w:rsid w:val="00532402"/>
    <w:rsid w:val="00532C74"/>
    <w:rsid w:val="00534E2E"/>
    <w:rsid w:val="00536764"/>
    <w:rsid w:val="00536F95"/>
    <w:rsid w:val="00541E87"/>
    <w:rsid w:val="00544552"/>
    <w:rsid w:val="00547FE0"/>
    <w:rsid w:val="00552057"/>
    <w:rsid w:val="00552586"/>
    <w:rsid w:val="0055752C"/>
    <w:rsid w:val="00565BF9"/>
    <w:rsid w:val="00570587"/>
    <w:rsid w:val="0057585B"/>
    <w:rsid w:val="00577C4D"/>
    <w:rsid w:val="00581932"/>
    <w:rsid w:val="005851BF"/>
    <w:rsid w:val="00592E41"/>
    <w:rsid w:val="005963BB"/>
    <w:rsid w:val="005A3173"/>
    <w:rsid w:val="005A3223"/>
    <w:rsid w:val="005A3DA3"/>
    <w:rsid w:val="005A52C4"/>
    <w:rsid w:val="005B232B"/>
    <w:rsid w:val="005B3BAA"/>
    <w:rsid w:val="005B57BA"/>
    <w:rsid w:val="005B6435"/>
    <w:rsid w:val="005B7CF7"/>
    <w:rsid w:val="005C0A9B"/>
    <w:rsid w:val="005C2DD9"/>
    <w:rsid w:val="005C7A0D"/>
    <w:rsid w:val="005D03AB"/>
    <w:rsid w:val="005D05CC"/>
    <w:rsid w:val="005D4E3A"/>
    <w:rsid w:val="005D5017"/>
    <w:rsid w:val="005E1333"/>
    <w:rsid w:val="005E1A6C"/>
    <w:rsid w:val="005F0960"/>
    <w:rsid w:val="00601A91"/>
    <w:rsid w:val="00602BA3"/>
    <w:rsid w:val="00612E34"/>
    <w:rsid w:val="00614159"/>
    <w:rsid w:val="00617C00"/>
    <w:rsid w:val="00622992"/>
    <w:rsid w:val="006263BF"/>
    <w:rsid w:val="0062748A"/>
    <w:rsid w:val="00630A2C"/>
    <w:rsid w:val="00635728"/>
    <w:rsid w:val="0063682E"/>
    <w:rsid w:val="0064052A"/>
    <w:rsid w:val="006436CD"/>
    <w:rsid w:val="0064728A"/>
    <w:rsid w:val="00651169"/>
    <w:rsid w:val="00653D69"/>
    <w:rsid w:val="00653E9F"/>
    <w:rsid w:val="0065400D"/>
    <w:rsid w:val="00656D7D"/>
    <w:rsid w:val="006635CC"/>
    <w:rsid w:val="00663D98"/>
    <w:rsid w:val="006670BE"/>
    <w:rsid w:val="00670A76"/>
    <w:rsid w:val="006711AA"/>
    <w:rsid w:val="00672B57"/>
    <w:rsid w:val="00675622"/>
    <w:rsid w:val="0067747D"/>
    <w:rsid w:val="0068763C"/>
    <w:rsid w:val="006906DB"/>
    <w:rsid w:val="00691E6C"/>
    <w:rsid w:val="00696129"/>
    <w:rsid w:val="00697CF2"/>
    <w:rsid w:val="006A12A5"/>
    <w:rsid w:val="006A35B3"/>
    <w:rsid w:val="006A7313"/>
    <w:rsid w:val="006B0D94"/>
    <w:rsid w:val="006B294A"/>
    <w:rsid w:val="006B485D"/>
    <w:rsid w:val="006C24CD"/>
    <w:rsid w:val="006C708E"/>
    <w:rsid w:val="006D14E7"/>
    <w:rsid w:val="006D6493"/>
    <w:rsid w:val="006D6EC7"/>
    <w:rsid w:val="006F5125"/>
    <w:rsid w:val="00702B6F"/>
    <w:rsid w:val="007045D3"/>
    <w:rsid w:val="00704D6C"/>
    <w:rsid w:val="00707AB1"/>
    <w:rsid w:val="0071340B"/>
    <w:rsid w:val="007174BB"/>
    <w:rsid w:val="0072025D"/>
    <w:rsid w:val="00727E12"/>
    <w:rsid w:val="007353D3"/>
    <w:rsid w:val="0076420C"/>
    <w:rsid w:val="007753C2"/>
    <w:rsid w:val="00776F61"/>
    <w:rsid w:val="00782DF7"/>
    <w:rsid w:val="007838B8"/>
    <w:rsid w:val="007B283E"/>
    <w:rsid w:val="007C0F57"/>
    <w:rsid w:val="007C2547"/>
    <w:rsid w:val="007C40B6"/>
    <w:rsid w:val="007C729F"/>
    <w:rsid w:val="007C7D16"/>
    <w:rsid w:val="007D2C79"/>
    <w:rsid w:val="007E0C70"/>
    <w:rsid w:val="007E1D28"/>
    <w:rsid w:val="007F2641"/>
    <w:rsid w:val="007F7C36"/>
    <w:rsid w:val="00805235"/>
    <w:rsid w:val="00806796"/>
    <w:rsid w:val="00814494"/>
    <w:rsid w:val="008151D6"/>
    <w:rsid w:val="00815968"/>
    <w:rsid w:val="00823CC6"/>
    <w:rsid w:val="00826F6D"/>
    <w:rsid w:val="008306F3"/>
    <w:rsid w:val="00833CF7"/>
    <w:rsid w:val="008466C3"/>
    <w:rsid w:val="00850506"/>
    <w:rsid w:val="00853F57"/>
    <w:rsid w:val="00854773"/>
    <w:rsid w:val="00855CB7"/>
    <w:rsid w:val="00856DDD"/>
    <w:rsid w:val="00863E68"/>
    <w:rsid w:val="00872C05"/>
    <w:rsid w:val="00876B56"/>
    <w:rsid w:val="00880255"/>
    <w:rsid w:val="00882085"/>
    <w:rsid w:val="00883188"/>
    <w:rsid w:val="00883719"/>
    <w:rsid w:val="008923FC"/>
    <w:rsid w:val="00895129"/>
    <w:rsid w:val="00897D58"/>
    <w:rsid w:val="00897DF4"/>
    <w:rsid w:val="00897F22"/>
    <w:rsid w:val="008A1956"/>
    <w:rsid w:val="008A4937"/>
    <w:rsid w:val="008A50F1"/>
    <w:rsid w:val="008B50D5"/>
    <w:rsid w:val="008D1B5C"/>
    <w:rsid w:val="008D3C82"/>
    <w:rsid w:val="008D447E"/>
    <w:rsid w:val="008D7A41"/>
    <w:rsid w:val="008E3680"/>
    <w:rsid w:val="008E5870"/>
    <w:rsid w:val="008E62EA"/>
    <w:rsid w:val="008F1434"/>
    <w:rsid w:val="008F7306"/>
    <w:rsid w:val="008F7355"/>
    <w:rsid w:val="008F7753"/>
    <w:rsid w:val="00905D1F"/>
    <w:rsid w:val="009067B7"/>
    <w:rsid w:val="00920642"/>
    <w:rsid w:val="0092551F"/>
    <w:rsid w:val="00927912"/>
    <w:rsid w:val="00927C84"/>
    <w:rsid w:val="0093066C"/>
    <w:rsid w:val="00930937"/>
    <w:rsid w:val="00933E6C"/>
    <w:rsid w:val="00937958"/>
    <w:rsid w:val="00942160"/>
    <w:rsid w:val="00943382"/>
    <w:rsid w:val="009444F7"/>
    <w:rsid w:val="00945946"/>
    <w:rsid w:val="0095146F"/>
    <w:rsid w:val="0095528C"/>
    <w:rsid w:val="009602C5"/>
    <w:rsid w:val="00962223"/>
    <w:rsid w:val="009643C0"/>
    <w:rsid w:val="00964B36"/>
    <w:rsid w:val="00966D0D"/>
    <w:rsid w:val="00974C21"/>
    <w:rsid w:val="00981EAB"/>
    <w:rsid w:val="00986FCB"/>
    <w:rsid w:val="009870D6"/>
    <w:rsid w:val="009B0F67"/>
    <w:rsid w:val="009B5870"/>
    <w:rsid w:val="009C703C"/>
    <w:rsid w:val="009D3CAA"/>
    <w:rsid w:val="009E40E1"/>
    <w:rsid w:val="009F4E46"/>
    <w:rsid w:val="009F5B65"/>
    <w:rsid w:val="009F5F2E"/>
    <w:rsid w:val="00A03992"/>
    <w:rsid w:val="00A06225"/>
    <w:rsid w:val="00A128E6"/>
    <w:rsid w:val="00A14D86"/>
    <w:rsid w:val="00A34E6C"/>
    <w:rsid w:val="00A35269"/>
    <w:rsid w:val="00A37C8D"/>
    <w:rsid w:val="00A5232A"/>
    <w:rsid w:val="00A5273B"/>
    <w:rsid w:val="00A53A9D"/>
    <w:rsid w:val="00A55FEE"/>
    <w:rsid w:val="00A619EF"/>
    <w:rsid w:val="00A62C1A"/>
    <w:rsid w:val="00A6383E"/>
    <w:rsid w:val="00A6426D"/>
    <w:rsid w:val="00A645BE"/>
    <w:rsid w:val="00A665C1"/>
    <w:rsid w:val="00A70622"/>
    <w:rsid w:val="00A70977"/>
    <w:rsid w:val="00A71402"/>
    <w:rsid w:val="00A7410D"/>
    <w:rsid w:val="00A77613"/>
    <w:rsid w:val="00A82848"/>
    <w:rsid w:val="00A8390C"/>
    <w:rsid w:val="00A90214"/>
    <w:rsid w:val="00A928BD"/>
    <w:rsid w:val="00AA4D1C"/>
    <w:rsid w:val="00AA589A"/>
    <w:rsid w:val="00AA7134"/>
    <w:rsid w:val="00AB3ADE"/>
    <w:rsid w:val="00AC193C"/>
    <w:rsid w:val="00AC1B7E"/>
    <w:rsid w:val="00AC5206"/>
    <w:rsid w:val="00AC69D8"/>
    <w:rsid w:val="00AE11A5"/>
    <w:rsid w:val="00AE13E2"/>
    <w:rsid w:val="00AE22D3"/>
    <w:rsid w:val="00AE28A0"/>
    <w:rsid w:val="00AF1A96"/>
    <w:rsid w:val="00AF62DF"/>
    <w:rsid w:val="00AF68CC"/>
    <w:rsid w:val="00AF7C86"/>
    <w:rsid w:val="00B011CE"/>
    <w:rsid w:val="00B0323D"/>
    <w:rsid w:val="00B1059E"/>
    <w:rsid w:val="00B15BE1"/>
    <w:rsid w:val="00B176C8"/>
    <w:rsid w:val="00B205AA"/>
    <w:rsid w:val="00B22D21"/>
    <w:rsid w:val="00B22E84"/>
    <w:rsid w:val="00B23821"/>
    <w:rsid w:val="00B25F75"/>
    <w:rsid w:val="00B26B3F"/>
    <w:rsid w:val="00B27C23"/>
    <w:rsid w:val="00B36D9A"/>
    <w:rsid w:val="00B43E90"/>
    <w:rsid w:val="00B46116"/>
    <w:rsid w:val="00B467DC"/>
    <w:rsid w:val="00B56118"/>
    <w:rsid w:val="00B608A0"/>
    <w:rsid w:val="00B63C01"/>
    <w:rsid w:val="00B65773"/>
    <w:rsid w:val="00B6773F"/>
    <w:rsid w:val="00B721B4"/>
    <w:rsid w:val="00B77C93"/>
    <w:rsid w:val="00B801BA"/>
    <w:rsid w:val="00B8162E"/>
    <w:rsid w:val="00B84D5C"/>
    <w:rsid w:val="00B87103"/>
    <w:rsid w:val="00B9484F"/>
    <w:rsid w:val="00BA15D5"/>
    <w:rsid w:val="00BB4C6A"/>
    <w:rsid w:val="00BB69F5"/>
    <w:rsid w:val="00BB7EC3"/>
    <w:rsid w:val="00BC2F8A"/>
    <w:rsid w:val="00BC3BEF"/>
    <w:rsid w:val="00BC4B9A"/>
    <w:rsid w:val="00BC7D6A"/>
    <w:rsid w:val="00BD0995"/>
    <w:rsid w:val="00BD1B54"/>
    <w:rsid w:val="00BD784C"/>
    <w:rsid w:val="00BE5C8E"/>
    <w:rsid w:val="00BF4CB6"/>
    <w:rsid w:val="00BF6BAB"/>
    <w:rsid w:val="00C00DA7"/>
    <w:rsid w:val="00C03502"/>
    <w:rsid w:val="00C03FC7"/>
    <w:rsid w:val="00C12050"/>
    <w:rsid w:val="00C12768"/>
    <w:rsid w:val="00C27B58"/>
    <w:rsid w:val="00C321F2"/>
    <w:rsid w:val="00C34BCC"/>
    <w:rsid w:val="00C35996"/>
    <w:rsid w:val="00C420F7"/>
    <w:rsid w:val="00C4747E"/>
    <w:rsid w:val="00C53335"/>
    <w:rsid w:val="00C5342C"/>
    <w:rsid w:val="00C603D4"/>
    <w:rsid w:val="00C6256A"/>
    <w:rsid w:val="00C77891"/>
    <w:rsid w:val="00C91449"/>
    <w:rsid w:val="00C92D10"/>
    <w:rsid w:val="00CA3428"/>
    <w:rsid w:val="00CA646D"/>
    <w:rsid w:val="00CB40E2"/>
    <w:rsid w:val="00CB5C24"/>
    <w:rsid w:val="00CD533F"/>
    <w:rsid w:val="00CE0AC8"/>
    <w:rsid w:val="00CE10C4"/>
    <w:rsid w:val="00CE27B5"/>
    <w:rsid w:val="00CE5863"/>
    <w:rsid w:val="00CF5FB7"/>
    <w:rsid w:val="00D0321E"/>
    <w:rsid w:val="00D1455A"/>
    <w:rsid w:val="00D26278"/>
    <w:rsid w:val="00D31150"/>
    <w:rsid w:val="00D3138B"/>
    <w:rsid w:val="00D3280C"/>
    <w:rsid w:val="00D3406A"/>
    <w:rsid w:val="00D35A78"/>
    <w:rsid w:val="00D4572C"/>
    <w:rsid w:val="00D469B2"/>
    <w:rsid w:val="00D54264"/>
    <w:rsid w:val="00D65770"/>
    <w:rsid w:val="00D6638B"/>
    <w:rsid w:val="00D741EB"/>
    <w:rsid w:val="00D764D4"/>
    <w:rsid w:val="00D83605"/>
    <w:rsid w:val="00D84934"/>
    <w:rsid w:val="00D86F62"/>
    <w:rsid w:val="00D91271"/>
    <w:rsid w:val="00D919F5"/>
    <w:rsid w:val="00D94F03"/>
    <w:rsid w:val="00DA2CB5"/>
    <w:rsid w:val="00DA4BAC"/>
    <w:rsid w:val="00DC06A8"/>
    <w:rsid w:val="00DC14A4"/>
    <w:rsid w:val="00DC1921"/>
    <w:rsid w:val="00DE6D27"/>
    <w:rsid w:val="00DE6D99"/>
    <w:rsid w:val="00DF08D0"/>
    <w:rsid w:val="00DF217D"/>
    <w:rsid w:val="00DF26A7"/>
    <w:rsid w:val="00DF6A51"/>
    <w:rsid w:val="00E0058F"/>
    <w:rsid w:val="00E01C4D"/>
    <w:rsid w:val="00E15627"/>
    <w:rsid w:val="00E164B3"/>
    <w:rsid w:val="00E16910"/>
    <w:rsid w:val="00E374C1"/>
    <w:rsid w:val="00E42BDB"/>
    <w:rsid w:val="00E44320"/>
    <w:rsid w:val="00E515F0"/>
    <w:rsid w:val="00E57EEB"/>
    <w:rsid w:val="00E62D94"/>
    <w:rsid w:val="00E62F18"/>
    <w:rsid w:val="00E64319"/>
    <w:rsid w:val="00E644B9"/>
    <w:rsid w:val="00E65E54"/>
    <w:rsid w:val="00E70F58"/>
    <w:rsid w:val="00E80155"/>
    <w:rsid w:val="00E81F28"/>
    <w:rsid w:val="00E843F8"/>
    <w:rsid w:val="00E848C0"/>
    <w:rsid w:val="00E91B96"/>
    <w:rsid w:val="00E941A1"/>
    <w:rsid w:val="00E9550A"/>
    <w:rsid w:val="00E95BB9"/>
    <w:rsid w:val="00E95CE3"/>
    <w:rsid w:val="00EA13EC"/>
    <w:rsid w:val="00EA2825"/>
    <w:rsid w:val="00EB0B63"/>
    <w:rsid w:val="00EB1936"/>
    <w:rsid w:val="00EB371C"/>
    <w:rsid w:val="00EB5088"/>
    <w:rsid w:val="00ED1644"/>
    <w:rsid w:val="00ED2593"/>
    <w:rsid w:val="00ED5069"/>
    <w:rsid w:val="00ED7D9C"/>
    <w:rsid w:val="00EE0C13"/>
    <w:rsid w:val="00EE75D9"/>
    <w:rsid w:val="00EF1226"/>
    <w:rsid w:val="00EF44A0"/>
    <w:rsid w:val="00EF4FED"/>
    <w:rsid w:val="00EF74B4"/>
    <w:rsid w:val="00F02B7E"/>
    <w:rsid w:val="00F050BD"/>
    <w:rsid w:val="00F0536E"/>
    <w:rsid w:val="00F05657"/>
    <w:rsid w:val="00F10976"/>
    <w:rsid w:val="00F15831"/>
    <w:rsid w:val="00F15B05"/>
    <w:rsid w:val="00F20195"/>
    <w:rsid w:val="00F25578"/>
    <w:rsid w:val="00F258E5"/>
    <w:rsid w:val="00F300BC"/>
    <w:rsid w:val="00F3334E"/>
    <w:rsid w:val="00F36CCB"/>
    <w:rsid w:val="00F374E5"/>
    <w:rsid w:val="00F37582"/>
    <w:rsid w:val="00F43AF2"/>
    <w:rsid w:val="00F50EC4"/>
    <w:rsid w:val="00F550CF"/>
    <w:rsid w:val="00F56123"/>
    <w:rsid w:val="00F57A6D"/>
    <w:rsid w:val="00F57C9F"/>
    <w:rsid w:val="00F618C3"/>
    <w:rsid w:val="00F638CC"/>
    <w:rsid w:val="00F64CC1"/>
    <w:rsid w:val="00F654A1"/>
    <w:rsid w:val="00F66388"/>
    <w:rsid w:val="00F72317"/>
    <w:rsid w:val="00F77FD5"/>
    <w:rsid w:val="00F80475"/>
    <w:rsid w:val="00F818C7"/>
    <w:rsid w:val="00F8247A"/>
    <w:rsid w:val="00F9629A"/>
    <w:rsid w:val="00F97EFC"/>
    <w:rsid w:val="00FA09C9"/>
    <w:rsid w:val="00FA5883"/>
    <w:rsid w:val="00FA6055"/>
    <w:rsid w:val="00FB322F"/>
    <w:rsid w:val="00FB442F"/>
    <w:rsid w:val="00FC1929"/>
    <w:rsid w:val="00FC5B46"/>
    <w:rsid w:val="00FC613F"/>
    <w:rsid w:val="00FD3A3B"/>
    <w:rsid w:val="00FD6D8E"/>
    <w:rsid w:val="00FE0E94"/>
    <w:rsid w:val="00FE4776"/>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rsid w:val="003C2FB5"/>
    <w:rPr>
      <w:rFonts w:ascii="Arial" w:hAnsi="Arial"/>
      <w:b/>
      <w:i/>
      <w:sz w:val="22"/>
      <w:szCs w:val="24"/>
    </w:rPr>
  </w:style>
  <w:style w:type="paragraph" w:customStyle="1" w:styleId="TableText0">
    <w:name w:val="TableText"/>
    <w:basedOn w:val="Normal"/>
    <w:link w:val="TableTextChar"/>
    <w:qFormat/>
    <w:rsid w:val="00E95BB9"/>
    <w:pPr>
      <w:keepNext/>
      <w:spacing w:line="264" w:lineRule="auto"/>
    </w:pPr>
    <w:rPr>
      <w:rFonts w:ascii="Arial Narrow" w:hAnsi="Arial Narrow" w:cs="Arial Narrow"/>
      <w:sz w:val="22"/>
      <w:szCs w:val="22"/>
      <w:lang w:eastAsia="en-US" w:bidi="en-US"/>
    </w:rPr>
  </w:style>
  <w:style w:type="character" w:customStyle="1" w:styleId="TableTextChar">
    <w:name w:val="TableText Char"/>
    <w:link w:val="TableText0"/>
    <w:rsid w:val="00E95BB9"/>
    <w:rPr>
      <w:rFonts w:ascii="Arial Narrow" w:hAnsi="Arial Narrow" w:cs="Arial Narrow"/>
      <w:sz w:val="22"/>
      <w:szCs w:val="22"/>
      <w:lang w:eastAsia="en-US" w:bidi="en-US"/>
    </w:rPr>
  </w:style>
  <w:style w:type="paragraph" w:customStyle="1" w:styleId="TableFooter">
    <w:name w:val="Table Footer"/>
    <w:basedOn w:val="Normal"/>
    <w:qFormat/>
    <w:rsid w:val="00E95BB9"/>
    <w:pPr>
      <w:widowControl w:val="0"/>
      <w:jc w:val="both"/>
    </w:pPr>
    <w:rPr>
      <w:rFonts w:ascii="Arial Narrow" w:hAnsi="Arial Narrow" w:cs="Arial"/>
      <w:snapToGrid w:val="0"/>
      <w:sz w:val="18"/>
      <w:szCs w:val="20"/>
      <w:lang w:eastAsia="en-US"/>
    </w:rPr>
  </w:style>
  <w:style w:type="paragraph" w:styleId="FootnoteText">
    <w:name w:val="footnote text"/>
    <w:basedOn w:val="Normal"/>
    <w:link w:val="FootnoteTextChar"/>
    <w:rsid w:val="00814494"/>
    <w:rPr>
      <w:sz w:val="20"/>
      <w:szCs w:val="20"/>
    </w:rPr>
  </w:style>
  <w:style w:type="character" w:customStyle="1" w:styleId="FootnoteTextChar">
    <w:name w:val="Footnote Text Char"/>
    <w:basedOn w:val="DefaultParagraphFont"/>
    <w:link w:val="FootnoteText"/>
    <w:rsid w:val="00814494"/>
  </w:style>
  <w:style w:type="character" w:styleId="FootnoteReference">
    <w:name w:val="footnote reference"/>
    <w:basedOn w:val="DefaultParagraphFont"/>
    <w:rsid w:val="0081449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rsid w:val="003C2FB5"/>
    <w:rPr>
      <w:rFonts w:ascii="Arial" w:hAnsi="Arial"/>
      <w:b/>
      <w:i/>
      <w:sz w:val="22"/>
      <w:szCs w:val="24"/>
    </w:rPr>
  </w:style>
  <w:style w:type="paragraph" w:customStyle="1" w:styleId="TableText0">
    <w:name w:val="TableText"/>
    <w:basedOn w:val="Normal"/>
    <w:link w:val="TableTextChar"/>
    <w:qFormat/>
    <w:rsid w:val="00E95BB9"/>
    <w:pPr>
      <w:keepNext/>
      <w:spacing w:line="264" w:lineRule="auto"/>
    </w:pPr>
    <w:rPr>
      <w:rFonts w:ascii="Arial Narrow" w:hAnsi="Arial Narrow" w:cs="Arial Narrow"/>
      <w:sz w:val="22"/>
      <w:szCs w:val="22"/>
      <w:lang w:eastAsia="en-US" w:bidi="en-US"/>
    </w:rPr>
  </w:style>
  <w:style w:type="character" w:customStyle="1" w:styleId="TableTextChar">
    <w:name w:val="TableText Char"/>
    <w:link w:val="TableText0"/>
    <w:rsid w:val="00E95BB9"/>
    <w:rPr>
      <w:rFonts w:ascii="Arial Narrow" w:hAnsi="Arial Narrow" w:cs="Arial Narrow"/>
      <w:sz w:val="22"/>
      <w:szCs w:val="22"/>
      <w:lang w:eastAsia="en-US" w:bidi="en-US"/>
    </w:rPr>
  </w:style>
  <w:style w:type="paragraph" w:customStyle="1" w:styleId="TableFooter">
    <w:name w:val="Table Footer"/>
    <w:basedOn w:val="Normal"/>
    <w:qFormat/>
    <w:rsid w:val="00E95BB9"/>
    <w:pPr>
      <w:widowControl w:val="0"/>
      <w:jc w:val="both"/>
    </w:pPr>
    <w:rPr>
      <w:rFonts w:ascii="Arial Narrow" w:hAnsi="Arial Narrow" w:cs="Arial"/>
      <w:snapToGrid w:val="0"/>
      <w:sz w:val="18"/>
      <w:szCs w:val="20"/>
      <w:lang w:eastAsia="en-US"/>
    </w:rPr>
  </w:style>
  <w:style w:type="paragraph" w:styleId="FootnoteText">
    <w:name w:val="footnote text"/>
    <w:basedOn w:val="Normal"/>
    <w:link w:val="FootnoteTextChar"/>
    <w:rsid w:val="00814494"/>
    <w:rPr>
      <w:sz w:val="20"/>
      <w:szCs w:val="20"/>
    </w:rPr>
  </w:style>
  <w:style w:type="character" w:customStyle="1" w:styleId="FootnoteTextChar">
    <w:name w:val="Footnote Text Char"/>
    <w:basedOn w:val="DefaultParagraphFont"/>
    <w:link w:val="FootnoteText"/>
    <w:rsid w:val="00814494"/>
  </w:style>
  <w:style w:type="character" w:styleId="FootnoteReference">
    <w:name w:val="footnote reference"/>
    <w:basedOn w:val="DefaultParagraphFont"/>
    <w:rsid w:val="008144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8E581-0D71-4683-89D4-17AE481C4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4387</Words>
  <Characters>26552</Characters>
  <Application>Microsoft Office Word</Application>
  <DocSecurity>0</DocSecurity>
  <Lines>221</Lines>
  <Paragraphs>61</Paragraphs>
  <ScaleCrop>false</ScaleCrop>
  <LinksUpToDate>false</LinksUpToDate>
  <CharactersWithSpaces>30878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2018-10-18T06:00:00Z</dcterms:created>
  <dcterms:modified xsi:type="dcterms:W3CDTF">2018-10-18T06:01:00Z</dcterms:modified>
</cp:coreProperties>
</file>