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BCE" w:rsidRPr="006B1802" w:rsidRDefault="00566BCE" w:rsidP="00B93A10">
      <w:pPr>
        <w:contextualSpacing/>
        <w:jc w:val="both"/>
        <w:rPr>
          <w:rFonts w:ascii="Calibri" w:hAnsi="Calibri" w:cs="Arial"/>
          <w:b/>
        </w:rPr>
      </w:pPr>
      <w:bookmarkStart w:id="0" w:name="_GoBack"/>
      <w:bookmarkEnd w:id="0"/>
    </w:p>
    <w:p w:rsidR="00A445C2" w:rsidRPr="006B1802" w:rsidRDefault="0039366D" w:rsidP="00B93A10">
      <w:pPr>
        <w:pStyle w:val="Title"/>
        <w:spacing w:after="0"/>
        <w:ind w:left="720" w:hanging="720"/>
        <w:rPr>
          <w:rFonts w:asciiTheme="minorHAnsi" w:hAnsiTheme="minorHAnsi"/>
          <w:sz w:val="36"/>
          <w:szCs w:val="36"/>
        </w:rPr>
      </w:pPr>
      <w:r w:rsidRPr="006B1802">
        <w:rPr>
          <w:rFonts w:asciiTheme="minorHAnsi" w:hAnsiTheme="minorHAnsi"/>
          <w:sz w:val="36"/>
          <w:szCs w:val="36"/>
        </w:rPr>
        <w:t>7.18</w:t>
      </w:r>
      <w:r w:rsidR="006D6493" w:rsidRPr="006B1802">
        <w:rPr>
          <w:rFonts w:asciiTheme="minorHAnsi" w:hAnsiTheme="minorHAnsi"/>
          <w:sz w:val="36"/>
          <w:szCs w:val="36"/>
        </w:rPr>
        <w:tab/>
      </w:r>
      <w:r w:rsidRPr="006B1802">
        <w:rPr>
          <w:rFonts w:asciiTheme="minorHAnsi" w:hAnsiTheme="minorHAnsi"/>
          <w:sz w:val="36"/>
          <w:szCs w:val="36"/>
        </w:rPr>
        <w:t>TOLVAPTAN</w:t>
      </w:r>
      <w:bookmarkStart w:id="1" w:name="_Toc341702017"/>
      <w:r w:rsidR="00A445C2" w:rsidRPr="006B1802">
        <w:rPr>
          <w:rFonts w:asciiTheme="minorHAnsi" w:hAnsiTheme="minorHAnsi"/>
          <w:sz w:val="36"/>
          <w:szCs w:val="36"/>
        </w:rPr>
        <w:t xml:space="preserve"> </w:t>
      </w:r>
    </w:p>
    <w:p w:rsidR="00A445C2" w:rsidRPr="006B1802" w:rsidRDefault="00A445C2" w:rsidP="00B93A10">
      <w:pPr>
        <w:ind w:left="720"/>
        <w:rPr>
          <w:rFonts w:asciiTheme="minorHAnsi" w:hAnsiTheme="minorHAnsi"/>
          <w:b/>
          <w:sz w:val="36"/>
          <w:szCs w:val="36"/>
        </w:rPr>
      </w:pPr>
      <w:r w:rsidRPr="006B1802">
        <w:rPr>
          <w:rFonts w:asciiTheme="minorHAnsi" w:hAnsiTheme="minorHAnsi"/>
          <w:b/>
          <w:sz w:val="36"/>
          <w:szCs w:val="36"/>
        </w:rPr>
        <w:t xml:space="preserve">Pack containing 28 tablets 15 mg and 28 tablets 45 mg, </w:t>
      </w:r>
    </w:p>
    <w:p w:rsidR="00A445C2" w:rsidRPr="006B1802" w:rsidRDefault="00A445C2" w:rsidP="00B93A10">
      <w:pPr>
        <w:ind w:left="720"/>
        <w:rPr>
          <w:rFonts w:asciiTheme="minorHAnsi" w:hAnsiTheme="minorHAnsi"/>
          <w:b/>
          <w:sz w:val="36"/>
          <w:szCs w:val="36"/>
        </w:rPr>
      </w:pPr>
      <w:r w:rsidRPr="006B1802">
        <w:rPr>
          <w:rFonts w:asciiTheme="minorHAnsi" w:hAnsiTheme="minorHAnsi"/>
          <w:b/>
          <w:sz w:val="36"/>
          <w:szCs w:val="36"/>
        </w:rPr>
        <w:t xml:space="preserve">Pack containing 28 tablets 30 mg and 28 tablets 60 mg, </w:t>
      </w:r>
    </w:p>
    <w:p w:rsidR="00A445C2" w:rsidRPr="006B1802" w:rsidRDefault="00A445C2" w:rsidP="00B93A10">
      <w:pPr>
        <w:ind w:left="720"/>
        <w:rPr>
          <w:rFonts w:asciiTheme="minorHAnsi" w:hAnsiTheme="minorHAnsi"/>
          <w:b/>
          <w:sz w:val="36"/>
          <w:szCs w:val="36"/>
        </w:rPr>
      </w:pPr>
      <w:r w:rsidRPr="006B1802">
        <w:rPr>
          <w:rFonts w:asciiTheme="minorHAnsi" w:hAnsiTheme="minorHAnsi"/>
          <w:b/>
          <w:sz w:val="36"/>
          <w:szCs w:val="36"/>
        </w:rPr>
        <w:t>Pack containing 28 tablets 30 mg and 28 tablets 90 mg,</w:t>
      </w:r>
    </w:p>
    <w:p w:rsidR="00A445C2" w:rsidRPr="006B1802" w:rsidRDefault="00A445C2" w:rsidP="00B93A10">
      <w:pPr>
        <w:ind w:left="720"/>
        <w:rPr>
          <w:rFonts w:asciiTheme="minorHAnsi" w:hAnsiTheme="minorHAnsi"/>
          <w:b/>
          <w:sz w:val="36"/>
          <w:szCs w:val="36"/>
        </w:rPr>
      </w:pPr>
      <w:r w:rsidRPr="006B1802">
        <w:rPr>
          <w:rFonts w:asciiTheme="minorHAnsi" w:hAnsiTheme="minorHAnsi"/>
          <w:b/>
          <w:sz w:val="36"/>
          <w:szCs w:val="36"/>
        </w:rPr>
        <w:t>JINARC</w:t>
      </w:r>
      <w:r w:rsidRPr="006B1802">
        <w:rPr>
          <w:rFonts w:asciiTheme="minorHAnsi" w:hAnsiTheme="minorHAnsi"/>
          <w:b/>
          <w:sz w:val="36"/>
          <w:szCs w:val="36"/>
          <w:vertAlign w:val="superscript"/>
        </w:rPr>
        <w:t>®</w:t>
      </w:r>
      <w:r w:rsidRPr="006B1802">
        <w:rPr>
          <w:rFonts w:asciiTheme="minorHAnsi" w:hAnsiTheme="minorHAnsi"/>
          <w:b/>
          <w:sz w:val="36"/>
          <w:szCs w:val="36"/>
        </w:rPr>
        <w:t>, Otsuka Australia Pharmaceutical P/L</w:t>
      </w:r>
    </w:p>
    <w:bookmarkEnd w:id="1"/>
    <w:p w:rsidR="008A50F1" w:rsidRPr="006B1802" w:rsidRDefault="00CE10C4" w:rsidP="00B93A10">
      <w:pPr>
        <w:pStyle w:val="PBACHeading1"/>
        <w:spacing w:before="240" w:after="120"/>
        <w:ind w:left="709" w:hanging="709"/>
        <w:rPr>
          <w:rFonts w:asciiTheme="minorHAnsi" w:hAnsiTheme="minorHAnsi"/>
          <w:sz w:val="32"/>
          <w:szCs w:val="32"/>
        </w:rPr>
      </w:pPr>
      <w:r w:rsidRPr="006B1802">
        <w:rPr>
          <w:rFonts w:asciiTheme="minorHAnsi" w:hAnsiTheme="minorHAnsi"/>
          <w:sz w:val="32"/>
          <w:szCs w:val="32"/>
        </w:rPr>
        <w:t xml:space="preserve">Purpose of </w:t>
      </w:r>
      <w:r w:rsidR="0004240E" w:rsidRPr="006B1802">
        <w:rPr>
          <w:rFonts w:asciiTheme="minorHAnsi" w:hAnsiTheme="minorHAnsi"/>
          <w:sz w:val="32"/>
          <w:szCs w:val="32"/>
        </w:rPr>
        <w:t>Application</w:t>
      </w:r>
    </w:p>
    <w:p w:rsidR="006A12A5" w:rsidRPr="006B1802" w:rsidRDefault="00EF44A0" w:rsidP="00B93A10">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6B1802">
        <w:rPr>
          <w:rFonts w:asciiTheme="minorHAnsi" w:eastAsiaTheme="minorHAnsi" w:hAnsiTheme="minorHAnsi" w:cstheme="minorBidi"/>
          <w:snapToGrid/>
          <w:sz w:val="24"/>
          <w:szCs w:val="22"/>
        </w:rPr>
        <w:t>The mi</w:t>
      </w:r>
      <w:r w:rsidR="00FF2801" w:rsidRPr="006B1802">
        <w:rPr>
          <w:rFonts w:asciiTheme="minorHAnsi" w:eastAsiaTheme="minorHAnsi" w:hAnsiTheme="minorHAnsi" w:cstheme="minorBidi"/>
          <w:snapToGrid/>
          <w:sz w:val="24"/>
          <w:szCs w:val="22"/>
        </w:rPr>
        <w:t xml:space="preserve">nor </w:t>
      </w:r>
      <w:r w:rsidR="00531402" w:rsidRPr="006B1802">
        <w:rPr>
          <w:rFonts w:asciiTheme="minorHAnsi" w:eastAsiaTheme="minorHAnsi" w:hAnsiTheme="minorHAnsi" w:cstheme="minorBidi"/>
          <w:snapToGrid/>
          <w:sz w:val="24"/>
          <w:szCs w:val="22"/>
        </w:rPr>
        <w:t>re</w:t>
      </w:r>
      <w:r w:rsidR="00FF2801" w:rsidRPr="006B1802">
        <w:rPr>
          <w:rFonts w:asciiTheme="minorHAnsi" w:eastAsiaTheme="minorHAnsi" w:hAnsiTheme="minorHAnsi" w:cstheme="minorBidi"/>
          <w:snapToGrid/>
          <w:sz w:val="24"/>
          <w:szCs w:val="22"/>
        </w:rPr>
        <w:t xml:space="preserve">submission </w:t>
      </w:r>
      <w:r w:rsidR="00A445C2" w:rsidRPr="006B1802">
        <w:rPr>
          <w:rFonts w:asciiTheme="minorHAnsi" w:eastAsiaTheme="minorHAnsi" w:hAnsiTheme="minorHAnsi" w:cstheme="minorBidi"/>
          <w:snapToGrid/>
          <w:sz w:val="24"/>
          <w:szCs w:val="22"/>
        </w:rPr>
        <w:t xml:space="preserve">requested a Section 85 Authority Required (telephone) PBS listing for initiation of tolvaptan and an Authority Required (Streamlined) listing for continuing treatment of autosomal dominant polycystic kidney disease (ADPKD). The resubmission </w:t>
      </w:r>
      <w:r w:rsidR="00531402" w:rsidRPr="006B1802">
        <w:rPr>
          <w:rFonts w:asciiTheme="minorHAnsi" w:eastAsiaTheme="minorHAnsi" w:hAnsiTheme="minorHAnsi" w:cstheme="minorBidi"/>
          <w:snapToGrid/>
          <w:sz w:val="24"/>
          <w:szCs w:val="22"/>
        </w:rPr>
        <w:t xml:space="preserve">offered a revised price and risk share arrangement (RSA) to offset the uncertain clinical </w:t>
      </w:r>
      <w:r w:rsidR="00D052EF" w:rsidRPr="006B1802">
        <w:rPr>
          <w:rFonts w:asciiTheme="minorHAnsi" w:eastAsiaTheme="minorHAnsi" w:hAnsiTheme="minorHAnsi" w:cstheme="minorBidi"/>
          <w:snapToGrid/>
          <w:sz w:val="24"/>
          <w:szCs w:val="22"/>
        </w:rPr>
        <w:t xml:space="preserve">benefit </w:t>
      </w:r>
      <w:r w:rsidR="00531402" w:rsidRPr="006B1802">
        <w:rPr>
          <w:rFonts w:asciiTheme="minorHAnsi" w:eastAsiaTheme="minorHAnsi" w:hAnsiTheme="minorHAnsi" w:cstheme="minorBidi"/>
          <w:snapToGrid/>
          <w:sz w:val="24"/>
          <w:szCs w:val="22"/>
        </w:rPr>
        <w:t xml:space="preserve">and cost-effectiveness considered by PBAC </w:t>
      </w:r>
      <w:r w:rsidR="004D1D5B" w:rsidRPr="006B1802">
        <w:rPr>
          <w:rFonts w:asciiTheme="minorHAnsi" w:eastAsiaTheme="minorHAnsi" w:hAnsiTheme="minorHAnsi" w:cstheme="minorBidi"/>
          <w:snapToGrid/>
          <w:sz w:val="24"/>
          <w:szCs w:val="22"/>
        </w:rPr>
        <w:t xml:space="preserve">in </w:t>
      </w:r>
      <w:r w:rsidR="00531402" w:rsidRPr="006B1802">
        <w:rPr>
          <w:rFonts w:asciiTheme="minorHAnsi" w:eastAsiaTheme="minorHAnsi" w:hAnsiTheme="minorHAnsi" w:cstheme="minorBidi"/>
          <w:snapToGrid/>
          <w:sz w:val="24"/>
          <w:szCs w:val="22"/>
        </w:rPr>
        <w:t>the March 2018 major submission</w:t>
      </w:r>
      <w:r w:rsidR="0048482A" w:rsidRPr="006B1802">
        <w:rPr>
          <w:rFonts w:asciiTheme="minorHAnsi" w:eastAsiaTheme="minorHAnsi" w:hAnsiTheme="minorHAnsi" w:cstheme="minorBidi"/>
          <w:snapToGrid/>
          <w:sz w:val="24"/>
          <w:szCs w:val="22"/>
        </w:rPr>
        <w:t>.</w:t>
      </w:r>
      <w:r w:rsidR="00D052EF" w:rsidRPr="006B1802">
        <w:rPr>
          <w:rFonts w:asciiTheme="minorHAnsi" w:eastAsiaTheme="minorHAnsi" w:hAnsiTheme="minorHAnsi" w:cstheme="minorBidi"/>
          <w:snapToGrid/>
          <w:sz w:val="24"/>
          <w:szCs w:val="22"/>
        </w:rPr>
        <w:t xml:space="preserve"> The revised price offer is a 16.7% price </w:t>
      </w:r>
      <w:r w:rsidR="002836DB" w:rsidRPr="006B1802">
        <w:rPr>
          <w:rFonts w:asciiTheme="minorHAnsi" w:eastAsiaTheme="minorHAnsi" w:hAnsiTheme="minorHAnsi" w:cstheme="minorBidi"/>
          <w:snapToGrid/>
          <w:sz w:val="24"/>
          <w:szCs w:val="22"/>
        </w:rPr>
        <w:t>reduction (ex-manufacturer)</w:t>
      </w:r>
      <w:r w:rsidR="00830CA8" w:rsidRPr="006B1802">
        <w:rPr>
          <w:rFonts w:asciiTheme="minorHAnsi" w:eastAsiaTheme="minorHAnsi" w:hAnsiTheme="minorHAnsi" w:cstheme="minorBidi"/>
          <w:snapToGrid/>
          <w:sz w:val="24"/>
          <w:szCs w:val="22"/>
        </w:rPr>
        <w:t xml:space="preserve"> and</w:t>
      </w:r>
      <w:r w:rsidR="002836DB" w:rsidRPr="006B1802">
        <w:rPr>
          <w:rFonts w:asciiTheme="minorHAnsi" w:eastAsiaTheme="minorHAnsi" w:hAnsiTheme="minorHAnsi" w:cstheme="minorBidi"/>
          <w:snapToGrid/>
          <w:sz w:val="24"/>
          <w:szCs w:val="22"/>
        </w:rPr>
        <w:t xml:space="preserve"> the proposed RSA offers a hard financial cap.</w:t>
      </w:r>
      <w:r w:rsidR="00D052EF" w:rsidRPr="006B1802">
        <w:rPr>
          <w:rFonts w:asciiTheme="minorHAnsi" w:eastAsiaTheme="minorHAnsi" w:hAnsiTheme="minorHAnsi" w:cstheme="minorBidi"/>
          <w:snapToGrid/>
          <w:sz w:val="24"/>
          <w:szCs w:val="22"/>
        </w:rPr>
        <w:t xml:space="preserve"> </w:t>
      </w:r>
    </w:p>
    <w:p w:rsidR="006A12A5" w:rsidRPr="006B1802" w:rsidRDefault="006A12A5" w:rsidP="00B93A10">
      <w:pPr>
        <w:pStyle w:val="PBACHeading1"/>
        <w:spacing w:before="240" w:after="120"/>
        <w:ind w:left="709" w:hanging="709"/>
        <w:rPr>
          <w:rFonts w:asciiTheme="minorHAnsi" w:hAnsiTheme="minorHAnsi"/>
          <w:sz w:val="32"/>
          <w:szCs w:val="32"/>
        </w:rPr>
      </w:pPr>
      <w:r w:rsidRPr="006B1802">
        <w:rPr>
          <w:rFonts w:asciiTheme="minorHAnsi" w:hAnsiTheme="minorHAnsi"/>
          <w:sz w:val="32"/>
          <w:szCs w:val="32"/>
        </w:rPr>
        <w:t>Requested listing</w:t>
      </w:r>
    </w:p>
    <w:p w:rsidR="00826F6D" w:rsidRPr="006B1802" w:rsidRDefault="00531402" w:rsidP="00B93A10">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6B1802">
        <w:rPr>
          <w:rFonts w:asciiTheme="minorHAnsi" w:eastAsiaTheme="minorHAnsi" w:hAnsiTheme="minorHAnsi" w:cstheme="minorBidi"/>
          <w:snapToGrid/>
          <w:sz w:val="24"/>
          <w:szCs w:val="24"/>
        </w:rPr>
        <w:t>In March 2018</w:t>
      </w:r>
      <w:r w:rsidR="004D1D5B" w:rsidRPr="006B1802">
        <w:rPr>
          <w:rFonts w:asciiTheme="minorHAnsi" w:eastAsiaTheme="minorHAnsi" w:hAnsiTheme="minorHAnsi" w:cstheme="minorBidi"/>
          <w:snapToGrid/>
          <w:sz w:val="24"/>
          <w:szCs w:val="24"/>
        </w:rPr>
        <w:t>, the PBAC considered the proposed</w:t>
      </w:r>
      <w:r w:rsidRPr="006B1802">
        <w:rPr>
          <w:rFonts w:asciiTheme="minorHAnsi" w:eastAsiaTheme="minorHAnsi" w:hAnsiTheme="minorHAnsi" w:cstheme="minorBidi"/>
          <w:snapToGrid/>
          <w:sz w:val="24"/>
          <w:szCs w:val="24"/>
        </w:rPr>
        <w:t xml:space="preserve"> </w:t>
      </w:r>
      <w:r w:rsidR="004D1D5B" w:rsidRPr="006B1802">
        <w:rPr>
          <w:rFonts w:asciiTheme="minorHAnsi" w:eastAsiaTheme="minorHAnsi" w:hAnsiTheme="minorHAnsi" w:cstheme="minorBidi"/>
          <w:snapToGrid/>
          <w:sz w:val="24"/>
          <w:szCs w:val="24"/>
        </w:rPr>
        <w:t xml:space="preserve">restriction which included </w:t>
      </w:r>
      <w:r w:rsidR="004D1D5B" w:rsidRPr="006B1802">
        <w:rPr>
          <w:rFonts w:asciiTheme="minorHAnsi" w:hAnsiTheme="minorHAnsi"/>
          <w:bCs/>
          <w:sz w:val="24"/>
          <w:szCs w:val="24"/>
        </w:rPr>
        <w:t xml:space="preserve">patients with evidence of rapid disease progression </w:t>
      </w:r>
      <w:r w:rsidR="004D1D5B" w:rsidRPr="006B1802">
        <w:rPr>
          <w:rFonts w:asciiTheme="minorHAnsi" w:eastAsiaTheme="minorHAnsi" w:hAnsiTheme="minorHAnsi" w:cstheme="minorBidi"/>
          <w:snapToGrid/>
          <w:sz w:val="24"/>
          <w:szCs w:val="24"/>
        </w:rPr>
        <w:t xml:space="preserve">would be difficult to implement in practice. </w:t>
      </w:r>
      <w:r w:rsidR="004D1D5B" w:rsidRPr="006B1802">
        <w:rPr>
          <w:rFonts w:asciiTheme="minorHAnsi" w:hAnsiTheme="minorHAnsi"/>
          <w:bCs/>
          <w:sz w:val="24"/>
          <w:szCs w:val="24"/>
        </w:rPr>
        <w:t>Overall, the PBAC considered the proposed restriction would not adequately contain use to the most high need patients who may potentially achieve a clinically meaningful benefit. Residual issues with narrowing the eligible patient population would need to be addressed with a price reduction, revised estimates and RSA</w:t>
      </w:r>
      <w:r w:rsidR="00842332" w:rsidRPr="006B1802">
        <w:rPr>
          <w:rFonts w:asciiTheme="minorHAnsi" w:hAnsiTheme="minorHAnsi"/>
          <w:bCs/>
          <w:sz w:val="24"/>
          <w:szCs w:val="24"/>
        </w:rPr>
        <w:t xml:space="preserve"> (</w:t>
      </w:r>
      <w:r w:rsidR="00621175">
        <w:rPr>
          <w:rFonts w:asciiTheme="minorHAnsi" w:hAnsiTheme="minorHAnsi"/>
          <w:bCs/>
          <w:sz w:val="24"/>
          <w:szCs w:val="24"/>
        </w:rPr>
        <w:t xml:space="preserve">Paragraph 7.3, </w:t>
      </w:r>
      <w:r w:rsidR="00EC799F" w:rsidRPr="006B1802">
        <w:rPr>
          <w:rFonts w:asciiTheme="minorHAnsi" w:hAnsiTheme="minorHAnsi"/>
          <w:bCs/>
          <w:sz w:val="24"/>
          <w:szCs w:val="24"/>
        </w:rPr>
        <w:t xml:space="preserve">Tolvaptan </w:t>
      </w:r>
      <w:r w:rsidR="00621175">
        <w:rPr>
          <w:rFonts w:asciiTheme="minorHAnsi" w:hAnsiTheme="minorHAnsi"/>
          <w:bCs/>
          <w:sz w:val="24"/>
          <w:szCs w:val="24"/>
        </w:rPr>
        <w:t>Public Summary Document (PSD)</w:t>
      </w:r>
      <w:r w:rsidR="00EC799F" w:rsidRPr="006B1802">
        <w:rPr>
          <w:rFonts w:asciiTheme="minorHAnsi" w:hAnsiTheme="minorHAnsi"/>
          <w:bCs/>
          <w:sz w:val="24"/>
          <w:szCs w:val="24"/>
        </w:rPr>
        <w:t xml:space="preserve">, </w:t>
      </w:r>
      <w:proofErr w:type="gramStart"/>
      <w:r w:rsidR="00EC799F" w:rsidRPr="006B1802">
        <w:rPr>
          <w:rFonts w:asciiTheme="minorHAnsi" w:hAnsiTheme="minorHAnsi"/>
          <w:bCs/>
          <w:sz w:val="24"/>
          <w:szCs w:val="24"/>
        </w:rPr>
        <w:t>March</w:t>
      </w:r>
      <w:proofErr w:type="gramEnd"/>
      <w:r w:rsidR="00EC799F" w:rsidRPr="006B1802">
        <w:rPr>
          <w:rFonts w:asciiTheme="minorHAnsi" w:hAnsiTheme="minorHAnsi"/>
          <w:bCs/>
          <w:sz w:val="24"/>
          <w:szCs w:val="24"/>
        </w:rPr>
        <w:t xml:space="preserve"> 2018).</w:t>
      </w:r>
      <w:r w:rsidR="004D1D5B" w:rsidRPr="006B1802">
        <w:rPr>
          <w:rFonts w:asciiTheme="minorHAnsi" w:eastAsiaTheme="minorHAnsi" w:hAnsiTheme="minorHAnsi" w:cstheme="minorBidi"/>
          <w:snapToGrid/>
          <w:sz w:val="24"/>
          <w:szCs w:val="24"/>
        </w:rPr>
        <w:t xml:space="preserve"> </w:t>
      </w:r>
      <w:r w:rsidR="00EF44A0" w:rsidRPr="006B1802">
        <w:rPr>
          <w:rFonts w:asciiTheme="minorHAnsi" w:eastAsiaTheme="minorHAnsi" w:hAnsiTheme="minorHAnsi" w:cstheme="minorBidi"/>
          <w:snapToGrid/>
          <w:sz w:val="24"/>
          <w:szCs w:val="24"/>
        </w:rPr>
        <w:t>Th</w:t>
      </w:r>
      <w:r w:rsidR="00D052EF" w:rsidRPr="006B1802">
        <w:rPr>
          <w:rFonts w:asciiTheme="minorHAnsi" w:eastAsiaTheme="minorHAnsi" w:hAnsiTheme="minorHAnsi" w:cstheme="minorBidi"/>
          <w:snapToGrid/>
          <w:sz w:val="24"/>
          <w:szCs w:val="24"/>
        </w:rPr>
        <w:t>is</w:t>
      </w:r>
      <w:r w:rsidR="00EF44A0" w:rsidRPr="006B1802">
        <w:rPr>
          <w:rFonts w:asciiTheme="minorHAnsi" w:eastAsiaTheme="minorHAnsi" w:hAnsiTheme="minorHAnsi" w:cstheme="minorBidi"/>
          <w:snapToGrid/>
          <w:sz w:val="24"/>
          <w:szCs w:val="24"/>
        </w:rPr>
        <w:t xml:space="preserve"> </w:t>
      </w:r>
      <w:r w:rsidR="00D052EF" w:rsidRPr="006B1802">
        <w:rPr>
          <w:rFonts w:asciiTheme="minorHAnsi" w:eastAsiaTheme="minorHAnsi" w:hAnsiTheme="minorHAnsi" w:cstheme="minorBidi"/>
          <w:snapToGrid/>
          <w:sz w:val="24"/>
          <w:szCs w:val="24"/>
        </w:rPr>
        <w:t>re</w:t>
      </w:r>
      <w:r w:rsidR="00EF44A0" w:rsidRPr="006B1802">
        <w:rPr>
          <w:rFonts w:asciiTheme="minorHAnsi" w:eastAsiaTheme="minorHAnsi" w:hAnsiTheme="minorHAnsi" w:cstheme="minorBidi"/>
          <w:snapToGrid/>
          <w:sz w:val="24"/>
          <w:szCs w:val="24"/>
        </w:rPr>
        <w:t xml:space="preserve">submission </w:t>
      </w:r>
      <w:r w:rsidR="00FF2801" w:rsidRPr="006B1802">
        <w:rPr>
          <w:rFonts w:asciiTheme="minorHAnsi" w:eastAsiaTheme="minorHAnsi" w:hAnsiTheme="minorHAnsi" w:cstheme="minorBidi"/>
          <w:snapToGrid/>
          <w:sz w:val="24"/>
          <w:szCs w:val="24"/>
        </w:rPr>
        <w:t>requested</w:t>
      </w:r>
      <w:r w:rsidR="00EF44A0" w:rsidRPr="006B1802">
        <w:rPr>
          <w:rFonts w:asciiTheme="minorHAnsi" w:eastAsiaTheme="minorHAnsi" w:hAnsiTheme="minorHAnsi" w:cstheme="minorBidi"/>
          <w:snapToGrid/>
          <w:sz w:val="24"/>
          <w:szCs w:val="24"/>
        </w:rPr>
        <w:t xml:space="preserve"> the </w:t>
      </w:r>
      <w:r w:rsidRPr="006B1802">
        <w:rPr>
          <w:rFonts w:asciiTheme="minorHAnsi" w:eastAsiaTheme="minorHAnsi" w:hAnsiTheme="minorHAnsi" w:cstheme="minorBidi"/>
          <w:snapToGrid/>
          <w:sz w:val="24"/>
          <w:szCs w:val="24"/>
        </w:rPr>
        <w:t xml:space="preserve">simplified </w:t>
      </w:r>
      <w:r w:rsidR="00EC799F" w:rsidRPr="006B1802">
        <w:rPr>
          <w:rFonts w:asciiTheme="minorHAnsi" w:eastAsiaTheme="minorHAnsi" w:hAnsiTheme="minorHAnsi" w:cstheme="minorBidi"/>
          <w:snapToGrid/>
          <w:sz w:val="24"/>
          <w:szCs w:val="24"/>
        </w:rPr>
        <w:t>restriction below</w:t>
      </w:r>
      <w:r w:rsidR="00D052EF" w:rsidRPr="006B1802">
        <w:rPr>
          <w:rFonts w:asciiTheme="minorHAnsi" w:eastAsiaTheme="minorHAnsi" w:hAnsiTheme="minorHAnsi" w:cstheme="minorBidi"/>
          <w:snapToGrid/>
          <w:sz w:val="24"/>
          <w:szCs w:val="24"/>
        </w:rPr>
        <w:t>, for patients with stage 2–3 chronic kidney disease (CKD)</w:t>
      </w:r>
      <w:r w:rsidR="007A3559" w:rsidRPr="006B1802">
        <w:rPr>
          <w:rFonts w:asciiTheme="minorHAnsi" w:eastAsiaTheme="minorHAnsi" w:hAnsiTheme="minorHAnsi" w:cstheme="minorBidi"/>
          <w:snapToGrid/>
          <w:sz w:val="24"/>
          <w:szCs w:val="24"/>
        </w:rPr>
        <w:t xml:space="preserve"> and rapid disease</w:t>
      </w:r>
      <w:r w:rsidR="007A3559" w:rsidRPr="006B1802">
        <w:rPr>
          <w:rFonts w:asciiTheme="minorHAnsi" w:eastAsiaTheme="minorHAnsi" w:hAnsiTheme="minorHAnsi" w:cstheme="minorBidi"/>
          <w:snapToGrid/>
          <w:sz w:val="24"/>
          <w:szCs w:val="22"/>
        </w:rPr>
        <w:t xml:space="preserve"> progression</w:t>
      </w:r>
      <w:r w:rsidR="00EC799F" w:rsidRPr="006B1802">
        <w:rPr>
          <w:rFonts w:asciiTheme="minorHAnsi" w:eastAsiaTheme="minorHAnsi" w:hAnsiTheme="minorHAnsi" w:cstheme="minorBidi"/>
          <w:snapToGrid/>
          <w:sz w:val="24"/>
          <w:szCs w:val="22"/>
        </w:rPr>
        <w:t>.</w:t>
      </w:r>
    </w:p>
    <w:tbl>
      <w:tblPr>
        <w:tblW w:w="4915" w:type="pct"/>
        <w:tblLook w:val="0000" w:firstRow="0" w:lastRow="0" w:firstColumn="0" w:lastColumn="0" w:noHBand="0" w:noVBand="0"/>
      </w:tblPr>
      <w:tblGrid>
        <w:gridCol w:w="1977"/>
        <w:gridCol w:w="1395"/>
        <w:gridCol w:w="761"/>
        <w:gridCol w:w="914"/>
        <w:gridCol w:w="1652"/>
        <w:gridCol w:w="776"/>
        <w:gridCol w:w="1597"/>
        <w:gridCol w:w="13"/>
      </w:tblGrid>
      <w:tr w:rsidR="00473C0C" w:rsidRPr="006B1802" w:rsidTr="002302AA">
        <w:trPr>
          <w:cantSplit/>
          <w:trHeight w:val="465"/>
        </w:trPr>
        <w:tc>
          <w:tcPr>
            <w:tcW w:w="1856" w:type="pct"/>
            <w:gridSpan w:val="2"/>
            <w:tcBorders>
              <w:bottom w:val="single" w:sz="4" w:space="0" w:color="auto"/>
            </w:tcBorders>
          </w:tcPr>
          <w:p w:rsidR="00826F6D" w:rsidRPr="006B1802" w:rsidRDefault="00826F6D" w:rsidP="00B93A10">
            <w:pPr>
              <w:keepNext/>
              <w:spacing w:before="40" w:after="40"/>
              <w:jc w:val="both"/>
              <w:rPr>
                <w:rFonts w:ascii="Arial Narrow" w:hAnsi="Arial Narrow" w:cs="Arial"/>
                <w:b/>
                <w:sz w:val="20"/>
                <w:szCs w:val="20"/>
              </w:rPr>
            </w:pPr>
            <w:r w:rsidRPr="006B1802">
              <w:rPr>
                <w:rFonts w:ascii="Arial Narrow" w:hAnsi="Arial Narrow" w:cs="Arial"/>
                <w:b/>
                <w:sz w:val="20"/>
                <w:szCs w:val="20"/>
              </w:rPr>
              <w:t>Name, Restriction,</w:t>
            </w:r>
          </w:p>
          <w:p w:rsidR="00826F6D" w:rsidRPr="006B1802" w:rsidRDefault="00826F6D" w:rsidP="00B93A10">
            <w:pPr>
              <w:keepNext/>
              <w:spacing w:before="40" w:after="40"/>
              <w:jc w:val="both"/>
              <w:rPr>
                <w:rFonts w:ascii="Arial Narrow" w:hAnsi="Arial Narrow" w:cs="Arial"/>
                <w:b/>
                <w:sz w:val="20"/>
                <w:szCs w:val="20"/>
              </w:rPr>
            </w:pPr>
            <w:r w:rsidRPr="006B1802">
              <w:rPr>
                <w:rFonts w:ascii="Arial Narrow" w:hAnsi="Arial Narrow" w:cs="Arial"/>
                <w:b/>
                <w:sz w:val="20"/>
                <w:szCs w:val="20"/>
              </w:rPr>
              <w:t>Manner of administration and form</w:t>
            </w:r>
          </w:p>
        </w:tc>
        <w:tc>
          <w:tcPr>
            <w:tcW w:w="419" w:type="pct"/>
            <w:tcBorders>
              <w:bottom w:val="single" w:sz="4" w:space="0" w:color="auto"/>
            </w:tcBorders>
          </w:tcPr>
          <w:p w:rsidR="00826F6D" w:rsidRPr="006B1802" w:rsidRDefault="00826F6D" w:rsidP="00B93A10">
            <w:pPr>
              <w:keepNext/>
              <w:spacing w:before="40" w:after="40"/>
              <w:jc w:val="both"/>
              <w:rPr>
                <w:rFonts w:ascii="Arial Narrow" w:hAnsi="Arial Narrow" w:cs="Arial"/>
                <w:b/>
                <w:sz w:val="20"/>
                <w:szCs w:val="20"/>
              </w:rPr>
            </w:pPr>
            <w:r w:rsidRPr="006B1802">
              <w:rPr>
                <w:rFonts w:ascii="Arial Narrow" w:hAnsi="Arial Narrow" w:cs="Arial"/>
                <w:b/>
                <w:sz w:val="20"/>
                <w:szCs w:val="20"/>
              </w:rPr>
              <w:t>Max.</w:t>
            </w:r>
          </w:p>
          <w:p w:rsidR="00826F6D" w:rsidRPr="006B1802" w:rsidRDefault="00826F6D" w:rsidP="00B93A10">
            <w:pPr>
              <w:keepNext/>
              <w:spacing w:before="40" w:after="40"/>
              <w:jc w:val="both"/>
              <w:rPr>
                <w:rFonts w:ascii="Arial Narrow" w:hAnsi="Arial Narrow" w:cs="Arial"/>
                <w:b/>
                <w:sz w:val="20"/>
                <w:szCs w:val="20"/>
              </w:rPr>
            </w:pPr>
            <w:r w:rsidRPr="006B1802">
              <w:rPr>
                <w:rFonts w:ascii="Arial Narrow" w:hAnsi="Arial Narrow" w:cs="Arial"/>
                <w:b/>
                <w:sz w:val="20"/>
                <w:szCs w:val="20"/>
              </w:rPr>
              <w:t>Qty</w:t>
            </w:r>
          </w:p>
        </w:tc>
        <w:tc>
          <w:tcPr>
            <w:tcW w:w="503" w:type="pct"/>
            <w:tcBorders>
              <w:bottom w:val="single" w:sz="4" w:space="0" w:color="auto"/>
            </w:tcBorders>
          </w:tcPr>
          <w:p w:rsidR="00826F6D" w:rsidRPr="006B1802" w:rsidRDefault="00826F6D" w:rsidP="00B93A10">
            <w:pPr>
              <w:keepNext/>
              <w:spacing w:before="40" w:after="40"/>
              <w:jc w:val="both"/>
              <w:rPr>
                <w:rFonts w:ascii="Arial Narrow" w:hAnsi="Arial Narrow" w:cs="Arial"/>
                <w:b/>
                <w:sz w:val="20"/>
                <w:szCs w:val="20"/>
              </w:rPr>
            </w:pPr>
            <w:r w:rsidRPr="006B1802">
              <w:rPr>
                <w:rFonts w:ascii="Arial Narrow" w:hAnsi="Arial Narrow" w:cs="Arial"/>
                <w:b/>
                <w:sz w:val="20"/>
                <w:szCs w:val="20"/>
              </w:rPr>
              <w:t>№.of</w:t>
            </w:r>
          </w:p>
          <w:p w:rsidR="00826F6D" w:rsidRPr="006B1802" w:rsidRDefault="00826F6D" w:rsidP="00B93A10">
            <w:pPr>
              <w:keepNext/>
              <w:spacing w:before="40" w:after="40"/>
              <w:jc w:val="both"/>
              <w:rPr>
                <w:rFonts w:ascii="Arial Narrow" w:hAnsi="Arial Narrow" w:cs="Arial"/>
                <w:b/>
                <w:sz w:val="20"/>
                <w:szCs w:val="20"/>
              </w:rPr>
            </w:pPr>
            <w:r w:rsidRPr="006B1802">
              <w:rPr>
                <w:rFonts w:ascii="Arial Narrow" w:hAnsi="Arial Narrow" w:cs="Arial"/>
                <w:b/>
                <w:sz w:val="20"/>
                <w:szCs w:val="20"/>
              </w:rPr>
              <w:t>Rpts</w:t>
            </w:r>
          </w:p>
        </w:tc>
        <w:tc>
          <w:tcPr>
            <w:tcW w:w="909" w:type="pct"/>
            <w:tcBorders>
              <w:bottom w:val="single" w:sz="4" w:space="0" w:color="auto"/>
            </w:tcBorders>
          </w:tcPr>
          <w:p w:rsidR="00826F6D" w:rsidRPr="006B1802" w:rsidRDefault="00826F6D" w:rsidP="00B93A10">
            <w:pPr>
              <w:keepNext/>
              <w:spacing w:before="40" w:after="40"/>
              <w:jc w:val="both"/>
              <w:rPr>
                <w:rFonts w:ascii="Arial Narrow" w:hAnsi="Arial Narrow" w:cs="Arial"/>
                <w:b/>
                <w:sz w:val="20"/>
                <w:szCs w:val="20"/>
              </w:rPr>
            </w:pPr>
            <w:r w:rsidRPr="006B1802">
              <w:rPr>
                <w:rFonts w:ascii="Arial Narrow" w:hAnsi="Arial Narrow" w:cs="Arial"/>
                <w:b/>
                <w:sz w:val="20"/>
                <w:szCs w:val="20"/>
              </w:rPr>
              <w:t>Dispensed Price for Max. Qty</w:t>
            </w:r>
          </w:p>
        </w:tc>
        <w:tc>
          <w:tcPr>
            <w:tcW w:w="1313" w:type="pct"/>
            <w:gridSpan w:val="3"/>
            <w:tcBorders>
              <w:bottom w:val="single" w:sz="4" w:space="0" w:color="auto"/>
            </w:tcBorders>
          </w:tcPr>
          <w:p w:rsidR="00826F6D" w:rsidRPr="006B1802" w:rsidRDefault="00826F6D" w:rsidP="00B93A10">
            <w:pPr>
              <w:keepNext/>
              <w:spacing w:before="40" w:after="40"/>
              <w:jc w:val="both"/>
              <w:rPr>
                <w:rFonts w:ascii="Arial Narrow" w:hAnsi="Arial Narrow" w:cs="Arial"/>
                <w:b/>
                <w:sz w:val="20"/>
                <w:szCs w:val="20"/>
              </w:rPr>
            </w:pPr>
            <w:r w:rsidRPr="006B1802">
              <w:rPr>
                <w:rFonts w:ascii="Arial Narrow" w:hAnsi="Arial Narrow" w:cs="Arial"/>
                <w:b/>
                <w:sz w:val="20"/>
                <w:szCs w:val="20"/>
              </w:rPr>
              <w:t>Proprietary Name and Manufacturer</w:t>
            </w:r>
          </w:p>
        </w:tc>
      </w:tr>
      <w:tr w:rsidR="00473C0C" w:rsidRPr="006B1802" w:rsidTr="002302AA">
        <w:trPr>
          <w:cantSplit/>
          <w:trHeight w:val="567"/>
        </w:trPr>
        <w:tc>
          <w:tcPr>
            <w:tcW w:w="1856" w:type="pct"/>
            <w:gridSpan w:val="2"/>
          </w:tcPr>
          <w:p w:rsidR="00826F6D" w:rsidRPr="006B1802" w:rsidRDefault="00F32926" w:rsidP="00B93A10">
            <w:pPr>
              <w:keepNext/>
              <w:spacing w:before="40" w:after="40"/>
              <w:jc w:val="both"/>
              <w:rPr>
                <w:rFonts w:ascii="Arial Narrow" w:hAnsi="Arial Narrow" w:cs="Arial"/>
                <w:sz w:val="20"/>
                <w:szCs w:val="20"/>
              </w:rPr>
            </w:pPr>
            <w:r w:rsidRPr="006B1802">
              <w:rPr>
                <w:rFonts w:ascii="Arial Narrow" w:hAnsi="Arial Narrow" w:cs="Arial"/>
                <w:smallCaps/>
                <w:sz w:val="20"/>
                <w:szCs w:val="20"/>
              </w:rPr>
              <w:t>TOLVAPTAN</w:t>
            </w:r>
          </w:p>
          <w:p w:rsidR="00473C0C" w:rsidRPr="006B1802" w:rsidRDefault="00F32926" w:rsidP="00B93A10">
            <w:pPr>
              <w:keepNext/>
              <w:spacing w:before="40" w:after="40"/>
              <w:jc w:val="both"/>
              <w:rPr>
                <w:rFonts w:ascii="Arial Narrow" w:hAnsi="Arial Narrow" w:cs="Arial"/>
                <w:sz w:val="20"/>
                <w:szCs w:val="20"/>
              </w:rPr>
            </w:pPr>
            <w:r w:rsidRPr="006B1802">
              <w:rPr>
                <w:rFonts w:ascii="Arial Narrow" w:hAnsi="Arial Narrow" w:cs="Arial"/>
                <w:sz w:val="20"/>
                <w:szCs w:val="20"/>
              </w:rPr>
              <w:t>15mg + 45mg oral tablets</w:t>
            </w:r>
          </w:p>
          <w:p w:rsidR="00F32926" w:rsidRPr="006B1802" w:rsidRDefault="00473C0C" w:rsidP="00B93A10">
            <w:pPr>
              <w:keepNext/>
              <w:spacing w:before="40" w:after="40"/>
              <w:jc w:val="both"/>
              <w:rPr>
                <w:rFonts w:ascii="Arial Narrow" w:hAnsi="Arial Narrow" w:cs="Arial"/>
                <w:sz w:val="20"/>
                <w:szCs w:val="20"/>
              </w:rPr>
            </w:pPr>
            <w:r w:rsidRPr="006B1802">
              <w:rPr>
                <w:rFonts w:ascii="Arial Narrow" w:hAnsi="Arial Narrow" w:cs="Arial"/>
                <w:sz w:val="20"/>
                <w:szCs w:val="20"/>
              </w:rPr>
              <w:t>30mg +</w:t>
            </w:r>
            <w:r w:rsidR="00830CA8" w:rsidRPr="006B1802">
              <w:rPr>
                <w:rFonts w:ascii="Arial Narrow" w:hAnsi="Arial Narrow" w:cs="Arial"/>
                <w:sz w:val="20"/>
                <w:szCs w:val="20"/>
              </w:rPr>
              <w:t xml:space="preserve"> </w:t>
            </w:r>
            <w:r w:rsidRPr="006B1802">
              <w:rPr>
                <w:rFonts w:ascii="Arial Narrow" w:hAnsi="Arial Narrow" w:cs="Arial"/>
                <w:sz w:val="20"/>
                <w:szCs w:val="20"/>
              </w:rPr>
              <w:t>60</w:t>
            </w:r>
            <w:r w:rsidR="00F32926" w:rsidRPr="006B1802">
              <w:rPr>
                <w:rFonts w:ascii="Arial Narrow" w:hAnsi="Arial Narrow" w:cs="Arial"/>
                <w:sz w:val="20"/>
                <w:szCs w:val="20"/>
              </w:rPr>
              <w:t>mg oral tablets</w:t>
            </w:r>
          </w:p>
          <w:p w:rsidR="00F32926" w:rsidRPr="006B1802" w:rsidRDefault="00473C0C" w:rsidP="00B93A10">
            <w:pPr>
              <w:keepNext/>
              <w:spacing w:before="40" w:after="40"/>
              <w:jc w:val="both"/>
              <w:rPr>
                <w:rFonts w:ascii="Arial Narrow" w:hAnsi="Arial Narrow" w:cs="Arial"/>
                <w:sz w:val="20"/>
                <w:szCs w:val="20"/>
              </w:rPr>
            </w:pPr>
            <w:r w:rsidRPr="006B1802">
              <w:rPr>
                <w:rFonts w:ascii="Arial Narrow" w:hAnsi="Arial Narrow" w:cs="Arial"/>
                <w:sz w:val="20"/>
                <w:szCs w:val="20"/>
              </w:rPr>
              <w:t>30mg + 90</w:t>
            </w:r>
            <w:r w:rsidR="00F32926" w:rsidRPr="006B1802">
              <w:rPr>
                <w:rFonts w:ascii="Arial Narrow" w:hAnsi="Arial Narrow" w:cs="Arial"/>
                <w:sz w:val="20"/>
                <w:szCs w:val="20"/>
              </w:rPr>
              <w:t>mg oral tablets</w:t>
            </w:r>
          </w:p>
        </w:tc>
        <w:tc>
          <w:tcPr>
            <w:tcW w:w="419" w:type="pct"/>
          </w:tcPr>
          <w:p w:rsidR="00826F6D" w:rsidRPr="006B1802" w:rsidRDefault="00826F6D" w:rsidP="00B93A10">
            <w:pPr>
              <w:keepNext/>
              <w:spacing w:before="40" w:after="40"/>
              <w:jc w:val="both"/>
              <w:rPr>
                <w:rFonts w:ascii="Arial Narrow" w:hAnsi="Arial Narrow" w:cs="Arial"/>
                <w:sz w:val="20"/>
                <w:szCs w:val="20"/>
              </w:rPr>
            </w:pPr>
          </w:p>
          <w:p w:rsidR="00826F6D" w:rsidRPr="006B1802" w:rsidRDefault="00473C0C" w:rsidP="00B93A10">
            <w:pPr>
              <w:keepNext/>
              <w:spacing w:before="40" w:after="40"/>
              <w:jc w:val="both"/>
              <w:rPr>
                <w:rFonts w:ascii="Arial Narrow" w:hAnsi="Arial Narrow" w:cs="Arial"/>
                <w:sz w:val="20"/>
                <w:szCs w:val="20"/>
              </w:rPr>
            </w:pPr>
            <w:r w:rsidRPr="006B1802">
              <w:rPr>
                <w:rFonts w:ascii="Arial Narrow" w:hAnsi="Arial Narrow" w:cs="Arial"/>
                <w:sz w:val="20"/>
                <w:szCs w:val="20"/>
              </w:rPr>
              <w:t>56</w:t>
            </w:r>
          </w:p>
        </w:tc>
        <w:tc>
          <w:tcPr>
            <w:tcW w:w="503" w:type="pct"/>
          </w:tcPr>
          <w:p w:rsidR="00826F6D" w:rsidRPr="006B1802" w:rsidRDefault="00826F6D" w:rsidP="00B93A10">
            <w:pPr>
              <w:keepNext/>
              <w:spacing w:before="40" w:after="40"/>
              <w:jc w:val="both"/>
              <w:rPr>
                <w:rFonts w:ascii="Arial Narrow" w:hAnsi="Arial Narrow" w:cs="Arial"/>
                <w:sz w:val="20"/>
                <w:szCs w:val="20"/>
              </w:rPr>
            </w:pPr>
          </w:p>
          <w:p w:rsidR="00826F6D" w:rsidRPr="006B1802" w:rsidRDefault="00473C0C" w:rsidP="00B93A10">
            <w:pPr>
              <w:keepNext/>
              <w:spacing w:before="40" w:after="40"/>
              <w:jc w:val="both"/>
              <w:rPr>
                <w:rFonts w:ascii="Arial Narrow" w:hAnsi="Arial Narrow" w:cs="Arial"/>
                <w:sz w:val="20"/>
                <w:szCs w:val="20"/>
              </w:rPr>
            </w:pPr>
            <w:r w:rsidRPr="006B1802">
              <w:rPr>
                <w:rFonts w:ascii="Arial Narrow" w:hAnsi="Arial Narrow" w:cs="Arial"/>
                <w:sz w:val="20"/>
                <w:szCs w:val="20"/>
              </w:rPr>
              <w:t>5</w:t>
            </w:r>
          </w:p>
        </w:tc>
        <w:tc>
          <w:tcPr>
            <w:tcW w:w="909" w:type="pct"/>
          </w:tcPr>
          <w:p w:rsidR="00826F6D" w:rsidRPr="006B1802" w:rsidRDefault="00826F6D" w:rsidP="00B93A10">
            <w:pPr>
              <w:keepNext/>
              <w:spacing w:before="40" w:after="40"/>
              <w:jc w:val="both"/>
              <w:rPr>
                <w:rFonts w:ascii="Arial Narrow" w:hAnsi="Arial Narrow" w:cs="Arial"/>
                <w:sz w:val="20"/>
                <w:szCs w:val="20"/>
              </w:rPr>
            </w:pPr>
          </w:p>
          <w:p w:rsidR="00826F6D" w:rsidRPr="006B1802" w:rsidRDefault="00826F6D" w:rsidP="00B93A10">
            <w:pPr>
              <w:keepNext/>
              <w:spacing w:before="40" w:after="40"/>
              <w:jc w:val="both"/>
              <w:rPr>
                <w:rFonts w:ascii="Arial Narrow" w:hAnsi="Arial Narrow" w:cs="Arial"/>
                <w:sz w:val="20"/>
                <w:szCs w:val="20"/>
              </w:rPr>
            </w:pPr>
            <w:r w:rsidRPr="006B1802">
              <w:rPr>
                <w:rFonts w:ascii="Arial Narrow" w:hAnsi="Arial Narrow" w:cs="Arial"/>
                <w:sz w:val="20"/>
                <w:szCs w:val="20"/>
              </w:rPr>
              <w:t>$</w:t>
            </w:r>
            <w:r w:rsidR="0048521A" w:rsidRPr="006B1802">
              <w:rPr>
                <w:rFonts w:ascii="Arial Narrow" w:hAnsi="Arial Narrow" w:cs="Arial"/>
                <w:sz w:val="20"/>
                <w:szCs w:val="20"/>
              </w:rPr>
              <w:t>1,815.98 (published)</w:t>
            </w:r>
          </w:p>
          <w:p w:rsidR="0048521A" w:rsidRPr="006B1802" w:rsidRDefault="0048521A" w:rsidP="00B93A10">
            <w:pPr>
              <w:keepNext/>
              <w:spacing w:before="40" w:after="40"/>
              <w:jc w:val="both"/>
              <w:rPr>
                <w:rFonts w:ascii="Arial Narrow" w:hAnsi="Arial Narrow" w:cs="Arial"/>
                <w:sz w:val="20"/>
                <w:szCs w:val="20"/>
              </w:rPr>
            </w:pPr>
            <w:r w:rsidRPr="006B1802">
              <w:rPr>
                <w:rFonts w:ascii="Arial Narrow" w:hAnsi="Arial Narrow" w:cs="Arial"/>
                <w:sz w:val="20"/>
                <w:szCs w:val="20"/>
              </w:rPr>
              <w:t>$</w:t>
            </w:r>
            <w:r w:rsidR="00B912EA">
              <w:rPr>
                <w:rFonts w:ascii="Arial Narrow" w:hAnsi="Arial Narrow" w:cs="Arial"/>
                <w:noProof/>
                <w:color w:val="000000"/>
                <w:sz w:val="20"/>
                <w:szCs w:val="20"/>
                <w:highlight w:val="black"/>
              </w:rPr>
              <w:t>''''''''''''''''</w:t>
            </w:r>
          </w:p>
          <w:p w:rsidR="0048521A" w:rsidRPr="006B1802" w:rsidRDefault="0048521A" w:rsidP="00B93A10">
            <w:pPr>
              <w:keepNext/>
              <w:spacing w:before="40" w:after="40"/>
              <w:jc w:val="both"/>
              <w:rPr>
                <w:rFonts w:ascii="Arial Narrow" w:hAnsi="Arial Narrow" w:cs="Arial"/>
                <w:sz w:val="20"/>
                <w:szCs w:val="20"/>
              </w:rPr>
            </w:pPr>
            <w:r w:rsidRPr="006B1802">
              <w:rPr>
                <w:rFonts w:ascii="Arial Narrow" w:hAnsi="Arial Narrow" w:cs="Arial"/>
                <w:sz w:val="20"/>
                <w:szCs w:val="20"/>
              </w:rPr>
              <w:t>(effective)</w:t>
            </w:r>
          </w:p>
        </w:tc>
        <w:tc>
          <w:tcPr>
            <w:tcW w:w="427" w:type="pct"/>
          </w:tcPr>
          <w:p w:rsidR="00C27B58" w:rsidRPr="006B1802" w:rsidRDefault="00C27B58" w:rsidP="00B93A10">
            <w:pPr>
              <w:keepNext/>
              <w:spacing w:before="40" w:after="40"/>
              <w:jc w:val="both"/>
              <w:rPr>
                <w:rFonts w:ascii="Arial Narrow" w:hAnsi="Arial Narrow" w:cs="Arial"/>
                <w:sz w:val="20"/>
                <w:szCs w:val="20"/>
              </w:rPr>
            </w:pPr>
          </w:p>
          <w:p w:rsidR="00826F6D" w:rsidRPr="006B1802" w:rsidRDefault="00473C0C" w:rsidP="00B93A10">
            <w:pPr>
              <w:keepNext/>
              <w:spacing w:before="40" w:after="40"/>
              <w:jc w:val="both"/>
              <w:rPr>
                <w:rFonts w:ascii="Arial Narrow" w:hAnsi="Arial Narrow" w:cs="Arial"/>
                <w:sz w:val="20"/>
                <w:szCs w:val="20"/>
              </w:rPr>
            </w:pPr>
            <w:proofErr w:type="spellStart"/>
            <w:r w:rsidRPr="006B1802">
              <w:rPr>
                <w:rFonts w:ascii="Arial Narrow" w:hAnsi="Arial Narrow" w:cs="Arial"/>
                <w:sz w:val="20"/>
                <w:szCs w:val="20"/>
              </w:rPr>
              <w:t>Jinarc</w:t>
            </w:r>
            <w:proofErr w:type="spellEnd"/>
            <w:r w:rsidRPr="006B1802">
              <w:rPr>
                <w:rFonts w:ascii="Arial Narrow" w:hAnsi="Arial Narrow" w:cs="Arial"/>
                <w:sz w:val="20"/>
                <w:szCs w:val="20"/>
              </w:rPr>
              <w:t>®</w:t>
            </w:r>
          </w:p>
        </w:tc>
        <w:tc>
          <w:tcPr>
            <w:tcW w:w="886" w:type="pct"/>
            <w:gridSpan w:val="2"/>
          </w:tcPr>
          <w:p w:rsidR="00C27B58" w:rsidRPr="006B1802" w:rsidRDefault="00C27B58" w:rsidP="00B93A10">
            <w:pPr>
              <w:keepNext/>
              <w:spacing w:before="40" w:after="40"/>
              <w:jc w:val="both"/>
              <w:rPr>
                <w:rFonts w:ascii="Arial Narrow" w:hAnsi="Arial Narrow" w:cs="Arial"/>
                <w:sz w:val="20"/>
                <w:szCs w:val="20"/>
              </w:rPr>
            </w:pPr>
          </w:p>
          <w:p w:rsidR="00826F6D" w:rsidRPr="006B1802" w:rsidRDefault="00473C0C" w:rsidP="00B93A10">
            <w:pPr>
              <w:keepNext/>
              <w:spacing w:before="40" w:after="40"/>
              <w:jc w:val="both"/>
              <w:rPr>
                <w:rFonts w:ascii="Arial Narrow" w:hAnsi="Arial Narrow" w:cs="Arial"/>
                <w:sz w:val="20"/>
                <w:szCs w:val="20"/>
              </w:rPr>
            </w:pPr>
            <w:r w:rsidRPr="006B1802">
              <w:rPr>
                <w:rFonts w:ascii="Arial Narrow" w:hAnsi="Arial Narrow" w:cs="Arial"/>
                <w:sz w:val="20"/>
                <w:szCs w:val="20"/>
              </w:rPr>
              <w:t>Otsuka Australia Pharmaceutical P/L</w:t>
            </w:r>
          </w:p>
        </w:tc>
      </w:tr>
      <w:tr w:rsidR="00826F6D" w:rsidRPr="006B1802" w:rsidTr="00414990">
        <w:trPr>
          <w:gridAfter w:val="1"/>
          <w:wAfter w:w="7" w:type="pct"/>
          <w:cantSplit/>
          <w:trHeight w:val="360"/>
        </w:trPr>
        <w:tc>
          <w:tcPr>
            <w:tcW w:w="4993" w:type="pct"/>
            <w:gridSpan w:val="7"/>
            <w:tcBorders>
              <w:bottom w:val="single" w:sz="4" w:space="0" w:color="auto"/>
            </w:tcBorders>
          </w:tcPr>
          <w:p w:rsidR="00826F6D" w:rsidRPr="006B1802" w:rsidRDefault="00826F6D" w:rsidP="00B93A10">
            <w:pPr>
              <w:spacing w:before="40" w:after="40"/>
              <w:jc w:val="both"/>
              <w:rPr>
                <w:rFonts w:ascii="Arial Narrow" w:hAnsi="Arial Narrow" w:cs="Arial"/>
                <w:sz w:val="20"/>
                <w:szCs w:val="20"/>
              </w:rPr>
            </w:pPr>
          </w:p>
        </w:tc>
      </w:tr>
      <w:tr w:rsidR="00826F6D" w:rsidRPr="006B1802" w:rsidTr="002302AA">
        <w:trPr>
          <w:gridAfter w:val="1"/>
          <w:wAfter w:w="7"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826F6D" w:rsidRPr="006B1802" w:rsidRDefault="00826F6D" w:rsidP="00B93A10">
            <w:pPr>
              <w:spacing w:before="40" w:after="40"/>
              <w:jc w:val="both"/>
              <w:rPr>
                <w:rFonts w:ascii="Arial Narrow" w:hAnsi="Arial Narrow" w:cs="Arial"/>
                <w:b/>
                <w:sz w:val="20"/>
                <w:szCs w:val="20"/>
              </w:rPr>
            </w:pPr>
            <w:r w:rsidRPr="006B1802">
              <w:rPr>
                <w:rFonts w:ascii="Arial Narrow" w:hAnsi="Arial Narrow" w:cs="Arial"/>
                <w:b/>
                <w:sz w:val="20"/>
                <w:szCs w:val="20"/>
              </w:rPr>
              <w:t xml:space="preserve">Category / </w:t>
            </w:r>
          </w:p>
          <w:p w:rsidR="00826F6D" w:rsidRPr="006B1802" w:rsidRDefault="00826F6D" w:rsidP="00B93A10">
            <w:pPr>
              <w:spacing w:before="40" w:after="40"/>
              <w:jc w:val="both"/>
              <w:rPr>
                <w:rFonts w:ascii="Arial Narrow" w:hAnsi="Arial Narrow" w:cs="Arial"/>
                <w:b/>
                <w:sz w:val="20"/>
                <w:szCs w:val="20"/>
              </w:rPr>
            </w:pPr>
            <w:r w:rsidRPr="006B1802">
              <w:rPr>
                <w:rFonts w:ascii="Arial Narrow" w:hAnsi="Arial Narrow" w:cs="Arial"/>
                <w:b/>
                <w:sz w:val="20"/>
                <w:szCs w:val="20"/>
              </w:rPr>
              <w:t>Program</w:t>
            </w:r>
          </w:p>
        </w:tc>
        <w:tc>
          <w:tcPr>
            <w:tcW w:w="3905" w:type="pct"/>
            <w:gridSpan w:val="6"/>
            <w:tcBorders>
              <w:top w:val="single" w:sz="4" w:space="0" w:color="auto"/>
              <w:left w:val="single" w:sz="4" w:space="0" w:color="auto"/>
              <w:bottom w:val="single" w:sz="4" w:space="0" w:color="auto"/>
              <w:right w:val="single" w:sz="4" w:space="0" w:color="auto"/>
            </w:tcBorders>
          </w:tcPr>
          <w:p w:rsidR="00826F6D" w:rsidRPr="006B1802" w:rsidRDefault="00826F6D" w:rsidP="00B93A10">
            <w:pPr>
              <w:spacing w:before="40" w:after="40"/>
              <w:rPr>
                <w:rFonts w:ascii="Arial Narrow" w:hAnsi="Arial Narrow" w:cs="Arial"/>
                <w:sz w:val="20"/>
                <w:szCs w:val="20"/>
              </w:rPr>
            </w:pPr>
            <w:r w:rsidRPr="006B1802">
              <w:rPr>
                <w:rFonts w:ascii="Arial Narrow" w:hAnsi="Arial Narrow" w:cs="Arial"/>
                <w:sz w:val="20"/>
                <w:szCs w:val="20"/>
              </w:rPr>
              <w:t>GENERAL – General Schedule (Code GE)</w:t>
            </w:r>
          </w:p>
          <w:p w:rsidR="00826F6D" w:rsidRPr="006B1802" w:rsidRDefault="00826F6D" w:rsidP="00B93A10">
            <w:pPr>
              <w:spacing w:before="40" w:after="40"/>
              <w:rPr>
                <w:rFonts w:ascii="Arial Narrow" w:hAnsi="Arial Narrow" w:cs="Arial"/>
                <w:sz w:val="20"/>
                <w:szCs w:val="20"/>
              </w:rPr>
            </w:pPr>
          </w:p>
        </w:tc>
      </w:tr>
      <w:tr w:rsidR="00826F6D" w:rsidRPr="006B1802" w:rsidTr="002302AA">
        <w:trPr>
          <w:gridAfter w:val="1"/>
          <w:wAfter w:w="7"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826F6D" w:rsidRPr="006B1802" w:rsidRDefault="00826F6D" w:rsidP="00B93A10">
            <w:pPr>
              <w:spacing w:before="40" w:after="40"/>
              <w:jc w:val="both"/>
              <w:rPr>
                <w:rFonts w:ascii="Arial Narrow" w:hAnsi="Arial Narrow" w:cs="Arial"/>
                <w:b/>
                <w:sz w:val="20"/>
                <w:szCs w:val="20"/>
              </w:rPr>
            </w:pPr>
            <w:r w:rsidRPr="006B1802">
              <w:rPr>
                <w:rFonts w:ascii="Arial Narrow" w:hAnsi="Arial Narrow" w:cs="Arial"/>
                <w:b/>
                <w:sz w:val="20"/>
                <w:szCs w:val="20"/>
              </w:rPr>
              <w:t>Prescriber type:</w:t>
            </w:r>
          </w:p>
        </w:tc>
        <w:tc>
          <w:tcPr>
            <w:tcW w:w="3905" w:type="pct"/>
            <w:gridSpan w:val="6"/>
            <w:tcBorders>
              <w:top w:val="single" w:sz="4" w:space="0" w:color="auto"/>
              <w:left w:val="single" w:sz="4" w:space="0" w:color="auto"/>
              <w:bottom w:val="single" w:sz="4" w:space="0" w:color="auto"/>
              <w:right w:val="single" w:sz="4" w:space="0" w:color="auto"/>
            </w:tcBorders>
          </w:tcPr>
          <w:p w:rsidR="00826F6D" w:rsidRPr="006B1802" w:rsidRDefault="00826F6D" w:rsidP="00B93A10">
            <w:pPr>
              <w:spacing w:before="40" w:after="40"/>
              <w:rPr>
                <w:rFonts w:ascii="Arial Narrow" w:hAnsi="Arial Narrow" w:cs="Arial"/>
                <w:sz w:val="20"/>
                <w:szCs w:val="20"/>
              </w:rPr>
            </w:pPr>
            <w:r w:rsidRPr="006B1802">
              <w:rPr>
                <w:rFonts w:ascii="Arial Narrow" w:hAnsi="Arial Narrow" w:cs="Arial"/>
                <w:sz w:val="20"/>
                <w:szCs w:val="20"/>
              </w:rPr>
              <w:fldChar w:fldCharType="begin">
                <w:ffData>
                  <w:name w:val="Check1"/>
                  <w:enabled/>
                  <w:calcOnExit w:val="0"/>
                  <w:checkBox>
                    <w:sizeAuto/>
                    <w:default w:val="0"/>
                  </w:checkBox>
                </w:ffData>
              </w:fldChar>
            </w:r>
            <w:r w:rsidRPr="006B1802">
              <w:rPr>
                <w:rFonts w:ascii="Arial Narrow" w:hAnsi="Arial Narrow" w:cs="Arial"/>
                <w:sz w:val="20"/>
                <w:szCs w:val="20"/>
              </w:rPr>
              <w:instrText xml:space="preserve"> FORMCHECKBOX </w:instrText>
            </w:r>
            <w:r w:rsidR="00194BE9">
              <w:rPr>
                <w:rFonts w:ascii="Arial Narrow" w:hAnsi="Arial Narrow" w:cs="Arial"/>
                <w:sz w:val="20"/>
                <w:szCs w:val="20"/>
              </w:rPr>
            </w:r>
            <w:r w:rsidR="00194BE9">
              <w:rPr>
                <w:rFonts w:ascii="Arial Narrow" w:hAnsi="Arial Narrow" w:cs="Arial"/>
                <w:sz w:val="20"/>
                <w:szCs w:val="20"/>
              </w:rPr>
              <w:fldChar w:fldCharType="separate"/>
            </w:r>
            <w:r w:rsidRPr="006B1802">
              <w:rPr>
                <w:rFonts w:ascii="Arial Narrow" w:hAnsi="Arial Narrow" w:cs="Arial"/>
                <w:sz w:val="20"/>
                <w:szCs w:val="20"/>
              </w:rPr>
              <w:fldChar w:fldCharType="end"/>
            </w:r>
            <w:r w:rsidRPr="006B1802">
              <w:rPr>
                <w:rFonts w:ascii="Arial Narrow" w:hAnsi="Arial Narrow" w:cs="Arial"/>
                <w:sz w:val="20"/>
                <w:szCs w:val="20"/>
              </w:rPr>
              <w:t xml:space="preserve">Dental  </w:t>
            </w:r>
            <w:r w:rsidR="002302AA" w:rsidRPr="006B1802">
              <w:rPr>
                <w:rFonts w:ascii="Arial Narrow" w:hAnsi="Arial Narrow" w:cs="Arial"/>
                <w:sz w:val="20"/>
                <w:szCs w:val="20"/>
              </w:rPr>
              <w:fldChar w:fldCharType="begin">
                <w:ffData>
                  <w:name w:val=""/>
                  <w:enabled/>
                  <w:calcOnExit w:val="0"/>
                  <w:checkBox>
                    <w:sizeAuto/>
                    <w:default w:val="1"/>
                  </w:checkBox>
                </w:ffData>
              </w:fldChar>
            </w:r>
            <w:r w:rsidR="002302AA" w:rsidRPr="006B1802">
              <w:rPr>
                <w:rFonts w:ascii="Arial Narrow" w:hAnsi="Arial Narrow" w:cs="Arial"/>
                <w:sz w:val="20"/>
                <w:szCs w:val="20"/>
              </w:rPr>
              <w:instrText xml:space="preserve"> FORMCHECKBOX </w:instrText>
            </w:r>
            <w:r w:rsidR="00194BE9">
              <w:rPr>
                <w:rFonts w:ascii="Arial Narrow" w:hAnsi="Arial Narrow" w:cs="Arial"/>
                <w:sz w:val="20"/>
                <w:szCs w:val="20"/>
              </w:rPr>
            </w:r>
            <w:r w:rsidR="00194BE9">
              <w:rPr>
                <w:rFonts w:ascii="Arial Narrow" w:hAnsi="Arial Narrow" w:cs="Arial"/>
                <w:sz w:val="20"/>
                <w:szCs w:val="20"/>
              </w:rPr>
              <w:fldChar w:fldCharType="separate"/>
            </w:r>
            <w:r w:rsidR="002302AA" w:rsidRPr="006B1802">
              <w:rPr>
                <w:rFonts w:ascii="Arial Narrow" w:hAnsi="Arial Narrow" w:cs="Arial"/>
                <w:sz w:val="20"/>
                <w:szCs w:val="20"/>
              </w:rPr>
              <w:fldChar w:fldCharType="end"/>
            </w:r>
            <w:r w:rsidRPr="006B1802">
              <w:rPr>
                <w:rFonts w:ascii="Arial Narrow" w:hAnsi="Arial Narrow" w:cs="Arial"/>
                <w:sz w:val="20"/>
                <w:szCs w:val="20"/>
              </w:rPr>
              <w:t xml:space="preserve">Medical Practitioners  </w:t>
            </w:r>
            <w:r w:rsidRPr="006B1802">
              <w:rPr>
                <w:rFonts w:ascii="Arial Narrow" w:hAnsi="Arial Narrow" w:cs="Arial"/>
                <w:sz w:val="20"/>
                <w:szCs w:val="20"/>
              </w:rPr>
              <w:fldChar w:fldCharType="begin">
                <w:ffData>
                  <w:name w:val="Check3"/>
                  <w:enabled/>
                  <w:calcOnExit w:val="0"/>
                  <w:checkBox>
                    <w:sizeAuto/>
                    <w:default w:val="0"/>
                  </w:checkBox>
                </w:ffData>
              </w:fldChar>
            </w:r>
            <w:r w:rsidRPr="006B1802">
              <w:rPr>
                <w:rFonts w:ascii="Arial Narrow" w:hAnsi="Arial Narrow" w:cs="Arial"/>
                <w:sz w:val="20"/>
                <w:szCs w:val="20"/>
              </w:rPr>
              <w:instrText xml:space="preserve"> FORMCHECKBOX </w:instrText>
            </w:r>
            <w:r w:rsidR="00194BE9">
              <w:rPr>
                <w:rFonts w:ascii="Arial Narrow" w:hAnsi="Arial Narrow" w:cs="Arial"/>
                <w:sz w:val="20"/>
                <w:szCs w:val="20"/>
              </w:rPr>
            </w:r>
            <w:r w:rsidR="00194BE9">
              <w:rPr>
                <w:rFonts w:ascii="Arial Narrow" w:hAnsi="Arial Narrow" w:cs="Arial"/>
                <w:sz w:val="20"/>
                <w:szCs w:val="20"/>
              </w:rPr>
              <w:fldChar w:fldCharType="separate"/>
            </w:r>
            <w:r w:rsidRPr="006B1802">
              <w:rPr>
                <w:rFonts w:ascii="Arial Narrow" w:hAnsi="Arial Narrow" w:cs="Arial"/>
                <w:sz w:val="20"/>
                <w:szCs w:val="20"/>
              </w:rPr>
              <w:fldChar w:fldCharType="end"/>
            </w:r>
            <w:r w:rsidRPr="006B1802">
              <w:rPr>
                <w:rFonts w:ascii="Arial Narrow" w:hAnsi="Arial Narrow" w:cs="Arial"/>
                <w:sz w:val="20"/>
                <w:szCs w:val="20"/>
              </w:rPr>
              <w:t xml:space="preserve">Nurse practitioners  </w:t>
            </w:r>
            <w:r w:rsidRPr="006B1802">
              <w:rPr>
                <w:rFonts w:ascii="Arial Narrow" w:hAnsi="Arial Narrow" w:cs="Arial"/>
                <w:sz w:val="20"/>
                <w:szCs w:val="20"/>
              </w:rPr>
              <w:fldChar w:fldCharType="begin">
                <w:ffData>
                  <w:name w:val=""/>
                  <w:enabled/>
                  <w:calcOnExit w:val="0"/>
                  <w:checkBox>
                    <w:sizeAuto/>
                    <w:default w:val="0"/>
                  </w:checkBox>
                </w:ffData>
              </w:fldChar>
            </w:r>
            <w:r w:rsidRPr="006B1802">
              <w:rPr>
                <w:rFonts w:ascii="Arial Narrow" w:hAnsi="Arial Narrow" w:cs="Arial"/>
                <w:sz w:val="20"/>
                <w:szCs w:val="20"/>
              </w:rPr>
              <w:instrText xml:space="preserve"> FORMCHECKBOX </w:instrText>
            </w:r>
            <w:r w:rsidR="00194BE9">
              <w:rPr>
                <w:rFonts w:ascii="Arial Narrow" w:hAnsi="Arial Narrow" w:cs="Arial"/>
                <w:sz w:val="20"/>
                <w:szCs w:val="20"/>
              </w:rPr>
            </w:r>
            <w:r w:rsidR="00194BE9">
              <w:rPr>
                <w:rFonts w:ascii="Arial Narrow" w:hAnsi="Arial Narrow" w:cs="Arial"/>
                <w:sz w:val="20"/>
                <w:szCs w:val="20"/>
              </w:rPr>
              <w:fldChar w:fldCharType="separate"/>
            </w:r>
            <w:r w:rsidRPr="006B1802">
              <w:rPr>
                <w:rFonts w:ascii="Arial Narrow" w:hAnsi="Arial Narrow" w:cs="Arial"/>
                <w:sz w:val="20"/>
                <w:szCs w:val="20"/>
              </w:rPr>
              <w:fldChar w:fldCharType="end"/>
            </w:r>
            <w:r w:rsidRPr="006B1802">
              <w:rPr>
                <w:rFonts w:ascii="Arial Narrow" w:hAnsi="Arial Narrow" w:cs="Arial"/>
                <w:sz w:val="20"/>
                <w:szCs w:val="20"/>
              </w:rPr>
              <w:t>Optometrists</w:t>
            </w:r>
          </w:p>
          <w:p w:rsidR="00826F6D" w:rsidRPr="006B1802" w:rsidRDefault="00826F6D" w:rsidP="00B93A10">
            <w:pPr>
              <w:spacing w:before="40" w:after="40"/>
              <w:rPr>
                <w:rFonts w:ascii="Arial Narrow" w:hAnsi="Arial Narrow" w:cs="Arial"/>
                <w:sz w:val="20"/>
                <w:szCs w:val="20"/>
              </w:rPr>
            </w:pPr>
            <w:r w:rsidRPr="006B1802">
              <w:rPr>
                <w:rFonts w:ascii="Arial Narrow" w:hAnsi="Arial Narrow" w:cs="Arial"/>
                <w:sz w:val="20"/>
                <w:szCs w:val="20"/>
              </w:rPr>
              <w:fldChar w:fldCharType="begin">
                <w:ffData>
                  <w:name w:val="Check5"/>
                  <w:enabled/>
                  <w:calcOnExit w:val="0"/>
                  <w:checkBox>
                    <w:sizeAuto/>
                    <w:default w:val="0"/>
                  </w:checkBox>
                </w:ffData>
              </w:fldChar>
            </w:r>
            <w:r w:rsidRPr="006B1802">
              <w:rPr>
                <w:rFonts w:ascii="Arial Narrow" w:hAnsi="Arial Narrow" w:cs="Arial"/>
                <w:sz w:val="20"/>
                <w:szCs w:val="20"/>
              </w:rPr>
              <w:instrText xml:space="preserve"> FORMCHECKBOX </w:instrText>
            </w:r>
            <w:r w:rsidR="00194BE9">
              <w:rPr>
                <w:rFonts w:ascii="Arial Narrow" w:hAnsi="Arial Narrow" w:cs="Arial"/>
                <w:sz w:val="20"/>
                <w:szCs w:val="20"/>
              </w:rPr>
            </w:r>
            <w:r w:rsidR="00194BE9">
              <w:rPr>
                <w:rFonts w:ascii="Arial Narrow" w:hAnsi="Arial Narrow" w:cs="Arial"/>
                <w:sz w:val="20"/>
                <w:szCs w:val="20"/>
              </w:rPr>
              <w:fldChar w:fldCharType="separate"/>
            </w:r>
            <w:r w:rsidRPr="006B1802">
              <w:rPr>
                <w:rFonts w:ascii="Arial Narrow" w:hAnsi="Arial Narrow" w:cs="Arial"/>
                <w:sz w:val="20"/>
                <w:szCs w:val="20"/>
              </w:rPr>
              <w:fldChar w:fldCharType="end"/>
            </w:r>
            <w:r w:rsidRPr="006B1802">
              <w:rPr>
                <w:rFonts w:ascii="Arial Narrow" w:hAnsi="Arial Narrow" w:cs="Arial"/>
                <w:sz w:val="20"/>
                <w:szCs w:val="20"/>
              </w:rPr>
              <w:t>Midwives</w:t>
            </w:r>
          </w:p>
        </w:tc>
      </w:tr>
      <w:tr w:rsidR="002302AA" w:rsidRPr="006B1802" w:rsidTr="002302AA">
        <w:trPr>
          <w:gridAfter w:val="1"/>
          <w:wAfter w:w="7"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2302AA" w:rsidRPr="006B1802" w:rsidRDefault="002302AA" w:rsidP="00B93A10">
            <w:pPr>
              <w:spacing w:before="40" w:after="40"/>
              <w:jc w:val="both"/>
              <w:rPr>
                <w:rFonts w:ascii="Arial Narrow" w:hAnsi="Arial Narrow" w:cs="Arial"/>
                <w:b/>
                <w:sz w:val="20"/>
                <w:szCs w:val="20"/>
              </w:rPr>
            </w:pPr>
            <w:r w:rsidRPr="006B1802">
              <w:rPr>
                <w:rFonts w:ascii="Arial Narrow" w:hAnsi="Arial Narrow" w:cs="Arial"/>
                <w:b/>
                <w:sz w:val="20"/>
                <w:szCs w:val="20"/>
              </w:rPr>
              <w:t>Episodicity:</w:t>
            </w:r>
          </w:p>
        </w:tc>
        <w:tc>
          <w:tcPr>
            <w:tcW w:w="3905" w:type="pct"/>
            <w:gridSpan w:val="6"/>
            <w:tcBorders>
              <w:top w:val="single" w:sz="4" w:space="0" w:color="auto"/>
              <w:left w:val="single" w:sz="4" w:space="0" w:color="auto"/>
              <w:bottom w:val="single" w:sz="4" w:space="0" w:color="auto"/>
              <w:right w:val="single" w:sz="4" w:space="0" w:color="auto"/>
            </w:tcBorders>
          </w:tcPr>
          <w:p w:rsidR="002302AA" w:rsidRPr="006B1802" w:rsidRDefault="002302AA" w:rsidP="00B93A10">
            <w:pPr>
              <w:spacing w:before="40" w:after="40"/>
            </w:pPr>
            <w:r w:rsidRPr="006B1802">
              <w:rPr>
                <w:rFonts w:ascii="Arial Narrow" w:hAnsi="Arial Narrow" w:cs="Arial"/>
                <w:sz w:val="20"/>
                <w:szCs w:val="20"/>
              </w:rPr>
              <w:t>Chronic</w:t>
            </w:r>
          </w:p>
        </w:tc>
      </w:tr>
      <w:tr w:rsidR="002302AA" w:rsidRPr="006B1802" w:rsidTr="002302AA">
        <w:trPr>
          <w:gridAfter w:val="1"/>
          <w:wAfter w:w="7"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2302AA" w:rsidRPr="006B1802" w:rsidRDefault="002302AA" w:rsidP="00B93A10">
            <w:pPr>
              <w:spacing w:before="40" w:after="40"/>
              <w:jc w:val="both"/>
              <w:rPr>
                <w:rFonts w:ascii="Arial Narrow" w:hAnsi="Arial Narrow" w:cs="Arial"/>
                <w:b/>
                <w:sz w:val="20"/>
                <w:szCs w:val="20"/>
              </w:rPr>
            </w:pPr>
            <w:r w:rsidRPr="006B1802">
              <w:rPr>
                <w:rFonts w:ascii="Arial Narrow" w:hAnsi="Arial Narrow" w:cs="Arial"/>
                <w:b/>
                <w:sz w:val="20"/>
                <w:szCs w:val="20"/>
              </w:rPr>
              <w:t>Severity:</w:t>
            </w:r>
          </w:p>
        </w:tc>
        <w:tc>
          <w:tcPr>
            <w:tcW w:w="3905" w:type="pct"/>
            <w:gridSpan w:val="6"/>
            <w:tcBorders>
              <w:top w:val="single" w:sz="4" w:space="0" w:color="auto"/>
              <w:left w:val="single" w:sz="4" w:space="0" w:color="auto"/>
              <w:bottom w:val="single" w:sz="4" w:space="0" w:color="auto"/>
              <w:right w:val="single" w:sz="4" w:space="0" w:color="auto"/>
            </w:tcBorders>
          </w:tcPr>
          <w:p w:rsidR="002302AA" w:rsidRPr="006B1802" w:rsidRDefault="00BB51E5" w:rsidP="00B93A10">
            <w:pPr>
              <w:spacing w:before="40" w:after="40"/>
              <w:rPr>
                <w:rFonts w:ascii="Arial Narrow" w:hAnsi="Arial Narrow" w:cs="Arial"/>
                <w:sz w:val="20"/>
                <w:szCs w:val="20"/>
              </w:rPr>
            </w:pPr>
            <w:r w:rsidRPr="006B1802">
              <w:rPr>
                <w:rFonts w:ascii="Arial Narrow" w:hAnsi="Arial Narrow" w:cs="Arial"/>
                <w:sz w:val="20"/>
                <w:szCs w:val="20"/>
              </w:rPr>
              <w:t>N/A</w:t>
            </w:r>
          </w:p>
        </w:tc>
      </w:tr>
      <w:tr w:rsidR="002302AA" w:rsidRPr="006B1802" w:rsidTr="002302AA">
        <w:trPr>
          <w:gridAfter w:val="1"/>
          <w:wAfter w:w="7"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2302AA" w:rsidRPr="006B1802" w:rsidRDefault="002302AA" w:rsidP="00B93A10">
            <w:pPr>
              <w:spacing w:before="40" w:after="40"/>
              <w:jc w:val="both"/>
              <w:rPr>
                <w:rFonts w:ascii="Arial Narrow" w:hAnsi="Arial Narrow" w:cs="Arial"/>
                <w:b/>
                <w:sz w:val="20"/>
                <w:szCs w:val="20"/>
              </w:rPr>
            </w:pPr>
            <w:r w:rsidRPr="006B1802">
              <w:rPr>
                <w:rFonts w:ascii="Arial Narrow" w:hAnsi="Arial Narrow" w:cs="Arial"/>
                <w:b/>
                <w:sz w:val="20"/>
                <w:szCs w:val="20"/>
              </w:rPr>
              <w:lastRenderedPageBreak/>
              <w:t>Condition:</w:t>
            </w:r>
          </w:p>
        </w:tc>
        <w:tc>
          <w:tcPr>
            <w:tcW w:w="3905" w:type="pct"/>
            <w:gridSpan w:val="6"/>
            <w:tcBorders>
              <w:top w:val="single" w:sz="4" w:space="0" w:color="auto"/>
              <w:left w:val="single" w:sz="4" w:space="0" w:color="auto"/>
              <w:bottom w:val="single" w:sz="4" w:space="0" w:color="auto"/>
              <w:right w:val="single" w:sz="4" w:space="0" w:color="auto"/>
            </w:tcBorders>
          </w:tcPr>
          <w:p w:rsidR="002302AA" w:rsidRPr="006B1802" w:rsidRDefault="002302AA" w:rsidP="00B93A10">
            <w:pPr>
              <w:spacing w:before="40" w:after="40"/>
              <w:rPr>
                <w:rFonts w:ascii="Arial Narrow" w:hAnsi="Arial Narrow" w:cs="Arial"/>
                <w:sz w:val="20"/>
                <w:szCs w:val="20"/>
              </w:rPr>
            </w:pPr>
            <w:r w:rsidRPr="006B1802">
              <w:rPr>
                <w:rFonts w:ascii="Arial Narrow" w:hAnsi="Arial Narrow" w:cs="Arial"/>
                <w:sz w:val="20"/>
                <w:szCs w:val="20"/>
              </w:rPr>
              <w:t>Autosomal dominant polycystic kidney disease (ADPKD)</w:t>
            </w:r>
          </w:p>
        </w:tc>
      </w:tr>
      <w:tr w:rsidR="002302AA" w:rsidRPr="006B1802" w:rsidTr="002302AA">
        <w:trPr>
          <w:gridAfter w:val="1"/>
          <w:wAfter w:w="7"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2302AA" w:rsidRPr="006B1802" w:rsidRDefault="002302AA" w:rsidP="00B93A10">
            <w:pPr>
              <w:spacing w:before="40" w:after="40"/>
              <w:jc w:val="both"/>
              <w:rPr>
                <w:rFonts w:ascii="Arial Narrow" w:hAnsi="Arial Narrow" w:cs="Arial"/>
                <w:b/>
                <w:sz w:val="20"/>
                <w:szCs w:val="20"/>
              </w:rPr>
            </w:pPr>
            <w:r w:rsidRPr="006B1802">
              <w:rPr>
                <w:rFonts w:ascii="Arial Narrow" w:hAnsi="Arial Narrow" w:cs="Arial"/>
                <w:b/>
                <w:sz w:val="20"/>
                <w:szCs w:val="20"/>
              </w:rPr>
              <w:t>PBS Indication:</w:t>
            </w:r>
          </w:p>
        </w:tc>
        <w:tc>
          <w:tcPr>
            <w:tcW w:w="3905" w:type="pct"/>
            <w:gridSpan w:val="6"/>
            <w:tcBorders>
              <w:top w:val="single" w:sz="4" w:space="0" w:color="auto"/>
              <w:left w:val="single" w:sz="4" w:space="0" w:color="auto"/>
              <w:bottom w:val="single" w:sz="4" w:space="0" w:color="auto"/>
              <w:right w:val="single" w:sz="4" w:space="0" w:color="auto"/>
            </w:tcBorders>
          </w:tcPr>
          <w:p w:rsidR="002302AA" w:rsidRPr="006B1802" w:rsidRDefault="002302AA" w:rsidP="00B93A10">
            <w:pPr>
              <w:spacing w:before="40" w:after="40"/>
              <w:rPr>
                <w:rFonts w:ascii="Arial Narrow" w:hAnsi="Arial Narrow" w:cs="Arial"/>
                <w:sz w:val="20"/>
                <w:szCs w:val="20"/>
              </w:rPr>
            </w:pPr>
            <w:r w:rsidRPr="006B1802">
              <w:rPr>
                <w:rFonts w:ascii="Arial Narrow" w:hAnsi="Arial Narrow" w:cs="Arial"/>
                <w:sz w:val="20"/>
                <w:szCs w:val="20"/>
              </w:rPr>
              <w:t>Autosomal dominant polycystic kidney disease (ADPKD)</w:t>
            </w:r>
          </w:p>
        </w:tc>
      </w:tr>
      <w:tr w:rsidR="002302AA" w:rsidRPr="006B1802" w:rsidTr="002302AA">
        <w:trPr>
          <w:gridAfter w:val="1"/>
          <w:wAfter w:w="7"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2302AA" w:rsidRPr="006B1802" w:rsidRDefault="002302AA" w:rsidP="00B93A10">
            <w:pPr>
              <w:spacing w:before="40" w:after="40"/>
              <w:jc w:val="both"/>
              <w:rPr>
                <w:rFonts w:ascii="Arial Narrow" w:hAnsi="Arial Narrow" w:cs="Arial"/>
                <w:b/>
                <w:sz w:val="20"/>
                <w:szCs w:val="20"/>
              </w:rPr>
            </w:pPr>
            <w:r w:rsidRPr="006B1802">
              <w:rPr>
                <w:rFonts w:ascii="Arial Narrow" w:hAnsi="Arial Narrow" w:cs="Arial"/>
                <w:b/>
                <w:sz w:val="20"/>
                <w:szCs w:val="20"/>
              </w:rPr>
              <w:t>Treatment phase:</w:t>
            </w:r>
          </w:p>
          <w:p w:rsidR="002302AA" w:rsidRPr="006B1802" w:rsidRDefault="002302AA" w:rsidP="00B93A10">
            <w:pPr>
              <w:spacing w:before="40" w:after="40"/>
              <w:jc w:val="both"/>
              <w:rPr>
                <w:rFonts w:ascii="Arial Narrow" w:hAnsi="Arial Narrow" w:cs="Arial"/>
                <w:i/>
                <w:sz w:val="20"/>
                <w:szCs w:val="20"/>
              </w:rPr>
            </w:pPr>
          </w:p>
        </w:tc>
        <w:tc>
          <w:tcPr>
            <w:tcW w:w="3905" w:type="pct"/>
            <w:gridSpan w:val="6"/>
            <w:tcBorders>
              <w:top w:val="single" w:sz="4" w:space="0" w:color="auto"/>
              <w:left w:val="single" w:sz="4" w:space="0" w:color="auto"/>
              <w:bottom w:val="single" w:sz="4" w:space="0" w:color="auto"/>
              <w:right w:val="single" w:sz="4" w:space="0" w:color="auto"/>
            </w:tcBorders>
          </w:tcPr>
          <w:p w:rsidR="002302AA" w:rsidRPr="006B1802" w:rsidRDefault="002302AA" w:rsidP="00B93A10">
            <w:pPr>
              <w:spacing w:before="40" w:after="40"/>
              <w:rPr>
                <w:rFonts w:ascii="Arial Narrow" w:hAnsi="Arial Narrow" w:cs="Arial"/>
                <w:sz w:val="20"/>
                <w:szCs w:val="20"/>
              </w:rPr>
            </w:pPr>
            <w:r w:rsidRPr="006B1802">
              <w:rPr>
                <w:rFonts w:ascii="Arial Narrow" w:hAnsi="Arial Narrow" w:cs="Arial"/>
                <w:sz w:val="20"/>
                <w:szCs w:val="20"/>
              </w:rPr>
              <w:t>Initial</w:t>
            </w:r>
          </w:p>
        </w:tc>
      </w:tr>
      <w:tr w:rsidR="00826F6D" w:rsidRPr="006B1802" w:rsidTr="002302AA">
        <w:trPr>
          <w:gridAfter w:val="1"/>
          <w:wAfter w:w="7"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826F6D" w:rsidRPr="006B1802" w:rsidRDefault="00826F6D" w:rsidP="00B93A10">
            <w:pPr>
              <w:spacing w:before="40" w:after="40"/>
              <w:jc w:val="both"/>
              <w:rPr>
                <w:rFonts w:ascii="Arial Narrow" w:hAnsi="Arial Narrow" w:cs="Arial"/>
                <w:b/>
                <w:sz w:val="20"/>
                <w:szCs w:val="20"/>
              </w:rPr>
            </w:pPr>
            <w:r w:rsidRPr="006B1802">
              <w:rPr>
                <w:rFonts w:ascii="Arial Narrow" w:hAnsi="Arial Narrow" w:cs="Arial"/>
                <w:b/>
                <w:sz w:val="20"/>
                <w:szCs w:val="20"/>
              </w:rPr>
              <w:t>Restriction Level / Method:</w:t>
            </w:r>
          </w:p>
          <w:p w:rsidR="00826F6D" w:rsidRPr="006B1802" w:rsidRDefault="00826F6D" w:rsidP="00B93A10">
            <w:pPr>
              <w:spacing w:before="40" w:after="40"/>
              <w:rPr>
                <w:rFonts w:ascii="Arial Narrow" w:hAnsi="Arial Narrow" w:cs="Arial"/>
                <w:sz w:val="20"/>
                <w:szCs w:val="20"/>
              </w:rPr>
            </w:pPr>
          </w:p>
        </w:tc>
        <w:tc>
          <w:tcPr>
            <w:tcW w:w="3905" w:type="pct"/>
            <w:gridSpan w:val="6"/>
            <w:tcBorders>
              <w:top w:val="single" w:sz="4" w:space="0" w:color="auto"/>
              <w:left w:val="single" w:sz="4" w:space="0" w:color="auto"/>
              <w:bottom w:val="single" w:sz="4" w:space="0" w:color="auto"/>
              <w:right w:val="single" w:sz="4" w:space="0" w:color="auto"/>
            </w:tcBorders>
          </w:tcPr>
          <w:p w:rsidR="00826F6D" w:rsidRPr="006B1802" w:rsidRDefault="00A445C2" w:rsidP="00B93A10">
            <w:pPr>
              <w:spacing w:before="40" w:after="40"/>
              <w:rPr>
                <w:rFonts w:ascii="Arial Narrow" w:hAnsi="Arial Narrow" w:cs="Arial"/>
                <w:sz w:val="20"/>
                <w:szCs w:val="20"/>
              </w:rPr>
            </w:pPr>
            <w:r w:rsidRPr="006B1802">
              <w:rPr>
                <w:rFonts w:ascii="Arial Narrow" w:hAnsi="Arial Narrow" w:cs="Arial"/>
                <w:sz w:val="20"/>
                <w:szCs w:val="20"/>
              </w:rPr>
              <w:fldChar w:fldCharType="begin">
                <w:ffData>
                  <w:name w:val="Check1"/>
                  <w:enabled/>
                  <w:calcOnExit w:val="0"/>
                  <w:checkBox>
                    <w:sizeAuto/>
                    <w:default w:val="0"/>
                  </w:checkBox>
                </w:ffData>
              </w:fldChar>
            </w:r>
            <w:bookmarkStart w:id="2" w:name="Check1"/>
            <w:r w:rsidRPr="006B1802">
              <w:rPr>
                <w:rFonts w:ascii="Arial Narrow" w:hAnsi="Arial Narrow" w:cs="Arial"/>
                <w:sz w:val="20"/>
                <w:szCs w:val="20"/>
              </w:rPr>
              <w:instrText xml:space="preserve"> FORMCHECKBOX </w:instrText>
            </w:r>
            <w:r w:rsidR="00194BE9">
              <w:rPr>
                <w:rFonts w:ascii="Arial Narrow" w:hAnsi="Arial Narrow" w:cs="Arial"/>
                <w:sz w:val="20"/>
                <w:szCs w:val="20"/>
              </w:rPr>
            </w:r>
            <w:r w:rsidR="00194BE9">
              <w:rPr>
                <w:rFonts w:ascii="Arial Narrow" w:hAnsi="Arial Narrow" w:cs="Arial"/>
                <w:sz w:val="20"/>
                <w:szCs w:val="20"/>
              </w:rPr>
              <w:fldChar w:fldCharType="separate"/>
            </w:r>
            <w:r w:rsidRPr="006B1802">
              <w:rPr>
                <w:rFonts w:ascii="Arial Narrow" w:hAnsi="Arial Narrow" w:cs="Arial"/>
                <w:sz w:val="20"/>
                <w:szCs w:val="20"/>
              </w:rPr>
              <w:fldChar w:fldCharType="end"/>
            </w:r>
            <w:bookmarkEnd w:id="2"/>
            <w:r w:rsidR="00826F6D" w:rsidRPr="006B1802">
              <w:rPr>
                <w:rFonts w:ascii="Arial Narrow" w:hAnsi="Arial Narrow" w:cs="Arial"/>
                <w:sz w:val="20"/>
                <w:szCs w:val="20"/>
              </w:rPr>
              <w:t>Restricted benefit</w:t>
            </w:r>
          </w:p>
          <w:p w:rsidR="00826F6D" w:rsidRPr="006B1802" w:rsidRDefault="002302AA" w:rsidP="00B93A10">
            <w:pPr>
              <w:spacing w:before="40" w:after="40"/>
              <w:rPr>
                <w:rFonts w:ascii="Arial Narrow" w:hAnsi="Arial Narrow" w:cs="Arial"/>
                <w:sz w:val="20"/>
                <w:szCs w:val="20"/>
              </w:rPr>
            </w:pPr>
            <w:r w:rsidRPr="006B1802">
              <w:rPr>
                <w:rFonts w:ascii="Arial Narrow" w:hAnsi="Arial Narrow" w:cs="Arial"/>
                <w:sz w:val="20"/>
                <w:szCs w:val="20"/>
              </w:rPr>
              <w:fldChar w:fldCharType="begin">
                <w:ffData>
                  <w:name w:val=""/>
                  <w:enabled/>
                  <w:calcOnExit w:val="0"/>
                  <w:checkBox>
                    <w:sizeAuto/>
                    <w:default w:val="1"/>
                  </w:checkBox>
                </w:ffData>
              </w:fldChar>
            </w:r>
            <w:r w:rsidRPr="006B1802">
              <w:rPr>
                <w:rFonts w:ascii="Arial Narrow" w:hAnsi="Arial Narrow" w:cs="Arial"/>
                <w:sz w:val="20"/>
                <w:szCs w:val="20"/>
              </w:rPr>
              <w:instrText xml:space="preserve"> FORMCHECKBOX </w:instrText>
            </w:r>
            <w:r w:rsidR="00194BE9">
              <w:rPr>
                <w:rFonts w:ascii="Arial Narrow" w:hAnsi="Arial Narrow" w:cs="Arial"/>
                <w:sz w:val="20"/>
                <w:szCs w:val="20"/>
              </w:rPr>
            </w:r>
            <w:r w:rsidR="00194BE9">
              <w:rPr>
                <w:rFonts w:ascii="Arial Narrow" w:hAnsi="Arial Narrow" w:cs="Arial"/>
                <w:sz w:val="20"/>
                <w:szCs w:val="20"/>
              </w:rPr>
              <w:fldChar w:fldCharType="separate"/>
            </w:r>
            <w:r w:rsidRPr="006B1802">
              <w:rPr>
                <w:rFonts w:ascii="Arial Narrow" w:hAnsi="Arial Narrow" w:cs="Arial"/>
                <w:sz w:val="20"/>
                <w:szCs w:val="20"/>
              </w:rPr>
              <w:fldChar w:fldCharType="end"/>
            </w:r>
            <w:r w:rsidR="00826F6D" w:rsidRPr="006B1802">
              <w:rPr>
                <w:rFonts w:ascii="Arial Narrow" w:hAnsi="Arial Narrow" w:cs="Arial"/>
                <w:sz w:val="20"/>
                <w:szCs w:val="20"/>
              </w:rPr>
              <w:t>Authority Required - In Writing</w:t>
            </w:r>
          </w:p>
          <w:p w:rsidR="00826F6D" w:rsidRPr="006B1802" w:rsidRDefault="002302AA" w:rsidP="00B93A10">
            <w:pPr>
              <w:spacing w:before="40" w:after="40"/>
              <w:rPr>
                <w:rFonts w:ascii="Arial Narrow" w:hAnsi="Arial Narrow" w:cs="Arial"/>
                <w:sz w:val="20"/>
                <w:szCs w:val="20"/>
              </w:rPr>
            </w:pPr>
            <w:r w:rsidRPr="006B1802">
              <w:rPr>
                <w:rFonts w:ascii="Arial Narrow" w:hAnsi="Arial Narrow" w:cs="Arial"/>
                <w:sz w:val="20"/>
                <w:szCs w:val="20"/>
              </w:rPr>
              <w:fldChar w:fldCharType="begin">
                <w:ffData>
                  <w:name w:val="Check3"/>
                  <w:enabled/>
                  <w:calcOnExit w:val="0"/>
                  <w:checkBox>
                    <w:sizeAuto/>
                    <w:default w:val="1"/>
                  </w:checkBox>
                </w:ffData>
              </w:fldChar>
            </w:r>
            <w:bookmarkStart w:id="3" w:name="Check3"/>
            <w:r w:rsidRPr="006B1802">
              <w:rPr>
                <w:rFonts w:ascii="Arial Narrow" w:hAnsi="Arial Narrow" w:cs="Arial"/>
                <w:sz w:val="20"/>
                <w:szCs w:val="20"/>
              </w:rPr>
              <w:instrText xml:space="preserve"> FORMCHECKBOX </w:instrText>
            </w:r>
            <w:r w:rsidR="00194BE9">
              <w:rPr>
                <w:rFonts w:ascii="Arial Narrow" w:hAnsi="Arial Narrow" w:cs="Arial"/>
                <w:sz w:val="20"/>
                <w:szCs w:val="20"/>
              </w:rPr>
            </w:r>
            <w:r w:rsidR="00194BE9">
              <w:rPr>
                <w:rFonts w:ascii="Arial Narrow" w:hAnsi="Arial Narrow" w:cs="Arial"/>
                <w:sz w:val="20"/>
                <w:szCs w:val="20"/>
              </w:rPr>
              <w:fldChar w:fldCharType="separate"/>
            </w:r>
            <w:r w:rsidRPr="006B1802">
              <w:rPr>
                <w:rFonts w:ascii="Arial Narrow" w:hAnsi="Arial Narrow" w:cs="Arial"/>
                <w:sz w:val="20"/>
                <w:szCs w:val="20"/>
              </w:rPr>
              <w:fldChar w:fldCharType="end"/>
            </w:r>
            <w:bookmarkEnd w:id="3"/>
            <w:r w:rsidR="00826F6D" w:rsidRPr="006B1802">
              <w:rPr>
                <w:rFonts w:ascii="Arial Narrow" w:hAnsi="Arial Narrow" w:cs="Arial"/>
                <w:sz w:val="20"/>
                <w:szCs w:val="20"/>
              </w:rPr>
              <w:t>Authority Required - Telephone</w:t>
            </w:r>
          </w:p>
          <w:p w:rsidR="00826F6D" w:rsidRPr="006B1802" w:rsidRDefault="00826F6D" w:rsidP="00B93A10">
            <w:pPr>
              <w:spacing w:before="40" w:after="40"/>
              <w:rPr>
                <w:rFonts w:ascii="Arial Narrow" w:hAnsi="Arial Narrow" w:cs="Arial"/>
                <w:sz w:val="20"/>
                <w:szCs w:val="20"/>
              </w:rPr>
            </w:pPr>
            <w:r w:rsidRPr="006B1802">
              <w:rPr>
                <w:rFonts w:ascii="Arial Narrow" w:hAnsi="Arial Narrow" w:cs="Arial"/>
                <w:sz w:val="20"/>
                <w:szCs w:val="20"/>
              </w:rPr>
              <w:fldChar w:fldCharType="begin">
                <w:ffData>
                  <w:name w:val=""/>
                  <w:enabled/>
                  <w:calcOnExit w:val="0"/>
                  <w:checkBox>
                    <w:sizeAuto/>
                    <w:default w:val="0"/>
                  </w:checkBox>
                </w:ffData>
              </w:fldChar>
            </w:r>
            <w:r w:rsidRPr="006B1802">
              <w:rPr>
                <w:rFonts w:ascii="Arial Narrow" w:hAnsi="Arial Narrow" w:cs="Arial"/>
                <w:sz w:val="20"/>
                <w:szCs w:val="20"/>
              </w:rPr>
              <w:instrText xml:space="preserve"> FORMCHECKBOX </w:instrText>
            </w:r>
            <w:r w:rsidR="00194BE9">
              <w:rPr>
                <w:rFonts w:ascii="Arial Narrow" w:hAnsi="Arial Narrow" w:cs="Arial"/>
                <w:sz w:val="20"/>
                <w:szCs w:val="20"/>
              </w:rPr>
            </w:r>
            <w:r w:rsidR="00194BE9">
              <w:rPr>
                <w:rFonts w:ascii="Arial Narrow" w:hAnsi="Arial Narrow" w:cs="Arial"/>
                <w:sz w:val="20"/>
                <w:szCs w:val="20"/>
              </w:rPr>
              <w:fldChar w:fldCharType="separate"/>
            </w:r>
            <w:r w:rsidRPr="006B1802">
              <w:rPr>
                <w:rFonts w:ascii="Arial Narrow" w:hAnsi="Arial Narrow" w:cs="Arial"/>
                <w:sz w:val="20"/>
                <w:szCs w:val="20"/>
              </w:rPr>
              <w:fldChar w:fldCharType="end"/>
            </w:r>
            <w:r w:rsidRPr="006B1802">
              <w:rPr>
                <w:rFonts w:ascii="Arial Narrow" w:hAnsi="Arial Narrow" w:cs="Arial"/>
                <w:sz w:val="20"/>
                <w:szCs w:val="20"/>
              </w:rPr>
              <w:t>Authority Required – Emergency</w:t>
            </w:r>
          </w:p>
          <w:p w:rsidR="00826F6D" w:rsidRPr="006B1802" w:rsidRDefault="0001500E" w:rsidP="00B93A10">
            <w:pPr>
              <w:spacing w:before="40" w:after="40"/>
              <w:rPr>
                <w:rFonts w:ascii="Arial Narrow" w:hAnsi="Arial Narrow" w:cs="Arial"/>
                <w:sz w:val="20"/>
                <w:szCs w:val="20"/>
              </w:rPr>
            </w:pPr>
            <w:r w:rsidRPr="006B1802">
              <w:rPr>
                <w:rFonts w:ascii="Arial Narrow" w:hAnsi="Arial Narrow" w:cs="Arial"/>
                <w:sz w:val="20"/>
                <w:szCs w:val="20"/>
              </w:rPr>
              <w:fldChar w:fldCharType="begin">
                <w:ffData>
                  <w:name w:val="Check5"/>
                  <w:enabled/>
                  <w:calcOnExit w:val="0"/>
                  <w:checkBox>
                    <w:sizeAuto/>
                    <w:default w:val="1"/>
                  </w:checkBox>
                </w:ffData>
              </w:fldChar>
            </w:r>
            <w:bookmarkStart w:id="4" w:name="Check5"/>
            <w:r w:rsidRPr="006B1802">
              <w:rPr>
                <w:rFonts w:ascii="Arial Narrow" w:hAnsi="Arial Narrow" w:cs="Arial"/>
                <w:sz w:val="20"/>
                <w:szCs w:val="20"/>
              </w:rPr>
              <w:instrText xml:space="preserve"> FORMCHECKBOX </w:instrText>
            </w:r>
            <w:r w:rsidR="00194BE9">
              <w:rPr>
                <w:rFonts w:ascii="Arial Narrow" w:hAnsi="Arial Narrow" w:cs="Arial"/>
                <w:sz w:val="20"/>
                <w:szCs w:val="20"/>
              </w:rPr>
            </w:r>
            <w:r w:rsidR="00194BE9">
              <w:rPr>
                <w:rFonts w:ascii="Arial Narrow" w:hAnsi="Arial Narrow" w:cs="Arial"/>
                <w:sz w:val="20"/>
                <w:szCs w:val="20"/>
              </w:rPr>
              <w:fldChar w:fldCharType="separate"/>
            </w:r>
            <w:r w:rsidRPr="006B1802">
              <w:rPr>
                <w:rFonts w:ascii="Arial Narrow" w:hAnsi="Arial Narrow" w:cs="Arial"/>
                <w:sz w:val="20"/>
                <w:szCs w:val="20"/>
              </w:rPr>
              <w:fldChar w:fldCharType="end"/>
            </w:r>
            <w:bookmarkEnd w:id="4"/>
            <w:r w:rsidR="00826F6D" w:rsidRPr="006B1802">
              <w:rPr>
                <w:rFonts w:ascii="Arial Narrow" w:hAnsi="Arial Narrow" w:cs="Arial"/>
                <w:sz w:val="20"/>
                <w:szCs w:val="20"/>
              </w:rPr>
              <w:t>Authority Required - Electronic</w:t>
            </w:r>
          </w:p>
          <w:p w:rsidR="00826F6D" w:rsidRPr="006B1802" w:rsidRDefault="00826F6D" w:rsidP="00B93A10">
            <w:pPr>
              <w:spacing w:before="40" w:after="40"/>
              <w:rPr>
                <w:rFonts w:ascii="Arial Narrow" w:hAnsi="Arial Narrow" w:cs="Arial"/>
                <w:sz w:val="20"/>
                <w:szCs w:val="20"/>
              </w:rPr>
            </w:pPr>
            <w:r w:rsidRPr="006B1802">
              <w:rPr>
                <w:rFonts w:ascii="Arial Narrow" w:hAnsi="Arial Narrow" w:cs="Arial"/>
                <w:sz w:val="20"/>
                <w:szCs w:val="20"/>
              </w:rPr>
              <w:fldChar w:fldCharType="begin">
                <w:ffData>
                  <w:name w:val="Check5"/>
                  <w:enabled/>
                  <w:calcOnExit w:val="0"/>
                  <w:checkBox>
                    <w:sizeAuto/>
                    <w:default w:val="0"/>
                  </w:checkBox>
                </w:ffData>
              </w:fldChar>
            </w:r>
            <w:r w:rsidRPr="006B1802">
              <w:rPr>
                <w:rFonts w:ascii="Arial Narrow" w:hAnsi="Arial Narrow" w:cs="Arial"/>
                <w:sz w:val="20"/>
                <w:szCs w:val="20"/>
              </w:rPr>
              <w:instrText xml:space="preserve"> FORMCHECKBOX </w:instrText>
            </w:r>
            <w:r w:rsidR="00194BE9">
              <w:rPr>
                <w:rFonts w:ascii="Arial Narrow" w:hAnsi="Arial Narrow" w:cs="Arial"/>
                <w:sz w:val="20"/>
                <w:szCs w:val="20"/>
              </w:rPr>
            </w:r>
            <w:r w:rsidR="00194BE9">
              <w:rPr>
                <w:rFonts w:ascii="Arial Narrow" w:hAnsi="Arial Narrow" w:cs="Arial"/>
                <w:sz w:val="20"/>
                <w:szCs w:val="20"/>
              </w:rPr>
              <w:fldChar w:fldCharType="separate"/>
            </w:r>
            <w:r w:rsidRPr="006B1802">
              <w:rPr>
                <w:rFonts w:ascii="Arial Narrow" w:hAnsi="Arial Narrow" w:cs="Arial"/>
                <w:sz w:val="20"/>
                <w:szCs w:val="20"/>
              </w:rPr>
              <w:fldChar w:fldCharType="end"/>
            </w:r>
            <w:r w:rsidRPr="006B1802">
              <w:rPr>
                <w:rFonts w:ascii="Arial Narrow" w:hAnsi="Arial Narrow" w:cs="Arial"/>
                <w:sz w:val="20"/>
                <w:szCs w:val="20"/>
              </w:rPr>
              <w:t>Streamlined</w:t>
            </w:r>
          </w:p>
        </w:tc>
      </w:tr>
      <w:tr w:rsidR="00826F6D" w:rsidRPr="006B1802" w:rsidTr="002302AA">
        <w:trPr>
          <w:gridAfter w:val="1"/>
          <w:wAfter w:w="7"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826F6D" w:rsidRPr="006B1802" w:rsidRDefault="00826F6D" w:rsidP="00B93A10">
            <w:pPr>
              <w:spacing w:before="40" w:after="40"/>
              <w:rPr>
                <w:rFonts w:ascii="Arial Narrow" w:hAnsi="Arial Narrow" w:cs="Arial"/>
                <w:b/>
                <w:sz w:val="20"/>
                <w:szCs w:val="20"/>
              </w:rPr>
            </w:pPr>
            <w:r w:rsidRPr="006B1802">
              <w:rPr>
                <w:rFonts w:ascii="Arial Narrow" w:hAnsi="Arial Narrow" w:cs="Arial"/>
                <w:b/>
                <w:sz w:val="20"/>
                <w:szCs w:val="20"/>
              </w:rPr>
              <w:t>Treatment criteria:</w:t>
            </w:r>
          </w:p>
          <w:p w:rsidR="00826F6D" w:rsidRPr="006B1802" w:rsidRDefault="00826F6D" w:rsidP="00B93A10">
            <w:pPr>
              <w:spacing w:before="40" w:after="40"/>
              <w:rPr>
                <w:rFonts w:ascii="Arial Narrow" w:hAnsi="Arial Narrow" w:cs="Arial"/>
                <w:sz w:val="20"/>
                <w:szCs w:val="20"/>
              </w:rPr>
            </w:pPr>
          </w:p>
        </w:tc>
        <w:tc>
          <w:tcPr>
            <w:tcW w:w="3905" w:type="pct"/>
            <w:gridSpan w:val="6"/>
            <w:tcBorders>
              <w:top w:val="single" w:sz="4" w:space="0" w:color="auto"/>
              <w:left w:val="single" w:sz="4" w:space="0" w:color="auto"/>
              <w:bottom w:val="single" w:sz="4" w:space="0" w:color="auto"/>
              <w:right w:val="single" w:sz="4" w:space="0" w:color="auto"/>
            </w:tcBorders>
          </w:tcPr>
          <w:p w:rsidR="00826F6D" w:rsidRPr="006B1802" w:rsidRDefault="005549A7" w:rsidP="00B93A10">
            <w:pPr>
              <w:spacing w:before="40" w:after="40"/>
              <w:rPr>
                <w:rFonts w:ascii="Arial Narrow" w:hAnsi="Arial Narrow" w:cs="Arial"/>
                <w:sz w:val="20"/>
                <w:szCs w:val="20"/>
              </w:rPr>
            </w:pPr>
            <w:r w:rsidRPr="006B1802">
              <w:rPr>
                <w:rFonts w:ascii="Arial Narrow" w:hAnsi="Arial Narrow" w:cs="Arial"/>
                <w:sz w:val="20"/>
                <w:szCs w:val="20"/>
              </w:rPr>
              <w:t>Prescriber must be a specialist who has undergone tolvaptan prescriber training</w:t>
            </w:r>
          </w:p>
        </w:tc>
      </w:tr>
      <w:tr w:rsidR="00826F6D" w:rsidRPr="006B1802" w:rsidTr="002302AA">
        <w:trPr>
          <w:gridAfter w:val="1"/>
          <w:wAfter w:w="7"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826F6D" w:rsidRPr="006B1802" w:rsidRDefault="00826F6D" w:rsidP="00B93A10">
            <w:pPr>
              <w:spacing w:before="40" w:after="40"/>
              <w:jc w:val="both"/>
              <w:rPr>
                <w:rFonts w:ascii="Arial Narrow" w:hAnsi="Arial Narrow" w:cs="Arial"/>
                <w:b/>
                <w:sz w:val="20"/>
                <w:szCs w:val="20"/>
              </w:rPr>
            </w:pPr>
            <w:r w:rsidRPr="006B1802">
              <w:rPr>
                <w:rFonts w:ascii="Arial Narrow" w:hAnsi="Arial Narrow" w:cs="Arial"/>
                <w:b/>
                <w:sz w:val="20"/>
                <w:szCs w:val="20"/>
              </w:rPr>
              <w:t>Clinical criteria:</w:t>
            </w:r>
          </w:p>
          <w:p w:rsidR="00826F6D" w:rsidRPr="006B1802" w:rsidRDefault="00826F6D" w:rsidP="00B93A10">
            <w:pPr>
              <w:spacing w:before="40" w:after="40"/>
              <w:jc w:val="both"/>
              <w:rPr>
                <w:rFonts w:ascii="Arial Narrow" w:hAnsi="Arial Narrow" w:cs="Arial"/>
                <w:i/>
                <w:sz w:val="20"/>
                <w:szCs w:val="20"/>
              </w:rPr>
            </w:pPr>
          </w:p>
          <w:p w:rsidR="00826F6D" w:rsidRPr="006B1802" w:rsidRDefault="00826F6D" w:rsidP="00B93A10">
            <w:pPr>
              <w:spacing w:before="40" w:after="40"/>
              <w:jc w:val="both"/>
              <w:rPr>
                <w:rFonts w:ascii="Arial Narrow" w:hAnsi="Arial Narrow" w:cs="Arial"/>
                <w:sz w:val="20"/>
                <w:szCs w:val="20"/>
              </w:rPr>
            </w:pPr>
          </w:p>
        </w:tc>
        <w:tc>
          <w:tcPr>
            <w:tcW w:w="3905" w:type="pct"/>
            <w:gridSpan w:val="6"/>
            <w:tcBorders>
              <w:top w:val="single" w:sz="4" w:space="0" w:color="auto"/>
              <w:left w:val="single" w:sz="4" w:space="0" w:color="auto"/>
              <w:bottom w:val="single" w:sz="4" w:space="0" w:color="auto"/>
              <w:right w:val="single" w:sz="4" w:space="0" w:color="auto"/>
            </w:tcBorders>
          </w:tcPr>
          <w:p w:rsidR="005549A7" w:rsidRPr="006B1802" w:rsidRDefault="005549A7" w:rsidP="00B93A10">
            <w:pPr>
              <w:spacing w:before="40" w:after="40"/>
              <w:rPr>
                <w:rFonts w:ascii="Arial Narrow" w:hAnsi="Arial Narrow" w:cs="Arial"/>
                <w:sz w:val="20"/>
                <w:szCs w:val="20"/>
              </w:rPr>
            </w:pPr>
            <w:r w:rsidRPr="006B1802">
              <w:rPr>
                <w:rFonts w:ascii="Arial Narrow" w:hAnsi="Arial Narrow" w:cs="Arial"/>
                <w:sz w:val="20"/>
                <w:szCs w:val="20"/>
              </w:rPr>
              <w:t>The condition must be a confirmed diagnosis of ADPKD</w:t>
            </w:r>
          </w:p>
          <w:p w:rsidR="005549A7" w:rsidRPr="006B1802" w:rsidRDefault="005549A7" w:rsidP="00B93A10">
            <w:pPr>
              <w:spacing w:before="40" w:after="40"/>
              <w:rPr>
                <w:rFonts w:ascii="Arial Narrow" w:hAnsi="Arial Narrow" w:cs="Arial"/>
                <w:sz w:val="20"/>
                <w:szCs w:val="20"/>
              </w:rPr>
            </w:pPr>
            <w:r w:rsidRPr="006B1802">
              <w:rPr>
                <w:rFonts w:ascii="Arial Narrow" w:hAnsi="Arial Narrow" w:cs="Arial"/>
                <w:sz w:val="20"/>
                <w:szCs w:val="20"/>
              </w:rPr>
              <w:t xml:space="preserve">AND </w:t>
            </w:r>
          </w:p>
          <w:p w:rsidR="005549A7" w:rsidRPr="006B1802" w:rsidRDefault="005549A7" w:rsidP="00B93A10">
            <w:pPr>
              <w:spacing w:before="40" w:after="40"/>
              <w:rPr>
                <w:rFonts w:ascii="Arial Narrow" w:hAnsi="Arial Narrow" w:cs="Arial"/>
                <w:sz w:val="20"/>
                <w:szCs w:val="20"/>
              </w:rPr>
            </w:pPr>
            <w:r w:rsidRPr="006B1802">
              <w:rPr>
                <w:rFonts w:ascii="Arial Narrow" w:hAnsi="Arial Narrow" w:cs="Arial"/>
                <w:sz w:val="20"/>
                <w:szCs w:val="20"/>
              </w:rPr>
              <w:t>The patient must have an eGFR between 30 and 89 mL/min 1.73 m</w:t>
            </w:r>
            <w:r w:rsidRPr="006B1802">
              <w:rPr>
                <w:rFonts w:ascii="Arial Narrow" w:hAnsi="Arial Narrow" w:cs="Arial"/>
                <w:sz w:val="20"/>
                <w:szCs w:val="20"/>
                <w:vertAlign w:val="superscript"/>
              </w:rPr>
              <w:t>2</w:t>
            </w:r>
            <w:r w:rsidRPr="006B1802">
              <w:rPr>
                <w:rFonts w:ascii="Arial Narrow" w:hAnsi="Arial Narrow" w:cs="Arial"/>
                <w:sz w:val="20"/>
                <w:szCs w:val="20"/>
              </w:rPr>
              <w:t xml:space="preserve"> at the initiation of treatment.</w:t>
            </w:r>
          </w:p>
          <w:p w:rsidR="005549A7" w:rsidRPr="006B1802" w:rsidRDefault="005549A7" w:rsidP="00B93A10">
            <w:pPr>
              <w:spacing w:before="40" w:after="40"/>
              <w:rPr>
                <w:rFonts w:ascii="Arial Narrow" w:hAnsi="Arial Narrow" w:cs="Arial"/>
                <w:sz w:val="20"/>
                <w:szCs w:val="20"/>
              </w:rPr>
            </w:pPr>
            <w:r w:rsidRPr="006B1802">
              <w:rPr>
                <w:rFonts w:ascii="Arial Narrow" w:hAnsi="Arial Narrow" w:cs="Arial"/>
                <w:sz w:val="20"/>
                <w:szCs w:val="20"/>
              </w:rPr>
              <w:t>AND</w:t>
            </w:r>
          </w:p>
          <w:p w:rsidR="00826F6D" w:rsidRPr="006B1802" w:rsidRDefault="005549A7" w:rsidP="00B93A10">
            <w:pPr>
              <w:spacing w:before="40" w:after="40"/>
              <w:rPr>
                <w:rFonts w:ascii="Arial Narrow" w:hAnsi="Arial Narrow" w:cs="Arial"/>
                <w:sz w:val="20"/>
                <w:szCs w:val="20"/>
              </w:rPr>
            </w:pPr>
            <w:r w:rsidRPr="006B1802">
              <w:rPr>
                <w:rFonts w:ascii="Arial Narrow" w:hAnsi="Arial Narrow" w:cs="Arial"/>
                <w:sz w:val="20"/>
                <w:szCs w:val="20"/>
              </w:rPr>
              <w:t>The patient must have rapidly progressing disease.</w:t>
            </w:r>
          </w:p>
          <w:p w:rsidR="00826F6D" w:rsidRPr="006B1802" w:rsidRDefault="00826F6D" w:rsidP="00B93A10">
            <w:pPr>
              <w:spacing w:before="40" w:after="40"/>
              <w:jc w:val="both"/>
              <w:rPr>
                <w:rFonts w:ascii="Arial Narrow" w:hAnsi="Arial Narrow" w:cs="Arial"/>
                <w:sz w:val="20"/>
                <w:szCs w:val="20"/>
              </w:rPr>
            </w:pPr>
          </w:p>
        </w:tc>
      </w:tr>
      <w:tr w:rsidR="00826F6D" w:rsidRPr="006B1802" w:rsidTr="002302AA">
        <w:trPr>
          <w:gridAfter w:val="1"/>
          <w:wAfter w:w="7"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826F6D" w:rsidRPr="006B1802" w:rsidRDefault="00826F6D" w:rsidP="00B93A10">
            <w:pPr>
              <w:spacing w:before="40" w:after="40"/>
              <w:jc w:val="both"/>
              <w:rPr>
                <w:rFonts w:ascii="Arial Narrow" w:hAnsi="Arial Narrow" w:cs="Arial"/>
                <w:b/>
                <w:sz w:val="20"/>
                <w:szCs w:val="20"/>
              </w:rPr>
            </w:pPr>
            <w:r w:rsidRPr="006B1802">
              <w:rPr>
                <w:rFonts w:ascii="Arial Narrow" w:hAnsi="Arial Narrow" w:cs="Arial"/>
                <w:b/>
                <w:sz w:val="20"/>
                <w:szCs w:val="20"/>
              </w:rPr>
              <w:t>Population criteria:</w:t>
            </w:r>
          </w:p>
          <w:p w:rsidR="00826F6D" w:rsidRPr="006B1802" w:rsidRDefault="00826F6D" w:rsidP="00B93A10">
            <w:pPr>
              <w:spacing w:before="40" w:after="40"/>
              <w:jc w:val="both"/>
              <w:rPr>
                <w:rFonts w:ascii="Arial Narrow" w:hAnsi="Arial Narrow" w:cs="Arial"/>
                <w:i/>
                <w:sz w:val="20"/>
                <w:szCs w:val="20"/>
              </w:rPr>
            </w:pPr>
          </w:p>
          <w:p w:rsidR="00826F6D" w:rsidRPr="006B1802" w:rsidRDefault="00826F6D" w:rsidP="00B93A10">
            <w:pPr>
              <w:spacing w:before="40" w:after="40"/>
              <w:rPr>
                <w:rFonts w:ascii="Arial Narrow" w:hAnsi="Arial Narrow" w:cs="Arial"/>
                <w:sz w:val="20"/>
                <w:szCs w:val="20"/>
              </w:rPr>
            </w:pPr>
          </w:p>
        </w:tc>
        <w:tc>
          <w:tcPr>
            <w:tcW w:w="3905" w:type="pct"/>
            <w:gridSpan w:val="6"/>
            <w:tcBorders>
              <w:top w:val="single" w:sz="4" w:space="0" w:color="auto"/>
              <w:left w:val="single" w:sz="4" w:space="0" w:color="auto"/>
              <w:bottom w:val="single" w:sz="4" w:space="0" w:color="auto"/>
              <w:right w:val="single" w:sz="4" w:space="0" w:color="auto"/>
            </w:tcBorders>
          </w:tcPr>
          <w:p w:rsidR="00826F6D" w:rsidRPr="006B1802" w:rsidRDefault="005549A7" w:rsidP="00B93A10">
            <w:pPr>
              <w:spacing w:before="40" w:after="40"/>
              <w:rPr>
                <w:rFonts w:ascii="Arial Narrow" w:hAnsi="Arial Narrow" w:cs="Arial"/>
                <w:sz w:val="20"/>
                <w:szCs w:val="20"/>
              </w:rPr>
            </w:pPr>
            <w:r w:rsidRPr="006B1802">
              <w:rPr>
                <w:rFonts w:ascii="Arial Narrow" w:hAnsi="Arial Narrow" w:cs="Arial"/>
                <w:sz w:val="20"/>
                <w:szCs w:val="20"/>
              </w:rPr>
              <w:t>N/A</w:t>
            </w:r>
          </w:p>
        </w:tc>
      </w:tr>
      <w:tr w:rsidR="00826F6D" w:rsidRPr="006B1802" w:rsidTr="002302AA">
        <w:trPr>
          <w:gridAfter w:val="1"/>
          <w:wAfter w:w="7"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826F6D" w:rsidRPr="006B1802" w:rsidRDefault="00826F6D" w:rsidP="00B93A10">
            <w:pPr>
              <w:spacing w:before="40" w:after="40"/>
              <w:jc w:val="both"/>
              <w:rPr>
                <w:rFonts w:ascii="Arial Narrow" w:hAnsi="Arial Narrow" w:cs="Arial"/>
                <w:b/>
                <w:sz w:val="20"/>
                <w:szCs w:val="20"/>
              </w:rPr>
            </w:pPr>
            <w:r w:rsidRPr="006B1802">
              <w:rPr>
                <w:rFonts w:ascii="Arial Narrow" w:hAnsi="Arial Narrow" w:cs="Arial"/>
                <w:b/>
                <w:sz w:val="20"/>
                <w:szCs w:val="20"/>
              </w:rPr>
              <w:t>Foreword</w:t>
            </w:r>
          </w:p>
          <w:p w:rsidR="00826F6D" w:rsidRPr="006B1802" w:rsidRDefault="00826F6D" w:rsidP="00B93A10">
            <w:pPr>
              <w:spacing w:before="40" w:after="40"/>
              <w:jc w:val="both"/>
              <w:rPr>
                <w:rFonts w:ascii="Arial Narrow" w:hAnsi="Arial Narrow" w:cs="Arial"/>
                <w:sz w:val="20"/>
                <w:szCs w:val="20"/>
              </w:rPr>
            </w:pPr>
          </w:p>
        </w:tc>
        <w:tc>
          <w:tcPr>
            <w:tcW w:w="3905" w:type="pct"/>
            <w:gridSpan w:val="6"/>
            <w:tcBorders>
              <w:top w:val="single" w:sz="4" w:space="0" w:color="auto"/>
              <w:left w:val="single" w:sz="4" w:space="0" w:color="auto"/>
              <w:bottom w:val="single" w:sz="4" w:space="0" w:color="auto"/>
              <w:right w:val="single" w:sz="4" w:space="0" w:color="auto"/>
            </w:tcBorders>
          </w:tcPr>
          <w:p w:rsidR="00826F6D" w:rsidRPr="006B1802" w:rsidRDefault="005549A7" w:rsidP="00B93A10">
            <w:pPr>
              <w:spacing w:before="40" w:after="40"/>
              <w:rPr>
                <w:rFonts w:ascii="Arial Narrow" w:hAnsi="Arial Narrow" w:cs="Arial"/>
                <w:sz w:val="20"/>
                <w:szCs w:val="20"/>
              </w:rPr>
            </w:pPr>
            <w:r w:rsidRPr="006B1802">
              <w:rPr>
                <w:rFonts w:ascii="Arial Narrow" w:hAnsi="Arial Narrow" w:cs="Arial"/>
                <w:sz w:val="20"/>
                <w:szCs w:val="20"/>
              </w:rPr>
              <w:t>N/A</w:t>
            </w:r>
          </w:p>
        </w:tc>
      </w:tr>
      <w:tr w:rsidR="00826F6D" w:rsidRPr="006B1802" w:rsidTr="002302AA">
        <w:trPr>
          <w:gridAfter w:val="1"/>
          <w:wAfter w:w="7"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826F6D" w:rsidRPr="006B1802" w:rsidRDefault="00826F6D" w:rsidP="00B93A10">
            <w:pPr>
              <w:spacing w:before="40" w:after="40"/>
              <w:jc w:val="both"/>
              <w:rPr>
                <w:rFonts w:ascii="Arial Narrow" w:hAnsi="Arial Narrow" w:cs="Arial"/>
                <w:b/>
                <w:sz w:val="20"/>
                <w:szCs w:val="20"/>
              </w:rPr>
            </w:pPr>
            <w:r w:rsidRPr="006B1802">
              <w:rPr>
                <w:rFonts w:ascii="Arial Narrow" w:hAnsi="Arial Narrow" w:cs="Arial"/>
                <w:b/>
                <w:sz w:val="20"/>
                <w:szCs w:val="20"/>
              </w:rPr>
              <w:t>Definitions</w:t>
            </w:r>
          </w:p>
          <w:p w:rsidR="00826F6D" w:rsidRPr="006B1802" w:rsidRDefault="00826F6D" w:rsidP="00B93A10">
            <w:pPr>
              <w:spacing w:before="40" w:after="40"/>
              <w:jc w:val="both"/>
              <w:rPr>
                <w:rFonts w:ascii="Arial Narrow" w:hAnsi="Arial Narrow" w:cs="Arial"/>
                <w:sz w:val="20"/>
                <w:szCs w:val="20"/>
              </w:rPr>
            </w:pPr>
          </w:p>
        </w:tc>
        <w:tc>
          <w:tcPr>
            <w:tcW w:w="3905" w:type="pct"/>
            <w:gridSpan w:val="6"/>
            <w:tcBorders>
              <w:top w:val="single" w:sz="4" w:space="0" w:color="auto"/>
              <w:left w:val="single" w:sz="4" w:space="0" w:color="auto"/>
              <w:bottom w:val="single" w:sz="4" w:space="0" w:color="auto"/>
              <w:right w:val="single" w:sz="4" w:space="0" w:color="auto"/>
            </w:tcBorders>
          </w:tcPr>
          <w:p w:rsidR="005549A7" w:rsidRPr="006B1802" w:rsidRDefault="005549A7" w:rsidP="00B93A10">
            <w:pPr>
              <w:spacing w:before="40" w:after="40"/>
              <w:rPr>
                <w:rFonts w:ascii="Arial Narrow" w:hAnsi="Arial Narrow" w:cs="Arial"/>
                <w:sz w:val="20"/>
                <w:szCs w:val="20"/>
              </w:rPr>
            </w:pPr>
            <w:r w:rsidRPr="006B1802">
              <w:rPr>
                <w:rFonts w:ascii="Arial Narrow" w:hAnsi="Arial Narrow" w:cs="Arial"/>
                <w:sz w:val="20"/>
                <w:szCs w:val="20"/>
              </w:rPr>
              <w:t>Rapidly progressing disease is defined as either of the following conditions:</w:t>
            </w:r>
          </w:p>
          <w:p w:rsidR="00826F6D" w:rsidRPr="006B1802" w:rsidRDefault="005549A7" w:rsidP="00B93A10">
            <w:pPr>
              <w:spacing w:before="40" w:after="40"/>
              <w:rPr>
                <w:rFonts w:ascii="Arial Narrow" w:hAnsi="Arial Narrow" w:cs="Arial"/>
                <w:sz w:val="20"/>
                <w:szCs w:val="20"/>
              </w:rPr>
            </w:pPr>
            <w:r w:rsidRPr="006B1802">
              <w:rPr>
                <w:rFonts w:ascii="Arial Narrow" w:hAnsi="Arial Narrow" w:cs="Arial"/>
                <w:sz w:val="20"/>
                <w:szCs w:val="20"/>
              </w:rPr>
              <w:t>A decline in eGFR ≥5 mL/min/1.73 m</w:t>
            </w:r>
            <w:r w:rsidRPr="006B1802">
              <w:rPr>
                <w:rFonts w:ascii="Arial Narrow" w:hAnsi="Arial Narrow" w:cs="Arial"/>
                <w:sz w:val="20"/>
                <w:szCs w:val="20"/>
                <w:vertAlign w:val="superscript"/>
              </w:rPr>
              <w:t>2</w:t>
            </w:r>
            <w:r w:rsidRPr="006B1802">
              <w:rPr>
                <w:rFonts w:ascii="Arial Narrow" w:hAnsi="Arial Narrow" w:cs="Arial"/>
                <w:sz w:val="20"/>
                <w:szCs w:val="20"/>
              </w:rPr>
              <w:t xml:space="preserve"> within one year OR an average decline in eGFR ≥2.5 mL/min/1.73 m</w:t>
            </w:r>
            <w:r w:rsidRPr="006B1802">
              <w:rPr>
                <w:rFonts w:ascii="Arial Narrow" w:hAnsi="Arial Narrow" w:cs="Arial"/>
                <w:sz w:val="20"/>
                <w:szCs w:val="20"/>
                <w:vertAlign w:val="superscript"/>
              </w:rPr>
              <w:t>2</w:t>
            </w:r>
            <w:r w:rsidRPr="006B1802">
              <w:rPr>
                <w:rFonts w:ascii="Arial Narrow" w:hAnsi="Arial Narrow" w:cs="Arial"/>
                <w:sz w:val="20"/>
                <w:szCs w:val="20"/>
              </w:rPr>
              <w:t xml:space="preserve"> per year over a five year period</w:t>
            </w:r>
          </w:p>
        </w:tc>
      </w:tr>
      <w:tr w:rsidR="00826F6D" w:rsidRPr="006B1802" w:rsidTr="002302AA">
        <w:trPr>
          <w:gridAfter w:val="1"/>
          <w:wAfter w:w="7"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826F6D" w:rsidRPr="006B1802" w:rsidRDefault="00826F6D" w:rsidP="00B93A10">
            <w:pPr>
              <w:spacing w:before="40" w:after="40"/>
              <w:jc w:val="both"/>
              <w:rPr>
                <w:rFonts w:ascii="Arial Narrow" w:hAnsi="Arial Narrow" w:cs="Arial"/>
                <w:b/>
                <w:sz w:val="20"/>
                <w:szCs w:val="20"/>
              </w:rPr>
            </w:pPr>
            <w:r w:rsidRPr="006B1802">
              <w:rPr>
                <w:rFonts w:ascii="Arial Narrow" w:hAnsi="Arial Narrow" w:cs="Arial"/>
                <w:b/>
                <w:sz w:val="20"/>
                <w:szCs w:val="20"/>
              </w:rPr>
              <w:t>Prescriber Instructions</w:t>
            </w:r>
          </w:p>
          <w:p w:rsidR="00826F6D" w:rsidRPr="006B1802" w:rsidRDefault="00826F6D" w:rsidP="00B93A10">
            <w:pPr>
              <w:spacing w:before="40" w:after="40"/>
              <w:jc w:val="both"/>
              <w:rPr>
                <w:rFonts w:ascii="Arial Narrow" w:hAnsi="Arial Narrow" w:cs="Arial"/>
                <w:i/>
                <w:sz w:val="20"/>
                <w:szCs w:val="20"/>
              </w:rPr>
            </w:pPr>
          </w:p>
          <w:p w:rsidR="00826F6D" w:rsidRPr="006B1802" w:rsidRDefault="00826F6D" w:rsidP="00B93A10">
            <w:pPr>
              <w:spacing w:before="40" w:after="40"/>
              <w:jc w:val="both"/>
              <w:rPr>
                <w:rFonts w:ascii="Arial Narrow" w:hAnsi="Arial Narrow" w:cs="Arial"/>
                <w:sz w:val="20"/>
                <w:szCs w:val="20"/>
              </w:rPr>
            </w:pPr>
          </w:p>
        </w:tc>
        <w:tc>
          <w:tcPr>
            <w:tcW w:w="3905" w:type="pct"/>
            <w:gridSpan w:val="6"/>
            <w:tcBorders>
              <w:top w:val="single" w:sz="4" w:space="0" w:color="auto"/>
              <w:left w:val="single" w:sz="4" w:space="0" w:color="auto"/>
              <w:bottom w:val="single" w:sz="4" w:space="0" w:color="auto"/>
              <w:right w:val="single" w:sz="4" w:space="0" w:color="auto"/>
            </w:tcBorders>
          </w:tcPr>
          <w:p w:rsidR="005549A7" w:rsidRPr="006B1802" w:rsidRDefault="005549A7" w:rsidP="00B93A10">
            <w:pPr>
              <w:spacing w:before="40" w:after="40"/>
              <w:rPr>
                <w:rFonts w:ascii="Arial Narrow" w:hAnsi="Arial Narrow" w:cs="Arial"/>
                <w:sz w:val="20"/>
                <w:szCs w:val="20"/>
              </w:rPr>
            </w:pPr>
            <w:r w:rsidRPr="006B1802">
              <w:rPr>
                <w:rFonts w:ascii="Arial Narrow" w:hAnsi="Arial Narrow" w:cs="Arial"/>
                <w:sz w:val="20"/>
                <w:szCs w:val="20"/>
              </w:rPr>
              <w:t>Details of tolvaptan prescriber training requirements</w:t>
            </w:r>
          </w:p>
          <w:p w:rsidR="005549A7" w:rsidRPr="006B1802" w:rsidRDefault="005549A7" w:rsidP="00B93A10">
            <w:pPr>
              <w:spacing w:before="40" w:after="40"/>
              <w:rPr>
                <w:rFonts w:ascii="Arial Narrow" w:hAnsi="Arial Narrow" w:cs="Arial"/>
                <w:sz w:val="20"/>
                <w:szCs w:val="20"/>
              </w:rPr>
            </w:pPr>
            <w:r w:rsidRPr="006B1802">
              <w:rPr>
                <w:rFonts w:ascii="Arial Narrow" w:hAnsi="Arial Narrow" w:cs="Arial"/>
                <w:sz w:val="20"/>
                <w:szCs w:val="20"/>
              </w:rPr>
              <w:t xml:space="preserve">Otsuka has committed to ensuring that in Australia all the </w:t>
            </w:r>
            <w:proofErr w:type="spellStart"/>
            <w:r w:rsidRPr="006B1802">
              <w:rPr>
                <w:rFonts w:ascii="Arial Narrow" w:hAnsi="Arial Narrow" w:cs="Arial"/>
                <w:sz w:val="20"/>
                <w:szCs w:val="20"/>
              </w:rPr>
              <w:t>Jinarc</w:t>
            </w:r>
            <w:proofErr w:type="spellEnd"/>
            <w:r w:rsidRPr="006B1802">
              <w:rPr>
                <w:rFonts w:ascii="Arial Narrow" w:hAnsi="Arial Narrow" w:cs="Arial"/>
                <w:sz w:val="20"/>
                <w:szCs w:val="20"/>
              </w:rPr>
              <w:t xml:space="preserve"> prescribers are educated on the use of the drug and that a liver function monitoring program is implemented to minimise the risk of hepatic injury.</w:t>
            </w:r>
          </w:p>
          <w:p w:rsidR="00826F6D" w:rsidRPr="006B1802" w:rsidRDefault="005549A7" w:rsidP="00B93A10">
            <w:pPr>
              <w:spacing w:before="40" w:after="40"/>
              <w:rPr>
                <w:rFonts w:ascii="Arial Narrow" w:hAnsi="Arial Narrow" w:cs="Arial"/>
                <w:sz w:val="20"/>
                <w:szCs w:val="20"/>
              </w:rPr>
            </w:pPr>
            <w:r w:rsidRPr="006B1802">
              <w:rPr>
                <w:rFonts w:ascii="Arial Narrow" w:hAnsi="Arial Narrow" w:cs="Arial"/>
                <w:sz w:val="20"/>
                <w:szCs w:val="20"/>
              </w:rPr>
              <w:t xml:space="preserve">The </w:t>
            </w:r>
            <w:proofErr w:type="spellStart"/>
            <w:r w:rsidRPr="006B1802">
              <w:rPr>
                <w:rFonts w:ascii="Arial Narrow" w:hAnsi="Arial Narrow" w:cs="Arial"/>
                <w:sz w:val="20"/>
                <w:szCs w:val="20"/>
              </w:rPr>
              <w:t>Jinarc</w:t>
            </w:r>
            <w:proofErr w:type="spellEnd"/>
            <w:r w:rsidRPr="006B1802">
              <w:rPr>
                <w:rFonts w:ascii="Arial Narrow" w:hAnsi="Arial Narrow" w:cs="Arial"/>
                <w:sz w:val="20"/>
                <w:szCs w:val="20"/>
              </w:rPr>
              <w:t xml:space="preserve"> Monitoring and Distribution Program (www.jinarc.com.au) has been set up to host the training material and prescriber certification and to support long-term liver monitoring and safety. All prescribers and patients must take part in the </w:t>
            </w:r>
            <w:proofErr w:type="spellStart"/>
            <w:r w:rsidRPr="006B1802">
              <w:rPr>
                <w:rFonts w:ascii="Arial Narrow" w:hAnsi="Arial Narrow" w:cs="Arial"/>
                <w:sz w:val="20"/>
                <w:szCs w:val="20"/>
              </w:rPr>
              <w:t>Jinarc</w:t>
            </w:r>
            <w:proofErr w:type="spellEnd"/>
            <w:r w:rsidRPr="006B1802">
              <w:rPr>
                <w:rFonts w:ascii="Arial Narrow" w:hAnsi="Arial Narrow" w:cs="Arial"/>
                <w:sz w:val="20"/>
                <w:szCs w:val="20"/>
              </w:rPr>
              <w:t xml:space="preserve"> Monitoring and Distribution Program in order to prescribe/receive </w:t>
            </w:r>
            <w:proofErr w:type="spellStart"/>
            <w:r w:rsidRPr="006B1802">
              <w:rPr>
                <w:rFonts w:ascii="Arial Narrow" w:hAnsi="Arial Narrow" w:cs="Arial"/>
                <w:sz w:val="20"/>
                <w:szCs w:val="20"/>
              </w:rPr>
              <w:t>Jinarc</w:t>
            </w:r>
            <w:proofErr w:type="spellEnd"/>
            <w:r w:rsidRPr="006B1802">
              <w:rPr>
                <w:rFonts w:ascii="Arial Narrow" w:hAnsi="Arial Narrow" w:cs="Arial"/>
                <w:sz w:val="20"/>
                <w:szCs w:val="20"/>
              </w:rPr>
              <w:t xml:space="preserve"> in Australia.</w:t>
            </w:r>
          </w:p>
        </w:tc>
      </w:tr>
      <w:tr w:rsidR="00826F6D" w:rsidRPr="006B1802" w:rsidTr="002302AA">
        <w:trPr>
          <w:gridAfter w:val="1"/>
          <w:wAfter w:w="7"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826F6D" w:rsidRPr="006B1802" w:rsidRDefault="00826F6D" w:rsidP="00B93A10">
            <w:pPr>
              <w:spacing w:before="40" w:after="40"/>
              <w:jc w:val="both"/>
              <w:rPr>
                <w:rFonts w:ascii="Arial Narrow" w:hAnsi="Arial Narrow" w:cs="Arial"/>
                <w:b/>
                <w:sz w:val="20"/>
                <w:szCs w:val="20"/>
              </w:rPr>
            </w:pPr>
            <w:r w:rsidRPr="006B1802">
              <w:rPr>
                <w:rFonts w:ascii="Arial Narrow" w:hAnsi="Arial Narrow" w:cs="Arial"/>
                <w:b/>
                <w:sz w:val="20"/>
                <w:szCs w:val="20"/>
              </w:rPr>
              <w:t>Administrative Advice</w:t>
            </w:r>
          </w:p>
          <w:p w:rsidR="00826F6D" w:rsidRPr="006B1802" w:rsidRDefault="00826F6D" w:rsidP="00B93A10">
            <w:pPr>
              <w:spacing w:before="40" w:after="40"/>
              <w:jc w:val="both"/>
              <w:rPr>
                <w:rFonts w:ascii="Arial Narrow" w:hAnsi="Arial Narrow" w:cs="Arial"/>
                <w:i/>
                <w:sz w:val="20"/>
                <w:szCs w:val="20"/>
              </w:rPr>
            </w:pPr>
          </w:p>
        </w:tc>
        <w:tc>
          <w:tcPr>
            <w:tcW w:w="3905" w:type="pct"/>
            <w:gridSpan w:val="6"/>
            <w:tcBorders>
              <w:top w:val="single" w:sz="4" w:space="0" w:color="auto"/>
              <w:left w:val="single" w:sz="4" w:space="0" w:color="auto"/>
              <w:bottom w:val="single" w:sz="4" w:space="0" w:color="auto"/>
              <w:right w:val="single" w:sz="4" w:space="0" w:color="auto"/>
            </w:tcBorders>
          </w:tcPr>
          <w:p w:rsidR="00826F6D" w:rsidRPr="006B1802" w:rsidRDefault="005549A7" w:rsidP="00B93A10">
            <w:pPr>
              <w:spacing w:before="40" w:after="40"/>
              <w:rPr>
                <w:rFonts w:ascii="Arial Narrow" w:hAnsi="Arial Narrow" w:cs="Arial"/>
                <w:sz w:val="20"/>
                <w:szCs w:val="20"/>
              </w:rPr>
            </w:pPr>
            <w:r w:rsidRPr="006B1802">
              <w:rPr>
                <w:rFonts w:ascii="Arial Narrow" w:hAnsi="Arial Narrow" w:cs="Arial"/>
                <w:sz w:val="20"/>
                <w:szCs w:val="20"/>
              </w:rPr>
              <w:t>N/A</w:t>
            </w:r>
          </w:p>
        </w:tc>
      </w:tr>
      <w:tr w:rsidR="00826F6D" w:rsidRPr="006B1802" w:rsidTr="002302AA">
        <w:trPr>
          <w:gridAfter w:val="1"/>
          <w:wAfter w:w="7"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826F6D" w:rsidRPr="006B1802" w:rsidRDefault="00826F6D" w:rsidP="00B93A10">
            <w:pPr>
              <w:spacing w:before="40" w:after="40"/>
              <w:jc w:val="both"/>
              <w:rPr>
                <w:rFonts w:ascii="Arial Narrow" w:hAnsi="Arial Narrow" w:cs="Arial"/>
                <w:b/>
                <w:sz w:val="20"/>
                <w:szCs w:val="20"/>
              </w:rPr>
            </w:pPr>
            <w:r w:rsidRPr="006B1802">
              <w:rPr>
                <w:rFonts w:ascii="Arial Narrow" w:hAnsi="Arial Narrow" w:cs="Arial"/>
                <w:b/>
                <w:sz w:val="20"/>
                <w:szCs w:val="20"/>
              </w:rPr>
              <w:t>Cautions</w:t>
            </w:r>
          </w:p>
          <w:p w:rsidR="00826F6D" w:rsidRPr="006B1802" w:rsidRDefault="00826F6D" w:rsidP="00B93A10">
            <w:pPr>
              <w:spacing w:before="40" w:after="40"/>
              <w:jc w:val="both"/>
              <w:rPr>
                <w:rFonts w:ascii="Arial Narrow" w:hAnsi="Arial Narrow" w:cs="Arial"/>
                <w:i/>
                <w:sz w:val="20"/>
                <w:szCs w:val="20"/>
              </w:rPr>
            </w:pPr>
          </w:p>
        </w:tc>
        <w:tc>
          <w:tcPr>
            <w:tcW w:w="3905" w:type="pct"/>
            <w:gridSpan w:val="6"/>
            <w:tcBorders>
              <w:top w:val="single" w:sz="4" w:space="0" w:color="auto"/>
              <w:left w:val="single" w:sz="4" w:space="0" w:color="auto"/>
              <w:bottom w:val="single" w:sz="4" w:space="0" w:color="auto"/>
              <w:right w:val="single" w:sz="4" w:space="0" w:color="auto"/>
            </w:tcBorders>
          </w:tcPr>
          <w:p w:rsidR="005549A7" w:rsidRPr="006B1802" w:rsidRDefault="005549A7" w:rsidP="00B93A10">
            <w:pPr>
              <w:spacing w:before="40" w:after="40"/>
              <w:rPr>
                <w:rFonts w:ascii="Arial Narrow" w:hAnsi="Arial Narrow" w:cs="Arial"/>
                <w:sz w:val="20"/>
                <w:szCs w:val="20"/>
              </w:rPr>
            </w:pPr>
            <w:r w:rsidRPr="006B1802">
              <w:rPr>
                <w:rFonts w:ascii="Arial Narrow" w:hAnsi="Arial Narrow" w:cs="Arial"/>
                <w:sz w:val="20"/>
                <w:szCs w:val="20"/>
              </w:rPr>
              <w:t>Recommendations for the management of potential hepatic toxicity</w:t>
            </w:r>
          </w:p>
          <w:p w:rsidR="00826F6D" w:rsidRPr="006B1802" w:rsidRDefault="005549A7" w:rsidP="00B93A10">
            <w:pPr>
              <w:spacing w:before="40" w:after="40"/>
              <w:rPr>
                <w:rFonts w:ascii="Arial Narrow" w:hAnsi="Arial Narrow" w:cs="Arial"/>
                <w:sz w:val="20"/>
                <w:szCs w:val="20"/>
              </w:rPr>
            </w:pPr>
            <w:r w:rsidRPr="006B1802">
              <w:rPr>
                <w:rFonts w:ascii="Arial Narrow" w:hAnsi="Arial Narrow" w:cs="Arial"/>
                <w:sz w:val="20"/>
                <w:szCs w:val="20"/>
              </w:rPr>
              <w:t xml:space="preserve">To mitigate the risk of significant and/or irreversible liver injury, blood testing for hepatic transaminases and bilirubin is required prior to initiation of </w:t>
            </w:r>
            <w:proofErr w:type="spellStart"/>
            <w:r w:rsidRPr="006B1802">
              <w:rPr>
                <w:rFonts w:ascii="Arial Narrow" w:hAnsi="Arial Narrow" w:cs="Arial"/>
                <w:sz w:val="20"/>
                <w:szCs w:val="20"/>
              </w:rPr>
              <w:t>Jinarc</w:t>
            </w:r>
            <w:proofErr w:type="spellEnd"/>
            <w:r w:rsidRPr="006B1802">
              <w:rPr>
                <w:rFonts w:ascii="Arial Narrow" w:hAnsi="Arial Narrow" w:cs="Arial"/>
                <w:sz w:val="20"/>
                <w:szCs w:val="20"/>
              </w:rPr>
              <w:t>, continuing monthly for 18 months and at regular 3 monthly intervals thereafter. Concurrent monitoring for symptoms that may indicate liver injury (such as fatigue, anorexia, nausea, right upper abdominal discomfort, vomiting, fever, rash, pruritus, dark urine or jaundice) is recommended.</w:t>
            </w:r>
          </w:p>
        </w:tc>
      </w:tr>
      <w:tr w:rsidR="00BB51E5" w:rsidRPr="006B1802" w:rsidTr="00414990">
        <w:trPr>
          <w:gridAfter w:val="1"/>
          <w:wAfter w:w="7" w:type="pct"/>
          <w:cantSplit/>
          <w:trHeight w:val="360"/>
        </w:trPr>
        <w:tc>
          <w:tcPr>
            <w:tcW w:w="4993" w:type="pct"/>
            <w:gridSpan w:val="7"/>
            <w:tcBorders>
              <w:bottom w:val="single" w:sz="4" w:space="0" w:color="auto"/>
            </w:tcBorders>
          </w:tcPr>
          <w:p w:rsidR="00BB51E5" w:rsidRPr="006B1802" w:rsidRDefault="00BB51E5" w:rsidP="00B93A10">
            <w:pPr>
              <w:rPr>
                <w:szCs w:val="22"/>
              </w:rPr>
            </w:pPr>
          </w:p>
        </w:tc>
      </w:tr>
      <w:tr w:rsidR="00BB51E5" w:rsidRPr="006B1802" w:rsidTr="00935768">
        <w:trPr>
          <w:gridAfter w:val="1"/>
          <w:wAfter w:w="7"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BB51E5" w:rsidRPr="006B1802" w:rsidRDefault="00BB51E5" w:rsidP="00B93A10">
            <w:pPr>
              <w:spacing w:before="40" w:after="40"/>
              <w:rPr>
                <w:rFonts w:ascii="Arial Narrow" w:hAnsi="Arial Narrow" w:cs="Arial"/>
                <w:sz w:val="20"/>
                <w:szCs w:val="20"/>
              </w:rPr>
            </w:pPr>
            <w:r w:rsidRPr="006B1802">
              <w:rPr>
                <w:rFonts w:ascii="Arial Narrow" w:hAnsi="Arial Narrow" w:cs="Arial"/>
                <w:sz w:val="20"/>
                <w:szCs w:val="20"/>
              </w:rPr>
              <w:t xml:space="preserve">Category / </w:t>
            </w:r>
          </w:p>
          <w:p w:rsidR="00BB51E5" w:rsidRPr="006B1802" w:rsidRDefault="00BB51E5" w:rsidP="00B93A10">
            <w:pPr>
              <w:spacing w:before="40" w:after="40"/>
              <w:rPr>
                <w:rFonts w:ascii="Arial Narrow" w:hAnsi="Arial Narrow" w:cs="Arial"/>
                <w:sz w:val="20"/>
                <w:szCs w:val="20"/>
              </w:rPr>
            </w:pPr>
            <w:r w:rsidRPr="006B1802">
              <w:rPr>
                <w:rFonts w:ascii="Arial Narrow" w:hAnsi="Arial Narrow" w:cs="Arial"/>
                <w:sz w:val="20"/>
                <w:szCs w:val="20"/>
              </w:rPr>
              <w:t>Program</w:t>
            </w:r>
          </w:p>
        </w:tc>
        <w:tc>
          <w:tcPr>
            <w:tcW w:w="3905" w:type="pct"/>
            <w:gridSpan w:val="6"/>
            <w:tcBorders>
              <w:top w:val="single" w:sz="4" w:space="0" w:color="auto"/>
              <w:left w:val="single" w:sz="4" w:space="0" w:color="auto"/>
              <w:bottom w:val="single" w:sz="4" w:space="0" w:color="auto"/>
              <w:right w:val="single" w:sz="4" w:space="0" w:color="auto"/>
            </w:tcBorders>
          </w:tcPr>
          <w:p w:rsidR="00BB51E5" w:rsidRPr="006B1802" w:rsidRDefault="00BB51E5" w:rsidP="00B93A10">
            <w:pPr>
              <w:spacing w:before="40" w:after="40"/>
              <w:rPr>
                <w:rFonts w:ascii="Arial Narrow" w:hAnsi="Arial Narrow" w:cs="Arial"/>
                <w:sz w:val="20"/>
                <w:szCs w:val="20"/>
              </w:rPr>
            </w:pPr>
            <w:r w:rsidRPr="006B1802">
              <w:rPr>
                <w:rFonts w:ascii="Arial Narrow" w:hAnsi="Arial Narrow" w:cs="Arial"/>
                <w:sz w:val="20"/>
                <w:szCs w:val="20"/>
              </w:rPr>
              <w:t>GENERAL – General Schedule (Code GE)</w:t>
            </w:r>
          </w:p>
          <w:p w:rsidR="00BB51E5" w:rsidRPr="006B1802" w:rsidRDefault="00BB51E5" w:rsidP="00B93A10">
            <w:pPr>
              <w:spacing w:before="40" w:after="40"/>
              <w:rPr>
                <w:rFonts w:ascii="Arial Narrow" w:hAnsi="Arial Narrow" w:cs="Arial"/>
                <w:sz w:val="20"/>
                <w:szCs w:val="20"/>
              </w:rPr>
            </w:pPr>
          </w:p>
        </w:tc>
      </w:tr>
      <w:tr w:rsidR="00BB51E5" w:rsidRPr="006B1802" w:rsidTr="00935768">
        <w:trPr>
          <w:gridAfter w:val="1"/>
          <w:wAfter w:w="7"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BB51E5" w:rsidRPr="006B1802" w:rsidRDefault="00BB51E5" w:rsidP="00B93A10">
            <w:pPr>
              <w:spacing w:before="40" w:after="40"/>
              <w:rPr>
                <w:rFonts w:ascii="Arial Narrow" w:hAnsi="Arial Narrow" w:cs="Arial"/>
                <w:sz w:val="20"/>
                <w:szCs w:val="20"/>
              </w:rPr>
            </w:pPr>
            <w:r w:rsidRPr="006B1802">
              <w:rPr>
                <w:rFonts w:ascii="Arial Narrow" w:hAnsi="Arial Narrow" w:cs="Arial"/>
                <w:sz w:val="20"/>
                <w:szCs w:val="20"/>
              </w:rPr>
              <w:lastRenderedPageBreak/>
              <w:t>Prescriber type:</w:t>
            </w:r>
          </w:p>
        </w:tc>
        <w:tc>
          <w:tcPr>
            <w:tcW w:w="3905" w:type="pct"/>
            <w:gridSpan w:val="6"/>
            <w:tcBorders>
              <w:top w:val="single" w:sz="4" w:space="0" w:color="auto"/>
              <w:left w:val="single" w:sz="4" w:space="0" w:color="auto"/>
              <w:bottom w:val="single" w:sz="4" w:space="0" w:color="auto"/>
              <w:right w:val="single" w:sz="4" w:space="0" w:color="auto"/>
            </w:tcBorders>
          </w:tcPr>
          <w:p w:rsidR="00BB51E5" w:rsidRPr="006B1802" w:rsidRDefault="00BB51E5" w:rsidP="00B93A10">
            <w:pPr>
              <w:spacing w:before="40" w:after="40"/>
              <w:rPr>
                <w:rFonts w:ascii="Arial Narrow" w:hAnsi="Arial Narrow" w:cs="Arial"/>
                <w:sz w:val="20"/>
                <w:szCs w:val="20"/>
              </w:rPr>
            </w:pPr>
            <w:r w:rsidRPr="006B1802">
              <w:rPr>
                <w:rFonts w:ascii="Arial Narrow" w:hAnsi="Arial Narrow" w:cs="Arial"/>
                <w:sz w:val="20"/>
                <w:szCs w:val="20"/>
              </w:rPr>
              <w:fldChar w:fldCharType="begin">
                <w:ffData>
                  <w:name w:val="Check1"/>
                  <w:enabled/>
                  <w:calcOnExit w:val="0"/>
                  <w:checkBox>
                    <w:sizeAuto/>
                    <w:default w:val="0"/>
                  </w:checkBox>
                </w:ffData>
              </w:fldChar>
            </w:r>
            <w:r w:rsidRPr="006B1802">
              <w:rPr>
                <w:rFonts w:ascii="Arial Narrow" w:hAnsi="Arial Narrow" w:cs="Arial"/>
                <w:sz w:val="20"/>
                <w:szCs w:val="20"/>
              </w:rPr>
              <w:instrText xml:space="preserve"> FORMCHECKBOX </w:instrText>
            </w:r>
            <w:r w:rsidR="00194BE9">
              <w:rPr>
                <w:rFonts w:ascii="Arial Narrow" w:hAnsi="Arial Narrow" w:cs="Arial"/>
                <w:sz w:val="20"/>
                <w:szCs w:val="20"/>
              </w:rPr>
            </w:r>
            <w:r w:rsidR="00194BE9">
              <w:rPr>
                <w:rFonts w:ascii="Arial Narrow" w:hAnsi="Arial Narrow" w:cs="Arial"/>
                <w:sz w:val="20"/>
                <w:szCs w:val="20"/>
              </w:rPr>
              <w:fldChar w:fldCharType="separate"/>
            </w:r>
            <w:r w:rsidRPr="006B1802">
              <w:rPr>
                <w:rFonts w:ascii="Arial Narrow" w:hAnsi="Arial Narrow" w:cs="Arial"/>
                <w:sz w:val="20"/>
                <w:szCs w:val="20"/>
              </w:rPr>
              <w:fldChar w:fldCharType="end"/>
            </w:r>
            <w:r w:rsidRPr="006B1802">
              <w:rPr>
                <w:rFonts w:ascii="Arial Narrow" w:hAnsi="Arial Narrow" w:cs="Arial"/>
                <w:sz w:val="20"/>
                <w:szCs w:val="20"/>
              </w:rPr>
              <w:t xml:space="preserve">Dental  </w:t>
            </w:r>
            <w:r w:rsidRPr="006B1802">
              <w:rPr>
                <w:rFonts w:ascii="Arial Narrow" w:hAnsi="Arial Narrow" w:cs="Arial"/>
                <w:sz w:val="20"/>
                <w:szCs w:val="20"/>
              </w:rPr>
              <w:fldChar w:fldCharType="begin">
                <w:ffData>
                  <w:name w:val=""/>
                  <w:enabled/>
                  <w:calcOnExit w:val="0"/>
                  <w:checkBox>
                    <w:sizeAuto/>
                    <w:default w:val="1"/>
                  </w:checkBox>
                </w:ffData>
              </w:fldChar>
            </w:r>
            <w:r w:rsidRPr="006B1802">
              <w:rPr>
                <w:rFonts w:ascii="Arial Narrow" w:hAnsi="Arial Narrow" w:cs="Arial"/>
                <w:sz w:val="20"/>
                <w:szCs w:val="20"/>
              </w:rPr>
              <w:instrText xml:space="preserve"> FORMCHECKBOX </w:instrText>
            </w:r>
            <w:r w:rsidR="00194BE9">
              <w:rPr>
                <w:rFonts w:ascii="Arial Narrow" w:hAnsi="Arial Narrow" w:cs="Arial"/>
                <w:sz w:val="20"/>
                <w:szCs w:val="20"/>
              </w:rPr>
            </w:r>
            <w:r w:rsidR="00194BE9">
              <w:rPr>
                <w:rFonts w:ascii="Arial Narrow" w:hAnsi="Arial Narrow" w:cs="Arial"/>
                <w:sz w:val="20"/>
                <w:szCs w:val="20"/>
              </w:rPr>
              <w:fldChar w:fldCharType="separate"/>
            </w:r>
            <w:r w:rsidRPr="006B1802">
              <w:rPr>
                <w:rFonts w:ascii="Arial Narrow" w:hAnsi="Arial Narrow" w:cs="Arial"/>
                <w:sz w:val="20"/>
                <w:szCs w:val="20"/>
              </w:rPr>
              <w:fldChar w:fldCharType="end"/>
            </w:r>
            <w:r w:rsidRPr="006B1802">
              <w:rPr>
                <w:rFonts w:ascii="Arial Narrow" w:hAnsi="Arial Narrow" w:cs="Arial"/>
                <w:sz w:val="20"/>
                <w:szCs w:val="20"/>
              </w:rPr>
              <w:t xml:space="preserve">Medical Practitioners  </w:t>
            </w:r>
            <w:r w:rsidRPr="006B1802">
              <w:rPr>
                <w:rFonts w:ascii="Arial Narrow" w:hAnsi="Arial Narrow" w:cs="Arial"/>
                <w:sz w:val="20"/>
                <w:szCs w:val="20"/>
              </w:rPr>
              <w:fldChar w:fldCharType="begin">
                <w:ffData>
                  <w:name w:val="Check3"/>
                  <w:enabled/>
                  <w:calcOnExit w:val="0"/>
                  <w:checkBox>
                    <w:sizeAuto/>
                    <w:default w:val="0"/>
                  </w:checkBox>
                </w:ffData>
              </w:fldChar>
            </w:r>
            <w:r w:rsidRPr="006B1802">
              <w:rPr>
                <w:rFonts w:ascii="Arial Narrow" w:hAnsi="Arial Narrow" w:cs="Arial"/>
                <w:sz w:val="20"/>
                <w:szCs w:val="20"/>
              </w:rPr>
              <w:instrText xml:space="preserve"> FORMCHECKBOX </w:instrText>
            </w:r>
            <w:r w:rsidR="00194BE9">
              <w:rPr>
                <w:rFonts w:ascii="Arial Narrow" w:hAnsi="Arial Narrow" w:cs="Arial"/>
                <w:sz w:val="20"/>
                <w:szCs w:val="20"/>
              </w:rPr>
            </w:r>
            <w:r w:rsidR="00194BE9">
              <w:rPr>
                <w:rFonts w:ascii="Arial Narrow" w:hAnsi="Arial Narrow" w:cs="Arial"/>
                <w:sz w:val="20"/>
                <w:szCs w:val="20"/>
              </w:rPr>
              <w:fldChar w:fldCharType="separate"/>
            </w:r>
            <w:r w:rsidRPr="006B1802">
              <w:rPr>
                <w:rFonts w:ascii="Arial Narrow" w:hAnsi="Arial Narrow" w:cs="Arial"/>
                <w:sz w:val="20"/>
                <w:szCs w:val="20"/>
              </w:rPr>
              <w:fldChar w:fldCharType="end"/>
            </w:r>
            <w:r w:rsidRPr="006B1802">
              <w:rPr>
                <w:rFonts w:ascii="Arial Narrow" w:hAnsi="Arial Narrow" w:cs="Arial"/>
                <w:sz w:val="20"/>
                <w:szCs w:val="20"/>
              </w:rPr>
              <w:t xml:space="preserve">Nurse practitioners  </w:t>
            </w:r>
            <w:r w:rsidRPr="006B1802">
              <w:rPr>
                <w:rFonts w:ascii="Arial Narrow" w:hAnsi="Arial Narrow" w:cs="Arial"/>
                <w:sz w:val="20"/>
                <w:szCs w:val="20"/>
              </w:rPr>
              <w:fldChar w:fldCharType="begin">
                <w:ffData>
                  <w:name w:val=""/>
                  <w:enabled/>
                  <w:calcOnExit w:val="0"/>
                  <w:checkBox>
                    <w:sizeAuto/>
                    <w:default w:val="0"/>
                  </w:checkBox>
                </w:ffData>
              </w:fldChar>
            </w:r>
            <w:r w:rsidRPr="006B1802">
              <w:rPr>
                <w:rFonts w:ascii="Arial Narrow" w:hAnsi="Arial Narrow" w:cs="Arial"/>
                <w:sz w:val="20"/>
                <w:szCs w:val="20"/>
              </w:rPr>
              <w:instrText xml:space="preserve"> FORMCHECKBOX </w:instrText>
            </w:r>
            <w:r w:rsidR="00194BE9">
              <w:rPr>
                <w:rFonts w:ascii="Arial Narrow" w:hAnsi="Arial Narrow" w:cs="Arial"/>
                <w:sz w:val="20"/>
                <w:szCs w:val="20"/>
              </w:rPr>
            </w:r>
            <w:r w:rsidR="00194BE9">
              <w:rPr>
                <w:rFonts w:ascii="Arial Narrow" w:hAnsi="Arial Narrow" w:cs="Arial"/>
                <w:sz w:val="20"/>
                <w:szCs w:val="20"/>
              </w:rPr>
              <w:fldChar w:fldCharType="separate"/>
            </w:r>
            <w:r w:rsidRPr="006B1802">
              <w:rPr>
                <w:rFonts w:ascii="Arial Narrow" w:hAnsi="Arial Narrow" w:cs="Arial"/>
                <w:sz w:val="20"/>
                <w:szCs w:val="20"/>
              </w:rPr>
              <w:fldChar w:fldCharType="end"/>
            </w:r>
            <w:r w:rsidRPr="006B1802">
              <w:rPr>
                <w:rFonts w:ascii="Arial Narrow" w:hAnsi="Arial Narrow" w:cs="Arial"/>
                <w:sz w:val="20"/>
                <w:szCs w:val="20"/>
              </w:rPr>
              <w:t>Optometrists</w:t>
            </w:r>
          </w:p>
          <w:p w:rsidR="00BB51E5" w:rsidRPr="006B1802" w:rsidRDefault="00BB51E5" w:rsidP="00B93A10">
            <w:pPr>
              <w:spacing w:before="40" w:after="40"/>
              <w:rPr>
                <w:rFonts w:ascii="Arial Narrow" w:hAnsi="Arial Narrow" w:cs="Arial"/>
                <w:sz w:val="20"/>
                <w:szCs w:val="20"/>
              </w:rPr>
            </w:pPr>
            <w:r w:rsidRPr="006B1802">
              <w:rPr>
                <w:rFonts w:ascii="Arial Narrow" w:hAnsi="Arial Narrow" w:cs="Arial"/>
                <w:sz w:val="20"/>
                <w:szCs w:val="20"/>
              </w:rPr>
              <w:fldChar w:fldCharType="begin">
                <w:ffData>
                  <w:name w:val="Check5"/>
                  <w:enabled/>
                  <w:calcOnExit w:val="0"/>
                  <w:checkBox>
                    <w:sizeAuto/>
                    <w:default w:val="0"/>
                  </w:checkBox>
                </w:ffData>
              </w:fldChar>
            </w:r>
            <w:r w:rsidRPr="006B1802">
              <w:rPr>
                <w:rFonts w:ascii="Arial Narrow" w:hAnsi="Arial Narrow" w:cs="Arial"/>
                <w:sz w:val="20"/>
                <w:szCs w:val="20"/>
              </w:rPr>
              <w:instrText xml:space="preserve"> FORMCHECKBOX </w:instrText>
            </w:r>
            <w:r w:rsidR="00194BE9">
              <w:rPr>
                <w:rFonts w:ascii="Arial Narrow" w:hAnsi="Arial Narrow" w:cs="Arial"/>
                <w:sz w:val="20"/>
                <w:szCs w:val="20"/>
              </w:rPr>
            </w:r>
            <w:r w:rsidR="00194BE9">
              <w:rPr>
                <w:rFonts w:ascii="Arial Narrow" w:hAnsi="Arial Narrow" w:cs="Arial"/>
                <w:sz w:val="20"/>
                <w:szCs w:val="20"/>
              </w:rPr>
              <w:fldChar w:fldCharType="separate"/>
            </w:r>
            <w:r w:rsidRPr="006B1802">
              <w:rPr>
                <w:rFonts w:ascii="Arial Narrow" w:hAnsi="Arial Narrow" w:cs="Arial"/>
                <w:sz w:val="20"/>
                <w:szCs w:val="20"/>
              </w:rPr>
              <w:fldChar w:fldCharType="end"/>
            </w:r>
            <w:r w:rsidRPr="006B1802">
              <w:rPr>
                <w:rFonts w:ascii="Arial Narrow" w:hAnsi="Arial Narrow" w:cs="Arial"/>
                <w:sz w:val="20"/>
                <w:szCs w:val="20"/>
              </w:rPr>
              <w:t>Midwives</w:t>
            </w:r>
          </w:p>
        </w:tc>
      </w:tr>
      <w:tr w:rsidR="00BB51E5" w:rsidRPr="006B1802" w:rsidTr="00935768">
        <w:trPr>
          <w:gridAfter w:val="1"/>
          <w:wAfter w:w="7"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BB51E5" w:rsidRPr="006B1802" w:rsidRDefault="00BB51E5" w:rsidP="00B93A10">
            <w:pPr>
              <w:spacing w:before="40" w:after="40"/>
              <w:rPr>
                <w:rFonts w:ascii="Arial Narrow" w:hAnsi="Arial Narrow" w:cs="Arial"/>
                <w:sz w:val="20"/>
                <w:szCs w:val="20"/>
              </w:rPr>
            </w:pPr>
            <w:r w:rsidRPr="006B1802">
              <w:rPr>
                <w:rFonts w:ascii="Arial Narrow" w:hAnsi="Arial Narrow" w:cs="Arial"/>
                <w:sz w:val="20"/>
                <w:szCs w:val="20"/>
              </w:rPr>
              <w:t>Episodicity:</w:t>
            </w:r>
          </w:p>
        </w:tc>
        <w:tc>
          <w:tcPr>
            <w:tcW w:w="3905" w:type="pct"/>
            <w:gridSpan w:val="6"/>
            <w:tcBorders>
              <w:top w:val="single" w:sz="4" w:space="0" w:color="auto"/>
              <w:left w:val="single" w:sz="4" w:space="0" w:color="auto"/>
              <w:bottom w:val="single" w:sz="4" w:space="0" w:color="auto"/>
              <w:right w:val="single" w:sz="4" w:space="0" w:color="auto"/>
            </w:tcBorders>
          </w:tcPr>
          <w:p w:rsidR="00BB51E5" w:rsidRPr="006B1802" w:rsidRDefault="00BB51E5" w:rsidP="00B93A10">
            <w:pPr>
              <w:spacing w:before="40" w:after="40"/>
              <w:rPr>
                <w:rFonts w:ascii="Arial Narrow" w:hAnsi="Arial Narrow" w:cs="Arial"/>
                <w:sz w:val="20"/>
                <w:szCs w:val="20"/>
              </w:rPr>
            </w:pPr>
            <w:r w:rsidRPr="006B1802">
              <w:rPr>
                <w:rFonts w:ascii="Arial Narrow" w:hAnsi="Arial Narrow" w:cs="Arial"/>
                <w:sz w:val="20"/>
                <w:szCs w:val="20"/>
              </w:rPr>
              <w:t>Chronic</w:t>
            </w:r>
          </w:p>
        </w:tc>
      </w:tr>
      <w:tr w:rsidR="00BB51E5" w:rsidRPr="006B1802" w:rsidTr="00935768">
        <w:trPr>
          <w:gridAfter w:val="1"/>
          <w:wAfter w:w="7"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BB51E5" w:rsidRPr="006B1802" w:rsidRDefault="00BB51E5" w:rsidP="00B93A10">
            <w:pPr>
              <w:spacing w:before="40" w:after="40"/>
              <w:rPr>
                <w:rFonts w:ascii="Arial Narrow" w:hAnsi="Arial Narrow" w:cs="Arial"/>
                <w:sz w:val="20"/>
                <w:szCs w:val="20"/>
              </w:rPr>
            </w:pPr>
            <w:r w:rsidRPr="006B1802">
              <w:rPr>
                <w:rFonts w:ascii="Arial Narrow" w:hAnsi="Arial Narrow" w:cs="Arial"/>
                <w:sz w:val="20"/>
                <w:szCs w:val="20"/>
              </w:rPr>
              <w:t>Severity:</w:t>
            </w:r>
          </w:p>
        </w:tc>
        <w:tc>
          <w:tcPr>
            <w:tcW w:w="3905" w:type="pct"/>
            <w:gridSpan w:val="6"/>
            <w:tcBorders>
              <w:top w:val="single" w:sz="4" w:space="0" w:color="auto"/>
              <w:left w:val="single" w:sz="4" w:space="0" w:color="auto"/>
              <w:bottom w:val="single" w:sz="4" w:space="0" w:color="auto"/>
              <w:right w:val="single" w:sz="4" w:space="0" w:color="auto"/>
            </w:tcBorders>
          </w:tcPr>
          <w:p w:rsidR="00BB51E5" w:rsidRPr="006B1802" w:rsidRDefault="00BB51E5" w:rsidP="00B93A10">
            <w:pPr>
              <w:spacing w:before="40" w:after="40"/>
              <w:rPr>
                <w:rFonts w:ascii="Arial Narrow" w:hAnsi="Arial Narrow" w:cs="Arial"/>
                <w:sz w:val="20"/>
                <w:szCs w:val="20"/>
              </w:rPr>
            </w:pPr>
            <w:r w:rsidRPr="006B1802">
              <w:rPr>
                <w:rFonts w:ascii="Arial Narrow" w:hAnsi="Arial Narrow" w:cs="Arial"/>
                <w:sz w:val="20"/>
                <w:szCs w:val="20"/>
              </w:rPr>
              <w:t>N/A</w:t>
            </w:r>
          </w:p>
        </w:tc>
      </w:tr>
      <w:tr w:rsidR="00BB51E5" w:rsidRPr="006B1802" w:rsidTr="005E0AAC">
        <w:trPr>
          <w:gridAfter w:val="1"/>
          <w:wAfter w:w="7" w:type="pct"/>
          <w:cantSplit/>
          <w:trHeight w:val="480"/>
        </w:trPr>
        <w:tc>
          <w:tcPr>
            <w:tcW w:w="1088" w:type="pct"/>
            <w:tcBorders>
              <w:top w:val="single" w:sz="4" w:space="0" w:color="auto"/>
              <w:left w:val="single" w:sz="4" w:space="0" w:color="auto"/>
              <w:bottom w:val="single" w:sz="4" w:space="0" w:color="auto"/>
              <w:right w:val="single" w:sz="4" w:space="0" w:color="auto"/>
            </w:tcBorders>
          </w:tcPr>
          <w:p w:rsidR="00BB51E5" w:rsidRPr="006B1802" w:rsidRDefault="00BB51E5" w:rsidP="00B93A10">
            <w:pPr>
              <w:spacing w:before="40" w:after="40"/>
              <w:rPr>
                <w:rFonts w:ascii="Arial Narrow" w:hAnsi="Arial Narrow" w:cs="Arial"/>
                <w:sz w:val="20"/>
                <w:szCs w:val="20"/>
              </w:rPr>
            </w:pPr>
            <w:r w:rsidRPr="006B1802">
              <w:rPr>
                <w:rFonts w:ascii="Arial Narrow" w:hAnsi="Arial Narrow" w:cs="Arial"/>
                <w:sz w:val="20"/>
                <w:szCs w:val="20"/>
              </w:rPr>
              <w:t>Condition:</w:t>
            </w:r>
          </w:p>
        </w:tc>
        <w:tc>
          <w:tcPr>
            <w:tcW w:w="3905" w:type="pct"/>
            <w:gridSpan w:val="6"/>
            <w:tcBorders>
              <w:top w:val="single" w:sz="4" w:space="0" w:color="auto"/>
              <w:left w:val="single" w:sz="4" w:space="0" w:color="auto"/>
              <w:bottom w:val="single" w:sz="4" w:space="0" w:color="auto"/>
              <w:right w:val="single" w:sz="4" w:space="0" w:color="auto"/>
            </w:tcBorders>
          </w:tcPr>
          <w:p w:rsidR="00BB51E5" w:rsidRPr="006B1802" w:rsidRDefault="00BB51E5" w:rsidP="00B93A10">
            <w:pPr>
              <w:spacing w:before="40" w:after="40"/>
              <w:rPr>
                <w:rFonts w:ascii="Arial Narrow" w:hAnsi="Arial Narrow" w:cs="Arial"/>
                <w:sz w:val="20"/>
                <w:szCs w:val="20"/>
              </w:rPr>
            </w:pPr>
            <w:r w:rsidRPr="006B1802">
              <w:rPr>
                <w:rFonts w:ascii="Arial Narrow" w:hAnsi="Arial Narrow" w:cs="Arial"/>
                <w:sz w:val="20"/>
                <w:szCs w:val="20"/>
              </w:rPr>
              <w:t>Autosomal dominant polycystic kidney disease (ADPKD)</w:t>
            </w:r>
          </w:p>
        </w:tc>
      </w:tr>
      <w:tr w:rsidR="00BB51E5" w:rsidRPr="006B1802" w:rsidTr="00935768">
        <w:trPr>
          <w:gridAfter w:val="1"/>
          <w:wAfter w:w="7"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BB51E5" w:rsidRPr="006B1802" w:rsidRDefault="00BB51E5" w:rsidP="00B93A10">
            <w:pPr>
              <w:spacing w:before="40" w:after="40"/>
              <w:rPr>
                <w:rFonts w:ascii="Arial Narrow" w:hAnsi="Arial Narrow" w:cs="Arial"/>
                <w:sz w:val="20"/>
                <w:szCs w:val="20"/>
              </w:rPr>
            </w:pPr>
            <w:r w:rsidRPr="006B1802">
              <w:rPr>
                <w:rFonts w:ascii="Arial Narrow" w:hAnsi="Arial Narrow" w:cs="Arial"/>
                <w:sz w:val="20"/>
                <w:szCs w:val="20"/>
              </w:rPr>
              <w:t>PBS Indication:</w:t>
            </w:r>
          </w:p>
        </w:tc>
        <w:tc>
          <w:tcPr>
            <w:tcW w:w="3905" w:type="pct"/>
            <w:gridSpan w:val="6"/>
            <w:tcBorders>
              <w:top w:val="single" w:sz="4" w:space="0" w:color="auto"/>
              <w:left w:val="single" w:sz="4" w:space="0" w:color="auto"/>
              <w:bottom w:val="single" w:sz="4" w:space="0" w:color="auto"/>
              <w:right w:val="single" w:sz="4" w:space="0" w:color="auto"/>
            </w:tcBorders>
          </w:tcPr>
          <w:p w:rsidR="00BB51E5" w:rsidRPr="006B1802" w:rsidRDefault="00BB51E5" w:rsidP="00B93A10">
            <w:pPr>
              <w:spacing w:before="40" w:after="40"/>
              <w:rPr>
                <w:rFonts w:ascii="Arial Narrow" w:hAnsi="Arial Narrow" w:cs="Arial"/>
                <w:sz w:val="20"/>
                <w:szCs w:val="20"/>
              </w:rPr>
            </w:pPr>
            <w:r w:rsidRPr="006B1802">
              <w:rPr>
                <w:rFonts w:ascii="Arial Narrow" w:hAnsi="Arial Narrow" w:cs="Arial"/>
                <w:sz w:val="20"/>
                <w:szCs w:val="20"/>
              </w:rPr>
              <w:t>Autosomal dominant polycystic kidney disease (ADPKD)</w:t>
            </w:r>
          </w:p>
        </w:tc>
      </w:tr>
      <w:tr w:rsidR="00BB51E5" w:rsidRPr="006B1802" w:rsidTr="00935768">
        <w:trPr>
          <w:gridAfter w:val="1"/>
          <w:wAfter w:w="7"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BB51E5" w:rsidRPr="006B1802" w:rsidRDefault="00BB51E5" w:rsidP="00B93A10">
            <w:pPr>
              <w:spacing w:before="40" w:after="40"/>
              <w:rPr>
                <w:rFonts w:ascii="Arial Narrow" w:hAnsi="Arial Narrow" w:cs="Arial"/>
                <w:sz w:val="20"/>
                <w:szCs w:val="20"/>
              </w:rPr>
            </w:pPr>
            <w:r w:rsidRPr="006B1802">
              <w:rPr>
                <w:rFonts w:ascii="Arial Narrow" w:hAnsi="Arial Narrow" w:cs="Arial"/>
                <w:sz w:val="20"/>
                <w:szCs w:val="20"/>
              </w:rPr>
              <w:t>Treatment phase:</w:t>
            </w:r>
          </w:p>
          <w:p w:rsidR="00BB51E5" w:rsidRPr="006B1802" w:rsidRDefault="00BB51E5" w:rsidP="00B93A10">
            <w:pPr>
              <w:spacing w:before="40" w:after="40"/>
              <w:rPr>
                <w:rFonts w:ascii="Arial Narrow" w:hAnsi="Arial Narrow" w:cs="Arial"/>
                <w:sz w:val="20"/>
                <w:szCs w:val="20"/>
              </w:rPr>
            </w:pPr>
          </w:p>
        </w:tc>
        <w:tc>
          <w:tcPr>
            <w:tcW w:w="3905" w:type="pct"/>
            <w:gridSpan w:val="6"/>
            <w:tcBorders>
              <w:top w:val="single" w:sz="4" w:space="0" w:color="auto"/>
              <w:left w:val="single" w:sz="4" w:space="0" w:color="auto"/>
              <w:bottom w:val="single" w:sz="4" w:space="0" w:color="auto"/>
              <w:right w:val="single" w:sz="4" w:space="0" w:color="auto"/>
            </w:tcBorders>
          </w:tcPr>
          <w:p w:rsidR="00BB51E5" w:rsidRPr="006B1802" w:rsidRDefault="00935768" w:rsidP="00B93A10">
            <w:pPr>
              <w:spacing w:before="40" w:after="40"/>
              <w:rPr>
                <w:rFonts w:ascii="Arial Narrow" w:hAnsi="Arial Narrow" w:cs="Arial"/>
                <w:sz w:val="20"/>
                <w:szCs w:val="20"/>
              </w:rPr>
            </w:pPr>
            <w:r w:rsidRPr="006B1802">
              <w:rPr>
                <w:rFonts w:ascii="Arial Narrow" w:hAnsi="Arial Narrow" w:cs="Arial"/>
                <w:sz w:val="20"/>
                <w:szCs w:val="20"/>
              </w:rPr>
              <w:t>Continuing</w:t>
            </w:r>
          </w:p>
        </w:tc>
      </w:tr>
      <w:tr w:rsidR="00BB51E5" w:rsidRPr="006B1802" w:rsidTr="00935768">
        <w:trPr>
          <w:gridAfter w:val="1"/>
          <w:wAfter w:w="7"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BB51E5" w:rsidRPr="006B1802" w:rsidRDefault="00BB51E5" w:rsidP="00B93A10">
            <w:pPr>
              <w:spacing w:before="40" w:after="40"/>
              <w:rPr>
                <w:rFonts w:ascii="Arial Narrow" w:hAnsi="Arial Narrow" w:cs="Arial"/>
                <w:sz w:val="20"/>
                <w:szCs w:val="20"/>
              </w:rPr>
            </w:pPr>
            <w:r w:rsidRPr="006B1802">
              <w:rPr>
                <w:rFonts w:ascii="Arial Narrow" w:hAnsi="Arial Narrow" w:cs="Arial"/>
                <w:sz w:val="20"/>
                <w:szCs w:val="20"/>
              </w:rPr>
              <w:t>Restriction Level / Method:</w:t>
            </w:r>
          </w:p>
          <w:p w:rsidR="00BB51E5" w:rsidRPr="006B1802" w:rsidRDefault="00BB51E5" w:rsidP="00B93A10">
            <w:pPr>
              <w:spacing w:before="40" w:after="40"/>
              <w:rPr>
                <w:rFonts w:ascii="Arial Narrow" w:hAnsi="Arial Narrow" w:cs="Arial"/>
                <w:sz w:val="20"/>
                <w:szCs w:val="20"/>
              </w:rPr>
            </w:pPr>
          </w:p>
        </w:tc>
        <w:tc>
          <w:tcPr>
            <w:tcW w:w="3905" w:type="pct"/>
            <w:gridSpan w:val="6"/>
            <w:tcBorders>
              <w:top w:val="single" w:sz="4" w:space="0" w:color="auto"/>
              <w:left w:val="single" w:sz="4" w:space="0" w:color="auto"/>
              <w:bottom w:val="single" w:sz="4" w:space="0" w:color="auto"/>
              <w:right w:val="single" w:sz="4" w:space="0" w:color="auto"/>
            </w:tcBorders>
          </w:tcPr>
          <w:p w:rsidR="00BB51E5" w:rsidRPr="006B1802" w:rsidRDefault="00935768" w:rsidP="00B93A10">
            <w:pPr>
              <w:spacing w:before="40" w:after="40"/>
              <w:rPr>
                <w:rFonts w:ascii="Arial Narrow" w:hAnsi="Arial Narrow" w:cs="Arial"/>
                <w:sz w:val="20"/>
                <w:szCs w:val="20"/>
              </w:rPr>
            </w:pPr>
            <w:r w:rsidRPr="006B1802">
              <w:rPr>
                <w:rFonts w:ascii="Arial Narrow" w:hAnsi="Arial Narrow" w:cs="Arial"/>
                <w:sz w:val="20"/>
                <w:szCs w:val="20"/>
              </w:rPr>
              <w:fldChar w:fldCharType="begin">
                <w:ffData>
                  <w:name w:val=""/>
                  <w:enabled/>
                  <w:calcOnExit w:val="0"/>
                  <w:checkBox>
                    <w:sizeAuto/>
                    <w:default w:val="0"/>
                  </w:checkBox>
                </w:ffData>
              </w:fldChar>
            </w:r>
            <w:r w:rsidRPr="006B1802">
              <w:rPr>
                <w:rFonts w:ascii="Arial Narrow" w:hAnsi="Arial Narrow" w:cs="Arial"/>
                <w:sz w:val="20"/>
                <w:szCs w:val="20"/>
              </w:rPr>
              <w:instrText xml:space="preserve"> FORMCHECKBOX </w:instrText>
            </w:r>
            <w:r w:rsidR="00194BE9">
              <w:rPr>
                <w:rFonts w:ascii="Arial Narrow" w:hAnsi="Arial Narrow" w:cs="Arial"/>
                <w:sz w:val="20"/>
                <w:szCs w:val="20"/>
              </w:rPr>
            </w:r>
            <w:r w:rsidR="00194BE9">
              <w:rPr>
                <w:rFonts w:ascii="Arial Narrow" w:hAnsi="Arial Narrow" w:cs="Arial"/>
                <w:sz w:val="20"/>
                <w:szCs w:val="20"/>
              </w:rPr>
              <w:fldChar w:fldCharType="separate"/>
            </w:r>
            <w:r w:rsidRPr="006B1802">
              <w:rPr>
                <w:rFonts w:ascii="Arial Narrow" w:hAnsi="Arial Narrow" w:cs="Arial"/>
                <w:sz w:val="20"/>
                <w:szCs w:val="20"/>
              </w:rPr>
              <w:fldChar w:fldCharType="end"/>
            </w:r>
            <w:r w:rsidR="00BB51E5" w:rsidRPr="006B1802">
              <w:rPr>
                <w:rFonts w:ascii="Arial Narrow" w:hAnsi="Arial Narrow" w:cs="Arial"/>
                <w:sz w:val="20"/>
                <w:szCs w:val="20"/>
              </w:rPr>
              <w:t>Restricted benefit</w:t>
            </w:r>
          </w:p>
          <w:p w:rsidR="00BB51E5" w:rsidRPr="006B1802" w:rsidRDefault="00935768" w:rsidP="00B93A10">
            <w:pPr>
              <w:spacing w:before="40" w:after="40"/>
              <w:rPr>
                <w:rFonts w:ascii="Arial Narrow" w:hAnsi="Arial Narrow" w:cs="Arial"/>
                <w:sz w:val="20"/>
                <w:szCs w:val="20"/>
              </w:rPr>
            </w:pPr>
            <w:r w:rsidRPr="006B1802">
              <w:rPr>
                <w:rFonts w:ascii="Arial Narrow" w:hAnsi="Arial Narrow" w:cs="Arial"/>
                <w:sz w:val="20"/>
                <w:szCs w:val="20"/>
              </w:rPr>
              <w:fldChar w:fldCharType="begin">
                <w:ffData>
                  <w:name w:val=""/>
                  <w:enabled/>
                  <w:calcOnExit w:val="0"/>
                  <w:checkBox>
                    <w:sizeAuto/>
                    <w:default w:val="0"/>
                  </w:checkBox>
                </w:ffData>
              </w:fldChar>
            </w:r>
            <w:r w:rsidRPr="006B1802">
              <w:rPr>
                <w:rFonts w:ascii="Arial Narrow" w:hAnsi="Arial Narrow" w:cs="Arial"/>
                <w:sz w:val="20"/>
                <w:szCs w:val="20"/>
              </w:rPr>
              <w:instrText xml:space="preserve"> FORMCHECKBOX </w:instrText>
            </w:r>
            <w:r w:rsidR="00194BE9">
              <w:rPr>
                <w:rFonts w:ascii="Arial Narrow" w:hAnsi="Arial Narrow" w:cs="Arial"/>
                <w:sz w:val="20"/>
                <w:szCs w:val="20"/>
              </w:rPr>
            </w:r>
            <w:r w:rsidR="00194BE9">
              <w:rPr>
                <w:rFonts w:ascii="Arial Narrow" w:hAnsi="Arial Narrow" w:cs="Arial"/>
                <w:sz w:val="20"/>
                <w:szCs w:val="20"/>
              </w:rPr>
              <w:fldChar w:fldCharType="separate"/>
            </w:r>
            <w:r w:rsidRPr="006B1802">
              <w:rPr>
                <w:rFonts w:ascii="Arial Narrow" w:hAnsi="Arial Narrow" w:cs="Arial"/>
                <w:sz w:val="20"/>
                <w:szCs w:val="20"/>
              </w:rPr>
              <w:fldChar w:fldCharType="end"/>
            </w:r>
            <w:r w:rsidR="00BB51E5" w:rsidRPr="006B1802">
              <w:rPr>
                <w:rFonts w:ascii="Arial Narrow" w:hAnsi="Arial Narrow" w:cs="Arial"/>
                <w:sz w:val="20"/>
                <w:szCs w:val="20"/>
              </w:rPr>
              <w:t>Authority Required - In Writing</w:t>
            </w:r>
          </w:p>
          <w:p w:rsidR="00BB51E5" w:rsidRPr="006B1802" w:rsidRDefault="00935768" w:rsidP="00B93A10">
            <w:pPr>
              <w:spacing w:before="40" w:after="40"/>
              <w:rPr>
                <w:rFonts w:ascii="Arial Narrow" w:hAnsi="Arial Narrow" w:cs="Arial"/>
                <w:sz w:val="20"/>
                <w:szCs w:val="20"/>
              </w:rPr>
            </w:pPr>
            <w:r w:rsidRPr="006B1802">
              <w:rPr>
                <w:rFonts w:ascii="Arial Narrow" w:hAnsi="Arial Narrow" w:cs="Arial"/>
                <w:sz w:val="20"/>
                <w:szCs w:val="20"/>
              </w:rPr>
              <w:fldChar w:fldCharType="begin">
                <w:ffData>
                  <w:name w:val=""/>
                  <w:enabled/>
                  <w:calcOnExit w:val="0"/>
                  <w:checkBox>
                    <w:sizeAuto/>
                    <w:default w:val="0"/>
                  </w:checkBox>
                </w:ffData>
              </w:fldChar>
            </w:r>
            <w:r w:rsidRPr="006B1802">
              <w:rPr>
                <w:rFonts w:ascii="Arial Narrow" w:hAnsi="Arial Narrow" w:cs="Arial"/>
                <w:sz w:val="20"/>
                <w:szCs w:val="20"/>
              </w:rPr>
              <w:instrText xml:space="preserve"> FORMCHECKBOX </w:instrText>
            </w:r>
            <w:r w:rsidR="00194BE9">
              <w:rPr>
                <w:rFonts w:ascii="Arial Narrow" w:hAnsi="Arial Narrow" w:cs="Arial"/>
                <w:sz w:val="20"/>
                <w:szCs w:val="20"/>
              </w:rPr>
            </w:r>
            <w:r w:rsidR="00194BE9">
              <w:rPr>
                <w:rFonts w:ascii="Arial Narrow" w:hAnsi="Arial Narrow" w:cs="Arial"/>
                <w:sz w:val="20"/>
                <w:szCs w:val="20"/>
              </w:rPr>
              <w:fldChar w:fldCharType="separate"/>
            </w:r>
            <w:r w:rsidRPr="006B1802">
              <w:rPr>
                <w:rFonts w:ascii="Arial Narrow" w:hAnsi="Arial Narrow" w:cs="Arial"/>
                <w:sz w:val="20"/>
                <w:szCs w:val="20"/>
              </w:rPr>
              <w:fldChar w:fldCharType="end"/>
            </w:r>
            <w:r w:rsidR="00BB51E5" w:rsidRPr="006B1802">
              <w:rPr>
                <w:rFonts w:ascii="Arial Narrow" w:hAnsi="Arial Narrow" w:cs="Arial"/>
                <w:sz w:val="20"/>
                <w:szCs w:val="20"/>
              </w:rPr>
              <w:t>Authority Required - Telephone</w:t>
            </w:r>
          </w:p>
          <w:p w:rsidR="00BB51E5" w:rsidRPr="006B1802" w:rsidRDefault="00BB51E5" w:rsidP="00B93A10">
            <w:pPr>
              <w:spacing w:before="40" w:after="40"/>
              <w:rPr>
                <w:rFonts w:ascii="Arial Narrow" w:hAnsi="Arial Narrow" w:cs="Arial"/>
                <w:sz w:val="20"/>
                <w:szCs w:val="20"/>
              </w:rPr>
            </w:pPr>
            <w:r w:rsidRPr="006B1802">
              <w:rPr>
                <w:rFonts w:ascii="Arial Narrow" w:hAnsi="Arial Narrow" w:cs="Arial"/>
                <w:sz w:val="20"/>
                <w:szCs w:val="20"/>
              </w:rPr>
              <w:fldChar w:fldCharType="begin">
                <w:ffData>
                  <w:name w:val=""/>
                  <w:enabled/>
                  <w:calcOnExit w:val="0"/>
                  <w:checkBox>
                    <w:sizeAuto/>
                    <w:default w:val="0"/>
                  </w:checkBox>
                </w:ffData>
              </w:fldChar>
            </w:r>
            <w:r w:rsidRPr="006B1802">
              <w:rPr>
                <w:rFonts w:ascii="Arial Narrow" w:hAnsi="Arial Narrow" w:cs="Arial"/>
                <w:sz w:val="20"/>
                <w:szCs w:val="20"/>
              </w:rPr>
              <w:instrText xml:space="preserve"> FORMCHECKBOX </w:instrText>
            </w:r>
            <w:r w:rsidR="00194BE9">
              <w:rPr>
                <w:rFonts w:ascii="Arial Narrow" w:hAnsi="Arial Narrow" w:cs="Arial"/>
                <w:sz w:val="20"/>
                <w:szCs w:val="20"/>
              </w:rPr>
            </w:r>
            <w:r w:rsidR="00194BE9">
              <w:rPr>
                <w:rFonts w:ascii="Arial Narrow" w:hAnsi="Arial Narrow" w:cs="Arial"/>
                <w:sz w:val="20"/>
                <w:szCs w:val="20"/>
              </w:rPr>
              <w:fldChar w:fldCharType="separate"/>
            </w:r>
            <w:r w:rsidRPr="006B1802">
              <w:rPr>
                <w:rFonts w:ascii="Arial Narrow" w:hAnsi="Arial Narrow" w:cs="Arial"/>
                <w:sz w:val="20"/>
                <w:szCs w:val="20"/>
              </w:rPr>
              <w:fldChar w:fldCharType="end"/>
            </w:r>
            <w:r w:rsidRPr="006B1802">
              <w:rPr>
                <w:rFonts w:ascii="Arial Narrow" w:hAnsi="Arial Narrow" w:cs="Arial"/>
                <w:sz w:val="20"/>
                <w:szCs w:val="20"/>
              </w:rPr>
              <w:t>Authority Required – Emergency</w:t>
            </w:r>
          </w:p>
          <w:p w:rsidR="00BB51E5" w:rsidRPr="006B1802" w:rsidRDefault="00935768" w:rsidP="00B93A10">
            <w:pPr>
              <w:spacing w:before="40" w:after="40"/>
              <w:rPr>
                <w:rFonts w:ascii="Arial Narrow" w:hAnsi="Arial Narrow" w:cs="Arial"/>
                <w:sz w:val="20"/>
                <w:szCs w:val="20"/>
              </w:rPr>
            </w:pPr>
            <w:r w:rsidRPr="006B1802">
              <w:rPr>
                <w:rFonts w:ascii="Arial Narrow" w:hAnsi="Arial Narrow" w:cs="Arial"/>
                <w:sz w:val="20"/>
                <w:szCs w:val="20"/>
              </w:rPr>
              <w:fldChar w:fldCharType="begin">
                <w:ffData>
                  <w:name w:val=""/>
                  <w:enabled/>
                  <w:calcOnExit w:val="0"/>
                  <w:checkBox>
                    <w:sizeAuto/>
                    <w:default w:val="0"/>
                  </w:checkBox>
                </w:ffData>
              </w:fldChar>
            </w:r>
            <w:r w:rsidRPr="006B1802">
              <w:rPr>
                <w:rFonts w:ascii="Arial Narrow" w:hAnsi="Arial Narrow" w:cs="Arial"/>
                <w:sz w:val="20"/>
                <w:szCs w:val="20"/>
              </w:rPr>
              <w:instrText xml:space="preserve"> FORMCHECKBOX </w:instrText>
            </w:r>
            <w:r w:rsidR="00194BE9">
              <w:rPr>
                <w:rFonts w:ascii="Arial Narrow" w:hAnsi="Arial Narrow" w:cs="Arial"/>
                <w:sz w:val="20"/>
                <w:szCs w:val="20"/>
              </w:rPr>
            </w:r>
            <w:r w:rsidR="00194BE9">
              <w:rPr>
                <w:rFonts w:ascii="Arial Narrow" w:hAnsi="Arial Narrow" w:cs="Arial"/>
                <w:sz w:val="20"/>
                <w:szCs w:val="20"/>
              </w:rPr>
              <w:fldChar w:fldCharType="separate"/>
            </w:r>
            <w:r w:rsidRPr="006B1802">
              <w:rPr>
                <w:rFonts w:ascii="Arial Narrow" w:hAnsi="Arial Narrow" w:cs="Arial"/>
                <w:sz w:val="20"/>
                <w:szCs w:val="20"/>
              </w:rPr>
              <w:fldChar w:fldCharType="end"/>
            </w:r>
            <w:r w:rsidR="00BB51E5" w:rsidRPr="006B1802">
              <w:rPr>
                <w:rFonts w:ascii="Arial Narrow" w:hAnsi="Arial Narrow" w:cs="Arial"/>
                <w:sz w:val="20"/>
                <w:szCs w:val="20"/>
              </w:rPr>
              <w:t>Authority Required - Electronic</w:t>
            </w:r>
          </w:p>
          <w:p w:rsidR="00BB51E5" w:rsidRPr="006B1802" w:rsidRDefault="00935768" w:rsidP="00B93A10">
            <w:pPr>
              <w:spacing w:before="40" w:after="40"/>
              <w:rPr>
                <w:rFonts w:ascii="Arial Narrow" w:hAnsi="Arial Narrow" w:cs="Arial"/>
                <w:sz w:val="20"/>
                <w:szCs w:val="20"/>
              </w:rPr>
            </w:pPr>
            <w:r w:rsidRPr="006B1802">
              <w:rPr>
                <w:rFonts w:ascii="Arial Narrow" w:hAnsi="Arial Narrow" w:cs="Arial"/>
                <w:sz w:val="20"/>
                <w:szCs w:val="20"/>
              </w:rPr>
              <w:fldChar w:fldCharType="begin">
                <w:ffData>
                  <w:name w:val=""/>
                  <w:enabled/>
                  <w:calcOnExit w:val="0"/>
                  <w:checkBox>
                    <w:sizeAuto/>
                    <w:default w:val="1"/>
                  </w:checkBox>
                </w:ffData>
              </w:fldChar>
            </w:r>
            <w:r w:rsidRPr="006B1802">
              <w:rPr>
                <w:rFonts w:ascii="Arial Narrow" w:hAnsi="Arial Narrow" w:cs="Arial"/>
                <w:sz w:val="20"/>
                <w:szCs w:val="20"/>
              </w:rPr>
              <w:instrText xml:space="preserve"> FORMCHECKBOX </w:instrText>
            </w:r>
            <w:r w:rsidR="00194BE9">
              <w:rPr>
                <w:rFonts w:ascii="Arial Narrow" w:hAnsi="Arial Narrow" w:cs="Arial"/>
                <w:sz w:val="20"/>
                <w:szCs w:val="20"/>
              </w:rPr>
            </w:r>
            <w:r w:rsidR="00194BE9">
              <w:rPr>
                <w:rFonts w:ascii="Arial Narrow" w:hAnsi="Arial Narrow" w:cs="Arial"/>
                <w:sz w:val="20"/>
                <w:szCs w:val="20"/>
              </w:rPr>
              <w:fldChar w:fldCharType="separate"/>
            </w:r>
            <w:r w:rsidRPr="006B1802">
              <w:rPr>
                <w:rFonts w:ascii="Arial Narrow" w:hAnsi="Arial Narrow" w:cs="Arial"/>
                <w:sz w:val="20"/>
                <w:szCs w:val="20"/>
              </w:rPr>
              <w:fldChar w:fldCharType="end"/>
            </w:r>
            <w:r w:rsidR="00BB51E5" w:rsidRPr="006B1802">
              <w:rPr>
                <w:rFonts w:ascii="Arial Narrow" w:hAnsi="Arial Narrow" w:cs="Arial"/>
                <w:sz w:val="20"/>
                <w:szCs w:val="20"/>
              </w:rPr>
              <w:t>Streamlined</w:t>
            </w:r>
          </w:p>
        </w:tc>
      </w:tr>
      <w:tr w:rsidR="00BB51E5" w:rsidRPr="006B1802" w:rsidTr="00935768">
        <w:trPr>
          <w:gridAfter w:val="1"/>
          <w:wAfter w:w="7"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BB51E5" w:rsidRPr="006B1802" w:rsidRDefault="00BB51E5" w:rsidP="00B93A10">
            <w:pPr>
              <w:spacing w:before="40" w:after="40"/>
              <w:rPr>
                <w:rFonts w:ascii="Arial Narrow" w:hAnsi="Arial Narrow" w:cs="Arial"/>
                <w:sz w:val="20"/>
                <w:szCs w:val="20"/>
              </w:rPr>
            </w:pPr>
            <w:r w:rsidRPr="006B1802">
              <w:rPr>
                <w:rFonts w:ascii="Arial Narrow" w:hAnsi="Arial Narrow" w:cs="Arial"/>
                <w:sz w:val="20"/>
                <w:szCs w:val="20"/>
              </w:rPr>
              <w:t>Treatment criteria:</w:t>
            </w:r>
          </w:p>
          <w:p w:rsidR="00BB51E5" w:rsidRPr="006B1802" w:rsidRDefault="00BB51E5" w:rsidP="00B93A10">
            <w:pPr>
              <w:spacing w:before="40" w:after="40"/>
              <w:rPr>
                <w:rFonts w:ascii="Arial Narrow" w:hAnsi="Arial Narrow" w:cs="Arial"/>
                <w:sz w:val="20"/>
                <w:szCs w:val="20"/>
              </w:rPr>
            </w:pPr>
          </w:p>
        </w:tc>
        <w:tc>
          <w:tcPr>
            <w:tcW w:w="3905" w:type="pct"/>
            <w:gridSpan w:val="6"/>
            <w:tcBorders>
              <w:top w:val="single" w:sz="4" w:space="0" w:color="auto"/>
              <w:left w:val="single" w:sz="4" w:space="0" w:color="auto"/>
              <w:bottom w:val="single" w:sz="4" w:space="0" w:color="auto"/>
              <w:right w:val="single" w:sz="4" w:space="0" w:color="auto"/>
            </w:tcBorders>
          </w:tcPr>
          <w:p w:rsidR="00BB51E5" w:rsidRPr="006B1802" w:rsidRDefault="00BB51E5" w:rsidP="00B93A10">
            <w:pPr>
              <w:spacing w:before="40" w:after="40"/>
              <w:rPr>
                <w:szCs w:val="22"/>
              </w:rPr>
            </w:pPr>
            <w:r w:rsidRPr="006B1802">
              <w:rPr>
                <w:rFonts w:ascii="Arial Narrow" w:hAnsi="Arial Narrow" w:cs="Arial"/>
                <w:sz w:val="20"/>
                <w:szCs w:val="20"/>
              </w:rPr>
              <w:t xml:space="preserve">Prescriber must be a specialist who has undergone tolvaptan prescriber training </w:t>
            </w:r>
          </w:p>
        </w:tc>
      </w:tr>
      <w:tr w:rsidR="00BB51E5" w:rsidRPr="006B1802" w:rsidTr="00935768">
        <w:trPr>
          <w:gridAfter w:val="1"/>
          <w:wAfter w:w="7"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BB51E5" w:rsidRPr="006B1802" w:rsidRDefault="00BB51E5" w:rsidP="00B93A10">
            <w:pPr>
              <w:spacing w:before="40" w:after="40"/>
              <w:rPr>
                <w:rFonts w:ascii="Arial Narrow" w:hAnsi="Arial Narrow" w:cs="Arial"/>
                <w:sz w:val="20"/>
                <w:szCs w:val="20"/>
              </w:rPr>
            </w:pPr>
            <w:r w:rsidRPr="006B1802">
              <w:rPr>
                <w:rFonts w:ascii="Arial Narrow" w:hAnsi="Arial Narrow" w:cs="Arial"/>
                <w:sz w:val="20"/>
                <w:szCs w:val="20"/>
              </w:rPr>
              <w:t>Clinical criteria:</w:t>
            </w:r>
          </w:p>
          <w:p w:rsidR="00BB51E5" w:rsidRPr="006B1802" w:rsidRDefault="00BB51E5" w:rsidP="00B93A10">
            <w:pPr>
              <w:spacing w:before="40" w:after="40"/>
              <w:rPr>
                <w:rFonts w:ascii="Arial Narrow" w:hAnsi="Arial Narrow" w:cs="Arial"/>
                <w:sz w:val="20"/>
                <w:szCs w:val="20"/>
              </w:rPr>
            </w:pPr>
          </w:p>
          <w:p w:rsidR="00BB51E5" w:rsidRPr="006B1802" w:rsidRDefault="00BB51E5" w:rsidP="00B93A10">
            <w:pPr>
              <w:spacing w:before="40" w:after="40"/>
              <w:rPr>
                <w:rFonts w:ascii="Arial Narrow" w:hAnsi="Arial Narrow" w:cs="Arial"/>
                <w:sz w:val="20"/>
                <w:szCs w:val="20"/>
              </w:rPr>
            </w:pPr>
          </w:p>
        </w:tc>
        <w:tc>
          <w:tcPr>
            <w:tcW w:w="3905" w:type="pct"/>
            <w:gridSpan w:val="6"/>
            <w:tcBorders>
              <w:top w:val="single" w:sz="4" w:space="0" w:color="auto"/>
              <w:left w:val="single" w:sz="4" w:space="0" w:color="auto"/>
              <w:bottom w:val="single" w:sz="4" w:space="0" w:color="auto"/>
              <w:right w:val="single" w:sz="4" w:space="0" w:color="auto"/>
            </w:tcBorders>
          </w:tcPr>
          <w:p w:rsidR="001533A5" w:rsidRPr="006B1802" w:rsidRDefault="001533A5" w:rsidP="00B93A10">
            <w:pPr>
              <w:spacing w:before="40" w:after="40"/>
              <w:rPr>
                <w:rFonts w:ascii="Arial Narrow" w:hAnsi="Arial Narrow" w:cs="Arial"/>
                <w:sz w:val="20"/>
                <w:szCs w:val="20"/>
              </w:rPr>
            </w:pPr>
            <w:r w:rsidRPr="006B1802">
              <w:rPr>
                <w:rFonts w:ascii="Arial Narrow" w:hAnsi="Arial Narrow" w:cs="Arial"/>
                <w:sz w:val="20"/>
                <w:szCs w:val="20"/>
              </w:rPr>
              <w:t>The condition must be a confirmed diagnosis of ADPKD</w:t>
            </w:r>
          </w:p>
          <w:p w:rsidR="001533A5" w:rsidRPr="006B1802" w:rsidRDefault="001533A5" w:rsidP="00B93A10">
            <w:pPr>
              <w:spacing w:before="40" w:after="40"/>
              <w:rPr>
                <w:rFonts w:ascii="Arial Narrow" w:hAnsi="Arial Narrow" w:cs="Arial"/>
                <w:sz w:val="20"/>
                <w:szCs w:val="20"/>
              </w:rPr>
            </w:pPr>
            <w:r w:rsidRPr="006B1802">
              <w:rPr>
                <w:rFonts w:ascii="Arial Narrow" w:hAnsi="Arial Narrow" w:cs="Arial"/>
                <w:sz w:val="20"/>
                <w:szCs w:val="20"/>
              </w:rPr>
              <w:t>AND</w:t>
            </w:r>
          </w:p>
          <w:p w:rsidR="001533A5" w:rsidRPr="006B1802" w:rsidRDefault="001533A5" w:rsidP="00B93A10">
            <w:pPr>
              <w:spacing w:before="40" w:after="40"/>
              <w:rPr>
                <w:rFonts w:ascii="Arial Narrow" w:hAnsi="Arial Narrow" w:cs="Arial"/>
                <w:sz w:val="20"/>
                <w:szCs w:val="20"/>
              </w:rPr>
            </w:pPr>
            <w:r w:rsidRPr="006B1802">
              <w:rPr>
                <w:rFonts w:ascii="Arial Narrow" w:hAnsi="Arial Narrow" w:cs="Arial"/>
                <w:sz w:val="20"/>
                <w:szCs w:val="20"/>
              </w:rPr>
              <w:t>Patient must have previously been issued with an authority prescription for this drug for this condition</w:t>
            </w:r>
          </w:p>
          <w:p w:rsidR="001533A5" w:rsidRPr="006B1802" w:rsidRDefault="001533A5" w:rsidP="00B93A10">
            <w:pPr>
              <w:spacing w:before="40" w:after="40"/>
              <w:rPr>
                <w:rFonts w:ascii="Arial Narrow" w:hAnsi="Arial Narrow" w:cs="Arial"/>
                <w:sz w:val="20"/>
                <w:szCs w:val="20"/>
              </w:rPr>
            </w:pPr>
            <w:r w:rsidRPr="006B1802">
              <w:rPr>
                <w:rFonts w:ascii="Arial Narrow" w:hAnsi="Arial Narrow" w:cs="Arial"/>
                <w:sz w:val="20"/>
                <w:szCs w:val="20"/>
              </w:rPr>
              <w:t>AND</w:t>
            </w:r>
          </w:p>
          <w:p w:rsidR="00BB51E5" w:rsidRPr="006B1802" w:rsidRDefault="001533A5" w:rsidP="00B93A10">
            <w:pPr>
              <w:spacing w:before="40" w:after="40"/>
              <w:rPr>
                <w:rFonts w:ascii="Arial Narrow" w:hAnsi="Arial Narrow" w:cs="Arial"/>
                <w:sz w:val="20"/>
                <w:szCs w:val="20"/>
              </w:rPr>
            </w:pPr>
            <w:r w:rsidRPr="006B1802">
              <w:rPr>
                <w:rFonts w:ascii="Arial Narrow" w:hAnsi="Arial Narrow" w:cs="Arial"/>
                <w:sz w:val="20"/>
                <w:szCs w:val="20"/>
              </w:rPr>
              <w:t>The patient must not have reached end-stage renal disease (eGFR&lt;15 mL/min/1.73m</w:t>
            </w:r>
            <w:r w:rsidRPr="006B1802">
              <w:rPr>
                <w:rFonts w:ascii="Arial Narrow" w:hAnsi="Arial Narrow" w:cs="Arial"/>
                <w:sz w:val="20"/>
                <w:szCs w:val="20"/>
                <w:vertAlign w:val="superscript"/>
              </w:rPr>
              <w:t>2</w:t>
            </w:r>
            <w:r w:rsidRPr="006B1802">
              <w:rPr>
                <w:rFonts w:ascii="Arial Narrow" w:hAnsi="Arial Narrow" w:cs="Arial"/>
                <w:sz w:val="20"/>
                <w:szCs w:val="20"/>
              </w:rPr>
              <w:t>) or undergone a kidney transplant.</w:t>
            </w:r>
          </w:p>
        </w:tc>
      </w:tr>
      <w:tr w:rsidR="00BB51E5" w:rsidRPr="006B1802" w:rsidTr="00935768">
        <w:trPr>
          <w:gridAfter w:val="1"/>
          <w:wAfter w:w="7"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BB51E5" w:rsidRPr="006B1802" w:rsidRDefault="00BB51E5" w:rsidP="00B93A10">
            <w:pPr>
              <w:spacing w:before="40" w:after="40"/>
              <w:rPr>
                <w:rFonts w:ascii="Arial Narrow" w:hAnsi="Arial Narrow" w:cs="Arial"/>
                <w:sz w:val="18"/>
                <w:szCs w:val="20"/>
              </w:rPr>
            </w:pPr>
            <w:r w:rsidRPr="006B1802">
              <w:rPr>
                <w:rFonts w:ascii="Arial Narrow" w:hAnsi="Arial Narrow" w:cs="Arial"/>
                <w:sz w:val="18"/>
                <w:szCs w:val="20"/>
              </w:rPr>
              <w:t>Population criteria:</w:t>
            </w:r>
          </w:p>
          <w:p w:rsidR="00BB51E5" w:rsidRPr="006B1802" w:rsidRDefault="00BB51E5" w:rsidP="00B93A10">
            <w:pPr>
              <w:spacing w:before="40" w:after="40"/>
              <w:rPr>
                <w:rFonts w:ascii="Arial Narrow" w:hAnsi="Arial Narrow" w:cs="Arial"/>
                <w:sz w:val="18"/>
                <w:szCs w:val="20"/>
              </w:rPr>
            </w:pPr>
          </w:p>
        </w:tc>
        <w:tc>
          <w:tcPr>
            <w:tcW w:w="3905" w:type="pct"/>
            <w:gridSpan w:val="6"/>
            <w:tcBorders>
              <w:top w:val="single" w:sz="4" w:space="0" w:color="auto"/>
              <w:left w:val="single" w:sz="4" w:space="0" w:color="auto"/>
              <w:bottom w:val="single" w:sz="4" w:space="0" w:color="auto"/>
              <w:right w:val="single" w:sz="4" w:space="0" w:color="auto"/>
            </w:tcBorders>
          </w:tcPr>
          <w:p w:rsidR="00BB51E5" w:rsidRPr="006B1802" w:rsidRDefault="00BB51E5" w:rsidP="00B93A10">
            <w:pPr>
              <w:spacing w:before="40" w:after="40"/>
              <w:rPr>
                <w:rFonts w:ascii="Arial Narrow" w:hAnsi="Arial Narrow" w:cs="Arial"/>
                <w:sz w:val="20"/>
                <w:szCs w:val="20"/>
              </w:rPr>
            </w:pPr>
            <w:r w:rsidRPr="006B1802">
              <w:rPr>
                <w:rFonts w:ascii="Arial Narrow" w:hAnsi="Arial Narrow" w:cs="Arial"/>
                <w:sz w:val="20"/>
                <w:szCs w:val="20"/>
              </w:rPr>
              <w:t>N/A</w:t>
            </w:r>
          </w:p>
        </w:tc>
      </w:tr>
      <w:tr w:rsidR="00BB51E5" w:rsidRPr="006B1802" w:rsidTr="00935768">
        <w:trPr>
          <w:gridAfter w:val="1"/>
          <w:wAfter w:w="7"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BB51E5" w:rsidRPr="006B1802" w:rsidRDefault="00BB51E5" w:rsidP="00B93A10">
            <w:pPr>
              <w:spacing w:before="40" w:after="40"/>
              <w:rPr>
                <w:rFonts w:ascii="Arial Narrow" w:hAnsi="Arial Narrow" w:cs="Arial"/>
                <w:sz w:val="18"/>
                <w:szCs w:val="20"/>
              </w:rPr>
            </w:pPr>
            <w:r w:rsidRPr="006B1802">
              <w:rPr>
                <w:rFonts w:ascii="Arial Narrow" w:hAnsi="Arial Narrow" w:cs="Arial"/>
                <w:sz w:val="18"/>
                <w:szCs w:val="20"/>
              </w:rPr>
              <w:t>Foreword</w:t>
            </w:r>
          </w:p>
          <w:p w:rsidR="00BB51E5" w:rsidRPr="006B1802" w:rsidRDefault="00BB51E5" w:rsidP="00B93A10">
            <w:pPr>
              <w:spacing w:before="40" w:after="40"/>
              <w:rPr>
                <w:rFonts w:ascii="Arial Narrow" w:hAnsi="Arial Narrow" w:cs="Arial"/>
                <w:sz w:val="18"/>
                <w:szCs w:val="20"/>
              </w:rPr>
            </w:pPr>
          </w:p>
        </w:tc>
        <w:tc>
          <w:tcPr>
            <w:tcW w:w="3905" w:type="pct"/>
            <w:gridSpan w:val="6"/>
            <w:tcBorders>
              <w:top w:val="single" w:sz="4" w:space="0" w:color="auto"/>
              <w:left w:val="single" w:sz="4" w:space="0" w:color="auto"/>
              <w:bottom w:val="single" w:sz="4" w:space="0" w:color="auto"/>
              <w:right w:val="single" w:sz="4" w:space="0" w:color="auto"/>
            </w:tcBorders>
          </w:tcPr>
          <w:p w:rsidR="00BB51E5" w:rsidRPr="006B1802" w:rsidRDefault="00BB51E5" w:rsidP="00B93A10">
            <w:pPr>
              <w:spacing w:before="40" w:after="40"/>
              <w:rPr>
                <w:rFonts w:ascii="Arial Narrow" w:hAnsi="Arial Narrow" w:cs="Arial"/>
                <w:sz w:val="20"/>
                <w:szCs w:val="20"/>
              </w:rPr>
            </w:pPr>
            <w:r w:rsidRPr="006B1802">
              <w:rPr>
                <w:rFonts w:ascii="Arial Narrow" w:hAnsi="Arial Narrow" w:cs="Arial"/>
                <w:sz w:val="20"/>
                <w:szCs w:val="20"/>
              </w:rPr>
              <w:t>N/A</w:t>
            </w:r>
          </w:p>
        </w:tc>
      </w:tr>
      <w:tr w:rsidR="00BB51E5" w:rsidRPr="006B1802" w:rsidTr="00935768">
        <w:trPr>
          <w:gridAfter w:val="1"/>
          <w:wAfter w:w="7"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BB51E5" w:rsidRPr="006B1802" w:rsidRDefault="00BB51E5" w:rsidP="00B93A10">
            <w:pPr>
              <w:spacing w:before="40" w:after="40"/>
              <w:rPr>
                <w:rFonts w:ascii="Arial Narrow" w:hAnsi="Arial Narrow" w:cs="Arial"/>
                <w:sz w:val="18"/>
                <w:szCs w:val="20"/>
              </w:rPr>
            </w:pPr>
            <w:r w:rsidRPr="006B1802">
              <w:rPr>
                <w:rFonts w:ascii="Arial Narrow" w:hAnsi="Arial Narrow" w:cs="Arial"/>
                <w:sz w:val="18"/>
                <w:szCs w:val="20"/>
              </w:rPr>
              <w:t>Definitions</w:t>
            </w:r>
          </w:p>
          <w:p w:rsidR="00BB51E5" w:rsidRPr="006B1802" w:rsidRDefault="00BB51E5" w:rsidP="00B93A10">
            <w:pPr>
              <w:spacing w:before="40" w:after="40"/>
              <w:rPr>
                <w:rFonts w:ascii="Arial Narrow" w:hAnsi="Arial Narrow" w:cs="Arial"/>
                <w:sz w:val="18"/>
                <w:szCs w:val="20"/>
              </w:rPr>
            </w:pPr>
          </w:p>
        </w:tc>
        <w:tc>
          <w:tcPr>
            <w:tcW w:w="3905" w:type="pct"/>
            <w:gridSpan w:val="6"/>
            <w:tcBorders>
              <w:top w:val="single" w:sz="4" w:space="0" w:color="auto"/>
              <w:left w:val="single" w:sz="4" w:space="0" w:color="auto"/>
              <w:bottom w:val="single" w:sz="4" w:space="0" w:color="auto"/>
              <w:right w:val="single" w:sz="4" w:space="0" w:color="auto"/>
            </w:tcBorders>
          </w:tcPr>
          <w:p w:rsidR="00BB51E5" w:rsidRPr="006B1802" w:rsidRDefault="001533A5" w:rsidP="00B93A10">
            <w:pPr>
              <w:spacing w:before="40" w:after="40"/>
              <w:rPr>
                <w:rFonts w:ascii="Arial Narrow" w:hAnsi="Arial Narrow" w:cs="Arial"/>
                <w:sz w:val="20"/>
                <w:szCs w:val="20"/>
              </w:rPr>
            </w:pPr>
            <w:r w:rsidRPr="006B1802">
              <w:rPr>
                <w:rFonts w:ascii="Arial Narrow" w:hAnsi="Arial Narrow" w:cs="Arial"/>
                <w:sz w:val="20"/>
                <w:szCs w:val="20"/>
              </w:rPr>
              <w:t>N/A</w:t>
            </w:r>
          </w:p>
        </w:tc>
      </w:tr>
      <w:tr w:rsidR="00BB51E5" w:rsidRPr="006B1802" w:rsidTr="00935768">
        <w:trPr>
          <w:gridAfter w:val="1"/>
          <w:wAfter w:w="7"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BB51E5" w:rsidRPr="006B1802" w:rsidRDefault="00BB51E5" w:rsidP="00B93A10">
            <w:pPr>
              <w:spacing w:before="40" w:after="40"/>
              <w:rPr>
                <w:rFonts w:ascii="Arial Narrow" w:hAnsi="Arial Narrow" w:cs="Arial"/>
                <w:sz w:val="18"/>
                <w:szCs w:val="20"/>
              </w:rPr>
            </w:pPr>
            <w:r w:rsidRPr="006B1802">
              <w:rPr>
                <w:rFonts w:ascii="Arial Narrow" w:hAnsi="Arial Narrow" w:cs="Arial"/>
                <w:sz w:val="18"/>
                <w:szCs w:val="20"/>
              </w:rPr>
              <w:t>Prescriber Instructions</w:t>
            </w:r>
          </w:p>
          <w:p w:rsidR="00BB51E5" w:rsidRPr="006B1802" w:rsidRDefault="00BB51E5" w:rsidP="00B93A10">
            <w:pPr>
              <w:spacing w:before="40" w:after="40"/>
              <w:rPr>
                <w:rFonts w:ascii="Arial Narrow" w:hAnsi="Arial Narrow" w:cs="Arial"/>
                <w:sz w:val="18"/>
                <w:szCs w:val="20"/>
              </w:rPr>
            </w:pPr>
          </w:p>
          <w:p w:rsidR="00BB51E5" w:rsidRPr="006B1802" w:rsidRDefault="00BB51E5" w:rsidP="00B93A10">
            <w:pPr>
              <w:spacing w:before="40" w:after="40"/>
              <w:rPr>
                <w:rFonts w:ascii="Arial Narrow" w:hAnsi="Arial Narrow" w:cs="Arial"/>
                <w:sz w:val="18"/>
                <w:szCs w:val="20"/>
              </w:rPr>
            </w:pPr>
          </w:p>
        </w:tc>
        <w:tc>
          <w:tcPr>
            <w:tcW w:w="3905" w:type="pct"/>
            <w:gridSpan w:val="6"/>
            <w:tcBorders>
              <w:top w:val="single" w:sz="4" w:space="0" w:color="auto"/>
              <w:left w:val="single" w:sz="4" w:space="0" w:color="auto"/>
              <w:bottom w:val="single" w:sz="4" w:space="0" w:color="auto"/>
              <w:right w:val="single" w:sz="4" w:space="0" w:color="auto"/>
            </w:tcBorders>
          </w:tcPr>
          <w:p w:rsidR="00BB51E5" w:rsidRPr="006B1802" w:rsidRDefault="00BB51E5" w:rsidP="00B93A10">
            <w:pPr>
              <w:spacing w:before="40" w:after="40"/>
              <w:rPr>
                <w:rFonts w:ascii="Arial Narrow" w:hAnsi="Arial Narrow" w:cs="Arial"/>
                <w:sz w:val="20"/>
                <w:szCs w:val="20"/>
              </w:rPr>
            </w:pPr>
            <w:r w:rsidRPr="006B1802">
              <w:rPr>
                <w:rFonts w:ascii="Arial Narrow" w:hAnsi="Arial Narrow" w:cs="Arial"/>
                <w:sz w:val="20"/>
                <w:szCs w:val="20"/>
              </w:rPr>
              <w:t>Details of tolvaptan prescriber training requirements</w:t>
            </w:r>
          </w:p>
          <w:p w:rsidR="00BB51E5" w:rsidRPr="006B1802" w:rsidRDefault="00BB51E5" w:rsidP="00B93A10">
            <w:pPr>
              <w:spacing w:before="40" w:after="40"/>
              <w:rPr>
                <w:rFonts w:ascii="Arial Narrow" w:hAnsi="Arial Narrow" w:cs="Arial"/>
                <w:sz w:val="20"/>
                <w:szCs w:val="20"/>
              </w:rPr>
            </w:pPr>
            <w:r w:rsidRPr="006B1802">
              <w:rPr>
                <w:rFonts w:ascii="Arial Narrow" w:hAnsi="Arial Narrow" w:cs="Arial"/>
                <w:sz w:val="20"/>
                <w:szCs w:val="20"/>
              </w:rPr>
              <w:t xml:space="preserve">Otsuka has committed to ensuring that in Australia all the </w:t>
            </w:r>
            <w:proofErr w:type="spellStart"/>
            <w:r w:rsidRPr="006B1802">
              <w:rPr>
                <w:rFonts w:ascii="Arial Narrow" w:hAnsi="Arial Narrow" w:cs="Arial"/>
                <w:sz w:val="20"/>
                <w:szCs w:val="20"/>
              </w:rPr>
              <w:t>Jinarc</w:t>
            </w:r>
            <w:proofErr w:type="spellEnd"/>
            <w:r w:rsidRPr="006B1802">
              <w:rPr>
                <w:rFonts w:ascii="Arial Narrow" w:hAnsi="Arial Narrow" w:cs="Arial"/>
                <w:sz w:val="20"/>
                <w:szCs w:val="20"/>
              </w:rPr>
              <w:t xml:space="preserve"> prescribers are educated on the use of the drug and that a liver function monitoring program is implemented to minimise the risk of hepatic injury.</w:t>
            </w:r>
          </w:p>
          <w:p w:rsidR="00BB51E5" w:rsidRPr="006B1802" w:rsidRDefault="00BB51E5" w:rsidP="00B93A10">
            <w:pPr>
              <w:spacing w:before="40" w:after="40"/>
              <w:rPr>
                <w:rFonts w:ascii="Arial Narrow" w:hAnsi="Arial Narrow" w:cs="Arial"/>
                <w:sz w:val="20"/>
                <w:szCs w:val="20"/>
              </w:rPr>
            </w:pPr>
            <w:r w:rsidRPr="006B1802">
              <w:rPr>
                <w:rFonts w:ascii="Arial Narrow" w:hAnsi="Arial Narrow" w:cs="Arial"/>
                <w:sz w:val="20"/>
                <w:szCs w:val="20"/>
              </w:rPr>
              <w:t xml:space="preserve">The </w:t>
            </w:r>
            <w:proofErr w:type="spellStart"/>
            <w:r w:rsidRPr="006B1802">
              <w:rPr>
                <w:rFonts w:ascii="Arial Narrow" w:hAnsi="Arial Narrow" w:cs="Arial"/>
                <w:sz w:val="20"/>
                <w:szCs w:val="20"/>
              </w:rPr>
              <w:t>Jinarc</w:t>
            </w:r>
            <w:proofErr w:type="spellEnd"/>
            <w:r w:rsidRPr="006B1802">
              <w:rPr>
                <w:rFonts w:ascii="Arial Narrow" w:hAnsi="Arial Narrow" w:cs="Arial"/>
                <w:sz w:val="20"/>
                <w:szCs w:val="20"/>
              </w:rPr>
              <w:t xml:space="preserve"> Monitoring and Distribution Program (www.jinarc.com.au) has been set up to host the training material and prescriber certification and to support long-term liver monitoring and safety. All prescribers and patients must take part in the </w:t>
            </w:r>
            <w:proofErr w:type="spellStart"/>
            <w:r w:rsidRPr="006B1802">
              <w:rPr>
                <w:rFonts w:ascii="Arial Narrow" w:hAnsi="Arial Narrow" w:cs="Arial"/>
                <w:sz w:val="20"/>
                <w:szCs w:val="20"/>
              </w:rPr>
              <w:t>Jinarc</w:t>
            </w:r>
            <w:proofErr w:type="spellEnd"/>
            <w:r w:rsidRPr="006B1802">
              <w:rPr>
                <w:rFonts w:ascii="Arial Narrow" w:hAnsi="Arial Narrow" w:cs="Arial"/>
                <w:sz w:val="20"/>
                <w:szCs w:val="20"/>
              </w:rPr>
              <w:t xml:space="preserve"> Monitoring and Distribution Program in order to prescribe/receive </w:t>
            </w:r>
            <w:proofErr w:type="spellStart"/>
            <w:r w:rsidRPr="006B1802">
              <w:rPr>
                <w:rFonts w:ascii="Arial Narrow" w:hAnsi="Arial Narrow" w:cs="Arial"/>
                <w:sz w:val="20"/>
                <w:szCs w:val="20"/>
              </w:rPr>
              <w:t>Jinarc</w:t>
            </w:r>
            <w:proofErr w:type="spellEnd"/>
            <w:r w:rsidRPr="006B1802">
              <w:rPr>
                <w:rFonts w:ascii="Arial Narrow" w:hAnsi="Arial Narrow" w:cs="Arial"/>
                <w:sz w:val="20"/>
                <w:szCs w:val="20"/>
              </w:rPr>
              <w:t xml:space="preserve"> in Australia.</w:t>
            </w:r>
          </w:p>
        </w:tc>
      </w:tr>
      <w:tr w:rsidR="00BB51E5" w:rsidRPr="006B1802" w:rsidTr="00935768">
        <w:trPr>
          <w:gridAfter w:val="1"/>
          <w:wAfter w:w="7"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BB51E5" w:rsidRPr="006B1802" w:rsidRDefault="00BB51E5" w:rsidP="00B93A10">
            <w:pPr>
              <w:spacing w:before="40" w:after="40"/>
              <w:rPr>
                <w:rFonts w:ascii="Arial Narrow" w:hAnsi="Arial Narrow" w:cs="Arial"/>
                <w:sz w:val="18"/>
                <w:szCs w:val="20"/>
              </w:rPr>
            </w:pPr>
            <w:r w:rsidRPr="006B1802">
              <w:rPr>
                <w:rFonts w:ascii="Arial Narrow" w:hAnsi="Arial Narrow" w:cs="Arial"/>
                <w:sz w:val="18"/>
                <w:szCs w:val="20"/>
              </w:rPr>
              <w:t>Administrative Advice</w:t>
            </w:r>
          </w:p>
          <w:p w:rsidR="00BB51E5" w:rsidRPr="006B1802" w:rsidRDefault="00BB51E5" w:rsidP="00B93A10">
            <w:pPr>
              <w:spacing w:before="40" w:after="40"/>
              <w:rPr>
                <w:rFonts w:ascii="Arial Narrow" w:hAnsi="Arial Narrow" w:cs="Arial"/>
                <w:sz w:val="18"/>
                <w:szCs w:val="20"/>
              </w:rPr>
            </w:pPr>
          </w:p>
        </w:tc>
        <w:tc>
          <w:tcPr>
            <w:tcW w:w="3905" w:type="pct"/>
            <w:gridSpan w:val="6"/>
            <w:tcBorders>
              <w:top w:val="single" w:sz="4" w:space="0" w:color="auto"/>
              <w:left w:val="single" w:sz="4" w:space="0" w:color="auto"/>
              <w:bottom w:val="single" w:sz="4" w:space="0" w:color="auto"/>
              <w:right w:val="single" w:sz="4" w:space="0" w:color="auto"/>
            </w:tcBorders>
          </w:tcPr>
          <w:p w:rsidR="00BB51E5" w:rsidRPr="006B1802" w:rsidRDefault="00BB51E5" w:rsidP="00B93A10">
            <w:pPr>
              <w:spacing w:before="40" w:after="40"/>
              <w:rPr>
                <w:rFonts w:ascii="Arial Narrow" w:hAnsi="Arial Narrow" w:cs="Arial"/>
                <w:sz w:val="20"/>
                <w:szCs w:val="20"/>
              </w:rPr>
            </w:pPr>
            <w:r w:rsidRPr="006B1802">
              <w:rPr>
                <w:rFonts w:ascii="Arial Narrow" w:hAnsi="Arial Narrow" w:cs="Arial"/>
                <w:sz w:val="20"/>
                <w:szCs w:val="20"/>
              </w:rPr>
              <w:t>N/A</w:t>
            </w:r>
          </w:p>
        </w:tc>
      </w:tr>
      <w:tr w:rsidR="00BB51E5" w:rsidRPr="006B1802" w:rsidTr="00935768">
        <w:trPr>
          <w:gridAfter w:val="1"/>
          <w:wAfter w:w="7"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BB51E5" w:rsidRPr="006B1802" w:rsidRDefault="00BB51E5" w:rsidP="00B93A10">
            <w:pPr>
              <w:spacing w:before="40" w:after="40"/>
              <w:rPr>
                <w:rFonts w:ascii="Arial Narrow" w:hAnsi="Arial Narrow" w:cs="Arial"/>
                <w:sz w:val="18"/>
                <w:szCs w:val="20"/>
              </w:rPr>
            </w:pPr>
            <w:r w:rsidRPr="006B1802">
              <w:rPr>
                <w:rFonts w:ascii="Arial Narrow" w:hAnsi="Arial Narrow" w:cs="Arial"/>
                <w:sz w:val="18"/>
                <w:szCs w:val="20"/>
              </w:rPr>
              <w:t>Cautions</w:t>
            </w:r>
          </w:p>
          <w:p w:rsidR="00BB51E5" w:rsidRPr="006B1802" w:rsidRDefault="00BB51E5" w:rsidP="00B93A10">
            <w:pPr>
              <w:spacing w:before="40" w:after="40"/>
              <w:rPr>
                <w:rFonts w:ascii="Arial Narrow" w:hAnsi="Arial Narrow" w:cs="Arial"/>
                <w:sz w:val="18"/>
                <w:szCs w:val="20"/>
              </w:rPr>
            </w:pPr>
          </w:p>
        </w:tc>
        <w:tc>
          <w:tcPr>
            <w:tcW w:w="3905" w:type="pct"/>
            <w:gridSpan w:val="6"/>
            <w:tcBorders>
              <w:top w:val="single" w:sz="4" w:space="0" w:color="auto"/>
              <w:left w:val="single" w:sz="4" w:space="0" w:color="auto"/>
              <w:bottom w:val="single" w:sz="4" w:space="0" w:color="auto"/>
              <w:right w:val="single" w:sz="4" w:space="0" w:color="auto"/>
            </w:tcBorders>
          </w:tcPr>
          <w:p w:rsidR="00BB51E5" w:rsidRPr="006B1802" w:rsidRDefault="00BB51E5" w:rsidP="00B93A10">
            <w:pPr>
              <w:spacing w:before="40" w:after="40"/>
              <w:rPr>
                <w:rFonts w:ascii="Arial Narrow" w:hAnsi="Arial Narrow" w:cs="Arial"/>
                <w:sz w:val="20"/>
                <w:szCs w:val="20"/>
              </w:rPr>
            </w:pPr>
            <w:r w:rsidRPr="006B1802">
              <w:rPr>
                <w:rFonts w:ascii="Arial Narrow" w:hAnsi="Arial Narrow" w:cs="Arial"/>
                <w:sz w:val="20"/>
                <w:szCs w:val="20"/>
              </w:rPr>
              <w:t>Recommendations for the management of potential hepatic toxicity</w:t>
            </w:r>
          </w:p>
          <w:p w:rsidR="00BB51E5" w:rsidRPr="006B1802" w:rsidRDefault="00BB51E5" w:rsidP="00B93A10">
            <w:pPr>
              <w:spacing w:before="40" w:after="40"/>
              <w:rPr>
                <w:rFonts w:ascii="Arial Narrow" w:hAnsi="Arial Narrow" w:cs="Arial"/>
                <w:sz w:val="20"/>
                <w:szCs w:val="20"/>
              </w:rPr>
            </w:pPr>
            <w:r w:rsidRPr="006B1802">
              <w:rPr>
                <w:rFonts w:ascii="Arial Narrow" w:hAnsi="Arial Narrow" w:cs="Arial"/>
                <w:sz w:val="20"/>
                <w:szCs w:val="20"/>
              </w:rPr>
              <w:t xml:space="preserve">To mitigate the risk of significant and/or irreversible liver injury, blood testing for hepatic transaminases and bilirubin is required prior to initiation of </w:t>
            </w:r>
            <w:proofErr w:type="spellStart"/>
            <w:r w:rsidRPr="006B1802">
              <w:rPr>
                <w:rFonts w:ascii="Arial Narrow" w:hAnsi="Arial Narrow" w:cs="Arial"/>
                <w:sz w:val="20"/>
                <w:szCs w:val="20"/>
              </w:rPr>
              <w:t>Jinarc</w:t>
            </w:r>
            <w:proofErr w:type="spellEnd"/>
            <w:r w:rsidRPr="006B1802">
              <w:rPr>
                <w:rFonts w:ascii="Arial Narrow" w:hAnsi="Arial Narrow" w:cs="Arial"/>
                <w:sz w:val="20"/>
                <w:szCs w:val="20"/>
              </w:rPr>
              <w:t>, continuing monthly for 18 months and at regular 3 monthly intervals thereafter. Concurrent monitoring for symptoms that may indicate liver injury (such as fatigue, anorexia, nausea, right upper abdominal discomfort, vomiting, fever, rash, pruritus, dark urine or jaundice) is recommended.</w:t>
            </w:r>
          </w:p>
        </w:tc>
      </w:tr>
    </w:tbl>
    <w:p w:rsidR="00BB51E5" w:rsidRPr="006B1802" w:rsidRDefault="00BB51E5" w:rsidP="00B93A10">
      <w:pPr>
        <w:rPr>
          <w:szCs w:val="22"/>
        </w:rPr>
      </w:pPr>
    </w:p>
    <w:p w:rsidR="00E012CD" w:rsidRPr="006B1802" w:rsidRDefault="00E012CD" w:rsidP="00B93A10">
      <w:pPr>
        <w:pStyle w:val="ListParagraph"/>
        <w:widowControl/>
        <w:numPr>
          <w:ilvl w:val="1"/>
          <w:numId w:val="14"/>
        </w:numPr>
        <w:contextualSpacing w:val="0"/>
        <w:rPr>
          <w:rFonts w:asciiTheme="minorHAnsi" w:hAnsiTheme="minorHAnsi"/>
          <w:sz w:val="24"/>
          <w:szCs w:val="24"/>
        </w:rPr>
      </w:pPr>
      <w:r w:rsidRPr="006B1802">
        <w:rPr>
          <w:rFonts w:asciiTheme="minorHAnsi" w:hAnsiTheme="minorHAnsi"/>
          <w:sz w:val="24"/>
          <w:szCs w:val="24"/>
        </w:rPr>
        <w:lastRenderedPageBreak/>
        <w:t xml:space="preserve">The Pre-PBAC response stated that Otsuka postponed the patient familiarisation program following the March 2018 PBAC deferral decision, however, </w:t>
      </w:r>
      <w:r w:rsidR="00174DFE" w:rsidRPr="006B1802">
        <w:rPr>
          <w:rFonts w:asciiTheme="minorHAnsi" w:hAnsiTheme="minorHAnsi"/>
          <w:sz w:val="24"/>
          <w:szCs w:val="24"/>
        </w:rPr>
        <w:t>the sponsor</w:t>
      </w:r>
      <w:r w:rsidRPr="006B1802">
        <w:rPr>
          <w:rFonts w:asciiTheme="minorHAnsi" w:hAnsiTheme="minorHAnsi"/>
          <w:sz w:val="24"/>
          <w:szCs w:val="24"/>
        </w:rPr>
        <w:t xml:space="preserve"> suggested a </w:t>
      </w:r>
      <w:r w:rsidRPr="006B1802">
        <w:rPr>
          <w:rFonts w:asciiTheme="minorHAnsi" w:eastAsiaTheme="minorHAnsi" w:hAnsiTheme="minorHAnsi" w:cstheme="minorBidi"/>
          <w:snapToGrid/>
          <w:sz w:val="24"/>
          <w:szCs w:val="24"/>
        </w:rPr>
        <w:t>grandfathering</w:t>
      </w:r>
      <w:r w:rsidRPr="006B1802">
        <w:rPr>
          <w:rFonts w:asciiTheme="minorHAnsi" w:hAnsiTheme="minorHAnsi"/>
          <w:sz w:val="24"/>
          <w:szCs w:val="24"/>
        </w:rPr>
        <w:t xml:space="preserve"> clause may still be appropriate for the 50 patients who previously participated in ADPKD clinical trials and continue to receive tolvaptan treatment in Australia.</w:t>
      </w:r>
    </w:p>
    <w:p w:rsidR="0056324B" w:rsidRPr="006B1802" w:rsidRDefault="0056324B" w:rsidP="00B93A10">
      <w:pPr>
        <w:jc w:val="both"/>
        <w:rPr>
          <w:rFonts w:asciiTheme="minorHAnsi" w:hAnsiTheme="minorHAnsi"/>
          <w:i/>
        </w:rPr>
      </w:pPr>
      <w:r w:rsidRPr="006B1802">
        <w:rPr>
          <w:rFonts w:asciiTheme="minorHAnsi" w:hAnsiTheme="minorHAnsi"/>
          <w:i/>
        </w:rPr>
        <w:t>For more deta</w:t>
      </w:r>
      <w:r w:rsidR="00294C7B" w:rsidRPr="006B1802">
        <w:rPr>
          <w:rFonts w:asciiTheme="minorHAnsi" w:hAnsiTheme="minorHAnsi"/>
          <w:i/>
        </w:rPr>
        <w:t>il on PBAC’s view, see section 5</w:t>
      </w:r>
      <w:r w:rsidRPr="006B1802">
        <w:rPr>
          <w:rFonts w:asciiTheme="minorHAnsi" w:hAnsiTheme="minorHAnsi"/>
          <w:i/>
        </w:rPr>
        <w:t xml:space="preserve"> PBAC outcome.</w:t>
      </w:r>
    </w:p>
    <w:p w:rsidR="00C603D4" w:rsidRPr="006B1802" w:rsidRDefault="00CE10C4" w:rsidP="00B93A10">
      <w:pPr>
        <w:pStyle w:val="PBACHeading1"/>
        <w:spacing w:before="240" w:after="120"/>
        <w:ind w:left="709" w:hanging="709"/>
        <w:rPr>
          <w:rFonts w:asciiTheme="minorHAnsi" w:hAnsiTheme="minorHAnsi"/>
          <w:sz w:val="32"/>
          <w:szCs w:val="32"/>
        </w:rPr>
      </w:pPr>
      <w:r w:rsidRPr="006B1802">
        <w:rPr>
          <w:rFonts w:asciiTheme="minorHAnsi" w:hAnsiTheme="minorHAnsi"/>
          <w:sz w:val="32"/>
          <w:szCs w:val="32"/>
        </w:rPr>
        <w:t>Background</w:t>
      </w:r>
    </w:p>
    <w:p w:rsidR="006B0D94" w:rsidRPr="006B1802" w:rsidRDefault="00104F2A" w:rsidP="00B93A10">
      <w:pPr>
        <w:pStyle w:val="ListParagraph"/>
        <w:widowControl/>
        <w:numPr>
          <w:ilvl w:val="1"/>
          <w:numId w:val="14"/>
        </w:numPr>
        <w:contextualSpacing w:val="0"/>
        <w:rPr>
          <w:rFonts w:asciiTheme="minorHAnsi" w:eastAsiaTheme="minorHAnsi" w:hAnsiTheme="minorHAnsi" w:cstheme="minorBidi"/>
          <w:snapToGrid/>
          <w:sz w:val="24"/>
          <w:szCs w:val="22"/>
        </w:rPr>
      </w:pPr>
      <w:r w:rsidRPr="006B1802">
        <w:rPr>
          <w:rFonts w:asciiTheme="minorHAnsi" w:eastAsiaTheme="minorHAnsi" w:hAnsiTheme="minorHAnsi" w:cstheme="minorBidi"/>
          <w:snapToGrid/>
          <w:sz w:val="24"/>
          <w:szCs w:val="22"/>
        </w:rPr>
        <w:t>Tolvaptan was</w:t>
      </w:r>
      <w:r w:rsidR="00476245" w:rsidRPr="006B1802">
        <w:rPr>
          <w:rFonts w:asciiTheme="minorHAnsi" w:eastAsiaTheme="minorHAnsi" w:hAnsiTheme="minorHAnsi" w:cstheme="minorBidi"/>
          <w:snapToGrid/>
          <w:sz w:val="24"/>
          <w:szCs w:val="22"/>
        </w:rPr>
        <w:t xml:space="preserve"> TGA registered </w:t>
      </w:r>
      <w:r w:rsidRPr="006B1802">
        <w:rPr>
          <w:rFonts w:asciiTheme="minorHAnsi" w:eastAsiaTheme="minorHAnsi" w:hAnsiTheme="minorHAnsi" w:cstheme="minorBidi"/>
          <w:snapToGrid/>
          <w:sz w:val="24"/>
          <w:szCs w:val="22"/>
        </w:rPr>
        <w:t>on 24 March 2017 to slow the progression of cyst development and renal insufficiency of ADPKD in adults with chronic kidney disease (CKD) stage 1-3 at initiation of treatment with evidence of rapidly progressing disease.</w:t>
      </w:r>
      <w:r w:rsidR="002B1AE6" w:rsidRPr="006B1802">
        <w:rPr>
          <w:rFonts w:asciiTheme="minorHAnsi" w:eastAsiaTheme="minorHAnsi" w:hAnsiTheme="minorHAnsi" w:cstheme="minorBidi"/>
          <w:snapToGrid/>
          <w:sz w:val="24"/>
          <w:szCs w:val="22"/>
        </w:rPr>
        <w:t xml:space="preserve"> </w:t>
      </w:r>
    </w:p>
    <w:p w:rsidR="00104F2A" w:rsidRPr="006B1802" w:rsidRDefault="00104F2A" w:rsidP="00B93A10">
      <w:pPr>
        <w:pStyle w:val="ListParagraph"/>
        <w:widowControl/>
        <w:numPr>
          <w:ilvl w:val="1"/>
          <w:numId w:val="14"/>
        </w:numPr>
        <w:contextualSpacing w:val="0"/>
        <w:rPr>
          <w:rFonts w:asciiTheme="minorHAnsi" w:eastAsiaTheme="minorHAnsi" w:hAnsiTheme="minorHAnsi" w:cstheme="minorBidi"/>
          <w:snapToGrid/>
          <w:sz w:val="24"/>
          <w:szCs w:val="22"/>
        </w:rPr>
      </w:pPr>
      <w:r w:rsidRPr="006B1802">
        <w:rPr>
          <w:rFonts w:asciiTheme="minorHAnsi" w:eastAsiaTheme="minorHAnsi" w:hAnsiTheme="minorHAnsi" w:cstheme="minorBidi"/>
          <w:snapToGrid/>
          <w:sz w:val="24"/>
          <w:szCs w:val="22"/>
        </w:rPr>
        <w:t>Tolvaptan has been considered by the PBAC on two p</w:t>
      </w:r>
      <w:r w:rsidR="00614159" w:rsidRPr="006B1802">
        <w:rPr>
          <w:rFonts w:asciiTheme="minorHAnsi" w:eastAsiaTheme="minorHAnsi" w:hAnsiTheme="minorHAnsi" w:cstheme="minorBidi"/>
          <w:snapToGrid/>
          <w:sz w:val="24"/>
          <w:szCs w:val="22"/>
        </w:rPr>
        <w:t xml:space="preserve">revious </w:t>
      </w:r>
      <w:r w:rsidRPr="006B1802">
        <w:rPr>
          <w:rFonts w:asciiTheme="minorHAnsi" w:eastAsiaTheme="minorHAnsi" w:hAnsiTheme="minorHAnsi" w:cstheme="minorBidi"/>
          <w:snapToGrid/>
          <w:sz w:val="24"/>
          <w:szCs w:val="22"/>
        </w:rPr>
        <w:t xml:space="preserve">occasions. </w:t>
      </w:r>
    </w:p>
    <w:p w:rsidR="00BC0987" w:rsidRPr="006B1802" w:rsidRDefault="00C97FED" w:rsidP="00B93A10">
      <w:pPr>
        <w:pStyle w:val="ListParagraph"/>
        <w:widowControl/>
        <w:numPr>
          <w:ilvl w:val="1"/>
          <w:numId w:val="14"/>
        </w:numPr>
        <w:contextualSpacing w:val="0"/>
        <w:rPr>
          <w:rFonts w:asciiTheme="minorHAnsi" w:eastAsiaTheme="minorHAnsi" w:hAnsiTheme="minorHAnsi" w:cstheme="minorBidi"/>
          <w:snapToGrid/>
          <w:sz w:val="24"/>
          <w:szCs w:val="24"/>
        </w:rPr>
      </w:pPr>
      <w:r w:rsidRPr="006B1802">
        <w:rPr>
          <w:rFonts w:asciiTheme="minorHAnsi" w:hAnsiTheme="minorHAnsi"/>
          <w:sz w:val="24"/>
          <w:szCs w:val="24"/>
        </w:rPr>
        <w:t>In the March 2017 submission</w:t>
      </w:r>
      <w:r w:rsidR="00BC0987" w:rsidRPr="006B1802">
        <w:rPr>
          <w:rFonts w:asciiTheme="minorHAnsi" w:hAnsiTheme="minorHAnsi"/>
          <w:sz w:val="24"/>
          <w:szCs w:val="24"/>
        </w:rPr>
        <w:t xml:space="preserve">, the PBAC rejected the submission on the basis that it was uncertain about the long-term clinical benefit </w:t>
      </w:r>
      <w:r w:rsidR="000F7B68" w:rsidRPr="006B1802">
        <w:rPr>
          <w:rFonts w:asciiTheme="minorHAnsi" w:hAnsiTheme="minorHAnsi"/>
          <w:sz w:val="24"/>
          <w:szCs w:val="24"/>
        </w:rPr>
        <w:t xml:space="preserve">and </w:t>
      </w:r>
      <w:r w:rsidR="00BC0987" w:rsidRPr="006B1802">
        <w:rPr>
          <w:rFonts w:asciiTheme="minorHAnsi" w:hAnsiTheme="minorHAnsi"/>
          <w:sz w:val="24"/>
          <w:szCs w:val="24"/>
        </w:rPr>
        <w:t>it was concerned about the potential for substantial liver toxicity. In this context, the PBAC considered that the incremental cost-effectiveness was very high and unclear and the likelihood of high overall costs to government was unacceptable.</w:t>
      </w:r>
    </w:p>
    <w:p w:rsidR="00BC0987" w:rsidRPr="006B1802" w:rsidRDefault="00BC0987" w:rsidP="00B93A10">
      <w:pPr>
        <w:pStyle w:val="ListParagraph"/>
        <w:widowControl/>
        <w:numPr>
          <w:ilvl w:val="1"/>
          <w:numId w:val="14"/>
        </w:numPr>
        <w:contextualSpacing w:val="0"/>
        <w:rPr>
          <w:rFonts w:asciiTheme="minorHAnsi" w:eastAsiaTheme="minorHAnsi" w:hAnsiTheme="minorHAnsi" w:cstheme="minorBidi"/>
          <w:snapToGrid/>
          <w:sz w:val="24"/>
          <w:szCs w:val="24"/>
        </w:rPr>
      </w:pPr>
      <w:r w:rsidRPr="006B1802">
        <w:rPr>
          <w:rFonts w:asciiTheme="minorHAnsi" w:eastAsiaTheme="minorHAnsi" w:hAnsiTheme="minorHAnsi" w:cstheme="minorBidi"/>
          <w:snapToGrid/>
          <w:sz w:val="24"/>
          <w:szCs w:val="24"/>
        </w:rPr>
        <w:t>In the March 2018 resubmission, the PBAC deferred making a decision reg</w:t>
      </w:r>
      <w:r w:rsidR="000F7B68" w:rsidRPr="006B1802">
        <w:rPr>
          <w:rFonts w:asciiTheme="minorHAnsi" w:eastAsiaTheme="minorHAnsi" w:hAnsiTheme="minorHAnsi" w:cstheme="minorBidi"/>
          <w:snapToGrid/>
          <w:sz w:val="24"/>
          <w:szCs w:val="24"/>
        </w:rPr>
        <w:t>arding the submission as it considered</w:t>
      </w:r>
      <w:r w:rsidRPr="006B1802">
        <w:rPr>
          <w:rFonts w:asciiTheme="minorHAnsi" w:eastAsiaTheme="minorHAnsi" w:hAnsiTheme="minorHAnsi" w:cstheme="minorBidi"/>
          <w:snapToGrid/>
          <w:sz w:val="24"/>
          <w:szCs w:val="24"/>
        </w:rPr>
        <w:t xml:space="preserve"> the clinical benefit of tolvaptan treatment was u</w:t>
      </w:r>
      <w:r w:rsidR="0081050B" w:rsidRPr="006B1802">
        <w:rPr>
          <w:rFonts w:asciiTheme="minorHAnsi" w:eastAsiaTheme="minorHAnsi" w:hAnsiTheme="minorHAnsi" w:cstheme="minorBidi"/>
          <w:snapToGrid/>
          <w:sz w:val="24"/>
          <w:szCs w:val="24"/>
        </w:rPr>
        <w:t xml:space="preserve">ncertain and at best very </w:t>
      </w:r>
      <w:r w:rsidR="000F7B68" w:rsidRPr="006B1802">
        <w:rPr>
          <w:rFonts w:asciiTheme="minorHAnsi" w:eastAsiaTheme="minorHAnsi" w:hAnsiTheme="minorHAnsi" w:cstheme="minorBidi"/>
          <w:snapToGrid/>
          <w:sz w:val="24"/>
          <w:szCs w:val="24"/>
        </w:rPr>
        <w:t>small. In this context the PBAC considered</w:t>
      </w:r>
      <w:r w:rsidR="0081050B" w:rsidRPr="006B1802">
        <w:rPr>
          <w:rFonts w:asciiTheme="minorHAnsi" w:eastAsiaTheme="minorHAnsi" w:hAnsiTheme="minorHAnsi" w:cstheme="minorBidi"/>
          <w:snapToGrid/>
          <w:sz w:val="24"/>
          <w:szCs w:val="24"/>
        </w:rPr>
        <w:t xml:space="preserve"> n</w:t>
      </w:r>
      <w:r w:rsidRPr="006B1802">
        <w:rPr>
          <w:rFonts w:asciiTheme="minorHAnsi" w:eastAsiaTheme="minorHAnsi" w:hAnsiTheme="minorHAnsi" w:cstheme="minorBidi"/>
          <w:snapToGrid/>
          <w:sz w:val="24"/>
          <w:szCs w:val="24"/>
        </w:rPr>
        <w:t xml:space="preserve">o new trial data is anticipated that could resolve this issue. Treatment is also expected to be long-term; over 40-50 years. </w:t>
      </w:r>
      <w:r w:rsidR="00361ADC" w:rsidRPr="006B1802">
        <w:rPr>
          <w:rFonts w:asciiTheme="minorHAnsi" w:eastAsiaTheme="minorHAnsi" w:hAnsiTheme="minorHAnsi" w:cstheme="minorBidi"/>
          <w:snapToGrid/>
          <w:sz w:val="24"/>
          <w:szCs w:val="24"/>
        </w:rPr>
        <w:t>It was determined a</w:t>
      </w:r>
      <w:r w:rsidRPr="006B1802">
        <w:rPr>
          <w:rFonts w:asciiTheme="minorHAnsi" w:eastAsiaTheme="minorHAnsi" w:hAnsiTheme="minorHAnsi" w:cstheme="minorBidi"/>
          <w:snapToGrid/>
          <w:sz w:val="24"/>
          <w:szCs w:val="24"/>
        </w:rPr>
        <w:t xml:space="preserve"> further submission for PBS listing would need to consider resolving issues of uncertain clinical benefit and duration of therapy by adjusting the optimistic assumptions in the economic evaluation. The price would also need to be substantially lower to reduce the incremental cost effectiveness ratio (ICER). Further work on the proposed PBS restriction would be required to identify a more severely affected patient group. PBS listing would also require a tight risk share arrangement to limit subsidy to this more severely affected population.  </w:t>
      </w:r>
    </w:p>
    <w:p w:rsidR="0056324B" w:rsidRPr="006B1802" w:rsidRDefault="0056324B" w:rsidP="00B93A10">
      <w:pPr>
        <w:pStyle w:val="ListParagraph"/>
        <w:widowControl/>
        <w:contextualSpacing w:val="0"/>
        <w:rPr>
          <w:rFonts w:asciiTheme="minorHAnsi" w:eastAsiaTheme="minorHAnsi" w:hAnsiTheme="minorHAnsi" w:cstheme="minorBidi"/>
          <w:i/>
          <w:snapToGrid/>
          <w:sz w:val="24"/>
          <w:szCs w:val="24"/>
        </w:rPr>
      </w:pPr>
      <w:r w:rsidRPr="006B1802">
        <w:rPr>
          <w:rFonts w:asciiTheme="minorHAnsi" w:eastAsiaTheme="minorHAnsi" w:hAnsiTheme="minorHAnsi" w:cstheme="minorBidi"/>
          <w:i/>
          <w:snapToGrid/>
          <w:sz w:val="24"/>
          <w:szCs w:val="24"/>
        </w:rPr>
        <w:t xml:space="preserve">For more detail on PBAC’s view, see section </w:t>
      </w:r>
      <w:r w:rsidR="00294C7B" w:rsidRPr="006B1802">
        <w:rPr>
          <w:rFonts w:asciiTheme="minorHAnsi" w:eastAsiaTheme="minorHAnsi" w:hAnsiTheme="minorHAnsi" w:cstheme="minorBidi"/>
          <w:i/>
          <w:snapToGrid/>
          <w:sz w:val="24"/>
          <w:szCs w:val="24"/>
        </w:rPr>
        <w:t>5</w:t>
      </w:r>
      <w:r w:rsidRPr="006B1802">
        <w:rPr>
          <w:rFonts w:asciiTheme="minorHAnsi" w:eastAsiaTheme="minorHAnsi" w:hAnsiTheme="minorHAnsi" w:cstheme="minorBidi"/>
          <w:i/>
          <w:snapToGrid/>
          <w:sz w:val="24"/>
          <w:szCs w:val="24"/>
        </w:rPr>
        <w:t xml:space="preserve"> PBAC outcome.</w:t>
      </w:r>
    </w:p>
    <w:p w:rsidR="000B558D" w:rsidRPr="006B1802" w:rsidRDefault="008D7A41" w:rsidP="00B93A10">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6B1802">
        <w:rPr>
          <w:rFonts w:asciiTheme="minorHAnsi" w:hAnsiTheme="minorHAnsi"/>
          <w:sz w:val="32"/>
          <w:szCs w:val="32"/>
        </w:rPr>
        <w:t>C</w:t>
      </w:r>
      <w:r w:rsidR="00D84934" w:rsidRPr="006B1802">
        <w:rPr>
          <w:rFonts w:asciiTheme="minorHAnsi" w:hAnsiTheme="minorHAnsi"/>
          <w:sz w:val="32"/>
          <w:szCs w:val="32"/>
        </w:rPr>
        <w:t>onsideration of the evidence</w:t>
      </w:r>
    </w:p>
    <w:p w:rsidR="00836932" w:rsidRPr="006B1802" w:rsidRDefault="00836932" w:rsidP="00B93A10">
      <w:pPr>
        <w:pStyle w:val="Heading2"/>
        <w:keepLines/>
        <w:spacing w:before="240" w:after="120"/>
        <w:rPr>
          <w:rFonts w:asciiTheme="minorHAnsi" w:eastAsiaTheme="majorEastAsia" w:hAnsiTheme="minorHAnsi" w:cstheme="majorBidi"/>
          <w:sz w:val="28"/>
          <w:szCs w:val="28"/>
          <w:lang w:eastAsia="en-US"/>
        </w:rPr>
      </w:pPr>
      <w:r w:rsidRPr="006B1802">
        <w:rPr>
          <w:rFonts w:asciiTheme="minorHAnsi" w:eastAsiaTheme="majorEastAsia" w:hAnsiTheme="minorHAnsi" w:cstheme="majorBidi"/>
          <w:sz w:val="28"/>
          <w:szCs w:val="28"/>
          <w:lang w:eastAsia="en-US"/>
        </w:rPr>
        <w:t>Sponsor hearing</w:t>
      </w:r>
    </w:p>
    <w:p w:rsidR="00836932" w:rsidRPr="00B93A10" w:rsidRDefault="00836932" w:rsidP="00B93A10">
      <w:pPr>
        <w:numPr>
          <w:ilvl w:val="1"/>
          <w:numId w:val="5"/>
        </w:numPr>
        <w:jc w:val="both"/>
        <w:rPr>
          <w:rFonts w:ascii="Calibri" w:hAnsi="Calibri" w:cs="Arial"/>
          <w:bCs/>
          <w:snapToGrid w:val="0"/>
          <w:szCs w:val="22"/>
          <w:lang w:eastAsia="en-US"/>
        </w:rPr>
      </w:pPr>
      <w:r w:rsidRPr="00B93A10">
        <w:rPr>
          <w:rFonts w:ascii="Calibri" w:hAnsi="Calibri" w:cs="Arial"/>
          <w:bCs/>
          <w:snapToGrid w:val="0"/>
          <w:szCs w:val="22"/>
          <w:lang w:eastAsia="en-US"/>
        </w:rPr>
        <w:t>There was no hearing for this item as it was a minor submission.</w:t>
      </w:r>
    </w:p>
    <w:p w:rsidR="00836932" w:rsidRPr="006B1802" w:rsidRDefault="00836932" w:rsidP="00B93A10">
      <w:pPr>
        <w:pStyle w:val="Heading2"/>
        <w:keepLines/>
        <w:spacing w:before="240" w:after="120"/>
        <w:rPr>
          <w:rFonts w:asciiTheme="minorHAnsi" w:eastAsiaTheme="majorEastAsia" w:hAnsiTheme="minorHAnsi" w:cstheme="majorBidi"/>
          <w:sz w:val="28"/>
          <w:szCs w:val="28"/>
          <w:lang w:eastAsia="en-US"/>
        </w:rPr>
      </w:pPr>
      <w:r w:rsidRPr="006B1802">
        <w:rPr>
          <w:rFonts w:asciiTheme="minorHAnsi" w:eastAsiaTheme="majorEastAsia" w:hAnsiTheme="minorHAnsi" w:cstheme="majorBidi"/>
          <w:sz w:val="28"/>
          <w:szCs w:val="28"/>
          <w:lang w:eastAsia="en-US"/>
        </w:rPr>
        <w:t>Consumer comments</w:t>
      </w:r>
    </w:p>
    <w:p w:rsidR="001638C8" w:rsidRPr="006B1802" w:rsidRDefault="001638C8" w:rsidP="00B93A10">
      <w:pPr>
        <w:numPr>
          <w:ilvl w:val="1"/>
          <w:numId w:val="5"/>
        </w:numPr>
        <w:jc w:val="both"/>
        <w:rPr>
          <w:rFonts w:ascii="Calibri" w:hAnsi="Calibri" w:cs="Arial"/>
          <w:bCs/>
          <w:snapToGrid w:val="0"/>
          <w:szCs w:val="22"/>
          <w:lang w:eastAsia="en-US"/>
        </w:rPr>
      </w:pPr>
      <w:r w:rsidRPr="006B1802">
        <w:rPr>
          <w:rFonts w:ascii="Calibri" w:hAnsi="Calibri" w:cs="Arial"/>
          <w:bCs/>
          <w:snapToGrid w:val="0"/>
          <w:szCs w:val="22"/>
          <w:lang w:eastAsia="en-US"/>
        </w:rPr>
        <w:t>The PBAC noted and welcomed the input from individuals (17) and organisations (2) via the Consumer Comments facility on the PBS website</w:t>
      </w:r>
      <w:r w:rsidR="00756117" w:rsidRPr="006B1802">
        <w:rPr>
          <w:rFonts w:ascii="Calibri" w:hAnsi="Calibri" w:cs="Arial"/>
          <w:bCs/>
          <w:snapToGrid w:val="0"/>
          <w:szCs w:val="22"/>
          <w:lang w:eastAsia="en-US"/>
        </w:rPr>
        <w:t xml:space="preserve"> that were in keeping with comments received at</w:t>
      </w:r>
      <w:r w:rsidR="00756117" w:rsidRPr="006B1802">
        <w:rPr>
          <w:rFonts w:ascii="Calibri" w:hAnsi="Calibri" w:cs="Arial"/>
          <w:bCs/>
          <w:i/>
          <w:snapToGrid w:val="0"/>
          <w:szCs w:val="22"/>
          <w:lang w:eastAsia="en-US"/>
        </w:rPr>
        <w:t xml:space="preserve"> </w:t>
      </w:r>
      <w:r w:rsidR="00756117" w:rsidRPr="006B1802">
        <w:rPr>
          <w:rFonts w:ascii="Calibri" w:hAnsi="Calibri" w:cs="Arial"/>
          <w:bCs/>
          <w:snapToGrid w:val="0"/>
          <w:szCs w:val="22"/>
          <w:lang w:eastAsia="en-US"/>
        </w:rPr>
        <w:t>the March 2018 PBAC meeting, including</w:t>
      </w:r>
      <w:r w:rsidRPr="006B1802">
        <w:rPr>
          <w:rFonts w:ascii="Calibri" w:hAnsi="Calibri" w:cs="Arial"/>
          <w:bCs/>
          <w:snapToGrid w:val="0"/>
          <w:szCs w:val="22"/>
          <w:lang w:eastAsia="en-US"/>
        </w:rPr>
        <w:t xml:space="preserve"> a range of </w:t>
      </w:r>
      <w:r w:rsidRPr="006B1802">
        <w:rPr>
          <w:rFonts w:ascii="Calibri" w:hAnsi="Calibri" w:cs="Arial"/>
          <w:bCs/>
          <w:snapToGrid w:val="0"/>
          <w:szCs w:val="22"/>
          <w:lang w:eastAsia="en-US"/>
        </w:rPr>
        <w:lastRenderedPageBreak/>
        <w:t xml:space="preserve">anticipated benefits of treatment with tolvaptan including delayed disease progression, prolonging life, reduced pain, improved quality of life, avoidance of dialysis and transplantation, and employment opportunities. </w:t>
      </w:r>
    </w:p>
    <w:p w:rsidR="001638C8" w:rsidRPr="006B1802" w:rsidRDefault="001638C8" w:rsidP="00B93A10">
      <w:pPr>
        <w:ind w:left="720"/>
        <w:jc w:val="both"/>
        <w:rPr>
          <w:rFonts w:ascii="Calibri" w:hAnsi="Calibri" w:cs="Arial"/>
          <w:bCs/>
          <w:snapToGrid w:val="0"/>
          <w:szCs w:val="22"/>
          <w:lang w:eastAsia="en-US"/>
        </w:rPr>
      </w:pPr>
    </w:p>
    <w:p w:rsidR="001638C8" w:rsidRPr="006B1802" w:rsidRDefault="001638C8" w:rsidP="00B93A10">
      <w:pPr>
        <w:numPr>
          <w:ilvl w:val="1"/>
          <w:numId w:val="5"/>
        </w:numPr>
        <w:spacing w:after="120"/>
        <w:jc w:val="both"/>
        <w:rPr>
          <w:rFonts w:asciiTheme="minorHAnsi" w:hAnsiTheme="minorHAnsi" w:cs="Arial"/>
          <w:bCs/>
          <w:snapToGrid w:val="0"/>
          <w:szCs w:val="22"/>
          <w:lang w:eastAsia="en-US"/>
        </w:rPr>
      </w:pPr>
      <w:r w:rsidRPr="006B1802">
        <w:rPr>
          <w:rFonts w:asciiTheme="minorHAnsi" w:hAnsiTheme="minorHAnsi" w:cs="Arial"/>
          <w:bCs/>
          <w:snapToGrid w:val="0"/>
          <w:szCs w:val="22"/>
          <w:lang w:eastAsia="en-US"/>
        </w:rPr>
        <w:t>The PBAC noted the comments from Kidney Health</w:t>
      </w:r>
      <w:r w:rsidR="000325AF" w:rsidRPr="006B1802">
        <w:rPr>
          <w:rFonts w:asciiTheme="minorHAnsi" w:hAnsiTheme="minorHAnsi" w:cs="Arial"/>
          <w:bCs/>
          <w:snapToGrid w:val="0"/>
          <w:szCs w:val="22"/>
          <w:lang w:eastAsia="en-US"/>
        </w:rPr>
        <w:t xml:space="preserve"> and </w:t>
      </w:r>
      <w:r w:rsidR="00756117" w:rsidRPr="006B1802">
        <w:rPr>
          <w:rFonts w:asciiTheme="minorHAnsi" w:hAnsiTheme="minorHAnsi" w:cs="Arial"/>
          <w:bCs/>
          <w:snapToGrid w:val="0"/>
          <w:szCs w:val="22"/>
          <w:lang w:eastAsia="en-US"/>
        </w:rPr>
        <w:t>PKD Foundation</w:t>
      </w:r>
      <w:r w:rsidRPr="006B1802">
        <w:rPr>
          <w:rFonts w:asciiTheme="minorHAnsi" w:hAnsiTheme="minorHAnsi" w:cs="Arial"/>
          <w:bCs/>
          <w:snapToGrid w:val="0"/>
          <w:szCs w:val="22"/>
          <w:lang w:eastAsia="en-US"/>
        </w:rPr>
        <w:t xml:space="preserve"> Australia</w:t>
      </w:r>
      <w:r w:rsidR="00756117" w:rsidRPr="006B1802">
        <w:rPr>
          <w:rFonts w:asciiTheme="minorHAnsi" w:hAnsiTheme="minorHAnsi" w:cs="Arial"/>
          <w:bCs/>
          <w:snapToGrid w:val="0"/>
          <w:szCs w:val="22"/>
          <w:lang w:eastAsia="en-US"/>
        </w:rPr>
        <w:t xml:space="preserve"> and </w:t>
      </w:r>
      <w:r w:rsidRPr="006B1802">
        <w:rPr>
          <w:rFonts w:asciiTheme="minorHAnsi" w:hAnsiTheme="minorHAnsi" w:cs="Arial"/>
          <w:bCs/>
          <w:snapToGrid w:val="0"/>
          <w:szCs w:val="22"/>
          <w:lang w:eastAsia="en-US"/>
        </w:rPr>
        <w:t xml:space="preserve">acknowledged the ongoing emotional stress on patients affected by ADPKD. </w:t>
      </w:r>
    </w:p>
    <w:p w:rsidR="005A3173" w:rsidRPr="006B1802" w:rsidRDefault="005A3173" w:rsidP="00B93A10">
      <w:pPr>
        <w:pStyle w:val="Heading2"/>
        <w:keepLines/>
        <w:spacing w:before="240" w:after="120"/>
        <w:rPr>
          <w:rFonts w:asciiTheme="minorHAnsi" w:eastAsiaTheme="majorEastAsia" w:hAnsiTheme="minorHAnsi" w:cstheme="majorBidi"/>
          <w:sz w:val="28"/>
          <w:szCs w:val="28"/>
          <w:lang w:eastAsia="en-US"/>
        </w:rPr>
      </w:pPr>
      <w:r w:rsidRPr="006B1802">
        <w:rPr>
          <w:rFonts w:asciiTheme="minorHAnsi" w:eastAsiaTheme="majorEastAsia" w:hAnsiTheme="minorHAnsi" w:cstheme="majorBidi"/>
          <w:sz w:val="28"/>
          <w:szCs w:val="28"/>
          <w:lang w:eastAsia="en-US"/>
        </w:rPr>
        <w:t>Economic analysis</w:t>
      </w:r>
    </w:p>
    <w:p w:rsidR="002B3B49" w:rsidRPr="006B1802" w:rsidRDefault="00D845AE" w:rsidP="00B93A10">
      <w:pPr>
        <w:numPr>
          <w:ilvl w:val="1"/>
          <w:numId w:val="5"/>
        </w:numPr>
        <w:spacing w:after="120"/>
        <w:jc w:val="both"/>
        <w:rPr>
          <w:rFonts w:asciiTheme="minorHAnsi" w:hAnsiTheme="minorHAnsi"/>
        </w:rPr>
      </w:pPr>
      <w:r w:rsidRPr="006B1802">
        <w:rPr>
          <w:rFonts w:asciiTheme="minorHAnsi" w:hAnsiTheme="minorHAnsi"/>
        </w:rPr>
        <w:t>Table 1</w:t>
      </w:r>
      <w:r w:rsidR="002B3B49" w:rsidRPr="006B1802">
        <w:rPr>
          <w:rFonts w:asciiTheme="minorHAnsi" w:hAnsiTheme="minorHAnsi"/>
        </w:rPr>
        <w:t xml:space="preserve"> outlines the PBAC’s previous key concerns with the economic evaluation and how these were addressed in the minor resubmission. </w:t>
      </w:r>
    </w:p>
    <w:p w:rsidR="002B3B49" w:rsidRPr="006B1802" w:rsidRDefault="002B3B49" w:rsidP="00414990">
      <w:pPr>
        <w:keepNext/>
        <w:keepLines/>
        <w:rPr>
          <w:rFonts w:ascii="Arial Narrow" w:hAnsi="Arial Narrow"/>
          <w:b/>
          <w:sz w:val="20"/>
          <w:szCs w:val="20"/>
        </w:rPr>
      </w:pPr>
      <w:r w:rsidRPr="006B1802">
        <w:rPr>
          <w:rFonts w:ascii="Arial Narrow" w:hAnsi="Arial Narrow"/>
          <w:b/>
          <w:sz w:val="20"/>
          <w:szCs w:val="20"/>
        </w:rPr>
        <w:lastRenderedPageBreak/>
        <w:t xml:space="preserve">Table </w:t>
      </w:r>
      <w:r w:rsidR="00D845AE" w:rsidRPr="006B1802">
        <w:rPr>
          <w:rFonts w:ascii="Arial Narrow" w:hAnsi="Arial Narrow"/>
          <w:b/>
          <w:sz w:val="20"/>
          <w:szCs w:val="20"/>
        </w:rPr>
        <w:t>1</w:t>
      </w:r>
      <w:r w:rsidRPr="006B1802">
        <w:rPr>
          <w:rFonts w:ascii="Arial Narrow" w:hAnsi="Arial Narrow"/>
          <w:b/>
          <w:sz w:val="20"/>
          <w:szCs w:val="20"/>
        </w:rPr>
        <w:t>: Summary of outstanding matters of concern with the economic evaluation from March 2018</w:t>
      </w:r>
    </w:p>
    <w:tbl>
      <w:tblPr>
        <w:tblStyle w:val="TableGrid"/>
        <w:tblW w:w="0" w:type="auto"/>
        <w:tblLayout w:type="fixed"/>
        <w:tblLook w:val="04A0" w:firstRow="1" w:lastRow="0" w:firstColumn="1" w:lastColumn="0" w:noHBand="0" w:noVBand="1"/>
        <w:tblCaption w:val="Table 1: Summary of outstanding matters of concern with the economic evaluation from March 2018"/>
      </w:tblPr>
      <w:tblGrid>
        <w:gridCol w:w="2830"/>
        <w:gridCol w:w="6096"/>
      </w:tblGrid>
      <w:tr w:rsidR="002B3B49" w:rsidRPr="006B1802" w:rsidTr="008551C4">
        <w:trPr>
          <w:tblHeader/>
        </w:trPr>
        <w:tc>
          <w:tcPr>
            <w:tcW w:w="2830" w:type="dxa"/>
          </w:tcPr>
          <w:p w:rsidR="002B3B49" w:rsidRPr="006B1802" w:rsidRDefault="002B3B49" w:rsidP="00414990">
            <w:pPr>
              <w:keepNext/>
              <w:keepLines/>
              <w:rPr>
                <w:rFonts w:ascii="Arial Narrow" w:hAnsi="Arial Narrow"/>
                <w:b/>
                <w:i/>
                <w:sz w:val="20"/>
                <w:szCs w:val="20"/>
              </w:rPr>
            </w:pPr>
            <w:r w:rsidRPr="006B1802">
              <w:rPr>
                <w:rFonts w:ascii="Arial Narrow" w:hAnsi="Arial Narrow"/>
                <w:b/>
                <w:i/>
                <w:sz w:val="20"/>
                <w:szCs w:val="20"/>
              </w:rPr>
              <w:t xml:space="preserve">Previous PBAC concern </w:t>
            </w:r>
          </w:p>
        </w:tc>
        <w:tc>
          <w:tcPr>
            <w:tcW w:w="6096" w:type="dxa"/>
          </w:tcPr>
          <w:p w:rsidR="002B3B49" w:rsidRPr="006B1802" w:rsidRDefault="002B3B49" w:rsidP="00414990">
            <w:pPr>
              <w:keepNext/>
              <w:keepLines/>
              <w:rPr>
                <w:rFonts w:ascii="Arial Narrow" w:hAnsi="Arial Narrow"/>
                <w:b/>
                <w:i/>
                <w:sz w:val="20"/>
                <w:szCs w:val="20"/>
              </w:rPr>
            </w:pPr>
            <w:r w:rsidRPr="006B1802">
              <w:rPr>
                <w:rFonts w:ascii="Arial Narrow" w:hAnsi="Arial Narrow"/>
                <w:b/>
                <w:i/>
                <w:sz w:val="20"/>
                <w:szCs w:val="20"/>
              </w:rPr>
              <w:t>How addressed in minor resubmission</w:t>
            </w:r>
          </w:p>
        </w:tc>
      </w:tr>
      <w:tr w:rsidR="002B3B49" w:rsidRPr="006B1802" w:rsidTr="0014764A">
        <w:tc>
          <w:tcPr>
            <w:tcW w:w="2830" w:type="dxa"/>
          </w:tcPr>
          <w:p w:rsidR="002B3B49" w:rsidRPr="006B1802" w:rsidRDefault="002B3B49" w:rsidP="00414990">
            <w:pPr>
              <w:keepNext/>
              <w:keepLines/>
              <w:spacing w:after="160"/>
              <w:rPr>
                <w:rFonts w:ascii="Arial Narrow" w:hAnsi="Arial Narrow"/>
                <w:i/>
                <w:sz w:val="20"/>
                <w:szCs w:val="20"/>
              </w:rPr>
            </w:pPr>
            <w:r w:rsidRPr="006B1802">
              <w:rPr>
                <w:rFonts w:ascii="Arial Narrow" w:hAnsi="Arial Narrow"/>
                <w:bCs/>
                <w:sz w:val="20"/>
                <w:szCs w:val="20"/>
              </w:rPr>
              <w:t xml:space="preserve">Reliance on optimistic estimates of long-term treatment effects where delayed renal replacement therapy is the primary source of health benefit </w:t>
            </w:r>
            <w:r w:rsidRPr="006B1802">
              <w:rPr>
                <w:rFonts w:ascii="Arial Narrow" w:hAnsi="Arial Narrow"/>
                <w:sz w:val="20"/>
                <w:szCs w:val="20"/>
              </w:rPr>
              <w:t>(Para 7.11).</w:t>
            </w:r>
          </w:p>
        </w:tc>
        <w:tc>
          <w:tcPr>
            <w:tcW w:w="6096" w:type="dxa"/>
          </w:tcPr>
          <w:p w:rsidR="002B3B49" w:rsidRPr="006B1802" w:rsidRDefault="002B3B49" w:rsidP="00414990">
            <w:pPr>
              <w:keepNext/>
              <w:keepLines/>
              <w:rPr>
                <w:rFonts w:ascii="Arial Narrow" w:hAnsi="Arial Narrow"/>
                <w:sz w:val="20"/>
                <w:szCs w:val="20"/>
              </w:rPr>
            </w:pPr>
            <w:bookmarkStart w:id="5" w:name="_Hlk515858042"/>
            <w:r w:rsidRPr="006B1802">
              <w:rPr>
                <w:rFonts w:ascii="Arial Narrow" w:hAnsi="Arial Narrow"/>
                <w:sz w:val="20"/>
                <w:szCs w:val="20"/>
              </w:rPr>
              <w:t xml:space="preserve">A sensitivity analysis was provided wherein the tolvaptan treatment effect was reduced (halved) after 5 or 10 years of treatment. This sensitivity analysis did not reliably address the long-term treatment effect as the </w:t>
            </w:r>
            <w:r w:rsidR="008551C4" w:rsidRPr="006B1802">
              <w:rPr>
                <w:rFonts w:ascii="Arial Narrow" w:hAnsi="Arial Narrow"/>
                <w:sz w:val="20"/>
                <w:szCs w:val="20"/>
              </w:rPr>
              <w:t xml:space="preserve">proportion of patients still on treatment at 10 years in the model was 38% in TEMPO 3:4 and 16% in REPRISE (at 5 years, 66% and 53% of patients were still on treatment in TEMPO 3:4 and REPRISE, respectively). </w:t>
            </w:r>
            <w:r w:rsidRPr="006B1802">
              <w:rPr>
                <w:rFonts w:ascii="Arial Narrow" w:hAnsi="Arial Narrow"/>
                <w:sz w:val="20"/>
                <w:szCs w:val="20"/>
              </w:rPr>
              <w:t xml:space="preserve">Thus, the treatment effect was </w:t>
            </w:r>
            <w:r w:rsidR="00830CA8" w:rsidRPr="006B1802">
              <w:rPr>
                <w:rFonts w:ascii="Arial Narrow" w:hAnsi="Arial Narrow"/>
                <w:sz w:val="20"/>
                <w:szCs w:val="20"/>
              </w:rPr>
              <w:t xml:space="preserve">reduced </w:t>
            </w:r>
            <w:r w:rsidRPr="006B1802">
              <w:rPr>
                <w:rFonts w:ascii="Arial Narrow" w:hAnsi="Arial Narrow"/>
                <w:sz w:val="20"/>
                <w:szCs w:val="20"/>
              </w:rPr>
              <w:t xml:space="preserve">when </w:t>
            </w:r>
            <w:r w:rsidR="008551C4" w:rsidRPr="006B1802">
              <w:rPr>
                <w:rFonts w:ascii="Arial Narrow" w:hAnsi="Arial Narrow"/>
                <w:sz w:val="20"/>
                <w:szCs w:val="20"/>
              </w:rPr>
              <w:t>a large proportion</w:t>
            </w:r>
            <w:r w:rsidRPr="006B1802">
              <w:rPr>
                <w:rFonts w:ascii="Arial Narrow" w:hAnsi="Arial Narrow"/>
                <w:sz w:val="20"/>
                <w:szCs w:val="20"/>
              </w:rPr>
              <w:t xml:space="preserve"> of patients were off-treatment with tolvaptan (and assumed to be on best supportive care). </w:t>
            </w:r>
            <w:bookmarkEnd w:id="5"/>
          </w:p>
        </w:tc>
      </w:tr>
      <w:tr w:rsidR="002B3B49" w:rsidRPr="006B1802" w:rsidTr="0014764A">
        <w:tc>
          <w:tcPr>
            <w:tcW w:w="2830" w:type="dxa"/>
          </w:tcPr>
          <w:p w:rsidR="002B3B49" w:rsidRPr="006B1802" w:rsidRDefault="002B3B49" w:rsidP="00414990">
            <w:pPr>
              <w:keepNext/>
              <w:keepLines/>
              <w:spacing w:after="160"/>
              <w:rPr>
                <w:rFonts w:ascii="Arial Narrow" w:hAnsi="Arial Narrow"/>
                <w:bCs/>
                <w:sz w:val="20"/>
                <w:szCs w:val="20"/>
              </w:rPr>
            </w:pPr>
            <w:r w:rsidRPr="006B1802">
              <w:rPr>
                <w:rFonts w:ascii="Arial Narrow" w:hAnsi="Arial Narrow"/>
                <w:bCs/>
                <w:sz w:val="20"/>
                <w:szCs w:val="20"/>
              </w:rPr>
              <w:t>Uncertain clinical benefit applied in the economic model (paras 7.1, 7.9); The PBAC considered that a substantial price reduction would be required to account for the uncertain clinical benefit, even in a highly selected population</w:t>
            </w:r>
            <w:r w:rsidRPr="006B1802">
              <w:rPr>
                <w:rFonts w:ascii="Arial Narrow" w:hAnsi="Arial Narrow"/>
                <w:sz w:val="20"/>
                <w:szCs w:val="20"/>
              </w:rPr>
              <w:t xml:space="preserve"> (Para 7.11).</w:t>
            </w:r>
          </w:p>
        </w:tc>
        <w:tc>
          <w:tcPr>
            <w:tcW w:w="6096" w:type="dxa"/>
          </w:tcPr>
          <w:p w:rsidR="002B3B49" w:rsidRPr="006B1802" w:rsidRDefault="002B3B49" w:rsidP="00414990">
            <w:pPr>
              <w:keepNext/>
              <w:keepLines/>
              <w:rPr>
                <w:rFonts w:ascii="Arial Narrow" w:hAnsi="Arial Narrow"/>
                <w:sz w:val="20"/>
                <w:szCs w:val="20"/>
              </w:rPr>
            </w:pPr>
            <w:r w:rsidRPr="006B1802">
              <w:rPr>
                <w:rFonts w:ascii="Arial Narrow" w:hAnsi="Arial Narrow"/>
                <w:sz w:val="20"/>
                <w:szCs w:val="20"/>
              </w:rPr>
              <w:t>Clinical benefit not adjusted for in the resubmission’s base case model. Sensitivity analyses were conducted during preparation of the minor overview.</w:t>
            </w:r>
          </w:p>
        </w:tc>
      </w:tr>
      <w:tr w:rsidR="002B3B49" w:rsidRPr="006B1802" w:rsidTr="0014764A">
        <w:trPr>
          <w:trHeight w:val="760"/>
        </w:trPr>
        <w:tc>
          <w:tcPr>
            <w:tcW w:w="2830" w:type="dxa"/>
          </w:tcPr>
          <w:p w:rsidR="002B3B49" w:rsidRPr="006B1802" w:rsidRDefault="002B3B49" w:rsidP="00414990">
            <w:pPr>
              <w:keepNext/>
              <w:keepLines/>
              <w:spacing w:after="160"/>
              <w:ind w:left="-11"/>
              <w:rPr>
                <w:rFonts w:ascii="Arial Narrow" w:hAnsi="Arial Narrow"/>
                <w:i/>
                <w:sz w:val="20"/>
                <w:szCs w:val="20"/>
              </w:rPr>
            </w:pPr>
            <w:r w:rsidRPr="006B1802">
              <w:rPr>
                <w:rFonts w:ascii="Arial Narrow" w:hAnsi="Arial Narrow"/>
                <w:bCs/>
                <w:sz w:val="20"/>
                <w:szCs w:val="20"/>
              </w:rPr>
              <w:t xml:space="preserve">No </w:t>
            </w:r>
            <w:r w:rsidRPr="006B1802">
              <w:rPr>
                <w:rFonts w:ascii="Arial Narrow" w:hAnsi="Arial Narrow"/>
                <w:sz w:val="20"/>
                <w:szCs w:val="20"/>
              </w:rPr>
              <w:t>accounting for the acute hemodynamic effects associated with tolvaptan treatment (5-10% reduction in eGFR) (Para 7.11)</w:t>
            </w:r>
          </w:p>
        </w:tc>
        <w:tc>
          <w:tcPr>
            <w:tcW w:w="6096" w:type="dxa"/>
          </w:tcPr>
          <w:p w:rsidR="002B3B49" w:rsidRPr="006B1802" w:rsidRDefault="002B3B49" w:rsidP="00414990">
            <w:pPr>
              <w:keepNext/>
              <w:keepLines/>
              <w:rPr>
                <w:rFonts w:ascii="Arial Narrow" w:hAnsi="Arial Narrow"/>
                <w:sz w:val="20"/>
                <w:szCs w:val="20"/>
              </w:rPr>
            </w:pPr>
            <w:r w:rsidRPr="006B1802">
              <w:rPr>
                <w:rFonts w:ascii="Arial Narrow" w:hAnsi="Arial Narrow"/>
                <w:sz w:val="20"/>
                <w:szCs w:val="20"/>
              </w:rPr>
              <w:t>The resubmission stated that the price reduction (16.7%) “</w:t>
            </w:r>
            <w:proofErr w:type="gramStart"/>
            <w:r w:rsidRPr="006B1802">
              <w:rPr>
                <w:rFonts w:ascii="Arial Narrow" w:hAnsi="Arial Narrow"/>
                <w:sz w:val="20"/>
                <w:szCs w:val="20"/>
              </w:rPr>
              <w:t>should</w:t>
            </w:r>
            <w:proofErr w:type="gramEnd"/>
            <w:r w:rsidRPr="006B1802">
              <w:rPr>
                <w:rFonts w:ascii="Arial Narrow" w:hAnsi="Arial Narrow"/>
                <w:sz w:val="20"/>
                <w:szCs w:val="20"/>
              </w:rPr>
              <w:t xml:space="preserve"> account for any residual uncertainty associated with any potential acute hemodynamic effects”.  No other adjustments were made in the economic model to </w:t>
            </w:r>
            <w:r w:rsidR="00932294" w:rsidRPr="006B1802">
              <w:rPr>
                <w:rFonts w:ascii="Arial Narrow" w:hAnsi="Arial Narrow"/>
                <w:sz w:val="20"/>
                <w:szCs w:val="20"/>
              </w:rPr>
              <w:t xml:space="preserve">account </w:t>
            </w:r>
            <w:r w:rsidRPr="006B1802">
              <w:rPr>
                <w:rFonts w:ascii="Arial Narrow" w:hAnsi="Arial Narrow"/>
                <w:sz w:val="20"/>
                <w:szCs w:val="20"/>
              </w:rPr>
              <w:t>for this.</w:t>
            </w:r>
          </w:p>
        </w:tc>
      </w:tr>
      <w:tr w:rsidR="002B3B49" w:rsidRPr="006B1802" w:rsidTr="0014764A">
        <w:tc>
          <w:tcPr>
            <w:tcW w:w="2830" w:type="dxa"/>
          </w:tcPr>
          <w:p w:rsidR="002B3B49" w:rsidRPr="006B1802" w:rsidRDefault="002B3B49" w:rsidP="00414990">
            <w:pPr>
              <w:keepNext/>
              <w:keepLines/>
              <w:spacing w:after="160"/>
              <w:rPr>
                <w:rFonts w:ascii="Arial Narrow" w:hAnsi="Arial Narrow"/>
                <w:sz w:val="20"/>
                <w:szCs w:val="20"/>
              </w:rPr>
            </w:pPr>
            <w:r w:rsidRPr="006B1802">
              <w:rPr>
                <w:rFonts w:ascii="Arial Narrow" w:hAnsi="Arial Narrow"/>
                <w:sz w:val="20"/>
                <w:szCs w:val="20"/>
              </w:rPr>
              <w:t xml:space="preserve">The </w:t>
            </w:r>
            <w:r w:rsidRPr="006B1802">
              <w:rPr>
                <w:rFonts w:ascii="Arial Narrow" w:hAnsi="Arial Narrow"/>
                <w:bCs/>
                <w:sz w:val="20"/>
                <w:szCs w:val="20"/>
              </w:rPr>
              <w:t xml:space="preserve">assumption of rapid disease progression </w:t>
            </w:r>
            <w:r w:rsidRPr="006B1802">
              <w:rPr>
                <w:rFonts w:ascii="Arial Narrow" w:hAnsi="Arial Narrow"/>
                <w:sz w:val="20"/>
                <w:szCs w:val="20"/>
              </w:rPr>
              <w:t>(Para 7.11)</w:t>
            </w:r>
          </w:p>
          <w:p w:rsidR="002B3B49" w:rsidRPr="006B1802" w:rsidRDefault="002B3B49" w:rsidP="00414990">
            <w:pPr>
              <w:keepNext/>
              <w:keepLines/>
              <w:spacing w:after="160"/>
              <w:rPr>
                <w:rFonts w:ascii="Arial Narrow" w:hAnsi="Arial Narrow"/>
                <w:i/>
                <w:sz w:val="20"/>
                <w:szCs w:val="20"/>
              </w:rPr>
            </w:pPr>
            <w:r w:rsidRPr="006B1802">
              <w:rPr>
                <w:rFonts w:ascii="Arial Narrow" w:hAnsi="Arial Narrow"/>
                <w:bCs/>
                <w:sz w:val="20"/>
                <w:szCs w:val="20"/>
              </w:rPr>
              <w:t>Significant variability between the inclusion criteria of REPRISE and TEMPO 3:4; unclear how the trial populations were applicable to the proposed PBS eligible Australian population. The PBAC noted that the resubmission base case ICERs from Tempo 3:4 and REPRISE were based upon effectiveness from sub-populations in the trials, as opposed to the ITT populations, (Para 7.10)</w:t>
            </w:r>
          </w:p>
        </w:tc>
        <w:tc>
          <w:tcPr>
            <w:tcW w:w="6096" w:type="dxa"/>
          </w:tcPr>
          <w:p w:rsidR="002B3B49" w:rsidRPr="006B1802" w:rsidRDefault="002B3B49" w:rsidP="00414990">
            <w:pPr>
              <w:keepNext/>
              <w:keepLines/>
              <w:rPr>
                <w:rFonts w:ascii="Arial Narrow" w:hAnsi="Arial Narrow"/>
                <w:sz w:val="20"/>
                <w:szCs w:val="20"/>
              </w:rPr>
            </w:pPr>
            <w:r w:rsidRPr="006B1802">
              <w:rPr>
                <w:rFonts w:ascii="Arial Narrow" w:hAnsi="Arial Narrow"/>
                <w:sz w:val="20"/>
                <w:szCs w:val="20"/>
              </w:rPr>
              <w:t xml:space="preserve">Not adjusted for in the resubmission’s model. </w:t>
            </w:r>
            <w:bookmarkStart w:id="6" w:name="_Hlk515858300"/>
            <w:r w:rsidRPr="006B1802">
              <w:rPr>
                <w:rFonts w:ascii="Arial Narrow" w:hAnsi="Arial Narrow"/>
                <w:sz w:val="20"/>
                <w:szCs w:val="20"/>
              </w:rPr>
              <w:t>The resubmission acknowledged the modelled population was not aligned with the proposed PBS restriction, but considered that this issue was addressed through the proposed RSA with a hard financial cap based on the resubmission’s estimate of 15% of the ADPKD population. The resubmission stated that, given that half the ADPKD will experience end stage kidney disease by the age of 60, the population being funded on the PBS does have rapid disease progression”.</w:t>
            </w:r>
            <w:bookmarkEnd w:id="6"/>
          </w:p>
          <w:p w:rsidR="002B3B49" w:rsidRPr="006B1802" w:rsidRDefault="002B3B49" w:rsidP="00414990">
            <w:pPr>
              <w:keepNext/>
              <w:keepLines/>
              <w:snapToGrid w:val="0"/>
              <w:rPr>
                <w:rFonts w:ascii="Arial Narrow" w:hAnsi="Arial Narrow"/>
                <w:i/>
                <w:sz w:val="20"/>
                <w:szCs w:val="20"/>
              </w:rPr>
            </w:pPr>
            <w:r w:rsidRPr="006B1802">
              <w:rPr>
                <w:rFonts w:ascii="Arial Narrow" w:hAnsi="Arial Narrow"/>
                <w:sz w:val="20"/>
                <w:szCs w:val="20"/>
              </w:rPr>
              <w:t>The strict definition of rapid disease progression applied in the model (annualised eGFR decline of ≥2.5 mL/min/1.73 m</w:t>
            </w:r>
            <w:r w:rsidRPr="006B1802">
              <w:rPr>
                <w:rFonts w:ascii="Arial Narrow" w:hAnsi="Arial Narrow"/>
                <w:sz w:val="20"/>
                <w:szCs w:val="20"/>
                <w:vertAlign w:val="superscript"/>
              </w:rPr>
              <w:t>2</w:t>
            </w:r>
            <w:r w:rsidRPr="006B1802">
              <w:rPr>
                <w:rFonts w:ascii="Arial Narrow" w:hAnsi="Arial Narrow"/>
                <w:sz w:val="20"/>
                <w:szCs w:val="20"/>
              </w:rPr>
              <w:t>/year over the maximum period of available data for each patient) is likely to exclude patients who would qualify for treatment under the requested restriction and favours tolvaptan. The definition was applied through using sub-populations of the trials, rather than the ITT populations, which was tested in sensitivity analyses during preparation of the minor overview.</w:t>
            </w:r>
            <w:r w:rsidRPr="006B1802">
              <w:rPr>
                <w:rFonts w:ascii="Arial Narrow" w:hAnsi="Arial Narrow"/>
                <w:i/>
                <w:sz w:val="20"/>
                <w:szCs w:val="20"/>
              </w:rPr>
              <w:t xml:space="preserve"> </w:t>
            </w:r>
          </w:p>
        </w:tc>
      </w:tr>
      <w:tr w:rsidR="002B3B49" w:rsidRPr="006B1802" w:rsidTr="0014764A">
        <w:tc>
          <w:tcPr>
            <w:tcW w:w="2830" w:type="dxa"/>
          </w:tcPr>
          <w:p w:rsidR="002B3B49" w:rsidRPr="006B1802" w:rsidRDefault="002B3B49" w:rsidP="00414990">
            <w:pPr>
              <w:keepNext/>
              <w:keepLines/>
              <w:spacing w:after="160"/>
              <w:rPr>
                <w:rFonts w:ascii="Arial Narrow" w:hAnsi="Arial Narrow"/>
                <w:i/>
                <w:sz w:val="20"/>
                <w:szCs w:val="20"/>
              </w:rPr>
            </w:pPr>
            <w:r w:rsidRPr="006B1802">
              <w:rPr>
                <w:rFonts w:ascii="Arial Narrow" w:hAnsi="Arial Narrow"/>
                <w:bCs/>
                <w:sz w:val="20"/>
                <w:szCs w:val="20"/>
              </w:rPr>
              <w:t xml:space="preserve">No utility decrement for a drug that has appreciable side effects. </w:t>
            </w:r>
            <w:r w:rsidRPr="006B1802">
              <w:rPr>
                <w:rFonts w:ascii="Arial Narrow" w:hAnsi="Arial Narrow"/>
                <w:sz w:val="20"/>
                <w:szCs w:val="20"/>
              </w:rPr>
              <w:t>(Para 7.11)</w:t>
            </w:r>
          </w:p>
        </w:tc>
        <w:tc>
          <w:tcPr>
            <w:tcW w:w="6096" w:type="dxa"/>
          </w:tcPr>
          <w:p w:rsidR="002B3B49" w:rsidRPr="006B1802" w:rsidRDefault="002B3B49" w:rsidP="00414990">
            <w:pPr>
              <w:keepNext/>
              <w:keepLines/>
              <w:rPr>
                <w:rFonts w:ascii="Arial Narrow" w:hAnsi="Arial Narrow"/>
                <w:sz w:val="20"/>
                <w:szCs w:val="20"/>
              </w:rPr>
            </w:pPr>
            <w:r w:rsidRPr="006B1802">
              <w:rPr>
                <w:rFonts w:ascii="Arial Narrow" w:hAnsi="Arial Narrow"/>
                <w:sz w:val="20"/>
                <w:szCs w:val="20"/>
              </w:rPr>
              <w:t>A disutility of 0.0123 was applied to 33% of patients for the duration of treatment on tolvaptan. This was based on Sullivan et al 2011 “Catalogue of EQ-5D Scores for the United Kingdom” for the disutility associated with the condition of “other endocrine disorders”. The resubmission stated this was applied to account for thirst and polyuria. The resubmission stated that this was conservative</w:t>
            </w:r>
            <w:r w:rsidR="00932294" w:rsidRPr="006B1802">
              <w:rPr>
                <w:rFonts w:ascii="Arial Narrow" w:hAnsi="Arial Narrow"/>
                <w:sz w:val="20"/>
                <w:szCs w:val="20"/>
              </w:rPr>
              <w:t xml:space="preserve"> (biased the analysis against tolvaptan)</w:t>
            </w:r>
            <w:r w:rsidRPr="006B1802">
              <w:rPr>
                <w:rFonts w:ascii="Arial Narrow" w:hAnsi="Arial Narrow"/>
                <w:sz w:val="20"/>
                <w:szCs w:val="20"/>
              </w:rPr>
              <w:t xml:space="preserve"> as these adverse events are likely to be transient.</w:t>
            </w:r>
            <w:r w:rsidR="00D14CEA" w:rsidRPr="006B1802">
              <w:rPr>
                <w:rFonts w:ascii="Arial Narrow" w:hAnsi="Arial Narrow"/>
                <w:sz w:val="20"/>
                <w:szCs w:val="20"/>
              </w:rPr>
              <w:t xml:space="preserve"> However this may not have been conservative as it may not adequately account for long-term safety; in its previous consideration, the PBAC and noted the TGA had imposed a black box warning in the product information regarding hepatic impairment (Para 7.8).</w:t>
            </w:r>
          </w:p>
        </w:tc>
      </w:tr>
    </w:tbl>
    <w:p w:rsidR="002B3B49" w:rsidRPr="006B1802" w:rsidRDefault="002B3B49" w:rsidP="00414990">
      <w:pPr>
        <w:keepNext/>
        <w:keepLines/>
        <w:rPr>
          <w:rFonts w:ascii="Arial Narrow" w:hAnsi="Arial Narrow"/>
          <w:sz w:val="18"/>
          <w:szCs w:val="18"/>
        </w:rPr>
      </w:pPr>
      <w:r w:rsidRPr="006B1802">
        <w:rPr>
          <w:rFonts w:ascii="Arial Narrow" w:hAnsi="Arial Narrow"/>
          <w:sz w:val="18"/>
          <w:szCs w:val="18"/>
        </w:rPr>
        <w:t xml:space="preserve">Source: Compiled during preparation of the minor overview based on Section 3 of the minor resubmission. </w:t>
      </w:r>
    </w:p>
    <w:p w:rsidR="002B3B49" w:rsidRPr="006B1802" w:rsidRDefault="002B3B49" w:rsidP="00414990">
      <w:pPr>
        <w:keepNext/>
        <w:keepLines/>
        <w:spacing w:after="160"/>
        <w:rPr>
          <w:rFonts w:ascii="Arial Narrow" w:hAnsi="Arial Narrow"/>
          <w:sz w:val="18"/>
          <w:szCs w:val="18"/>
        </w:rPr>
      </w:pPr>
      <w:r w:rsidRPr="006B1802">
        <w:rPr>
          <w:rFonts w:ascii="Arial Narrow" w:hAnsi="Arial Narrow"/>
          <w:sz w:val="18"/>
          <w:szCs w:val="18"/>
        </w:rPr>
        <w:t>Abbreviations: CKD, chronic kidney disease; ITT, intention-to-treat; QALY, quality-adjusted life year</w:t>
      </w:r>
    </w:p>
    <w:p w:rsidR="002B3B49" w:rsidRPr="006B1802" w:rsidRDefault="002B3B49" w:rsidP="00B93A10">
      <w:pPr>
        <w:numPr>
          <w:ilvl w:val="1"/>
          <w:numId w:val="5"/>
        </w:numPr>
        <w:spacing w:after="120"/>
        <w:jc w:val="both"/>
        <w:rPr>
          <w:rFonts w:asciiTheme="minorHAnsi" w:hAnsiTheme="minorHAnsi"/>
        </w:rPr>
      </w:pPr>
      <w:r w:rsidRPr="006B1802">
        <w:rPr>
          <w:rFonts w:asciiTheme="minorHAnsi" w:hAnsiTheme="minorHAnsi"/>
        </w:rPr>
        <w:t>The minor resubmission made two changes to the economic model:</w:t>
      </w:r>
    </w:p>
    <w:p w:rsidR="002B3B49" w:rsidRPr="006B1802" w:rsidRDefault="002B3B49" w:rsidP="00B93A10">
      <w:pPr>
        <w:pStyle w:val="ListParagraph"/>
        <w:widowControl/>
        <w:numPr>
          <w:ilvl w:val="0"/>
          <w:numId w:val="22"/>
        </w:numPr>
        <w:ind w:left="1134" w:hanging="283"/>
        <w:rPr>
          <w:rFonts w:asciiTheme="minorHAnsi" w:hAnsiTheme="minorHAnsi"/>
          <w:sz w:val="24"/>
          <w:szCs w:val="24"/>
        </w:rPr>
      </w:pPr>
      <w:r w:rsidRPr="006B1802">
        <w:rPr>
          <w:rFonts w:asciiTheme="minorHAnsi" w:hAnsiTheme="minorHAnsi"/>
          <w:sz w:val="24"/>
          <w:szCs w:val="24"/>
        </w:rPr>
        <w:t xml:space="preserve">the price was reduced by </w:t>
      </w:r>
      <w:r w:rsidR="00B912EA">
        <w:rPr>
          <w:rFonts w:asciiTheme="minorHAnsi" w:hAnsiTheme="minorHAnsi"/>
          <w:noProof/>
          <w:color w:val="000000"/>
          <w:sz w:val="24"/>
          <w:szCs w:val="24"/>
          <w:highlight w:val="black"/>
        </w:rPr>
        <w:t>'''''''''</w:t>
      </w:r>
      <w:r w:rsidR="00F065A2" w:rsidRPr="006B1802">
        <w:rPr>
          <w:rFonts w:asciiTheme="minorHAnsi" w:hAnsiTheme="minorHAnsi"/>
          <w:sz w:val="24"/>
          <w:szCs w:val="24"/>
        </w:rPr>
        <w:t>%</w:t>
      </w:r>
      <w:r w:rsidRPr="006B1802">
        <w:rPr>
          <w:rFonts w:asciiTheme="minorHAnsi" w:hAnsiTheme="minorHAnsi"/>
          <w:sz w:val="24"/>
          <w:szCs w:val="24"/>
        </w:rPr>
        <w:t xml:space="preserve"> from $</w:t>
      </w:r>
      <w:r w:rsidR="00B912EA">
        <w:rPr>
          <w:rFonts w:asciiTheme="minorHAnsi" w:hAnsiTheme="minorHAnsi"/>
          <w:noProof/>
          <w:color w:val="000000"/>
          <w:sz w:val="24"/>
          <w:szCs w:val="24"/>
          <w:highlight w:val="black"/>
        </w:rPr>
        <w:t>''''''''''''''</w:t>
      </w:r>
      <w:r w:rsidRPr="006B1802">
        <w:rPr>
          <w:rFonts w:asciiTheme="minorHAnsi" w:hAnsiTheme="minorHAnsi"/>
          <w:sz w:val="24"/>
          <w:szCs w:val="24"/>
        </w:rPr>
        <w:t xml:space="preserve"> to $</w:t>
      </w:r>
      <w:r w:rsidR="00B912EA">
        <w:rPr>
          <w:rFonts w:asciiTheme="minorHAnsi" w:hAnsiTheme="minorHAnsi"/>
          <w:noProof/>
          <w:color w:val="000000"/>
          <w:sz w:val="24"/>
          <w:szCs w:val="24"/>
          <w:highlight w:val="black"/>
        </w:rPr>
        <w:t>''''''''''''''</w:t>
      </w:r>
      <w:r w:rsidRPr="006B1802">
        <w:rPr>
          <w:rFonts w:asciiTheme="minorHAnsi" w:hAnsiTheme="minorHAnsi"/>
          <w:sz w:val="24"/>
          <w:szCs w:val="24"/>
        </w:rPr>
        <w:t xml:space="preserve"> (effective DPMQ); and</w:t>
      </w:r>
    </w:p>
    <w:p w:rsidR="002B3B49" w:rsidRPr="006B1802" w:rsidRDefault="002B3B49" w:rsidP="00B93A10">
      <w:pPr>
        <w:pStyle w:val="ListParagraph"/>
        <w:widowControl/>
        <w:numPr>
          <w:ilvl w:val="0"/>
          <w:numId w:val="22"/>
        </w:numPr>
        <w:ind w:left="1134" w:hanging="283"/>
        <w:rPr>
          <w:rFonts w:asciiTheme="minorHAnsi" w:hAnsiTheme="minorHAnsi"/>
          <w:sz w:val="24"/>
          <w:szCs w:val="24"/>
        </w:rPr>
      </w:pPr>
      <w:proofErr w:type="gramStart"/>
      <w:r w:rsidRPr="006B1802">
        <w:rPr>
          <w:rFonts w:asciiTheme="minorHAnsi" w:hAnsiTheme="minorHAnsi"/>
          <w:sz w:val="24"/>
          <w:szCs w:val="24"/>
        </w:rPr>
        <w:lastRenderedPageBreak/>
        <w:t>a</w:t>
      </w:r>
      <w:proofErr w:type="gramEnd"/>
      <w:r w:rsidRPr="006B1802">
        <w:rPr>
          <w:rFonts w:asciiTheme="minorHAnsi" w:hAnsiTheme="minorHAnsi"/>
          <w:sz w:val="24"/>
          <w:szCs w:val="24"/>
        </w:rPr>
        <w:t xml:space="preserve"> disutility of 0.0123 was applied to account for thirst and polyuria associated with tolvaptan treatment. This was applied to one-third of patients for the entire duration of their tolvaptan treatment. </w:t>
      </w:r>
    </w:p>
    <w:p w:rsidR="002B3B49" w:rsidRPr="006B1802" w:rsidRDefault="002B3B49" w:rsidP="00B93A10">
      <w:pPr>
        <w:numPr>
          <w:ilvl w:val="1"/>
          <w:numId w:val="5"/>
        </w:numPr>
        <w:spacing w:after="120"/>
        <w:jc w:val="both"/>
        <w:rPr>
          <w:rFonts w:asciiTheme="minorHAnsi" w:hAnsiTheme="minorHAnsi"/>
        </w:rPr>
      </w:pPr>
      <w:r w:rsidRPr="006B1802">
        <w:rPr>
          <w:rFonts w:asciiTheme="minorHAnsi" w:hAnsiTheme="minorHAnsi"/>
        </w:rPr>
        <w:t>For the TEMPO 3:4 sub-population, the ICER changed from $</w:t>
      </w:r>
      <w:r w:rsidR="00297CB0">
        <w:rPr>
          <w:rFonts w:asciiTheme="minorHAnsi" w:hAnsiTheme="minorHAnsi"/>
        </w:rPr>
        <w:t>15,000</w:t>
      </w:r>
      <w:r w:rsidRPr="006B1802">
        <w:rPr>
          <w:rFonts w:asciiTheme="minorHAnsi" w:hAnsiTheme="minorHAnsi"/>
        </w:rPr>
        <w:t>/QALY</w:t>
      </w:r>
      <w:r w:rsidR="00297CB0">
        <w:rPr>
          <w:rFonts w:asciiTheme="minorHAnsi" w:hAnsiTheme="minorHAnsi"/>
        </w:rPr>
        <w:t xml:space="preserve"> - $45,000/QALY</w:t>
      </w:r>
      <w:r w:rsidRPr="006B1802">
        <w:rPr>
          <w:rFonts w:asciiTheme="minorHAnsi" w:hAnsiTheme="minorHAnsi"/>
        </w:rPr>
        <w:t xml:space="preserve"> (previous submission) to $</w:t>
      </w:r>
      <w:r w:rsidR="00297CB0">
        <w:rPr>
          <w:rFonts w:asciiTheme="minorHAnsi" w:hAnsiTheme="minorHAnsi"/>
        </w:rPr>
        <w:t>15,000</w:t>
      </w:r>
      <w:r w:rsidRPr="006B1802">
        <w:rPr>
          <w:rFonts w:asciiTheme="minorHAnsi" w:hAnsiTheme="minorHAnsi"/>
        </w:rPr>
        <w:t>/QALY</w:t>
      </w:r>
      <w:r w:rsidR="00297CB0">
        <w:rPr>
          <w:rFonts w:asciiTheme="minorHAnsi" w:hAnsiTheme="minorHAnsi"/>
        </w:rPr>
        <w:t xml:space="preserve"> - $45,000/QALY</w:t>
      </w:r>
      <w:r w:rsidRPr="006B1802">
        <w:rPr>
          <w:rFonts w:asciiTheme="minorHAnsi" w:hAnsiTheme="minorHAnsi"/>
        </w:rPr>
        <w:t xml:space="preserve"> with the application of the lower price; then to $</w:t>
      </w:r>
      <w:r w:rsidR="00297CB0">
        <w:rPr>
          <w:rFonts w:asciiTheme="minorHAnsi" w:hAnsiTheme="minorHAnsi"/>
        </w:rPr>
        <w:t>15,000</w:t>
      </w:r>
      <w:r w:rsidRPr="006B1802">
        <w:rPr>
          <w:rFonts w:asciiTheme="minorHAnsi" w:hAnsiTheme="minorHAnsi"/>
        </w:rPr>
        <w:t>/QALY</w:t>
      </w:r>
      <w:r w:rsidR="00297CB0">
        <w:rPr>
          <w:rFonts w:asciiTheme="minorHAnsi" w:hAnsiTheme="minorHAnsi"/>
        </w:rPr>
        <w:t xml:space="preserve"> - $45,000/</w:t>
      </w:r>
      <w:r w:rsidR="00B912EA">
        <w:rPr>
          <w:rFonts w:asciiTheme="minorHAnsi" w:hAnsiTheme="minorHAnsi"/>
          <w:noProof/>
          <w:color w:val="000000"/>
          <w:highlight w:val="black"/>
        </w:rPr>
        <w:t xml:space="preserve">'''''''''' </w:t>
      </w:r>
      <w:r w:rsidRPr="006B1802">
        <w:rPr>
          <w:rFonts w:asciiTheme="minorHAnsi" w:hAnsiTheme="minorHAnsi"/>
        </w:rPr>
        <w:t xml:space="preserve">with the application of adverse event </w:t>
      </w:r>
      <w:proofErr w:type="spellStart"/>
      <w:r w:rsidRPr="006B1802">
        <w:rPr>
          <w:rFonts w:asciiTheme="minorHAnsi" w:hAnsiTheme="minorHAnsi"/>
        </w:rPr>
        <w:t>disutilities</w:t>
      </w:r>
      <w:proofErr w:type="spellEnd"/>
      <w:r w:rsidRPr="006B1802">
        <w:rPr>
          <w:rFonts w:asciiTheme="minorHAnsi" w:hAnsiTheme="minorHAnsi"/>
        </w:rPr>
        <w:t xml:space="preserve">. For the REPRISE subpopulation, the ICER remained dominant when these changes were applied. The resulting weighted ICER is presented in Table </w:t>
      </w:r>
      <w:r w:rsidR="00CC525E" w:rsidRPr="006B1802">
        <w:rPr>
          <w:rFonts w:asciiTheme="minorHAnsi" w:hAnsiTheme="minorHAnsi"/>
        </w:rPr>
        <w:t>2</w:t>
      </w:r>
      <w:r w:rsidRPr="006B1802">
        <w:rPr>
          <w:rFonts w:asciiTheme="minorHAnsi" w:hAnsiTheme="minorHAnsi"/>
        </w:rPr>
        <w:t xml:space="preserve"> below. During preparation of the minor overview, the ICERs were also calculated based on the ITT of the trials (using both the overall trial population characteristics and efficacy) rather than the sub-populations. </w:t>
      </w:r>
    </w:p>
    <w:p w:rsidR="00F065A2" w:rsidRPr="006B1802" w:rsidRDefault="00F065A2" w:rsidP="00B93A10">
      <w:pPr>
        <w:pStyle w:val="ListParagraph"/>
        <w:widowControl/>
        <w:rPr>
          <w:rFonts w:asciiTheme="minorHAnsi" w:hAnsiTheme="minorHAnsi"/>
          <w:i/>
          <w:sz w:val="24"/>
          <w:szCs w:val="24"/>
        </w:rPr>
      </w:pPr>
    </w:p>
    <w:p w:rsidR="00F065A2" w:rsidRPr="006B1802" w:rsidRDefault="00F065A2" w:rsidP="00B93A10">
      <w:pPr>
        <w:keepNext/>
        <w:jc w:val="both"/>
        <w:rPr>
          <w:rFonts w:ascii="Calibri" w:hAnsi="Calibri" w:cs="Arial"/>
          <w:snapToGrid w:val="0"/>
          <w:szCs w:val="22"/>
          <w:lang w:eastAsia="en-US"/>
        </w:rPr>
      </w:pPr>
      <w:r w:rsidRPr="006B1802">
        <w:rPr>
          <w:rFonts w:ascii="Arial Narrow" w:hAnsi="Arial Narrow" w:cs="Arial"/>
          <w:b/>
          <w:snapToGrid w:val="0"/>
          <w:sz w:val="20"/>
          <w:szCs w:val="16"/>
          <w:lang w:eastAsia="en-US"/>
        </w:rPr>
        <w:lastRenderedPageBreak/>
        <w:t xml:space="preserve">Table </w:t>
      </w:r>
      <w:r w:rsidR="00CC525E" w:rsidRPr="006B1802">
        <w:rPr>
          <w:rFonts w:ascii="Arial Narrow" w:hAnsi="Arial Narrow" w:cs="Arial"/>
          <w:b/>
          <w:snapToGrid w:val="0"/>
          <w:sz w:val="20"/>
          <w:szCs w:val="16"/>
          <w:lang w:eastAsia="en-US"/>
        </w:rPr>
        <w:t>2</w:t>
      </w:r>
      <w:r w:rsidRPr="006B1802">
        <w:rPr>
          <w:rFonts w:ascii="Arial Narrow" w:hAnsi="Arial Narrow" w:cs="Arial"/>
          <w:b/>
          <w:snapToGrid w:val="0"/>
          <w:sz w:val="20"/>
          <w:szCs w:val="16"/>
          <w:lang w:eastAsia="en-US"/>
        </w:rPr>
        <w:t xml:space="preserve">: Results of the modelled economic evaluation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83"/>
        <w:gridCol w:w="2102"/>
        <w:gridCol w:w="2103"/>
        <w:gridCol w:w="2094"/>
      </w:tblGrid>
      <w:tr w:rsidR="00F065A2" w:rsidRPr="006B1802" w:rsidTr="0014764A">
        <w:trPr>
          <w:tblHeader/>
        </w:trPr>
        <w:tc>
          <w:tcPr>
            <w:tcW w:w="1532" w:type="pct"/>
            <w:shd w:val="clear" w:color="auto" w:fill="FFFFFF" w:themeFill="background1"/>
            <w:vAlign w:val="center"/>
          </w:tcPr>
          <w:p w:rsidR="00F065A2" w:rsidRPr="006B1802" w:rsidRDefault="00F065A2" w:rsidP="00B93A10">
            <w:pPr>
              <w:keepNext/>
              <w:rPr>
                <w:rFonts w:ascii="Arial Narrow" w:hAnsi="Arial Narrow"/>
                <w:sz w:val="20"/>
                <w:szCs w:val="20"/>
                <w:lang w:eastAsia="en-US"/>
              </w:rPr>
            </w:pPr>
            <w:r w:rsidRPr="006B1802">
              <w:rPr>
                <w:rFonts w:ascii="Arial Narrow" w:hAnsi="Arial Narrow"/>
                <w:b/>
                <w:sz w:val="20"/>
                <w:szCs w:val="20"/>
                <w:lang w:eastAsia="en-US"/>
              </w:rPr>
              <w:t>Analysis</w:t>
            </w:r>
          </w:p>
        </w:tc>
        <w:tc>
          <w:tcPr>
            <w:tcW w:w="1157" w:type="pct"/>
            <w:shd w:val="clear" w:color="auto" w:fill="FFFFFF" w:themeFill="background1"/>
            <w:vAlign w:val="center"/>
          </w:tcPr>
          <w:p w:rsidR="00F065A2" w:rsidRPr="006B1802" w:rsidRDefault="00F065A2" w:rsidP="00B93A10">
            <w:pPr>
              <w:keepNext/>
              <w:jc w:val="center"/>
              <w:rPr>
                <w:rFonts w:ascii="Arial Narrow" w:hAnsi="Arial Narrow"/>
                <w:sz w:val="20"/>
                <w:szCs w:val="20"/>
                <w:lang w:eastAsia="en-US"/>
              </w:rPr>
            </w:pPr>
            <w:r w:rsidRPr="006B1802">
              <w:rPr>
                <w:rFonts w:ascii="Arial Narrow" w:hAnsi="Arial Narrow"/>
                <w:b/>
                <w:sz w:val="20"/>
                <w:szCs w:val="20"/>
                <w:lang w:eastAsia="en-US"/>
              </w:rPr>
              <w:t>Tolvaptan</w:t>
            </w:r>
          </w:p>
        </w:tc>
        <w:tc>
          <w:tcPr>
            <w:tcW w:w="1158" w:type="pct"/>
            <w:shd w:val="clear" w:color="auto" w:fill="FFFFFF" w:themeFill="background1"/>
            <w:vAlign w:val="center"/>
          </w:tcPr>
          <w:p w:rsidR="00F065A2" w:rsidRPr="006B1802" w:rsidRDefault="00F065A2" w:rsidP="00B93A10">
            <w:pPr>
              <w:keepNext/>
              <w:jc w:val="center"/>
              <w:rPr>
                <w:rFonts w:ascii="Arial Narrow" w:hAnsi="Arial Narrow"/>
                <w:sz w:val="20"/>
                <w:szCs w:val="20"/>
                <w:lang w:eastAsia="en-US"/>
              </w:rPr>
            </w:pPr>
            <w:r w:rsidRPr="006B1802">
              <w:rPr>
                <w:rFonts w:ascii="Arial Narrow" w:hAnsi="Arial Narrow"/>
                <w:b/>
                <w:sz w:val="20"/>
                <w:szCs w:val="20"/>
                <w:lang w:eastAsia="en-US"/>
              </w:rPr>
              <w:t>Placebo</w:t>
            </w:r>
          </w:p>
        </w:tc>
        <w:tc>
          <w:tcPr>
            <w:tcW w:w="1153" w:type="pct"/>
            <w:shd w:val="clear" w:color="auto" w:fill="FFFFFF" w:themeFill="background1"/>
            <w:vAlign w:val="center"/>
          </w:tcPr>
          <w:p w:rsidR="00F065A2" w:rsidRPr="006B1802" w:rsidRDefault="00F065A2" w:rsidP="00B93A10">
            <w:pPr>
              <w:keepNext/>
              <w:jc w:val="center"/>
              <w:rPr>
                <w:rFonts w:ascii="Arial Narrow" w:hAnsi="Arial Narrow"/>
                <w:sz w:val="20"/>
                <w:szCs w:val="20"/>
                <w:lang w:eastAsia="en-US"/>
              </w:rPr>
            </w:pPr>
            <w:r w:rsidRPr="006B1802">
              <w:rPr>
                <w:rFonts w:ascii="Arial Narrow" w:hAnsi="Arial Narrow"/>
                <w:b/>
                <w:sz w:val="20"/>
                <w:szCs w:val="20"/>
                <w:lang w:eastAsia="en-US"/>
              </w:rPr>
              <w:t>Increment</w:t>
            </w:r>
          </w:p>
        </w:tc>
      </w:tr>
      <w:tr w:rsidR="00F065A2" w:rsidRPr="006B1802" w:rsidTr="0014764A">
        <w:tc>
          <w:tcPr>
            <w:tcW w:w="5000" w:type="pct"/>
            <w:gridSpan w:val="4"/>
            <w:vAlign w:val="center"/>
          </w:tcPr>
          <w:p w:rsidR="00F065A2" w:rsidRPr="006B1802" w:rsidRDefault="00F065A2" w:rsidP="00B93A10">
            <w:pPr>
              <w:keepNext/>
              <w:rPr>
                <w:rFonts w:ascii="Arial Narrow" w:hAnsi="Arial Narrow"/>
                <w:b/>
                <w:snapToGrid w:val="0"/>
                <w:sz w:val="20"/>
                <w:szCs w:val="20"/>
                <w:lang w:eastAsia="en-US"/>
              </w:rPr>
            </w:pPr>
            <w:r w:rsidRPr="006B1802">
              <w:rPr>
                <w:rFonts w:ascii="Arial Narrow" w:hAnsi="Arial Narrow"/>
                <w:b/>
                <w:sz w:val="20"/>
                <w:szCs w:val="20"/>
                <w:lang w:eastAsia="en-US"/>
              </w:rPr>
              <w:t xml:space="preserve">Current minor resubmission base case </w:t>
            </w:r>
            <w:r w:rsidRPr="006B1802">
              <w:rPr>
                <w:rFonts w:ascii="Arial Narrow" w:hAnsi="Arial Narrow"/>
                <w:sz w:val="20"/>
                <w:szCs w:val="20"/>
                <w:lang w:eastAsia="en-US"/>
              </w:rPr>
              <w:t>(tolvaptan price of $</w:t>
            </w:r>
            <w:r w:rsidR="00B912EA">
              <w:rPr>
                <w:rFonts w:ascii="Arial Narrow" w:hAnsi="Arial Narrow"/>
                <w:noProof/>
                <w:color w:val="000000"/>
                <w:sz w:val="20"/>
                <w:szCs w:val="20"/>
                <w:highlight w:val="black"/>
                <w:lang w:eastAsia="en-US"/>
              </w:rPr>
              <w:t>''''''''''''''''</w:t>
            </w:r>
            <w:r w:rsidRPr="006B1802">
              <w:rPr>
                <w:rFonts w:ascii="Arial Narrow" w:hAnsi="Arial Narrow"/>
                <w:sz w:val="20"/>
                <w:szCs w:val="20"/>
                <w:lang w:eastAsia="en-US"/>
              </w:rPr>
              <w:t>/pack and with disutility for adverse events)</w:t>
            </w:r>
          </w:p>
        </w:tc>
      </w:tr>
      <w:tr w:rsidR="00F065A2" w:rsidRPr="006B1802" w:rsidTr="0014764A">
        <w:tc>
          <w:tcPr>
            <w:tcW w:w="5000" w:type="pct"/>
            <w:gridSpan w:val="4"/>
            <w:vAlign w:val="center"/>
          </w:tcPr>
          <w:p w:rsidR="00F065A2" w:rsidRPr="006B1802" w:rsidRDefault="00F065A2" w:rsidP="00B93A10">
            <w:pPr>
              <w:keepNext/>
              <w:rPr>
                <w:rFonts w:ascii="Arial Narrow" w:hAnsi="Arial Narrow"/>
                <w:b/>
                <w:snapToGrid w:val="0"/>
                <w:sz w:val="20"/>
                <w:szCs w:val="20"/>
                <w:vertAlign w:val="superscript"/>
                <w:lang w:eastAsia="en-US"/>
              </w:rPr>
            </w:pPr>
            <w:r w:rsidRPr="006B1802">
              <w:rPr>
                <w:rFonts w:ascii="Arial Narrow" w:hAnsi="Arial Narrow"/>
                <w:b/>
                <w:snapToGrid w:val="0"/>
                <w:sz w:val="20"/>
                <w:szCs w:val="20"/>
                <w:lang w:eastAsia="en-US"/>
              </w:rPr>
              <w:t xml:space="preserve">TEMPO 3:4 PBS eligibility population and CKD stage 2-3 efficacy </w:t>
            </w:r>
            <w:r w:rsidRPr="006B1802">
              <w:rPr>
                <w:rFonts w:ascii="Arial Narrow" w:hAnsi="Arial Narrow"/>
                <w:b/>
                <w:snapToGrid w:val="0"/>
                <w:sz w:val="20"/>
                <w:szCs w:val="20"/>
                <w:vertAlign w:val="superscript"/>
                <w:lang w:eastAsia="en-US"/>
              </w:rPr>
              <w:t>a</w:t>
            </w:r>
          </w:p>
        </w:tc>
      </w:tr>
      <w:tr w:rsidR="00F065A2" w:rsidRPr="006B1802" w:rsidTr="0014764A">
        <w:tc>
          <w:tcPr>
            <w:tcW w:w="1532" w:type="pct"/>
            <w:vAlign w:val="center"/>
          </w:tcPr>
          <w:p w:rsidR="00F065A2" w:rsidRPr="006B1802" w:rsidRDefault="00F065A2" w:rsidP="00B93A10">
            <w:pPr>
              <w:keepNext/>
              <w:rPr>
                <w:rFonts w:ascii="Arial Narrow" w:hAnsi="Arial Narrow"/>
                <w:sz w:val="20"/>
                <w:szCs w:val="20"/>
                <w:lang w:eastAsia="en-US"/>
              </w:rPr>
            </w:pPr>
            <w:r w:rsidRPr="006B1802">
              <w:rPr>
                <w:rFonts w:ascii="Arial Narrow" w:hAnsi="Arial Narrow"/>
                <w:sz w:val="20"/>
                <w:szCs w:val="20"/>
                <w:lang w:eastAsia="en-US"/>
              </w:rPr>
              <w:t>Costs</w:t>
            </w:r>
          </w:p>
        </w:tc>
        <w:tc>
          <w:tcPr>
            <w:tcW w:w="1157" w:type="pct"/>
            <w:vAlign w:val="center"/>
          </w:tcPr>
          <w:p w:rsidR="00F065A2" w:rsidRPr="006B1802" w:rsidRDefault="00F065A2" w:rsidP="00B93A10">
            <w:pPr>
              <w:keepNext/>
              <w:jc w:val="center"/>
              <w:rPr>
                <w:rFonts w:ascii="Arial Narrow" w:hAnsi="Arial Narrow"/>
                <w:sz w:val="20"/>
                <w:szCs w:val="20"/>
                <w:lang w:eastAsia="en-US"/>
              </w:rPr>
            </w:pPr>
            <w:r w:rsidRPr="006B1802">
              <w:rPr>
                <w:rFonts w:ascii="Arial Narrow" w:hAnsi="Arial Narrow"/>
                <w:sz w:val="20"/>
                <w:szCs w:val="20"/>
                <w:lang w:eastAsia="en-US"/>
              </w:rPr>
              <w:t>$</w:t>
            </w:r>
            <w:r w:rsidR="00B912EA">
              <w:rPr>
                <w:rFonts w:ascii="Arial Narrow" w:hAnsi="Arial Narrow"/>
                <w:noProof/>
                <w:color w:val="000000"/>
                <w:sz w:val="20"/>
                <w:szCs w:val="20"/>
                <w:highlight w:val="black"/>
                <w:lang w:eastAsia="en-US"/>
              </w:rPr>
              <w:t>''''''''''''''''''''</w:t>
            </w:r>
          </w:p>
        </w:tc>
        <w:tc>
          <w:tcPr>
            <w:tcW w:w="1158" w:type="pct"/>
            <w:vAlign w:val="center"/>
          </w:tcPr>
          <w:p w:rsidR="00F065A2" w:rsidRPr="006B1802" w:rsidRDefault="00F065A2" w:rsidP="00B93A10">
            <w:pPr>
              <w:keepNext/>
              <w:jc w:val="center"/>
              <w:rPr>
                <w:rFonts w:ascii="Arial Narrow" w:hAnsi="Arial Narrow"/>
                <w:sz w:val="20"/>
                <w:szCs w:val="20"/>
                <w:lang w:eastAsia="en-US"/>
              </w:rPr>
            </w:pPr>
            <w:r w:rsidRPr="006B1802">
              <w:rPr>
                <w:rFonts w:ascii="Arial Narrow" w:hAnsi="Arial Narrow"/>
                <w:sz w:val="20"/>
                <w:szCs w:val="20"/>
                <w:lang w:eastAsia="en-US"/>
              </w:rPr>
              <w:t>$</w:t>
            </w:r>
            <w:r w:rsidR="00B912EA">
              <w:rPr>
                <w:rFonts w:ascii="Arial Narrow" w:hAnsi="Arial Narrow"/>
                <w:noProof/>
                <w:color w:val="000000"/>
                <w:sz w:val="20"/>
                <w:szCs w:val="20"/>
                <w:highlight w:val="black"/>
                <w:lang w:eastAsia="en-US"/>
              </w:rPr>
              <w:t>'''''''''''''''''''</w:t>
            </w:r>
          </w:p>
        </w:tc>
        <w:tc>
          <w:tcPr>
            <w:tcW w:w="1153" w:type="pct"/>
            <w:vAlign w:val="center"/>
          </w:tcPr>
          <w:p w:rsidR="00F065A2" w:rsidRPr="006B1802" w:rsidRDefault="00F065A2" w:rsidP="00B93A10">
            <w:pPr>
              <w:keepNext/>
              <w:jc w:val="center"/>
              <w:rPr>
                <w:rFonts w:ascii="Arial Narrow" w:hAnsi="Arial Narrow"/>
                <w:sz w:val="20"/>
                <w:szCs w:val="20"/>
                <w:lang w:eastAsia="en-US"/>
              </w:rPr>
            </w:pPr>
            <w:r w:rsidRPr="006B1802">
              <w:rPr>
                <w:rFonts w:ascii="Arial Narrow" w:hAnsi="Arial Narrow"/>
                <w:sz w:val="20"/>
                <w:szCs w:val="20"/>
                <w:lang w:eastAsia="en-US"/>
              </w:rPr>
              <w:t>$</w:t>
            </w:r>
            <w:r w:rsidR="00B912EA">
              <w:rPr>
                <w:rFonts w:ascii="Arial Narrow" w:hAnsi="Arial Narrow"/>
                <w:noProof/>
                <w:color w:val="000000"/>
                <w:sz w:val="20"/>
                <w:szCs w:val="20"/>
                <w:highlight w:val="black"/>
                <w:lang w:eastAsia="en-US"/>
              </w:rPr>
              <w:t>''''''''''''''''</w:t>
            </w:r>
          </w:p>
        </w:tc>
      </w:tr>
      <w:tr w:rsidR="00F065A2" w:rsidRPr="006B1802" w:rsidTr="0014764A">
        <w:tc>
          <w:tcPr>
            <w:tcW w:w="1532" w:type="pct"/>
            <w:vAlign w:val="center"/>
          </w:tcPr>
          <w:p w:rsidR="00F065A2" w:rsidRPr="006B1802" w:rsidRDefault="00F065A2" w:rsidP="00B93A10">
            <w:pPr>
              <w:keepNext/>
              <w:rPr>
                <w:rFonts w:ascii="Arial Narrow" w:hAnsi="Arial Narrow"/>
                <w:sz w:val="20"/>
                <w:szCs w:val="20"/>
                <w:lang w:eastAsia="en-US"/>
              </w:rPr>
            </w:pPr>
            <w:r w:rsidRPr="006B1802">
              <w:rPr>
                <w:rFonts w:ascii="Arial Narrow" w:hAnsi="Arial Narrow"/>
                <w:sz w:val="20"/>
                <w:szCs w:val="20"/>
                <w:lang w:eastAsia="en-US"/>
              </w:rPr>
              <w:t>Life years gained</w:t>
            </w:r>
          </w:p>
        </w:tc>
        <w:tc>
          <w:tcPr>
            <w:tcW w:w="1157" w:type="pct"/>
            <w:vAlign w:val="center"/>
          </w:tcPr>
          <w:p w:rsidR="00F065A2" w:rsidRPr="006B1802" w:rsidRDefault="00F065A2" w:rsidP="00B93A10">
            <w:pPr>
              <w:keepNext/>
              <w:jc w:val="center"/>
              <w:rPr>
                <w:rFonts w:ascii="Arial Narrow" w:hAnsi="Arial Narrow"/>
                <w:sz w:val="20"/>
                <w:szCs w:val="20"/>
                <w:lang w:eastAsia="en-US"/>
              </w:rPr>
            </w:pPr>
            <w:r w:rsidRPr="006B1802">
              <w:rPr>
                <w:rFonts w:ascii="Arial Narrow" w:hAnsi="Arial Narrow"/>
                <w:sz w:val="20"/>
                <w:szCs w:val="20"/>
                <w:lang w:eastAsia="en-US"/>
              </w:rPr>
              <w:t>13.75</w:t>
            </w:r>
          </w:p>
        </w:tc>
        <w:tc>
          <w:tcPr>
            <w:tcW w:w="1158" w:type="pct"/>
            <w:vAlign w:val="center"/>
          </w:tcPr>
          <w:p w:rsidR="00F065A2" w:rsidRPr="006B1802" w:rsidRDefault="00F065A2" w:rsidP="00B93A10">
            <w:pPr>
              <w:keepNext/>
              <w:jc w:val="center"/>
              <w:rPr>
                <w:rFonts w:ascii="Arial Narrow" w:hAnsi="Arial Narrow"/>
                <w:sz w:val="20"/>
                <w:szCs w:val="20"/>
                <w:lang w:eastAsia="en-US"/>
              </w:rPr>
            </w:pPr>
            <w:r w:rsidRPr="006B1802">
              <w:rPr>
                <w:rFonts w:ascii="Arial Narrow" w:hAnsi="Arial Narrow"/>
                <w:sz w:val="20"/>
                <w:szCs w:val="20"/>
                <w:lang w:eastAsia="en-US"/>
              </w:rPr>
              <w:t>13.20</w:t>
            </w:r>
          </w:p>
        </w:tc>
        <w:tc>
          <w:tcPr>
            <w:tcW w:w="1153" w:type="pct"/>
            <w:vAlign w:val="center"/>
          </w:tcPr>
          <w:p w:rsidR="00F065A2" w:rsidRPr="006B1802" w:rsidRDefault="00F065A2" w:rsidP="00B93A10">
            <w:pPr>
              <w:keepNext/>
              <w:jc w:val="center"/>
              <w:rPr>
                <w:rFonts w:ascii="Arial Narrow" w:hAnsi="Arial Narrow"/>
                <w:sz w:val="20"/>
                <w:szCs w:val="20"/>
                <w:lang w:eastAsia="en-US"/>
              </w:rPr>
            </w:pPr>
            <w:r w:rsidRPr="006B1802">
              <w:rPr>
                <w:rFonts w:ascii="Arial Narrow" w:hAnsi="Arial Narrow"/>
                <w:sz w:val="20"/>
                <w:szCs w:val="20"/>
                <w:lang w:eastAsia="en-US"/>
              </w:rPr>
              <w:t>0.55</w:t>
            </w:r>
          </w:p>
        </w:tc>
      </w:tr>
      <w:tr w:rsidR="00F065A2" w:rsidRPr="006B1802" w:rsidTr="0014764A">
        <w:tc>
          <w:tcPr>
            <w:tcW w:w="1532" w:type="pct"/>
            <w:vAlign w:val="center"/>
          </w:tcPr>
          <w:p w:rsidR="00F065A2" w:rsidRPr="006B1802" w:rsidRDefault="00F065A2" w:rsidP="00B93A10">
            <w:pPr>
              <w:keepNext/>
              <w:rPr>
                <w:rFonts w:ascii="Arial Narrow" w:hAnsi="Arial Narrow"/>
                <w:sz w:val="20"/>
                <w:szCs w:val="20"/>
                <w:lang w:eastAsia="en-US"/>
              </w:rPr>
            </w:pPr>
            <w:r w:rsidRPr="006B1802">
              <w:rPr>
                <w:rFonts w:ascii="Arial Narrow" w:hAnsi="Arial Narrow"/>
                <w:sz w:val="20"/>
                <w:szCs w:val="20"/>
                <w:lang w:eastAsia="en-US"/>
              </w:rPr>
              <w:t>QALYs</w:t>
            </w:r>
          </w:p>
        </w:tc>
        <w:tc>
          <w:tcPr>
            <w:tcW w:w="1157" w:type="pct"/>
            <w:vAlign w:val="center"/>
          </w:tcPr>
          <w:p w:rsidR="00F065A2" w:rsidRPr="006B1802" w:rsidRDefault="00F065A2" w:rsidP="00B93A10">
            <w:pPr>
              <w:keepNext/>
              <w:jc w:val="center"/>
              <w:rPr>
                <w:rFonts w:ascii="Arial Narrow" w:hAnsi="Arial Narrow"/>
                <w:sz w:val="20"/>
                <w:szCs w:val="20"/>
                <w:lang w:eastAsia="en-US"/>
              </w:rPr>
            </w:pPr>
            <w:r w:rsidRPr="006B1802">
              <w:rPr>
                <w:rFonts w:ascii="Arial Narrow" w:hAnsi="Arial Narrow"/>
                <w:sz w:val="20"/>
                <w:szCs w:val="20"/>
                <w:lang w:eastAsia="en-US"/>
              </w:rPr>
              <w:t>11.51</w:t>
            </w:r>
          </w:p>
        </w:tc>
        <w:tc>
          <w:tcPr>
            <w:tcW w:w="1158" w:type="pct"/>
            <w:vAlign w:val="center"/>
          </w:tcPr>
          <w:p w:rsidR="00F065A2" w:rsidRPr="006B1802" w:rsidRDefault="00F065A2" w:rsidP="00B93A10">
            <w:pPr>
              <w:keepNext/>
              <w:jc w:val="center"/>
              <w:rPr>
                <w:rFonts w:ascii="Arial Narrow" w:hAnsi="Arial Narrow"/>
                <w:sz w:val="20"/>
                <w:szCs w:val="20"/>
                <w:lang w:eastAsia="en-US"/>
              </w:rPr>
            </w:pPr>
            <w:r w:rsidRPr="006B1802">
              <w:rPr>
                <w:rFonts w:ascii="Arial Narrow" w:hAnsi="Arial Narrow"/>
                <w:sz w:val="20"/>
                <w:szCs w:val="20"/>
                <w:lang w:eastAsia="en-US"/>
              </w:rPr>
              <w:t>10.96</w:t>
            </w:r>
          </w:p>
        </w:tc>
        <w:tc>
          <w:tcPr>
            <w:tcW w:w="1153" w:type="pct"/>
            <w:vAlign w:val="center"/>
          </w:tcPr>
          <w:p w:rsidR="00F065A2" w:rsidRPr="006B1802" w:rsidRDefault="00F065A2" w:rsidP="00B93A10">
            <w:pPr>
              <w:keepNext/>
              <w:jc w:val="center"/>
              <w:rPr>
                <w:rFonts w:ascii="Arial Narrow" w:hAnsi="Arial Narrow"/>
                <w:sz w:val="20"/>
                <w:szCs w:val="20"/>
                <w:lang w:eastAsia="en-US"/>
              </w:rPr>
            </w:pPr>
            <w:r w:rsidRPr="006B1802">
              <w:rPr>
                <w:rFonts w:ascii="Arial Narrow" w:hAnsi="Arial Narrow"/>
                <w:sz w:val="20"/>
                <w:szCs w:val="20"/>
                <w:lang w:eastAsia="en-US"/>
              </w:rPr>
              <w:t>0.55</w:t>
            </w:r>
          </w:p>
        </w:tc>
      </w:tr>
      <w:tr w:rsidR="00F065A2" w:rsidRPr="006B1802" w:rsidTr="0014764A">
        <w:tc>
          <w:tcPr>
            <w:tcW w:w="3847" w:type="pct"/>
            <w:gridSpan w:val="3"/>
            <w:vAlign w:val="center"/>
          </w:tcPr>
          <w:p w:rsidR="00F065A2" w:rsidRPr="006B1802" w:rsidRDefault="00F065A2" w:rsidP="00B93A10">
            <w:pPr>
              <w:keepNext/>
              <w:rPr>
                <w:rFonts w:ascii="Arial Narrow" w:hAnsi="Arial Narrow"/>
                <w:sz w:val="20"/>
                <w:szCs w:val="20"/>
                <w:lang w:eastAsia="en-US"/>
              </w:rPr>
            </w:pPr>
            <w:r w:rsidRPr="006B1802">
              <w:rPr>
                <w:rFonts w:ascii="Arial Narrow" w:hAnsi="Arial Narrow"/>
                <w:sz w:val="20"/>
                <w:szCs w:val="20"/>
                <w:lang w:eastAsia="en-US"/>
              </w:rPr>
              <w:t>Incremental cost/QALY gained</w:t>
            </w:r>
          </w:p>
        </w:tc>
        <w:tc>
          <w:tcPr>
            <w:tcW w:w="1153" w:type="pct"/>
          </w:tcPr>
          <w:p w:rsidR="00F065A2" w:rsidRPr="006B1802" w:rsidRDefault="00F065A2" w:rsidP="00B93A10">
            <w:pPr>
              <w:keepNext/>
              <w:jc w:val="center"/>
              <w:rPr>
                <w:rFonts w:ascii="Arial Narrow" w:hAnsi="Arial Narrow"/>
                <w:sz w:val="20"/>
                <w:szCs w:val="20"/>
                <w:lang w:eastAsia="en-US"/>
              </w:rPr>
            </w:pPr>
            <w:r w:rsidRPr="006B1802">
              <w:rPr>
                <w:rFonts w:ascii="Arial Narrow" w:hAnsi="Arial Narrow"/>
                <w:sz w:val="20"/>
                <w:szCs w:val="20"/>
                <w:lang w:eastAsia="en-US"/>
              </w:rPr>
              <w:t>$</w:t>
            </w:r>
            <w:r w:rsidR="00B912EA">
              <w:rPr>
                <w:rFonts w:ascii="Arial Narrow" w:hAnsi="Arial Narrow"/>
                <w:noProof/>
                <w:color w:val="000000"/>
                <w:sz w:val="20"/>
                <w:szCs w:val="20"/>
                <w:highlight w:val="black"/>
                <w:lang w:eastAsia="en-US"/>
              </w:rPr>
              <w:t>''''''''''''''''</w:t>
            </w:r>
          </w:p>
        </w:tc>
      </w:tr>
      <w:tr w:rsidR="00F065A2" w:rsidRPr="006B1802" w:rsidTr="0014764A">
        <w:tc>
          <w:tcPr>
            <w:tcW w:w="5000" w:type="pct"/>
            <w:gridSpan w:val="4"/>
            <w:vAlign w:val="center"/>
          </w:tcPr>
          <w:p w:rsidR="00F065A2" w:rsidRPr="006B1802" w:rsidRDefault="00F065A2" w:rsidP="00B93A10">
            <w:pPr>
              <w:keepNext/>
              <w:rPr>
                <w:rFonts w:ascii="Arial Narrow" w:hAnsi="Arial Narrow"/>
                <w:b/>
                <w:snapToGrid w:val="0"/>
                <w:sz w:val="20"/>
                <w:szCs w:val="20"/>
                <w:vertAlign w:val="superscript"/>
                <w:lang w:eastAsia="en-US"/>
              </w:rPr>
            </w:pPr>
            <w:r w:rsidRPr="006B1802">
              <w:rPr>
                <w:rFonts w:ascii="Arial Narrow" w:hAnsi="Arial Narrow"/>
                <w:b/>
                <w:snapToGrid w:val="0"/>
                <w:sz w:val="20"/>
                <w:szCs w:val="20"/>
                <w:lang w:eastAsia="en-US"/>
              </w:rPr>
              <w:t xml:space="preserve">REPRISE PBS eligibility population and CKD stage 2-3 efficacy </w:t>
            </w:r>
            <w:r w:rsidRPr="006B1802">
              <w:rPr>
                <w:rFonts w:ascii="Arial Narrow" w:hAnsi="Arial Narrow"/>
                <w:b/>
                <w:snapToGrid w:val="0"/>
                <w:sz w:val="20"/>
                <w:szCs w:val="20"/>
                <w:vertAlign w:val="superscript"/>
                <w:lang w:eastAsia="en-US"/>
              </w:rPr>
              <w:t>b</w:t>
            </w:r>
          </w:p>
        </w:tc>
      </w:tr>
      <w:tr w:rsidR="00F065A2" w:rsidRPr="006B1802" w:rsidTr="0014764A">
        <w:tc>
          <w:tcPr>
            <w:tcW w:w="1532" w:type="pct"/>
            <w:vAlign w:val="center"/>
          </w:tcPr>
          <w:p w:rsidR="00F065A2" w:rsidRPr="006B1802" w:rsidRDefault="00F065A2" w:rsidP="00B93A10">
            <w:pPr>
              <w:keepNext/>
              <w:rPr>
                <w:rFonts w:ascii="Arial Narrow" w:hAnsi="Arial Narrow"/>
                <w:sz w:val="20"/>
                <w:szCs w:val="20"/>
                <w:lang w:eastAsia="en-US"/>
              </w:rPr>
            </w:pPr>
            <w:r w:rsidRPr="006B1802">
              <w:rPr>
                <w:rFonts w:ascii="Arial Narrow" w:hAnsi="Arial Narrow"/>
                <w:sz w:val="20"/>
                <w:szCs w:val="20"/>
                <w:lang w:eastAsia="en-US"/>
              </w:rPr>
              <w:t>Costs</w:t>
            </w:r>
          </w:p>
        </w:tc>
        <w:tc>
          <w:tcPr>
            <w:tcW w:w="1157" w:type="pct"/>
            <w:vAlign w:val="center"/>
          </w:tcPr>
          <w:p w:rsidR="00F065A2" w:rsidRPr="006B1802" w:rsidRDefault="00F065A2" w:rsidP="00B93A10">
            <w:pPr>
              <w:keepNext/>
              <w:jc w:val="center"/>
              <w:rPr>
                <w:rFonts w:ascii="Arial Narrow" w:hAnsi="Arial Narrow"/>
                <w:sz w:val="20"/>
                <w:szCs w:val="20"/>
                <w:lang w:eastAsia="en-US"/>
              </w:rPr>
            </w:pPr>
            <w:r w:rsidRPr="006B1802">
              <w:rPr>
                <w:rFonts w:ascii="Arial Narrow" w:hAnsi="Arial Narrow"/>
                <w:sz w:val="20"/>
                <w:szCs w:val="20"/>
                <w:lang w:eastAsia="en-US"/>
              </w:rPr>
              <w:t>$</w:t>
            </w:r>
            <w:r w:rsidR="00B912EA">
              <w:rPr>
                <w:rFonts w:ascii="Arial Narrow" w:hAnsi="Arial Narrow"/>
                <w:noProof/>
                <w:color w:val="000000"/>
                <w:sz w:val="20"/>
                <w:szCs w:val="20"/>
                <w:highlight w:val="black"/>
                <w:lang w:eastAsia="en-US"/>
              </w:rPr>
              <w:t>'''''''''''''''''''</w:t>
            </w:r>
          </w:p>
        </w:tc>
        <w:tc>
          <w:tcPr>
            <w:tcW w:w="1158" w:type="pct"/>
            <w:vAlign w:val="center"/>
          </w:tcPr>
          <w:p w:rsidR="00F065A2" w:rsidRPr="006B1802" w:rsidRDefault="00F065A2" w:rsidP="00B93A10">
            <w:pPr>
              <w:keepNext/>
              <w:jc w:val="center"/>
              <w:rPr>
                <w:rFonts w:ascii="Arial Narrow" w:hAnsi="Arial Narrow"/>
                <w:sz w:val="20"/>
                <w:szCs w:val="20"/>
                <w:lang w:eastAsia="en-US"/>
              </w:rPr>
            </w:pPr>
            <w:r w:rsidRPr="006B1802">
              <w:rPr>
                <w:rFonts w:ascii="Arial Narrow" w:hAnsi="Arial Narrow"/>
                <w:sz w:val="20"/>
                <w:szCs w:val="20"/>
                <w:lang w:eastAsia="en-US"/>
              </w:rPr>
              <w:t>$</w:t>
            </w:r>
            <w:r w:rsidR="00B912EA">
              <w:rPr>
                <w:rFonts w:ascii="Arial Narrow" w:hAnsi="Arial Narrow"/>
                <w:noProof/>
                <w:color w:val="000000"/>
                <w:sz w:val="20"/>
                <w:szCs w:val="20"/>
                <w:highlight w:val="black"/>
                <w:lang w:eastAsia="en-US"/>
              </w:rPr>
              <w:t>''''''''''''''''''</w:t>
            </w:r>
          </w:p>
        </w:tc>
        <w:tc>
          <w:tcPr>
            <w:tcW w:w="1153" w:type="pct"/>
            <w:vAlign w:val="center"/>
          </w:tcPr>
          <w:p w:rsidR="00F065A2" w:rsidRPr="006B1802" w:rsidRDefault="00F065A2" w:rsidP="00B93A10">
            <w:pPr>
              <w:keepNext/>
              <w:jc w:val="center"/>
              <w:rPr>
                <w:rFonts w:ascii="Arial Narrow" w:hAnsi="Arial Narrow"/>
                <w:sz w:val="20"/>
                <w:szCs w:val="20"/>
                <w:lang w:eastAsia="en-US"/>
              </w:rPr>
            </w:pPr>
            <w:r w:rsidRPr="006B1802">
              <w:rPr>
                <w:rFonts w:ascii="Arial Narrow" w:hAnsi="Arial Narrow"/>
                <w:sz w:val="20"/>
                <w:szCs w:val="20"/>
                <w:lang w:eastAsia="en-US"/>
              </w:rPr>
              <w:t>-$</w:t>
            </w:r>
            <w:r w:rsidR="00B912EA">
              <w:rPr>
                <w:rFonts w:ascii="Arial Narrow" w:hAnsi="Arial Narrow"/>
                <w:noProof/>
                <w:color w:val="000000"/>
                <w:sz w:val="20"/>
                <w:szCs w:val="20"/>
                <w:highlight w:val="black"/>
                <w:lang w:eastAsia="en-US"/>
              </w:rPr>
              <w:t>'''''''''''''''</w:t>
            </w:r>
          </w:p>
        </w:tc>
      </w:tr>
      <w:tr w:rsidR="00F065A2" w:rsidRPr="006B1802" w:rsidTr="0014764A">
        <w:tc>
          <w:tcPr>
            <w:tcW w:w="1532" w:type="pct"/>
            <w:vAlign w:val="center"/>
          </w:tcPr>
          <w:p w:rsidR="00F065A2" w:rsidRPr="006B1802" w:rsidRDefault="00F065A2" w:rsidP="00B93A10">
            <w:pPr>
              <w:keepNext/>
              <w:rPr>
                <w:rFonts w:ascii="Arial Narrow" w:hAnsi="Arial Narrow"/>
                <w:sz w:val="20"/>
                <w:szCs w:val="20"/>
                <w:lang w:eastAsia="en-US"/>
              </w:rPr>
            </w:pPr>
            <w:r w:rsidRPr="006B1802">
              <w:rPr>
                <w:rFonts w:ascii="Arial Narrow" w:hAnsi="Arial Narrow"/>
                <w:sz w:val="20"/>
                <w:szCs w:val="20"/>
                <w:lang w:eastAsia="en-US"/>
              </w:rPr>
              <w:t>Life years gained</w:t>
            </w:r>
          </w:p>
        </w:tc>
        <w:tc>
          <w:tcPr>
            <w:tcW w:w="1157" w:type="pct"/>
            <w:vAlign w:val="center"/>
          </w:tcPr>
          <w:p w:rsidR="00F065A2" w:rsidRPr="006B1802" w:rsidRDefault="00F065A2" w:rsidP="00B93A10">
            <w:pPr>
              <w:keepNext/>
              <w:jc w:val="center"/>
              <w:rPr>
                <w:rFonts w:ascii="Arial Narrow" w:hAnsi="Arial Narrow"/>
                <w:sz w:val="20"/>
                <w:szCs w:val="20"/>
                <w:lang w:eastAsia="en-US"/>
              </w:rPr>
            </w:pPr>
            <w:r w:rsidRPr="006B1802">
              <w:rPr>
                <w:rFonts w:ascii="Arial Narrow" w:hAnsi="Arial Narrow"/>
                <w:sz w:val="20"/>
                <w:szCs w:val="20"/>
                <w:lang w:eastAsia="en-US"/>
              </w:rPr>
              <w:t>11.82</w:t>
            </w:r>
          </w:p>
        </w:tc>
        <w:tc>
          <w:tcPr>
            <w:tcW w:w="1158" w:type="pct"/>
            <w:vAlign w:val="center"/>
          </w:tcPr>
          <w:p w:rsidR="00F065A2" w:rsidRPr="006B1802" w:rsidRDefault="00F065A2" w:rsidP="00B93A10">
            <w:pPr>
              <w:keepNext/>
              <w:jc w:val="center"/>
              <w:rPr>
                <w:rFonts w:ascii="Arial Narrow" w:hAnsi="Arial Narrow"/>
                <w:sz w:val="20"/>
                <w:szCs w:val="20"/>
                <w:lang w:eastAsia="en-US"/>
              </w:rPr>
            </w:pPr>
            <w:r w:rsidRPr="006B1802">
              <w:rPr>
                <w:rFonts w:ascii="Arial Narrow" w:hAnsi="Arial Narrow"/>
                <w:sz w:val="20"/>
                <w:szCs w:val="20"/>
                <w:lang w:eastAsia="en-US"/>
              </w:rPr>
              <w:t>11.24</w:t>
            </w:r>
          </w:p>
        </w:tc>
        <w:tc>
          <w:tcPr>
            <w:tcW w:w="1153" w:type="pct"/>
            <w:vAlign w:val="center"/>
          </w:tcPr>
          <w:p w:rsidR="00F065A2" w:rsidRPr="006B1802" w:rsidRDefault="00F065A2" w:rsidP="00B93A10">
            <w:pPr>
              <w:keepNext/>
              <w:jc w:val="center"/>
              <w:rPr>
                <w:rFonts w:ascii="Arial Narrow" w:hAnsi="Arial Narrow"/>
                <w:sz w:val="20"/>
                <w:szCs w:val="20"/>
                <w:lang w:eastAsia="en-US"/>
              </w:rPr>
            </w:pPr>
            <w:r w:rsidRPr="006B1802">
              <w:rPr>
                <w:rFonts w:ascii="Arial Narrow" w:hAnsi="Arial Narrow"/>
                <w:sz w:val="20"/>
                <w:szCs w:val="20"/>
                <w:lang w:eastAsia="en-US"/>
              </w:rPr>
              <w:t>0.57</w:t>
            </w:r>
          </w:p>
        </w:tc>
      </w:tr>
      <w:tr w:rsidR="00F065A2" w:rsidRPr="006B1802" w:rsidTr="0014764A">
        <w:tc>
          <w:tcPr>
            <w:tcW w:w="1532" w:type="pct"/>
            <w:vAlign w:val="center"/>
          </w:tcPr>
          <w:p w:rsidR="00F065A2" w:rsidRPr="006B1802" w:rsidRDefault="00F065A2" w:rsidP="00B93A10">
            <w:pPr>
              <w:keepNext/>
              <w:rPr>
                <w:rFonts w:ascii="Arial Narrow" w:hAnsi="Arial Narrow"/>
                <w:sz w:val="20"/>
                <w:szCs w:val="20"/>
                <w:lang w:eastAsia="en-US"/>
              </w:rPr>
            </w:pPr>
            <w:r w:rsidRPr="006B1802">
              <w:rPr>
                <w:rFonts w:ascii="Arial Narrow" w:hAnsi="Arial Narrow"/>
                <w:sz w:val="20"/>
                <w:szCs w:val="20"/>
                <w:lang w:eastAsia="en-US"/>
              </w:rPr>
              <w:t>QALYs</w:t>
            </w:r>
          </w:p>
        </w:tc>
        <w:tc>
          <w:tcPr>
            <w:tcW w:w="1157" w:type="pct"/>
            <w:vAlign w:val="center"/>
          </w:tcPr>
          <w:p w:rsidR="00F065A2" w:rsidRPr="006B1802" w:rsidRDefault="00F065A2" w:rsidP="00B93A10">
            <w:pPr>
              <w:keepNext/>
              <w:jc w:val="center"/>
              <w:rPr>
                <w:rFonts w:ascii="Arial Narrow" w:hAnsi="Arial Narrow"/>
                <w:sz w:val="20"/>
                <w:szCs w:val="20"/>
                <w:lang w:eastAsia="en-US"/>
              </w:rPr>
            </w:pPr>
            <w:r w:rsidRPr="006B1802">
              <w:rPr>
                <w:rFonts w:ascii="Arial Narrow" w:hAnsi="Arial Narrow"/>
                <w:sz w:val="20"/>
                <w:szCs w:val="20"/>
                <w:lang w:eastAsia="en-US"/>
              </w:rPr>
              <w:t>9.61</w:t>
            </w:r>
          </w:p>
        </w:tc>
        <w:tc>
          <w:tcPr>
            <w:tcW w:w="1158" w:type="pct"/>
            <w:vAlign w:val="center"/>
          </w:tcPr>
          <w:p w:rsidR="00F065A2" w:rsidRPr="006B1802" w:rsidRDefault="00F065A2" w:rsidP="00B93A10">
            <w:pPr>
              <w:keepNext/>
              <w:jc w:val="center"/>
              <w:rPr>
                <w:rFonts w:ascii="Arial Narrow" w:hAnsi="Arial Narrow"/>
                <w:sz w:val="20"/>
                <w:szCs w:val="20"/>
                <w:lang w:eastAsia="en-US"/>
              </w:rPr>
            </w:pPr>
            <w:r w:rsidRPr="006B1802">
              <w:rPr>
                <w:rFonts w:ascii="Arial Narrow" w:hAnsi="Arial Narrow"/>
                <w:sz w:val="20"/>
                <w:szCs w:val="20"/>
                <w:lang w:eastAsia="en-US"/>
              </w:rPr>
              <w:t>9.05</w:t>
            </w:r>
          </w:p>
        </w:tc>
        <w:tc>
          <w:tcPr>
            <w:tcW w:w="1153" w:type="pct"/>
            <w:vAlign w:val="center"/>
          </w:tcPr>
          <w:p w:rsidR="00F065A2" w:rsidRPr="006B1802" w:rsidRDefault="00F065A2" w:rsidP="00B93A10">
            <w:pPr>
              <w:keepNext/>
              <w:jc w:val="center"/>
              <w:rPr>
                <w:rFonts w:ascii="Arial Narrow" w:hAnsi="Arial Narrow"/>
                <w:sz w:val="20"/>
                <w:szCs w:val="20"/>
                <w:lang w:eastAsia="en-US"/>
              </w:rPr>
            </w:pPr>
            <w:r w:rsidRPr="006B1802">
              <w:rPr>
                <w:rFonts w:ascii="Arial Narrow" w:hAnsi="Arial Narrow"/>
                <w:sz w:val="20"/>
                <w:szCs w:val="20"/>
                <w:lang w:eastAsia="en-US"/>
              </w:rPr>
              <w:t>0.56</w:t>
            </w:r>
          </w:p>
        </w:tc>
      </w:tr>
      <w:tr w:rsidR="00F065A2" w:rsidRPr="006B1802" w:rsidTr="0014764A">
        <w:tc>
          <w:tcPr>
            <w:tcW w:w="3847" w:type="pct"/>
            <w:gridSpan w:val="3"/>
            <w:vAlign w:val="center"/>
          </w:tcPr>
          <w:p w:rsidR="00F065A2" w:rsidRPr="006B1802" w:rsidRDefault="00F065A2" w:rsidP="00B93A10">
            <w:pPr>
              <w:keepNext/>
              <w:rPr>
                <w:rFonts w:ascii="Arial Narrow" w:hAnsi="Arial Narrow"/>
                <w:sz w:val="20"/>
                <w:szCs w:val="20"/>
                <w:lang w:eastAsia="en-US"/>
              </w:rPr>
            </w:pPr>
            <w:r w:rsidRPr="006B1802">
              <w:rPr>
                <w:rFonts w:ascii="Arial Narrow" w:hAnsi="Arial Narrow"/>
                <w:sz w:val="20"/>
                <w:szCs w:val="20"/>
                <w:lang w:eastAsia="en-US"/>
              </w:rPr>
              <w:t>Incremental cost/QALY gained</w:t>
            </w:r>
          </w:p>
        </w:tc>
        <w:tc>
          <w:tcPr>
            <w:tcW w:w="1153" w:type="pct"/>
            <w:vAlign w:val="center"/>
          </w:tcPr>
          <w:p w:rsidR="00F065A2" w:rsidRPr="006B1802" w:rsidRDefault="00F065A2" w:rsidP="00B93A10">
            <w:pPr>
              <w:keepNext/>
              <w:jc w:val="center"/>
              <w:rPr>
                <w:rFonts w:ascii="Arial Narrow" w:hAnsi="Arial Narrow"/>
                <w:sz w:val="20"/>
                <w:szCs w:val="20"/>
                <w:lang w:eastAsia="en-US"/>
              </w:rPr>
            </w:pPr>
            <w:r w:rsidRPr="006B1802">
              <w:rPr>
                <w:rFonts w:ascii="Arial Narrow" w:hAnsi="Arial Narrow"/>
                <w:sz w:val="20"/>
                <w:szCs w:val="20"/>
                <w:lang w:eastAsia="en-US"/>
              </w:rPr>
              <w:t>Tolvaptan dominant</w:t>
            </w:r>
          </w:p>
        </w:tc>
      </w:tr>
      <w:tr w:rsidR="00F065A2" w:rsidRPr="006B1802" w:rsidTr="0014764A">
        <w:tc>
          <w:tcPr>
            <w:tcW w:w="3847" w:type="pct"/>
            <w:gridSpan w:val="3"/>
            <w:vAlign w:val="center"/>
          </w:tcPr>
          <w:p w:rsidR="00F065A2" w:rsidRPr="006B1802" w:rsidRDefault="00F065A2" w:rsidP="00B93A10">
            <w:pPr>
              <w:keepNext/>
              <w:rPr>
                <w:rFonts w:ascii="Arial Narrow" w:hAnsi="Arial Narrow"/>
                <w:b/>
                <w:sz w:val="20"/>
                <w:szCs w:val="20"/>
                <w:vertAlign w:val="superscript"/>
                <w:lang w:eastAsia="en-US"/>
              </w:rPr>
            </w:pPr>
            <w:r w:rsidRPr="006B1802">
              <w:rPr>
                <w:rFonts w:ascii="Arial Narrow" w:hAnsi="Arial Narrow"/>
                <w:b/>
                <w:sz w:val="20"/>
                <w:szCs w:val="20"/>
                <w:lang w:eastAsia="en-US"/>
              </w:rPr>
              <w:t xml:space="preserve">Weighted ICER (weighting: 54.1% TEMPO 3:4 versus 45.9% REPRISE) </w:t>
            </w:r>
            <w:r w:rsidRPr="006B1802">
              <w:rPr>
                <w:rFonts w:ascii="Arial Narrow" w:hAnsi="Arial Narrow"/>
                <w:b/>
                <w:sz w:val="20"/>
                <w:szCs w:val="20"/>
                <w:vertAlign w:val="superscript"/>
                <w:lang w:eastAsia="en-US"/>
              </w:rPr>
              <w:t>c</w:t>
            </w:r>
          </w:p>
        </w:tc>
        <w:tc>
          <w:tcPr>
            <w:tcW w:w="1153" w:type="pct"/>
            <w:vAlign w:val="center"/>
          </w:tcPr>
          <w:p w:rsidR="00F065A2" w:rsidRPr="006B1802" w:rsidRDefault="00F065A2" w:rsidP="00B93A10">
            <w:pPr>
              <w:keepNext/>
              <w:jc w:val="center"/>
              <w:rPr>
                <w:rFonts w:ascii="Arial Narrow" w:hAnsi="Arial Narrow"/>
                <w:sz w:val="20"/>
                <w:szCs w:val="20"/>
                <w:lang w:eastAsia="en-US"/>
              </w:rPr>
            </w:pPr>
          </w:p>
        </w:tc>
      </w:tr>
      <w:tr w:rsidR="00F065A2" w:rsidRPr="006B1802" w:rsidTr="0014764A">
        <w:tc>
          <w:tcPr>
            <w:tcW w:w="3847" w:type="pct"/>
            <w:gridSpan w:val="3"/>
            <w:vAlign w:val="center"/>
          </w:tcPr>
          <w:p w:rsidR="00F065A2" w:rsidRPr="006B1802" w:rsidRDefault="00F065A2" w:rsidP="00B93A10">
            <w:pPr>
              <w:keepNext/>
              <w:jc w:val="right"/>
              <w:rPr>
                <w:rFonts w:ascii="Arial Narrow" w:hAnsi="Arial Narrow"/>
                <w:sz w:val="20"/>
                <w:szCs w:val="20"/>
                <w:lang w:eastAsia="en-US"/>
              </w:rPr>
            </w:pPr>
            <w:r w:rsidRPr="006B1802">
              <w:rPr>
                <w:rFonts w:ascii="Arial Narrow" w:hAnsi="Arial Narrow"/>
                <w:sz w:val="20"/>
                <w:szCs w:val="20"/>
                <w:lang w:eastAsia="en-US"/>
              </w:rPr>
              <w:t>Incremental costs</w:t>
            </w:r>
          </w:p>
        </w:tc>
        <w:tc>
          <w:tcPr>
            <w:tcW w:w="1153" w:type="pct"/>
            <w:vAlign w:val="center"/>
          </w:tcPr>
          <w:p w:rsidR="00F065A2" w:rsidRPr="006B1802" w:rsidRDefault="00F065A2" w:rsidP="00B93A10">
            <w:pPr>
              <w:keepNext/>
              <w:jc w:val="center"/>
              <w:rPr>
                <w:rFonts w:ascii="Arial Narrow" w:hAnsi="Arial Narrow"/>
                <w:sz w:val="20"/>
                <w:szCs w:val="20"/>
                <w:lang w:eastAsia="en-US"/>
              </w:rPr>
            </w:pPr>
            <w:r w:rsidRPr="006B1802">
              <w:rPr>
                <w:rFonts w:ascii="Arial Narrow" w:hAnsi="Arial Narrow"/>
                <w:sz w:val="20"/>
                <w:szCs w:val="20"/>
                <w:lang w:eastAsia="en-US"/>
              </w:rPr>
              <w:t>$</w:t>
            </w:r>
            <w:r w:rsidR="00B912EA">
              <w:rPr>
                <w:rFonts w:ascii="Arial Narrow" w:hAnsi="Arial Narrow"/>
                <w:noProof/>
                <w:color w:val="000000"/>
                <w:sz w:val="20"/>
                <w:szCs w:val="20"/>
                <w:highlight w:val="black"/>
                <w:lang w:eastAsia="en-US"/>
              </w:rPr>
              <w:t>'''''''''''''''</w:t>
            </w:r>
          </w:p>
        </w:tc>
      </w:tr>
      <w:tr w:rsidR="00F065A2" w:rsidRPr="006B1802" w:rsidTr="0014764A">
        <w:tc>
          <w:tcPr>
            <w:tcW w:w="3847" w:type="pct"/>
            <w:gridSpan w:val="3"/>
            <w:vAlign w:val="center"/>
          </w:tcPr>
          <w:p w:rsidR="00F065A2" w:rsidRPr="006B1802" w:rsidRDefault="00F065A2" w:rsidP="00B93A10">
            <w:pPr>
              <w:keepNext/>
              <w:jc w:val="right"/>
              <w:rPr>
                <w:rFonts w:ascii="Arial Narrow" w:hAnsi="Arial Narrow"/>
                <w:sz w:val="20"/>
                <w:szCs w:val="20"/>
                <w:lang w:eastAsia="en-US"/>
              </w:rPr>
            </w:pPr>
            <w:r w:rsidRPr="006B1802">
              <w:rPr>
                <w:rFonts w:ascii="Arial Narrow" w:hAnsi="Arial Narrow"/>
                <w:sz w:val="20"/>
                <w:szCs w:val="20"/>
                <w:lang w:eastAsia="en-US"/>
              </w:rPr>
              <w:t>Incremental QALYs</w:t>
            </w:r>
          </w:p>
        </w:tc>
        <w:tc>
          <w:tcPr>
            <w:tcW w:w="1153" w:type="pct"/>
            <w:vAlign w:val="center"/>
          </w:tcPr>
          <w:p w:rsidR="00F065A2" w:rsidRPr="006B1802" w:rsidRDefault="00F065A2" w:rsidP="00B93A10">
            <w:pPr>
              <w:keepNext/>
              <w:jc w:val="center"/>
              <w:rPr>
                <w:rFonts w:ascii="Arial Narrow" w:hAnsi="Arial Narrow"/>
                <w:sz w:val="20"/>
                <w:szCs w:val="20"/>
                <w:lang w:eastAsia="en-US"/>
              </w:rPr>
            </w:pPr>
            <w:r w:rsidRPr="006B1802">
              <w:rPr>
                <w:rFonts w:ascii="Arial Narrow" w:hAnsi="Arial Narrow"/>
                <w:sz w:val="20"/>
                <w:szCs w:val="20"/>
                <w:lang w:eastAsia="en-US"/>
              </w:rPr>
              <w:t>0.55</w:t>
            </w:r>
          </w:p>
        </w:tc>
      </w:tr>
      <w:tr w:rsidR="00F065A2" w:rsidRPr="006B1802" w:rsidTr="0014764A">
        <w:tc>
          <w:tcPr>
            <w:tcW w:w="3847" w:type="pct"/>
            <w:gridSpan w:val="3"/>
            <w:tcBorders>
              <w:bottom w:val="double" w:sz="4" w:space="0" w:color="auto"/>
            </w:tcBorders>
            <w:vAlign w:val="center"/>
          </w:tcPr>
          <w:p w:rsidR="00F065A2" w:rsidRPr="006B1802" w:rsidRDefault="00F065A2" w:rsidP="00B93A10">
            <w:pPr>
              <w:keepNext/>
              <w:jc w:val="right"/>
              <w:rPr>
                <w:rFonts w:ascii="Arial Narrow" w:hAnsi="Arial Narrow"/>
                <w:b/>
                <w:sz w:val="20"/>
                <w:szCs w:val="20"/>
                <w:lang w:eastAsia="en-US"/>
              </w:rPr>
            </w:pPr>
            <w:r w:rsidRPr="006B1802">
              <w:rPr>
                <w:rFonts w:ascii="Arial Narrow" w:hAnsi="Arial Narrow"/>
                <w:b/>
                <w:sz w:val="20"/>
                <w:szCs w:val="20"/>
              </w:rPr>
              <w:t>Weighted ICER / QALY</w:t>
            </w:r>
          </w:p>
        </w:tc>
        <w:tc>
          <w:tcPr>
            <w:tcW w:w="1153" w:type="pct"/>
            <w:tcBorders>
              <w:bottom w:val="double" w:sz="4" w:space="0" w:color="auto"/>
            </w:tcBorders>
            <w:vAlign w:val="center"/>
          </w:tcPr>
          <w:p w:rsidR="00F065A2" w:rsidRPr="006B1802" w:rsidRDefault="00F065A2" w:rsidP="00B93A10">
            <w:pPr>
              <w:keepNext/>
              <w:jc w:val="center"/>
              <w:rPr>
                <w:rFonts w:ascii="Arial Narrow" w:hAnsi="Arial Narrow"/>
                <w:b/>
                <w:sz w:val="20"/>
                <w:szCs w:val="20"/>
                <w:lang w:eastAsia="en-US"/>
              </w:rPr>
            </w:pPr>
            <w:r w:rsidRPr="006B1802">
              <w:rPr>
                <w:rFonts w:ascii="Arial Narrow" w:hAnsi="Arial Narrow"/>
                <w:b/>
                <w:sz w:val="20"/>
                <w:szCs w:val="20"/>
                <w:lang w:eastAsia="en-US"/>
              </w:rPr>
              <w:t>$</w:t>
            </w:r>
            <w:r w:rsidR="00B912EA">
              <w:rPr>
                <w:rFonts w:ascii="Arial Narrow" w:hAnsi="Arial Narrow"/>
                <w:b/>
                <w:noProof/>
                <w:color w:val="000000"/>
                <w:sz w:val="20"/>
                <w:szCs w:val="20"/>
                <w:highlight w:val="black"/>
                <w:lang w:eastAsia="en-US"/>
              </w:rPr>
              <w:t>'''''''''''</w:t>
            </w:r>
          </w:p>
        </w:tc>
      </w:tr>
      <w:tr w:rsidR="00F065A2" w:rsidRPr="006B1802" w:rsidTr="0014764A">
        <w:tc>
          <w:tcPr>
            <w:tcW w:w="5000" w:type="pct"/>
            <w:gridSpan w:val="4"/>
            <w:tcBorders>
              <w:top w:val="double" w:sz="4" w:space="0" w:color="auto"/>
            </w:tcBorders>
            <w:shd w:val="clear" w:color="auto" w:fill="FFFFFF" w:themeFill="background1"/>
            <w:vAlign w:val="center"/>
          </w:tcPr>
          <w:p w:rsidR="00F065A2" w:rsidRPr="006B1802" w:rsidRDefault="00F065A2" w:rsidP="00B93A10">
            <w:pPr>
              <w:keepNext/>
              <w:rPr>
                <w:rFonts w:ascii="Arial Narrow" w:hAnsi="Arial Narrow"/>
                <w:b/>
                <w:snapToGrid w:val="0"/>
                <w:sz w:val="20"/>
                <w:szCs w:val="20"/>
                <w:lang w:eastAsia="en-US"/>
              </w:rPr>
            </w:pPr>
            <w:r w:rsidRPr="006B1802">
              <w:rPr>
                <w:rFonts w:ascii="Arial Narrow" w:hAnsi="Arial Narrow"/>
                <w:b/>
                <w:sz w:val="20"/>
                <w:szCs w:val="20"/>
                <w:lang w:eastAsia="en-US"/>
              </w:rPr>
              <w:t xml:space="preserve">Current minor resubmission – ITT population </w:t>
            </w:r>
            <w:r w:rsidRPr="006B1802">
              <w:rPr>
                <w:rFonts w:ascii="Arial Narrow" w:hAnsi="Arial Narrow"/>
                <w:sz w:val="20"/>
                <w:szCs w:val="20"/>
                <w:lang w:eastAsia="en-US"/>
              </w:rPr>
              <w:t>(tolvaptan price of $783.77/pack and with disutility for adverse events)</w:t>
            </w:r>
          </w:p>
        </w:tc>
      </w:tr>
      <w:tr w:rsidR="00F065A2" w:rsidRPr="006B1802" w:rsidTr="0014764A">
        <w:tc>
          <w:tcPr>
            <w:tcW w:w="5000" w:type="pct"/>
            <w:gridSpan w:val="4"/>
            <w:vAlign w:val="center"/>
          </w:tcPr>
          <w:p w:rsidR="00F065A2" w:rsidRPr="006B1802" w:rsidRDefault="00F065A2" w:rsidP="00B93A10">
            <w:pPr>
              <w:keepNext/>
              <w:rPr>
                <w:rFonts w:ascii="Arial Narrow" w:hAnsi="Arial Narrow"/>
                <w:b/>
                <w:snapToGrid w:val="0"/>
                <w:sz w:val="20"/>
                <w:szCs w:val="20"/>
                <w:lang w:eastAsia="en-US"/>
              </w:rPr>
            </w:pPr>
            <w:r w:rsidRPr="006B1802">
              <w:rPr>
                <w:rFonts w:ascii="Arial Narrow" w:hAnsi="Arial Narrow"/>
                <w:b/>
                <w:snapToGrid w:val="0"/>
                <w:sz w:val="20"/>
                <w:szCs w:val="20"/>
                <w:lang w:eastAsia="en-US"/>
              </w:rPr>
              <w:t>TEMPO 3:4 ITT population and efficacy</w:t>
            </w:r>
          </w:p>
        </w:tc>
      </w:tr>
      <w:tr w:rsidR="00F065A2" w:rsidRPr="006B1802" w:rsidTr="0014764A">
        <w:tc>
          <w:tcPr>
            <w:tcW w:w="1532" w:type="pct"/>
            <w:vAlign w:val="center"/>
          </w:tcPr>
          <w:p w:rsidR="00F065A2" w:rsidRPr="006B1802" w:rsidRDefault="00F065A2" w:rsidP="00B93A10">
            <w:pPr>
              <w:keepNext/>
              <w:rPr>
                <w:rFonts w:ascii="Arial Narrow" w:hAnsi="Arial Narrow"/>
                <w:sz w:val="20"/>
                <w:szCs w:val="20"/>
                <w:lang w:eastAsia="en-US"/>
              </w:rPr>
            </w:pPr>
            <w:r w:rsidRPr="006B1802">
              <w:rPr>
                <w:rFonts w:ascii="Arial Narrow" w:hAnsi="Arial Narrow"/>
                <w:sz w:val="20"/>
                <w:szCs w:val="20"/>
                <w:lang w:eastAsia="en-US"/>
              </w:rPr>
              <w:t>Costs</w:t>
            </w:r>
          </w:p>
        </w:tc>
        <w:tc>
          <w:tcPr>
            <w:tcW w:w="1157" w:type="pct"/>
            <w:vAlign w:val="center"/>
          </w:tcPr>
          <w:p w:rsidR="00F065A2" w:rsidRPr="006B1802" w:rsidRDefault="00F065A2" w:rsidP="00B93A10">
            <w:pPr>
              <w:keepNext/>
              <w:jc w:val="center"/>
              <w:rPr>
                <w:rFonts w:ascii="Arial Narrow" w:hAnsi="Arial Narrow"/>
                <w:sz w:val="20"/>
                <w:szCs w:val="20"/>
                <w:lang w:eastAsia="en-US"/>
              </w:rPr>
            </w:pPr>
            <w:r w:rsidRPr="006B1802">
              <w:rPr>
                <w:rFonts w:ascii="Arial Narrow" w:hAnsi="Arial Narrow"/>
                <w:sz w:val="20"/>
                <w:szCs w:val="20"/>
                <w:lang w:eastAsia="en-US"/>
              </w:rPr>
              <w:t>$</w:t>
            </w:r>
            <w:r w:rsidR="00B912EA">
              <w:rPr>
                <w:rFonts w:ascii="Arial Narrow" w:hAnsi="Arial Narrow"/>
                <w:noProof/>
                <w:color w:val="000000"/>
                <w:sz w:val="20"/>
                <w:szCs w:val="20"/>
                <w:highlight w:val="black"/>
                <w:lang w:eastAsia="en-US"/>
              </w:rPr>
              <w:t>''''''''''''''''''</w:t>
            </w:r>
          </w:p>
        </w:tc>
        <w:tc>
          <w:tcPr>
            <w:tcW w:w="1158" w:type="pct"/>
            <w:vAlign w:val="center"/>
          </w:tcPr>
          <w:p w:rsidR="00F065A2" w:rsidRPr="006B1802" w:rsidRDefault="00F065A2" w:rsidP="00B93A10">
            <w:pPr>
              <w:keepNext/>
              <w:jc w:val="center"/>
              <w:rPr>
                <w:rFonts w:ascii="Arial Narrow" w:hAnsi="Arial Narrow"/>
                <w:sz w:val="20"/>
                <w:szCs w:val="20"/>
                <w:lang w:eastAsia="en-US"/>
              </w:rPr>
            </w:pPr>
            <w:r w:rsidRPr="006B1802">
              <w:rPr>
                <w:rFonts w:ascii="Arial Narrow" w:hAnsi="Arial Narrow"/>
                <w:sz w:val="20"/>
                <w:szCs w:val="20"/>
                <w:lang w:eastAsia="en-US"/>
              </w:rPr>
              <w:t>$</w:t>
            </w:r>
            <w:r w:rsidR="00B912EA">
              <w:rPr>
                <w:rFonts w:ascii="Arial Narrow" w:hAnsi="Arial Narrow"/>
                <w:noProof/>
                <w:color w:val="000000"/>
                <w:sz w:val="20"/>
                <w:szCs w:val="20"/>
                <w:highlight w:val="black"/>
                <w:lang w:eastAsia="en-US"/>
              </w:rPr>
              <w:t>'''''''''''''''''</w:t>
            </w:r>
          </w:p>
        </w:tc>
        <w:tc>
          <w:tcPr>
            <w:tcW w:w="1153" w:type="pct"/>
            <w:vAlign w:val="center"/>
          </w:tcPr>
          <w:p w:rsidR="00F065A2" w:rsidRPr="006B1802" w:rsidRDefault="00F065A2" w:rsidP="00B93A10">
            <w:pPr>
              <w:keepNext/>
              <w:jc w:val="center"/>
              <w:rPr>
                <w:rFonts w:ascii="Arial Narrow" w:hAnsi="Arial Narrow"/>
                <w:sz w:val="20"/>
                <w:szCs w:val="20"/>
                <w:lang w:eastAsia="en-US"/>
              </w:rPr>
            </w:pPr>
            <w:r w:rsidRPr="006B1802">
              <w:rPr>
                <w:rFonts w:ascii="Arial Narrow" w:hAnsi="Arial Narrow"/>
                <w:sz w:val="20"/>
                <w:szCs w:val="20"/>
                <w:lang w:eastAsia="en-US"/>
              </w:rPr>
              <w:t>$</w:t>
            </w:r>
            <w:r w:rsidR="00B912EA">
              <w:rPr>
                <w:rFonts w:ascii="Arial Narrow" w:hAnsi="Arial Narrow"/>
                <w:noProof/>
                <w:color w:val="000000"/>
                <w:sz w:val="20"/>
                <w:szCs w:val="20"/>
                <w:highlight w:val="black"/>
                <w:lang w:eastAsia="en-US"/>
              </w:rPr>
              <w:t>''''''''''''''''</w:t>
            </w:r>
          </w:p>
        </w:tc>
      </w:tr>
      <w:tr w:rsidR="00F065A2" w:rsidRPr="006B1802" w:rsidTr="0014764A">
        <w:tc>
          <w:tcPr>
            <w:tcW w:w="1532" w:type="pct"/>
            <w:vAlign w:val="center"/>
          </w:tcPr>
          <w:p w:rsidR="00F065A2" w:rsidRPr="006B1802" w:rsidRDefault="00F065A2" w:rsidP="00B93A10">
            <w:pPr>
              <w:keepNext/>
              <w:rPr>
                <w:rFonts w:ascii="Arial Narrow" w:hAnsi="Arial Narrow"/>
                <w:sz w:val="20"/>
                <w:szCs w:val="20"/>
                <w:lang w:eastAsia="en-US"/>
              </w:rPr>
            </w:pPr>
            <w:r w:rsidRPr="006B1802">
              <w:rPr>
                <w:rFonts w:ascii="Arial Narrow" w:hAnsi="Arial Narrow"/>
                <w:sz w:val="20"/>
                <w:szCs w:val="20"/>
                <w:lang w:eastAsia="en-US"/>
              </w:rPr>
              <w:t>QALYs</w:t>
            </w:r>
          </w:p>
        </w:tc>
        <w:tc>
          <w:tcPr>
            <w:tcW w:w="1157" w:type="pct"/>
            <w:vAlign w:val="center"/>
          </w:tcPr>
          <w:p w:rsidR="00F065A2" w:rsidRPr="006B1802" w:rsidRDefault="00F065A2" w:rsidP="00B93A10">
            <w:pPr>
              <w:keepNext/>
              <w:jc w:val="center"/>
              <w:rPr>
                <w:rFonts w:ascii="Arial Narrow" w:hAnsi="Arial Narrow"/>
                <w:sz w:val="20"/>
                <w:szCs w:val="20"/>
                <w:lang w:eastAsia="en-US"/>
              </w:rPr>
            </w:pPr>
            <w:r w:rsidRPr="006B1802">
              <w:rPr>
                <w:rFonts w:ascii="Arial Narrow" w:hAnsi="Arial Narrow"/>
                <w:sz w:val="20"/>
                <w:szCs w:val="20"/>
                <w:lang w:eastAsia="en-US"/>
              </w:rPr>
              <w:t>13.29</w:t>
            </w:r>
          </w:p>
        </w:tc>
        <w:tc>
          <w:tcPr>
            <w:tcW w:w="1158" w:type="pct"/>
            <w:vAlign w:val="center"/>
          </w:tcPr>
          <w:p w:rsidR="00F065A2" w:rsidRPr="006B1802" w:rsidRDefault="00F065A2" w:rsidP="00B93A10">
            <w:pPr>
              <w:keepNext/>
              <w:jc w:val="center"/>
              <w:rPr>
                <w:rFonts w:ascii="Arial Narrow" w:hAnsi="Arial Narrow"/>
                <w:sz w:val="20"/>
                <w:szCs w:val="20"/>
                <w:lang w:eastAsia="en-US"/>
              </w:rPr>
            </w:pPr>
            <w:r w:rsidRPr="006B1802">
              <w:rPr>
                <w:rFonts w:ascii="Arial Narrow" w:hAnsi="Arial Narrow"/>
                <w:sz w:val="20"/>
                <w:szCs w:val="20"/>
                <w:lang w:eastAsia="en-US"/>
              </w:rPr>
              <w:t>12.98</w:t>
            </w:r>
          </w:p>
        </w:tc>
        <w:tc>
          <w:tcPr>
            <w:tcW w:w="1153" w:type="pct"/>
            <w:vAlign w:val="center"/>
          </w:tcPr>
          <w:p w:rsidR="00F065A2" w:rsidRPr="006B1802" w:rsidRDefault="00F065A2" w:rsidP="00B93A10">
            <w:pPr>
              <w:keepNext/>
              <w:jc w:val="center"/>
              <w:rPr>
                <w:rFonts w:ascii="Arial Narrow" w:hAnsi="Arial Narrow"/>
                <w:sz w:val="20"/>
                <w:szCs w:val="20"/>
                <w:lang w:eastAsia="en-US"/>
              </w:rPr>
            </w:pPr>
            <w:r w:rsidRPr="006B1802">
              <w:rPr>
                <w:rFonts w:ascii="Arial Narrow" w:hAnsi="Arial Narrow"/>
                <w:sz w:val="20"/>
                <w:szCs w:val="20"/>
                <w:lang w:eastAsia="en-US"/>
              </w:rPr>
              <w:t>0.31</w:t>
            </w:r>
          </w:p>
        </w:tc>
      </w:tr>
      <w:tr w:rsidR="00F065A2" w:rsidRPr="006B1802" w:rsidTr="0014764A">
        <w:tc>
          <w:tcPr>
            <w:tcW w:w="3847" w:type="pct"/>
            <w:gridSpan w:val="3"/>
            <w:vAlign w:val="center"/>
          </w:tcPr>
          <w:p w:rsidR="00F065A2" w:rsidRPr="006B1802" w:rsidRDefault="00F065A2" w:rsidP="00B93A10">
            <w:pPr>
              <w:keepNext/>
              <w:rPr>
                <w:rFonts w:ascii="Arial Narrow" w:hAnsi="Arial Narrow"/>
                <w:sz w:val="20"/>
                <w:szCs w:val="20"/>
                <w:lang w:eastAsia="en-US"/>
              </w:rPr>
            </w:pPr>
            <w:r w:rsidRPr="006B1802">
              <w:rPr>
                <w:rFonts w:ascii="Arial Narrow" w:hAnsi="Arial Narrow"/>
                <w:sz w:val="20"/>
                <w:szCs w:val="20"/>
                <w:lang w:eastAsia="en-US"/>
              </w:rPr>
              <w:t>Incremental cost/QALY gained</w:t>
            </w:r>
          </w:p>
        </w:tc>
        <w:tc>
          <w:tcPr>
            <w:tcW w:w="1153" w:type="pct"/>
            <w:vAlign w:val="center"/>
          </w:tcPr>
          <w:p w:rsidR="00F065A2" w:rsidRPr="006B1802" w:rsidRDefault="00F065A2" w:rsidP="00B93A10">
            <w:pPr>
              <w:keepNext/>
              <w:jc w:val="center"/>
              <w:rPr>
                <w:rFonts w:ascii="Arial Narrow" w:hAnsi="Arial Narrow"/>
                <w:sz w:val="20"/>
                <w:szCs w:val="20"/>
                <w:lang w:eastAsia="en-US"/>
              </w:rPr>
            </w:pPr>
            <w:r w:rsidRPr="006B1802">
              <w:rPr>
                <w:rFonts w:ascii="Arial Narrow" w:hAnsi="Arial Narrow"/>
                <w:sz w:val="20"/>
                <w:szCs w:val="20"/>
                <w:lang w:eastAsia="en-US"/>
              </w:rPr>
              <w:t>$</w:t>
            </w:r>
            <w:r w:rsidR="00B912EA">
              <w:rPr>
                <w:rFonts w:ascii="Arial Narrow" w:hAnsi="Arial Narrow"/>
                <w:noProof/>
                <w:color w:val="000000"/>
                <w:sz w:val="20"/>
                <w:szCs w:val="20"/>
                <w:highlight w:val="black"/>
                <w:lang w:eastAsia="en-US"/>
              </w:rPr>
              <w:t>''''''''''''''''''</w:t>
            </w:r>
          </w:p>
        </w:tc>
      </w:tr>
      <w:tr w:rsidR="00F065A2" w:rsidRPr="006B1802" w:rsidTr="0014764A">
        <w:tc>
          <w:tcPr>
            <w:tcW w:w="5000" w:type="pct"/>
            <w:gridSpan w:val="4"/>
            <w:vAlign w:val="center"/>
          </w:tcPr>
          <w:p w:rsidR="00F065A2" w:rsidRPr="006B1802" w:rsidRDefault="00F065A2" w:rsidP="00B93A10">
            <w:pPr>
              <w:keepNext/>
              <w:rPr>
                <w:rFonts w:ascii="Arial Narrow" w:hAnsi="Arial Narrow"/>
                <w:b/>
                <w:snapToGrid w:val="0"/>
                <w:sz w:val="20"/>
                <w:szCs w:val="20"/>
                <w:vertAlign w:val="superscript"/>
                <w:lang w:eastAsia="en-US"/>
              </w:rPr>
            </w:pPr>
            <w:r w:rsidRPr="006B1802">
              <w:rPr>
                <w:rFonts w:ascii="Arial Narrow" w:hAnsi="Arial Narrow"/>
                <w:b/>
                <w:snapToGrid w:val="0"/>
                <w:sz w:val="20"/>
                <w:szCs w:val="20"/>
                <w:lang w:eastAsia="en-US"/>
              </w:rPr>
              <w:t xml:space="preserve">REPRISE ITT population and efficacy </w:t>
            </w:r>
            <w:r w:rsidRPr="006B1802">
              <w:rPr>
                <w:rFonts w:ascii="Arial Narrow" w:hAnsi="Arial Narrow"/>
                <w:b/>
                <w:snapToGrid w:val="0"/>
                <w:sz w:val="20"/>
                <w:szCs w:val="20"/>
                <w:vertAlign w:val="superscript"/>
                <w:lang w:eastAsia="en-US"/>
              </w:rPr>
              <w:t>d</w:t>
            </w:r>
          </w:p>
        </w:tc>
      </w:tr>
      <w:tr w:rsidR="00F065A2" w:rsidRPr="006B1802" w:rsidTr="0014764A">
        <w:tc>
          <w:tcPr>
            <w:tcW w:w="1532" w:type="pct"/>
            <w:vAlign w:val="center"/>
          </w:tcPr>
          <w:p w:rsidR="00F065A2" w:rsidRPr="006B1802" w:rsidRDefault="00F065A2" w:rsidP="00B93A10">
            <w:pPr>
              <w:keepNext/>
              <w:rPr>
                <w:rFonts w:ascii="Arial Narrow" w:hAnsi="Arial Narrow"/>
                <w:sz w:val="20"/>
                <w:szCs w:val="20"/>
                <w:lang w:eastAsia="en-US"/>
              </w:rPr>
            </w:pPr>
            <w:r w:rsidRPr="006B1802">
              <w:rPr>
                <w:rFonts w:ascii="Arial Narrow" w:hAnsi="Arial Narrow"/>
                <w:sz w:val="20"/>
                <w:szCs w:val="20"/>
                <w:lang w:eastAsia="en-US"/>
              </w:rPr>
              <w:t>Costs</w:t>
            </w:r>
          </w:p>
        </w:tc>
        <w:tc>
          <w:tcPr>
            <w:tcW w:w="1157" w:type="pct"/>
            <w:vAlign w:val="center"/>
          </w:tcPr>
          <w:p w:rsidR="00F065A2" w:rsidRPr="006B1802" w:rsidRDefault="00F065A2" w:rsidP="00B93A10">
            <w:pPr>
              <w:keepNext/>
              <w:jc w:val="center"/>
              <w:rPr>
                <w:rFonts w:ascii="Arial Narrow" w:hAnsi="Arial Narrow"/>
                <w:sz w:val="20"/>
                <w:szCs w:val="20"/>
                <w:lang w:eastAsia="en-US"/>
              </w:rPr>
            </w:pPr>
            <w:r w:rsidRPr="006B1802">
              <w:rPr>
                <w:rFonts w:ascii="Arial Narrow" w:hAnsi="Arial Narrow"/>
                <w:sz w:val="20"/>
                <w:szCs w:val="20"/>
                <w:lang w:eastAsia="en-US"/>
              </w:rPr>
              <w:t>$</w:t>
            </w:r>
            <w:r w:rsidR="00B912EA">
              <w:rPr>
                <w:rFonts w:ascii="Arial Narrow" w:hAnsi="Arial Narrow"/>
                <w:noProof/>
                <w:color w:val="000000"/>
                <w:sz w:val="20"/>
                <w:szCs w:val="20"/>
                <w:highlight w:val="black"/>
                <w:lang w:eastAsia="en-US"/>
              </w:rPr>
              <w:t>''''''''''''''''''''</w:t>
            </w:r>
          </w:p>
        </w:tc>
        <w:tc>
          <w:tcPr>
            <w:tcW w:w="1158" w:type="pct"/>
            <w:vAlign w:val="center"/>
          </w:tcPr>
          <w:p w:rsidR="00F065A2" w:rsidRPr="006B1802" w:rsidRDefault="00F065A2" w:rsidP="00B93A10">
            <w:pPr>
              <w:keepNext/>
              <w:jc w:val="center"/>
              <w:rPr>
                <w:rFonts w:ascii="Arial Narrow" w:hAnsi="Arial Narrow"/>
                <w:sz w:val="20"/>
                <w:szCs w:val="20"/>
                <w:lang w:eastAsia="en-US"/>
              </w:rPr>
            </w:pPr>
            <w:r w:rsidRPr="006B1802">
              <w:rPr>
                <w:rFonts w:ascii="Arial Narrow" w:hAnsi="Arial Narrow"/>
                <w:sz w:val="20"/>
                <w:szCs w:val="20"/>
                <w:lang w:eastAsia="en-US"/>
              </w:rPr>
              <w:t>$</w:t>
            </w:r>
            <w:r w:rsidR="00B912EA">
              <w:rPr>
                <w:rFonts w:ascii="Arial Narrow" w:hAnsi="Arial Narrow"/>
                <w:noProof/>
                <w:color w:val="000000"/>
                <w:sz w:val="20"/>
                <w:szCs w:val="20"/>
                <w:highlight w:val="black"/>
                <w:lang w:eastAsia="en-US"/>
              </w:rPr>
              <w:t>'''''''''''''''''''''</w:t>
            </w:r>
          </w:p>
        </w:tc>
        <w:tc>
          <w:tcPr>
            <w:tcW w:w="1153" w:type="pct"/>
            <w:vAlign w:val="center"/>
          </w:tcPr>
          <w:p w:rsidR="00F065A2" w:rsidRPr="006B1802" w:rsidRDefault="00F065A2" w:rsidP="00B93A10">
            <w:pPr>
              <w:keepNext/>
              <w:jc w:val="center"/>
              <w:rPr>
                <w:rFonts w:ascii="Arial Narrow" w:hAnsi="Arial Narrow"/>
                <w:sz w:val="20"/>
                <w:szCs w:val="20"/>
                <w:lang w:eastAsia="en-US"/>
              </w:rPr>
            </w:pPr>
            <w:r w:rsidRPr="006B1802">
              <w:rPr>
                <w:rFonts w:ascii="Arial Narrow" w:hAnsi="Arial Narrow"/>
                <w:sz w:val="20"/>
                <w:szCs w:val="20"/>
                <w:lang w:eastAsia="en-US"/>
              </w:rPr>
              <w:t>$</w:t>
            </w:r>
            <w:r w:rsidR="00B912EA">
              <w:rPr>
                <w:rFonts w:ascii="Arial Narrow" w:hAnsi="Arial Narrow"/>
                <w:noProof/>
                <w:color w:val="000000"/>
                <w:sz w:val="20"/>
                <w:szCs w:val="20"/>
                <w:highlight w:val="black"/>
                <w:lang w:eastAsia="en-US"/>
              </w:rPr>
              <w:t>'''''''''''''''</w:t>
            </w:r>
          </w:p>
        </w:tc>
      </w:tr>
      <w:tr w:rsidR="00F065A2" w:rsidRPr="006B1802" w:rsidTr="0014764A">
        <w:tc>
          <w:tcPr>
            <w:tcW w:w="1532" w:type="pct"/>
            <w:vAlign w:val="center"/>
          </w:tcPr>
          <w:p w:rsidR="00F065A2" w:rsidRPr="006B1802" w:rsidRDefault="00F065A2" w:rsidP="00B93A10">
            <w:pPr>
              <w:keepNext/>
              <w:rPr>
                <w:rFonts w:ascii="Arial Narrow" w:hAnsi="Arial Narrow"/>
                <w:sz w:val="20"/>
                <w:szCs w:val="20"/>
                <w:lang w:eastAsia="en-US"/>
              </w:rPr>
            </w:pPr>
            <w:r w:rsidRPr="006B1802">
              <w:rPr>
                <w:rFonts w:ascii="Arial Narrow" w:hAnsi="Arial Narrow"/>
                <w:sz w:val="20"/>
                <w:szCs w:val="20"/>
                <w:lang w:eastAsia="en-US"/>
              </w:rPr>
              <w:t>QALYs</w:t>
            </w:r>
          </w:p>
        </w:tc>
        <w:tc>
          <w:tcPr>
            <w:tcW w:w="1157" w:type="pct"/>
            <w:vAlign w:val="center"/>
          </w:tcPr>
          <w:p w:rsidR="00F065A2" w:rsidRPr="006B1802" w:rsidRDefault="00F065A2" w:rsidP="00B93A10">
            <w:pPr>
              <w:keepNext/>
              <w:jc w:val="center"/>
              <w:rPr>
                <w:rFonts w:ascii="Arial Narrow" w:hAnsi="Arial Narrow"/>
                <w:sz w:val="20"/>
                <w:szCs w:val="20"/>
                <w:lang w:eastAsia="en-US"/>
              </w:rPr>
            </w:pPr>
            <w:r w:rsidRPr="006B1802">
              <w:rPr>
                <w:rFonts w:ascii="Arial Narrow" w:hAnsi="Arial Narrow"/>
                <w:sz w:val="20"/>
                <w:szCs w:val="20"/>
                <w:lang w:eastAsia="en-US"/>
              </w:rPr>
              <w:t>10.35</w:t>
            </w:r>
          </w:p>
        </w:tc>
        <w:tc>
          <w:tcPr>
            <w:tcW w:w="1158" w:type="pct"/>
            <w:vAlign w:val="center"/>
          </w:tcPr>
          <w:p w:rsidR="00F065A2" w:rsidRPr="006B1802" w:rsidRDefault="00F065A2" w:rsidP="00B93A10">
            <w:pPr>
              <w:keepNext/>
              <w:jc w:val="center"/>
              <w:rPr>
                <w:rFonts w:ascii="Arial Narrow" w:hAnsi="Arial Narrow"/>
                <w:sz w:val="20"/>
                <w:szCs w:val="20"/>
                <w:lang w:eastAsia="en-US"/>
              </w:rPr>
            </w:pPr>
            <w:r w:rsidRPr="006B1802">
              <w:rPr>
                <w:rFonts w:ascii="Arial Narrow" w:hAnsi="Arial Narrow"/>
                <w:sz w:val="20"/>
                <w:szCs w:val="20"/>
                <w:lang w:eastAsia="en-US"/>
              </w:rPr>
              <w:t>9.97</w:t>
            </w:r>
          </w:p>
        </w:tc>
        <w:tc>
          <w:tcPr>
            <w:tcW w:w="1153" w:type="pct"/>
            <w:vAlign w:val="center"/>
          </w:tcPr>
          <w:p w:rsidR="00F065A2" w:rsidRPr="006B1802" w:rsidRDefault="00F065A2" w:rsidP="00B93A10">
            <w:pPr>
              <w:keepNext/>
              <w:jc w:val="center"/>
              <w:rPr>
                <w:rFonts w:ascii="Arial Narrow" w:hAnsi="Arial Narrow"/>
                <w:sz w:val="20"/>
                <w:szCs w:val="20"/>
                <w:lang w:eastAsia="en-US"/>
              </w:rPr>
            </w:pPr>
            <w:r w:rsidRPr="006B1802">
              <w:rPr>
                <w:rFonts w:ascii="Arial Narrow" w:hAnsi="Arial Narrow"/>
                <w:sz w:val="20"/>
                <w:szCs w:val="20"/>
                <w:lang w:eastAsia="en-US"/>
              </w:rPr>
              <w:t>0.37</w:t>
            </w:r>
          </w:p>
        </w:tc>
      </w:tr>
      <w:tr w:rsidR="00F065A2" w:rsidRPr="006B1802" w:rsidTr="0014764A">
        <w:tc>
          <w:tcPr>
            <w:tcW w:w="3847" w:type="pct"/>
            <w:gridSpan w:val="3"/>
            <w:vAlign w:val="center"/>
          </w:tcPr>
          <w:p w:rsidR="00F065A2" w:rsidRPr="006B1802" w:rsidRDefault="00F065A2" w:rsidP="00B93A10">
            <w:pPr>
              <w:keepNext/>
              <w:rPr>
                <w:rFonts w:ascii="Arial Narrow" w:hAnsi="Arial Narrow"/>
                <w:sz w:val="20"/>
                <w:szCs w:val="20"/>
                <w:lang w:eastAsia="en-US"/>
              </w:rPr>
            </w:pPr>
            <w:r w:rsidRPr="006B1802">
              <w:rPr>
                <w:rFonts w:ascii="Arial Narrow" w:hAnsi="Arial Narrow"/>
                <w:sz w:val="20"/>
                <w:szCs w:val="20"/>
                <w:lang w:eastAsia="en-US"/>
              </w:rPr>
              <w:t>Incremental cost/QALY gained</w:t>
            </w:r>
          </w:p>
        </w:tc>
        <w:tc>
          <w:tcPr>
            <w:tcW w:w="1153" w:type="pct"/>
          </w:tcPr>
          <w:p w:rsidR="00F065A2" w:rsidRPr="006B1802" w:rsidRDefault="00F065A2" w:rsidP="00B93A10">
            <w:pPr>
              <w:keepNext/>
              <w:jc w:val="center"/>
              <w:rPr>
                <w:rFonts w:ascii="Arial Narrow" w:hAnsi="Arial Narrow"/>
                <w:sz w:val="20"/>
                <w:szCs w:val="20"/>
                <w:lang w:eastAsia="en-US"/>
              </w:rPr>
            </w:pPr>
            <w:r w:rsidRPr="006B1802">
              <w:rPr>
                <w:rFonts w:ascii="Arial Narrow" w:hAnsi="Arial Narrow"/>
                <w:sz w:val="20"/>
                <w:szCs w:val="20"/>
                <w:lang w:eastAsia="en-US"/>
              </w:rPr>
              <w:t>$</w:t>
            </w:r>
            <w:r w:rsidR="00B912EA">
              <w:rPr>
                <w:rFonts w:ascii="Arial Narrow" w:hAnsi="Arial Narrow"/>
                <w:noProof/>
                <w:color w:val="000000"/>
                <w:sz w:val="20"/>
                <w:szCs w:val="20"/>
                <w:highlight w:val="black"/>
                <w:lang w:eastAsia="en-US"/>
              </w:rPr>
              <w:t>'''''''''''''''</w:t>
            </w:r>
          </w:p>
        </w:tc>
      </w:tr>
      <w:tr w:rsidR="00F065A2" w:rsidRPr="006B1802" w:rsidTr="0014764A">
        <w:tc>
          <w:tcPr>
            <w:tcW w:w="3847" w:type="pct"/>
            <w:gridSpan w:val="3"/>
            <w:vAlign w:val="center"/>
          </w:tcPr>
          <w:p w:rsidR="00F065A2" w:rsidRPr="006B1802" w:rsidRDefault="00F065A2" w:rsidP="00B93A10">
            <w:pPr>
              <w:keepNext/>
              <w:rPr>
                <w:rFonts w:ascii="Arial Narrow" w:hAnsi="Arial Narrow"/>
                <w:sz w:val="20"/>
                <w:szCs w:val="20"/>
                <w:vertAlign w:val="superscript"/>
                <w:lang w:eastAsia="en-US"/>
              </w:rPr>
            </w:pPr>
            <w:r w:rsidRPr="006B1802">
              <w:rPr>
                <w:rFonts w:ascii="Arial Narrow" w:hAnsi="Arial Narrow"/>
                <w:b/>
                <w:sz w:val="20"/>
                <w:szCs w:val="20"/>
                <w:lang w:eastAsia="en-US"/>
              </w:rPr>
              <w:t xml:space="preserve">Weighted ICER for ITT population (weighting: 54.1% TEMPO 3:4 vs 45.9% REPRISE) </w:t>
            </w:r>
            <w:r w:rsidRPr="006B1802">
              <w:rPr>
                <w:rFonts w:ascii="Arial Narrow" w:hAnsi="Arial Narrow"/>
                <w:b/>
                <w:sz w:val="20"/>
                <w:szCs w:val="20"/>
                <w:vertAlign w:val="superscript"/>
                <w:lang w:eastAsia="en-US"/>
              </w:rPr>
              <w:t>c</w:t>
            </w:r>
          </w:p>
        </w:tc>
        <w:tc>
          <w:tcPr>
            <w:tcW w:w="1153" w:type="pct"/>
          </w:tcPr>
          <w:p w:rsidR="00F065A2" w:rsidRPr="006B1802" w:rsidRDefault="00F065A2" w:rsidP="00B93A10">
            <w:pPr>
              <w:keepNext/>
              <w:jc w:val="center"/>
              <w:rPr>
                <w:rFonts w:ascii="Arial Narrow" w:hAnsi="Arial Narrow"/>
                <w:sz w:val="20"/>
                <w:szCs w:val="20"/>
                <w:lang w:eastAsia="en-US"/>
              </w:rPr>
            </w:pPr>
          </w:p>
        </w:tc>
      </w:tr>
      <w:tr w:rsidR="00F065A2" w:rsidRPr="006B1802" w:rsidTr="0014764A">
        <w:tc>
          <w:tcPr>
            <w:tcW w:w="3847" w:type="pct"/>
            <w:gridSpan w:val="3"/>
            <w:vAlign w:val="center"/>
          </w:tcPr>
          <w:p w:rsidR="00F065A2" w:rsidRPr="006B1802" w:rsidRDefault="00F065A2" w:rsidP="00B93A10">
            <w:pPr>
              <w:keepNext/>
              <w:jc w:val="right"/>
              <w:rPr>
                <w:rFonts w:ascii="Arial Narrow" w:hAnsi="Arial Narrow"/>
                <w:sz w:val="20"/>
                <w:szCs w:val="20"/>
                <w:lang w:eastAsia="en-US"/>
              </w:rPr>
            </w:pPr>
            <w:r w:rsidRPr="006B1802">
              <w:rPr>
                <w:rFonts w:ascii="Arial Narrow" w:hAnsi="Arial Narrow"/>
                <w:sz w:val="20"/>
                <w:szCs w:val="20"/>
                <w:lang w:eastAsia="en-US"/>
              </w:rPr>
              <w:t>Incremental costs</w:t>
            </w:r>
          </w:p>
        </w:tc>
        <w:tc>
          <w:tcPr>
            <w:tcW w:w="1153" w:type="pct"/>
          </w:tcPr>
          <w:p w:rsidR="00F065A2" w:rsidRPr="006B1802" w:rsidRDefault="00F065A2" w:rsidP="00B93A10">
            <w:pPr>
              <w:jc w:val="center"/>
              <w:rPr>
                <w:rFonts w:ascii="Arial Narrow" w:hAnsi="Arial Narrow"/>
                <w:sz w:val="20"/>
                <w:szCs w:val="20"/>
                <w:lang w:eastAsia="en-US"/>
              </w:rPr>
            </w:pPr>
            <w:r w:rsidRPr="006B1802">
              <w:rPr>
                <w:rFonts w:ascii="Arial Narrow" w:hAnsi="Arial Narrow"/>
                <w:sz w:val="20"/>
                <w:szCs w:val="20"/>
                <w:lang w:eastAsia="en-US"/>
              </w:rPr>
              <w:t>$</w:t>
            </w:r>
            <w:r w:rsidR="00B912EA">
              <w:rPr>
                <w:rFonts w:ascii="Arial Narrow" w:hAnsi="Arial Narrow"/>
                <w:noProof/>
                <w:color w:val="000000"/>
                <w:sz w:val="20"/>
                <w:szCs w:val="20"/>
                <w:highlight w:val="black"/>
                <w:lang w:eastAsia="en-US"/>
              </w:rPr>
              <w:t>'''''''''''''''''</w:t>
            </w:r>
          </w:p>
        </w:tc>
      </w:tr>
      <w:tr w:rsidR="00F065A2" w:rsidRPr="006B1802" w:rsidTr="0014764A">
        <w:tc>
          <w:tcPr>
            <w:tcW w:w="3847" w:type="pct"/>
            <w:gridSpan w:val="3"/>
            <w:vAlign w:val="center"/>
          </w:tcPr>
          <w:p w:rsidR="00F065A2" w:rsidRPr="006B1802" w:rsidRDefault="00F065A2" w:rsidP="00B93A10">
            <w:pPr>
              <w:keepNext/>
              <w:jc w:val="right"/>
              <w:rPr>
                <w:rFonts w:ascii="Arial Narrow" w:hAnsi="Arial Narrow"/>
                <w:sz w:val="20"/>
                <w:szCs w:val="20"/>
                <w:lang w:eastAsia="en-US"/>
              </w:rPr>
            </w:pPr>
            <w:r w:rsidRPr="006B1802">
              <w:rPr>
                <w:rFonts w:ascii="Arial Narrow" w:hAnsi="Arial Narrow"/>
                <w:sz w:val="20"/>
                <w:szCs w:val="20"/>
                <w:lang w:eastAsia="en-US"/>
              </w:rPr>
              <w:t>Incremental QALYs</w:t>
            </w:r>
          </w:p>
        </w:tc>
        <w:tc>
          <w:tcPr>
            <w:tcW w:w="1153" w:type="pct"/>
          </w:tcPr>
          <w:p w:rsidR="00F065A2" w:rsidRPr="006B1802" w:rsidRDefault="00F065A2" w:rsidP="00B93A10">
            <w:pPr>
              <w:jc w:val="center"/>
              <w:rPr>
                <w:rFonts w:ascii="Arial Narrow" w:hAnsi="Arial Narrow"/>
                <w:sz w:val="20"/>
                <w:szCs w:val="20"/>
                <w:lang w:eastAsia="en-US"/>
              </w:rPr>
            </w:pPr>
            <w:r w:rsidRPr="006B1802">
              <w:rPr>
                <w:rFonts w:ascii="Arial Narrow" w:hAnsi="Arial Narrow"/>
                <w:sz w:val="20"/>
                <w:szCs w:val="20"/>
                <w:lang w:eastAsia="en-US"/>
              </w:rPr>
              <w:t>0.34</w:t>
            </w:r>
          </w:p>
        </w:tc>
      </w:tr>
      <w:tr w:rsidR="00F065A2" w:rsidRPr="006B1802" w:rsidTr="0014764A">
        <w:tc>
          <w:tcPr>
            <w:tcW w:w="3847" w:type="pct"/>
            <w:gridSpan w:val="3"/>
            <w:tcBorders>
              <w:bottom w:val="double" w:sz="4" w:space="0" w:color="auto"/>
            </w:tcBorders>
            <w:vAlign w:val="center"/>
          </w:tcPr>
          <w:p w:rsidR="00F065A2" w:rsidRPr="006B1802" w:rsidRDefault="00F065A2" w:rsidP="00B93A10">
            <w:pPr>
              <w:keepNext/>
              <w:jc w:val="right"/>
              <w:rPr>
                <w:rFonts w:ascii="Arial Narrow" w:hAnsi="Arial Narrow"/>
                <w:b/>
                <w:sz w:val="20"/>
                <w:szCs w:val="20"/>
                <w:lang w:eastAsia="en-US"/>
              </w:rPr>
            </w:pPr>
            <w:r w:rsidRPr="006B1802">
              <w:rPr>
                <w:rFonts w:ascii="Arial Narrow" w:hAnsi="Arial Narrow"/>
                <w:b/>
                <w:sz w:val="20"/>
                <w:szCs w:val="20"/>
                <w:lang w:eastAsia="en-US"/>
              </w:rPr>
              <w:t>Weighted ICER / QALY</w:t>
            </w:r>
          </w:p>
        </w:tc>
        <w:tc>
          <w:tcPr>
            <w:tcW w:w="1153" w:type="pct"/>
            <w:tcBorders>
              <w:bottom w:val="double" w:sz="4" w:space="0" w:color="auto"/>
            </w:tcBorders>
          </w:tcPr>
          <w:p w:rsidR="00F065A2" w:rsidRPr="006B1802" w:rsidRDefault="00F065A2" w:rsidP="00B93A10">
            <w:pPr>
              <w:jc w:val="center"/>
              <w:rPr>
                <w:rFonts w:ascii="Arial Narrow" w:hAnsi="Arial Narrow"/>
                <w:b/>
                <w:sz w:val="20"/>
                <w:szCs w:val="20"/>
                <w:lang w:eastAsia="en-US"/>
              </w:rPr>
            </w:pPr>
            <w:r w:rsidRPr="006B1802">
              <w:rPr>
                <w:rFonts w:ascii="Arial Narrow" w:hAnsi="Arial Narrow"/>
                <w:b/>
                <w:sz w:val="20"/>
                <w:szCs w:val="20"/>
                <w:lang w:eastAsia="en-US"/>
              </w:rPr>
              <w:t>$</w:t>
            </w:r>
            <w:r w:rsidR="00B912EA">
              <w:rPr>
                <w:rFonts w:ascii="Arial Narrow" w:hAnsi="Arial Narrow"/>
                <w:b/>
                <w:noProof/>
                <w:color w:val="000000"/>
                <w:sz w:val="20"/>
                <w:szCs w:val="20"/>
                <w:highlight w:val="black"/>
                <w:lang w:eastAsia="en-US"/>
              </w:rPr>
              <w:t>''''''''''''''</w:t>
            </w:r>
          </w:p>
        </w:tc>
      </w:tr>
      <w:tr w:rsidR="00F065A2" w:rsidRPr="006B1802" w:rsidTr="0014764A">
        <w:trPr>
          <w:tblHeader/>
        </w:trPr>
        <w:tc>
          <w:tcPr>
            <w:tcW w:w="5000" w:type="pct"/>
            <w:gridSpan w:val="4"/>
            <w:tcBorders>
              <w:top w:val="double" w:sz="4" w:space="0" w:color="auto"/>
            </w:tcBorders>
            <w:shd w:val="clear" w:color="auto" w:fill="D9D9D9" w:themeFill="background1" w:themeFillShade="D9"/>
            <w:vAlign w:val="center"/>
          </w:tcPr>
          <w:p w:rsidR="00F065A2" w:rsidRPr="006B1802" w:rsidRDefault="00F065A2" w:rsidP="00B93A10">
            <w:pPr>
              <w:keepNext/>
              <w:rPr>
                <w:rFonts w:ascii="Arial Narrow" w:hAnsi="Arial Narrow"/>
                <w:b/>
                <w:sz w:val="20"/>
                <w:szCs w:val="20"/>
                <w:lang w:eastAsia="en-US"/>
              </w:rPr>
            </w:pPr>
            <w:r w:rsidRPr="006B1802">
              <w:rPr>
                <w:rFonts w:ascii="Arial Narrow" w:hAnsi="Arial Narrow"/>
                <w:b/>
                <w:sz w:val="20"/>
                <w:szCs w:val="20"/>
                <w:lang w:eastAsia="en-US"/>
              </w:rPr>
              <w:t xml:space="preserve">Previous submission summarised results </w:t>
            </w:r>
            <w:r w:rsidRPr="006B1802">
              <w:rPr>
                <w:rFonts w:ascii="Arial Narrow" w:hAnsi="Arial Narrow"/>
                <w:sz w:val="20"/>
                <w:szCs w:val="20"/>
                <w:lang w:eastAsia="en-US"/>
              </w:rPr>
              <w:t>(tolvaptan price of $</w:t>
            </w:r>
            <w:r w:rsidR="00B912EA">
              <w:rPr>
                <w:rFonts w:ascii="Arial Narrow" w:hAnsi="Arial Narrow"/>
                <w:noProof/>
                <w:color w:val="000000"/>
                <w:sz w:val="20"/>
                <w:szCs w:val="20"/>
                <w:highlight w:val="black"/>
                <w:lang w:eastAsia="en-US"/>
              </w:rPr>
              <w:t>'''''''''''''''</w:t>
            </w:r>
            <w:r w:rsidRPr="006B1802">
              <w:rPr>
                <w:rFonts w:ascii="Arial Narrow" w:hAnsi="Arial Narrow"/>
                <w:sz w:val="20"/>
                <w:szCs w:val="20"/>
                <w:lang w:eastAsia="en-US"/>
              </w:rPr>
              <w:t>/pack and no disutility for adverse events)</w:t>
            </w:r>
          </w:p>
        </w:tc>
      </w:tr>
      <w:tr w:rsidR="00F065A2" w:rsidRPr="006B1802" w:rsidTr="0014764A">
        <w:trPr>
          <w:tblHeader/>
        </w:trPr>
        <w:tc>
          <w:tcPr>
            <w:tcW w:w="1532" w:type="pct"/>
            <w:shd w:val="clear" w:color="auto" w:fill="D9D9D9" w:themeFill="background1" w:themeFillShade="D9"/>
          </w:tcPr>
          <w:p w:rsidR="00F065A2" w:rsidRPr="006B1802" w:rsidRDefault="00F065A2" w:rsidP="00B93A10">
            <w:pPr>
              <w:keepNext/>
              <w:rPr>
                <w:rFonts w:ascii="Arial Narrow" w:hAnsi="Arial Narrow"/>
                <w:sz w:val="20"/>
                <w:szCs w:val="20"/>
                <w:lang w:eastAsia="en-US"/>
              </w:rPr>
            </w:pPr>
          </w:p>
        </w:tc>
        <w:tc>
          <w:tcPr>
            <w:tcW w:w="1157" w:type="pct"/>
            <w:shd w:val="clear" w:color="auto" w:fill="D9D9D9" w:themeFill="background1" w:themeFillShade="D9"/>
          </w:tcPr>
          <w:p w:rsidR="00F065A2" w:rsidRPr="006B1802" w:rsidRDefault="00F065A2" w:rsidP="00B93A10">
            <w:pPr>
              <w:keepNext/>
              <w:jc w:val="center"/>
              <w:rPr>
                <w:rFonts w:ascii="Arial Narrow" w:hAnsi="Arial Narrow"/>
                <w:b/>
                <w:sz w:val="20"/>
                <w:szCs w:val="20"/>
                <w:lang w:eastAsia="en-US"/>
              </w:rPr>
            </w:pPr>
            <w:r w:rsidRPr="006B1802">
              <w:rPr>
                <w:rFonts w:ascii="Arial Narrow" w:hAnsi="Arial Narrow"/>
                <w:b/>
                <w:sz w:val="20"/>
                <w:szCs w:val="20"/>
                <w:lang w:eastAsia="en-US"/>
              </w:rPr>
              <w:t>Incremental costs</w:t>
            </w:r>
          </w:p>
        </w:tc>
        <w:tc>
          <w:tcPr>
            <w:tcW w:w="1158" w:type="pct"/>
            <w:shd w:val="clear" w:color="auto" w:fill="D9D9D9" w:themeFill="background1" w:themeFillShade="D9"/>
          </w:tcPr>
          <w:p w:rsidR="00F065A2" w:rsidRPr="006B1802" w:rsidRDefault="00F065A2" w:rsidP="00B93A10">
            <w:pPr>
              <w:keepNext/>
              <w:jc w:val="center"/>
              <w:rPr>
                <w:rFonts w:ascii="Arial Narrow" w:hAnsi="Arial Narrow"/>
                <w:b/>
                <w:sz w:val="20"/>
                <w:szCs w:val="20"/>
                <w:lang w:eastAsia="en-US"/>
              </w:rPr>
            </w:pPr>
            <w:r w:rsidRPr="006B1802">
              <w:rPr>
                <w:rFonts w:ascii="Arial Narrow" w:hAnsi="Arial Narrow"/>
                <w:b/>
                <w:sz w:val="20"/>
                <w:szCs w:val="20"/>
                <w:lang w:eastAsia="en-US"/>
              </w:rPr>
              <w:t>Incremental QALYs</w:t>
            </w:r>
          </w:p>
        </w:tc>
        <w:tc>
          <w:tcPr>
            <w:tcW w:w="1153" w:type="pct"/>
            <w:shd w:val="clear" w:color="auto" w:fill="D9D9D9" w:themeFill="background1" w:themeFillShade="D9"/>
          </w:tcPr>
          <w:p w:rsidR="00F065A2" w:rsidRPr="006B1802" w:rsidRDefault="00F065A2" w:rsidP="00B93A10">
            <w:pPr>
              <w:keepNext/>
              <w:jc w:val="center"/>
              <w:rPr>
                <w:rFonts w:ascii="Arial Narrow" w:hAnsi="Arial Narrow"/>
                <w:b/>
                <w:sz w:val="20"/>
                <w:szCs w:val="20"/>
                <w:lang w:eastAsia="en-US"/>
              </w:rPr>
            </w:pPr>
            <w:r w:rsidRPr="006B1802">
              <w:rPr>
                <w:rFonts w:ascii="Arial Narrow" w:hAnsi="Arial Narrow"/>
                <w:b/>
                <w:sz w:val="20"/>
                <w:szCs w:val="20"/>
                <w:lang w:eastAsia="en-US"/>
              </w:rPr>
              <w:t>ICER</w:t>
            </w:r>
          </w:p>
        </w:tc>
      </w:tr>
      <w:tr w:rsidR="00F065A2" w:rsidRPr="006B1802" w:rsidTr="0014764A">
        <w:trPr>
          <w:tblHeader/>
        </w:trPr>
        <w:tc>
          <w:tcPr>
            <w:tcW w:w="1532" w:type="pct"/>
            <w:shd w:val="clear" w:color="auto" w:fill="D9D9D9" w:themeFill="background1" w:themeFillShade="D9"/>
          </w:tcPr>
          <w:p w:rsidR="00F065A2" w:rsidRPr="006B1802" w:rsidRDefault="00F065A2" w:rsidP="00B93A10">
            <w:pPr>
              <w:keepNext/>
              <w:rPr>
                <w:rFonts w:ascii="Arial Narrow" w:hAnsi="Arial Narrow"/>
                <w:b/>
                <w:sz w:val="20"/>
                <w:szCs w:val="20"/>
                <w:lang w:eastAsia="en-US"/>
              </w:rPr>
            </w:pPr>
            <w:r w:rsidRPr="006B1802">
              <w:rPr>
                <w:rFonts w:ascii="Arial Narrow" w:hAnsi="Arial Narrow"/>
                <w:sz w:val="20"/>
                <w:szCs w:val="20"/>
                <w:lang w:eastAsia="en-US"/>
              </w:rPr>
              <w:t>TEMPO 3:4 subpopulation</w:t>
            </w:r>
          </w:p>
        </w:tc>
        <w:tc>
          <w:tcPr>
            <w:tcW w:w="1157" w:type="pct"/>
            <w:shd w:val="clear" w:color="auto" w:fill="D9D9D9" w:themeFill="background1" w:themeFillShade="D9"/>
          </w:tcPr>
          <w:p w:rsidR="00F065A2" w:rsidRPr="006B1802" w:rsidRDefault="00F065A2" w:rsidP="00B93A10">
            <w:pPr>
              <w:keepNext/>
              <w:jc w:val="center"/>
              <w:rPr>
                <w:rFonts w:ascii="Arial Narrow" w:hAnsi="Arial Narrow"/>
                <w:b/>
                <w:sz w:val="20"/>
                <w:szCs w:val="20"/>
                <w:lang w:eastAsia="en-US"/>
              </w:rPr>
            </w:pPr>
            <w:r w:rsidRPr="006B1802">
              <w:rPr>
                <w:rFonts w:ascii="Arial Narrow" w:hAnsi="Arial Narrow"/>
                <w:sz w:val="20"/>
                <w:szCs w:val="20"/>
                <w:lang w:eastAsia="en-US"/>
              </w:rPr>
              <w:t>$</w:t>
            </w:r>
            <w:r w:rsidR="00B912EA">
              <w:rPr>
                <w:rFonts w:ascii="Arial Narrow" w:hAnsi="Arial Narrow"/>
                <w:noProof/>
                <w:color w:val="000000"/>
                <w:sz w:val="20"/>
                <w:szCs w:val="20"/>
                <w:highlight w:val="black"/>
                <w:lang w:eastAsia="en-US"/>
              </w:rPr>
              <w:t>''''''''''''''''</w:t>
            </w:r>
          </w:p>
        </w:tc>
        <w:tc>
          <w:tcPr>
            <w:tcW w:w="1158" w:type="pct"/>
            <w:shd w:val="clear" w:color="auto" w:fill="D9D9D9" w:themeFill="background1" w:themeFillShade="D9"/>
          </w:tcPr>
          <w:p w:rsidR="00F065A2" w:rsidRPr="006B1802" w:rsidRDefault="00F065A2" w:rsidP="00B93A10">
            <w:pPr>
              <w:keepNext/>
              <w:jc w:val="center"/>
              <w:rPr>
                <w:rFonts w:ascii="Arial Narrow" w:hAnsi="Arial Narrow"/>
                <w:b/>
                <w:sz w:val="20"/>
                <w:szCs w:val="20"/>
                <w:lang w:eastAsia="en-US"/>
              </w:rPr>
            </w:pPr>
            <w:r w:rsidRPr="006B1802">
              <w:rPr>
                <w:rFonts w:ascii="Arial Narrow" w:hAnsi="Arial Narrow"/>
                <w:sz w:val="20"/>
                <w:szCs w:val="20"/>
                <w:lang w:eastAsia="en-US"/>
              </w:rPr>
              <w:t>0.58</w:t>
            </w:r>
          </w:p>
        </w:tc>
        <w:tc>
          <w:tcPr>
            <w:tcW w:w="1153" w:type="pct"/>
            <w:shd w:val="clear" w:color="auto" w:fill="D9D9D9" w:themeFill="background1" w:themeFillShade="D9"/>
          </w:tcPr>
          <w:p w:rsidR="00F065A2" w:rsidRPr="006B1802" w:rsidRDefault="00F065A2" w:rsidP="00B93A10">
            <w:pPr>
              <w:keepNext/>
              <w:jc w:val="center"/>
              <w:rPr>
                <w:rFonts w:ascii="Arial Narrow" w:hAnsi="Arial Narrow"/>
                <w:b/>
                <w:sz w:val="20"/>
                <w:szCs w:val="20"/>
                <w:lang w:eastAsia="en-US"/>
              </w:rPr>
            </w:pPr>
            <w:r w:rsidRPr="006B1802">
              <w:rPr>
                <w:rFonts w:ascii="Arial Narrow" w:hAnsi="Arial Narrow"/>
                <w:sz w:val="20"/>
                <w:szCs w:val="20"/>
                <w:lang w:eastAsia="en-US"/>
              </w:rPr>
              <w:t>$</w:t>
            </w:r>
            <w:r w:rsidR="00B912EA">
              <w:rPr>
                <w:rFonts w:ascii="Arial Narrow" w:hAnsi="Arial Narrow"/>
                <w:noProof/>
                <w:color w:val="000000"/>
                <w:sz w:val="20"/>
                <w:szCs w:val="20"/>
                <w:highlight w:val="black"/>
                <w:lang w:eastAsia="en-US"/>
              </w:rPr>
              <w:t>'''''''''''''''</w:t>
            </w:r>
          </w:p>
        </w:tc>
      </w:tr>
      <w:tr w:rsidR="00F065A2" w:rsidRPr="006B1802" w:rsidTr="0014764A">
        <w:trPr>
          <w:tblHeader/>
        </w:trPr>
        <w:tc>
          <w:tcPr>
            <w:tcW w:w="1532" w:type="pct"/>
            <w:shd w:val="clear" w:color="auto" w:fill="D9D9D9" w:themeFill="background1" w:themeFillShade="D9"/>
          </w:tcPr>
          <w:p w:rsidR="00F065A2" w:rsidRPr="006B1802" w:rsidRDefault="00F065A2" w:rsidP="00B93A10">
            <w:pPr>
              <w:keepNext/>
              <w:rPr>
                <w:rFonts w:ascii="Arial Narrow" w:hAnsi="Arial Narrow"/>
                <w:b/>
                <w:sz w:val="20"/>
                <w:szCs w:val="20"/>
                <w:lang w:eastAsia="en-US"/>
              </w:rPr>
            </w:pPr>
            <w:r w:rsidRPr="006B1802">
              <w:rPr>
                <w:rFonts w:ascii="Arial Narrow" w:hAnsi="Arial Narrow"/>
                <w:sz w:val="20"/>
                <w:szCs w:val="20"/>
                <w:lang w:eastAsia="en-US"/>
              </w:rPr>
              <w:t>REPRISE subpopulation</w:t>
            </w:r>
          </w:p>
        </w:tc>
        <w:tc>
          <w:tcPr>
            <w:tcW w:w="1157" w:type="pct"/>
            <w:shd w:val="clear" w:color="auto" w:fill="D9D9D9" w:themeFill="background1" w:themeFillShade="D9"/>
          </w:tcPr>
          <w:p w:rsidR="00F065A2" w:rsidRPr="006B1802" w:rsidRDefault="00F065A2" w:rsidP="00B93A10">
            <w:pPr>
              <w:keepNext/>
              <w:jc w:val="center"/>
              <w:rPr>
                <w:rFonts w:ascii="Arial Narrow" w:hAnsi="Arial Narrow"/>
                <w:b/>
                <w:sz w:val="20"/>
                <w:szCs w:val="20"/>
                <w:lang w:eastAsia="en-US"/>
              </w:rPr>
            </w:pPr>
            <w:r w:rsidRPr="006B1802">
              <w:rPr>
                <w:rFonts w:ascii="Arial Narrow" w:hAnsi="Arial Narrow"/>
                <w:sz w:val="20"/>
                <w:szCs w:val="20"/>
                <w:lang w:eastAsia="en-US"/>
              </w:rPr>
              <w:t>-$</w:t>
            </w:r>
            <w:r w:rsidR="00B912EA">
              <w:rPr>
                <w:rFonts w:ascii="Arial Narrow" w:hAnsi="Arial Narrow"/>
                <w:noProof/>
                <w:color w:val="000000"/>
                <w:sz w:val="20"/>
                <w:szCs w:val="20"/>
                <w:highlight w:val="black"/>
                <w:lang w:eastAsia="en-US"/>
              </w:rPr>
              <w:t>''''''''''</w:t>
            </w:r>
          </w:p>
        </w:tc>
        <w:tc>
          <w:tcPr>
            <w:tcW w:w="1158" w:type="pct"/>
            <w:shd w:val="clear" w:color="auto" w:fill="D9D9D9" w:themeFill="background1" w:themeFillShade="D9"/>
          </w:tcPr>
          <w:p w:rsidR="00F065A2" w:rsidRPr="006B1802" w:rsidRDefault="00F065A2" w:rsidP="00B93A10">
            <w:pPr>
              <w:keepNext/>
              <w:jc w:val="center"/>
              <w:rPr>
                <w:rFonts w:ascii="Arial Narrow" w:hAnsi="Arial Narrow"/>
                <w:b/>
                <w:sz w:val="20"/>
                <w:szCs w:val="20"/>
                <w:lang w:eastAsia="en-US"/>
              </w:rPr>
            </w:pPr>
            <w:r w:rsidRPr="006B1802">
              <w:rPr>
                <w:rFonts w:ascii="Arial Narrow" w:hAnsi="Arial Narrow"/>
                <w:sz w:val="20"/>
                <w:szCs w:val="20"/>
                <w:lang w:eastAsia="en-US"/>
              </w:rPr>
              <w:t>0.58</w:t>
            </w:r>
          </w:p>
        </w:tc>
        <w:tc>
          <w:tcPr>
            <w:tcW w:w="1153" w:type="pct"/>
            <w:shd w:val="clear" w:color="auto" w:fill="D9D9D9" w:themeFill="background1" w:themeFillShade="D9"/>
          </w:tcPr>
          <w:p w:rsidR="00F065A2" w:rsidRPr="006B1802" w:rsidRDefault="00F065A2" w:rsidP="00B93A10">
            <w:pPr>
              <w:keepNext/>
              <w:jc w:val="center"/>
              <w:rPr>
                <w:rFonts w:ascii="Arial Narrow" w:hAnsi="Arial Narrow"/>
                <w:b/>
                <w:sz w:val="20"/>
                <w:szCs w:val="20"/>
                <w:lang w:eastAsia="en-US"/>
              </w:rPr>
            </w:pPr>
            <w:r w:rsidRPr="006B1802">
              <w:rPr>
                <w:rFonts w:ascii="Arial Narrow" w:hAnsi="Arial Narrow"/>
                <w:sz w:val="20"/>
                <w:szCs w:val="20"/>
                <w:lang w:eastAsia="en-US"/>
              </w:rPr>
              <w:t>Dominant</w:t>
            </w:r>
          </w:p>
        </w:tc>
      </w:tr>
      <w:tr w:rsidR="00F065A2" w:rsidRPr="006B1802" w:rsidTr="0014764A">
        <w:trPr>
          <w:tblHeader/>
        </w:trPr>
        <w:tc>
          <w:tcPr>
            <w:tcW w:w="1532" w:type="pct"/>
            <w:shd w:val="clear" w:color="auto" w:fill="D9D9D9" w:themeFill="background1" w:themeFillShade="D9"/>
          </w:tcPr>
          <w:p w:rsidR="00F065A2" w:rsidRPr="006B1802" w:rsidRDefault="00F065A2" w:rsidP="00B93A10">
            <w:pPr>
              <w:keepNext/>
              <w:rPr>
                <w:rFonts w:ascii="Arial Narrow" w:hAnsi="Arial Narrow"/>
                <w:b/>
                <w:sz w:val="20"/>
                <w:szCs w:val="20"/>
                <w:vertAlign w:val="superscript"/>
                <w:lang w:eastAsia="en-US"/>
              </w:rPr>
            </w:pPr>
            <w:r w:rsidRPr="006B1802">
              <w:rPr>
                <w:rFonts w:ascii="Arial Narrow" w:hAnsi="Arial Narrow"/>
                <w:sz w:val="20"/>
                <w:szCs w:val="20"/>
                <w:lang w:eastAsia="en-US"/>
              </w:rPr>
              <w:t xml:space="preserve">Weighted ICER </w:t>
            </w:r>
            <w:r w:rsidRPr="006B1802">
              <w:rPr>
                <w:rFonts w:ascii="Arial Narrow" w:hAnsi="Arial Narrow"/>
                <w:sz w:val="20"/>
                <w:szCs w:val="20"/>
                <w:vertAlign w:val="superscript"/>
                <w:lang w:eastAsia="en-US"/>
              </w:rPr>
              <w:t>c</w:t>
            </w:r>
          </w:p>
        </w:tc>
        <w:tc>
          <w:tcPr>
            <w:tcW w:w="1157" w:type="pct"/>
            <w:shd w:val="clear" w:color="auto" w:fill="D9D9D9" w:themeFill="background1" w:themeFillShade="D9"/>
          </w:tcPr>
          <w:p w:rsidR="00F065A2" w:rsidRPr="006B1802" w:rsidRDefault="00F065A2" w:rsidP="00B93A10">
            <w:pPr>
              <w:keepNext/>
              <w:jc w:val="center"/>
              <w:rPr>
                <w:rFonts w:ascii="Arial Narrow" w:hAnsi="Arial Narrow"/>
                <w:b/>
                <w:sz w:val="20"/>
                <w:szCs w:val="20"/>
                <w:lang w:eastAsia="en-US"/>
              </w:rPr>
            </w:pPr>
            <w:r w:rsidRPr="006B1802">
              <w:rPr>
                <w:rFonts w:ascii="Arial Narrow" w:hAnsi="Arial Narrow"/>
                <w:sz w:val="20"/>
                <w:szCs w:val="20"/>
                <w:lang w:eastAsia="en-US"/>
              </w:rPr>
              <w:t>$</w:t>
            </w:r>
            <w:r w:rsidR="00B912EA">
              <w:rPr>
                <w:rFonts w:ascii="Arial Narrow" w:hAnsi="Arial Narrow"/>
                <w:noProof/>
                <w:color w:val="000000"/>
                <w:sz w:val="20"/>
                <w:szCs w:val="20"/>
                <w:highlight w:val="black"/>
                <w:lang w:eastAsia="en-US"/>
              </w:rPr>
              <w:t>'''''''''''''''''</w:t>
            </w:r>
          </w:p>
        </w:tc>
        <w:tc>
          <w:tcPr>
            <w:tcW w:w="1158" w:type="pct"/>
            <w:shd w:val="clear" w:color="auto" w:fill="D9D9D9" w:themeFill="background1" w:themeFillShade="D9"/>
          </w:tcPr>
          <w:p w:rsidR="00F065A2" w:rsidRPr="006B1802" w:rsidRDefault="00F065A2" w:rsidP="00B93A10">
            <w:pPr>
              <w:keepNext/>
              <w:jc w:val="center"/>
              <w:rPr>
                <w:rFonts w:ascii="Arial Narrow" w:hAnsi="Arial Narrow"/>
                <w:b/>
                <w:sz w:val="20"/>
                <w:szCs w:val="20"/>
                <w:lang w:eastAsia="en-US"/>
              </w:rPr>
            </w:pPr>
            <w:r w:rsidRPr="006B1802">
              <w:rPr>
                <w:rFonts w:ascii="Arial Narrow" w:hAnsi="Arial Narrow"/>
                <w:sz w:val="20"/>
                <w:szCs w:val="20"/>
                <w:lang w:eastAsia="en-US"/>
              </w:rPr>
              <w:t>0.58</w:t>
            </w:r>
          </w:p>
        </w:tc>
        <w:tc>
          <w:tcPr>
            <w:tcW w:w="1153" w:type="pct"/>
            <w:shd w:val="clear" w:color="auto" w:fill="D9D9D9" w:themeFill="background1" w:themeFillShade="D9"/>
          </w:tcPr>
          <w:p w:rsidR="00F065A2" w:rsidRPr="006B1802" w:rsidRDefault="00F065A2" w:rsidP="00B93A10">
            <w:pPr>
              <w:keepNext/>
              <w:jc w:val="center"/>
              <w:rPr>
                <w:rFonts w:ascii="Arial Narrow" w:hAnsi="Arial Narrow"/>
                <w:b/>
                <w:sz w:val="20"/>
                <w:szCs w:val="20"/>
                <w:lang w:eastAsia="en-US"/>
              </w:rPr>
            </w:pPr>
            <w:r w:rsidRPr="006B1802">
              <w:rPr>
                <w:rFonts w:ascii="Arial Narrow" w:hAnsi="Arial Narrow"/>
                <w:sz w:val="20"/>
                <w:szCs w:val="20"/>
                <w:lang w:eastAsia="en-US"/>
              </w:rPr>
              <w:t>$</w:t>
            </w:r>
            <w:r w:rsidR="00B912EA">
              <w:rPr>
                <w:rFonts w:ascii="Arial Narrow" w:hAnsi="Arial Narrow"/>
                <w:noProof/>
                <w:color w:val="000000"/>
                <w:sz w:val="20"/>
                <w:szCs w:val="20"/>
                <w:highlight w:val="black"/>
                <w:lang w:eastAsia="en-US"/>
              </w:rPr>
              <w:t>'''''''''''''''''</w:t>
            </w:r>
          </w:p>
        </w:tc>
      </w:tr>
    </w:tbl>
    <w:p w:rsidR="00F065A2" w:rsidRPr="006B1802" w:rsidRDefault="00F065A2" w:rsidP="00B93A10">
      <w:pPr>
        <w:keepNext/>
        <w:contextualSpacing/>
        <w:jc w:val="both"/>
        <w:rPr>
          <w:rFonts w:ascii="Arial Narrow" w:hAnsi="Arial Narrow" w:cs="Arial"/>
          <w:snapToGrid w:val="0"/>
          <w:sz w:val="16"/>
          <w:szCs w:val="16"/>
          <w:lang w:eastAsia="en-US"/>
        </w:rPr>
      </w:pPr>
      <w:r w:rsidRPr="006B1802">
        <w:rPr>
          <w:rFonts w:ascii="Arial Narrow" w:hAnsi="Arial Narrow" w:cs="Arial"/>
          <w:snapToGrid w:val="0"/>
          <w:sz w:val="16"/>
          <w:szCs w:val="16"/>
          <w:lang w:eastAsia="en-US"/>
        </w:rPr>
        <w:t xml:space="preserve">Source: Table 3-2, p15 of the minor resubmission and calculated during preparation of the Minor Overview based on ‘Tolvaptan November 2017 PBAC Section 3 Updated for April 2018’ </w:t>
      </w:r>
    </w:p>
    <w:p w:rsidR="00F065A2" w:rsidRPr="006B1802" w:rsidRDefault="00F065A2" w:rsidP="00B93A10">
      <w:pPr>
        <w:keepNext/>
        <w:contextualSpacing/>
        <w:jc w:val="both"/>
        <w:rPr>
          <w:rFonts w:ascii="Arial Narrow" w:hAnsi="Arial Narrow" w:cs="Arial"/>
          <w:snapToGrid w:val="0"/>
          <w:sz w:val="16"/>
          <w:szCs w:val="16"/>
          <w:lang w:eastAsia="en-US"/>
        </w:rPr>
      </w:pPr>
      <w:r w:rsidRPr="006B1802">
        <w:rPr>
          <w:rFonts w:ascii="Arial Narrow" w:hAnsi="Arial Narrow" w:cs="Arial"/>
          <w:snapToGrid w:val="0"/>
          <w:sz w:val="16"/>
          <w:szCs w:val="16"/>
          <w:lang w:eastAsia="en-US"/>
        </w:rPr>
        <w:t>Abbreviations: CKD, chronic kidney disease; ITT, intention-to-treat; QALY, quality-adjusted life year; vs = versus</w:t>
      </w:r>
    </w:p>
    <w:p w:rsidR="00F065A2" w:rsidRPr="006B1802" w:rsidRDefault="00F065A2" w:rsidP="00B93A10">
      <w:pPr>
        <w:contextualSpacing/>
        <w:jc w:val="both"/>
        <w:rPr>
          <w:rFonts w:ascii="Arial Narrow" w:hAnsi="Arial Narrow" w:cs="Arial"/>
          <w:snapToGrid w:val="0"/>
          <w:sz w:val="16"/>
          <w:szCs w:val="16"/>
          <w:lang w:eastAsia="en-US"/>
        </w:rPr>
      </w:pPr>
      <w:proofErr w:type="gramStart"/>
      <w:r w:rsidRPr="006B1802">
        <w:rPr>
          <w:rFonts w:ascii="Arial Narrow" w:hAnsi="Arial Narrow" w:cs="Arial"/>
          <w:snapToGrid w:val="0"/>
          <w:sz w:val="16"/>
          <w:szCs w:val="16"/>
          <w:vertAlign w:val="superscript"/>
          <w:lang w:eastAsia="en-US"/>
        </w:rPr>
        <w:t>a</w:t>
      </w:r>
      <w:proofErr w:type="gramEnd"/>
      <w:r w:rsidRPr="006B1802">
        <w:rPr>
          <w:rFonts w:ascii="Arial Narrow" w:hAnsi="Arial Narrow" w:cs="Arial"/>
          <w:snapToGrid w:val="0"/>
          <w:sz w:val="16"/>
          <w:szCs w:val="16"/>
          <w:vertAlign w:val="superscript"/>
          <w:lang w:eastAsia="en-US"/>
        </w:rPr>
        <w:t xml:space="preserve"> </w:t>
      </w:r>
      <w:r w:rsidRPr="006B1802">
        <w:rPr>
          <w:rFonts w:ascii="Arial Narrow" w:hAnsi="Arial Narrow" w:cs="Arial"/>
          <w:snapToGrid w:val="0"/>
          <w:sz w:val="16"/>
          <w:szCs w:val="16"/>
          <w:lang w:eastAsia="en-US"/>
        </w:rPr>
        <w:t>Based on TEMPO 3:4 data filtered for age: 18-50 years; kidney function: eGFR &lt;90 mL/min/1.73 m</w:t>
      </w:r>
      <w:r w:rsidRPr="006B1802">
        <w:rPr>
          <w:rFonts w:ascii="Arial Narrow" w:hAnsi="Arial Narrow" w:cs="Arial"/>
          <w:snapToGrid w:val="0"/>
          <w:sz w:val="16"/>
          <w:szCs w:val="16"/>
          <w:vertAlign w:val="superscript"/>
          <w:lang w:eastAsia="en-US"/>
        </w:rPr>
        <w:t>2</w:t>
      </w:r>
      <w:r w:rsidRPr="006B1802">
        <w:rPr>
          <w:rFonts w:ascii="Arial Narrow" w:hAnsi="Arial Narrow" w:cs="Arial"/>
          <w:snapToGrid w:val="0"/>
          <w:sz w:val="16"/>
          <w:szCs w:val="16"/>
          <w:lang w:eastAsia="en-US"/>
        </w:rPr>
        <w:t>; and rapidly progressing disease: eGFR decline ≥2.5 mL/min/1.73 m2/year.</w:t>
      </w:r>
    </w:p>
    <w:p w:rsidR="00F065A2" w:rsidRPr="006B1802" w:rsidRDefault="00F065A2" w:rsidP="00B93A10">
      <w:pPr>
        <w:contextualSpacing/>
        <w:jc w:val="both"/>
        <w:rPr>
          <w:rFonts w:ascii="Arial Narrow" w:hAnsi="Arial Narrow" w:cs="Arial"/>
          <w:snapToGrid w:val="0"/>
          <w:sz w:val="16"/>
          <w:szCs w:val="16"/>
          <w:lang w:eastAsia="en-US"/>
        </w:rPr>
      </w:pPr>
      <w:proofErr w:type="gramStart"/>
      <w:r w:rsidRPr="006B1802">
        <w:rPr>
          <w:rFonts w:ascii="Arial Narrow" w:hAnsi="Arial Narrow" w:cs="Arial"/>
          <w:snapToGrid w:val="0"/>
          <w:sz w:val="16"/>
          <w:szCs w:val="16"/>
          <w:vertAlign w:val="superscript"/>
          <w:lang w:eastAsia="en-US"/>
        </w:rPr>
        <w:t>b</w:t>
      </w:r>
      <w:proofErr w:type="gramEnd"/>
      <w:r w:rsidRPr="006B1802">
        <w:rPr>
          <w:rFonts w:ascii="Arial Narrow" w:hAnsi="Arial Narrow" w:cs="Arial"/>
          <w:snapToGrid w:val="0"/>
          <w:sz w:val="16"/>
          <w:szCs w:val="16"/>
          <w:lang w:eastAsia="en-US"/>
        </w:rPr>
        <w:t xml:space="preserve"> Based on REPRISE data filtered for (</w:t>
      </w:r>
      <w:proofErr w:type="spellStart"/>
      <w:r w:rsidRPr="006B1802">
        <w:rPr>
          <w:rFonts w:ascii="Arial Narrow" w:hAnsi="Arial Narrow" w:cs="Arial"/>
          <w:snapToGrid w:val="0"/>
          <w:sz w:val="16"/>
          <w:szCs w:val="16"/>
          <w:lang w:eastAsia="en-US"/>
        </w:rPr>
        <w:t>i</w:t>
      </w:r>
      <w:proofErr w:type="spellEnd"/>
      <w:r w:rsidRPr="006B1802">
        <w:rPr>
          <w:rFonts w:ascii="Arial Narrow" w:hAnsi="Arial Narrow" w:cs="Arial"/>
          <w:snapToGrid w:val="0"/>
          <w:sz w:val="16"/>
          <w:szCs w:val="16"/>
          <w:lang w:eastAsia="en-US"/>
        </w:rPr>
        <w:t>) age: 18-55 years; kidney function: eGFR 30-65 mL/min/1.73 m</w:t>
      </w:r>
      <w:r w:rsidRPr="006B1802">
        <w:rPr>
          <w:rFonts w:ascii="Arial Narrow" w:hAnsi="Arial Narrow" w:cs="Arial"/>
          <w:snapToGrid w:val="0"/>
          <w:sz w:val="16"/>
          <w:szCs w:val="16"/>
          <w:vertAlign w:val="superscript"/>
          <w:lang w:eastAsia="en-US"/>
        </w:rPr>
        <w:t>2</w:t>
      </w:r>
      <w:r w:rsidRPr="006B1802">
        <w:rPr>
          <w:rFonts w:ascii="Arial Narrow" w:hAnsi="Arial Narrow" w:cs="Arial"/>
          <w:snapToGrid w:val="0"/>
          <w:sz w:val="16"/>
          <w:szCs w:val="16"/>
          <w:lang w:eastAsia="en-US"/>
        </w:rPr>
        <w:t>; and rapidly progressing disease: eGFR decline ≥2.5 mL/min/1.73 m2/year; OR (ii) age: 56-65 years; kidney function: eGFR 30-44 mL/min/1.73 m2; and rapidly progressing disease: eGFR decline ≥2.5 mL/min/1.73 m2/year.</w:t>
      </w:r>
    </w:p>
    <w:p w:rsidR="00F065A2" w:rsidRPr="006B1802" w:rsidRDefault="00F065A2" w:rsidP="00B93A10">
      <w:pPr>
        <w:contextualSpacing/>
        <w:rPr>
          <w:rFonts w:ascii="Arial Narrow" w:hAnsi="Arial Narrow"/>
          <w:sz w:val="16"/>
          <w:szCs w:val="16"/>
          <w:lang w:eastAsia="en-US"/>
        </w:rPr>
      </w:pPr>
      <w:proofErr w:type="gramStart"/>
      <w:r w:rsidRPr="006B1802">
        <w:rPr>
          <w:rFonts w:ascii="Arial Narrow" w:hAnsi="Arial Narrow"/>
          <w:sz w:val="16"/>
          <w:szCs w:val="16"/>
          <w:vertAlign w:val="superscript"/>
          <w:lang w:eastAsia="en-US"/>
        </w:rPr>
        <w:t>c</w:t>
      </w:r>
      <w:proofErr w:type="gramEnd"/>
      <w:r w:rsidRPr="006B1802">
        <w:rPr>
          <w:rFonts w:ascii="Arial Narrow" w:hAnsi="Arial Narrow"/>
          <w:sz w:val="16"/>
          <w:szCs w:val="16"/>
          <w:lang w:eastAsia="en-US"/>
        </w:rPr>
        <w:t xml:space="preserve"> Overall, the weighting between TEMPO 3:4 and REPRISE was 54.1% and 45.9%, respectively. This was based on: 61.2% = A and B overlap (average between the 2 estimates); 23.5% = </w:t>
      </w:r>
      <w:proofErr w:type="gramStart"/>
      <w:r w:rsidRPr="006B1802">
        <w:rPr>
          <w:rFonts w:ascii="Arial Narrow" w:hAnsi="Arial Narrow"/>
          <w:sz w:val="16"/>
          <w:szCs w:val="16"/>
          <w:lang w:eastAsia="en-US"/>
        </w:rPr>
        <w:t>A</w:t>
      </w:r>
      <w:proofErr w:type="gramEnd"/>
      <w:r w:rsidRPr="006B1802">
        <w:rPr>
          <w:rFonts w:ascii="Arial Narrow" w:hAnsi="Arial Narrow"/>
          <w:sz w:val="16"/>
          <w:szCs w:val="16"/>
          <w:lang w:eastAsia="en-US"/>
        </w:rPr>
        <w:t xml:space="preserve"> only; 15.3% = B only (based on the THIN data, see the March 2018 submission for full details).  </w:t>
      </w:r>
    </w:p>
    <w:p w:rsidR="00F065A2" w:rsidRDefault="00F065A2" w:rsidP="00B93A10">
      <w:pPr>
        <w:keepNext/>
        <w:spacing w:beforeLines="120" w:before="288" w:afterLines="160" w:after="384"/>
        <w:contextualSpacing/>
        <w:jc w:val="both"/>
        <w:rPr>
          <w:rFonts w:ascii="Arial Narrow" w:hAnsi="Arial Narrow" w:cs="Arial"/>
          <w:snapToGrid w:val="0"/>
          <w:sz w:val="16"/>
          <w:szCs w:val="16"/>
          <w:lang w:eastAsia="en-US"/>
        </w:rPr>
      </w:pPr>
      <w:proofErr w:type="gramStart"/>
      <w:r w:rsidRPr="006B1802">
        <w:rPr>
          <w:rFonts w:ascii="Arial Narrow" w:hAnsi="Arial Narrow" w:cs="Arial"/>
          <w:snapToGrid w:val="0"/>
          <w:sz w:val="16"/>
          <w:szCs w:val="16"/>
          <w:vertAlign w:val="superscript"/>
          <w:lang w:eastAsia="en-US"/>
        </w:rPr>
        <w:t>d</w:t>
      </w:r>
      <w:proofErr w:type="gramEnd"/>
      <w:r w:rsidRPr="006B1802">
        <w:rPr>
          <w:rFonts w:ascii="Arial Narrow" w:hAnsi="Arial Narrow" w:cs="Arial"/>
          <w:snapToGrid w:val="0"/>
          <w:sz w:val="16"/>
          <w:szCs w:val="16"/>
          <w:lang w:eastAsia="en-US"/>
        </w:rPr>
        <w:t xml:space="preserve"> In TreeAge ‘Tolvaptan November 2017 PBAC Section 3 Updated for April 2018’, this was conducted by changing ‘</w:t>
      </w:r>
      <w:proofErr w:type="spellStart"/>
      <w:r w:rsidRPr="006B1802">
        <w:rPr>
          <w:rFonts w:ascii="Arial Narrow" w:hAnsi="Arial Narrow" w:cs="Arial"/>
          <w:snapToGrid w:val="0"/>
          <w:sz w:val="16"/>
          <w:szCs w:val="16"/>
          <w:lang w:eastAsia="en-US"/>
        </w:rPr>
        <w:t>sa_efficacyTOL</w:t>
      </w:r>
      <w:proofErr w:type="spellEnd"/>
      <w:r w:rsidRPr="006B1802">
        <w:rPr>
          <w:rFonts w:ascii="Arial Narrow" w:hAnsi="Arial Narrow" w:cs="Arial"/>
          <w:snapToGrid w:val="0"/>
          <w:sz w:val="16"/>
          <w:szCs w:val="16"/>
          <w:lang w:eastAsia="en-US"/>
        </w:rPr>
        <w:t>’ to 4 and ‘</w:t>
      </w:r>
      <w:proofErr w:type="spellStart"/>
      <w:r w:rsidRPr="006B1802">
        <w:rPr>
          <w:rFonts w:ascii="Arial Narrow" w:hAnsi="Arial Narrow" w:cs="Arial"/>
          <w:snapToGrid w:val="0"/>
          <w:sz w:val="16"/>
          <w:szCs w:val="16"/>
          <w:lang w:eastAsia="en-US"/>
        </w:rPr>
        <w:t>sa_PopGroup</w:t>
      </w:r>
      <w:proofErr w:type="spellEnd"/>
      <w:r w:rsidRPr="006B1802">
        <w:rPr>
          <w:rFonts w:ascii="Arial Narrow" w:hAnsi="Arial Narrow" w:cs="Arial"/>
          <w:snapToGrid w:val="0"/>
          <w:sz w:val="16"/>
          <w:szCs w:val="16"/>
          <w:lang w:eastAsia="en-US"/>
        </w:rPr>
        <w:t>’ to 5.</w:t>
      </w:r>
    </w:p>
    <w:p w:rsidR="00A35BAC" w:rsidRDefault="00A35BAC" w:rsidP="00B93A10">
      <w:pPr>
        <w:keepNext/>
        <w:spacing w:beforeLines="120" w:before="288" w:afterLines="160" w:after="384"/>
        <w:contextualSpacing/>
        <w:jc w:val="both"/>
        <w:rPr>
          <w:rFonts w:ascii="Arial Narrow" w:hAnsi="Arial Narrow" w:cs="Arial"/>
          <w:snapToGrid w:val="0"/>
          <w:sz w:val="16"/>
          <w:szCs w:val="16"/>
          <w:lang w:eastAsia="en-US"/>
        </w:rPr>
      </w:pPr>
    </w:p>
    <w:p w:rsidR="00A35BAC" w:rsidRPr="006B1802" w:rsidRDefault="00A35BAC" w:rsidP="00B93A10">
      <w:pPr>
        <w:keepNext/>
        <w:spacing w:beforeLines="120" w:before="288" w:afterLines="160" w:after="384"/>
        <w:contextualSpacing/>
        <w:jc w:val="both"/>
        <w:rPr>
          <w:rFonts w:ascii="Arial Narrow" w:hAnsi="Arial Narrow" w:cs="Arial"/>
          <w:snapToGrid w:val="0"/>
          <w:sz w:val="16"/>
          <w:szCs w:val="16"/>
          <w:lang w:eastAsia="en-US"/>
        </w:rPr>
      </w:pPr>
    </w:p>
    <w:p w:rsidR="00A35BAC" w:rsidRDefault="00A35BAC" w:rsidP="00A35BAC">
      <w:pPr>
        <w:spacing w:beforeLines="120" w:before="288" w:afterLines="160" w:after="384"/>
        <w:jc w:val="both"/>
        <w:rPr>
          <w:rFonts w:asciiTheme="minorHAnsi" w:hAnsiTheme="minorHAnsi"/>
        </w:rPr>
      </w:pPr>
      <w:r>
        <w:rPr>
          <w:rFonts w:asciiTheme="minorHAnsi" w:hAnsiTheme="minorHAnsi"/>
        </w:rPr>
        <w:t xml:space="preserve">The redacted table shows ICERs in the range of less than $15,000/QALY - $105,000/QALY. </w:t>
      </w:r>
    </w:p>
    <w:p w:rsidR="00F065A2" w:rsidRPr="006B1802" w:rsidRDefault="00F065A2" w:rsidP="00B93A10">
      <w:pPr>
        <w:numPr>
          <w:ilvl w:val="1"/>
          <w:numId w:val="5"/>
        </w:numPr>
        <w:spacing w:beforeLines="120" w:before="288" w:afterLines="160" w:after="384"/>
        <w:jc w:val="both"/>
        <w:rPr>
          <w:rFonts w:asciiTheme="minorHAnsi" w:hAnsiTheme="minorHAnsi"/>
        </w:rPr>
      </w:pPr>
      <w:r w:rsidRPr="006B1802">
        <w:rPr>
          <w:rFonts w:asciiTheme="minorHAnsi" w:hAnsiTheme="minorHAnsi"/>
        </w:rPr>
        <w:t xml:space="preserve">Unchanged from the previous submission, the tolvaptan treatment effect was applied as a relative reduction in the rate of eGFR decline, based on the weighted mean slope reductions derived by CKD stage in the TEMPO 3:4 and REPRISE trials, using only CKD stages 2 and 3 (Table </w:t>
      </w:r>
      <w:r w:rsidR="00CC525E" w:rsidRPr="006B1802">
        <w:rPr>
          <w:rFonts w:asciiTheme="minorHAnsi" w:hAnsiTheme="minorHAnsi"/>
        </w:rPr>
        <w:t>3</w:t>
      </w:r>
      <w:r w:rsidRPr="006B1802">
        <w:rPr>
          <w:rFonts w:asciiTheme="minorHAnsi" w:hAnsiTheme="minorHAnsi"/>
        </w:rPr>
        <w:t xml:space="preserve">). During preparation of the minor overview, </w:t>
      </w:r>
      <w:r w:rsidRPr="006B1802">
        <w:rPr>
          <w:rFonts w:asciiTheme="minorHAnsi" w:hAnsiTheme="minorHAnsi"/>
        </w:rPr>
        <w:lastRenderedPageBreak/>
        <w:t>sensitivity analyses were conducted using the estimated tolvaptan treatment effects by CKD stage, rather than the weighted mean across CKD stages 2 and 3.</w:t>
      </w:r>
    </w:p>
    <w:p w:rsidR="00F065A2" w:rsidRPr="006B1802" w:rsidRDefault="00F065A2" w:rsidP="00B93A10">
      <w:pPr>
        <w:pStyle w:val="ListParagraph"/>
        <w:widowControl/>
        <w:ind w:left="360"/>
      </w:pPr>
    </w:p>
    <w:p w:rsidR="00F065A2" w:rsidRPr="006B1802" w:rsidRDefault="00F065A2" w:rsidP="00B93A10">
      <w:pPr>
        <w:keepNext/>
        <w:jc w:val="both"/>
        <w:rPr>
          <w:rFonts w:ascii="Arial Narrow" w:hAnsi="Arial Narrow" w:cs="Arial"/>
          <w:b/>
          <w:snapToGrid w:val="0"/>
          <w:sz w:val="20"/>
          <w:szCs w:val="16"/>
          <w:lang w:eastAsia="en-US"/>
        </w:rPr>
      </w:pPr>
      <w:r w:rsidRPr="006B1802">
        <w:rPr>
          <w:rFonts w:ascii="Arial Narrow" w:hAnsi="Arial Narrow" w:cs="Arial"/>
          <w:b/>
          <w:snapToGrid w:val="0"/>
          <w:sz w:val="20"/>
          <w:szCs w:val="16"/>
          <w:lang w:eastAsia="en-US"/>
        </w:rPr>
        <w:t xml:space="preserve">Table </w:t>
      </w:r>
      <w:r w:rsidR="00CC525E" w:rsidRPr="006B1802">
        <w:rPr>
          <w:rFonts w:ascii="Arial Narrow" w:hAnsi="Arial Narrow" w:cs="Arial"/>
          <w:b/>
          <w:snapToGrid w:val="0"/>
          <w:sz w:val="20"/>
          <w:szCs w:val="16"/>
          <w:lang w:eastAsia="en-US"/>
        </w:rPr>
        <w:t>3</w:t>
      </w:r>
      <w:r w:rsidRPr="006B1802">
        <w:rPr>
          <w:rFonts w:ascii="Arial Narrow" w:hAnsi="Arial Narrow" w:cs="Arial"/>
          <w:b/>
          <w:snapToGrid w:val="0"/>
          <w:sz w:val="20"/>
          <w:szCs w:val="16"/>
          <w:lang w:eastAsia="en-US"/>
        </w:rPr>
        <w:t>: Derivation of the tolvaptan treatment effect used in the base case of the model</w:t>
      </w:r>
    </w:p>
    <w:tbl>
      <w:tblPr>
        <w:tblStyle w:val="TableGrid"/>
        <w:tblW w:w="9010" w:type="dxa"/>
        <w:tblLook w:val="04A0" w:firstRow="1" w:lastRow="0" w:firstColumn="1" w:lastColumn="0" w:noHBand="0" w:noVBand="1"/>
        <w:tblCaption w:val="Table 3: Derivation of the tolvaptan treatment effect used in the base case of the model"/>
      </w:tblPr>
      <w:tblGrid>
        <w:gridCol w:w="1644"/>
        <w:gridCol w:w="490"/>
        <w:gridCol w:w="1542"/>
        <w:gridCol w:w="490"/>
        <w:gridCol w:w="1541"/>
        <w:gridCol w:w="1111"/>
        <w:gridCol w:w="2192"/>
      </w:tblGrid>
      <w:tr w:rsidR="00F065A2" w:rsidRPr="006B1802" w:rsidTr="00414990">
        <w:trPr>
          <w:tblHeader/>
        </w:trPr>
        <w:tc>
          <w:tcPr>
            <w:tcW w:w="1668" w:type="dxa"/>
            <w:vMerge w:val="restart"/>
            <w:vAlign w:val="center"/>
          </w:tcPr>
          <w:p w:rsidR="00F065A2" w:rsidRPr="006B1802" w:rsidRDefault="00F065A2" w:rsidP="00B93A10">
            <w:pPr>
              <w:pStyle w:val="Tablenormal0"/>
              <w:spacing w:after="0" w:line="240" w:lineRule="auto"/>
              <w:rPr>
                <w:rFonts w:ascii="Arial Narrow" w:hAnsi="Arial Narrow"/>
                <w:b/>
                <w:color w:val="000000"/>
                <w:sz w:val="20"/>
                <w:szCs w:val="20"/>
                <w:lang w:eastAsia="en-AU"/>
              </w:rPr>
            </w:pPr>
            <w:r w:rsidRPr="006B1802">
              <w:rPr>
                <w:rFonts w:ascii="Arial Narrow" w:hAnsi="Arial Narrow"/>
                <w:b/>
                <w:color w:val="000000"/>
                <w:sz w:val="20"/>
                <w:szCs w:val="20"/>
                <w:lang w:eastAsia="en-AU"/>
              </w:rPr>
              <w:t>Subgroup</w:t>
            </w:r>
          </w:p>
        </w:tc>
        <w:tc>
          <w:tcPr>
            <w:tcW w:w="1937" w:type="dxa"/>
            <w:gridSpan w:val="2"/>
            <w:vAlign w:val="center"/>
          </w:tcPr>
          <w:p w:rsidR="00F065A2" w:rsidRPr="006B1802" w:rsidRDefault="00F065A2" w:rsidP="00B93A10">
            <w:pPr>
              <w:pStyle w:val="Tablenormal0"/>
              <w:spacing w:after="0" w:line="240" w:lineRule="auto"/>
              <w:jc w:val="center"/>
              <w:rPr>
                <w:rFonts w:ascii="Arial Narrow" w:hAnsi="Arial Narrow"/>
                <w:b/>
                <w:color w:val="000000"/>
                <w:sz w:val="20"/>
                <w:szCs w:val="20"/>
                <w:lang w:eastAsia="en-AU"/>
              </w:rPr>
            </w:pPr>
            <w:r w:rsidRPr="006B1802">
              <w:rPr>
                <w:rFonts w:ascii="Arial Narrow" w:hAnsi="Arial Narrow"/>
                <w:b/>
                <w:color w:val="000000"/>
                <w:sz w:val="20"/>
                <w:szCs w:val="20"/>
                <w:lang w:eastAsia="en-AU"/>
              </w:rPr>
              <w:t>Tolvaptan</w:t>
            </w:r>
          </w:p>
        </w:tc>
        <w:tc>
          <w:tcPr>
            <w:tcW w:w="2049" w:type="dxa"/>
            <w:gridSpan w:val="2"/>
            <w:vAlign w:val="center"/>
          </w:tcPr>
          <w:p w:rsidR="00F065A2" w:rsidRPr="006B1802" w:rsidRDefault="00F065A2" w:rsidP="00B93A10">
            <w:pPr>
              <w:pStyle w:val="Tablenormal0"/>
              <w:spacing w:after="0" w:line="240" w:lineRule="auto"/>
              <w:jc w:val="center"/>
              <w:rPr>
                <w:rFonts w:ascii="Arial Narrow" w:hAnsi="Arial Narrow"/>
                <w:b/>
                <w:color w:val="000000"/>
                <w:sz w:val="20"/>
                <w:szCs w:val="20"/>
                <w:lang w:eastAsia="en-AU"/>
              </w:rPr>
            </w:pPr>
            <w:r w:rsidRPr="006B1802">
              <w:rPr>
                <w:rFonts w:ascii="Arial Narrow" w:hAnsi="Arial Narrow"/>
                <w:b/>
                <w:color w:val="000000"/>
                <w:sz w:val="20"/>
                <w:szCs w:val="20"/>
                <w:lang w:eastAsia="en-AU"/>
              </w:rPr>
              <w:t>Placebo</w:t>
            </w:r>
          </w:p>
        </w:tc>
        <w:tc>
          <w:tcPr>
            <w:tcW w:w="1117" w:type="dxa"/>
            <w:vMerge w:val="restart"/>
            <w:vAlign w:val="center"/>
          </w:tcPr>
          <w:p w:rsidR="00F065A2" w:rsidRPr="006B1802" w:rsidRDefault="00F065A2" w:rsidP="00B93A10">
            <w:pPr>
              <w:pStyle w:val="Tablenormal0"/>
              <w:spacing w:after="0" w:line="240" w:lineRule="auto"/>
              <w:jc w:val="center"/>
              <w:rPr>
                <w:rFonts w:ascii="Arial Narrow" w:hAnsi="Arial Narrow"/>
                <w:b/>
                <w:color w:val="000000"/>
                <w:sz w:val="20"/>
                <w:szCs w:val="20"/>
                <w:lang w:eastAsia="en-AU"/>
              </w:rPr>
            </w:pPr>
            <w:r w:rsidRPr="006B1802">
              <w:rPr>
                <w:rFonts w:ascii="Arial Narrow" w:hAnsi="Arial Narrow"/>
                <w:b/>
                <w:color w:val="000000"/>
                <w:sz w:val="20"/>
                <w:szCs w:val="20"/>
                <w:lang w:eastAsia="en-AU"/>
              </w:rPr>
              <w:t xml:space="preserve">Slope reduction </w:t>
            </w:r>
          </w:p>
        </w:tc>
        <w:tc>
          <w:tcPr>
            <w:tcW w:w="2239" w:type="dxa"/>
            <w:vMerge w:val="restart"/>
            <w:vAlign w:val="center"/>
          </w:tcPr>
          <w:p w:rsidR="00F065A2" w:rsidRPr="006B1802" w:rsidRDefault="00F065A2" w:rsidP="00B93A10">
            <w:pPr>
              <w:pStyle w:val="Tablenormal0"/>
              <w:spacing w:after="0" w:line="240" w:lineRule="auto"/>
              <w:jc w:val="center"/>
              <w:rPr>
                <w:rFonts w:ascii="Arial Narrow" w:hAnsi="Arial Narrow"/>
                <w:b/>
                <w:color w:val="000000"/>
                <w:sz w:val="20"/>
                <w:szCs w:val="20"/>
                <w:lang w:eastAsia="en-AU"/>
              </w:rPr>
            </w:pPr>
            <w:r w:rsidRPr="006B1802">
              <w:rPr>
                <w:rFonts w:ascii="Arial Narrow" w:hAnsi="Arial Narrow"/>
                <w:b/>
                <w:color w:val="000000"/>
                <w:sz w:val="20"/>
                <w:szCs w:val="20"/>
                <w:lang w:eastAsia="en-AU"/>
              </w:rPr>
              <w:t>Weighted mean slope reduction applied in model</w:t>
            </w:r>
          </w:p>
        </w:tc>
      </w:tr>
      <w:tr w:rsidR="00F065A2" w:rsidRPr="006B1802" w:rsidTr="00414990">
        <w:trPr>
          <w:tblHeader/>
        </w:trPr>
        <w:tc>
          <w:tcPr>
            <w:tcW w:w="1668" w:type="dxa"/>
            <w:vMerge/>
            <w:tcBorders>
              <w:bottom w:val="single" w:sz="4" w:space="0" w:color="auto"/>
            </w:tcBorders>
          </w:tcPr>
          <w:p w:rsidR="00F065A2" w:rsidRPr="006B1802" w:rsidRDefault="00F065A2" w:rsidP="00B93A10">
            <w:pPr>
              <w:pStyle w:val="Tablenormal0"/>
              <w:spacing w:after="0" w:line="240" w:lineRule="auto"/>
              <w:rPr>
                <w:rFonts w:ascii="Arial Narrow" w:hAnsi="Arial Narrow"/>
                <w:color w:val="000000"/>
                <w:sz w:val="20"/>
                <w:szCs w:val="20"/>
                <w:lang w:eastAsia="en-AU"/>
              </w:rPr>
            </w:pPr>
          </w:p>
        </w:tc>
        <w:tc>
          <w:tcPr>
            <w:tcW w:w="377" w:type="dxa"/>
            <w:tcBorders>
              <w:bottom w:val="single" w:sz="4" w:space="0" w:color="auto"/>
            </w:tcBorders>
            <w:vAlign w:val="center"/>
          </w:tcPr>
          <w:p w:rsidR="00F065A2" w:rsidRPr="006B1802" w:rsidRDefault="00F065A2" w:rsidP="00B93A10">
            <w:pPr>
              <w:pStyle w:val="Tablenormal0"/>
              <w:spacing w:after="0" w:line="240" w:lineRule="auto"/>
              <w:jc w:val="center"/>
              <w:rPr>
                <w:rFonts w:ascii="Arial Narrow" w:hAnsi="Arial Narrow"/>
                <w:b/>
                <w:color w:val="000000"/>
                <w:sz w:val="20"/>
                <w:szCs w:val="20"/>
                <w:lang w:eastAsia="en-AU"/>
              </w:rPr>
            </w:pPr>
            <w:r w:rsidRPr="006B1802">
              <w:rPr>
                <w:rFonts w:ascii="Arial Narrow" w:hAnsi="Arial Narrow"/>
                <w:b/>
                <w:color w:val="000000"/>
                <w:sz w:val="20"/>
                <w:szCs w:val="20"/>
                <w:lang w:eastAsia="en-AU"/>
              </w:rPr>
              <w:t>N</w:t>
            </w:r>
          </w:p>
        </w:tc>
        <w:tc>
          <w:tcPr>
            <w:tcW w:w="1560" w:type="dxa"/>
            <w:tcBorders>
              <w:bottom w:val="single" w:sz="4" w:space="0" w:color="auto"/>
            </w:tcBorders>
            <w:vAlign w:val="center"/>
          </w:tcPr>
          <w:p w:rsidR="00F065A2" w:rsidRPr="006B1802" w:rsidRDefault="00F065A2" w:rsidP="00B93A10">
            <w:pPr>
              <w:pStyle w:val="Tablenormal0"/>
              <w:spacing w:after="0" w:line="240" w:lineRule="auto"/>
              <w:jc w:val="center"/>
              <w:rPr>
                <w:rFonts w:ascii="Arial Narrow" w:hAnsi="Arial Narrow"/>
                <w:b/>
                <w:color w:val="000000"/>
                <w:sz w:val="20"/>
                <w:szCs w:val="20"/>
                <w:lang w:eastAsia="en-AU"/>
              </w:rPr>
            </w:pPr>
            <w:r w:rsidRPr="006B1802">
              <w:rPr>
                <w:rFonts w:ascii="Arial Narrow" w:hAnsi="Arial Narrow"/>
                <w:b/>
                <w:color w:val="000000"/>
                <w:sz w:val="20"/>
                <w:szCs w:val="20"/>
                <w:lang w:eastAsia="en-AU"/>
              </w:rPr>
              <w:t>Mean annualised change in slope</w:t>
            </w:r>
          </w:p>
        </w:tc>
        <w:tc>
          <w:tcPr>
            <w:tcW w:w="490" w:type="dxa"/>
            <w:tcBorders>
              <w:bottom w:val="single" w:sz="4" w:space="0" w:color="auto"/>
            </w:tcBorders>
            <w:vAlign w:val="center"/>
          </w:tcPr>
          <w:p w:rsidR="00F065A2" w:rsidRPr="006B1802" w:rsidRDefault="00F065A2" w:rsidP="00B93A10">
            <w:pPr>
              <w:pStyle w:val="Tablenormal0"/>
              <w:spacing w:after="0" w:line="240" w:lineRule="auto"/>
              <w:jc w:val="center"/>
              <w:rPr>
                <w:rFonts w:ascii="Arial Narrow" w:hAnsi="Arial Narrow"/>
                <w:b/>
                <w:color w:val="000000"/>
                <w:sz w:val="20"/>
                <w:szCs w:val="20"/>
                <w:lang w:eastAsia="en-AU"/>
              </w:rPr>
            </w:pPr>
            <w:r w:rsidRPr="006B1802">
              <w:rPr>
                <w:rFonts w:ascii="Arial Narrow" w:hAnsi="Arial Narrow"/>
                <w:b/>
                <w:color w:val="000000"/>
                <w:sz w:val="20"/>
                <w:szCs w:val="20"/>
                <w:lang w:eastAsia="en-AU"/>
              </w:rPr>
              <w:t>N</w:t>
            </w:r>
          </w:p>
        </w:tc>
        <w:tc>
          <w:tcPr>
            <w:tcW w:w="1559" w:type="dxa"/>
            <w:tcBorders>
              <w:bottom w:val="single" w:sz="4" w:space="0" w:color="auto"/>
            </w:tcBorders>
            <w:vAlign w:val="center"/>
          </w:tcPr>
          <w:p w:rsidR="00F065A2" w:rsidRPr="006B1802" w:rsidRDefault="00F065A2" w:rsidP="00B93A10">
            <w:pPr>
              <w:pStyle w:val="Tablenormal0"/>
              <w:spacing w:after="0" w:line="240" w:lineRule="auto"/>
              <w:jc w:val="center"/>
              <w:rPr>
                <w:rFonts w:ascii="Arial Narrow" w:hAnsi="Arial Narrow"/>
                <w:b/>
                <w:color w:val="000000"/>
                <w:sz w:val="20"/>
                <w:szCs w:val="20"/>
                <w:lang w:eastAsia="en-AU"/>
              </w:rPr>
            </w:pPr>
            <w:r w:rsidRPr="006B1802">
              <w:rPr>
                <w:rFonts w:ascii="Arial Narrow" w:hAnsi="Arial Narrow"/>
                <w:b/>
                <w:color w:val="000000"/>
                <w:sz w:val="20"/>
                <w:szCs w:val="20"/>
                <w:lang w:eastAsia="en-AU"/>
              </w:rPr>
              <w:t>Mean annualised change in slope</w:t>
            </w:r>
          </w:p>
        </w:tc>
        <w:tc>
          <w:tcPr>
            <w:tcW w:w="1117" w:type="dxa"/>
            <w:vMerge/>
            <w:tcBorders>
              <w:bottom w:val="single" w:sz="4" w:space="0" w:color="auto"/>
            </w:tcBorders>
            <w:vAlign w:val="center"/>
          </w:tcPr>
          <w:p w:rsidR="00F065A2" w:rsidRPr="006B1802" w:rsidRDefault="00F065A2" w:rsidP="00B93A10">
            <w:pPr>
              <w:pStyle w:val="Tablenormal0"/>
              <w:spacing w:after="0" w:line="240" w:lineRule="auto"/>
              <w:jc w:val="center"/>
              <w:rPr>
                <w:rFonts w:ascii="Arial Narrow" w:hAnsi="Arial Narrow"/>
                <w:b/>
                <w:color w:val="000000"/>
                <w:sz w:val="20"/>
                <w:szCs w:val="20"/>
                <w:lang w:eastAsia="en-AU"/>
              </w:rPr>
            </w:pPr>
          </w:p>
        </w:tc>
        <w:tc>
          <w:tcPr>
            <w:tcW w:w="2239" w:type="dxa"/>
            <w:vMerge/>
            <w:tcBorders>
              <w:bottom w:val="single" w:sz="4" w:space="0" w:color="auto"/>
            </w:tcBorders>
            <w:vAlign w:val="center"/>
          </w:tcPr>
          <w:p w:rsidR="00F065A2" w:rsidRPr="006B1802" w:rsidRDefault="00F065A2" w:rsidP="00B93A10">
            <w:pPr>
              <w:pStyle w:val="Tablenormal0"/>
              <w:spacing w:after="0" w:line="240" w:lineRule="auto"/>
              <w:jc w:val="center"/>
              <w:rPr>
                <w:rFonts w:ascii="Arial Narrow" w:hAnsi="Arial Narrow"/>
                <w:b/>
                <w:color w:val="000000"/>
                <w:sz w:val="20"/>
                <w:szCs w:val="20"/>
                <w:lang w:eastAsia="en-AU"/>
              </w:rPr>
            </w:pPr>
          </w:p>
        </w:tc>
      </w:tr>
      <w:tr w:rsidR="00F065A2" w:rsidRPr="006B1802" w:rsidTr="00414990">
        <w:trPr>
          <w:trHeight w:val="87"/>
        </w:trPr>
        <w:tc>
          <w:tcPr>
            <w:tcW w:w="9010" w:type="dxa"/>
            <w:gridSpan w:val="7"/>
          </w:tcPr>
          <w:p w:rsidR="00F065A2" w:rsidRPr="006B1802" w:rsidRDefault="00F065A2" w:rsidP="00B93A10">
            <w:pPr>
              <w:keepNext/>
              <w:keepLines/>
              <w:rPr>
                <w:rFonts w:ascii="Arial Narrow" w:hAnsi="Arial Narrow"/>
                <w:b/>
                <w:sz w:val="20"/>
              </w:rPr>
            </w:pPr>
            <w:r w:rsidRPr="006B1802">
              <w:rPr>
                <w:rFonts w:ascii="Arial Narrow" w:hAnsi="Arial Narrow"/>
                <w:b/>
                <w:sz w:val="20"/>
                <w:szCs w:val="20"/>
              </w:rPr>
              <w:t>TEMPO 3:4</w:t>
            </w:r>
            <w:r w:rsidRPr="006B1802">
              <w:rPr>
                <w:rFonts w:ascii="Arial Narrow" w:hAnsi="Arial Narrow"/>
                <w:b/>
                <w:sz w:val="20"/>
              </w:rPr>
              <w:t xml:space="preserve"> (change in slope of eGFR (CKD-EPI) decline; linear mixed-effects Laird–Ware model)</w:t>
            </w:r>
          </w:p>
        </w:tc>
      </w:tr>
      <w:tr w:rsidR="00F065A2" w:rsidRPr="006B1802" w:rsidTr="00414990">
        <w:trPr>
          <w:trHeight w:val="87"/>
        </w:trPr>
        <w:tc>
          <w:tcPr>
            <w:tcW w:w="1668" w:type="dxa"/>
          </w:tcPr>
          <w:p w:rsidR="00F065A2" w:rsidRPr="006B1802" w:rsidRDefault="00F065A2" w:rsidP="00B93A10">
            <w:pPr>
              <w:pStyle w:val="Tablenormal0"/>
              <w:spacing w:after="0" w:line="240" w:lineRule="auto"/>
              <w:rPr>
                <w:rFonts w:ascii="Arial Narrow" w:hAnsi="Arial Narrow"/>
                <w:sz w:val="20"/>
                <w:szCs w:val="20"/>
              </w:rPr>
            </w:pPr>
            <w:r w:rsidRPr="006B1802">
              <w:rPr>
                <w:rFonts w:ascii="Arial Narrow" w:hAnsi="Arial Narrow"/>
                <w:sz w:val="20"/>
                <w:szCs w:val="20"/>
              </w:rPr>
              <w:t>Overall population</w:t>
            </w:r>
          </w:p>
        </w:tc>
        <w:tc>
          <w:tcPr>
            <w:tcW w:w="377" w:type="dxa"/>
          </w:tcPr>
          <w:p w:rsidR="00F065A2" w:rsidRPr="006B1802" w:rsidRDefault="00F065A2" w:rsidP="00B93A10">
            <w:pPr>
              <w:pStyle w:val="Tablenormal0"/>
              <w:spacing w:after="0" w:line="240" w:lineRule="auto"/>
              <w:jc w:val="center"/>
              <w:rPr>
                <w:rFonts w:ascii="Arial Narrow" w:hAnsi="Arial Narrow"/>
                <w:color w:val="000000"/>
                <w:sz w:val="20"/>
                <w:szCs w:val="20"/>
                <w:lang w:eastAsia="en-AU"/>
              </w:rPr>
            </w:pPr>
            <w:r w:rsidRPr="006B1802">
              <w:rPr>
                <w:rFonts w:ascii="Arial Narrow" w:hAnsi="Arial Narrow"/>
                <w:color w:val="000000"/>
                <w:sz w:val="20"/>
                <w:szCs w:val="20"/>
                <w:lang w:eastAsia="en-AU"/>
              </w:rPr>
              <w:t>842</w:t>
            </w:r>
          </w:p>
        </w:tc>
        <w:tc>
          <w:tcPr>
            <w:tcW w:w="1560" w:type="dxa"/>
            <w:vAlign w:val="center"/>
          </w:tcPr>
          <w:p w:rsidR="00F065A2" w:rsidRPr="006B1802" w:rsidRDefault="00F065A2" w:rsidP="00B93A10">
            <w:pPr>
              <w:pStyle w:val="Tablenormal0"/>
              <w:spacing w:after="0" w:line="240" w:lineRule="auto"/>
              <w:jc w:val="center"/>
              <w:rPr>
                <w:rFonts w:ascii="Arial Narrow" w:hAnsi="Arial Narrow"/>
                <w:sz w:val="20"/>
                <w:szCs w:val="20"/>
              </w:rPr>
            </w:pPr>
            <w:r w:rsidRPr="006B1802">
              <w:rPr>
                <w:rFonts w:ascii="Arial Narrow" w:hAnsi="Arial Narrow"/>
                <w:sz w:val="20"/>
                <w:szCs w:val="20"/>
              </w:rPr>
              <w:t>-2.72</w:t>
            </w:r>
          </w:p>
        </w:tc>
        <w:tc>
          <w:tcPr>
            <w:tcW w:w="490" w:type="dxa"/>
          </w:tcPr>
          <w:p w:rsidR="00F065A2" w:rsidRPr="006B1802" w:rsidRDefault="00F065A2" w:rsidP="00B93A10">
            <w:pPr>
              <w:pStyle w:val="Tablenormal0"/>
              <w:spacing w:after="0" w:line="240" w:lineRule="auto"/>
              <w:jc w:val="center"/>
              <w:rPr>
                <w:rFonts w:ascii="Arial Narrow" w:hAnsi="Arial Narrow"/>
                <w:color w:val="000000"/>
                <w:sz w:val="20"/>
                <w:szCs w:val="20"/>
                <w:lang w:eastAsia="en-AU"/>
              </w:rPr>
            </w:pPr>
            <w:r w:rsidRPr="006B1802">
              <w:rPr>
                <w:rFonts w:ascii="Arial Narrow" w:hAnsi="Arial Narrow"/>
                <w:color w:val="000000"/>
                <w:sz w:val="20"/>
                <w:szCs w:val="20"/>
                <w:lang w:eastAsia="en-AU"/>
              </w:rPr>
              <w:t>464</w:t>
            </w:r>
          </w:p>
        </w:tc>
        <w:tc>
          <w:tcPr>
            <w:tcW w:w="1559" w:type="dxa"/>
          </w:tcPr>
          <w:p w:rsidR="00F065A2" w:rsidRPr="006B1802" w:rsidRDefault="00F065A2" w:rsidP="00B93A10">
            <w:pPr>
              <w:pStyle w:val="Tablenormal0"/>
              <w:spacing w:after="0" w:line="240" w:lineRule="auto"/>
              <w:jc w:val="center"/>
              <w:rPr>
                <w:rFonts w:ascii="Arial Narrow" w:hAnsi="Arial Narrow"/>
                <w:sz w:val="20"/>
                <w:szCs w:val="20"/>
              </w:rPr>
            </w:pPr>
            <w:r w:rsidRPr="006B1802">
              <w:rPr>
                <w:rFonts w:ascii="Arial Narrow" w:hAnsi="Arial Narrow"/>
                <w:sz w:val="20"/>
                <w:szCs w:val="20"/>
              </w:rPr>
              <w:t>-3.70</w:t>
            </w:r>
          </w:p>
        </w:tc>
        <w:tc>
          <w:tcPr>
            <w:tcW w:w="1117" w:type="dxa"/>
            <w:vAlign w:val="center"/>
          </w:tcPr>
          <w:p w:rsidR="00F065A2" w:rsidRPr="006B1802" w:rsidRDefault="00F065A2" w:rsidP="00B93A10">
            <w:pPr>
              <w:pStyle w:val="Tablenormal0"/>
              <w:spacing w:after="0" w:line="240" w:lineRule="auto"/>
              <w:jc w:val="center"/>
              <w:rPr>
                <w:rFonts w:ascii="Arial Narrow" w:hAnsi="Arial Narrow"/>
                <w:sz w:val="20"/>
                <w:szCs w:val="20"/>
              </w:rPr>
            </w:pPr>
            <w:r w:rsidRPr="006B1802">
              <w:rPr>
                <w:rFonts w:ascii="Arial Narrow" w:hAnsi="Arial Narrow"/>
                <w:sz w:val="20"/>
                <w:szCs w:val="20"/>
              </w:rPr>
              <w:t>26.4%</w:t>
            </w:r>
          </w:p>
        </w:tc>
        <w:tc>
          <w:tcPr>
            <w:tcW w:w="2239" w:type="dxa"/>
            <w:vAlign w:val="center"/>
          </w:tcPr>
          <w:p w:rsidR="00F065A2" w:rsidRPr="006B1802" w:rsidRDefault="00F065A2" w:rsidP="00B93A10">
            <w:pPr>
              <w:pStyle w:val="Tablenormal0"/>
              <w:spacing w:after="0" w:line="240" w:lineRule="auto"/>
              <w:jc w:val="center"/>
              <w:rPr>
                <w:rFonts w:ascii="Arial Narrow" w:hAnsi="Arial Narrow"/>
                <w:sz w:val="20"/>
                <w:szCs w:val="20"/>
              </w:rPr>
            </w:pPr>
            <w:r w:rsidRPr="006B1802">
              <w:rPr>
                <w:rFonts w:ascii="Arial Narrow" w:hAnsi="Arial Narrow"/>
                <w:sz w:val="20"/>
                <w:szCs w:val="20"/>
              </w:rPr>
              <w:t>Not used in base case</w:t>
            </w:r>
          </w:p>
        </w:tc>
      </w:tr>
      <w:tr w:rsidR="00F065A2" w:rsidRPr="006B1802" w:rsidTr="00414990">
        <w:trPr>
          <w:trHeight w:val="87"/>
        </w:trPr>
        <w:tc>
          <w:tcPr>
            <w:tcW w:w="1668" w:type="dxa"/>
          </w:tcPr>
          <w:p w:rsidR="00F065A2" w:rsidRPr="006B1802" w:rsidRDefault="00F065A2" w:rsidP="00B93A10">
            <w:pPr>
              <w:pStyle w:val="Tablenormal0"/>
              <w:spacing w:after="0" w:line="240" w:lineRule="auto"/>
              <w:rPr>
                <w:rFonts w:ascii="Arial Narrow" w:hAnsi="Arial Narrow"/>
                <w:b/>
                <w:color w:val="000000"/>
                <w:sz w:val="20"/>
                <w:szCs w:val="20"/>
                <w:lang w:eastAsia="en-AU"/>
              </w:rPr>
            </w:pPr>
            <w:r w:rsidRPr="006B1802">
              <w:rPr>
                <w:rFonts w:ascii="Arial Narrow" w:hAnsi="Arial Narrow"/>
                <w:sz w:val="20"/>
                <w:szCs w:val="20"/>
              </w:rPr>
              <w:t>Baseline CKD 1</w:t>
            </w:r>
          </w:p>
        </w:tc>
        <w:tc>
          <w:tcPr>
            <w:tcW w:w="377" w:type="dxa"/>
          </w:tcPr>
          <w:p w:rsidR="00F065A2" w:rsidRPr="006B1802" w:rsidRDefault="00F065A2" w:rsidP="00B93A10">
            <w:pPr>
              <w:pStyle w:val="Tablenormal0"/>
              <w:spacing w:after="0" w:line="240" w:lineRule="auto"/>
              <w:jc w:val="center"/>
              <w:rPr>
                <w:rFonts w:ascii="Arial Narrow" w:hAnsi="Arial Narrow"/>
                <w:color w:val="000000"/>
                <w:sz w:val="20"/>
                <w:szCs w:val="20"/>
                <w:lang w:eastAsia="en-AU"/>
              </w:rPr>
            </w:pPr>
            <w:r w:rsidRPr="006B1802">
              <w:rPr>
                <w:rFonts w:ascii="Arial Narrow" w:hAnsi="Arial Narrow"/>
                <w:color w:val="000000"/>
                <w:sz w:val="20"/>
                <w:szCs w:val="20"/>
                <w:lang w:eastAsia="en-AU"/>
              </w:rPr>
              <w:t>267</w:t>
            </w:r>
          </w:p>
        </w:tc>
        <w:tc>
          <w:tcPr>
            <w:tcW w:w="1560" w:type="dxa"/>
            <w:vAlign w:val="center"/>
          </w:tcPr>
          <w:p w:rsidR="00F065A2" w:rsidRPr="006B1802" w:rsidRDefault="00F065A2" w:rsidP="00B93A10">
            <w:pPr>
              <w:pStyle w:val="Tablenormal0"/>
              <w:spacing w:after="0" w:line="240" w:lineRule="auto"/>
              <w:jc w:val="center"/>
              <w:rPr>
                <w:rFonts w:ascii="Arial Narrow" w:hAnsi="Arial Narrow"/>
                <w:sz w:val="20"/>
                <w:szCs w:val="20"/>
              </w:rPr>
            </w:pPr>
            <w:r w:rsidRPr="006B1802">
              <w:rPr>
                <w:rFonts w:ascii="Arial Narrow" w:hAnsi="Arial Narrow"/>
                <w:sz w:val="20"/>
                <w:szCs w:val="20"/>
              </w:rPr>
              <w:t>-2.2</w:t>
            </w:r>
          </w:p>
        </w:tc>
        <w:tc>
          <w:tcPr>
            <w:tcW w:w="490" w:type="dxa"/>
          </w:tcPr>
          <w:p w:rsidR="00F065A2" w:rsidRPr="006B1802" w:rsidRDefault="00F065A2" w:rsidP="00B93A10">
            <w:pPr>
              <w:pStyle w:val="Tablenormal0"/>
              <w:spacing w:after="0" w:line="240" w:lineRule="auto"/>
              <w:jc w:val="center"/>
              <w:rPr>
                <w:rFonts w:ascii="Arial Narrow" w:hAnsi="Arial Narrow"/>
                <w:color w:val="000000"/>
                <w:sz w:val="20"/>
                <w:szCs w:val="20"/>
                <w:lang w:eastAsia="en-AU"/>
              </w:rPr>
            </w:pPr>
            <w:r w:rsidRPr="006B1802">
              <w:rPr>
                <w:rFonts w:ascii="Arial Narrow" w:hAnsi="Arial Narrow"/>
                <w:color w:val="000000"/>
                <w:sz w:val="20"/>
                <w:szCs w:val="20"/>
                <w:lang w:eastAsia="en-AU"/>
              </w:rPr>
              <w:t>158</w:t>
            </w:r>
          </w:p>
        </w:tc>
        <w:tc>
          <w:tcPr>
            <w:tcW w:w="1559" w:type="dxa"/>
          </w:tcPr>
          <w:p w:rsidR="00F065A2" w:rsidRPr="006B1802" w:rsidRDefault="00F065A2" w:rsidP="00B93A10">
            <w:pPr>
              <w:pStyle w:val="Tablenormal0"/>
              <w:spacing w:after="0" w:line="240" w:lineRule="auto"/>
              <w:jc w:val="center"/>
              <w:rPr>
                <w:rFonts w:ascii="Arial Narrow" w:hAnsi="Arial Narrow"/>
                <w:sz w:val="20"/>
                <w:szCs w:val="20"/>
              </w:rPr>
            </w:pPr>
            <w:r w:rsidRPr="006B1802">
              <w:rPr>
                <w:rFonts w:ascii="Arial Narrow" w:hAnsi="Arial Narrow"/>
                <w:sz w:val="20"/>
                <w:szCs w:val="20"/>
              </w:rPr>
              <w:t>-2.6</w:t>
            </w:r>
          </w:p>
        </w:tc>
        <w:tc>
          <w:tcPr>
            <w:tcW w:w="1117" w:type="dxa"/>
            <w:vAlign w:val="center"/>
          </w:tcPr>
          <w:p w:rsidR="00F065A2" w:rsidRPr="006B1802" w:rsidRDefault="00F065A2" w:rsidP="00B93A10">
            <w:pPr>
              <w:pStyle w:val="Tablenormal0"/>
              <w:spacing w:after="0" w:line="240" w:lineRule="auto"/>
              <w:jc w:val="center"/>
              <w:rPr>
                <w:rFonts w:ascii="Arial Narrow" w:hAnsi="Arial Narrow"/>
                <w:sz w:val="20"/>
                <w:szCs w:val="20"/>
              </w:rPr>
            </w:pPr>
            <w:r w:rsidRPr="006B1802">
              <w:rPr>
                <w:rFonts w:ascii="Arial Narrow" w:hAnsi="Arial Narrow"/>
                <w:sz w:val="20"/>
                <w:szCs w:val="20"/>
              </w:rPr>
              <w:t>15.5%</w:t>
            </w:r>
          </w:p>
        </w:tc>
        <w:tc>
          <w:tcPr>
            <w:tcW w:w="2239" w:type="dxa"/>
            <w:vAlign w:val="center"/>
          </w:tcPr>
          <w:p w:rsidR="00F065A2" w:rsidRPr="006B1802" w:rsidRDefault="00F065A2" w:rsidP="00B93A10">
            <w:pPr>
              <w:pStyle w:val="Tablenormal0"/>
              <w:spacing w:after="0" w:line="240" w:lineRule="auto"/>
              <w:jc w:val="center"/>
              <w:rPr>
                <w:rFonts w:ascii="Arial Narrow" w:hAnsi="Arial Narrow"/>
                <w:sz w:val="20"/>
                <w:szCs w:val="20"/>
              </w:rPr>
            </w:pPr>
            <w:r w:rsidRPr="006B1802">
              <w:rPr>
                <w:rFonts w:ascii="Arial Narrow" w:hAnsi="Arial Narrow"/>
                <w:sz w:val="20"/>
                <w:szCs w:val="20"/>
              </w:rPr>
              <w:t>NA</w:t>
            </w:r>
          </w:p>
        </w:tc>
      </w:tr>
      <w:tr w:rsidR="00F065A2" w:rsidRPr="006B1802" w:rsidTr="00414990">
        <w:trPr>
          <w:trHeight w:val="87"/>
        </w:trPr>
        <w:tc>
          <w:tcPr>
            <w:tcW w:w="1668" w:type="dxa"/>
          </w:tcPr>
          <w:p w:rsidR="00F065A2" w:rsidRPr="006B1802" w:rsidRDefault="00F065A2" w:rsidP="00B93A10">
            <w:pPr>
              <w:pStyle w:val="Tablenormal0"/>
              <w:spacing w:after="0" w:line="240" w:lineRule="auto"/>
              <w:rPr>
                <w:rFonts w:ascii="Arial Narrow" w:hAnsi="Arial Narrow"/>
                <w:sz w:val="20"/>
                <w:szCs w:val="20"/>
              </w:rPr>
            </w:pPr>
            <w:r w:rsidRPr="006B1802">
              <w:rPr>
                <w:rFonts w:ascii="Arial Narrow" w:hAnsi="Arial Narrow"/>
                <w:sz w:val="20"/>
                <w:szCs w:val="20"/>
              </w:rPr>
              <w:t>Baseline CKD 2</w:t>
            </w:r>
          </w:p>
        </w:tc>
        <w:tc>
          <w:tcPr>
            <w:tcW w:w="377" w:type="dxa"/>
          </w:tcPr>
          <w:p w:rsidR="00F065A2" w:rsidRPr="006B1802" w:rsidRDefault="00F065A2" w:rsidP="00B93A10">
            <w:pPr>
              <w:pStyle w:val="Tablenormal0"/>
              <w:spacing w:after="0" w:line="240" w:lineRule="auto"/>
              <w:jc w:val="center"/>
              <w:rPr>
                <w:rFonts w:ascii="Arial Narrow" w:hAnsi="Arial Narrow"/>
                <w:color w:val="000000"/>
                <w:sz w:val="20"/>
                <w:szCs w:val="20"/>
                <w:lang w:eastAsia="en-AU"/>
              </w:rPr>
            </w:pPr>
            <w:r w:rsidRPr="006B1802">
              <w:rPr>
                <w:rFonts w:ascii="Arial Narrow" w:hAnsi="Arial Narrow"/>
                <w:color w:val="000000"/>
                <w:sz w:val="20"/>
                <w:szCs w:val="20"/>
                <w:lang w:eastAsia="en-AU"/>
              </w:rPr>
              <w:t>465</w:t>
            </w:r>
          </w:p>
        </w:tc>
        <w:tc>
          <w:tcPr>
            <w:tcW w:w="1560" w:type="dxa"/>
          </w:tcPr>
          <w:p w:rsidR="00F065A2" w:rsidRPr="006B1802" w:rsidRDefault="00F065A2" w:rsidP="00B93A10">
            <w:pPr>
              <w:pStyle w:val="Tablenormal0"/>
              <w:spacing w:after="0" w:line="240" w:lineRule="auto"/>
              <w:jc w:val="center"/>
              <w:rPr>
                <w:rFonts w:ascii="Arial Narrow" w:hAnsi="Arial Narrow"/>
                <w:sz w:val="20"/>
                <w:szCs w:val="20"/>
              </w:rPr>
            </w:pPr>
            <w:r w:rsidRPr="006B1802">
              <w:rPr>
                <w:rFonts w:ascii="Arial Narrow" w:hAnsi="Arial Narrow"/>
                <w:sz w:val="20"/>
                <w:szCs w:val="20"/>
              </w:rPr>
              <w:t>-2.7</w:t>
            </w:r>
          </w:p>
        </w:tc>
        <w:tc>
          <w:tcPr>
            <w:tcW w:w="490" w:type="dxa"/>
          </w:tcPr>
          <w:p w:rsidR="00F065A2" w:rsidRPr="006B1802" w:rsidRDefault="00F065A2" w:rsidP="00B93A10">
            <w:pPr>
              <w:pStyle w:val="Tablenormal0"/>
              <w:spacing w:after="0" w:line="240" w:lineRule="auto"/>
              <w:jc w:val="center"/>
              <w:rPr>
                <w:rFonts w:ascii="Arial Narrow" w:hAnsi="Arial Narrow"/>
                <w:color w:val="000000"/>
                <w:sz w:val="20"/>
                <w:szCs w:val="20"/>
                <w:lang w:eastAsia="en-AU"/>
              </w:rPr>
            </w:pPr>
            <w:r w:rsidRPr="006B1802">
              <w:rPr>
                <w:rFonts w:ascii="Arial Narrow" w:hAnsi="Arial Narrow"/>
                <w:color w:val="000000"/>
                <w:sz w:val="20"/>
                <w:szCs w:val="20"/>
                <w:lang w:eastAsia="en-AU"/>
              </w:rPr>
              <w:t>224</w:t>
            </w:r>
          </w:p>
        </w:tc>
        <w:tc>
          <w:tcPr>
            <w:tcW w:w="1559" w:type="dxa"/>
          </w:tcPr>
          <w:p w:rsidR="00F065A2" w:rsidRPr="006B1802" w:rsidRDefault="00F065A2" w:rsidP="00B93A10">
            <w:pPr>
              <w:pStyle w:val="Tablenormal0"/>
              <w:spacing w:after="0" w:line="240" w:lineRule="auto"/>
              <w:jc w:val="center"/>
              <w:rPr>
                <w:rFonts w:ascii="Arial Narrow" w:hAnsi="Arial Narrow"/>
                <w:sz w:val="20"/>
                <w:szCs w:val="20"/>
              </w:rPr>
            </w:pPr>
            <w:r w:rsidRPr="006B1802">
              <w:rPr>
                <w:rFonts w:ascii="Arial Narrow" w:hAnsi="Arial Narrow"/>
                <w:sz w:val="20"/>
                <w:szCs w:val="20"/>
              </w:rPr>
              <w:t>-3.9</w:t>
            </w:r>
          </w:p>
        </w:tc>
        <w:tc>
          <w:tcPr>
            <w:tcW w:w="1117" w:type="dxa"/>
            <w:vAlign w:val="center"/>
          </w:tcPr>
          <w:p w:rsidR="00F065A2" w:rsidRPr="006B1802" w:rsidRDefault="00F065A2" w:rsidP="00B93A10">
            <w:pPr>
              <w:pStyle w:val="Tablenormal0"/>
              <w:spacing w:after="0" w:line="240" w:lineRule="auto"/>
              <w:jc w:val="center"/>
              <w:rPr>
                <w:rFonts w:ascii="Arial Narrow" w:hAnsi="Arial Narrow"/>
                <w:sz w:val="20"/>
                <w:szCs w:val="20"/>
              </w:rPr>
            </w:pPr>
            <w:r w:rsidRPr="006B1802">
              <w:rPr>
                <w:rFonts w:ascii="Arial Narrow" w:hAnsi="Arial Narrow"/>
                <w:sz w:val="20"/>
                <w:szCs w:val="20"/>
              </w:rPr>
              <w:t>29.1%</w:t>
            </w:r>
          </w:p>
        </w:tc>
        <w:tc>
          <w:tcPr>
            <w:tcW w:w="2239" w:type="dxa"/>
            <w:vMerge w:val="restart"/>
            <w:vAlign w:val="center"/>
          </w:tcPr>
          <w:p w:rsidR="00F065A2" w:rsidRPr="006B1802" w:rsidRDefault="00F065A2" w:rsidP="00B93A10">
            <w:pPr>
              <w:pStyle w:val="Tablenormal0"/>
              <w:spacing w:after="0" w:line="240" w:lineRule="auto"/>
              <w:jc w:val="center"/>
              <w:rPr>
                <w:rFonts w:ascii="Arial Narrow" w:hAnsi="Arial Narrow"/>
                <w:sz w:val="20"/>
                <w:szCs w:val="20"/>
                <w:vertAlign w:val="superscript"/>
              </w:rPr>
            </w:pPr>
            <w:r w:rsidRPr="006B1802">
              <w:rPr>
                <w:rFonts w:ascii="Arial Narrow" w:hAnsi="Arial Narrow"/>
                <w:sz w:val="20"/>
                <w:szCs w:val="20"/>
              </w:rPr>
              <w:t xml:space="preserve">29.6% </w:t>
            </w:r>
            <w:r w:rsidRPr="006B1802">
              <w:rPr>
                <w:rFonts w:ascii="Arial Narrow" w:hAnsi="Arial Narrow"/>
                <w:sz w:val="20"/>
                <w:szCs w:val="20"/>
                <w:vertAlign w:val="superscript"/>
              </w:rPr>
              <w:t>a</w:t>
            </w:r>
          </w:p>
        </w:tc>
      </w:tr>
      <w:tr w:rsidR="00F065A2" w:rsidRPr="006B1802" w:rsidTr="00414990">
        <w:trPr>
          <w:trHeight w:val="87"/>
        </w:trPr>
        <w:tc>
          <w:tcPr>
            <w:tcW w:w="1668" w:type="dxa"/>
          </w:tcPr>
          <w:p w:rsidR="00F065A2" w:rsidRPr="006B1802" w:rsidRDefault="00F065A2" w:rsidP="00B93A10">
            <w:pPr>
              <w:pStyle w:val="Tablenormal0"/>
              <w:spacing w:after="0" w:line="240" w:lineRule="auto"/>
              <w:rPr>
                <w:rFonts w:ascii="Arial Narrow" w:hAnsi="Arial Narrow"/>
                <w:b/>
                <w:color w:val="000000"/>
                <w:sz w:val="20"/>
                <w:szCs w:val="20"/>
                <w:lang w:eastAsia="en-AU"/>
              </w:rPr>
            </w:pPr>
            <w:r w:rsidRPr="006B1802">
              <w:rPr>
                <w:rFonts w:ascii="Arial Narrow" w:hAnsi="Arial Narrow"/>
                <w:sz w:val="20"/>
                <w:szCs w:val="20"/>
              </w:rPr>
              <w:t>Baseline CKD 3</w:t>
            </w:r>
          </w:p>
        </w:tc>
        <w:tc>
          <w:tcPr>
            <w:tcW w:w="377" w:type="dxa"/>
          </w:tcPr>
          <w:p w:rsidR="00F065A2" w:rsidRPr="006B1802" w:rsidRDefault="00F065A2" w:rsidP="00B93A10">
            <w:pPr>
              <w:pStyle w:val="Tablenormal0"/>
              <w:spacing w:after="0" w:line="240" w:lineRule="auto"/>
              <w:jc w:val="center"/>
              <w:rPr>
                <w:rFonts w:ascii="Arial Narrow" w:hAnsi="Arial Narrow"/>
                <w:color w:val="000000"/>
                <w:sz w:val="20"/>
                <w:szCs w:val="20"/>
                <w:lang w:eastAsia="en-AU"/>
              </w:rPr>
            </w:pPr>
            <w:r w:rsidRPr="006B1802">
              <w:rPr>
                <w:rFonts w:ascii="Arial Narrow" w:hAnsi="Arial Narrow"/>
                <w:color w:val="000000"/>
                <w:sz w:val="20"/>
                <w:szCs w:val="20"/>
                <w:lang w:eastAsia="en-AU"/>
              </w:rPr>
              <w:t>163</w:t>
            </w:r>
          </w:p>
        </w:tc>
        <w:tc>
          <w:tcPr>
            <w:tcW w:w="1560" w:type="dxa"/>
          </w:tcPr>
          <w:p w:rsidR="00F065A2" w:rsidRPr="006B1802" w:rsidRDefault="00F065A2" w:rsidP="00B93A10">
            <w:pPr>
              <w:pStyle w:val="Tablenormal0"/>
              <w:spacing w:after="0" w:line="240" w:lineRule="auto"/>
              <w:jc w:val="center"/>
              <w:rPr>
                <w:rFonts w:ascii="Arial Narrow" w:hAnsi="Arial Narrow"/>
                <w:sz w:val="20"/>
                <w:szCs w:val="20"/>
              </w:rPr>
            </w:pPr>
            <w:r w:rsidRPr="006B1802">
              <w:rPr>
                <w:rFonts w:ascii="Arial Narrow" w:hAnsi="Arial Narrow"/>
                <w:sz w:val="20"/>
                <w:szCs w:val="20"/>
              </w:rPr>
              <w:t>-3.7</w:t>
            </w:r>
          </w:p>
        </w:tc>
        <w:tc>
          <w:tcPr>
            <w:tcW w:w="490" w:type="dxa"/>
          </w:tcPr>
          <w:p w:rsidR="00F065A2" w:rsidRPr="006B1802" w:rsidRDefault="00F065A2" w:rsidP="00B93A10">
            <w:pPr>
              <w:pStyle w:val="Tablenormal0"/>
              <w:spacing w:after="0" w:line="240" w:lineRule="auto"/>
              <w:jc w:val="center"/>
              <w:rPr>
                <w:rFonts w:ascii="Arial Narrow" w:hAnsi="Arial Narrow"/>
                <w:color w:val="000000"/>
                <w:sz w:val="20"/>
                <w:szCs w:val="20"/>
                <w:lang w:eastAsia="en-AU"/>
              </w:rPr>
            </w:pPr>
            <w:r w:rsidRPr="006B1802">
              <w:rPr>
                <w:rFonts w:ascii="Arial Narrow" w:hAnsi="Arial Narrow"/>
                <w:color w:val="000000"/>
                <w:sz w:val="20"/>
                <w:szCs w:val="20"/>
                <w:lang w:eastAsia="en-AU"/>
              </w:rPr>
              <w:t>84</w:t>
            </w:r>
          </w:p>
        </w:tc>
        <w:tc>
          <w:tcPr>
            <w:tcW w:w="1559" w:type="dxa"/>
          </w:tcPr>
          <w:p w:rsidR="00F065A2" w:rsidRPr="006B1802" w:rsidRDefault="00F065A2" w:rsidP="00B93A10">
            <w:pPr>
              <w:pStyle w:val="Tablenormal0"/>
              <w:spacing w:after="0" w:line="240" w:lineRule="auto"/>
              <w:jc w:val="center"/>
              <w:rPr>
                <w:rFonts w:ascii="Arial Narrow" w:hAnsi="Arial Narrow"/>
                <w:sz w:val="20"/>
                <w:szCs w:val="20"/>
              </w:rPr>
            </w:pPr>
            <w:r w:rsidRPr="006B1802">
              <w:rPr>
                <w:rFonts w:ascii="Arial Narrow" w:hAnsi="Arial Narrow"/>
                <w:sz w:val="20"/>
                <w:szCs w:val="20"/>
              </w:rPr>
              <w:t>-5.3</w:t>
            </w:r>
          </w:p>
        </w:tc>
        <w:tc>
          <w:tcPr>
            <w:tcW w:w="1117" w:type="dxa"/>
            <w:vAlign w:val="center"/>
          </w:tcPr>
          <w:p w:rsidR="00F065A2" w:rsidRPr="006B1802" w:rsidRDefault="00F065A2" w:rsidP="00B93A10">
            <w:pPr>
              <w:pStyle w:val="Tablenormal0"/>
              <w:spacing w:after="0" w:line="240" w:lineRule="auto"/>
              <w:jc w:val="center"/>
              <w:rPr>
                <w:rFonts w:ascii="Arial Narrow" w:hAnsi="Arial Narrow"/>
                <w:sz w:val="20"/>
                <w:szCs w:val="20"/>
              </w:rPr>
            </w:pPr>
            <w:r w:rsidRPr="006B1802">
              <w:rPr>
                <w:rFonts w:ascii="Arial Narrow" w:hAnsi="Arial Narrow"/>
                <w:sz w:val="20"/>
                <w:szCs w:val="20"/>
              </w:rPr>
              <w:t>31.0%</w:t>
            </w:r>
          </w:p>
        </w:tc>
        <w:tc>
          <w:tcPr>
            <w:tcW w:w="2239" w:type="dxa"/>
            <w:vMerge/>
            <w:vAlign w:val="center"/>
          </w:tcPr>
          <w:p w:rsidR="00F065A2" w:rsidRPr="006B1802" w:rsidRDefault="00F065A2" w:rsidP="00B93A10">
            <w:pPr>
              <w:pStyle w:val="Tablenormal0"/>
              <w:spacing w:after="0" w:line="240" w:lineRule="auto"/>
              <w:jc w:val="center"/>
              <w:rPr>
                <w:rFonts w:ascii="Arial Narrow" w:hAnsi="Arial Narrow"/>
                <w:sz w:val="20"/>
                <w:szCs w:val="20"/>
              </w:rPr>
            </w:pPr>
          </w:p>
        </w:tc>
      </w:tr>
      <w:tr w:rsidR="00F065A2" w:rsidRPr="006B1802" w:rsidTr="00414990">
        <w:trPr>
          <w:trHeight w:val="87"/>
        </w:trPr>
        <w:tc>
          <w:tcPr>
            <w:tcW w:w="9010" w:type="dxa"/>
            <w:gridSpan w:val="7"/>
            <w:tcBorders>
              <w:top w:val="single" w:sz="4" w:space="0" w:color="auto"/>
            </w:tcBorders>
          </w:tcPr>
          <w:p w:rsidR="00F065A2" w:rsidRPr="006B1802" w:rsidRDefault="00F065A2" w:rsidP="00B93A10">
            <w:pPr>
              <w:pStyle w:val="Tablenormal0"/>
              <w:spacing w:after="0" w:line="240" w:lineRule="auto"/>
              <w:rPr>
                <w:rFonts w:ascii="Arial Narrow" w:hAnsi="Arial Narrow"/>
                <w:b/>
                <w:color w:val="000000"/>
                <w:sz w:val="20"/>
                <w:szCs w:val="20"/>
                <w:lang w:eastAsia="en-AU"/>
              </w:rPr>
            </w:pPr>
            <w:r w:rsidRPr="006B1802">
              <w:rPr>
                <w:rFonts w:ascii="Arial Narrow" w:hAnsi="Arial Narrow"/>
                <w:b/>
                <w:color w:val="000000"/>
                <w:sz w:val="20"/>
                <w:szCs w:val="20"/>
                <w:lang w:eastAsia="en-AU"/>
              </w:rPr>
              <w:t>REPRISE (annualised rate of change in eGFR (CKD-EPI); weighted ANCOVA)</w:t>
            </w:r>
          </w:p>
        </w:tc>
      </w:tr>
      <w:tr w:rsidR="00F065A2" w:rsidRPr="006B1802" w:rsidTr="00414990">
        <w:trPr>
          <w:trHeight w:val="87"/>
        </w:trPr>
        <w:tc>
          <w:tcPr>
            <w:tcW w:w="1668" w:type="dxa"/>
            <w:tcBorders>
              <w:top w:val="single" w:sz="4" w:space="0" w:color="auto"/>
            </w:tcBorders>
          </w:tcPr>
          <w:p w:rsidR="00F065A2" w:rsidRPr="006B1802" w:rsidRDefault="00F065A2" w:rsidP="00B93A10">
            <w:pPr>
              <w:pStyle w:val="Tablenormal0"/>
              <w:spacing w:after="0" w:line="240" w:lineRule="auto"/>
              <w:rPr>
                <w:rFonts w:ascii="Arial Narrow" w:hAnsi="Arial Narrow"/>
                <w:sz w:val="20"/>
                <w:szCs w:val="20"/>
                <w:vertAlign w:val="superscript"/>
              </w:rPr>
            </w:pPr>
            <w:r w:rsidRPr="006B1802">
              <w:rPr>
                <w:rFonts w:ascii="Arial Narrow" w:hAnsi="Arial Narrow"/>
                <w:sz w:val="20"/>
                <w:szCs w:val="20"/>
              </w:rPr>
              <w:t xml:space="preserve">Overall population </w:t>
            </w:r>
            <w:r w:rsidRPr="006B1802">
              <w:rPr>
                <w:rFonts w:ascii="Arial Narrow" w:hAnsi="Arial Narrow"/>
                <w:sz w:val="20"/>
                <w:szCs w:val="20"/>
                <w:vertAlign w:val="superscript"/>
              </w:rPr>
              <w:t>c</w:t>
            </w:r>
          </w:p>
        </w:tc>
        <w:tc>
          <w:tcPr>
            <w:tcW w:w="377" w:type="dxa"/>
            <w:tcBorders>
              <w:top w:val="single" w:sz="4" w:space="0" w:color="auto"/>
            </w:tcBorders>
          </w:tcPr>
          <w:p w:rsidR="00F065A2" w:rsidRPr="006B1802" w:rsidRDefault="00F065A2" w:rsidP="00B93A10">
            <w:pPr>
              <w:pStyle w:val="Tablenormal0"/>
              <w:spacing w:after="0" w:line="240" w:lineRule="auto"/>
              <w:jc w:val="center"/>
              <w:rPr>
                <w:rFonts w:ascii="Arial Narrow" w:hAnsi="Arial Narrow"/>
                <w:color w:val="000000"/>
                <w:sz w:val="20"/>
                <w:szCs w:val="20"/>
                <w:lang w:eastAsia="en-AU"/>
              </w:rPr>
            </w:pPr>
            <w:r w:rsidRPr="006B1802">
              <w:rPr>
                <w:rFonts w:ascii="Arial Narrow" w:hAnsi="Arial Narrow"/>
                <w:color w:val="000000"/>
                <w:sz w:val="20"/>
                <w:szCs w:val="20"/>
                <w:lang w:eastAsia="en-AU"/>
              </w:rPr>
              <w:t>668</w:t>
            </w:r>
          </w:p>
        </w:tc>
        <w:tc>
          <w:tcPr>
            <w:tcW w:w="1560" w:type="dxa"/>
            <w:tcBorders>
              <w:top w:val="single" w:sz="4" w:space="0" w:color="auto"/>
            </w:tcBorders>
            <w:vAlign w:val="center"/>
          </w:tcPr>
          <w:p w:rsidR="00F065A2" w:rsidRPr="006B1802" w:rsidRDefault="00F065A2" w:rsidP="00B93A10">
            <w:pPr>
              <w:pStyle w:val="Tablenormal0"/>
              <w:spacing w:after="0" w:line="240" w:lineRule="auto"/>
              <w:jc w:val="center"/>
              <w:rPr>
                <w:rFonts w:ascii="Arial Narrow" w:hAnsi="Arial Narrow"/>
                <w:sz w:val="20"/>
                <w:szCs w:val="20"/>
              </w:rPr>
            </w:pPr>
            <w:r w:rsidRPr="006B1802">
              <w:rPr>
                <w:rFonts w:ascii="Arial Narrow" w:hAnsi="Arial Narrow"/>
                <w:sz w:val="20"/>
                <w:szCs w:val="20"/>
              </w:rPr>
              <w:t>-2.961</w:t>
            </w:r>
          </w:p>
        </w:tc>
        <w:tc>
          <w:tcPr>
            <w:tcW w:w="490" w:type="dxa"/>
            <w:tcBorders>
              <w:top w:val="single" w:sz="4" w:space="0" w:color="auto"/>
            </w:tcBorders>
          </w:tcPr>
          <w:p w:rsidR="00F065A2" w:rsidRPr="006B1802" w:rsidRDefault="00F065A2" w:rsidP="00B93A10">
            <w:pPr>
              <w:pStyle w:val="Tablenormal0"/>
              <w:spacing w:after="0" w:line="240" w:lineRule="auto"/>
              <w:jc w:val="center"/>
              <w:rPr>
                <w:rFonts w:ascii="Arial Narrow" w:hAnsi="Arial Narrow"/>
                <w:color w:val="000000"/>
                <w:sz w:val="20"/>
                <w:szCs w:val="20"/>
                <w:lang w:eastAsia="en-AU"/>
              </w:rPr>
            </w:pPr>
            <w:r w:rsidRPr="006B1802">
              <w:rPr>
                <w:rFonts w:ascii="Arial Narrow" w:hAnsi="Arial Narrow"/>
                <w:color w:val="000000"/>
                <w:sz w:val="20"/>
                <w:szCs w:val="20"/>
                <w:lang w:eastAsia="en-AU"/>
              </w:rPr>
              <w:t>663</w:t>
            </w:r>
          </w:p>
        </w:tc>
        <w:tc>
          <w:tcPr>
            <w:tcW w:w="1559" w:type="dxa"/>
            <w:tcBorders>
              <w:top w:val="single" w:sz="4" w:space="0" w:color="auto"/>
            </w:tcBorders>
          </w:tcPr>
          <w:p w:rsidR="00F065A2" w:rsidRPr="006B1802" w:rsidRDefault="00F065A2" w:rsidP="00B93A10">
            <w:pPr>
              <w:pStyle w:val="Tablenormal0"/>
              <w:spacing w:after="0" w:line="240" w:lineRule="auto"/>
              <w:jc w:val="center"/>
              <w:rPr>
                <w:rFonts w:ascii="Arial Narrow" w:hAnsi="Arial Narrow"/>
                <w:sz w:val="20"/>
                <w:szCs w:val="20"/>
              </w:rPr>
            </w:pPr>
            <w:r w:rsidRPr="006B1802">
              <w:rPr>
                <w:rFonts w:ascii="Arial Narrow" w:hAnsi="Arial Narrow"/>
                <w:sz w:val="20"/>
                <w:szCs w:val="20"/>
              </w:rPr>
              <w:t>-4.249</w:t>
            </w:r>
          </w:p>
        </w:tc>
        <w:tc>
          <w:tcPr>
            <w:tcW w:w="1117" w:type="dxa"/>
            <w:tcBorders>
              <w:top w:val="single" w:sz="4" w:space="0" w:color="auto"/>
            </w:tcBorders>
            <w:vAlign w:val="center"/>
          </w:tcPr>
          <w:p w:rsidR="00F065A2" w:rsidRPr="006B1802" w:rsidRDefault="00F065A2" w:rsidP="00B93A10">
            <w:pPr>
              <w:pStyle w:val="Tablenormal0"/>
              <w:spacing w:after="0" w:line="240" w:lineRule="auto"/>
              <w:jc w:val="center"/>
              <w:rPr>
                <w:rFonts w:ascii="Arial Narrow" w:hAnsi="Arial Narrow"/>
                <w:sz w:val="20"/>
                <w:szCs w:val="20"/>
                <w:vertAlign w:val="superscript"/>
              </w:rPr>
            </w:pPr>
            <w:r w:rsidRPr="006B1802">
              <w:rPr>
                <w:rFonts w:ascii="Arial Narrow" w:hAnsi="Arial Narrow"/>
                <w:sz w:val="20"/>
                <w:szCs w:val="20"/>
              </w:rPr>
              <w:t xml:space="preserve">30.3% </w:t>
            </w:r>
            <w:r w:rsidRPr="006B1802">
              <w:rPr>
                <w:rFonts w:ascii="Arial Narrow" w:hAnsi="Arial Narrow"/>
                <w:sz w:val="20"/>
                <w:szCs w:val="20"/>
                <w:vertAlign w:val="superscript"/>
              </w:rPr>
              <w:t>c</w:t>
            </w:r>
          </w:p>
        </w:tc>
        <w:tc>
          <w:tcPr>
            <w:tcW w:w="2239" w:type="dxa"/>
            <w:tcBorders>
              <w:top w:val="single" w:sz="4" w:space="0" w:color="auto"/>
            </w:tcBorders>
            <w:vAlign w:val="center"/>
          </w:tcPr>
          <w:p w:rsidR="00F065A2" w:rsidRPr="006B1802" w:rsidRDefault="00F065A2" w:rsidP="00B93A10">
            <w:pPr>
              <w:pStyle w:val="Tablenormal0"/>
              <w:spacing w:after="0" w:line="240" w:lineRule="auto"/>
              <w:jc w:val="center"/>
              <w:rPr>
                <w:rFonts w:ascii="Arial Narrow" w:hAnsi="Arial Narrow"/>
                <w:sz w:val="20"/>
                <w:szCs w:val="20"/>
              </w:rPr>
            </w:pPr>
            <w:r w:rsidRPr="006B1802">
              <w:rPr>
                <w:rFonts w:ascii="Arial Narrow" w:hAnsi="Arial Narrow"/>
                <w:sz w:val="20"/>
                <w:szCs w:val="20"/>
              </w:rPr>
              <w:t>Not used in base case</w:t>
            </w:r>
          </w:p>
        </w:tc>
      </w:tr>
      <w:tr w:rsidR="00F065A2" w:rsidRPr="006B1802" w:rsidTr="00414990">
        <w:trPr>
          <w:trHeight w:val="87"/>
        </w:trPr>
        <w:tc>
          <w:tcPr>
            <w:tcW w:w="1668" w:type="dxa"/>
            <w:tcBorders>
              <w:top w:val="single" w:sz="4" w:space="0" w:color="auto"/>
            </w:tcBorders>
          </w:tcPr>
          <w:p w:rsidR="00F065A2" w:rsidRPr="006B1802" w:rsidRDefault="00F065A2" w:rsidP="00B93A10">
            <w:pPr>
              <w:pStyle w:val="Tablenormal0"/>
              <w:spacing w:after="0" w:line="240" w:lineRule="auto"/>
              <w:rPr>
                <w:rFonts w:ascii="Arial Narrow" w:hAnsi="Arial Narrow"/>
                <w:sz w:val="20"/>
                <w:szCs w:val="20"/>
              </w:rPr>
            </w:pPr>
            <w:r w:rsidRPr="006B1802">
              <w:rPr>
                <w:rFonts w:ascii="Arial Narrow" w:hAnsi="Arial Narrow"/>
                <w:sz w:val="20"/>
                <w:szCs w:val="20"/>
              </w:rPr>
              <w:t>Baseline CKD 2</w:t>
            </w:r>
          </w:p>
        </w:tc>
        <w:tc>
          <w:tcPr>
            <w:tcW w:w="377" w:type="dxa"/>
            <w:tcBorders>
              <w:top w:val="single" w:sz="4" w:space="0" w:color="auto"/>
            </w:tcBorders>
            <w:vAlign w:val="center"/>
          </w:tcPr>
          <w:p w:rsidR="00F065A2" w:rsidRPr="006B1802" w:rsidRDefault="00F065A2" w:rsidP="00B93A10">
            <w:pPr>
              <w:pStyle w:val="Tablenormal0"/>
              <w:spacing w:after="0" w:line="240" w:lineRule="auto"/>
              <w:jc w:val="center"/>
              <w:rPr>
                <w:rFonts w:ascii="Arial Narrow" w:hAnsi="Arial Narrow"/>
                <w:color w:val="000000"/>
                <w:sz w:val="20"/>
                <w:szCs w:val="20"/>
                <w:lang w:eastAsia="en-AU"/>
              </w:rPr>
            </w:pPr>
            <w:r w:rsidRPr="006B1802">
              <w:rPr>
                <w:rFonts w:ascii="Arial Narrow" w:hAnsi="Arial Narrow"/>
                <w:color w:val="000000"/>
                <w:sz w:val="20"/>
                <w:szCs w:val="20"/>
                <w:lang w:eastAsia="en-AU"/>
              </w:rPr>
              <w:t>31</w:t>
            </w:r>
          </w:p>
        </w:tc>
        <w:tc>
          <w:tcPr>
            <w:tcW w:w="1560" w:type="dxa"/>
            <w:tcBorders>
              <w:top w:val="single" w:sz="4" w:space="0" w:color="auto"/>
            </w:tcBorders>
            <w:vAlign w:val="bottom"/>
          </w:tcPr>
          <w:p w:rsidR="00F065A2" w:rsidRPr="006B1802" w:rsidRDefault="00F065A2" w:rsidP="00B93A10">
            <w:pPr>
              <w:pStyle w:val="Tablenormal0"/>
              <w:spacing w:after="0" w:line="240" w:lineRule="auto"/>
              <w:jc w:val="center"/>
              <w:rPr>
                <w:rFonts w:ascii="Arial Narrow" w:hAnsi="Arial Narrow"/>
                <w:sz w:val="20"/>
                <w:szCs w:val="20"/>
              </w:rPr>
            </w:pPr>
            <w:r w:rsidRPr="006B1802">
              <w:rPr>
                <w:rFonts w:ascii="Arial Narrow" w:hAnsi="Arial Narrow"/>
                <w:sz w:val="20"/>
                <w:szCs w:val="20"/>
              </w:rPr>
              <w:t>-0.541</w:t>
            </w:r>
          </w:p>
        </w:tc>
        <w:tc>
          <w:tcPr>
            <w:tcW w:w="490" w:type="dxa"/>
            <w:tcBorders>
              <w:top w:val="single" w:sz="4" w:space="0" w:color="auto"/>
            </w:tcBorders>
            <w:vAlign w:val="center"/>
          </w:tcPr>
          <w:p w:rsidR="00F065A2" w:rsidRPr="006B1802" w:rsidRDefault="00F065A2" w:rsidP="00B93A10">
            <w:pPr>
              <w:pStyle w:val="Tablenormal0"/>
              <w:spacing w:after="0" w:line="240" w:lineRule="auto"/>
              <w:jc w:val="center"/>
              <w:rPr>
                <w:rFonts w:ascii="Arial Narrow" w:hAnsi="Arial Narrow"/>
                <w:color w:val="000000"/>
                <w:sz w:val="20"/>
                <w:szCs w:val="20"/>
                <w:lang w:eastAsia="en-AU"/>
              </w:rPr>
            </w:pPr>
            <w:r w:rsidRPr="006B1802">
              <w:rPr>
                <w:rFonts w:ascii="Arial Narrow" w:hAnsi="Arial Narrow"/>
                <w:color w:val="000000"/>
                <w:sz w:val="20"/>
                <w:szCs w:val="20"/>
                <w:lang w:eastAsia="en-AU"/>
              </w:rPr>
              <w:t>38</w:t>
            </w:r>
          </w:p>
        </w:tc>
        <w:tc>
          <w:tcPr>
            <w:tcW w:w="1559" w:type="dxa"/>
            <w:tcBorders>
              <w:top w:val="single" w:sz="4" w:space="0" w:color="auto"/>
            </w:tcBorders>
            <w:vAlign w:val="bottom"/>
          </w:tcPr>
          <w:p w:rsidR="00F065A2" w:rsidRPr="006B1802" w:rsidRDefault="00F065A2" w:rsidP="00B93A10">
            <w:pPr>
              <w:pStyle w:val="Tablenormal0"/>
              <w:spacing w:after="0" w:line="240" w:lineRule="auto"/>
              <w:jc w:val="center"/>
              <w:rPr>
                <w:rFonts w:ascii="Arial Narrow" w:hAnsi="Arial Narrow"/>
                <w:sz w:val="20"/>
                <w:szCs w:val="20"/>
              </w:rPr>
            </w:pPr>
            <w:r w:rsidRPr="006B1802">
              <w:rPr>
                <w:rFonts w:ascii="Arial Narrow" w:hAnsi="Arial Narrow"/>
                <w:sz w:val="20"/>
                <w:szCs w:val="20"/>
              </w:rPr>
              <w:t>-4.589</w:t>
            </w:r>
          </w:p>
        </w:tc>
        <w:tc>
          <w:tcPr>
            <w:tcW w:w="1117" w:type="dxa"/>
            <w:tcBorders>
              <w:top w:val="single" w:sz="4" w:space="0" w:color="auto"/>
            </w:tcBorders>
            <w:vAlign w:val="bottom"/>
          </w:tcPr>
          <w:p w:rsidR="00F065A2" w:rsidRPr="006B1802" w:rsidRDefault="00F065A2" w:rsidP="00B93A10">
            <w:pPr>
              <w:pStyle w:val="Tablenormal0"/>
              <w:spacing w:after="0" w:line="240" w:lineRule="auto"/>
              <w:jc w:val="center"/>
              <w:rPr>
                <w:rFonts w:ascii="Arial Narrow" w:hAnsi="Arial Narrow"/>
                <w:sz w:val="20"/>
                <w:szCs w:val="20"/>
              </w:rPr>
            </w:pPr>
            <w:r w:rsidRPr="006B1802">
              <w:rPr>
                <w:rFonts w:ascii="Arial Narrow" w:hAnsi="Arial Narrow"/>
                <w:sz w:val="20"/>
                <w:szCs w:val="20"/>
              </w:rPr>
              <w:t>88.2%</w:t>
            </w:r>
          </w:p>
        </w:tc>
        <w:tc>
          <w:tcPr>
            <w:tcW w:w="2239" w:type="dxa"/>
            <w:vMerge w:val="restart"/>
            <w:tcBorders>
              <w:top w:val="single" w:sz="4" w:space="0" w:color="auto"/>
            </w:tcBorders>
            <w:vAlign w:val="center"/>
          </w:tcPr>
          <w:p w:rsidR="00F065A2" w:rsidRPr="006B1802" w:rsidRDefault="00F065A2" w:rsidP="00B93A10">
            <w:pPr>
              <w:pStyle w:val="Tablenormal0"/>
              <w:spacing w:after="0" w:line="240" w:lineRule="auto"/>
              <w:jc w:val="center"/>
              <w:rPr>
                <w:rFonts w:ascii="Arial Narrow" w:hAnsi="Arial Narrow"/>
                <w:sz w:val="20"/>
                <w:szCs w:val="20"/>
                <w:vertAlign w:val="superscript"/>
              </w:rPr>
            </w:pPr>
            <w:r w:rsidRPr="006B1802">
              <w:rPr>
                <w:rFonts w:ascii="Arial Narrow" w:hAnsi="Arial Narrow"/>
                <w:sz w:val="20"/>
                <w:szCs w:val="20"/>
              </w:rPr>
              <w:t xml:space="preserve">34.6% </w:t>
            </w:r>
            <w:r w:rsidRPr="006B1802">
              <w:rPr>
                <w:rFonts w:ascii="Arial Narrow" w:hAnsi="Arial Narrow"/>
                <w:sz w:val="20"/>
                <w:szCs w:val="20"/>
                <w:vertAlign w:val="superscript"/>
              </w:rPr>
              <w:t>b</w:t>
            </w:r>
          </w:p>
        </w:tc>
      </w:tr>
      <w:tr w:rsidR="00F065A2" w:rsidRPr="006B1802" w:rsidTr="00414990">
        <w:trPr>
          <w:trHeight w:val="87"/>
        </w:trPr>
        <w:tc>
          <w:tcPr>
            <w:tcW w:w="1668" w:type="dxa"/>
          </w:tcPr>
          <w:p w:rsidR="00F065A2" w:rsidRPr="006B1802" w:rsidRDefault="00F065A2" w:rsidP="00B93A10">
            <w:pPr>
              <w:pStyle w:val="Tablenormal0"/>
              <w:spacing w:after="0" w:line="240" w:lineRule="auto"/>
              <w:rPr>
                <w:rFonts w:ascii="Arial Narrow" w:hAnsi="Arial Narrow"/>
                <w:sz w:val="20"/>
                <w:szCs w:val="20"/>
              </w:rPr>
            </w:pPr>
            <w:r w:rsidRPr="006B1802">
              <w:rPr>
                <w:rFonts w:ascii="Arial Narrow" w:hAnsi="Arial Narrow"/>
                <w:sz w:val="20"/>
                <w:szCs w:val="20"/>
              </w:rPr>
              <w:t>Baseline CKD 3A</w:t>
            </w:r>
          </w:p>
        </w:tc>
        <w:tc>
          <w:tcPr>
            <w:tcW w:w="377" w:type="dxa"/>
            <w:vAlign w:val="center"/>
          </w:tcPr>
          <w:p w:rsidR="00F065A2" w:rsidRPr="006B1802" w:rsidRDefault="00F065A2" w:rsidP="00B93A10">
            <w:pPr>
              <w:pStyle w:val="Tablenormal0"/>
              <w:spacing w:after="0" w:line="240" w:lineRule="auto"/>
              <w:jc w:val="center"/>
              <w:rPr>
                <w:rFonts w:ascii="Arial Narrow" w:hAnsi="Arial Narrow"/>
                <w:color w:val="000000"/>
                <w:sz w:val="20"/>
                <w:szCs w:val="20"/>
                <w:lang w:eastAsia="en-AU"/>
              </w:rPr>
            </w:pPr>
            <w:r w:rsidRPr="006B1802">
              <w:rPr>
                <w:rFonts w:ascii="Arial Narrow" w:hAnsi="Arial Narrow"/>
                <w:color w:val="000000"/>
                <w:sz w:val="20"/>
                <w:szCs w:val="20"/>
                <w:lang w:eastAsia="en-AU"/>
              </w:rPr>
              <w:t>206</w:t>
            </w:r>
          </w:p>
        </w:tc>
        <w:tc>
          <w:tcPr>
            <w:tcW w:w="1560" w:type="dxa"/>
            <w:vAlign w:val="bottom"/>
          </w:tcPr>
          <w:p w:rsidR="00F065A2" w:rsidRPr="006B1802" w:rsidRDefault="00F065A2" w:rsidP="00B93A10">
            <w:pPr>
              <w:pStyle w:val="Tablenormal0"/>
              <w:spacing w:after="0" w:line="240" w:lineRule="auto"/>
              <w:jc w:val="center"/>
              <w:rPr>
                <w:rFonts w:ascii="Arial Narrow" w:hAnsi="Arial Narrow"/>
                <w:sz w:val="20"/>
                <w:szCs w:val="20"/>
              </w:rPr>
            </w:pPr>
            <w:r w:rsidRPr="006B1802">
              <w:rPr>
                <w:rFonts w:ascii="Arial Narrow" w:hAnsi="Arial Narrow"/>
                <w:sz w:val="20"/>
                <w:szCs w:val="20"/>
              </w:rPr>
              <w:t>-2.061</w:t>
            </w:r>
          </w:p>
        </w:tc>
        <w:tc>
          <w:tcPr>
            <w:tcW w:w="490" w:type="dxa"/>
            <w:vAlign w:val="center"/>
          </w:tcPr>
          <w:p w:rsidR="00F065A2" w:rsidRPr="006B1802" w:rsidRDefault="00F065A2" w:rsidP="00B93A10">
            <w:pPr>
              <w:pStyle w:val="Tablenormal0"/>
              <w:spacing w:after="0" w:line="240" w:lineRule="auto"/>
              <w:jc w:val="center"/>
              <w:rPr>
                <w:rFonts w:ascii="Arial Narrow" w:hAnsi="Arial Narrow"/>
                <w:color w:val="000000"/>
                <w:sz w:val="20"/>
                <w:szCs w:val="20"/>
                <w:lang w:eastAsia="en-AU"/>
              </w:rPr>
            </w:pPr>
            <w:r w:rsidRPr="006B1802">
              <w:rPr>
                <w:rFonts w:ascii="Arial Narrow" w:hAnsi="Arial Narrow"/>
                <w:color w:val="000000"/>
                <w:sz w:val="20"/>
                <w:szCs w:val="20"/>
                <w:lang w:eastAsia="en-AU"/>
              </w:rPr>
              <w:t>196</w:t>
            </w:r>
          </w:p>
        </w:tc>
        <w:tc>
          <w:tcPr>
            <w:tcW w:w="1559" w:type="dxa"/>
            <w:vAlign w:val="bottom"/>
          </w:tcPr>
          <w:p w:rsidR="00F065A2" w:rsidRPr="006B1802" w:rsidRDefault="00F065A2" w:rsidP="00B93A10">
            <w:pPr>
              <w:pStyle w:val="Tablenormal0"/>
              <w:spacing w:after="0" w:line="240" w:lineRule="auto"/>
              <w:jc w:val="center"/>
              <w:rPr>
                <w:rFonts w:ascii="Arial Narrow" w:hAnsi="Arial Narrow"/>
                <w:sz w:val="20"/>
                <w:szCs w:val="20"/>
              </w:rPr>
            </w:pPr>
            <w:r w:rsidRPr="006B1802">
              <w:rPr>
                <w:rFonts w:ascii="Arial Narrow" w:hAnsi="Arial Narrow"/>
                <w:sz w:val="20"/>
                <w:szCs w:val="20"/>
              </w:rPr>
              <w:t>-4.379</w:t>
            </w:r>
          </w:p>
        </w:tc>
        <w:tc>
          <w:tcPr>
            <w:tcW w:w="1117" w:type="dxa"/>
            <w:vAlign w:val="bottom"/>
          </w:tcPr>
          <w:p w:rsidR="00F065A2" w:rsidRPr="006B1802" w:rsidRDefault="00F065A2" w:rsidP="00B93A10">
            <w:pPr>
              <w:pStyle w:val="Tablenormal0"/>
              <w:spacing w:after="0" w:line="240" w:lineRule="auto"/>
              <w:jc w:val="center"/>
              <w:rPr>
                <w:rFonts w:ascii="Arial Narrow" w:hAnsi="Arial Narrow"/>
                <w:sz w:val="20"/>
                <w:szCs w:val="20"/>
              </w:rPr>
            </w:pPr>
            <w:r w:rsidRPr="006B1802">
              <w:rPr>
                <w:rFonts w:ascii="Arial Narrow" w:hAnsi="Arial Narrow"/>
                <w:sz w:val="20"/>
                <w:szCs w:val="20"/>
              </w:rPr>
              <w:t>52.9%</w:t>
            </w:r>
          </w:p>
        </w:tc>
        <w:tc>
          <w:tcPr>
            <w:tcW w:w="2239" w:type="dxa"/>
            <w:vMerge/>
            <w:vAlign w:val="bottom"/>
          </w:tcPr>
          <w:p w:rsidR="00F065A2" w:rsidRPr="006B1802" w:rsidRDefault="00F065A2" w:rsidP="00B93A10">
            <w:pPr>
              <w:pStyle w:val="Tablenormal0"/>
              <w:spacing w:after="0" w:line="240" w:lineRule="auto"/>
              <w:jc w:val="center"/>
              <w:rPr>
                <w:rFonts w:ascii="Arial Narrow" w:hAnsi="Arial Narrow"/>
                <w:sz w:val="20"/>
                <w:szCs w:val="20"/>
              </w:rPr>
            </w:pPr>
          </w:p>
        </w:tc>
      </w:tr>
      <w:tr w:rsidR="00F065A2" w:rsidRPr="006B1802" w:rsidTr="00414990">
        <w:trPr>
          <w:trHeight w:val="87"/>
        </w:trPr>
        <w:tc>
          <w:tcPr>
            <w:tcW w:w="1668" w:type="dxa"/>
            <w:tcBorders>
              <w:bottom w:val="single" w:sz="4" w:space="0" w:color="auto"/>
            </w:tcBorders>
          </w:tcPr>
          <w:p w:rsidR="00F065A2" w:rsidRPr="006B1802" w:rsidRDefault="00F065A2" w:rsidP="00B93A10">
            <w:pPr>
              <w:pStyle w:val="Tablenormal0"/>
              <w:spacing w:after="0" w:line="240" w:lineRule="auto"/>
              <w:rPr>
                <w:rFonts w:ascii="Arial Narrow" w:hAnsi="Arial Narrow"/>
                <w:b/>
                <w:color w:val="000000"/>
                <w:sz w:val="20"/>
                <w:szCs w:val="20"/>
                <w:lang w:eastAsia="en-AU"/>
              </w:rPr>
            </w:pPr>
            <w:r w:rsidRPr="006B1802">
              <w:rPr>
                <w:rFonts w:ascii="Arial Narrow" w:hAnsi="Arial Narrow"/>
                <w:sz w:val="20"/>
                <w:szCs w:val="20"/>
              </w:rPr>
              <w:t>Baseline CKD 3B</w:t>
            </w:r>
          </w:p>
        </w:tc>
        <w:tc>
          <w:tcPr>
            <w:tcW w:w="377" w:type="dxa"/>
            <w:tcBorders>
              <w:bottom w:val="single" w:sz="4" w:space="0" w:color="auto"/>
            </w:tcBorders>
            <w:vAlign w:val="center"/>
          </w:tcPr>
          <w:p w:rsidR="00F065A2" w:rsidRPr="006B1802" w:rsidRDefault="00F065A2" w:rsidP="00B93A10">
            <w:pPr>
              <w:pStyle w:val="Tablenormal0"/>
              <w:spacing w:after="0" w:line="240" w:lineRule="auto"/>
              <w:jc w:val="center"/>
              <w:rPr>
                <w:rFonts w:ascii="Arial Narrow" w:hAnsi="Arial Narrow"/>
                <w:color w:val="000000"/>
                <w:sz w:val="20"/>
                <w:szCs w:val="20"/>
                <w:lang w:eastAsia="en-AU"/>
              </w:rPr>
            </w:pPr>
            <w:r w:rsidRPr="006B1802">
              <w:rPr>
                <w:rFonts w:ascii="Arial Narrow" w:hAnsi="Arial Narrow"/>
                <w:color w:val="000000"/>
                <w:sz w:val="20"/>
                <w:szCs w:val="20"/>
                <w:lang w:eastAsia="en-AU"/>
              </w:rPr>
              <w:t>294</w:t>
            </w:r>
          </w:p>
        </w:tc>
        <w:tc>
          <w:tcPr>
            <w:tcW w:w="1560" w:type="dxa"/>
            <w:tcBorders>
              <w:bottom w:val="single" w:sz="4" w:space="0" w:color="auto"/>
            </w:tcBorders>
            <w:vAlign w:val="bottom"/>
          </w:tcPr>
          <w:p w:rsidR="00F065A2" w:rsidRPr="006B1802" w:rsidRDefault="00F065A2" w:rsidP="00B93A10">
            <w:pPr>
              <w:pStyle w:val="Tablenormal0"/>
              <w:spacing w:after="0" w:line="240" w:lineRule="auto"/>
              <w:jc w:val="center"/>
              <w:rPr>
                <w:rFonts w:ascii="Arial Narrow" w:hAnsi="Arial Narrow"/>
                <w:sz w:val="20"/>
                <w:szCs w:val="20"/>
              </w:rPr>
            </w:pPr>
            <w:r w:rsidRPr="006B1802">
              <w:rPr>
                <w:rFonts w:ascii="Arial Narrow" w:hAnsi="Arial Narrow"/>
                <w:sz w:val="20"/>
                <w:szCs w:val="20"/>
              </w:rPr>
              <w:t>-3.344</w:t>
            </w:r>
          </w:p>
        </w:tc>
        <w:tc>
          <w:tcPr>
            <w:tcW w:w="490" w:type="dxa"/>
            <w:tcBorders>
              <w:bottom w:val="single" w:sz="4" w:space="0" w:color="auto"/>
            </w:tcBorders>
            <w:vAlign w:val="center"/>
          </w:tcPr>
          <w:p w:rsidR="00F065A2" w:rsidRPr="006B1802" w:rsidRDefault="00F065A2" w:rsidP="00B93A10">
            <w:pPr>
              <w:pStyle w:val="Tablenormal0"/>
              <w:spacing w:after="0" w:line="240" w:lineRule="auto"/>
              <w:jc w:val="center"/>
              <w:rPr>
                <w:rFonts w:ascii="Arial Narrow" w:hAnsi="Arial Narrow"/>
                <w:color w:val="000000"/>
                <w:sz w:val="20"/>
                <w:szCs w:val="20"/>
                <w:lang w:eastAsia="en-AU"/>
              </w:rPr>
            </w:pPr>
            <w:r w:rsidRPr="006B1802">
              <w:rPr>
                <w:rFonts w:ascii="Arial Narrow" w:hAnsi="Arial Narrow"/>
                <w:color w:val="000000"/>
                <w:sz w:val="20"/>
                <w:szCs w:val="20"/>
                <w:lang w:eastAsia="en-AU"/>
              </w:rPr>
              <w:t>304</w:t>
            </w:r>
          </w:p>
        </w:tc>
        <w:tc>
          <w:tcPr>
            <w:tcW w:w="1559" w:type="dxa"/>
            <w:tcBorders>
              <w:bottom w:val="single" w:sz="4" w:space="0" w:color="auto"/>
            </w:tcBorders>
            <w:vAlign w:val="bottom"/>
          </w:tcPr>
          <w:p w:rsidR="00F065A2" w:rsidRPr="006B1802" w:rsidRDefault="00F065A2" w:rsidP="00B93A10">
            <w:pPr>
              <w:pStyle w:val="Tablenormal0"/>
              <w:spacing w:after="0" w:line="240" w:lineRule="auto"/>
              <w:jc w:val="center"/>
              <w:rPr>
                <w:rFonts w:ascii="Arial Narrow" w:hAnsi="Arial Narrow"/>
                <w:sz w:val="20"/>
                <w:szCs w:val="20"/>
              </w:rPr>
            </w:pPr>
            <w:r w:rsidRPr="006B1802">
              <w:rPr>
                <w:rFonts w:ascii="Arial Narrow" w:hAnsi="Arial Narrow"/>
                <w:sz w:val="20"/>
                <w:szCs w:val="20"/>
              </w:rPr>
              <w:t>-3.982</w:t>
            </w:r>
          </w:p>
        </w:tc>
        <w:tc>
          <w:tcPr>
            <w:tcW w:w="1117" w:type="dxa"/>
            <w:tcBorders>
              <w:bottom w:val="single" w:sz="4" w:space="0" w:color="auto"/>
            </w:tcBorders>
            <w:vAlign w:val="bottom"/>
          </w:tcPr>
          <w:p w:rsidR="00F065A2" w:rsidRPr="006B1802" w:rsidRDefault="00F065A2" w:rsidP="00B93A10">
            <w:pPr>
              <w:pStyle w:val="Tablenormal0"/>
              <w:spacing w:after="0" w:line="240" w:lineRule="auto"/>
              <w:jc w:val="center"/>
              <w:rPr>
                <w:rFonts w:ascii="Arial Narrow" w:hAnsi="Arial Narrow"/>
                <w:sz w:val="20"/>
                <w:szCs w:val="20"/>
              </w:rPr>
            </w:pPr>
            <w:r w:rsidRPr="006B1802">
              <w:rPr>
                <w:rFonts w:ascii="Arial Narrow" w:hAnsi="Arial Narrow"/>
                <w:sz w:val="20"/>
                <w:szCs w:val="20"/>
              </w:rPr>
              <w:t>16.0%</w:t>
            </w:r>
          </w:p>
        </w:tc>
        <w:tc>
          <w:tcPr>
            <w:tcW w:w="2239" w:type="dxa"/>
            <w:vMerge/>
            <w:tcBorders>
              <w:bottom w:val="single" w:sz="4" w:space="0" w:color="auto"/>
            </w:tcBorders>
            <w:vAlign w:val="bottom"/>
          </w:tcPr>
          <w:p w:rsidR="00F065A2" w:rsidRPr="006B1802" w:rsidRDefault="00F065A2" w:rsidP="00B93A10">
            <w:pPr>
              <w:pStyle w:val="Tablenormal0"/>
              <w:spacing w:after="0" w:line="240" w:lineRule="auto"/>
              <w:jc w:val="center"/>
              <w:rPr>
                <w:rFonts w:ascii="Arial Narrow" w:hAnsi="Arial Narrow"/>
                <w:sz w:val="20"/>
                <w:szCs w:val="20"/>
              </w:rPr>
            </w:pPr>
          </w:p>
        </w:tc>
      </w:tr>
      <w:tr w:rsidR="00F065A2" w:rsidRPr="006B1802" w:rsidTr="00414990">
        <w:trPr>
          <w:trHeight w:val="87"/>
        </w:trPr>
        <w:tc>
          <w:tcPr>
            <w:tcW w:w="1668" w:type="dxa"/>
            <w:tcBorders>
              <w:bottom w:val="single" w:sz="4" w:space="0" w:color="auto"/>
            </w:tcBorders>
          </w:tcPr>
          <w:p w:rsidR="00F065A2" w:rsidRPr="006B1802" w:rsidRDefault="00F065A2" w:rsidP="00B93A10">
            <w:pPr>
              <w:pStyle w:val="Tablenormal0"/>
              <w:spacing w:after="0" w:line="240" w:lineRule="auto"/>
              <w:rPr>
                <w:rFonts w:ascii="Arial Narrow" w:hAnsi="Arial Narrow"/>
                <w:b/>
                <w:color w:val="000000"/>
                <w:sz w:val="20"/>
                <w:szCs w:val="20"/>
                <w:lang w:eastAsia="en-AU"/>
              </w:rPr>
            </w:pPr>
            <w:r w:rsidRPr="006B1802">
              <w:rPr>
                <w:rFonts w:ascii="Arial Narrow" w:hAnsi="Arial Narrow"/>
                <w:sz w:val="20"/>
                <w:szCs w:val="20"/>
              </w:rPr>
              <w:t>Baseline CKD 4</w:t>
            </w:r>
          </w:p>
        </w:tc>
        <w:tc>
          <w:tcPr>
            <w:tcW w:w="377" w:type="dxa"/>
            <w:tcBorders>
              <w:bottom w:val="single" w:sz="4" w:space="0" w:color="auto"/>
            </w:tcBorders>
            <w:vAlign w:val="center"/>
          </w:tcPr>
          <w:p w:rsidR="00F065A2" w:rsidRPr="006B1802" w:rsidRDefault="00F065A2" w:rsidP="00B93A10">
            <w:pPr>
              <w:pStyle w:val="Tablenormal0"/>
              <w:spacing w:after="0" w:line="240" w:lineRule="auto"/>
              <w:jc w:val="center"/>
              <w:rPr>
                <w:rFonts w:ascii="Arial Narrow" w:hAnsi="Arial Narrow"/>
                <w:color w:val="000000"/>
                <w:sz w:val="20"/>
                <w:szCs w:val="20"/>
                <w:lang w:eastAsia="en-AU"/>
              </w:rPr>
            </w:pPr>
            <w:r w:rsidRPr="006B1802">
              <w:rPr>
                <w:rFonts w:ascii="Arial Narrow" w:hAnsi="Arial Narrow"/>
                <w:color w:val="000000"/>
                <w:sz w:val="20"/>
                <w:szCs w:val="20"/>
                <w:lang w:eastAsia="en-AU"/>
              </w:rPr>
              <w:t>137</w:t>
            </w:r>
          </w:p>
        </w:tc>
        <w:tc>
          <w:tcPr>
            <w:tcW w:w="1560" w:type="dxa"/>
            <w:tcBorders>
              <w:bottom w:val="single" w:sz="4" w:space="0" w:color="auto"/>
            </w:tcBorders>
            <w:vAlign w:val="bottom"/>
          </w:tcPr>
          <w:p w:rsidR="00F065A2" w:rsidRPr="006B1802" w:rsidRDefault="00F065A2" w:rsidP="00B93A10">
            <w:pPr>
              <w:pStyle w:val="Tablenormal0"/>
              <w:spacing w:after="0" w:line="240" w:lineRule="auto"/>
              <w:jc w:val="center"/>
              <w:rPr>
                <w:rFonts w:ascii="Arial Narrow" w:hAnsi="Arial Narrow"/>
                <w:sz w:val="20"/>
                <w:szCs w:val="20"/>
              </w:rPr>
            </w:pPr>
            <w:r w:rsidRPr="006B1802">
              <w:rPr>
                <w:rFonts w:ascii="Arial Narrow" w:hAnsi="Arial Narrow"/>
                <w:sz w:val="20"/>
                <w:szCs w:val="20"/>
              </w:rPr>
              <w:t>-4.041</w:t>
            </w:r>
          </w:p>
        </w:tc>
        <w:tc>
          <w:tcPr>
            <w:tcW w:w="490" w:type="dxa"/>
            <w:tcBorders>
              <w:bottom w:val="single" w:sz="4" w:space="0" w:color="auto"/>
            </w:tcBorders>
            <w:vAlign w:val="center"/>
          </w:tcPr>
          <w:p w:rsidR="00F065A2" w:rsidRPr="006B1802" w:rsidRDefault="00F065A2" w:rsidP="00B93A10">
            <w:pPr>
              <w:pStyle w:val="Tablenormal0"/>
              <w:spacing w:after="0" w:line="240" w:lineRule="auto"/>
              <w:jc w:val="center"/>
              <w:rPr>
                <w:rFonts w:ascii="Arial Narrow" w:hAnsi="Arial Narrow"/>
                <w:color w:val="000000"/>
                <w:sz w:val="20"/>
                <w:szCs w:val="20"/>
                <w:lang w:eastAsia="en-AU"/>
              </w:rPr>
            </w:pPr>
            <w:r w:rsidRPr="006B1802">
              <w:rPr>
                <w:rFonts w:ascii="Arial Narrow" w:hAnsi="Arial Narrow"/>
                <w:color w:val="000000"/>
                <w:sz w:val="20"/>
                <w:szCs w:val="20"/>
                <w:lang w:eastAsia="en-AU"/>
              </w:rPr>
              <w:t>125</w:t>
            </w:r>
          </w:p>
        </w:tc>
        <w:tc>
          <w:tcPr>
            <w:tcW w:w="1559" w:type="dxa"/>
            <w:tcBorders>
              <w:bottom w:val="single" w:sz="4" w:space="0" w:color="auto"/>
            </w:tcBorders>
            <w:vAlign w:val="bottom"/>
          </w:tcPr>
          <w:p w:rsidR="00F065A2" w:rsidRPr="006B1802" w:rsidRDefault="00F065A2" w:rsidP="00B93A10">
            <w:pPr>
              <w:pStyle w:val="Tablenormal0"/>
              <w:spacing w:after="0" w:line="240" w:lineRule="auto"/>
              <w:jc w:val="center"/>
              <w:rPr>
                <w:rFonts w:ascii="Arial Narrow" w:hAnsi="Arial Narrow"/>
                <w:sz w:val="20"/>
                <w:szCs w:val="20"/>
              </w:rPr>
            </w:pPr>
            <w:r w:rsidRPr="006B1802">
              <w:rPr>
                <w:rFonts w:ascii="Arial Narrow" w:hAnsi="Arial Narrow"/>
                <w:sz w:val="20"/>
                <w:szCs w:val="20"/>
              </w:rPr>
              <w:t>-4.590</w:t>
            </w:r>
          </w:p>
        </w:tc>
        <w:tc>
          <w:tcPr>
            <w:tcW w:w="1117" w:type="dxa"/>
            <w:tcBorders>
              <w:bottom w:val="single" w:sz="4" w:space="0" w:color="auto"/>
            </w:tcBorders>
            <w:vAlign w:val="bottom"/>
          </w:tcPr>
          <w:p w:rsidR="00F065A2" w:rsidRPr="006B1802" w:rsidRDefault="00F065A2" w:rsidP="00B93A10">
            <w:pPr>
              <w:pStyle w:val="Tablenormal0"/>
              <w:spacing w:after="0" w:line="240" w:lineRule="auto"/>
              <w:jc w:val="center"/>
              <w:rPr>
                <w:rFonts w:ascii="Arial Narrow" w:hAnsi="Arial Narrow"/>
                <w:sz w:val="20"/>
                <w:szCs w:val="20"/>
              </w:rPr>
            </w:pPr>
            <w:r w:rsidRPr="006B1802">
              <w:rPr>
                <w:rFonts w:ascii="Arial Narrow" w:hAnsi="Arial Narrow"/>
                <w:sz w:val="20"/>
                <w:szCs w:val="20"/>
              </w:rPr>
              <w:t>12.0%</w:t>
            </w:r>
          </w:p>
        </w:tc>
        <w:tc>
          <w:tcPr>
            <w:tcW w:w="2239" w:type="dxa"/>
            <w:tcBorders>
              <w:bottom w:val="single" w:sz="4" w:space="0" w:color="auto"/>
            </w:tcBorders>
            <w:vAlign w:val="bottom"/>
          </w:tcPr>
          <w:p w:rsidR="00F065A2" w:rsidRPr="006B1802" w:rsidRDefault="00F065A2" w:rsidP="00B93A10">
            <w:pPr>
              <w:pStyle w:val="Tablenormal0"/>
              <w:spacing w:after="0" w:line="240" w:lineRule="auto"/>
              <w:jc w:val="center"/>
              <w:rPr>
                <w:rFonts w:ascii="Arial Narrow" w:hAnsi="Arial Narrow"/>
                <w:sz w:val="20"/>
                <w:szCs w:val="20"/>
              </w:rPr>
            </w:pPr>
            <w:r w:rsidRPr="006B1802">
              <w:rPr>
                <w:rFonts w:ascii="Arial Narrow" w:hAnsi="Arial Narrow"/>
                <w:sz w:val="20"/>
                <w:szCs w:val="20"/>
              </w:rPr>
              <w:t>NA</w:t>
            </w:r>
          </w:p>
        </w:tc>
      </w:tr>
    </w:tbl>
    <w:p w:rsidR="00F065A2" w:rsidRPr="006B1802" w:rsidRDefault="00F065A2" w:rsidP="00B93A10">
      <w:pPr>
        <w:pStyle w:val="TableFooter0"/>
        <w:spacing w:after="0"/>
        <w:rPr>
          <w:rFonts w:ascii="Arial Narrow" w:hAnsi="Arial Narrow"/>
          <w:sz w:val="18"/>
          <w:szCs w:val="18"/>
        </w:rPr>
      </w:pPr>
      <w:proofErr w:type="gramStart"/>
      <w:r w:rsidRPr="006B1802">
        <w:rPr>
          <w:rFonts w:ascii="Arial Narrow" w:hAnsi="Arial Narrow"/>
          <w:sz w:val="18"/>
          <w:szCs w:val="18"/>
          <w:vertAlign w:val="superscript"/>
        </w:rPr>
        <w:t>a</w:t>
      </w:r>
      <w:proofErr w:type="gramEnd"/>
      <w:r w:rsidRPr="006B1802">
        <w:rPr>
          <w:rFonts w:ascii="Arial Narrow" w:hAnsi="Arial Narrow"/>
          <w:sz w:val="18"/>
          <w:szCs w:val="18"/>
        </w:rPr>
        <w:t xml:space="preserve"> ([29.1% × [465 + 224]] + [31.0% × [163+84]]) / (465 + 224 + 163 + 84).</w:t>
      </w:r>
    </w:p>
    <w:p w:rsidR="00F065A2" w:rsidRPr="006B1802" w:rsidRDefault="00F065A2" w:rsidP="00B93A10">
      <w:pPr>
        <w:pStyle w:val="TableFooter0"/>
        <w:spacing w:after="0"/>
        <w:rPr>
          <w:rFonts w:ascii="Arial Narrow" w:hAnsi="Arial Narrow"/>
          <w:sz w:val="18"/>
          <w:szCs w:val="18"/>
        </w:rPr>
      </w:pPr>
      <w:proofErr w:type="gramStart"/>
      <w:r w:rsidRPr="006B1802">
        <w:rPr>
          <w:rFonts w:ascii="Arial Narrow" w:hAnsi="Arial Narrow"/>
          <w:sz w:val="18"/>
          <w:szCs w:val="18"/>
          <w:vertAlign w:val="superscript"/>
        </w:rPr>
        <w:t>b</w:t>
      </w:r>
      <w:proofErr w:type="gramEnd"/>
      <w:r w:rsidRPr="006B1802">
        <w:rPr>
          <w:rFonts w:ascii="Arial Narrow" w:hAnsi="Arial Narrow"/>
          <w:sz w:val="18"/>
          <w:szCs w:val="18"/>
        </w:rPr>
        <w:t xml:space="preserve"> ([88.2% × [31 + 38]] + [30.9% × [206 + 196 + 294 + 304]]) / (31 + 38 + 206 + 196 + 294 + 304). Note that 30.9% was the weighted average of 52.9% and 16.0%.</w:t>
      </w:r>
    </w:p>
    <w:p w:rsidR="00F065A2" w:rsidRPr="006B1802" w:rsidRDefault="00F065A2" w:rsidP="00B93A10">
      <w:pPr>
        <w:pStyle w:val="TableFooter0"/>
        <w:spacing w:after="0"/>
        <w:rPr>
          <w:rFonts w:ascii="Arial Narrow" w:hAnsi="Arial Narrow"/>
          <w:sz w:val="18"/>
          <w:szCs w:val="18"/>
        </w:rPr>
      </w:pPr>
      <w:proofErr w:type="gramStart"/>
      <w:r w:rsidRPr="006B1802">
        <w:rPr>
          <w:rFonts w:ascii="Arial Narrow" w:hAnsi="Arial Narrow"/>
          <w:sz w:val="18"/>
          <w:szCs w:val="18"/>
          <w:vertAlign w:val="superscript"/>
        </w:rPr>
        <w:t>c</w:t>
      </w:r>
      <w:proofErr w:type="gramEnd"/>
      <w:r w:rsidRPr="006B1802">
        <w:rPr>
          <w:rFonts w:ascii="Arial Narrow" w:hAnsi="Arial Narrow"/>
          <w:sz w:val="18"/>
          <w:szCs w:val="18"/>
        </w:rPr>
        <w:t xml:space="preserve"> Based on weighted ANCOVA method (refer to Table 5 of the March 2018 PBAC Minutes). The result</w:t>
      </w:r>
      <w:r w:rsidR="006A4D78">
        <w:rPr>
          <w:rFonts w:ascii="Arial Narrow" w:hAnsi="Arial Narrow"/>
          <w:sz w:val="18"/>
          <w:szCs w:val="18"/>
        </w:rPr>
        <w:t xml:space="preserve"> using the linear mixed effect </w:t>
      </w:r>
      <w:r w:rsidRPr="006B1802">
        <w:rPr>
          <w:rFonts w:ascii="Arial Narrow" w:hAnsi="Arial Narrow"/>
          <w:sz w:val="18"/>
          <w:szCs w:val="18"/>
        </w:rPr>
        <w:t xml:space="preserve">model was 26.4% (refer to Table 7 of the March 2018 PBAC Minutes). </w:t>
      </w:r>
    </w:p>
    <w:p w:rsidR="00F065A2" w:rsidRPr="006B1802" w:rsidRDefault="00F065A2" w:rsidP="00B93A10">
      <w:pPr>
        <w:pStyle w:val="TableFooter0"/>
        <w:spacing w:after="0"/>
        <w:rPr>
          <w:rFonts w:ascii="Arial Narrow" w:hAnsi="Arial Narrow"/>
          <w:sz w:val="18"/>
          <w:szCs w:val="18"/>
        </w:rPr>
      </w:pPr>
      <w:r w:rsidRPr="006B1802">
        <w:rPr>
          <w:rFonts w:ascii="Arial Narrow" w:hAnsi="Arial Narrow"/>
          <w:sz w:val="18"/>
          <w:szCs w:val="18"/>
        </w:rPr>
        <w:t>Abbreviations: CKD, chronic kidney disease; eGFR, estimated glomerular filtration rate; NA, not applicable.</w:t>
      </w:r>
    </w:p>
    <w:p w:rsidR="00F065A2" w:rsidRPr="006B1802" w:rsidRDefault="00F065A2" w:rsidP="00B93A10">
      <w:pPr>
        <w:pStyle w:val="TableFooter0"/>
        <w:spacing w:afterLines="160" w:after="384"/>
        <w:rPr>
          <w:rFonts w:ascii="Arial Narrow" w:hAnsi="Arial Narrow"/>
          <w:sz w:val="18"/>
          <w:szCs w:val="18"/>
        </w:rPr>
      </w:pPr>
      <w:r w:rsidRPr="006B1802">
        <w:rPr>
          <w:rFonts w:ascii="Arial Narrow" w:hAnsi="Arial Narrow"/>
          <w:sz w:val="18"/>
          <w:szCs w:val="18"/>
        </w:rPr>
        <w:t xml:space="preserve">Source: Tables 5 and 7 of the Tolvaptan Minutes March 2018, Table 3.4.1, p 7.06.COM.69, of the March 2018 commentary </w:t>
      </w:r>
    </w:p>
    <w:p w:rsidR="00F065A2" w:rsidRPr="006B1802" w:rsidRDefault="00932294" w:rsidP="00B93A10">
      <w:pPr>
        <w:numPr>
          <w:ilvl w:val="1"/>
          <w:numId w:val="5"/>
        </w:numPr>
        <w:jc w:val="both"/>
        <w:rPr>
          <w:rFonts w:asciiTheme="minorHAnsi" w:hAnsiTheme="minorHAnsi"/>
        </w:rPr>
      </w:pPr>
      <w:r w:rsidRPr="006B1802">
        <w:rPr>
          <w:rFonts w:asciiTheme="minorHAnsi" w:hAnsiTheme="minorHAnsi"/>
        </w:rPr>
        <w:t>D</w:t>
      </w:r>
      <w:r w:rsidR="00F065A2" w:rsidRPr="006B1802">
        <w:rPr>
          <w:rFonts w:asciiTheme="minorHAnsi" w:hAnsiTheme="minorHAnsi"/>
        </w:rPr>
        <w:t>uring preparation of the minor overview it was noted that the revised base case was not conservative because:</w:t>
      </w:r>
    </w:p>
    <w:p w:rsidR="00F065A2" w:rsidRPr="006B1802" w:rsidRDefault="00F065A2" w:rsidP="00B93A10">
      <w:pPr>
        <w:pStyle w:val="ListParagraph"/>
        <w:widowControl/>
        <w:numPr>
          <w:ilvl w:val="0"/>
          <w:numId w:val="22"/>
        </w:numPr>
        <w:ind w:left="1134" w:hanging="425"/>
        <w:rPr>
          <w:rFonts w:asciiTheme="minorHAnsi" w:hAnsiTheme="minorHAnsi"/>
          <w:sz w:val="24"/>
          <w:szCs w:val="24"/>
        </w:rPr>
      </w:pPr>
      <w:r w:rsidRPr="006B1802">
        <w:rPr>
          <w:rFonts w:asciiTheme="minorHAnsi" w:hAnsiTheme="minorHAnsi"/>
          <w:sz w:val="24"/>
          <w:szCs w:val="24"/>
        </w:rPr>
        <w:t xml:space="preserve">The tolvaptan treatment effect applied in the economic model was unchanged despite the March 2018 PBAC considering that “the change in eGFR was at best very small, and quantifying the subsequent impact on ESKD would be very uncertain” (Paragraph 7.9, Tolvaptan </w:t>
      </w:r>
      <w:r w:rsidR="00621175">
        <w:rPr>
          <w:rFonts w:asciiTheme="minorHAnsi" w:hAnsiTheme="minorHAnsi"/>
          <w:sz w:val="24"/>
          <w:szCs w:val="24"/>
        </w:rPr>
        <w:t>PSD</w:t>
      </w:r>
      <w:r w:rsidRPr="006B1802">
        <w:rPr>
          <w:rFonts w:asciiTheme="minorHAnsi" w:hAnsiTheme="minorHAnsi"/>
          <w:sz w:val="24"/>
          <w:szCs w:val="24"/>
        </w:rPr>
        <w:t xml:space="preserve"> March 2018). As such, the minor resubmission applied a relative reduction in eGFR decline of 29.6% in the TEMPO 3:4 sub-population and 34.6% in the REPRISE sub-population (unchanged from the March 2018 submission). This resulted in tolvaptan treatment delaying progression to ESRD by 2.1 years (the model </w:t>
      </w:r>
      <w:r w:rsidR="00AB35BC" w:rsidRPr="006B1802">
        <w:rPr>
          <w:rFonts w:asciiTheme="minorHAnsi" w:hAnsiTheme="minorHAnsi"/>
          <w:sz w:val="24"/>
          <w:szCs w:val="24"/>
        </w:rPr>
        <w:t>estimated</w:t>
      </w:r>
      <w:r w:rsidRPr="006B1802">
        <w:rPr>
          <w:rFonts w:asciiTheme="minorHAnsi" w:hAnsiTheme="minorHAnsi"/>
          <w:sz w:val="24"/>
          <w:szCs w:val="24"/>
        </w:rPr>
        <w:t xml:space="preserve"> that progression to ESKD would take 12.4 versus 10.3 years in the tolvaptan and placebo arms respectively for the TEMPO 3:4 sub-population, and 8.2 versus 6.1 years, in the tolvaptan and placebo arms respectively for the REPRISE sub-population). </w:t>
      </w:r>
    </w:p>
    <w:p w:rsidR="00F065A2" w:rsidRPr="006B1802" w:rsidRDefault="00F065A2" w:rsidP="00B93A10">
      <w:pPr>
        <w:pStyle w:val="ListParagraph"/>
        <w:widowControl/>
        <w:numPr>
          <w:ilvl w:val="0"/>
          <w:numId w:val="22"/>
        </w:numPr>
        <w:ind w:left="1134" w:hanging="425"/>
        <w:rPr>
          <w:rFonts w:asciiTheme="minorHAnsi" w:hAnsiTheme="minorHAnsi"/>
          <w:sz w:val="24"/>
          <w:szCs w:val="24"/>
        </w:rPr>
      </w:pPr>
      <w:r w:rsidRPr="006B1802">
        <w:rPr>
          <w:rFonts w:asciiTheme="minorHAnsi" w:hAnsiTheme="minorHAnsi"/>
          <w:sz w:val="24"/>
          <w:szCs w:val="24"/>
        </w:rPr>
        <w:t>Sub-populations from the trials were used, rather than the ITT (unchanged from the March 2018 submission), which was not conservative as the effect size was smaller and the rate of disease progression was slower in the ITT populations. The sub-populations were based on individual patient data from the TEMPO 3:4 and REPRISE placebo arms, filtered post-hoc by the eligibility criteria of the  restriction</w:t>
      </w:r>
      <w:r w:rsidR="0080214C" w:rsidRPr="006B1802">
        <w:rPr>
          <w:rFonts w:asciiTheme="minorHAnsi" w:hAnsiTheme="minorHAnsi"/>
          <w:sz w:val="24"/>
          <w:szCs w:val="24"/>
        </w:rPr>
        <w:t xml:space="preserve"> requested in the March 2018 submission</w:t>
      </w:r>
      <w:r w:rsidRPr="006B1802">
        <w:rPr>
          <w:rFonts w:asciiTheme="minorHAnsi" w:hAnsiTheme="minorHAnsi"/>
          <w:sz w:val="24"/>
          <w:szCs w:val="24"/>
        </w:rPr>
        <w:t>:</w:t>
      </w:r>
    </w:p>
    <w:p w:rsidR="00F065A2" w:rsidRPr="006B1802" w:rsidRDefault="00F065A2" w:rsidP="00B93A10">
      <w:pPr>
        <w:pStyle w:val="ListParagraph"/>
        <w:widowControl/>
        <w:numPr>
          <w:ilvl w:val="1"/>
          <w:numId w:val="23"/>
        </w:numPr>
        <w:rPr>
          <w:rFonts w:asciiTheme="minorHAnsi" w:hAnsiTheme="minorHAnsi"/>
          <w:sz w:val="24"/>
          <w:szCs w:val="24"/>
        </w:rPr>
      </w:pPr>
      <w:r w:rsidRPr="006B1802">
        <w:rPr>
          <w:rFonts w:asciiTheme="minorHAnsi" w:hAnsiTheme="minorHAnsi"/>
          <w:sz w:val="24"/>
          <w:szCs w:val="24"/>
        </w:rPr>
        <w:lastRenderedPageBreak/>
        <w:t>PBS sub-population A: based on TEMPO 3:4 data filtered for age: 18-50 years; kidney function: eGFR &lt;90 mL/min/1.73 m</w:t>
      </w:r>
      <w:r w:rsidRPr="006B1802">
        <w:rPr>
          <w:rFonts w:asciiTheme="minorHAnsi" w:hAnsiTheme="minorHAnsi"/>
          <w:sz w:val="24"/>
          <w:szCs w:val="24"/>
          <w:vertAlign w:val="superscript"/>
        </w:rPr>
        <w:t>2</w:t>
      </w:r>
      <w:r w:rsidRPr="006B1802">
        <w:rPr>
          <w:rFonts w:asciiTheme="minorHAnsi" w:hAnsiTheme="minorHAnsi"/>
          <w:sz w:val="24"/>
          <w:szCs w:val="24"/>
        </w:rPr>
        <w:t>; and rapidly progressing disease: eGFR decline ≥2.5 mL/min/1.73 m</w:t>
      </w:r>
      <w:r w:rsidRPr="006B1802">
        <w:rPr>
          <w:rFonts w:asciiTheme="minorHAnsi" w:hAnsiTheme="minorHAnsi"/>
          <w:sz w:val="24"/>
          <w:szCs w:val="24"/>
          <w:vertAlign w:val="superscript"/>
        </w:rPr>
        <w:t>2</w:t>
      </w:r>
      <w:r w:rsidRPr="006B1802">
        <w:rPr>
          <w:rFonts w:asciiTheme="minorHAnsi" w:hAnsiTheme="minorHAnsi"/>
          <w:sz w:val="24"/>
          <w:szCs w:val="24"/>
        </w:rPr>
        <w:t>/year.</w:t>
      </w:r>
    </w:p>
    <w:p w:rsidR="00F065A2" w:rsidRPr="006B1802" w:rsidRDefault="00F065A2" w:rsidP="00B93A10">
      <w:pPr>
        <w:pStyle w:val="ListParagraph"/>
        <w:widowControl/>
        <w:numPr>
          <w:ilvl w:val="1"/>
          <w:numId w:val="23"/>
        </w:numPr>
        <w:rPr>
          <w:rFonts w:asciiTheme="minorHAnsi" w:hAnsiTheme="minorHAnsi"/>
          <w:sz w:val="24"/>
          <w:szCs w:val="24"/>
        </w:rPr>
      </w:pPr>
      <w:r w:rsidRPr="006B1802">
        <w:rPr>
          <w:rFonts w:asciiTheme="minorHAnsi" w:hAnsiTheme="minorHAnsi"/>
          <w:sz w:val="24"/>
          <w:szCs w:val="24"/>
        </w:rPr>
        <w:t>PBS sub-population B: based on REPRISE data filtered for (</w:t>
      </w:r>
      <w:proofErr w:type="spellStart"/>
      <w:r w:rsidRPr="006B1802">
        <w:rPr>
          <w:rFonts w:asciiTheme="minorHAnsi" w:hAnsiTheme="minorHAnsi"/>
          <w:sz w:val="24"/>
          <w:szCs w:val="24"/>
        </w:rPr>
        <w:t>i</w:t>
      </w:r>
      <w:proofErr w:type="spellEnd"/>
      <w:r w:rsidRPr="006B1802">
        <w:rPr>
          <w:rFonts w:asciiTheme="minorHAnsi" w:hAnsiTheme="minorHAnsi"/>
          <w:sz w:val="24"/>
          <w:szCs w:val="24"/>
        </w:rPr>
        <w:t>) age: 18-55 years; kidney function: eGFR 30-65 mL/min/1.73 m</w:t>
      </w:r>
      <w:r w:rsidRPr="006B1802">
        <w:rPr>
          <w:rFonts w:asciiTheme="minorHAnsi" w:hAnsiTheme="minorHAnsi"/>
          <w:sz w:val="24"/>
          <w:szCs w:val="24"/>
          <w:vertAlign w:val="superscript"/>
        </w:rPr>
        <w:t>2</w:t>
      </w:r>
      <w:r w:rsidRPr="006B1802">
        <w:rPr>
          <w:rFonts w:asciiTheme="minorHAnsi" w:hAnsiTheme="minorHAnsi"/>
          <w:sz w:val="24"/>
          <w:szCs w:val="24"/>
        </w:rPr>
        <w:t>; and rapidly progressing disease: eGFR decline ≥2.5 mL/min/1.73 m</w:t>
      </w:r>
      <w:r w:rsidRPr="006B1802">
        <w:rPr>
          <w:rFonts w:asciiTheme="minorHAnsi" w:hAnsiTheme="minorHAnsi"/>
          <w:sz w:val="24"/>
          <w:szCs w:val="24"/>
          <w:vertAlign w:val="superscript"/>
        </w:rPr>
        <w:t>2</w:t>
      </w:r>
      <w:r w:rsidRPr="006B1802">
        <w:rPr>
          <w:rFonts w:asciiTheme="minorHAnsi" w:hAnsiTheme="minorHAnsi"/>
          <w:sz w:val="24"/>
          <w:szCs w:val="24"/>
        </w:rPr>
        <w:t>/year; OR (ii) age: 56-65 years; kidney function: eGFR 30-44 mL/min/1.73 m</w:t>
      </w:r>
      <w:r w:rsidRPr="006B1802">
        <w:rPr>
          <w:rFonts w:asciiTheme="minorHAnsi" w:hAnsiTheme="minorHAnsi"/>
          <w:sz w:val="24"/>
          <w:szCs w:val="24"/>
          <w:vertAlign w:val="superscript"/>
        </w:rPr>
        <w:t>2</w:t>
      </w:r>
      <w:r w:rsidRPr="006B1802">
        <w:rPr>
          <w:rFonts w:asciiTheme="minorHAnsi" w:hAnsiTheme="minorHAnsi"/>
          <w:sz w:val="24"/>
          <w:szCs w:val="24"/>
        </w:rPr>
        <w:t>; and rapidly progressing disease: eGFR decline ≥2.5 mL/min/1.73 m</w:t>
      </w:r>
      <w:r w:rsidRPr="006B1802">
        <w:rPr>
          <w:rFonts w:asciiTheme="minorHAnsi" w:hAnsiTheme="minorHAnsi"/>
          <w:sz w:val="24"/>
          <w:szCs w:val="24"/>
          <w:vertAlign w:val="superscript"/>
        </w:rPr>
        <w:t>2</w:t>
      </w:r>
      <w:r w:rsidRPr="006B1802">
        <w:rPr>
          <w:rFonts w:asciiTheme="minorHAnsi" w:hAnsiTheme="minorHAnsi"/>
          <w:sz w:val="24"/>
          <w:szCs w:val="24"/>
        </w:rPr>
        <w:t>/year.</w:t>
      </w:r>
    </w:p>
    <w:p w:rsidR="009A4AF8" w:rsidRPr="006B1802" w:rsidRDefault="00F065A2" w:rsidP="00B93A10">
      <w:pPr>
        <w:pStyle w:val="ListParagraph"/>
        <w:widowControl/>
        <w:numPr>
          <w:ilvl w:val="0"/>
          <w:numId w:val="22"/>
        </w:numPr>
        <w:ind w:left="1134" w:hanging="425"/>
        <w:contextualSpacing w:val="0"/>
        <w:rPr>
          <w:rFonts w:asciiTheme="minorHAnsi" w:hAnsiTheme="minorHAnsi"/>
          <w:sz w:val="24"/>
          <w:szCs w:val="24"/>
        </w:rPr>
      </w:pPr>
      <w:r w:rsidRPr="006B1802">
        <w:rPr>
          <w:rFonts w:asciiTheme="minorHAnsi" w:hAnsiTheme="minorHAnsi"/>
          <w:sz w:val="24"/>
          <w:szCs w:val="24"/>
        </w:rPr>
        <w:t>As part of using sub-populations (rather than the ITT), only patients with rapid disease progression were included in the model (annualised eGFR decline of ≥2.5 mL/min/1.73 m</w:t>
      </w:r>
      <w:r w:rsidRPr="006B1802">
        <w:rPr>
          <w:rFonts w:asciiTheme="minorHAnsi" w:hAnsiTheme="minorHAnsi"/>
          <w:sz w:val="24"/>
          <w:szCs w:val="24"/>
          <w:vertAlign w:val="superscript"/>
        </w:rPr>
        <w:t>2</w:t>
      </w:r>
      <w:r w:rsidRPr="006B1802">
        <w:rPr>
          <w:rFonts w:asciiTheme="minorHAnsi" w:hAnsiTheme="minorHAnsi"/>
          <w:sz w:val="24"/>
          <w:szCs w:val="24"/>
        </w:rPr>
        <w:t>/year over the maximum period of available data for each patient). This is likely to have excluded patients who would qualify for treatment under the requested restriction which specifies ‘rapidly progressing disease’ without this specific definition. The resubmission acknowledged that the modelled population was not aligned with the proposed PBS restriction, but considered that this issue was addressed through the proposed RSA with a hard financial cap based on the resubmission’s estimate of 15% of the ADPKD population. The resubmission stated that, “given that half the ADPKD will experience end stage kidney disease by the age of 60, the population being funded on the PBS does have rapid disease progression”.</w:t>
      </w:r>
    </w:p>
    <w:p w:rsidR="00525DE6" w:rsidRPr="006B1802" w:rsidRDefault="00525DE6" w:rsidP="00B93A10">
      <w:pPr>
        <w:numPr>
          <w:ilvl w:val="1"/>
          <w:numId w:val="5"/>
        </w:numPr>
        <w:spacing w:after="120"/>
        <w:jc w:val="both"/>
        <w:rPr>
          <w:rFonts w:asciiTheme="minorHAnsi" w:hAnsiTheme="minorHAnsi"/>
        </w:rPr>
      </w:pPr>
      <w:r w:rsidRPr="006B1802">
        <w:rPr>
          <w:rFonts w:asciiTheme="minorHAnsi" w:hAnsiTheme="minorHAnsi"/>
        </w:rPr>
        <w:t xml:space="preserve">Further, the structure of the economic model may not have been </w:t>
      </w:r>
      <w:r w:rsidR="00AB35BC" w:rsidRPr="006B1802">
        <w:rPr>
          <w:rFonts w:asciiTheme="minorHAnsi" w:hAnsiTheme="minorHAnsi"/>
        </w:rPr>
        <w:t>appropriate</w:t>
      </w:r>
      <w:r w:rsidRPr="006B1802">
        <w:rPr>
          <w:rFonts w:asciiTheme="minorHAnsi" w:hAnsiTheme="minorHAnsi"/>
        </w:rPr>
        <w:t xml:space="preserve"> because:</w:t>
      </w:r>
    </w:p>
    <w:p w:rsidR="00525DE6" w:rsidRPr="006B1802" w:rsidRDefault="00525DE6" w:rsidP="00B93A10">
      <w:pPr>
        <w:pStyle w:val="ListParagraph"/>
        <w:widowControl/>
        <w:numPr>
          <w:ilvl w:val="0"/>
          <w:numId w:val="22"/>
        </w:numPr>
        <w:ind w:left="1134" w:hanging="425"/>
        <w:rPr>
          <w:rFonts w:asciiTheme="minorHAnsi" w:hAnsiTheme="minorHAnsi"/>
          <w:sz w:val="24"/>
          <w:szCs w:val="24"/>
        </w:rPr>
      </w:pPr>
      <w:r w:rsidRPr="006B1802">
        <w:rPr>
          <w:rFonts w:asciiTheme="minorHAnsi" w:hAnsiTheme="minorHAnsi"/>
          <w:sz w:val="24"/>
          <w:szCs w:val="24"/>
        </w:rPr>
        <w:t>The model assumed that the tolvaptan treatment effect would continue unchanged for the entire duration that a patient remains on treatment. That is, the reduction in eGFR decline of 29.6% or 34.6% (which was based on 1-3 years of clinical trial follow-up from TEMPO 3:4 or REPRISE, respectively), was assumed to continue for up to 40 years for some individuals in the TEMPO base case and up to 26 years in the REPRISE base case. There are limited long term data to support the continuing treatment effect over time. To address this, the minor resubmission provided a sensitivity analysis wherein the tolvaptan treatment effect was reduced (halved) after 5 or 10 years of treatment (discussed further below).</w:t>
      </w:r>
    </w:p>
    <w:p w:rsidR="00525DE6" w:rsidRPr="006B1802" w:rsidRDefault="00525DE6" w:rsidP="00B93A10">
      <w:pPr>
        <w:pStyle w:val="ListParagraph"/>
        <w:widowControl/>
        <w:numPr>
          <w:ilvl w:val="0"/>
          <w:numId w:val="22"/>
        </w:numPr>
        <w:ind w:left="1134" w:hanging="425"/>
        <w:rPr>
          <w:rFonts w:asciiTheme="minorHAnsi" w:hAnsiTheme="minorHAnsi"/>
          <w:sz w:val="24"/>
          <w:szCs w:val="24"/>
        </w:rPr>
      </w:pPr>
      <w:r w:rsidRPr="006B1802">
        <w:rPr>
          <w:rFonts w:asciiTheme="minorHAnsi" w:hAnsiTheme="minorHAnsi"/>
          <w:sz w:val="24"/>
          <w:szCs w:val="24"/>
        </w:rPr>
        <w:t>The model did not account for the acute hemodynamic effects associated with tolvaptan treatment (5-10% reduction in eGFR). The resubmission stated that the price reduction (16.7%) “</w:t>
      </w:r>
      <w:proofErr w:type="gramStart"/>
      <w:r w:rsidRPr="006B1802">
        <w:rPr>
          <w:rFonts w:asciiTheme="minorHAnsi" w:hAnsiTheme="minorHAnsi"/>
          <w:sz w:val="24"/>
          <w:szCs w:val="24"/>
        </w:rPr>
        <w:t>should</w:t>
      </w:r>
      <w:proofErr w:type="gramEnd"/>
      <w:r w:rsidRPr="006B1802">
        <w:rPr>
          <w:rFonts w:asciiTheme="minorHAnsi" w:hAnsiTheme="minorHAnsi"/>
          <w:sz w:val="24"/>
          <w:szCs w:val="24"/>
        </w:rPr>
        <w:t xml:space="preserve"> account for any residual uncertainty associated with any potential acute hemodynamic effects”. No other adjustments were made in the economic analysis to </w:t>
      </w:r>
      <w:r w:rsidR="0008323D" w:rsidRPr="006B1802">
        <w:rPr>
          <w:rFonts w:asciiTheme="minorHAnsi" w:hAnsiTheme="minorHAnsi"/>
          <w:sz w:val="24"/>
          <w:szCs w:val="24"/>
        </w:rPr>
        <w:t xml:space="preserve">account </w:t>
      </w:r>
      <w:r w:rsidRPr="006B1802">
        <w:rPr>
          <w:rFonts w:asciiTheme="minorHAnsi" w:hAnsiTheme="minorHAnsi"/>
          <w:sz w:val="24"/>
          <w:szCs w:val="24"/>
        </w:rPr>
        <w:t>for this.</w:t>
      </w:r>
    </w:p>
    <w:p w:rsidR="00525DE6" w:rsidRPr="006B1802" w:rsidRDefault="00525DE6" w:rsidP="00B93A10">
      <w:pPr>
        <w:pStyle w:val="ListParagraph"/>
        <w:widowControl/>
        <w:numPr>
          <w:ilvl w:val="0"/>
          <w:numId w:val="22"/>
        </w:numPr>
        <w:ind w:left="1134" w:hanging="425"/>
        <w:rPr>
          <w:rFonts w:asciiTheme="minorHAnsi" w:hAnsiTheme="minorHAnsi"/>
          <w:sz w:val="24"/>
          <w:szCs w:val="24"/>
        </w:rPr>
      </w:pPr>
      <w:r w:rsidRPr="006B1802">
        <w:rPr>
          <w:rFonts w:asciiTheme="minorHAnsi" w:hAnsiTheme="minorHAnsi"/>
          <w:sz w:val="24"/>
          <w:szCs w:val="24"/>
        </w:rPr>
        <w:t>The tolvaptan treatment effect was applied based on the weighted slope reductions across the health states CK</w:t>
      </w:r>
      <w:r w:rsidR="004D6F76" w:rsidRPr="006B1802">
        <w:rPr>
          <w:rFonts w:asciiTheme="minorHAnsi" w:hAnsiTheme="minorHAnsi"/>
          <w:sz w:val="24"/>
          <w:szCs w:val="24"/>
        </w:rPr>
        <w:t xml:space="preserve">D </w:t>
      </w:r>
      <w:r w:rsidRPr="006B1802">
        <w:rPr>
          <w:rFonts w:asciiTheme="minorHAnsi" w:hAnsiTheme="minorHAnsi"/>
          <w:sz w:val="24"/>
          <w:szCs w:val="24"/>
        </w:rPr>
        <w:t>2 to CK</w:t>
      </w:r>
      <w:r w:rsidR="004D6F76" w:rsidRPr="006B1802">
        <w:rPr>
          <w:rFonts w:asciiTheme="minorHAnsi" w:hAnsiTheme="minorHAnsi"/>
          <w:sz w:val="24"/>
          <w:szCs w:val="24"/>
        </w:rPr>
        <w:t xml:space="preserve">D </w:t>
      </w:r>
      <w:r w:rsidRPr="006B1802">
        <w:rPr>
          <w:rFonts w:asciiTheme="minorHAnsi" w:hAnsiTheme="minorHAnsi"/>
          <w:sz w:val="24"/>
          <w:szCs w:val="24"/>
        </w:rPr>
        <w:t>4 (based on efficacy in states CK</w:t>
      </w:r>
      <w:r w:rsidR="004D6F76" w:rsidRPr="006B1802">
        <w:rPr>
          <w:rFonts w:asciiTheme="minorHAnsi" w:hAnsiTheme="minorHAnsi"/>
          <w:sz w:val="24"/>
          <w:szCs w:val="24"/>
        </w:rPr>
        <w:t xml:space="preserve">D </w:t>
      </w:r>
      <w:r w:rsidRPr="006B1802">
        <w:rPr>
          <w:rFonts w:asciiTheme="minorHAnsi" w:hAnsiTheme="minorHAnsi"/>
          <w:sz w:val="24"/>
          <w:szCs w:val="24"/>
        </w:rPr>
        <w:t>2 and CK</w:t>
      </w:r>
      <w:r w:rsidR="004D6F76" w:rsidRPr="006B1802">
        <w:rPr>
          <w:rFonts w:asciiTheme="minorHAnsi" w:hAnsiTheme="minorHAnsi"/>
          <w:sz w:val="24"/>
          <w:szCs w:val="24"/>
        </w:rPr>
        <w:t xml:space="preserve">D </w:t>
      </w:r>
      <w:r w:rsidRPr="006B1802">
        <w:rPr>
          <w:rFonts w:asciiTheme="minorHAnsi" w:hAnsiTheme="minorHAnsi"/>
          <w:sz w:val="24"/>
          <w:szCs w:val="24"/>
        </w:rPr>
        <w:t>3) rather than applying the actual slope reduction in each of the relevant stages of kidney disease. This was not conservative (e.g. for the TEMPO</w:t>
      </w:r>
      <w:r w:rsidRPr="006B1802">
        <w:rPr>
          <w:rFonts w:asciiTheme="minorHAnsi" w:hAnsiTheme="minorHAnsi"/>
          <w:i/>
          <w:sz w:val="24"/>
          <w:szCs w:val="24"/>
        </w:rPr>
        <w:t xml:space="preserve"> </w:t>
      </w:r>
      <w:r w:rsidRPr="006B1802">
        <w:rPr>
          <w:rFonts w:asciiTheme="minorHAnsi" w:hAnsiTheme="minorHAnsi"/>
          <w:sz w:val="24"/>
          <w:szCs w:val="24"/>
        </w:rPr>
        <w:t>3:4 trial, a weighted mean reduction of 29.6% was applied across CKD 2 to 4 rather than applying 29.1% in CKD</w:t>
      </w:r>
      <w:r w:rsidR="004D6F76" w:rsidRPr="006B1802">
        <w:rPr>
          <w:rFonts w:asciiTheme="minorHAnsi" w:hAnsiTheme="minorHAnsi"/>
          <w:sz w:val="24"/>
          <w:szCs w:val="24"/>
        </w:rPr>
        <w:t xml:space="preserve"> </w:t>
      </w:r>
      <w:r w:rsidRPr="006B1802">
        <w:rPr>
          <w:rFonts w:asciiTheme="minorHAnsi" w:hAnsiTheme="minorHAnsi"/>
          <w:sz w:val="24"/>
          <w:szCs w:val="24"/>
        </w:rPr>
        <w:t xml:space="preserve">2 and 31% in CKD 3 as had been observed in </w:t>
      </w:r>
      <w:r w:rsidRPr="006B1802">
        <w:rPr>
          <w:rFonts w:asciiTheme="minorHAnsi" w:hAnsiTheme="minorHAnsi"/>
          <w:sz w:val="24"/>
          <w:szCs w:val="24"/>
        </w:rPr>
        <w:lastRenderedPageBreak/>
        <w:t>the trial). Further, different methods were used to derive the tolvaptan treatment effect between TEMPO 3:4 and REPRISE (i.e. linear mixed effects model versus weighted ANCOVA, respectively). For REPRISE, this was not conservative (refer to sensitivity analyses below).</w:t>
      </w:r>
    </w:p>
    <w:p w:rsidR="009A4AF8" w:rsidRPr="006B1802" w:rsidRDefault="009A4AF8" w:rsidP="00B93A10">
      <w:pPr>
        <w:spacing w:before="120" w:after="160"/>
        <w:rPr>
          <w:rFonts w:asciiTheme="minorHAnsi" w:hAnsiTheme="minorHAnsi"/>
          <w:b/>
          <w:u w:val="single"/>
        </w:rPr>
      </w:pPr>
      <w:r w:rsidRPr="006B1802">
        <w:rPr>
          <w:rFonts w:asciiTheme="minorHAnsi" w:hAnsiTheme="minorHAnsi"/>
          <w:b/>
          <w:u w:val="single"/>
        </w:rPr>
        <w:t>Outputs from model</w:t>
      </w:r>
    </w:p>
    <w:p w:rsidR="009A4AF8" w:rsidRPr="006B1802" w:rsidRDefault="009A4AF8" w:rsidP="00B93A10">
      <w:pPr>
        <w:numPr>
          <w:ilvl w:val="1"/>
          <w:numId w:val="5"/>
        </w:numPr>
        <w:spacing w:after="120"/>
        <w:jc w:val="both"/>
        <w:rPr>
          <w:rFonts w:asciiTheme="minorHAnsi" w:hAnsiTheme="minorHAnsi"/>
        </w:rPr>
      </w:pPr>
      <w:r w:rsidRPr="006B1802">
        <w:rPr>
          <w:rFonts w:asciiTheme="minorHAnsi" w:hAnsiTheme="minorHAnsi"/>
        </w:rPr>
        <w:t xml:space="preserve">The figures below show the Markov traces for the base case economic model presented in the resubmission, comprising the TEMPO 3:4 (Figure 1a) and REPRISE (Figure 2a) sub-populations. For comparison, the ITT populations from the two trials are also presented (Figures 1b and 2b). The trace for ESRD (darker blue line) comprises patients with CKD5, on dialysis or post kidney transplant. Given that dialysis was a key driver of the model — it was associated with significant costs ($100,056 per year on-going cost for dialysis) and </w:t>
      </w:r>
      <w:proofErr w:type="spellStart"/>
      <w:r w:rsidRPr="006B1802">
        <w:rPr>
          <w:rFonts w:asciiTheme="minorHAnsi" w:hAnsiTheme="minorHAnsi"/>
        </w:rPr>
        <w:t>disutilities</w:t>
      </w:r>
      <w:proofErr w:type="spellEnd"/>
      <w:r w:rsidRPr="006B1802">
        <w:rPr>
          <w:rFonts w:asciiTheme="minorHAnsi" w:hAnsiTheme="minorHAnsi"/>
        </w:rPr>
        <w:t xml:space="preserve"> (a dialysis disutility of 0.13 was applied) — this is also shown in separate (lighter blue) traces (as well as being included in the ESRD line). </w:t>
      </w:r>
    </w:p>
    <w:p w:rsidR="009A4AF8" w:rsidRPr="006B1802" w:rsidRDefault="009A4AF8" w:rsidP="00B93A10">
      <w:pPr>
        <w:keepNext/>
        <w:keepLines/>
        <w:rPr>
          <w:rFonts w:ascii="Arial Narrow" w:hAnsi="Arial Narrow"/>
          <w:b/>
          <w:sz w:val="20"/>
          <w:szCs w:val="20"/>
        </w:rPr>
      </w:pPr>
      <w:r w:rsidRPr="006B1802">
        <w:rPr>
          <w:rFonts w:ascii="Arial Narrow" w:hAnsi="Arial Narrow"/>
          <w:b/>
          <w:sz w:val="20"/>
          <w:szCs w:val="20"/>
        </w:rPr>
        <w:t>Figure 1: Markov trace of TEMPO 3:4 - tolvaptan (solid lines) versus placebo (dotted lines): (a) base case presented in model (sub-population with CKD stages 2-3 with rapid disease progression); (b) ITT population from trial</w:t>
      </w:r>
    </w:p>
    <w:p w:rsidR="009A4AF8" w:rsidRPr="006B1802" w:rsidRDefault="009A4AF8" w:rsidP="00B93A10">
      <w:pPr>
        <w:keepNext/>
        <w:keepLines/>
        <w:rPr>
          <w:i/>
        </w:rPr>
      </w:pPr>
      <w:r w:rsidRPr="006B1802">
        <w:rPr>
          <w:i/>
          <w:noProof/>
        </w:rPr>
        <w:drawing>
          <wp:inline distT="0" distB="0" distL="0" distR="0" wp14:anchorId="2EBA0620" wp14:editId="3189C202">
            <wp:extent cx="2852928" cy="2339944"/>
            <wp:effectExtent l="0" t="0" r="5080" b="3810"/>
            <wp:docPr id="18" name="Picture 18" title="Figure 1: Markov trace of TEMPO 3:4 - tolvaptan (solid lines) versus placebo (dotted lines): (a) base case presented in model (sub-population with CKD stages 2-3 with rapid disease progression); (b) ITT population from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9">
                      <a:extLst>
                        <a:ext uri="{28A0092B-C50C-407E-A947-70E740481C1C}">
                          <a14:useLocalDpi xmlns:a14="http://schemas.microsoft.com/office/drawing/2010/main" val="0"/>
                        </a:ext>
                      </a:extLst>
                    </a:blip>
                    <a:srcRect/>
                    <a:stretch/>
                  </pic:blipFill>
                  <pic:spPr bwMode="auto">
                    <a:xfrm>
                      <a:off x="0" y="0"/>
                      <a:ext cx="2854252" cy="2341030"/>
                    </a:xfrm>
                    <a:prstGeom prst="rect">
                      <a:avLst/>
                    </a:prstGeom>
                    <a:noFill/>
                    <a:ln>
                      <a:noFill/>
                    </a:ln>
                    <a:extLst>
                      <a:ext uri="{53640926-AAD7-44D8-BBD7-CCE9431645EC}">
                        <a14:shadowObscured xmlns:a14="http://schemas.microsoft.com/office/drawing/2010/main"/>
                      </a:ext>
                    </a:extLst>
                  </pic:spPr>
                </pic:pic>
              </a:graphicData>
            </a:graphic>
          </wp:inline>
        </w:drawing>
      </w:r>
      <w:r w:rsidRPr="006B1802">
        <w:rPr>
          <w:i/>
          <w:noProof/>
        </w:rPr>
        <w:drawing>
          <wp:inline distT="0" distB="0" distL="0" distR="0" wp14:anchorId="0CE48C0A" wp14:editId="36DD0FC9">
            <wp:extent cx="2816352" cy="2340864"/>
            <wp:effectExtent l="0" t="0" r="3175" b="2540"/>
            <wp:docPr id="15" name="Picture 15" title="Figure 1: Markov trace of TEMPO 3:4 - tolvaptan (solid lines) versus placebo (dotted lines): (a) base case presented in model (sub-population with CKD stages 2-3 with rapid disease progression); (b) ITT population from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2822026" cy="2345580"/>
                    </a:xfrm>
                    <a:prstGeom prst="rect">
                      <a:avLst/>
                    </a:prstGeom>
                    <a:noFill/>
                    <a:ln>
                      <a:noFill/>
                    </a:ln>
                    <a:extLst>
                      <a:ext uri="{53640926-AAD7-44D8-BBD7-CCE9431645EC}">
                        <a14:shadowObscured xmlns:a14="http://schemas.microsoft.com/office/drawing/2010/main"/>
                      </a:ext>
                    </a:extLst>
                  </pic:spPr>
                </pic:pic>
              </a:graphicData>
            </a:graphic>
          </wp:inline>
        </w:drawing>
      </w:r>
    </w:p>
    <w:p w:rsidR="009A4AF8" w:rsidRPr="006B1802" w:rsidRDefault="009A4AF8" w:rsidP="00B93A10">
      <w:pPr>
        <w:keepNext/>
        <w:keepLines/>
        <w:rPr>
          <w:rFonts w:ascii="Arial Narrow" w:hAnsi="Arial Narrow"/>
          <w:i/>
          <w:sz w:val="18"/>
          <w:szCs w:val="18"/>
        </w:rPr>
      </w:pPr>
      <w:r w:rsidRPr="006B1802">
        <w:rPr>
          <w:noProof/>
        </w:rPr>
        <w:drawing>
          <wp:inline distT="0" distB="0" distL="0" distR="0" wp14:anchorId="59B355AE" wp14:editId="4FEACEE0">
            <wp:extent cx="5551809" cy="395020"/>
            <wp:effectExtent l="0" t="0" r="0" b="5080"/>
            <wp:docPr id="1" name="Picture 1" title="Figure 1: Markov trace of TEMPO 3:4 - tolvaptan (solid lines) versus placebo (dotted lines): (a) base case presented in model (sub-population with CKD stages 2-3 with rapid disease progression); (b) ITT population from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1173" t="6897"/>
                    <a:stretch/>
                  </pic:blipFill>
                  <pic:spPr bwMode="auto">
                    <a:xfrm>
                      <a:off x="0" y="0"/>
                      <a:ext cx="5591527" cy="397846"/>
                    </a:xfrm>
                    <a:prstGeom prst="rect">
                      <a:avLst/>
                    </a:prstGeom>
                    <a:ln>
                      <a:noFill/>
                    </a:ln>
                    <a:extLst>
                      <a:ext uri="{53640926-AAD7-44D8-BBD7-CCE9431645EC}">
                        <a14:shadowObscured xmlns:a14="http://schemas.microsoft.com/office/drawing/2010/main"/>
                      </a:ext>
                    </a:extLst>
                  </pic:spPr>
                </pic:pic>
              </a:graphicData>
            </a:graphic>
          </wp:inline>
        </w:drawing>
      </w:r>
    </w:p>
    <w:p w:rsidR="009A4AF8" w:rsidRPr="006B1802" w:rsidRDefault="009A4AF8" w:rsidP="00B93A10">
      <w:pPr>
        <w:keepNext/>
        <w:keepLines/>
        <w:rPr>
          <w:rFonts w:ascii="Arial Narrow" w:hAnsi="Arial Narrow"/>
          <w:sz w:val="18"/>
          <w:szCs w:val="18"/>
        </w:rPr>
      </w:pPr>
      <w:r w:rsidRPr="006B1802">
        <w:rPr>
          <w:rFonts w:ascii="Arial Narrow" w:hAnsi="Arial Narrow"/>
          <w:sz w:val="18"/>
          <w:szCs w:val="18"/>
        </w:rPr>
        <w:t xml:space="preserve">Source: Constructed during preparation of the Minor Overview based on ‘Tolvaptan November 2017 PBAC Section 3 Updated for April 2018’ </w:t>
      </w:r>
    </w:p>
    <w:p w:rsidR="009A4AF8" w:rsidRPr="006B1802" w:rsidRDefault="009A4AF8" w:rsidP="00B93A10">
      <w:pPr>
        <w:rPr>
          <w:rFonts w:ascii="Arial Narrow" w:hAnsi="Arial Narrow"/>
          <w:sz w:val="18"/>
          <w:szCs w:val="20"/>
        </w:rPr>
      </w:pPr>
      <w:r w:rsidRPr="006B1802">
        <w:rPr>
          <w:rFonts w:ascii="Arial Narrow" w:hAnsi="Arial Narrow"/>
          <w:sz w:val="18"/>
          <w:szCs w:val="20"/>
        </w:rPr>
        <w:t>Abbreviations: CKD, chronic kidney disease; ESRD, end stage renal disease.</w:t>
      </w:r>
    </w:p>
    <w:p w:rsidR="009A4AF8" w:rsidRPr="006B1802" w:rsidRDefault="009A4AF8" w:rsidP="00B93A10">
      <w:pPr>
        <w:rPr>
          <w:rFonts w:ascii="Arial Narrow" w:hAnsi="Arial Narrow"/>
          <w:i/>
          <w:sz w:val="18"/>
          <w:szCs w:val="18"/>
        </w:rPr>
      </w:pPr>
    </w:p>
    <w:p w:rsidR="009A4AF8" w:rsidRPr="006B1802" w:rsidRDefault="009A4AF8" w:rsidP="00B93A10">
      <w:pPr>
        <w:keepNext/>
        <w:keepLines/>
        <w:rPr>
          <w:rFonts w:ascii="Arial Narrow" w:hAnsi="Arial Narrow"/>
          <w:b/>
          <w:sz w:val="20"/>
          <w:szCs w:val="20"/>
        </w:rPr>
      </w:pPr>
      <w:r w:rsidRPr="006B1802">
        <w:rPr>
          <w:rFonts w:ascii="Arial Narrow" w:hAnsi="Arial Narrow"/>
          <w:b/>
          <w:sz w:val="20"/>
          <w:szCs w:val="20"/>
        </w:rPr>
        <w:lastRenderedPageBreak/>
        <w:t>Figure 2: Markov trace of REPRISE - tolvaptan (solid lines) versus placebo (dotted lines): (a) base case presented in model (sub-population with CKD stage 2-3 with rapid disease progression); (b) ITT population from trial</w:t>
      </w:r>
    </w:p>
    <w:p w:rsidR="009A4AF8" w:rsidRPr="006B1802" w:rsidRDefault="009A4AF8" w:rsidP="00B93A10">
      <w:pPr>
        <w:keepNext/>
        <w:keepLines/>
        <w:rPr>
          <w:i/>
        </w:rPr>
      </w:pPr>
      <w:r w:rsidRPr="006B1802">
        <w:rPr>
          <w:i/>
          <w:noProof/>
        </w:rPr>
        <w:drawing>
          <wp:inline distT="0" distB="0" distL="0" distR="0" wp14:anchorId="7E0F38F8" wp14:editId="29097AE1">
            <wp:extent cx="2672956" cy="2078966"/>
            <wp:effectExtent l="0" t="0" r="0" b="0"/>
            <wp:docPr id="12" name="Picture 12" title="Figure 2: Markov trace of REPRISE - tolvaptan (solid lines) versus placebo (dotted lines): (a) base case presented in model (sub-population with CKD stage 2-3 with rapid disease progression); (b) ITT population from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a:stretch/>
                  </pic:blipFill>
                  <pic:spPr bwMode="auto">
                    <a:xfrm>
                      <a:off x="0" y="0"/>
                      <a:ext cx="2684449" cy="2087905"/>
                    </a:xfrm>
                    <a:prstGeom prst="rect">
                      <a:avLst/>
                    </a:prstGeom>
                    <a:noFill/>
                    <a:ln>
                      <a:noFill/>
                    </a:ln>
                    <a:extLst>
                      <a:ext uri="{53640926-AAD7-44D8-BBD7-CCE9431645EC}">
                        <a14:shadowObscured xmlns:a14="http://schemas.microsoft.com/office/drawing/2010/main"/>
                      </a:ext>
                    </a:extLst>
                  </pic:spPr>
                </pic:pic>
              </a:graphicData>
            </a:graphic>
          </wp:inline>
        </w:drawing>
      </w:r>
      <w:r w:rsidRPr="006B1802">
        <w:rPr>
          <w:i/>
          <w:noProof/>
        </w:rPr>
        <w:drawing>
          <wp:inline distT="0" distB="0" distL="0" distR="0" wp14:anchorId="6BBBDC15" wp14:editId="20F7035F">
            <wp:extent cx="2574950" cy="2082055"/>
            <wp:effectExtent l="0" t="0" r="0" b="0"/>
            <wp:docPr id="16" name="Picture 16" title="Figure 2: Markov trace of REPRISE - tolvaptan (solid lines) versus placebo (dotted lines): (a) base case presented in model (sub-population with CKD stage 2-3 with rapid disease progression); (b) ITT population from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3">
                      <a:extLst>
                        <a:ext uri="{28A0092B-C50C-407E-A947-70E740481C1C}">
                          <a14:useLocalDpi xmlns:a14="http://schemas.microsoft.com/office/drawing/2010/main" val="0"/>
                        </a:ext>
                      </a:extLst>
                    </a:blip>
                    <a:srcRect/>
                    <a:stretch/>
                  </pic:blipFill>
                  <pic:spPr bwMode="auto">
                    <a:xfrm>
                      <a:off x="0" y="0"/>
                      <a:ext cx="2582719" cy="2088337"/>
                    </a:xfrm>
                    <a:prstGeom prst="rect">
                      <a:avLst/>
                    </a:prstGeom>
                    <a:noFill/>
                    <a:ln>
                      <a:noFill/>
                    </a:ln>
                    <a:extLst>
                      <a:ext uri="{53640926-AAD7-44D8-BBD7-CCE9431645EC}">
                        <a14:shadowObscured xmlns:a14="http://schemas.microsoft.com/office/drawing/2010/main"/>
                      </a:ext>
                    </a:extLst>
                  </pic:spPr>
                </pic:pic>
              </a:graphicData>
            </a:graphic>
          </wp:inline>
        </w:drawing>
      </w:r>
    </w:p>
    <w:p w:rsidR="009A4AF8" w:rsidRPr="006B1802" w:rsidRDefault="009A4AF8" w:rsidP="00B93A10">
      <w:pPr>
        <w:keepNext/>
        <w:keepLines/>
        <w:rPr>
          <w:rFonts w:ascii="Arial Narrow" w:hAnsi="Arial Narrow"/>
          <w:i/>
          <w:sz w:val="18"/>
          <w:szCs w:val="18"/>
        </w:rPr>
      </w:pPr>
      <w:r w:rsidRPr="006B1802">
        <w:rPr>
          <w:noProof/>
        </w:rPr>
        <w:drawing>
          <wp:inline distT="0" distB="0" distL="0" distR="0" wp14:anchorId="3F492303" wp14:editId="73D0F936">
            <wp:extent cx="5230368" cy="372149"/>
            <wp:effectExtent l="0" t="0" r="8890" b="8890"/>
            <wp:docPr id="19" name="Picture 19" title="Figure 2: Markov trace of REPRISE - tolvaptan (solid lines) versus placebo (dotted lines): (a) base case presented in model (sub-population with CKD stage 2-3 with rapid disease progression); (b) ITT population from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1173" t="6897"/>
                    <a:stretch/>
                  </pic:blipFill>
                  <pic:spPr bwMode="auto">
                    <a:xfrm>
                      <a:off x="0" y="0"/>
                      <a:ext cx="5267773" cy="374810"/>
                    </a:xfrm>
                    <a:prstGeom prst="rect">
                      <a:avLst/>
                    </a:prstGeom>
                    <a:ln>
                      <a:noFill/>
                    </a:ln>
                    <a:extLst>
                      <a:ext uri="{53640926-AAD7-44D8-BBD7-CCE9431645EC}">
                        <a14:shadowObscured xmlns:a14="http://schemas.microsoft.com/office/drawing/2010/main"/>
                      </a:ext>
                    </a:extLst>
                  </pic:spPr>
                </pic:pic>
              </a:graphicData>
            </a:graphic>
          </wp:inline>
        </w:drawing>
      </w:r>
    </w:p>
    <w:p w:rsidR="009A4AF8" w:rsidRPr="006B1802" w:rsidRDefault="009A4AF8" w:rsidP="00B93A10">
      <w:pPr>
        <w:keepNext/>
        <w:keepLines/>
        <w:rPr>
          <w:rFonts w:ascii="Arial Narrow" w:hAnsi="Arial Narrow"/>
          <w:sz w:val="18"/>
          <w:szCs w:val="18"/>
        </w:rPr>
      </w:pPr>
      <w:r w:rsidRPr="006B1802">
        <w:rPr>
          <w:rFonts w:ascii="Arial Narrow" w:hAnsi="Arial Narrow"/>
          <w:sz w:val="18"/>
          <w:szCs w:val="18"/>
        </w:rPr>
        <w:t xml:space="preserve">Source: Constructed during preparation of the Minor Overview based on ‘Tolvaptan November 2017 PBAC Section 3 Updated for April 2018 </w:t>
      </w:r>
    </w:p>
    <w:p w:rsidR="009A4AF8" w:rsidRPr="006B1802" w:rsidRDefault="009A4AF8" w:rsidP="00B93A10">
      <w:pPr>
        <w:spacing w:afterLines="160" w:after="384"/>
        <w:rPr>
          <w:rFonts w:ascii="Arial Narrow" w:hAnsi="Arial Narrow"/>
          <w:sz w:val="18"/>
          <w:szCs w:val="20"/>
        </w:rPr>
      </w:pPr>
      <w:r w:rsidRPr="006B1802">
        <w:rPr>
          <w:rFonts w:ascii="Arial Narrow" w:hAnsi="Arial Narrow"/>
          <w:sz w:val="18"/>
          <w:szCs w:val="20"/>
        </w:rPr>
        <w:t>Abbreviations: CKD, chronic kidney disease; ESRD, end stage renal disease.</w:t>
      </w:r>
    </w:p>
    <w:p w:rsidR="009A4AF8" w:rsidRPr="006B1802" w:rsidRDefault="009A4AF8" w:rsidP="00B93A10">
      <w:pPr>
        <w:numPr>
          <w:ilvl w:val="1"/>
          <w:numId w:val="5"/>
        </w:numPr>
        <w:spacing w:before="120" w:afterLines="160" w:after="384"/>
        <w:jc w:val="both"/>
        <w:rPr>
          <w:rFonts w:asciiTheme="minorHAnsi" w:hAnsiTheme="minorHAnsi"/>
        </w:rPr>
      </w:pPr>
      <w:r w:rsidRPr="006B1802">
        <w:rPr>
          <w:rFonts w:asciiTheme="minorHAnsi" w:hAnsiTheme="minorHAnsi"/>
        </w:rPr>
        <w:t>The Markov traces show that patients treated with tolvaptan spend more time in CKD stages 2 to 4 and less time in the ESRD and dead states. In particular, patients on tolvaptan spend less time on dialysis, which is associated with significant costs and utility decrements. The Markov traces also show that patients in the sub-populations have more rapidly progressing disease tha</w:t>
      </w:r>
      <w:r w:rsidR="0008323D" w:rsidRPr="006B1802">
        <w:rPr>
          <w:rFonts w:asciiTheme="minorHAnsi" w:hAnsiTheme="minorHAnsi"/>
        </w:rPr>
        <w:t>n</w:t>
      </w:r>
      <w:r w:rsidRPr="006B1802">
        <w:rPr>
          <w:rFonts w:asciiTheme="minorHAnsi" w:hAnsiTheme="minorHAnsi"/>
        </w:rPr>
        <w:t xml:space="preserve"> the ITT population (earlier and higher rates of CKD5 and dialysis), and that tolvaptan is associated with a greater treatment effect in the subpopulation patients (bigger difference between the tolvaptan and placebo traces for each health state).</w:t>
      </w:r>
    </w:p>
    <w:p w:rsidR="009A4AF8" w:rsidRPr="006B1802" w:rsidRDefault="009A4AF8" w:rsidP="00B93A10">
      <w:pPr>
        <w:numPr>
          <w:ilvl w:val="1"/>
          <w:numId w:val="5"/>
        </w:numPr>
        <w:spacing w:before="120" w:after="160"/>
        <w:jc w:val="both"/>
        <w:rPr>
          <w:rFonts w:asciiTheme="minorHAnsi" w:hAnsiTheme="minorHAnsi"/>
        </w:rPr>
      </w:pPr>
      <w:r w:rsidRPr="006B1802">
        <w:rPr>
          <w:rFonts w:asciiTheme="minorHAnsi" w:hAnsiTheme="minorHAnsi"/>
        </w:rPr>
        <w:t xml:space="preserve">As outlined in the March 2018 PBAC </w:t>
      </w:r>
      <w:r w:rsidR="00621175">
        <w:rPr>
          <w:rFonts w:asciiTheme="minorHAnsi" w:hAnsiTheme="minorHAnsi"/>
        </w:rPr>
        <w:t>PSD</w:t>
      </w:r>
      <w:r w:rsidRPr="006B1802">
        <w:rPr>
          <w:rFonts w:asciiTheme="minorHAnsi" w:hAnsiTheme="minorHAnsi"/>
        </w:rPr>
        <w:t>, the different results between the two trials</w:t>
      </w:r>
      <w:r w:rsidR="00D672D4" w:rsidRPr="006B1802">
        <w:rPr>
          <w:rFonts w:asciiTheme="minorHAnsi" w:hAnsiTheme="minorHAnsi"/>
        </w:rPr>
        <w:t xml:space="preserve"> (</w:t>
      </w:r>
      <w:r w:rsidRPr="006B1802">
        <w:rPr>
          <w:rFonts w:asciiTheme="minorHAnsi" w:hAnsiTheme="minorHAnsi"/>
        </w:rPr>
        <w:t>TEMPO 3:4 and REPRISE</w:t>
      </w:r>
      <w:r w:rsidR="00D672D4" w:rsidRPr="006B1802">
        <w:rPr>
          <w:rFonts w:asciiTheme="minorHAnsi" w:hAnsiTheme="minorHAnsi"/>
        </w:rPr>
        <w:t>)</w:t>
      </w:r>
      <w:r w:rsidRPr="006B1802">
        <w:rPr>
          <w:rFonts w:asciiTheme="minorHAnsi" w:hAnsiTheme="minorHAnsi"/>
        </w:rPr>
        <w:t xml:space="preserve"> despite overlap</w:t>
      </w:r>
      <w:r w:rsidR="0080214C" w:rsidRPr="006B1802">
        <w:rPr>
          <w:rFonts w:asciiTheme="minorHAnsi" w:hAnsiTheme="minorHAnsi"/>
        </w:rPr>
        <w:t>ping</w:t>
      </w:r>
      <w:r w:rsidRPr="006B1802">
        <w:rPr>
          <w:rFonts w:asciiTheme="minorHAnsi" w:hAnsiTheme="minorHAnsi"/>
        </w:rPr>
        <w:t xml:space="preserve"> </w:t>
      </w:r>
      <w:r w:rsidR="0080214C" w:rsidRPr="006B1802">
        <w:rPr>
          <w:rFonts w:asciiTheme="minorHAnsi" w:hAnsiTheme="minorHAnsi"/>
        </w:rPr>
        <w:t xml:space="preserve">patient </w:t>
      </w:r>
      <w:r w:rsidRPr="006B1802">
        <w:rPr>
          <w:rFonts w:asciiTheme="minorHAnsi" w:hAnsiTheme="minorHAnsi"/>
        </w:rPr>
        <w:t>population</w:t>
      </w:r>
      <w:r w:rsidR="0080214C" w:rsidRPr="006B1802">
        <w:rPr>
          <w:rFonts w:asciiTheme="minorHAnsi" w:hAnsiTheme="minorHAnsi"/>
        </w:rPr>
        <w:t>s</w:t>
      </w:r>
      <w:r w:rsidRPr="006B1802">
        <w:rPr>
          <w:rFonts w:asciiTheme="minorHAnsi" w:hAnsiTheme="minorHAnsi"/>
        </w:rPr>
        <w:t xml:space="preserve">, highlight the uncertainty of the treatment effect (Paragraph 6.52, Tolvaptan </w:t>
      </w:r>
      <w:r w:rsidR="00621175">
        <w:rPr>
          <w:rFonts w:asciiTheme="minorHAnsi" w:hAnsiTheme="minorHAnsi"/>
        </w:rPr>
        <w:t>PSD</w:t>
      </w:r>
      <w:r w:rsidRPr="006B1802">
        <w:rPr>
          <w:rFonts w:asciiTheme="minorHAnsi" w:hAnsiTheme="minorHAnsi"/>
        </w:rPr>
        <w:t xml:space="preserve">, March 2018). The different results were likely due to: </w:t>
      </w:r>
    </w:p>
    <w:p w:rsidR="009A4AF8" w:rsidRPr="006B1802" w:rsidRDefault="009A4AF8" w:rsidP="00B93A10">
      <w:pPr>
        <w:pStyle w:val="ListParagraph"/>
        <w:widowControl/>
        <w:numPr>
          <w:ilvl w:val="0"/>
          <w:numId w:val="22"/>
        </w:numPr>
        <w:ind w:left="1134" w:hanging="425"/>
        <w:rPr>
          <w:rFonts w:asciiTheme="minorHAnsi" w:hAnsiTheme="minorHAnsi"/>
          <w:sz w:val="24"/>
          <w:szCs w:val="24"/>
        </w:rPr>
      </w:pPr>
      <w:r w:rsidRPr="006B1802">
        <w:rPr>
          <w:rFonts w:asciiTheme="minorHAnsi" w:hAnsiTheme="minorHAnsi"/>
          <w:sz w:val="24"/>
          <w:szCs w:val="24"/>
        </w:rPr>
        <w:t>Patients in REPRISE had poorer baseline characteristics (e.g. mean baseline eGFR in the tolvaptan arm was 44 mL/min/1.73m</w:t>
      </w:r>
      <w:r w:rsidRPr="006B1802">
        <w:rPr>
          <w:rFonts w:asciiTheme="minorHAnsi" w:hAnsiTheme="minorHAnsi"/>
          <w:sz w:val="24"/>
          <w:szCs w:val="24"/>
          <w:vertAlign w:val="superscript"/>
        </w:rPr>
        <w:t>2</w:t>
      </w:r>
      <w:r w:rsidRPr="006B1802">
        <w:rPr>
          <w:rFonts w:asciiTheme="minorHAnsi" w:hAnsiTheme="minorHAnsi"/>
          <w:sz w:val="24"/>
          <w:szCs w:val="24"/>
        </w:rPr>
        <w:t xml:space="preserve"> in REPRISE, versus 68 mL/min/1.73m</w:t>
      </w:r>
      <w:r w:rsidRPr="006B1802">
        <w:rPr>
          <w:rFonts w:asciiTheme="minorHAnsi" w:hAnsiTheme="minorHAnsi"/>
          <w:sz w:val="24"/>
          <w:szCs w:val="24"/>
          <w:vertAlign w:val="superscript"/>
        </w:rPr>
        <w:t>2</w:t>
      </w:r>
      <w:r w:rsidRPr="006B1802">
        <w:rPr>
          <w:rFonts w:asciiTheme="minorHAnsi" w:hAnsiTheme="minorHAnsi"/>
          <w:sz w:val="24"/>
          <w:szCs w:val="24"/>
        </w:rPr>
        <w:t xml:space="preserve"> in TEMPO 3:4);</w:t>
      </w:r>
    </w:p>
    <w:p w:rsidR="009A4AF8" w:rsidRPr="006B1802" w:rsidRDefault="009A4AF8" w:rsidP="00B93A10">
      <w:pPr>
        <w:pStyle w:val="ListParagraph"/>
        <w:widowControl/>
        <w:numPr>
          <w:ilvl w:val="0"/>
          <w:numId w:val="22"/>
        </w:numPr>
        <w:ind w:left="1134" w:hanging="425"/>
        <w:rPr>
          <w:rFonts w:asciiTheme="minorHAnsi" w:hAnsiTheme="minorHAnsi"/>
          <w:sz w:val="24"/>
          <w:szCs w:val="24"/>
        </w:rPr>
      </w:pPr>
      <w:r w:rsidRPr="006B1802">
        <w:rPr>
          <w:rFonts w:asciiTheme="minorHAnsi" w:hAnsiTheme="minorHAnsi"/>
          <w:sz w:val="24"/>
          <w:szCs w:val="24"/>
        </w:rPr>
        <w:t>Patients in REPRISE had more rapid disease progression (e.g. mean time to ESKD in the placebo arms were 6.1 years in REPRISE versus 10.3 years in TEMPO 3:4); and</w:t>
      </w:r>
    </w:p>
    <w:p w:rsidR="009A4AF8" w:rsidRPr="006B1802" w:rsidRDefault="009A4AF8" w:rsidP="00B93A10">
      <w:pPr>
        <w:pStyle w:val="ListParagraph"/>
        <w:widowControl/>
        <w:numPr>
          <w:ilvl w:val="0"/>
          <w:numId w:val="22"/>
        </w:numPr>
        <w:ind w:left="1134" w:hanging="425"/>
        <w:rPr>
          <w:rFonts w:asciiTheme="minorHAnsi" w:hAnsiTheme="minorHAnsi"/>
          <w:sz w:val="24"/>
          <w:szCs w:val="24"/>
        </w:rPr>
      </w:pPr>
      <w:r w:rsidRPr="006B1802">
        <w:rPr>
          <w:rFonts w:asciiTheme="minorHAnsi" w:hAnsiTheme="minorHAnsi"/>
          <w:sz w:val="24"/>
          <w:szCs w:val="24"/>
        </w:rPr>
        <w:t>A larger treatment effect was assumed from REPRISE (relative reduction of 34.6% was assumed in RESPRISE versus 29.6% in TEMPO 3:4).</w:t>
      </w:r>
    </w:p>
    <w:p w:rsidR="00C96652" w:rsidRPr="006B1802" w:rsidRDefault="00C96652" w:rsidP="00B93A10">
      <w:pPr>
        <w:keepNext/>
        <w:rPr>
          <w:rFonts w:asciiTheme="minorHAnsi" w:hAnsiTheme="minorHAnsi"/>
          <w:b/>
          <w:u w:val="single"/>
        </w:rPr>
      </w:pPr>
      <w:r w:rsidRPr="006B1802">
        <w:rPr>
          <w:rFonts w:asciiTheme="minorHAnsi" w:hAnsiTheme="minorHAnsi"/>
          <w:b/>
          <w:u w:val="single"/>
        </w:rPr>
        <w:t>Sensitivity analyses</w:t>
      </w:r>
    </w:p>
    <w:p w:rsidR="00C96652" w:rsidRPr="006B1802" w:rsidRDefault="00C96652" w:rsidP="00B93A10">
      <w:pPr>
        <w:numPr>
          <w:ilvl w:val="1"/>
          <w:numId w:val="5"/>
        </w:numPr>
        <w:spacing w:after="120"/>
        <w:jc w:val="both"/>
        <w:rPr>
          <w:rFonts w:asciiTheme="minorHAnsi" w:hAnsiTheme="minorHAnsi"/>
        </w:rPr>
      </w:pPr>
      <w:r w:rsidRPr="006B1802">
        <w:rPr>
          <w:rFonts w:asciiTheme="minorHAnsi" w:hAnsiTheme="minorHAnsi"/>
        </w:rPr>
        <w:t xml:space="preserve">The resubmission included two sensitivity analyses in which the efficacy of tolvaptan was halved after five or ten years (from a 29.6% reduction in eGFR decline to a 14.8% </w:t>
      </w:r>
      <w:r w:rsidRPr="006B1802">
        <w:rPr>
          <w:rFonts w:asciiTheme="minorHAnsi" w:hAnsiTheme="minorHAnsi"/>
        </w:rPr>
        <w:lastRenderedPageBreak/>
        <w:t>reduction for TEMPO 3:4; and from 34.6% to 17.3% for REPRISE). These are shown in the table below.</w:t>
      </w:r>
    </w:p>
    <w:p w:rsidR="00C96652" w:rsidRPr="006B1802" w:rsidRDefault="00CC525E" w:rsidP="00B93A10">
      <w:pPr>
        <w:pStyle w:val="Caption"/>
        <w:keepNext/>
        <w:keepLines/>
        <w:spacing w:after="0"/>
        <w:rPr>
          <w:rFonts w:ascii="Arial Narrow" w:hAnsi="Arial Narrow"/>
          <w:color w:val="auto"/>
          <w:sz w:val="20"/>
          <w:szCs w:val="20"/>
        </w:rPr>
      </w:pPr>
      <w:r w:rsidRPr="006B1802">
        <w:rPr>
          <w:rFonts w:ascii="Arial Narrow" w:hAnsi="Arial Narrow"/>
          <w:color w:val="auto"/>
          <w:sz w:val="20"/>
          <w:szCs w:val="20"/>
        </w:rPr>
        <w:t>Table 4</w:t>
      </w:r>
      <w:r w:rsidR="00C96652" w:rsidRPr="006B1802">
        <w:rPr>
          <w:rFonts w:ascii="Arial Narrow" w:hAnsi="Arial Narrow"/>
          <w:color w:val="auto"/>
          <w:sz w:val="20"/>
          <w:szCs w:val="20"/>
        </w:rPr>
        <w:t xml:space="preserve">: Sensitivity analyses conducted by the minor resubmission - </w:t>
      </w:r>
      <w:proofErr w:type="spellStart"/>
      <w:r w:rsidR="00C96652" w:rsidRPr="006B1802">
        <w:rPr>
          <w:rFonts w:ascii="Arial Narrow" w:hAnsi="Arial Narrow"/>
          <w:color w:val="auto"/>
          <w:sz w:val="20"/>
          <w:szCs w:val="20"/>
        </w:rPr>
        <w:t>tolvaptan’s</w:t>
      </w:r>
      <w:proofErr w:type="spellEnd"/>
      <w:r w:rsidR="00C96652" w:rsidRPr="006B1802">
        <w:rPr>
          <w:rFonts w:ascii="Arial Narrow" w:hAnsi="Arial Narrow"/>
          <w:color w:val="auto"/>
          <w:sz w:val="20"/>
          <w:szCs w:val="20"/>
        </w:rPr>
        <w:t xml:space="preserve"> long term efficacy </w:t>
      </w:r>
    </w:p>
    <w:tbl>
      <w:tblPr>
        <w:tblW w:w="5000" w:type="pct"/>
        <w:tblLook w:val="04A0" w:firstRow="1" w:lastRow="0" w:firstColumn="1" w:lastColumn="0" w:noHBand="0" w:noVBand="1"/>
      </w:tblPr>
      <w:tblGrid>
        <w:gridCol w:w="4501"/>
        <w:gridCol w:w="1743"/>
        <w:gridCol w:w="1743"/>
        <w:gridCol w:w="1255"/>
      </w:tblGrid>
      <w:tr w:rsidR="0014764A" w:rsidRPr="006B1802" w:rsidTr="0014764A">
        <w:trPr>
          <w:trHeight w:val="20"/>
        </w:trPr>
        <w:tc>
          <w:tcPr>
            <w:tcW w:w="2435" w:type="pct"/>
            <w:tcBorders>
              <w:top w:val="single" w:sz="4" w:space="0" w:color="auto"/>
              <w:left w:val="single" w:sz="4" w:space="0" w:color="auto"/>
              <w:bottom w:val="single" w:sz="4" w:space="0" w:color="auto"/>
              <w:right w:val="nil"/>
            </w:tcBorders>
            <w:noWrap/>
            <w:vAlign w:val="center"/>
            <w:hideMark/>
          </w:tcPr>
          <w:p w:rsidR="00C96652" w:rsidRPr="006B1802" w:rsidRDefault="00C96652" w:rsidP="00B93A10">
            <w:pPr>
              <w:pStyle w:val="Tablenormal0"/>
              <w:keepNext/>
              <w:spacing w:before="40" w:after="40" w:line="240" w:lineRule="auto"/>
              <w:jc w:val="left"/>
              <w:rPr>
                <w:rFonts w:ascii="Arial Narrow" w:hAnsi="Arial Narrow"/>
                <w:b/>
                <w:sz w:val="20"/>
                <w:szCs w:val="20"/>
              </w:rPr>
            </w:pPr>
            <w:r w:rsidRPr="006B1802">
              <w:rPr>
                <w:rFonts w:ascii="Arial Narrow" w:hAnsi="Arial Narrow"/>
                <w:b/>
                <w:sz w:val="20"/>
                <w:szCs w:val="20"/>
              </w:rPr>
              <w:t xml:space="preserve">Patient populations </w:t>
            </w:r>
          </w:p>
        </w:tc>
        <w:tc>
          <w:tcPr>
            <w:tcW w:w="943" w:type="pct"/>
            <w:tcBorders>
              <w:top w:val="single" w:sz="4" w:space="0" w:color="auto"/>
              <w:left w:val="single" w:sz="4" w:space="0" w:color="auto"/>
              <w:bottom w:val="single" w:sz="4" w:space="0" w:color="auto"/>
              <w:right w:val="single" w:sz="4" w:space="0" w:color="auto"/>
            </w:tcBorders>
            <w:noWrap/>
            <w:vAlign w:val="center"/>
            <w:hideMark/>
          </w:tcPr>
          <w:p w:rsidR="00C96652" w:rsidRPr="006B1802" w:rsidRDefault="00C96652" w:rsidP="00B93A10">
            <w:pPr>
              <w:pStyle w:val="Tablenormal0"/>
              <w:keepNext/>
              <w:spacing w:before="40" w:after="40" w:line="240" w:lineRule="auto"/>
              <w:jc w:val="left"/>
              <w:rPr>
                <w:rFonts w:ascii="Arial Narrow" w:hAnsi="Arial Narrow"/>
                <w:b/>
                <w:sz w:val="20"/>
                <w:szCs w:val="20"/>
              </w:rPr>
            </w:pPr>
            <w:r w:rsidRPr="006B1802">
              <w:rPr>
                <w:rFonts w:ascii="Arial Narrow" w:hAnsi="Arial Narrow"/>
                <w:b/>
                <w:sz w:val="20"/>
                <w:szCs w:val="20"/>
              </w:rPr>
              <w:t>Incremental cost</w:t>
            </w:r>
          </w:p>
        </w:tc>
        <w:tc>
          <w:tcPr>
            <w:tcW w:w="943" w:type="pct"/>
            <w:tcBorders>
              <w:top w:val="single" w:sz="4" w:space="0" w:color="auto"/>
              <w:left w:val="single" w:sz="4" w:space="0" w:color="auto"/>
              <w:bottom w:val="single" w:sz="4" w:space="0" w:color="auto"/>
              <w:right w:val="single" w:sz="4" w:space="0" w:color="auto"/>
            </w:tcBorders>
          </w:tcPr>
          <w:p w:rsidR="00C96652" w:rsidRPr="006B1802" w:rsidRDefault="00C96652" w:rsidP="00B93A10">
            <w:pPr>
              <w:pStyle w:val="Tablenormal0"/>
              <w:keepNext/>
              <w:spacing w:before="40" w:after="40" w:line="240" w:lineRule="auto"/>
              <w:jc w:val="left"/>
              <w:rPr>
                <w:rFonts w:ascii="Arial Narrow" w:hAnsi="Arial Narrow"/>
                <w:b/>
                <w:sz w:val="20"/>
                <w:szCs w:val="20"/>
              </w:rPr>
            </w:pPr>
            <w:r w:rsidRPr="006B1802">
              <w:rPr>
                <w:rFonts w:ascii="Arial Narrow" w:hAnsi="Arial Narrow"/>
                <w:b/>
                <w:sz w:val="20"/>
                <w:szCs w:val="20"/>
              </w:rPr>
              <w:t>Incremental QALY</w:t>
            </w:r>
          </w:p>
        </w:tc>
        <w:tc>
          <w:tcPr>
            <w:tcW w:w="679" w:type="pct"/>
            <w:tcBorders>
              <w:top w:val="single" w:sz="4" w:space="0" w:color="auto"/>
              <w:left w:val="single" w:sz="4" w:space="0" w:color="auto"/>
              <w:bottom w:val="single" w:sz="4" w:space="0" w:color="auto"/>
              <w:right w:val="single" w:sz="4" w:space="0" w:color="auto"/>
            </w:tcBorders>
            <w:hideMark/>
          </w:tcPr>
          <w:p w:rsidR="00C96652" w:rsidRPr="006B1802" w:rsidRDefault="00C96652" w:rsidP="00B93A10">
            <w:pPr>
              <w:pStyle w:val="Tablenormal0"/>
              <w:keepNext/>
              <w:spacing w:before="40" w:after="40" w:line="240" w:lineRule="auto"/>
              <w:jc w:val="left"/>
              <w:rPr>
                <w:rFonts w:ascii="Arial Narrow" w:hAnsi="Arial Narrow"/>
                <w:b/>
                <w:sz w:val="20"/>
                <w:szCs w:val="20"/>
              </w:rPr>
            </w:pPr>
            <w:r w:rsidRPr="006B1802">
              <w:rPr>
                <w:rFonts w:ascii="Arial Narrow" w:hAnsi="Arial Narrow"/>
                <w:b/>
                <w:sz w:val="20"/>
                <w:szCs w:val="20"/>
              </w:rPr>
              <w:t>ICER</w:t>
            </w:r>
          </w:p>
        </w:tc>
      </w:tr>
      <w:tr w:rsidR="0014764A" w:rsidRPr="006B1802" w:rsidTr="0014764A">
        <w:trPr>
          <w:trHeight w:val="20"/>
        </w:trPr>
        <w:tc>
          <w:tcPr>
            <w:tcW w:w="2435" w:type="pct"/>
            <w:tcBorders>
              <w:top w:val="single" w:sz="4" w:space="0" w:color="auto"/>
              <w:left w:val="single" w:sz="4" w:space="0" w:color="auto"/>
              <w:bottom w:val="single" w:sz="4" w:space="0" w:color="auto"/>
            </w:tcBorders>
            <w:noWrap/>
          </w:tcPr>
          <w:p w:rsidR="00C96652" w:rsidRPr="006B1802" w:rsidRDefault="00C96652" w:rsidP="00B93A10">
            <w:pPr>
              <w:pStyle w:val="Tablenormal0"/>
              <w:keepNext/>
              <w:spacing w:before="40" w:after="40" w:line="240" w:lineRule="auto"/>
              <w:jc w:val="left"/>
              <w:rPr>
                <w:rFonts w:ascii="Arial Narrow" w:hAnsi="Arial Narrow"/>
                <w:b/>
                <w:sz w:val="20"/>
                <w:szCs w:val="20"/>
              </w:rPr>
            </w:pPr>
            <w:r w:rsidRPr="006B1802">
              <w:rPr>
                <w:rFonts w:ascii="Arial Narrow" w:hAnsi="Arial Narrow"/>
                <w:b/>
                <w:sz w:val="20"/>
                <w:szCs w:val="20"/>
              </w:rPr>
              <w:t>Revised base case</w:t>
            </w:r>
          </w:p>
        </w:tc>
        <w:tc>
          <w:tcPr>
            <w:tcW w:w="943" w:type="pct"/>
            <w:tcBorders>
              <w:top w:val="single" w:sz="4" w:space="0" w:color="auto"/>
              <w:bottom w:val="single" w:sz="4" w:space="0" w:color="auto"/>
            </w:tcBorders>
            <w:noWrap/>
          </w:tcPr>
          <w:p w:rsidR="00C96652" w:rsidRPr="006B1802" w:rsidRDefault="00C96652" w:rsidP="00B93A10">
            <w:pPr>
              <w:pStyle w:val="Tablenormal0"/>
              <w:keepNext/>
              <w:spacing w:before="40" w:after="40" w:line="240" w:lineRule="auto"/>
              <w:jc w:val="left"/>
              <w:rPr>
                <w:rFonts w:ascii="Arial Narrow" w:hAnsi="Arial Narrow"/>
                <w:sz w:val="20"/>
                <w:szCs w:val="20"/>
              </w:rPr>
            </w:pPr>
          </w:p>
        </w:tc>
        <w:tc>
          <w:tcPr>
            <w:tcW w:w="943" w:type="pct"/>
            <w:tcBorders>
              <w:top w:val="single" w:sz="4" w:space="0" w:color="auto"/>
              <w:bottom w:val="single" w:sz="4" w:space="0" w:color="auto"/>
            </w:tcBorders>
          </w:tcPr>
          <w:p w:rsidR="00C96652" w:rsidRPr="006B1802" w:rsidRDefault="00C96652" w:rsidP="00B93A10">
            <w:pPr>
              <w:pStyle w:val="Tablenormal0"/>
              <w:keepNext/>
              <w:spacing w:before="40" w:after="40" w:line="240" w:lineRule="auto"/>
              <w:jc w:val="left"/>
              <w:rPr>
                <w:rFonts w:ascii="Arial Narrow" w:hAnsi="Arial Narrow"/>
                <w:sz w:val="20"/>
                <w:szCs w:val="20"/>
              </w:rPr>
            </w:pPr>
          </w:p>
        </w:tc>
        <w:tc>
          <w:tcPr>
            <w:tcW w:w="679" w:type="pct"/>
            <w:tcBorders>
              <w:top w:val="single" w:sz="4" w:space="0" w:color="auto"/>
              <w:bottom w:val="single" w:sz="4" w:space="0" w:color="auto"/>
              <w:right w:val="single" w:sz="4" w:space="0" w:color="auto"/>
            </w:tcBorders>
          </w:tcPr>
          <w:p w:rsidR="00C96652" w:rsidRPr="006B1802" w:rsidRDefault="00C96652" w:rsidP="00B93A10">
            <w:pPr>
              <w:pStyle w:val="Tablenormal0"/>
              <w:keepNext/>
              <w:spacing w:before="40" w:after="40" w:line="240" w:lineRule="auto"/>
              <w:jc w:val="left"/>
              <w:rPr>
                <w:rFonts w:ascii="Arial Narrow" w:hAnsi="Arial Narrow"/>
                <w:sz w:val="20"/>
                <w:szCs w:val="20"/>
              </w:rPr>
            </w:pPr>
          </w:p>
        </w:tc>
      </w:tr>
      <w:tr w:rsidR="0014764A" w:rsidRPr="006B1802" w:rsidTr="0014764A">
        <w:trPr>
          <w:trHeight w:val="20"/>
        </w:trPr>
        <w:tc>
          <w:tcPr>
            <w:tcW w:w="2435" w:type="pct"/>
            <w:tcBorders>
              <w:top w:val="single" w:sz="4" w:space="0" w:color="auto"/>
              <w:left w:val="single" w:sz="4" w:space="0" w:color="auto"/>
              <w:bottom w:val="single" w:sz="4" w:space="0" w:color="auto"/>
              <w:right w:val="nil"/>
            </w:tcBorders>
            <w:noWrap/>
          </w:tcPr>
          <w:p w:rsidR="00C96652" w:rsidRPr="006B1802" w:rsidRDefault="00C96652" w:rsidP="00B93A10">
            <w:pPr>
              <w:pStyle w:val="Tablenormal0"/>
              <w:keepNext/>
              <w:spacing w:before="40" w:after="40" w:line="240" w:lineRule="auto"/>
              <w:jc w:val="left"/>
              <w:rPr>
                <w:rFonts w:ascii="Arial Narrow" w:hAnsi="Arial Narrow"/>
                <w:sz w:val="20"/>
                <w:szCs w:val="20"/>
              </w:rPr>
            </w:pPr>
            <w:r w:rsidRPr="006B1802">
              <w:rPr>
                <w:rFonts w:ascii="Arial Narrow" w:hAnsi="Arial Narrow"/>
                <w:sz w:val="20"/>
                <w:szCs w:val="20"/>
              </w:rPr>
              <w:t xml:space="preserve">  PBS patient sub-population A (TEMPO 3:4 data)</w:t>
            </w:r>
          </w:p>
        </w:tc>
        <w:tc>
          <w:tcPr>
            <w:tcW w:w="943" w:type="pct"/>
            <w:tcBorders>
              <w:top w:val="single" w:sz="4" w:space="0" w:color="auto"/>
              <w:left w:val="single" w:sz="4" w:space="0" w:color="auto"/>
              <w:bottom w:val="single" w:sz="4" w:space="0" w:color="auto"/>
              <w:right w:val="single" w:sz="4" w:space="0" w:color="auto"/>
            </w:tcBorders>
            <w:noWrap/>
          </w:tcPr>
          <w:p w:rsidR="00C96652" w:rsidRPr="006B1802" w:rsidRDefault="00C96652" w:rsidP="00B93A10">
            <w:pPr>
              <w:pStyle w:val="Tablenormal0"/>
              <w:keepNext/>
              <w:spacing w:before="40" w:after="40" w:line="240" w:lineRule="auto"/>
              <w:jc w:val="left"/>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943" w:type="pct"/>
            <w:tcBorders>
              <w:top w:val="single" w:sz="4" w:space="0" w:color="auto"/>
              <w:left w:val="single" w:sz="4" w:space="0" w:color="auto"/>
              <w:bottom w:val="single" w:sz="4" w:space="0" w:color="auto"/>
              <w:right w:val="single" w:sz="4" w:space="0" w:color="auto"/>
            </w:tcBorders>
          </w:tcPr>
          <w:p w:rsidR="00C96652" w:rsidRPr="006B1802" w:rsidRDefault="00C96652" w:rsidP="00B93A10">
            <w:pPr>
              <w:pStyle w:val="Tablenormal0"/>
              <w:keepNext/>
              <w:spacing w:before="40" w:after="40" w:line="240" w:lineRule="auto"/>
              <w:jc w:val="left"/>
              <w:rPr>
                <w:rFonts w:ascii="Arial Narrow" w:hAnsi="Arial Narrow"/>
                <w:sz w:val="20"/>
                <w:szCs w:val="20"/>
              </w:rPr>
            </w:pPr>
            <w:r w:rsidRPr="006B1802">
              <w:rPr>
                <w:rFonts w:ascii="Arial Narrow" w:hAnsi="Arial Narrow"/>
                <w:sz w:val="20"/>
                <w:szCs w:val="20"/>
              </w:rPr>
              <w:t>0.5500</w:t>
            </w:r>
          </w:p>
        </w:tc>
        <w:tc>
          <w:tcPr>
            <w:tcW w:w="679" w:type="pct"/>
            <w:tcBorders>
              <w:top w:val="single" w:sz="4" w:space="0" w:color="auto"/>
              <w:left w:val="single" w:sz="4" w:space="0" w:color="auto"/>
              <w:bottom w:val="single" w:sz="4" w:space="0" w:color="auto"/>
              <w:right w:val="single" w:sz="4" w:space="0" w:color="auto"/>
            </w:tcBorders>
          </w:tcPr>
          <w:p w:rsidR="00C96652" w:rsidRPr="006B1802" w:rsidRDefault="00C96652" w:rsidP="00B93A10">
            <w:pPr>
              <w:pStyle w:val="Tablenormal0"/>
              <w:keepNext/>
              <w:spacing w:before="40" w:after="40" w:line="240" w:lineRule="auto"/>
              <w:jc w:val="left"/>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r>
      <w:tr w:rsidR="0014764A" w:rsidRPr="006B1802" w:rsidTr="0014764A">
        <w:trPr>
          <w:trHeight w:val="20"/>
        </w:trPr>
        <w:tc>
          <w:tcPr>
            <w:tcW w:w="2435" w:type="pct"/>
            <w:tcBorders>
              <w:top w:val="single" w:sz="4" w:space="0" w:color="auto"/>
              <w:left w:val="single" w:sz="4" w:space="0" w:color="auto"/>
              <w:bottom w:val="single" w:sz="4" w:space="0" w:color="auto"/>
              <w:right w:val="single" w:sz="4" w:space="0" w:color="auto"/>
            </w:tcBorders>
            <w:noWrap/>
          </w:tcPr>
          <w:p w:rsidR="00C96652" w:rsidRPr="006B1802" w:rsidRDefault="00C96652" w:rsidP="00B93A10">
            <w:pPr>
              <w:pStyle w:val="Tablenormal0"/>
              <w:keepNext/>
              <w:spacing w:before="40" w:after="40" w:line="240" w:lineRule="auto"/>
              <w:jc w:val="left"/>
              <w:rPr>
                <w:rFonts w:ascii="Arial Narrow" w:hAnsi="Arial Narrow"/>
                <w:sz w:val="20"/>
                <w:szCs w:val="20"/>
              </w:rPr>
            </w:pPr>
            <w:r w:rsidRPr="006B1802">
              <w:rPr>
                <w:rFonts w:ascii="Arial Narrow" w:hAnsi="Arial Narrow"/>
                <w:sz w:val="20"/>
                <w:szCs w:val="20"/>
              </w:rPr>
              <w:t xml:space="preserve">  PBS patient sub-population B (REPRISE data)</w:t>
            </w:r>
          </w:p>
        </w:tc>
        <w:tc>
          <w:tcPr>
            <w:tcW w:w="943" w:type="pct"/>
            <w:tcBorders>
              <w:top w:val="single" w:sz="4" w:space="0" w:color="auto"/>
              <w:left w:val="single" w:sz="4" w:space="0" w:color="auto"/>
              <w:bottom w:val="single" w:sz="4" w:space="0" w:color="auto"/>
              <w:right w:val="single" w:sz="4" w:space="0" w:color="auto"/>
            </w:tcBorders>
            <w:noWrap/>
          </w:tcPr>
          <w:p w:rsidR="00C96652" w:rsidRPr="006B1802" w:rsidRDefault="00C96652" w:rsidP="00B93A10">
            <w:pPr>
              <w:pStyle w:val="Tablenormal0"/>
              <w:keepNext/>
              <w:spacing w:before="40" w:after="40" w:line="240" w:lineRule="auto"/>
              <w:jc w:val="left"/>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943" w:type="pct"/>
            <w:tcBorders>
              <w:top w:val="single" w:sz="4" w:space="0" w:color="auto"/>
              <w:left w:val="single" w:sz="4" w:space="0" w:color="auto"/>
              <w:bottom w:val="single" w:sz="4" w:space="0" w:color="auto"/>
              <w:right w:val="single" w:sz="4" w:space="0" w:color="auto"/>
            </w:tcBorders>
          </w:tcPr>
          <w:p w:rsidR="00C96652" w:rsidRPr="006B1802" w:rsidRDefault="00C96652" w:rsidP="00B93A10">
            <w:pPr>
              <w:pStyle w:val="Tablenormal0"/>
              <w:keepNext/>
              <w:spacing w:before="40" w:after="40" w:line="240" w:lineRule="auto"/>
              <w:jc w:val="left"/>
              <w:rPr>
                <w:rFonts w:ascii="Arial Narrow" w:hAnsi="Arial Narrow"/>
                <w:sz w:val="20"/>
                <w:szCs w:val="20"/>
              </w:rPr>
            </w:pPr>
            <w:r w:rsidRPr="006B1802">
              <w:rPr>
                <w:rFonts w:ascii="Arial Narrow" w:hAnsi="Arial Narrow"/>
                <w:sz w:val="20"/>
                <w:szCs w:val="20"/>
              </w:rPr>
              <w:t>0.5605</w:t>
            </w:r>
          </w:p>
        </w:tc>
        <w:tc>
          <w:tcPr>
            <w:tcW w:w="679" w:type="pct"/>
            <w:tcBorders>
              <w:top w:val="single" w:sz="4" w:space="0" w:color="auto"/>
              <w:left w:val="single" w:sz="4" w:space="0" w:color="auto"/>
              <w:bottom w:val="single" w:sz="4" w:space="0" w:color="auto"/>
              <w:right w:val="single" w:sz="4" w:space="0" w:color="auto"/>
            </w:tcBorders>
          </w:tcPr>
          <w:p w:rsidR="00C96652" w:rsidRPr="006B1802" w:rsidRDefault="00C96652" w:rsidP="00B93A10">
            <w:pPr>
              <w:pStyle w:val="Tablenormal0"/>
              <w:keepNext/>
              <w:spacing w:before="40" w:after="40" w:line="240" w:lineRule="auto"/>
              <w:jc w:val="left"/>
              <w:rPr>
                <w:rFonts w:ascii="Arial Narrow" w:hAnsi="Arial Narrow"/>
                <w:sz w:val="20"/>
                <w:szCs w:val="20"/>
              </w:rPr>
            </w:pPr>
            <w:r w:rsidRPr="006B1802">
              <w:rPr>
                <w:rFonts w:ascii="Arial Narrow" w:hAnsi="Arial Narrow"/>
                <w:sz w:val="20"/>
                <w:szCs w:val="20"/>
              </w:rPr>
              <w:t>Dominant</w:t>
            </w:r>
          </w:p>
        </w:tc>
      </w:tr>
      <w:tr w:rsidR="0014764A" w:rsidRPr="006B1802" w:rsidTr="0014764A">
        <w:trPr>
          <w:trHeight w:val="20"/>
        </w:trPr>
        <w:tc>
          <w:tcPr>
            <w:tcW w:w="2435" w:type="pct"/>
            <w:tcBorders>
              <w:top w:val="single" w:sz="4" w:space="0" w:color="auto"/>
              <w:left w:val="single" w:sz="4" w:space="0" w:color="auto"/>
              <w:bottom w:val="single" w:sz="4" w:space="0" w:color="auto"/>
              <w:right w:val="single" w:sz="4" w:space="0" w:color="auto"/>
            </w:tcBorders>
            <w:noWrap/>
          </w:tcPr>
          <w:p w:rsidR="00C96652" w:rsidRPr="006B1802" w:rsidRDefault="00C96652" w:rsidP="00B93A10">
            <w:pPr>
              <w:pStyle w:val="Tablenormal0"/>
              <w:keepNext/>
              <w:spacing w:before="40" w:after="40" w:line="240" w:lineRule="auto"/>
              <w:jc w:val="left"/>
              <w:rPr>
                <w:rFonts w:ascii="Arial Narrow" w:hAnsi="Arial Narrow"/>
                <w:sz w:val="20"/>
                <w:szCs w:val="20"/>
              </w:rPr>
            </w:pPr>
            <w:r w:rsidRPr="006B1802">
              <w:rPr>
                <w:rFonts w:ascii="Arial Narrow" w:hAnsi="Arial Narrow"/>
                <w:sz w:val="20"/>
                <w:szCs w:val="20"/>
              </w:rPr>
              <w:t xml:space="preserve">  Overall PBS population – weighted average </w:t>
            </w:r>
            <w:r w:rsidRPr="006B1802">
              <w:rPr>
                <w:rFonts w:ascii="Arial Narrow" w:hAnsi="Arial Narrow"/>
                <w:sz w:val="20"/>
                <w:szCs w:val="20"/>
                <w:vertAlign w:val="superscript"/>
              </w:rPr>
              <w:t>a</w:t>
            </w:r>
            <w:r w:rsidRPr="006B1802">
              <w:rPr>
                <w:rFonts w:ascii="Arial Narrow" w:hAnsi="Arial Narrow"/>
                <w:sz w:val="20"/>
                <w:szCs w:val="20"/>
              </w:rPr>
              <w:t xml:space="preserve">  </w:t>
            </w:r>
          </w:p>
        </w:tc>
        <w:tc>
          <w:tcPr>
            <w:tcW w:w="943" w:type="pct"/>
            <w:tcBorders>
              <w:top w:val="single" w:sz="4" w:space="0" w:color="auto"/>
              <w:left w:val="single" w:sz="4" w:space="0" w:color="auto"/>
              <w:bottom w:val="single" w:sz="4" w:space="0" w:color="auto"/>
              <w:right w:val="single" w:sz="4" w:space="0" w:color="auto"/>
            </w:tcBorders>
            <w:noWrap/>
          </w:tcPr>
          <w:p w:rsidR="00C96652" w:rsidRPr="006B1802" w:rsidRDefault="00C96652" w:rsidP="00B93A10">
            <w:pPr>
              <w:pStyle w:val="Tablenormal0"/>
              <w:keepNext/>
              <w:spacing w:before="40" w:after="40" w:line="240" w:lineRule="auto"/>
              <w:jc w:val="left"/>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943" w:type="pct"/>
            <w:tcBorders>
              <w:top w:val="single" w:sz="4" w:space="0" w:color="auto"/>
              <w:left w:val="single" w:sz="4" w:space="0" w:color="auto"/>
              <w:bottom w:val="single" w:sz="4" w:space="0" w:color="auto"/>
              <w:right w:val="single" w:sz="4" w:space="0" w:color="auto"/>
            </w:tcBorders>
          </w:tcPr>
          <w:p w:rsidR="00C96652" w:rsidRPr="006B1802" w:rsidRDefault="00C96652" w:rsidP="00B93A10">
            <w:pPr>
              <w:pStyle w:val="Tablenormal0"/>
              <w:keepNext/>
              <w:spacing w:before="40" w:after="40" w:line="240" w:lineRule="auto"/>
              <w:jc w:val="left"/>
              <w:rPr>
                <w:rFonts w:ascii="Arial Narrow" w:hAnsi="Arial Narrow"/>
                <w:sz w:val="20"/>
                <w:szCs w:val="20"/>
              </w:rPr>
            </w:pPr>
            <w:r w:rsidRPr="006B1802">
              <w:rPr>
                <w:rFonts w:ascii="Arial Narrow" w:hAnsi="Arial Narrow"/>
                <w:sz w:val="20"/>
                <w:szCs w:val="20"/>
              </w:rPr>
              <w:t>0.5548</w:t>
            </w:r>
          </w:p>
        </w:tc>
        <w:tc>
          <w:tcPr>
            <w:tcW w:w="679" w:type="pct"/>
            <w:tcBorders>
              <w:top w:val="single" w:sz="4" w:space="0" w:color="auto"/>
              <w:left w:val="single" w:sz="4" w:space="0" w:color="auto"/>
              <w:bottom w:val="single" w:sz="4" w:space="0" w:color="auto"/>
              <w:right w:val="single" w:sz="4" w:space="0" w:color="auto"/>
            </w:tcBorders>
          </w:tcPr>
          <w:p w:rsidR="00C96652" w:rsidRPr="006B1802" w:rsidRDefault="00C96652" w:rsidP="00B93A10">
            <w:pPr>
              <w:pStyle w:val="Tablenormal0"/>
              <w:keepNext/>
              <w:spacing w:before="40" w:after="40" w:line="240" w:lineRule="auto"/>
              <w:jc w:val="left"/>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r>
      <w:tr w:rsidR="0014764A" w:rsidRPr="006B1802" w:rsidTr="0014764A">
        <w:trPr>
          <w:trHeight w:val="20"/>
        </w:trPr>
        <w:tc>
          <w:tcPr>
            <w:tcW w:w="5000" w:type="pct"/>
            <w:gridSpan w:val="4"/>
            <w:tcBorders>
              <w:top w:val="single" w:sz="4" w:space="0" w:color="auto"/>
              <w:left w:val="single" w:sz="4" w:space="0" w:color="auto"/>
              <w:bottom w:val="single" w:sz="4" w:space="0" w:color="auto"/>
              <w:right w:val="single" w:sz="4" w:space="0" w:color="auto"/>
            </w:tcBorders>
            <w:noWrap/>
          </w:tcPr>
          <w:p w:rsidR="00C96652" w:rsidRPr="006B1802" w:rsidRDefault="00C96652" w:rsidP="00B93A10">
            <w:pPr>
              <w:pStyle w:val="Tablenormal0"/>
              <w:keepNext/>
              <w:spacing w:before="40" w:after="40" w:line="240" w:lineRule="auto"/>
              <w:jc w:val="left"/>
              <w:rPr>
                <w:rFonts w:ascii="Arial Narrow" w:hAnsi="Arial Narrow"/>
                <w:b/>
                <w:sz w:val="20"/>
                <w:szCs w:val="20"/>
              </w:rPr>
            </w:pPr>
            <w:r w:rsidRPr="006B1802">
              <w:rPr>
                <w:rFonts w:ascii="Arial Narrow" w:hAnsi="Arial Narrow"/>
                <w:b/>
                <w:sz w:val="20"/>
                <w:szCs w:val="20"/>
              </w:rPr>
              <w:t xml:space="preserve">50% loss in tolvaptan efficacy after 5 years </w:t>
            </w:r>
          </w:p>
        </w:tc>
      </w:tr>
      <w:tr w:rsidR="0014764A" w:rsidRPr="006B1802" w:rsidTr="0014764A">
        <w:trPr>
          <w:trHeight w:val="20"/>
        </w:trPr>
        <w:tc>
          <w:tcPr>
            <w:tcW w:w="2435" w:type="pct"/>
            <w:tcBorders>
              <w:top w:val="single" w:sz="4" w:space="0" w:color="auto"/>
              <w:left w:val="single" w:sz="4" w:space="0" w:color="auto"/>
              <w:bottom w:val="single" w:sz="4" w:space="0" w:color="auto"/>
              <w:right w:val="single" w:sz="4" w:space="0" w:color="auto"/>
            </w:tcBorders>
            <w:noWrap/>
          </w:tcPr>
          <w:p w:rsidR="00C96652" w:rsidRPr="006B1802" w:rsidRDefault="00C96652" w:rsidP="00B93A10">
            <w:pPr>
              <w:pStyle w:val="Tablenormal0"/>
              <w:keepNext/>
              <w:spacing w:before="40" w:after="40" w:line="240" w:lineRule="auto"/>
              <w:jc w:val="left"/>
              <w:rPr>
                <w:rFonts w:ascii="Arial Narrow" w:hAnsi="Arial Narrow"/>
                <w:sz w:val="20"/>
                <w:szCs w:val="20"/>
              </w:rPr>
            </w:pPr>
            <w:r w:rsidRPr="006B1802">
              <w:rPr>
                <w:rFonts w:ascii="Arial Narrow" w:hAnsi="Arial Narrow"/>
                <w:sz w:val="20"/>
                <w:szCs w:val="20"/>
              </w:rPr>
              <w:t xml:space="preserve">  PBS patient sub-population A (TEMPO 3:4 data)</w:t>
            </w:r>
          </w:p>
        </w:tc>
        <w:tc>
          <w:tcPr>
            <w:tcW w:w="943" w:type="pct"/>
            <w:tcBorders>
              <w:top w:val="single" w:sz="4" w:space="0" w:color="auto"/>
              <w:left w:val="single" w:sz="4" w:space="0" w:color="auto"/>
              <w:bottom w:val="single" w:sz="4" w:space="0" w:color="auto"/>
              <w:right w:val="single" w:sz="4" w:space="0" w:color="auto"/>
            </w:tcBorders>
            <w:noWrap/>
          </w:tcPr>
          <w:p w:rsidR="00C96652" w:rsidRPr="006B1802" w:rsidRDefault="00C96652" w:rsidP="00B93A10">
            <w:pPr>
              <w:pStyle w:val="Tablenormal0"/>
              <w:keepNext/>
              <w:spacing w:before="40" w:after="40" w:line="240" w:lineRule="auto"/>
              <w:jc w:val="left"/>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943" w:type="pct"/>
            <w:tcBorders>
              <w:top w:val="single" w:sz="4" w:space="0" w:color="auto"/>
              <w:left w:val="single" w:sz="4" w:space="0" w:color="auto"/>
              <w:bottom w:val="single" w:sz="4" w:space="0" w:color="auto"/>
              <w:right w:val="single" w:sz="4" w:space="0" w:color="auto"/>
            </w:tcBorders>
          </w:tcPr>
          <w:p w:rsidR="00C96652" w:rsidRPr="006B1802" w:rsidRDefault="00C96652" w:rsidP="00B93A10">
            <w:pPr>
              <w:pStyle w:val="Tablenormal0"/>
              <w:keepNext/>
              <w:spacing w:before="40" w:after="40" w:line="240" w:lineRule="auto"/>
              <w:jc w:val="left"/>
              <w:rPr>
                <w:rFonts w:ascii="Arial Narrow" w:hAnsi="Arial Narrow"/>
                <w:sz w:val="20"/>
                <w:szCs w:val="20"/>
              </w:rPr>
            </w:pPr>
            <w:r w:rsidRPr="006B1802">
              <w:rPr>
                <w:rFonts w:ascii="Arial Narrow" w:hAnsi="Arial Narrow"/>
                <w:sz w:val="20"/>
                <w:szCs w:val="20"/>
              </w:rPr>
              <w:t>0.3907</w:t>
            </w:r>
          </w:p>
        </w:tc>
        <w:tc>
          <w:tcPr>
            <w:tcW w:w="679" w:type="pct"/>
            <w:tcBorders>
              <w:top w:val="single" w:sz="4" w:space="0" w:color="auto"/>
              <w:left w:val="single" w:sz="4" w:space="0" w:color="auto"/>
              <w:bottom w:val="single" w:sz="4" w:space="0" w:color="auto"/>
              <w:right w:val="single" w:sz="4" w:space="0" w:color="auto"/>
            </w:tcBorders>
          </w:tcPr>
          <w:p w:rsidR="00C96652" w:rsidRPr="006B1802" w:rsidRDefault="00C96652" w:rsidP="00B93A10">
            <w:pPr>
              <w:pStyle w:val="Tablenormal0"/>
              <w:keepNext/>
              <w:spacing w:before="40" w:after="40" w:line="240" w:lineRule="auto"/>
              <w:jc w:val="left"/>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r>
      <w:tr w:rsidR="0014764A" w:rsidRPr="006B1802" w:rsidTr="0014764A">
        <w:trPr>
          <w:trHeight w:val="20"/>
        </w:trPr>
        <w:tc>
          <w:tcPr>
            <w:tcW w:w="2435" w:type="pct"/>
            <w:tcBorders>
              <w:top w:val="single" w:sz="4" w:space="0" w:color="auto"/>
              <w:left w:val="single" w:sz="4" w:space="0" w:color="auto"/>
              <w:bottom w:val="single" w:sz="4" w:space="0" w:color="auto"/>
              <w:right w:val="single" w:sz="4" w:space="0" w:color="auto"/>
            </w:tcBorders>
            <w:noWrap/>
          </w:tcPr>
          <w:p w:rsidR="00C96652" w:rsidRPr="006B1802" w:rsidRDefault="00C96652" w:rsidP="00B93A10">
            <w:pPr>
              <w:pStyle w:val="Tablenormal0"/>
              <w:keepNext/>
              <w:spacing w:before="40" w:after="40" w:line="240" w:lineRule="auto"/>
              <w:jc w:val="left"/>
              <w:rPr>
                <w:rFonts w:ascii="Arial Narrow" w:hAnsi="Arial Narrow"/>
                <w:sz w:val="20"/>
                <w:szCs w:val="20"/>
              </w:rPr>
            </w:pPr>
            <w:r w:rsidRPr="006B1802">
              <w:rPr>
                <w:rFonts w:ascii="Arial Narrow" w:hAnsi="Arial Narrow"/>
                <w:sz w:val="20"/>
                <w:szCs w:val="20"/>
              </w:rPr>
              <w:t xml:space="preserve">  PBS patient sub-population B (REPRISE data)</w:t>
            </w:r>
          </w:p>
        </w:tc>
        <w:tc>
          <w:tcPr>
            <w:tcW w:w="943" w:type="pct"/>
            <w:tcBorders>
              <w:top w:val="single" w:sz="4" w:space="0" w:color="auto"/>
              <w:left w:val="single" w:sz="4" w:space="0" w:color="auto"/>
              <w:bottom w:val="single" w:sz="4" w:space="0" w:color="auto"/>
              <w:right w:val="single" w:sz="4" w:space="0" w:color="auto"/>
            </w:tcBorders>
            <w:noWrap/>
          </w:tcPr>
          <w:p w:rsidR="00C96652" w:rsidRPr="006B1802" w:rsidRDefault="00C96652" w:rsidP="00B93A10">
            <w:pPr>
              <w:pStyle w:val="Tablenormal0"/>
              <w:keepNext/>
              <w:spacing w:before="40" w:after="40" w:line="240" w:lineRule="auto"/>
              <w:jc w:val="left"/>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943" w:type="pct"/>
            <w:tcBorders>
              <w:top w:val="single" w:sz="4" w:space="0" w:color="auto"/>
              <w:left w:val="single" w:sz="4" w:space="0" w:color="auto"/>
              <w:bottom w:val="single" w:sz="4" w:space="0" w:color="auto"/>
              <w:right w:val="single" w:sz="4" w:space="0" w:color="auto"/>
            </w:tcBorders>
          </w:tcPr>
          <w:p w:rsidR="00C96652" w:rsidRPr="006B1802" w:rsidRDefault="00C96652" w:rsidP="00B93A10">
            <w:pPr>
              <w:pStyle w:val="Tablenormal0"/>
              <w:keepNext/>
              <w:spacing w:before="40" w:after="40" w:line="240" w:lineRule="auto"/>
              <w:jc w:val="left"/>
              <w:rPr>
                <w:rFonts w:ascii="Arial Narrow" w:hAnsi="Arial Narrow"/>
                <w:sz w:val="20"/>
                <w:szCs w:val="20"/>
              </w:rPr>
            </w:pPr>
            <w:r w:rsidRPr="006B1802">
              <w:rPr>
                <w:rFonts w:ascii="Arial Narrow" w:hAnsi="Arial Narrow"/>
                <w:sz w:val="20"/>
                <w:szCs w:val="20"/>
              </w:rPr>
              <w:t>0.4471</w:t>
            </w:r>
          </w:p>
        </w:tc>
        <w:tc>
          <w:tcPr>
            <w:tcW w:w="679" w:type="pct"/>
            <w:tcBorders>
              <w:top w:val="single" w:sz="4" w:space="0" w:color="auto"/>
              <w:left w:val="single" w:sz="4" w:space="0" w:color="auto"/>
              <w:bottom w:val="single" w:sz="4" w:space="0" w:color="auto"/>
              <w:right w:val="single" w:sz="4" w:space="0" w:color="auto"/>
            </w:tcBorders>
          </w:tcPr>
          <w:p w:rsidR="00C96652" w:rsidRPr="006B1802" w:rsidRDefault="00C96652" w:rsidP="00B93A10">
            <w:pPr>
              <w:pStyle w:val="Tablenormal0"/>
              <w:keepNext/>
              <w:spacing w:before="40" w:after="40" w:line="240" w:lineRule="auto"/>
              <w:jc w:val="left"/>
              <w:rPr>
                <w:rFonts w:ascii="Arial Narrow" w:hAnsi="Arial Narrow"/>
                <w:sz w:val="20"/>
                <w:szCs w:val="20"/>
              </w:rPr>
            </w:pPr>
            <w:r w:rsidRPr="006B1802">
              <w:rPr>
                <w:rFonts w:ascii="Arial Narrow" w:hAnsi="Arial Narrow"/>
                <w:sz w:val="20"/>
                <w:szCs w:val="20"/>
              </w:rPr>
              <w:t>Dominant</w:t>
            </w:r>
          </w:p>
        </w:tc>
      </w:tr>
      <w:tr w:rsidR="0014764A" w:rsidRPr="006B1802" w:rsidTr="0014764A">
        <w:trPr>
          <w:trHeight w:val="20"/>
        </w:trPr>
        <w:tc>
          <w:tcPr>
            <w:tcW w:w="2435" w:type="pct"/>
            <w:tcBorders>
              <w:top w:val="single" w:sz="4" w:space="0" w:color="auto"/>
              <w:left w:val="single" w:sz="4" w:space="0" w:color="auto"/>
              <w:bottom w:val="single" w:sz="4" w:space="0" w:color="auto"/>
              <w:right w:val="single" w:sz="4" w:space="0" w:color="auto"/>
            </w:tcBorders>
            <w:noWrap/>
          </w:tcPr>
          <w:p w:rsidR="00C96652" w:rsidRPr="006B1802" w:rsidRDefault="00C96652" w:rsidP="00B93A10">
            <w:pPr>
              <w:pStyle w:val="Tablenormal0"/>
              <w:keepNext/>
              <w:spacing w:before="40" w:after="40" w:line="240" w:lineRule="auto"/>
              <w:jc w:val="left"/>
              <w:rPr>
                <w:rFonts w:ascii="Arial Narrow" w:hAnsi="Arial Narrow"/>
                <w:sz w:val="20"/>
                <w:szCs w:val="20"/>
              </w:rPr>
            </w:pPr>
            <w:r w:rsidRPr="006B1802">
              <w:rPr>
                <w:rFonts w:ascii="Arial Narrow" w:hAnsi="Arial Narrow"/>
                <w:sz w:val="20"/>
                <w:szCs w:val="20"/>
              </w:rPr>
              <w:t xml:space="preserve">  Overall PBS population – weighted average </w:t>
            </w:r>
            <w:r w:rsidRPr="006B1802">
              <w:rPr>
                <w:rFonts w:ascii="Arial Narrow" w:hAnsi="Arial Narrow"/>
                <w:sz w:val="20"/>
                <w:szCs w:val="20"/>
                <w:vertAlign w:val="superscript"/>
              </w:rPr>
              <w:t>a</w:t>
            </w:r>
            <w:r w:rsidRPr="006B1802">
              <w:rPr>
                <w:rFonts w:ascii="Arial Narrow" w:hAnsi="Arial Narrow"/>
                <w:sz w:val="20"/>
                <w:szCs w:val="20"/>
              </w:rPr>
              <w:t xml:space="preserve">  </w:t>
            </w:r>
          </w:p>
        </w:tc>
        <w:tc>
          <w:tcPr>
            <w:tcW w:w="943" w:type="pct"/>
            <w:tcBorders>
              <w:top w:val="single" w:sz="4" w:space="0" w:color="auto"/>
              <w:left w:val="single" w:sz="4" w:space="0" w:color="auto"/>
              <w:bottom w:val="single" w:sz="4" w:space="0" w:color="auto"/>
              <w:right w:val="single" w:sz="4" w:space="0" w:color="auto"/>
            </w:tcBorders>
            <w:noWrap/>
          </w:tcPr>
          <w:p w:rsidR="00C96652" w:rsidRPr="006B1802" w:rsidRDefault="00C96652" w:rsidP="00B93A10">
            <w:pPr>
              <w:pStyle w:val="Tablenormal0"/>
              <w:keepNext/>
              <w:spacing w:before="40" w:after="40" w:line="240" w:lineRule="auto"/>
              <w:jc w:val="left"/>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943" w:type="pct"/>
            <w:tcBorders>
              <w:top w:val="single" w:sz="4" w:space="0" w:color="auto"/>
              <w:left w:val="single" w:sz="4" w:space="0" w:color="auto"/>
              <w:bottom w:val="single" w:sz="4" w:space="0" w:color="auto"/>
              <w:right w:val="single" w:sz="4" w:space="0" w:color="auto"/>
            </w:tcBorders>
          </w:tcPr>
          <w:p w:rsidR="00C96652" w:rsidRPr="006B1802" w:rsidRDefault="00C96652" w:rsidP="00B93A10">
            <w:pPr>
              <w:pStyle w:val="Tablenormal0"/>
              <w:keepNext/>
              <w:spacing w:before="40" w:after="40" w:line="240" w:lineRule="auto"/>
              <w:jc w:val="left"/>
              <w:rPr>
                <w:rFonts w:ascii="Arial Narrow" w:hAnsi="Arial Narrow"/>
                <w:sz w:val="20"/>
                <w:szCs w:val="20"/>
              </w:rPr>
            </w:pPr>
            <w:r w:rsidRPr="006B1802">
              <w:rPr>
                <w:rFonts w:ascii="Arial Narrow" w:hAnsi="Arial Narrow"/>
                <w:sz w:val="20"/>
                <w:szCs w:val="20"/>
              </w:rPr>
              <w:t>0.4166</w:t>
            </w:r>
          </w:p>
        </w:tc>
        <w:tc>
          <w:tcPr>
            <w:tcW w:w="679" w:type="pct"/>
            <w:tcBorders>
              <w:top w:val="single" w:sz="4" w:space="0" w:color="auto"/>
              <w:left w:val="single" w:sz="4" w:space="0" w:color="auto"/>
              <w:bottom w:val="single" w:sz="4" w:space="0" w:color="auto"/>
              <w:right w:val="single" w:sz="4" w:space="0" w:color="auto"/>
            </w:tcBorders>
          </w:tcPr>
          <w:p w:rsidR="00C96652" w:rsidRPr="006B1802" w:rsidRDefault="00C96652" w:rsidP="00B93A10">
            <w:pPr>
              <w:pStyle w:val="Tablenormal0"/>
              <w:keepNext/>
              <w:spacing w:before="40" w:after="40" w:line="240" w:lineRule="auto"/>
              <w:jc w:val="left"/>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r>
      <w:tr w:rsidR="0014764A" w:rsidRPr="006B1802" w:rsidTr="0014764A">
        <w:trPr>
          <w:trHeight w:val="20"/>
        </w:trPr>
        <w:tc>
          <w:tcPr>
            <w:tcW w:w="5000" w:type="pct"/>
            <w:gridSpan w:val="4"/>
            <w:tcBorders>
              <w:top w:val="single" w:sz="4" w:space="0" w:color="auto"/>
              <w:left w:val="single" w:sz="4" w:space="0" w:color="auto"/>
              <w:bottom w:val="single" w:sz="4" w:space="0" w:color="auto"/>
              <w:right w:val="single" w:sz="4" w:space="0" w:color="auto"/>
            </w:tcBorders>
            <w:noWrap/>
          </w:tcPr>
          <w:p w:rsidR="00C96652" w:rsidRPr="006B1802" w:rsidRDefault="00C96652" w:rsidP="00B93A10">
            <w:pPr>
              <w:pStyle w:val="Tablenormal0"/>
              <w:keepNext/>
              <w:spacing w:before="40" w:after="40" w:line="240" w:lineRule="auto"/>
              <w:jc w:val="left"/>
              <w:rPr>
                <w:rFonts w:ascii="Arial Narrow" w:hAnsi="Arial Narrow"/>
                <w:sz w:val="20"/>
                <w:szCs w:val="20"/>
              </w:rPr>
            </w:pPr>
            <w:r w:rsidRPr="006B1802">
              <w:rPr>
                <w:rFonts w:ascii="Arial Narrow" w:hAnsi="Arial Narrow"/>
                <w:b/>
                <w:sz w:val="20"/>
                <w:szCs w:val="20"/>
              </w:rPr>
              <w:t>50% loss in tolvaptan efficacy after 10 years</w:t>
            </w:r>
          </w:p>
        </w:tc>
      </w:tr>
      <w:tr w:rsidR="0014764A" w:rsidRPr="006B1802" w:rsidTr="0014764A">
        <w:trPr>
          <w:trHeight w:val="20"/>
        </w:trPr>
        <w:tc>
          <w:tcPr>
            <w:tcW w:w="2435" w:type="pct"/>
            <w:tcBorders>
              <w:top w:val="single" w:sz="4" w:space="0" w:color="auto"/>
              <w:left w:val="single" w:sz="4" w:space="0" w:color="auto"/>
              <w:bottom w:val="single" w:sz="4" w:space="0" w:color="auto"/>
              <w:right w:val="single" w:sz="4" w:space="0" w:color="auto"/>
            </w:tcBorders>
            <w:noWrap/>
          </w:tcPr>
          <w:p w:rsidR="00C96652" w:rsidRPr="006B1802" w:rsidRDefault="00C96652" w:rsidP="00B93A10">
            <w:pPr>
              <w:pStyle w:val="Tablenormal0"/>
              <w:keepNext/>
              <w:spacing w:before="40" w:after="40" w:line="240" w:lineRule="auto"/>
              <w:jc w:val="left"/>
              <w:rPr>
                <w:rFonts w:ascii="Arial Narrow" w:hAnsi="Arial Narrow"/>
                <w:sz w:val="20"/>
                <w:szCs w:val="20"/>
              </w:rPr>
            </w:pPr>
            <w:r w:rsidRPr="006B1802">
              <w:rPr>
                <w:rFonts w:ascii="Arial Narrow" w:hAnsi="Arial Narrow"/>
                <w:sz w:val="20"/>
                <w:szCs w:val="20"/>
              </w:rPr>
              <w:t xml:space="preserve">  PBS patient sub-population A (TEMPO 3:4 data)</w:t>
            </w:r>
          </w:p>
        </w:tc>
        <w:tc>
          <w:tcPr>
            <w:tcW w:w="943" w:type="pct"/>
            <w:tcBorders>
              <w:top w:val="single" w:sz="4" w:space="0" w:color="auto"/>
              <w:left w:val="single" w:sz="4" w:space="0" w:color="auto"/>
              <w:bottom w:val="single" w:sz="4" w:space="0" w:color="auto"/>
              <w:right w:val="single" w:sz="4" w:space="0" w:color="auto"/>
            </w:tcBorders>
            <w:noWrap/>
          </w:tcPr>
          <w:p w:rsidR="00C96652" w:rsidRPr="006B1802" w:rsidRDefault="00C96652" w:rsidP="00B93A10">
            <w:pPr>
              <w:pStyle w:val="Tablenormal0"/>
              <w:keepNext/>
              <w:spacing w:before="40" w:after="40" w:line="240" w:lineRule="auto"/>
              <w:jc w:val="left"/>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943" w:type="pct"/>
            <w:tcBorders>
              <w:top w:val="single" w:sz="4" w:space="0" w:color="auto"/>
              <w:left w:val="single" w:sz="4" w:space="0" w:color="auto"/>
              <w:bottom w:val="single" w:sz="4" w:space="0" w:color="auto"/>
              <w:right w:val="single" w:sz="4" w:space="0" w:color="auto"/>
            </w:tcBorders>
          </w:tcPr>
          <w:p w:rsidR="00C96652" w:rsidRPr="006B1802" w:rsidRDefault="00C96652" w:rsidP="00B93A10">
            <w:pPr>
              <w:pStyle w:val="Tablenormal0"/>
              <w:keepNext/>
              <w:spacing w:before="40" w:after="40" w:line="240" w:lineRule="auto"/>
              <w:jc w:val="left"/>
              <w:rPr>
                <w:rFonts w:ascii="Arial Narrow" w:hAnsi="Arial Narrow"/>
                <w:sz w:val="20"/>
                <w:szCs w:val="20"/>
              </w:rPr>
            </w:pPr>
            <w:r w:rsidRPr="006B1802">
              <w:rPr>
                <w:rFonts w:ascii="Arial Narrow" w:hAnsi="Arial Narrow"/>
                <w:sz w:val="20"/>
                <w:szCs w:val="20"/>
              </w:rPr>
              <w:t>0.4823</w:t>
            </w:r>
          </w:p>
        </w:tc>
        <w:tc>
          <w:tcPr>
            <w:tcW w:w="679" w:type="pct"/>
            <w:tcBorders>
              <w:top w:val="single" w:sz="4" w:space="0" w:color="auto"/>
              <w:left w:val="single" w:sz="4" w:space="0" w:color="auto"/>
              <w:bottom w:val="single" w:sz="4" w:space="0" w:color="auto"/>
              <w:right w:val="single" w:sz="4" w:space="0" w:color="auto"/>
            </w:tcBorders>
          </w:tcPr>
          <w:p w:rsidR="00C96652" w:rsidRPr="006B1802" w:rsidRDefault="00C96652" w:rsidP="00B93A10">
            <w:pPr>
              <w:pStyle w:val="Tablenormal0"/>
              <w:keepNext/>
              <w:spacing w:before="40" w:after="40" w:line="240" w:lineRule="auto"/>
              <w:jc w:val="left"/>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r>
      <w:tr w:rsidR="0014764A" w:rsidRPr="006B1802" w:rsidTr="0014764A">
        <w:trPr>
          <w:trHeight w:val="20"/>
        </w:trPr>
        <w:tc>
          <w:tcPr>
            <w:tcW w:w="2435" w:type="pct"/>
            <w:tcBorders>
              <w:top w:val="single" w:sz="4" w:space="0" w:color="auto"/>
              <w:left w:val="single" w:sz="4" w:space="0" w:color="auto"/>
              <w:bottom w:val="single" w:sz="4" w:space="0" w:color="auto"/>
              <w:right w:val="single" w:sz="4" w:space="0" w:color="auto"/>
            </w:tcBorders>
            <w:noWrap/>
          </w:tcPr>
          <w:p w:rsidR="00C96652" w:rsidRPr="006B1802" w:rsidRDefault="00C96652" w:rsidP="00B93A10">
            <w:pPr>
              <w:pStyle w:val="Tablenormal0"/>
              <w:keepNext/>
              <w:spacing w:before="40" w:after="40" w:line="240" w:lineRule="auto"/>
              <w:jc w:val="left"/>
              <w:rPr>
                <w:rFonts w:ascii="Arial Narrow" w:hAnsi="Arial Narrow"/>
                <w:sz w:val="20"/>
                <w:szCs w:val="20"/>
              </w:rPr>
            </w:pPr>
            <w:r w:rsidRPr="006B1802">
              <w:rPr>
                <w:rFonts w:ascii="Arial Narrow" w:hAnsi="Arial Narrow"/>
                <w:sz w:val="20"/>
                <w:szCs w:val="20"/>
              </w:rPr>
              <w:t xml:space="preserve">  PBS patient sub-population B (REPRISE data)</w:t>
            </w:r>
          </w:p>
        </w:tc>
        <w:tc>
          <w:tcPr>
            <w:tcW w:w="943" w:type="pct"/>
            <w:tcBorders>
              <w:top w:val="single" w:sz="4" w:space="0" w:color="auto"/>
              <w:left w:val="single" w:sz="4" w:space="0" w:color="auto"/>
              <w:bottom w:val="single" w:sz="4" w:space="0" w:color="auto"/>
              <w:right w:val="single" w:sz="4" w:space="0" w:color="auto"/>
            </w:tcBorders>
            <w:noWrap/>
          </w:tcPr>
          <w:p w:rsidR="00C96652" w:rsidRPr="006B1802" w:rsidRDefault="00C96652" w:rsidP="00B93A10">
            <w:pPr>
              <w:pStyle w:val="Tablenormal0"/>
              <w:keepNext/>
              <w:spacing w:before="40" w:after="40" w:line="240" w:lineRule="auto"/>
              <w:jc w:val="left"/>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943" w:type="pct"/>
            <w:tcBorders>
              <w:top w:val="single" w:sz="4" w:space="0" w:color="auto"/>
              <w:left w:val="single" w:sz="4" w:space="0" w:color="auto"/>
              <w:bottom w:val="single" w:sz="4" w:space="0" w:color="auto"/>
              <w:right w:val="single" w:sz="4" w:space="0" w:color="auto"/>
            </w:tcBorders>
          </w:tcPr>
          <w:p w:rsidR="00C96652" w:rsidRPr="006B1802" w:rsidRDefault="00C96652" w:rsidP="00B93A10">
            <w:pPr>
              <w:pStyle w:val="Tablenormal0"/>
              <w:keepNext/>
              <w:spacing w:before="40" w:after="40" w:line="240" w:lineRule="auto"/>
              <w:jc w:val="left"/>
              <w:rPr>
                <w:rFonts w:ascii="Arial Narrow" w:hAnsi="Arial Narrow"/>
                <w:sz w:val="20"/>
                <w:szCs w:val="20"/>
              </w:rPr>
            </w:pPr>
            <w:r w:rsidRPr="006B1802">
              <w:rPr>
                <w:rFonts w:ascii="Arial Narrow" w:hAnsi="Arial Narrow"/>
                <w:sz w:val="20"/>
                <w:szCs w:val="20"/>
              </w:rPr>
              <w:t>0.5316</w:t>
            </w:r>
          </w:p>
        </w:tc>
        <w:tc>
          <w:tcPr>
            <w:tcW w:w="679" w:type="pct"/>
            <w:tcBorders>
              <w:top w:val="single" w:sz="4" w:space="0" w:color="auto"/>
              <w:left w:val="single" w:sz="4" w:space="0" w:color="auto"/>
              <w:bottom w:val="single" w:sz="4" w:space="0" w:color="auto"/>
              <w:right w:val="single" w:sz="4" w:space="0" w:color="auto"/>
            </w:tcBorders>
          </w:tcPr>
          <w:p w:rsidR="00C96652" w:rsidRPr="006B1802" w:rsidRDefault="00C96652" w:rsidP="00B93A10">
            <w:pPr>
              <w:pStyle w:val="Tablenormal0"/>
              <w:keepNext/>
              <w:spacing w:before="40" w:after="40" w:line="240" w:lineRule="auto"/>
              <w:jc w:val="left"/>
              <w:rPr>
                <w:rFonts w:ascii="Arial Narrow" w:hAnsi="Arial Narrow"/>
                <w:sz w:val="20"/>
                <w:szCs w:val="20"/>
              </w:rPr>
            </w:pPr>
            <w:r w:rsidRPr="006B1802">
              <w:rPr>
                <w:rFonts w:ascii="Arial Narrow" w:hAnsi="Arial Narrow"/>
                <w:sz w:val="20"/>
                <w:szCs w:val="20"/>
              </w:rPr>
              <w:t>Dominant</w:t>
            </w:r>
          </w:p>
        </w:tc>
      </w:tr>
      <w:tr w:rsidR="0014764A" w:rsidRPr="006B1802" w:rsidTr="0014764A">
        <w:trPr>
          <w:trHeight w:val="20"/>
        </w:trPr>
        <w:tc>
          <w:tcPr>
            <w:tcW w:w="2435" w:type="pct"/>
            <w:tcBorders>
              <w:top w:val="single" w:sz="4" w:space="0" w:color="auto"/>
              <w:left w:val="single" w:sz="4" w:space="0" w:color="auto"/>
              <w:bottom w:val="single" w:sz="4" w:space="0" w:color="auto"/>
              <w:right w:val="single" w:sz="4" w:space="0" w:color="auto"/>
            </w:tcBorders>
            <w:noWrap/>
          </w:tcPr>
          <w:p w:rsidR="00C96652" w:rsidRPr="006B1802" w:rsidRDefault="00C96652" w:rsidP="00B93A10">
            <w:pPr>
              <w:pStyle w:val="Tablenormal0"/>
              <w:keepNext/>
              <w:spacing w:before="40" w:after="40" w:line="240" w:lineRule="auto"/>
              <w:jc w:val="left"/>
              <w:rPr>
                <w:rFonts w:ascii="Arial Narrow" w:hAnsi="Arial Narrow"/>
                <w:sz w:val="20"/>
                <w:szCs w:val="20"/>
              </w:rPr>
            </w:pPr>
            <w:r w:rsidRPr="006B1802">
              <w:rPr>
                <w:rFonts w:ascii="Arial Narrow" w:hAnsi="Arial Narrow"/>
                <w:sz w:val="20"/>
                <w:szCs w:val="20"/>
              </w:rPr>
              <w:t xml:space="preserve">  Overall PBS population – weighted average </w:t>
            </w:r>
            <w:r w:rsidRPr="006B1802">
              <w:rPr>
                <w:rFonts w:ascii="Arial Narrow" w:hAnsi="Arial Narrow"/>
                <w:sz w:val="20"/>
                <w:szCs w:val="20"/>
                <w:vertAlign w:val="superscript"/>
              </w:rPr>
              <w:t>a</w:t>
            </w:r>
          </w:p>
        </w:tc>
        <w:tc>
          <w:tcPr>
            <w:tcW w:w="943" w:type="pct"/>
            <w:tcBorders>
              <w:top w:val="single" w:sz="4" w:space="0" w:color="auto"/>
              <w:left w:val="single" w:sz="4" w:space="0" w:color="auto"/>
              <w:bottom w:val="single" w:sz="4" w:space="0" w:color="auto"/>
              <w:right w:val="single" w:sz="4" w:space="0" w:color="auto"/>
            </w:tcBorders>
            <w:noWrap/>
          </w:tcPr>
          <w:p w:rsidR="00C96652" w:rsidRPr="006B1802" w:rsidRDefault="00C96652" w:rsidP="00B93A10">
            <w:pPr>
              <w:pStyle w:val="Tablenormal0"/>
              <w:keepNext/>
              <w:spacing w:before="40" w:after="40" w:line="240" w:lineRule="auto"/>
              <w:jc w:val="left"/>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943" w:type="pct"/>
            <w:tcBorders>
              <w:top w:val="single" w:sz="4" w:space="0" w:color="auto"/>
              <w:left w:val="single" w:sz="4" w:space="0" w:color="auto"/>
              <w:bottom w:val="single" w:sz="4" w:space="0" w:color="auto"/>
              <w:right w:val="single" w:sz="4" w:space="0" w:color="auto"/>
            </w:tcBorders>
          </w:tcPr>
          <w:p w:rsidR="00C96652" w:rsidRPr="006B1802" w:rsidRDefault="00C96652" w:rsidP="00B93A10">
            <w:pPr>
              <w:pStyle w:val="Tablenormal0"/>
              <w:keepNext/>
              <w:spacing w:before="40" w:after="40" w:line="240" w:lineRule="auto"/>
              <w:jc w:val="left"/>
              <w:rPr>
                <w:rFonts w:ascii="Arial Narrow" w:hAnsi="Arial Narrow"/>
                <w:sz w:val="20"/>
                <w:szCs w:val="20"/>
              </w:rPr>
            </w:pPr>
            <w:r w:rsidRPr="006B1802">
              <w:rPr>
                <w:rFonts w:ascii="Arial Narrow" w:hAnsi="Arial Narrow"/>
                <w:sz w:val="20"/>
                <w:szCs w:val="20"/>
              </w:rPr>
              <w:t>0.5049</w:t>
            </w:r>
          </w:p>
        </w:tc>
        <w:tc>
          <w:tcPr>
            <w:tcW w:w="679" w:type="pct"/>
            <w:tcBorders>
              <w:top w:val="single" w:sz="4" w:space="0" w:color="auto"/>
              <w:left w:val="single" w:sz="4" w:space="0" w:color="auto"/>
              <w:bottom w:val="single" w:sz="4" w:space="0" w:color="auto"/>
              <w:right w:val="single" w:sz="4" w:space="0" w:color="auto"/>
            </w:tcBorders>
          </w:tcPr>
          <w:p w:rsidR="00C96652" w:rsidRPr="006B1802" w:rsidRDefault="00C96652" w:rsidP="00B93A10">
            <w:pPr>
              <w:pStyle w:val="Tablenormal0"/>
              <w:keepNext/>
              <w:spacing w:before="40" w:after="40" w:line="240" w:lineRule="auto"/>
              <w:jc w:val="left"/>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r>
    </w:tbl>
    <w:p w:rsidR="00C96652" w:rsidRPr="006B1802" w:rsidRDefault="00C96652" w:rsidP="00B93A10">
      <w:pPr>
        <w:pStyle w:val="Tablenotes0"/>
        <w:rPr>
          <w:sz w:val="18"/>
          <w:szCs w:val="18"/>
        </w:rPr>
      </w:pPr>
      <w:r w:rsidRPr="006B1802">
        <w:rPr>
          <w:sz w:val="18"/>
          <w:szCs w:val="18"/>
        </w:rPr>
        <w:t xml:space="preserve">Source: Table 3-3, p16 of the minor resubmission </w:t>
      </w:r>
    </w:p>
    <w:p w:rsidR="00C96652" w:rsidRPr="006B1802" w:rsidRDefault="00C96652" w:rsidP="00B93A10">
      <w:pPr>
        <w:pStyle w:val="Tablenotes0"/>
        <w:spacing w:before="120" w:after="160"/>
        <w:contextualSpacing w:val="0"/>
        <w:rPr>
          <w:sz w:val="18"/>
          <w:szCs w:val="18"/>
        </w:rPr>
      </w:pPr>
      <w:proofErr w:type="gramStart"/>
      <w:r w:rsidRPr="006B1802">
        <w:rPr>
          <w:sz w:val="18"/>
          <w:szCs w:val="18"/>
          <w:vertAlign w:val="superscript"/>
        </w:rPr>
        <w:t>a</w:t>
      </w:r>
      <w:proofErr w:type="gramEnd"/>
      <w:r w:rsidRPr="006B1802">
        <w:rPr>
          <w:sz w:val="18"/>
          <w:szCs w:val="18"/>
        </w:rPr>
        <w:t xml:space="preserve"> 61.2% = A and B overlap (average between the 2 estimates); 23.5% = A only; 15.3% = B only (based on the THIN data, see the March 2018 submission for full details). </w:t>
      </w:r>
    </w:p>
    <w:p w:rsidR="00C73A73" w:rsidRPr="00C73A73" w:rsidRDefault="009322AC" w:rsidP="00C73A73">
      <w:pPr>
        <w:spacing w:after="120"/>
        <w:jc w:val="both"/>
        <w:rPr>
          <w:rFonts w:asciiTheme="minorHAnsi" w:hAnsiTheme="minorHAnsi"/>
        </w:rPr>
      </w:pPr>
      <w:r>
        <w:rPr>
          <w:rFonts w:asciiTheme="minorHAnsi" w:hAnsiTheme="minorHAnsi"/>
        </w:rPr>
        <w:t xml:space="preserve">The redacted table shows ICERs in the range of less than $15,000/QALY - $75,000/QALY. </w:t>
      </w:r>
    </w:p>
    <w:p w:rsidR="0014764A" w:rsidRPr="006B1802" w:rsidRDefault="0014764A" w:rsidP="00B93A10">
      <w:pPr>
        <w:numPr>
          <w:ilvl w:val="1"/>
          <w:numId w:val="5"/>
        </w:numPr>
        <w:spacing w:after="120"/>
        <w:jc w:val="both"/>
        <w:rPr>
          <w:rFonts w:asciiTheme="minorHAnsi" w:hAnsiTheme="minorHAnsi"/>
        </w:rPr>
      </w:pPr>
      <w:r w:rsidRPr="006B1802">
        <w:rPr>
          <w:rFonts w:asciiTheme="minorHAnsi" w:hAnsiTheme="minorHAnsi" w:cstheme="minorHAnsi"/>
        </w:rPr>
        <w:t xml:space="preserve">These sensitivity analyses did not reliably address the long-term treatment effect as the model </w:t>
      </w:r>
      <w:r w:rsidR="0080214C" w:rsidRPr="006B1802">
        <w:rPr>
          <w:rFonts w:asciiTheme="minorHAnsi" w:hAnsiTheme="minorHAnsi" w:cstheme="minorHAnsi"/>
        </w:rPr>
        <w:t xml:space="preserve">estimated </w:t>
      </w:r>
      <w:proofErr w:type="gramStart"/>
      <w:r w:rsidRPr="006B1802">
        <w:rPr>
          <w:rFonts w:asciiTheme="minorHAnsi" w:hAnsiTheme="minorHAnsi" w:cstheme="minorHAnsi"/>
        </w:rPr>
        <w:t>a mean</w:t>
      </w:r>
      <w:proofErr w:type="gramEnd"/>
      <w:r w:rsidRPr="006B1802">
        <w:rPr>
          <w:rFonts w:asciiTheme="minorHAnsi" w:hAnsiTheme="minorHAnsi" w:cstheme="minorHAnsi"/>
        </w:rPr>
        <w:t xml:space="preserve"> treatment duration of 6.5 to 9.5 years (depending on the population group). </w:t>
      </w:r>
      <w:r w:rsidR="0080214C" w:rsidRPr="006B1802">
        <w:rPr>
          <w:rFonts w:asciiTheme="minorHAnsi" w:hAnsiTheme="minorHAnsi" w:cstheme="minorHAnsi"/>
        </w:rPr>
        <w:t xml:space="preserve">The proportion of patients still on treatment at 10 years was 38% in TEMPO 3:4 and 16% in REPRISE (at five years, 66% and 53% of patients were still on treatment in TEMPO 3:4 and REPRISE, respectively). </w:t>
      </w:r>
      <w:r w:rsidRPr="006B1802">
        <w:rPr>
          <w:rFonts w:asciiTheme="minorHAnsi" w:hAnsiTheme="minorHAnsi" w:cstheme="minorHAnsi"/>
        </w:rPr>
        <w:t xml:space="preserve">Thus, the treatment effect was </w:t>
      </w:r>
      <w:r w:rsidR="000238EF" w:rsidRPr="006B1802">
        <w:rPr>
          <w:rFonts w:asciiTheme="minorHAnsi" w:hAnsiTheme="minorHAnsi" w:cstheme="minorHAnsi"/>
        </w:rPr>
        <w:t>reduc</w:t>
      </w:r>
      <w:r w:rsidRPr="006B1802">
        <w:rPr>
          <w:rFonts w:asciiTheme="minorHAnsi" w:hAnsiTheme="minorHAnsi" w:cstheme="minorHAnsi"/>
        </w:rPr>
        <w:t xml:space="preserve">ed when </w:t>
      </w:r>
      <w:r w:rsidR="008551C4" w:rsidRPr="006B1802">
        <w:rPr>
          <w:rFonts w:asciiTheme="minorHAnsi" w:hAnsiTheme="minorHAnsi" w:cstheme="minorHAnsi"/>
        </w:rPr>
        <w:t>a large proportion</w:t>
      </w:r>
      <w:r w:rsidRPr="006B1802">
        <w:rPr>
          <w:rFonts w:asciiTheme="minorHAnsi" w:hAnsiTheme="minorHAnsi" w:cstheme="minorHAnsi"/>
        </w:rPr>
        <w:t xml:space="preserve"> of patients were off-treatment with tolvaptan (and assumed to be on best supportive care). Patients would still benefit after ceasing tolvaptan as their eGFR would be higher after having previously been on tolvaptan. An alternative way to address the uncertain long term efficacy would have been to have</w:t>
      </w:r>
      <w:r w:rsidR="008551C4" w:rsidRPr="006B1802">
        <w:t xml:space="preserve"> </w:t>
      </w:r>
      <w:r w:rsidR="008551C4" w:rsidRPr="006B1802">
        <w:rPr>
          <w:rFonts w:asciiTheme="minorHAnsi" w:hAnsiTheme="minorHAnsi" w:cstheme="minorHAnsi"/>
        </w:rPr>
        <w:t>assumed that the tolvaptan treatment effect converges with best supportive care over time, or to have</w:t>
      </w:r>
      <w:r w:rsidRPr="006B1802">
        <w:rPr>
          <w:rFonts w:asciiTheme="minorHAnsi" w:hAnsiTheme="minorHAnsi" w:cstheme="minorHAnsi"/>
        </w:rPr>
        <w:t xml:space="preserve"> truncated the model time horizon. While th</w:t>
      </w:r>
      <w:r w:rsidR="008551C4" w:rsidRPr="006B1802">
        <w:rPr>
          <w:rFonts w:asciiTheme="minorHAnsi" w:hAnsiTheme="minorHAnsi" w:cstheme="minorHAnsi"/>
        </w:rPr>
        <w:t>e latter</w:t>
      </w:r>
      <w:r w:rsidRPr="006B1802">
        <w:rPr>
          <w:rFonts w:asciiTheme="minorHAnsi" w:hAnsiTheme="minorHAnsi" w:cstheme="minorHAnsi"/>
        </w:rPr>
        <w:t xml:space="preserve"> results in a dominant ICER (when weighted between the TEMPO 3:4 and REPRISE sub-populations) at 10 years, it would be markedly higher at shorter time intervals (e.g. the weighted ICER is</w:t>
      </w:r>
      <w:r w:rsidR="001127B1">
        <w:rPr>
          <w:rFonts w:asciiTheme="minorHAnsi" w:hAnsiTheme="minorHAnsi" w:cstheme="minorHAnsi"/>
        </w:rPr>
        <w:t xml:space="preserve"> more than</w:t>
      </w:r>
      <w:r w:rsidRPr="006B1802">
        <w:rPr>
          <w:rFonts w:asciiTheme="minorHAnsi" w:hAnsiTheme="minorHAnsi" w:cstheme="minorHAnsi"/>
        </w:rPr>
        <w:t xml:space="preserve"> $</w:t>
      </w:r>
      <w:r w:rsidR="001127B1">
        <w:rPr>
          <w:rFonts w:asciiTheme="minorHAnsi" w:hAnsiTheme="minorHAnsi" w:cstheme="minorHAnsi"/>
        </w:rPr>
        <w:t>200,000</w:t>
      </w:r>
      <w:r w:rsidRPr="006B1802">
        <w:rPr>
          <w:rFonts w:asciiTheme="minorHAnsi" w:hAnsiTheme="minorHAnsi" w:cstheme="minorHAnsi"/>
        </w:rPr>
        <w:t xml:space="preserve">/QALY at 5 years and </w:t>
      </w:r>
      <w:r w:rsidR="001127B1">
        <w:rPr>
          <w:rFonts w:asciiTheme="minorHAnsi" w:hAnsiTheme="minorHAnsi" w:cstheme="minorHAnsi"/>
        </w:rPr>
        <w:t xml:space="preserve">more than </w:t>
      </w:r>
      <w:r w:rsidRPr="006B1802">
        <w:rPr>
          <w:rFonts w:asciiTheme="minorHAnsi" w:hAnsiTheme="minorHAnsi" w:cstheme="minorHAnsi"/>
        </w:rPr>
        <w:t>$</w:t>
      </w:r>
      <w:r w:rsidR="001127B1">
        <w:rPr>
          <w:rFonts w:asciiTheme="minorHAnsi" w:hAnsiTheme="minorHAnsi" w:cstheme="minorHAnsi"/>
        </w:rPr>
        <w:t>200,000</w:t>
      </w:r>
      <w:r w:rsidRPr="006B1802">
        <w:rPr>
          <w:rFonts w:asciiTheme="minorHAnsi" w:hAnsiTheme="minorHAnsi" w:cstheme="minorHAnsi"/>
        </w:rPr>
        <w:t xml:space="preserve">/QALY at 7 years). </w:t>
      </w:r>
    </w:p>
    <w:p w:rsidR="009A4AF8" w:rsidRPr="006B1802" w:rsidRDefault="0014764A" w:rsidP="00B93A10">
      <w:pPr>
        <w:numPr>
          <w:ilvl w:val="1"/>
          <w:numId w:val="5"/>
        </w:numPr>
        <w:spacing w:after="120"/>
        <w:jc w:val="both"/>
        <w:rPr>
          <w:rFonts w:asciiTheme="minorHAnsi" w:hAnsiTheme="minorHAnsi"/>
        </w:rPr>
      </w:pPr>
      <w:r w:rsidRPr="006B1802">
        <w:rPr>
          <w:rFonts w:asciiTheme="minorHAnsi" w:hAnsiTheme="minorHAnsi" w:cstheme="minorHAnsi"/>
        </w:rPr>
        <w:t>Figure 3 shows</w:t>
      </w:r>
      <w:r w:rsidRPr="006B1802">
        <w:t xml:space="preserve"> </w:t>
      </w:r>
      <w:r w:rsidRPr="006B1802">
        <w:rPr>
          <w:rFonts w:asciiTheme="minorHAnsi" w:hAnsiTheme="minorHAnsi" w:cstheme="minorHAnsi"/>
        </w:rPr>
        <w:t>the ICER over time for the TEMPO 3:</w:t>
      </w:r>
      <w:proofErr w:type="gramStart"/>
      <w:r w:rsidRPr="006B1802">
        <w:rPr>
          <w:rFonts w:asciiTheme="minorHAnsi" w:hAnsiTheme="minorHAnsi" w:cstheme="minorHAnsi"/>
        </w:rPr>
        <w:t>4 sub-population</w:t>
      </w:r>
      <w:proofErr w:type="gramEnd"/>
      <w:r w:rsidRPr="006B1802">
        <w:rPr>
          <w:rFonts w:asciiTheme="minorHAnsi" w:hAnsiTheme="minorHAnsi" w:cstheme="minorHAnsi"/>
        </w:rPr>
        <w:t xml:space="preserve">. During preparation of the minor overview it was noted that the ICER is dominant around years 17 and 20 and the </w:t>
      </w:r>
      <w:r w:rsidR="0008323D" w:rsidRPr="006B1802">
        <w:rPr>
          <w:rFonts w:asciiTheme="minorHAnsi" w:hAnsiTheme="minorHAnsi" w:cstheme="minorHAnsi"/>
        </w:rPr>
        <w:t xml:space="preserve">reason </w:t>
      </w:r>
      <w:r w:rsidRPr="006B1802">
        <w:rPr>
          <w:rFonts w:asciiTheme="minorHAnsi" w:hAnsiTheme="minorHAnsi" w:cstheme="minorHAnsi"/>
        </w:rPr>
        <w:t>for th</w:t>
      </w:r>
      <w:r w:rsidR="0008323D" w:rsidRPr="006B1802">
        <w:rPr>
          <w:rFonts w:asciiTheme="minorHAnsi" w:hAnsiTheme="minorHAnsi" w:cstheme="minorHAnsi"/>
        </w:rPr>
        <w:t>e ICER</w:t>
      </w:r>
      <w:r w:rsidR="003851C8" w:rsidRPr="006B1802">
        <w:rPr>
          <w:rFonts w:asciiTheme="minorHAnsi" w:hAnsiTheme="minorHAnsi" w:cstheme="minorHAnsi"/>
        </w:rPr>
        <w:t xml:space="preserve"> initially</w:t>
      </w:r>
      <w:r w:rsidR="0008323D" w:rsidRPr="006B1802">
        <w:rPr>
          <w:rFonts w:asciiTheme="minorHAnsi" w:hAnsiTheme="minorHAnsi" w:cstheme="minorHAnsi"/>
        </w:rPr>
        <w:t xml:space="preserve"> decreasing but then increasing with longer time </w:t>
      </w:r>
      <w:r w:rsidR="003851C8" w:rsidRPr="006B1802">
        <w:rPr>
          <w:rFonts w:asciiTheme="minorHAnsi" w:hAnsiTheme="minorHAnsi" w:cstheme="minorHAnsi"/>
        </w:rPr>
        <w:t>horizons</w:t>
      </w:r>
      <w:r w:rsidRPr="006B1802">
        <w:rPr>
          <w:rFonts w:asciiTheme="minorHAnsi" w:hAnsiTheme="minorHAnsi" w:cstheme="minorHAnsi"/>
        </w:rPr>
        <w:t xml:space="preserve"> was not clear. </w:t>
      </w:r>
      <w:r w:rsidR="00AD7771" w:rsidRPr="006B1802">
        <w:rPr>
          <w:rFonts w:asciiTheme="minorHAnsi" w:hAnsiTheme="minorHAnsi" w:cstheme="minorHAnsi"/>
        </w:rPr>
        <w:t>With a five year time horizon</w:t>
      </w:r>
      <w:r w:rsidR="00D672D4" w:rsidRPr="006B1802">
        <w:rPr>
          <w:rFonts w:asciiTheme="minorHAnsi" w:hAnsiTheme="minorHAnsi" w:cstheme="minorHAnsi"/>
        </w:rPr>
        <w:t xml:space="preserve"> (not shown on the graph)</w:t>
      </w:r>
      <w:r w:rsidR="00AD7771" w:rsidRPr="006B1802">
        <w:rPr>
          <w:rFonts w:asciiTheme="minorHAnsi" w:hAnsiTheme="minorHAnsi" w:cstheme="minorHAnsi"/>
        </w:rPr>
        <w:t xml:space="preserve">, the ICER was </w:t>
      </w:r>
      <w:r w:rsidR="001127B1">
        <w:rPr>
          <w:rFonts w:asciiTheme="minorHAnsi" w:hAnsiTheme="minorHAnsi" w:cstheme="minorHAnsi"/>
        </w:rPr>
        <w:t>more than $200,000</w:t>
      </w:r>
      <w:r w:rsidR="00AD7771" w:rsidRPr="006B1802">
        <w:rPr>
          <w:rFonts w:asciiTheme="minorHAnsi" w:hAnsiTheme="minorHAnsi" w:cstheme="minorHAnsi"/>
        </w:rPr>
        <w:t>/QALY. Th</w:t>
      </w:r>
      <w:r w:rsidR="00D672D4" w:rsidRPr="006B1802">
        <w:rPr>
          <w:rFonts w:asciiTheme="minorHAnsi" w:hAnsiTheme="minorHAnsi" w:cstheme="minorHAnsi"/>
        </w:rPr>
        <w:t xml:space="preserve">is appeared to be due to the </w:t>
      </w:r>
      <w:r w:rsidR="00AD7771" w:rsidRPr="006B1802">
        <w:rPr>
          <w:rFonts w:asciiTheme="minorHAnsi" w:hAnsiTheme="minorHAnsi" w:cstheme="minorHAnsi"/>
        </w:rPr>
        <w:t>disutility applied for adverse events</w:t>
      </w:r>
      <w:r w:rsidR="00B34669" w:rsidRPr="006B1802">
        <w:rPr>
          <w:rFonts w:asciiTheme="minorHAnsi" w:hAnsiTheme="minorHAnsi" w:cstheme="minorHAnsi"/>
        </w:rPr>
        <w:t xml:space="preserve">, which </w:t>
      </w:r>
      <w:r w:rsidR="00AD7771" w:rsidRPr="006B1802">
        <w:rPr>
          <w:rFonts w:asciiTheme="minorHAnsi" w:hAnsiTheme="minorHAnsi" w:cstheme="minorHAnsi"/>
        </w:rPr>
        <w:t xml:space="preserve">although </w:t>
      </w:r>
      <w:r w:rsidR="00B34669" w:rsidRPr="006B1802">
        <w:rPr>
          <w:rFonts w:asciiTheme="minorHAnsi" w:hAnsiTheme="minorHAnsi" w:cstheme="minorHAnsi"/>
        </w:rPr>
        <w:t xml:space="preserve">of a </w:t>
      </w:r>
      <w:r w:rsidR="00AD7771" w:rsidRPr="006B1802">
        <w:rPr>
          <w:rFonts w:asciiTheme="minorHAnsi" w:hAnsiTheme="minorHAnsi" w:cstheme="minorHAnsi"/>
        </w:rPr>
        <w:t>small</w:t>
      </w:r>
      <w:r w:rsidR="00B34669" w:rsidRPr="006B1802">
        <w:rPr>
          <w:rFonts w:asciiTheme="minorHAnsi" w:hAnsiTheme="minorHAnsi" w:cstheme="minorHAnsi"/>
        </w:rPr>
        <w:t xml:space="preserve"> magnitude</w:t>
      </w:r>
      <w:r w:rsidR="00AD7771" w:rsidRPr="006B1802">
        <w:rPr>
          <w:rFonts w:asciiTheme="minorHAnsi" w:hAnsiTheme="minorHAnsi" w:cstheme="minorHAnsi"/>
        </w:rPr>
        <w:t xml:space="preserve"> ha</w:t>
      </w:r>
      <w:r w:rsidR="00B34669" w:rsidRPr="006B1802">
        <w:rPr>
          <w:rFonts w:asciiTheme="minorHAnsi" w:hAnsiTheme="minorHAnsi" w:cstheme="minorHAnsi"/>
        </w:rPr>
        <w:t>d</w:t>
      </w:r>
      <w:r w:rsidR="00AD7771" w:rsidRPr="006B1802">
        <w:rPr>
          <w:rFonts w:asciiTheme="minorHAnsi" w:hAnsiTheme="minorHAnsi" w:cstheme="minorHAnsi"/>
        </w:rPr>
        <w:t xml:space="preserve"> a</w:t>
      </w:r>
      <w:r w:rsidR="00AD7771" w:rsidRPr="006B1802">
        <w:rPr>
          <w:rFonts w:asciiTheme="minorHAnsi" w:hAnsiTheme="minorHAnsi" w:cstheme="minorHAnsi"/>
          <w:i/>
        </w:rPr>
        <w:t xml:space="preserve"> </w:t>
      </w:r>
      <w:r w:rsidR="00AD7771" w:rsidRPr="006B1802">
        <w:rPr>
          <w:rFonts w:asciiTheme="minorHAnsi" w:hAnsiTheme="minorHAnsi" w:cstheme="minorHAnsi"/>
        </w:rPr>
        <w:lastRenderedPageBreak/>
        <w:t xml:space="preserve">large impact </w:t>
      </w:r>
      <w:r w:rsidR="00D672D4" w:rsidRPr="006B1802">
        <w:rPr>
          <w:rFonts w:asciiTheme="minorHAnsi" w:hAnsiTheme="minorHAnsi" w:cstheme="minorHAnsi"/>
        </w:rPr>
        <w:t>with short time horizons given the</w:t>
      </w:r>
      <w:r w:rsidR="00AD7771" w:rsidRPr="006B1802">
        <w:rPr>
          <w:rFonts w:asciiTheme="minorHAnsi" w:hAnsiTheme="minorHAnsi" w:cstheme="minorHAnsi"/>
        </w:rPr>
        <w:t xml:space="preserve"> small difference in QALYs between the two arms </w:t>
      </w:r>
      <w:r w:rsidR="00D672D4" w:rsidRPr="006B1802">
        <w:rPr>
          <w:rFonts w:asciiTheme="minorHAnsi" w:hAnsiTheme="minorHAnsi" w:cstheme="minorHAnsi"/>
        </w:rPr>
        <w:t>in the earlier stages of the model.</w:t>
      </w:r>
    </w:p>
    <w:p w:rsidR="0014764A" w:rsidRPr="006B1802" w:rsidRDefault="0014764A" w:rsidP="00B93A10">
      <w:pPr>
        <w:keepNext/>
        <w:keepLines/>
        <w:rPr>
          <w:i/>
        </w:rPr>
      </w:pPr>
      <w:r w:rsidRPr="006B1802">
        <w:rPr>
          <w:rFonts w:ascii="Arial Narrow" w:hAnsi="Arial Narrow"/>
          <w:b/>
          <w:sz w:val="20"/>
        </w:rPr>
        <w:t xml:space="preserve">Figure 3: ICER over time for TEMPO 3:4 sub-population used in the base case. </w:t>
      </w:r>
    </w:p>
    <w:p w:rsidR="0014764A" w:rsidRPr="006B1802" w:rsidRDefault="0014764A" w:rsidP="00B93A10">
      <w:pPr>
        <w:keepNext/>
        <w:keepLines/>
        <w:rPr>
          <w:rFonts w:asciiTheme="minorHAnsi" w:hAnsiTheme="minorHAnsi" w:cstheme="minorHAnsi"/>
        </w:rPr>
      </w:pPr>
      <w:r w:rsidRPr="006B1802">
        <w:rPr>
          <w:noProof/>
        </w:rPr>
        <w:drawing>
          <wp:inline distT="0" distB="0" distL="0" distR="0" wp14:anchorId="32F585A1" wp14:editId="10143274">
            <wp:extent cx="4089196" cy="2758976"/>
            <wp:effectExtent l="0" t="0" r="6985" b="3810"/>
            <wp:docPr id="8" name="Picture 8" title="Figure 3: ICER over time for TEMPO 3:4 sub-population used in the base ca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4098865" cy="2765500"/>
                    </a:xfrm>
                    <a:prstGeom prst="rect">
                      <a:avLst/>
                    </a:prstGeom>
                    <a:noFill/>
                    <a:ln>
                      <a:noFill/>
                    </a:ln>
                    <a:extLst>
                      <a:ext uri="{53640926-AAD7-44D8-BBD7-CCE9431645EC}">
                        <a14:shadowObscured xmlns:a14="http://schemas.microsoft.com/office/drawing/2010/main"/>
                      </a:ext>
                    </a:extLst>
                  </pic:spPr>
                </pic:pic>
              </a:graphicData>
            </a:graphic>
          </wp:inline>
        </w:drawing>
      </w:r>
    </w:p>
    <w:p w:rsidR="0014764A" w:rsidRPr="006B1802" w:rsidRDefault="0014764A" w:rsidP="00B93A10">
      <w:pPr>
        <w:keepNext/>
        <w:keepLines/>
        <w:rPr>
          <w:rFonts w:ascii="Arial Narrow" w:hAnsi="Arial Narrow" w:cstheme="minorHAnsi"/>
          <w:i/>
          <w:sz w:val="16"/>
          <w:szCs w:val="16"/>
        </w:rPr>
      </w:pPr>
      <w:r w:rsidRPr="006B1802">
        <w:rPr>
          <w:rFonts w:ascii="Arial Narrow" w:hAnsi="Arial Narrow" w:cstheme="minorHAnsi"/>
          <w:i/>
          <w:sz w:val="16"/>
          <w:szCs w:val="16"/>
        </w:rPr>
        <w:t>Source: Constructed during preparation of the Minor Overview based on ‘Tolvaptan November 2017 PBAC Section 3 Updated for April 2018, as a one-way sensitivity analysis on the variable ‘</w:t>
      </w:r>
      <w:proofErr w:type="spellStart"/>
      <w:r w:rsidRPr="006B1802">
        <w:rPr>
          <w:rFonts w:ascii="Arial Narrow" w:hAnsi="Arial Narrow" w:cstheme="minorHAnsi"/>
          <w:i/>
          <w:sz w:val="16"/>
          <w:szCs w:val="16"/>
        </w:rPr>
        <w:t>dur_years</w:t>
      </w:r>
      <w:proofErr w:type="spellEnd"/>
      <w:r w:rsidRPr="006B1802">
        <w:rPr>
          <w:rFonts w:ascii="Arial Narrow" w:hAnsi="Arial Narrow" w:cstheme="minorHAnsi"/>
          <w:i/>
          <w:sz w:val="16"/>
          <w:szCs w:val="16"/>
        </w:rPr>
        <w:t>’</w:t>
      </w:r>
    </w:p>
    <w:p w:rsidR="0014764A" w:rsidRPr="006B1802" w:rsidRDefault="0014764A" w:rsidP="00B93A10">
      <w:pPr>
        <w:numPr>
          <w:ilvl w:val="1"/>
          <w:numId w:val="5"/>
        </w:numPr>
        <w:spacing w:after="120"/>
        <w:jc w:val="both"/>
        <w:rPr>
          <w:rFonts w:asciiTheme="minorHAnsi" w:hAnsiTheme="minorHAnsi" w:cstheme="minorHAnsi"/>
        </w:rPr>
      </w:pPr>
      <w:r w:rsidRPr="006B1802">
        <w:rPr>
          <w:rFonts w:asciiTheme="minorHAnsi" w:hAnsiTheme="minorHAnsi" w:cstheme="minorHAnsi"/>
        </w:rPr>
        <w:t xml:space="preserve">Tables </w:t>
      </w:r>
      <w:r w:rsidR="00CC525E" w:rsidRPr="006B1802">
        <w:rPr>
          <w:rFonts w:asciiTheme="minorHAnsi" w:hAnsiTheme="minorHAnsi" w:cstheme="minorHAnsi"/>
        </w:rPr>
        <w:t>5</w:t>
      </w:r>
      <w:r w:rsidRPr="006B1802">
        <w:rPr>
          <w:rFonts w:asciiTheme="minorHAnsi" w:hAnsiTheme="minorHAnsi" w:cstheme="minorHAnsi"/>
        </w:rPr>
        <w:t xml:space="preserve"> and </w:t>
      </w:r>
      <w:r w:rsidR="00CC525E" w:rsidRPr="006B1802">
        <w:rPr>
          <w:rFonts w:asciiTheme="minorHAnsi" w:hAnsiTheme="minorHAnsi" w:cstheme="minorHAnsi"/>
        </w:rPr>
        <w:t>6</w:t>
      </w:r>
      <w:r w:rsidRPr="006B1802">
        <w:rPr>
          <w:rFonts w:asciiTheme="minorHAnsi" w:hAnsiTheme="minorHAnsi" w:cstheme="minorHAnsi"/>
        </w:rPr>
        <w:t xml:space="preserve"> provide sensitivity analyses conducted during preparation of the minor overview for TEMPO 3:4 and REPRISE, respectively, based on the sub-populations used in the minor resubmission’s base case. </w:t>
      </w:r>
    </w:p>
    <w:p w:rsidR="0014764A" w:rsidRPr="006B1802" w:rsidRDefault="0014764A" w:rsidP="00B93A10">
      <w:pPr>
        <w:pStyle w:val="Caption"/>
        <w:keepNext/>
        <w:keepLines/>
        <w:spacing w:after="0"/>
        <w:rPr>
          <w:rFonts w:ascii="Arial Narrow" w:hAnsi="Arial Narrow"/>
          <w:color w:val="auto"/>
          <w:sz w:val="20"/>
          <w:szCs w:val="20"/>
        </w:rPr>
      </w:pPr>
      <w:r w:rsidRPr="006B1802">
        <w:rPr>
          <w:rFonts w:ascii="Arial Narrow" w:hAnsi="Arial Narrow"/>
          <w:color w:val="auto"/>
          <w:sz w:val="20"/>
          <w:szCs w:val="20"/>
        </w:rPr>
        <w:lastRenderedPageBreak/>
        <w:t xml:space="preserve">Table </w:t>
      </w:r>
      <w:r w:rsidR="00CC525E" w:rsidRPr="006B1802">
        <w:rPr>
          <w:rFonts w:ascii="Arial Narrow" w:hAnsi="Arial Narrow"/>
          <w:color w:val="auto"/>
          <w:sz w:val="20"/>
          <w:szCs w:val="20"/>
        </w:rPr>
        <w:t>5</w:t>
      </w:r>
      <w:r w:rsidRPr="006B1802">
        <w:rPr>
          <w:rFonts w:ascii="Arial Narrow" w:hAnsi="Arial Narrow"/>
          <w:color w:val="auto"/>
          <w:sz w:val="20"/>
          <w:szCs w:val="20"/>
        </w:rPr>
        <w:t xml:space="preserve">: Sensitivity analyses on TEMPO 3:4 </w:t>
      </w:r>
      <w:r w:rsidR="003C3869" w:rsidRPr="006B1802">
        <w:rPr>
          <w:rFonts w:ascii="Arial Narrow" w:hAnsi="Arial Narrow"/>
          <w:color w:val="auto"/>
          <w:sz w:val="20"/>
          <w:szCs w:val="20"/>
        </w:rPr>
        <w:t>sub-population</w:t>
      </w:r>
      <w:r w:rsidRPr="006B1802">
        <w:rPr>
          <w:rFonts w:ascii="Arial Narrow" w:hAnsi="Arial Narrow"/>
          <w:color w:val="auto"/>
          <w:sz w:val="20"/>
          <w:szCs w:val="20"/>
        </w:rPr>
        <w:t xml:space="preserve"> </w:t>
      </w:r>
      <w:r w:rsidRPr="006B1802">
        <w:rPr>
          <w:rFonts w:ascii="Arial Narrow" w:hAnsi="Arial Narrow"/>
          <w:color w:val="auto"/>
          <w:sz w:val="20"/>
          <w:szCs w:val="20"/>
          <w:vertAlign w:val="superscript"/>
        </w:rPr>
        <w:t>a</w:t>
      </w:r>
    </w:p>
    <w:tbl>
      <w:tblPr>
        <w:tblStyle w:val="TableGrid"/>
        <w:tblW w:w="5000" w:type="pct"/>
        <w:tblLayout w:type="fixed"/>
        <w:tblLook w:val="04A0" w:firstRow="1" w:lastRow="0" w:firstColumn="1" w:lastColumn="0" w:noHBand="0" w:noVBand="1"/>
        <w:tblCaption w:val="Table 5: Sensitivity analyses on TEMPO 3:4 sub-population "/>
      </w:tblPr>
      <w:tblGrid>
        <w:gridCol w:w="5921"/>
        <w:gridCol w:w="1135"/>
        <w:gridCol w:w="1079"/>
        <w:gridCol w:w="1107"/>
      </w:tblGrid>
      <w:tr w:rsidR="0014764A" w:rsidRPr="006B1802" w:rsidTr="00B34669">
        <w:trPr>
          <w:tblHeader/>
        </w:trPr>
        <w:tc>
          <w:tcPr>
            <w:tcW w:w="3203" w:type="pct"/>
            <w:vAlign w:val="center"/>
          </w:tcPr>
          <w:p w:rsidR="0014764A" w:rsidRPr="006B1802" w:rsidRDefault="0014764A" w:rsidP="00B93A10">
            <w:pPr>
              <w:keepNext/>
              <w:rPr>
                <w:rFonts w:ascii="Arial Narrow" w:hAnsi="Arial Narrow"/>
                <w:b/>
                <w:sz w:val="20"/>
                <w:szCs w:val="20"/>
              </w:rPr>
            </w:pPr>
            <w:r w:rsidRPr="006B1802">
              <w:rPr>
                <w:rFonts w:ascii="Arial Narrow" w:hAnsi="Arial Narrow"/>
                <w:b/>
                <w:sz w:val="20"/>
                <w:szCs w:val="20"/>
              </w:rPr>
              <w:t>Analysis</w:t>
            </w:r>
          </w:p>
        </w:tc>
        <w:tc>
          <w:tcPr>
            <w:tcW w:w="614" w:type="pct"/>
            <w:vAlign w:val="center"/>
          </w:tcPr>
          <w:p w:rsidR="0014764A" w:rsidRPr="006B1802" w:rsidRDefault="0014764A" w:rsidP="00B93A10">
            <w:pPr>
              <w:keepNext/>
              <w:jc w:val="center"/>
              <w:rPr>
                <w:rFonts w:ascii="Arial Narrow" w:hAnsi="Arial Narrow"/>
                <w:b/>
                <w:sz w:val="20"/>
                <w:szCs w:val="20"/>
              </w:rPr>
            </w:pPr>
            <w:r w:rsidRPr="006B1802">
              <w:rPr>
                <w:rFonts w:ascii="Arial Narrow" w:hAnsi="Arial Narrow"/>
                <w:b/>
                <w:sz w:val="20"/>
                <w:szCs w:val="20"/>
              </w:rPr>
              <w:t>∆ cost</w:t>
            </w:r>
          </w:p>
        </w:tc>
        <w:tc>
          <w:tcPr>
            <w:tcW w:w="584" w:type="pct"/>
            <w:vAlign w:val="center"/>
          </w:tcPr>
          <w:p w:rsidR="0014764A" w:rsidRPr="006B1802" w:rsidRDefault="0014764A" w:rsidP="00B93A10">
            <w:pPr>
              <w:keepNext/>
              <w:jc w:val="center"/>
              <w:rPr>
                <w:rFonts w:ascii="Arial Narrow" w:hAnsi="Arial Narrow"/>
                <w:b/>
                <w:sz w:val="20"/>
                <w:szCs w:val="20"/>
              </w:rPr>
            </w:pPr>
            <w:r w:rsidRPr="006B1802">
              <w:rPr>
                <w:rFonts w:ascii="Arial Narrow" w:hAnsi="Arial Narrow"/>
                <w:b/>
                <w:sz w:val="20"/>
                <w:szCs w:val="20"/>
              </w:rPr>
              <w:t>∆ QALYs</w:t>
            </w:r>
          </w:p>
        </w:tc>
        <w:tc>
          <w:tcPr>
            <w:tcW w:w="599" w:type="pct"/>
            <w:vAlign w:val="center"/>
          </w:tcPr>
          <w:p w:rsidR="0014764A" w:rsidRPr="006B1802" w:rsidRDefault="0014764A" w:rsidP="00B93A10">
            <w:pPr>
              <w:keepNext/>
              <w:jc w:val="center"/>
              <w:rPr>
                <w:rFonts w:ascii="Arial Narrow" w:hAnsi="Arial Narrow"/>
                <w:b/>
                <w:sz w:val="20"/>
                <w:szCs w:val="20"/>
              </w:rPr>
            </w:pPr>
            <w:r w:rsidRPr="006B1802">
              <w:rPr>
                <w:rFonts w:ascii="Arial Narrow" w:hAnsi="Arial Narrow"/>
                <w:b/>
                <w:sz w:val="20"/>
                <w:szCs w:val="20"/>
              </w:rPr>
              <w:t>ICER</w:t>
            </w:r>
          </w:p>
        </w:tc>
      </w:tr>
      <w:tr w:rsidR="0014764A" w:rsidRPr="006B1802" w:rsidTr="00B34669">
        <w:trPr>
          <w:trHeight w:val="224"/>
        </w:trPr>
        <w:tc>
          <w:tcPr>
            <w:tcW w:w="3203" w:type="pct"/>
          </w:tcPr>
          <w:p w:rsidR="0014764A" w:rsidRPr="006B1802" w:rsidRDefault="0014764A" w:rsidP="00B93A10">
            <w:pPr>
              <w:keepNext/>
              <w:rPr>
                <w:rFonts w:ascii="Arial Narrow" w:hAnsi="Arial Narrow"/>
                <w:sz w:val="20"/>
                <w:szCs w:val="20"/>
              </w:rPr>
            </w:pPr>
            <w:r w:rsidRPr="006B1802">
              <w:rPr>
                <w:rFonts w:ascii="Arial Narrow" w:hAnsi="Arial Narrow"/>
                <w:sz w:val="20"/>
                <w:szCs w:val="20"/>
              </w:rPr>
              <w:t>Resubmission’s base case (PBS eligibility population and CKD stage 2-3 efficacy; efficacy = 0.296)</w:t>
            </w:r>
          </w:p>
        </w:tc>
        <w:tc>
          <w:tcPr>
            <w:tcW w:w="614" w:type="pct"/>
            <w:vAlign w:val="center"/>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584" w:type="pct"/>
            <w:vAlign w:val="center"/>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0.5500</w:t>
            </w:r>
          </w:p>
        </w:tc>
        <w:tc>
          <w:tcPr>
            <w:tcW w:w="599" w:type="pct"/>
            <w:vAlign w:val="center"/>
          </w:tcPr>
          <w:p w:rsidR="0014764A" w:rsidRPr="006B1802" w:rsidRDefault="0014764A" w:rsidP="00B93A10">
            <w:pPr>
              <w:keepNext/>
              <w:jc w:val="center"/>
              <w:rPr>
                <w:rFonts w:ascii="Arial Narrow" w:hAnsi="Arial Narrow"/>
                <w:sz w:val="20"/>
                <w:szCs w:val="20"/>
                <w:vertAlign w:val="superscript"/>
              </w:rPr>
            </w:pPr>
            <w:r w:rsidRPr="006B1802">
              <w:rPr>
                <w:rFonts w:ascii="Arial Narrow" w:hAnsi="Arial Narrow"/>
                <w:sz w:val="20"/>
                <w:szCs w:val="20"/>
              </w:rPr>
              <w:t>$</w:t>
            </w:r>
            <w:r w:rsidR="00B912EA">
              <w:rPr>
                <w:rFonts w:ascii="Arial Narrow" w:hAnsi="Arial Narrow"/>
                <w:noProof/>
                <w:color w:val="000000"/>
                <w:sz w:val="20"/>
                <w:szCs w:val="20"/>
                <w:highlight w:val="black"/>
              </w:rPr>
              <w:t>'''''''''''''''</w:t>
            </w:r>
            <w:r w:rsidRPr="006B1802">
              <w:rPr>
                <w:rFonts w:ascii="Arial Narrow" w:hAnsi="Arial Narrow"/>
                <w:sz w:val="20"/>
                <w:szCs w:val="20"/>
              </w:rPr>
              <w:t xml:space="preserve"> </w:t>
            </w:r>
            <w:r w:rsidRPr="006B1802">
              <w:rPr>
                <w:rFonts w:ascii="Arial Narrow" w:hAnsi="Arial Narrow"/>
                <w:sz w:val="20"/>
                <w:szCs w:val="20"/>
                <w:vertAlign w:val="superscript"/>
              </w:rPr>
              <w:t>a</w:t>
            </w:r>
          </w:p>
        </w:tc>
      </w:tr>
      <w:tr w:rsidR="0014764A" w:rsidRPr="006B1802" w:rsidTr="0014764A">
        <w:tc>
          <w:tcPr>
            <w:tcW w:w="5000" w:type="pct"/>
            <w:gridSpan w:val="4"/>
          </w:tcPr>
          <w:p w:rsidR="0014764A" w:rsidRPr="006B1802" w:rsidRDefault="0014764A" w:rsidP="00B93A10">
            <w:pPr>
              <w:keepNext/>
              <w:rPr>
                <w:rFonts w:ascii="Arial Narrow" w:hAnsi="Arial Narrow"/>
                <w:sz w:val="20"/>
                <w:szCs w:val="20"/>
              </w:rPr>
            </w:pPr>
            <w:r w:rsidRPr="006B1802">
              <w:rPr>
                <w:rFonts w:ascii="Arial Narrow" w:hAnsi="Arial Narrow"/>
                <w:b/>
                <w:sz w:val="20"/>
                <w:szCs w:val="20"/>
              </w:rPr>
              <w:t xml:space="preserve">Alternative tolvaptan efficacy and population (relative reduction; base case 0.296; sub-population) </w:t>
            </w:r>
          </w:p>
        </w:tc>
      </w:tr>
      <w:tr w:rsidR="0014764A" w:rsidRPr="006B1802" w:rsidTr="00B34669">
        <w:tc>
          <w:tcPr>
            <w:tcW w:w="3203" w:type="pct"/>
          </w:tcPr>
          <w:p w:rsidR="0014764A" w:rsidRPr="006B1802" w:rsidRDefault="0014764A" w:rsidP="00B93A10">
            <w:pPr>
              <w:keepNext/>
              <w:rPr>
                <w:rFonts w:ascii="Arial Narrow" w:hAnsi="Arial Narrow"/>
                <w:sz w:val="20"/>
                <w:szCs w:val="20"/>
              </w:rPr>
            </w:pPr>
            <w:r w:rsidRPr="006B1802">
              <w:rPr>
                <w:rFonts w:ascii="Arial Narrow" w:hAnsi="Arial Narrow"/>
                <w:sz w:val="20"/>
                <w:szCs w:val="20"/>
              </w:rPr>
              <w:t>TEMPO 3:4 ITT - overall trial population and efficacy (N=474, efficacy = 0.264)</w:t>
            </w:r>
          </w:p>
        </w:tc>
        <w:tc>
          <w:tcPr>
            <w:tcW w:w="614" w:type="pct"/>
            <w:vAlign w:val="center"/>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584" w:type="pct"/>
            <w:vAlign w:val="center"/>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0.3107</w:t>
            </w:r>
          </w:p>
        </w:tc>
        <w:tc>
          <w:tcPr>
            <w:tcW w:w="599" w:type="pct"/>
            <w:vAlign w:val="center"/>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r>
      <w:tr w:rsidR="0014764A" w:rsidRPr="006B1802" w:rsidTr="0014764A">
        <w:tc>
          <w:tcPr>
            <w:tcW w:w="5000" w:type="pct"/>
            <w:gridSpan w:val="4"/>
          </w:tcPr>
          <w:p w:rsidR="0014764A" w:rsidRPr="006B1802" w:rsidRDefault="0014764A" w:rsidP="00B93A10">
            <w:pPr>
              <w:keepNext/>
              <w:rPr>
                <w:rFonts w:ascii="Arial Narrow" w:hAnsi="Arial Narrow"/>
                <w:sz w:val="20"/>
                <w:szCs w:val="20"/>
              </w:rPr>
            </w:pPr>
            <w:r w:rsidRPr="006B1802">
              <w:rPr>
                <w:rFonts w:ascii="Arial Narrow" w:hAnsi="Arial Narrow"/>
                <w:b/>
                <w:sz w:val="20"/>
                <w:szCs w:val="20"/>
              </w:rPr>
              <w:t>Alternative tolvaptan efficacy estimates (relative reduction; base case 0.296) – population per base case</w:t>
            </w:r>
          </w:p>
        </w:tc>
      </w:tr>
      <w:tr w:rsidR="0014764A" w:rsidRPr="006B1802" w:rsidTr="00B34669">
        <w:tc>
          <w:tcPr>
            <w:tcW w:w="3203" w:type="pct"/>
          </w:tcPr>
          <w:p w:rsidR="0014764A" w:rsidRPr="006B1802" w:rsidRDefault="0014764A" w:rsidP="00B93A10">
            <w:pPr>
              <w:keepNext/>
              <w:rPr>
                <w:rFonts w:ascii="Arial Narrow" w:hAnsi="Arial Narrow"/>
                <w:sz w:val="20"/>
                <w:szCs w:val="20"/>
                <w:vertAlign w:val="superscript"/>
              </w:rPr>
            </w:pPr>
            <w:r w:rsidRPr="006B1802">
              <w:rPr>
                <w:rFonts w:ascii="Arial Narrow" w:hAnsi="Arial Narrow"/>
                <w:sz w:val="20"/>
                <w:szCs w:val="20"/>
              </w:rPr>
              <w:t xml:space="preserve">Efficacy = 0.264 (efficacy per ITT, but using sub-population characteristics) </w:t>
            </w:r>
            <w:r w:rsidRPr="006B1802">
              <w:rPr>
                <w:rFonts w:ascii="Arial Narrow" w:hAnsi="Arial Narrow"/>
                <w:sz w:val="20"/>
                <w:szCs w:val="20"/>
                <w:vertAlign w:val="superscript"/>
              </w:rPr>
              <w:t>b</w:t>
            </w:r>
          </w:p>
        </w:tc>
        <w:tc>
          <w:tcPr>
            <w:tcW w:w="614" w:type="pct"/>
            <w:vAlign w:val="center"/>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584" w:type="pct"/>
            <w:vAlign w:val="center"/>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0.477</w:t>
            </w:r>
          </w:p>
        </w:tc>
        <w:tc>
          <w:tcPr>
            <w:tcW w:w="599" w:type="pct"/>
            <w:vAlign w:val="center"/>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r>
      <w:tr w:rsidR="0014764A" w:rsidRPr="006B1802" w:rsidTr="00B34669">
        <w:tc>
          <w:tcPr>
            <w:tcW w:w="3203" w:type="pct"/>
          </w:tcPr>
          <w:p w:rsidR="0014764A" w:rsidRPr="006B1802" w:rsidRDefault="0014764A" w:rsidP="00B93A10">
            <w:pPr>
              <w:keepNext/>
              <w:rPr>
                <w:rFonts w:ascii="Arial Narrow" w:hAnsi="Arial Narrow"/>
                <w:sz w:val="20"/>
                <w:szCs w:val="20"/>
              </w:rPr>
            </w:pPr>
            <w:r w:rsidRPr="006B1802">
              <w:rPr>
                <w:rFonts w:ascii="Arial Narrow" w:hAnsi="Arial Narrow"/>
                <w:sz w:val="20"/>
                <w:szCs w:val="20"/>
              </w:rPr>
              <w:t>Efficacy halved at start (0.148)</w:t>
            </w:r>
          </w:p>
        </w:tc>
        <w:tc>
          <w:tcPr>
            <w:tcW w:w="614" w:type="pct"/>
            <w:vAlign w:val="center"/>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584" w:type="pct"/>
            <w:vAlign w:val="center"/>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0.2388</w:t>
            </w:r>
          </w:p>
        </w:tc>
        <w:tc>
          <w:tcPr>
            <w:tcW w:w="599" w:type="pct"/>
            <w:vAlign w:val="center"/>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r>
      <w:tr w:rsidR="0014764A" w:rsidRPr="006B1802" w:rsidTr="00B34669">
        <w:tc>
          <w:tcPr>
            <w:tcW w:w="3203" w:type="pct"/>
          </w:tcPr>
          <w:p w:rsidR="0014764A" w:rsidRPr="006B1802" w:rsidRDefault="0014764A" w:rsidP="00B93A10">
            <w:pPr>
              <w:keepNext/>
              <w:rPr>
                <w:rFonts w:ascii="Arial Narrow" w:hAnsi="Arial Narrow"/>
                <w:sz w:val="20"/>
                <w:szCs w:val="20"/>
              </w:rPr>
            </w:pPr>
            <w:r w:rsidRPr="006B1802">
              <w:rPr>
                <w:rFonts w:ascii="Arial Narrow" w:hAnsi="Arial Narrow"/>
                <w:sz w:val="20"/>
                <w:szCs w:val="20"/>
              </w:rPr>
              <w:t xml:space="preserve">Efficacy halved after 2 years </w:t>
            </w:r>
          </w:p>
        </w:tc>
        <w:tc>
          <w:tcPr>
            <w:tcW w:w="614" w:type="pct"/>
            <w:vAlign w:val="center"/>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584" w:type="pct"/>
            <w:vAlign w:val="center"/>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0.3100</w:t>
            </w:r>
          </w:p>
        </w:tc>
        <w:tc>
          <w:tcPr>
            <w:tcW w:w="599" w:type="pct"/>
            <w:vAlign w:val="center"/>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r>
      <w:tr w:rsidR="0014764A" w:rsidRPr="006B1802" w:rsidTr="00B34669">
        <w:tc>
          <w:tcPr>
            <w:tcW w:w="3203" w:type="pct"/>
          </w:tcPr>
          <w:p w:rsidR="0014764A" w:rsidRPr="006B1802" w:rsidRDefault="0014764A" w:rsidP="00B93A10">
            <w:pPr>
              <w:keepNext/>
              <w:rPr>
                <w:rFonts w:ascii="Arial Narrow" w:hAnsi="Arial Narrow"/>
                <w:sz w:val="20"/>
                <w:szCs w:val="20"/>
              </w:rPr>
            </w:pPr>
            <w:r w:rsidRPr="006B1802">
              <w:rPr>
                <w:rFonts w:ascii="Arial Narrow" w:hAnsi="Arial Narrow"/>
                <w:sz w:val="20"/>
                <w:szCs w:val="20"/>
              </w:rPr>
              <w:t>Efficacy halved after 5 years</w:t>
            </w:r>
          </w:p>
        </w:tc>
        <w:tc>
          <w:tcPr>
            <w:tcW w:w="614" w:type="pct"/>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584" w:type="pct"/>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0.3907</w:t>
            </w:r>
          </w:p>
        </w:tc>
        <w:tc>
          <w:tcPr>
            <w:tcW w:w="599" w:type="pct"/>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r>
      <w:tr w:rsidR="0014764A" w:rsidRPr="006B1802" w:rsidTr="00B34669">
        <w:tc>
          <w:tcPr>
            <w:tcW w:w="3203" w:type="pct"/>
          </w:tcPr>
          <w:p w:rsidR="0014764A" w:rsidRPr="006B1802" w:rsidRDefault="0014764A" w:rsidP="00B93A10">
            <w:pPr>
              <w:keepNext/>
              <w:rPr>
                <w:rFonts w:ascii="Arial Narrow" w:hAnsi="Arial Narrow"/>
                <w:sz w:val="20"/>
                <w:szCs w:val="20"/>
              </w:rPr>
            </w:pPr>
            <w:r w:rsidRPr="006B1802">
              <w:rPr>
                <w:rFonts w:ascii="Arial Narrow" w:hAnsi="Arial Narrow"/>
                <w:sz w:val="20"/>
                <w:szCs w:val="20"/>
              </w:rPr>
              <w:t xml:space="preserve">Efficacy halved after 10 years </w:t>
            </w:r>
          </w:p>
        </w:tc>
        <w:tc>
          <w:tcPr>
            <w:tcW w:w="614" w:type="pct"/>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584" w:type="pct"/>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0.4823</w:t>
            </w:r>
          </w:p>
        </w:tc>
        <w:tc>
          <w:tcPr>
            <w:tcW w:w="599" w:type="pct"/>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r>
      <w:tr w:rsidR="0014764A" w:rsidRPr="006B1802" w:rsidTr="00B34669">
        <w:tc>
          <w:tcPr>
            <w:tcW w:w="3203" w:type="pct"/>
          </w:tcPr>
          <w:p w:rsidR="0014764A" w:rsidRPr="006B1802" w:rsidRDefault="0014764A" w:rsidP="00B93A10">
            <w:pPr>
              <w:keepNext/>
              <w:rPr>
                <w:rFonts w:ascii="Arial Narrow" w:hAnsi="Arial Narrow"/>
                <w:sz w:val="20"/>
                <w:szCs w:val="20"/>
                <w:vertAlign w:val="superscript"/>
              </w:rPr>
            </w:pPr>
            <w:r w:rsidRPr="006B1802">
              <w:rPr>
                <w:rFonts w:ascii="Arial Narrow" w:hAnsi="Arial Narrow"/>
                <w:sz w:val="20"/>
                <w:szCs w:val="20"/>
              </w:rPr>
              <w:t xml:space="preserve">TEMPO 3:4 by CKD stage (CKD 2: 0.291; CKD 3: 0.310; CKD 4: 0.310) </w:t>
            </w:r>
            <w:r w:rsidRPr="006B1802">
              <w:rPr>
                <w:rFonts w:ascii="Arial Narrow" w:hAnsi="Arial Narrow"/>
                <w:sz w:val="20"/>
                <w:szCs w:val="20"/>
                <w:vertAlign w:val="superscript"/>
              </w:rPr>
              <w:t>c</w:t>
            </w:r>
          </w:p>
        </w:tc>
        <w:tc>
          <w:tcPr>
            <w:tcW w:w="614" w:type="pct"/>
            <w:vAlign w:val="center"/>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584" w:type="pct"/>
            <w:vAlign w:val="center"/>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0.5684</w:t>
            </w:r>
          </w:p>
        </w:tc>
        <w:tc>
          <w:tcPr>
            <w:tcW w:w="599" w:type="pct"/>
            <w:vAlign w:val="center"/>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r>
      <w:tr w:rsidR="0014764A" w:rsidRPr="006B1802" w:rsidTr="0014764A">
        <w:tc>
          <w:tcPr>
            <w:tcW w:w="5000" w:type="pct"/>
            <w:gridSpan w:val="4"/>
          </w:tcPr>
          <w:p w:rsidR="0014764A" w:rsidRPr="006B1802" w:rsidRDefault="0014764A" w:rsidP="00B93A10">
            <w:pPr>
              <w:keepNext/>
              <w:rPr>
                <w:rFonts w:ascii="Arial Narrow" w:hAnsi="Arial Narrow"/>
                <w:sz w:val="20"/>
                <w:szCs w:val="20"/>
              </w:rPr>
            </w:pPr>
            <w:proofErr w:type="spellStart"/>
            <w:r w:rsidRPr="006B1802">
              <w:rPr>
                <w:rFonts w:ascii="Arial Narrow" w:hAnsi="Arial Narrow"/>
                <w:b/>
                <w:sz w:val="20"/>
                <w:szCs w:val="20"/>
              </w:rPr>
              <w:t>Disutilities</w:t>
            </w:r>
            <w:proofErr w:type="spellEnd"/>
            <w:r w:rsidRPr="006B1802">
              <w:rPr>
                <w:rFonts w:ascii="Arial Narrow" w:hAnsi="Arial Narrow"/>
                <w:b/>
                <w:sz w:val="20"/>
                <w:szCs w:val="20"/>
              </w:rPr>
              <w:t xml:space="preserve"> (base case = -0.0123 was applied to 33% of patients for duration of treatment)</w:t>
            </w:r>
          </w:p>
        </w:tc>
      </w:tr>
      <w:tr w:rsidR="0014764A" w:rsidRPr="006B1802" w:rsidTr="00B34669">
        <w:tc>
          <w:tcPr>
            <w:tcW w:w="3203" w:type="pct"/>
          </w:tcPr>
          <w:p w:rsidR="0014764A" w:rsidRPr="006B1802" w:rsidRDefault="0014764A" w:rsidP="00B93A10">
            <w:pPr>
              <w:keepNext/>
              <w:rPr>
                <w:rFonts w:ascii="Arial Narrow" w:hAnsi="Arial Narrow"/>
                <w:sz w:val="20"/>
                <w:szCs w:val="20"/>
              </w:rPr>
            </w:pPr>
            <w:r w:rsidRPr="006B1802">
              <w:rPr>
                <w:rFonts w:ascii="Arial Narrow" w:hAnsi="Arial Narrow"/>
                <w:sz w:val="20"/>
                <w:szCs w:val="20"/>
              </w:rPr>
              <w:t>-0.05 applied to 33% of patients for duration of tolvaptan treatment</w:t>
            </w:r>
          </w:p>
        </w:tc>
        <w:tc>
          <w:tcPr>
            <w:tcW w:w="614" w:type="pct"/>
            <w:vAlign w:val="center"/>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584" w:type="pct"/>
            <w:vAlign w:val="center"/>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0.4685</w:t>
            </w:r>
          </w:p>
        </w:tc>
        <w:tc>
          <w:tcPr>
            <w:tcW w:w="599" w:type="pct"/>
            <w:vAlign w:val="center"/>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r>
      <w:tr w:rsidR="0014764A" w:rsidRPr="006B1802" w:rsidTr="00B34669">
        <w:tc>
          <w:tcPr>
            <w:tcW w:w="3203" w:type="pct"/>
          </w:tcPr>
          <w:p w:rsidR="0014764A" w:rsidRPr="006B1802" w:rsidRDefault="0014764A" w:rsidP="00B93A10">
            <w:pPr>
              <w:keepNext/>
              <w:rPr>
                <w:rFonts w:ascii="Arial Narrow" w:hAnsi="Arial Narrow"/>
                <w:sz w:val="20"/>
                <w:szCs w:val="20"/>
              </w:rPr>
            </w:pPr>
            <w:r w:rsidRPr="006B1802">
              <w:rPr>
                <w:rFonts w:ascii="Arial Narrow" w:hAnsi="Arial Narrow"/>
                <w:sz w:val="20"/>
                <w:szCs w:val="20"/>
              </w:rPr>
              <w:t xml:space="preserve">-0.05 applied to all patients for duration of tolvaptan treatment </w:t>
            </w:r>
          </w:p>
        </w:tc>
        <w:tc>
          <w:tcPr>
            <w:tcW w:w="614" w:type="pct"/>
            <w:vAlign w:val="center"/>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584" w:type="pct"/>
            <w:vAlign w:val="center"/>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0.2489</w:t>
            </w:r>
          </w:p>
        </w:tc>
        <w:tc>
          <w:tcPr>
            <w:tcW w:w="599" w:type="pct"/>
            <w:vAlign w:val="center"/>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r>
      <w:tr w:rsidR="0014764A" w:rsidRPr="006B1802" w:rsidTr="0014764A">
        <w:tc>
          <w:tcPr>
            <w:tcW w:w="5000" w:type="pct"/>
            <w:gridSpan w:val="4"/>
          </w:tcPr>
          <w:p w:rsidR="0014764A" w:rsidRPr="006B1802" w:rsidRDefault="0014764A" w:rsidP="00B93A10">
            <w:pPr>
              <w:keepNext/>
              <w:rPr>
                <w:rFonts w:ascii="Arial Narrow" w:hAnsi="Arial Narrow"/>
                <w:sz w:val="20"/>
                <w:szCs w:val="20"/>
                <w:vertAlign w:val="superscript"/>
              </w:rPr>
            </w:pPr>
            <w:r w:rsidRPr="006B1802">
              <w:rPr>
                <w:rFonts w:ascii="Arial Narrow" w:hAnsi="Arial Narrow"/>
                <w:b/>
                <w:sz w:val="20"/>
                <w:szCs w:val="20"/>
              </w:rPr>
              <w:t>Time horizon (base case: lifetime; maximum 100 years)</w:t>
            </w:r>
            <w:r w:rsidR="003E1A7D" w:rsidRPr="006B1802">
              <w:rPr>
                <w:rFonts w:ascii="Arial Narrow" w:hAnsi="Arial Narrow"/>
                <w:b/>
                <w:sz w:val="20"/>
                <w:szCs w:val="20"/>
              </w:rPr>
              <w:t xml:space="preserve"> </w:t>
            </w:r>
            <w:r w:rsidR="003E1A7D" w:rsidRPr="006B1802">
              <w:rPr>
                <w:rFonts w:ascii="Arial Narrow" w:hAnsi="Arial Narrow"/>
                <w:b/>
                <w:sz w:val="20"/>
                <w:szCs w:val="20"/>
                <w:vertAlign w:val="superscript"/>
              </w:rPr>
              <w:t>d</w:t>
            </w:r>
          </w:p>
        </w:tc>
      </w:tr>
      <w:tr w:rsidR="0014764A" w:rsidRPr="006B1802" w:rsidTr="00B34669">
        <w:tc>
          <w:tcPr>
            <w:tcW w:w="3203" w:type="pct"/>
            <w:vAlign w:val="bottom"/>
          </w:tcPr>
          <w:p w:rsidR="0014764A" w:rsidRPr="006B1802" w:rsidRDefault="0014764A" w:rsidP="00B93A10">
            <w:pPr>
              <w:keepNext/>
              <w:rPr>
                <w:rFonts w:ascii="Arial Narrow" w:hAnsi="Arial Narrow"/>
                <w:sz w:val="20"/>
                <w:szCs w:val="20"/>
              </w:rPr>
            </w:pPr>
            <w:r w:rsidRPr="006B1802">
              <w:rPr>
                <w:rFonts w:ascii="Arial Narrow" w:hAnsi="Arial Narrow"/>
                <w:color w:val="000000"/>
                <w:sz w:val="20"/>
                <w:szCs w:val="20"/>
              </w:rPr>
              <w:t>5 years</w:t>
            </w:r>
          </w:p>
        </w:tc>
        <w:tc>
          <w:tcPr>
            <w:tcW w:w="614" w:type="pct"/>
            <w:vAlign w:val="bottom"/>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584" w:type="pct"/>
            <w:vAlign w:val="bottom"/>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0.0072</w:t>
            </w:r>
          </w:p>
        </w:tc>
        <w:tc>
          <w:tcPr>
            <w:tcW w:w="599" w:type="pct"/>
            <w:vAlign w:val="bottom"/>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r>
      <w:tr w:rsidR="0014764A" w:rsidRPr="006B1802" w:rsidTr="00B34669">
        <w:tc>
          <w:tcPr>
            <w:tcW w:w="3203" w:type="pct"/>
            <w:vAlign w:val="bottom"/>
          </w:tcPr>
          <w:p w:rsidR="0014764A" w:rsidRPr="006B1802" w:rsidRDefault="0014764A" w:rsidP="00B93A10">
            <w:pPr>
              <w:keepNext/>
              <w:rPr>
                <w:rFonts w:ascii="Arial Narrow" w:hAnsi="Arial Narrow"/>
                <w:color w:val="000000"/>
                <w:sz w:val="20"/>
                <w:szCs w:val="20"/>
              </w:rPr>
            </w:pPr>
            <w:r w:rsidRPr="006B1802">
              <w:rPr>
                <w:rFonts w:ascii="Arial Narrow" w:hAnsi="Arial Narrow"/>
                <w:color w:val="000000"/>
                <w:sz w:val="20"/>
                <w:szCs w:val="20"/>
              </w:rPr>
              <w:t>7 years</w:t>
            </w:r>
          </w:p>
        </w:tc>
        <w:tc>
          <w:tcPr>
            <w:tcW w:w="614" w:type="pct"/>
            <w:vAlign w:val="bottom"/>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584" w:type="pct"/>
            <w:vAlign w:val="bottom"/>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0.0315</w:t>
            </w:r>
          </w:p>
        </w:tc>
        <w:tc>
          <w:tcPr>
            <w:tcW w:w="599" w:type="pct"/>
            <w:vAlign w:val="bottom"/>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r>
      <w:tr w:rsidR="0014764A" w:rsidRPr="006B1802" w:rsidTr="00B34669">
        <w:tc>
          <w:tcPr>
            <w:tcW w:w="3203" w:type="pct"/>
            <w:vAlign w:val="bottom"/>
          </w:tcPr>
          <w:p w:rsidR="0014764A" w:rsidRPr="006B1802" w:rsidRDefault="0014764A" w:rsidP="00B93A10">
            <w:pPr>
              <w:keepNext/>
              <w:rPr>
                <w:rFonts w:ascii="Arial Narrow" w:hAnsi="Arial Narrow"/>
                <w:sz w:val="20"/>
                <w:szCs w:val="20"/>
              </w:rPr>
            </w:pPr>
            <w:r w:rsidRPr="006B1802">
              <w:rPr>
                <w:rFonts w:ascii="Arial Narrow" w:hAnsi="Arial Narrow"/>
                <w:color w:val="000000"/>
                <w:sz w:val="20"/>
                <w:szCs w:val="20"/>
              </w:rPr>
              <w:t>10 years</w:t>
            </w:r>
          </w:p>
        </w:tc>
        <w:tc>
          <w:tcPr>
            <w:tcW w:w="614" w:type="pct"/>
            <w:vAlign w:val="bottom"/>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584" w:type="pct"/>
            <w:vAlign w:val="bottom"/>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0.0950</w:t>
            </w:r>
          </w:p>
        </w:tc>
        <w:tc>
          <w:tcPr>
            <w:tcW w:w="599" w:type="pct"/>
            <w:vAlign w:val="bottom"/>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r>
      <w:tr w:rsidR="0014764A" w:rsidRPr="006B1802" w:rsidTr="00B34669">
        <w:tc>
          <w:tcPr>
            <w:tcW w:w="3203" w:type="pct"/>
            <w:vAlign w:val="bottom"/>
          </w:tcPr>
          <w:p w:rsidR="0014764A" w:rsidRPr="006B1802" w:rsidRDefault="0014764A" w:rsidP="00B93A10">
            <w:pPr>
              <w:keepNext/>
              <w:rPr>
                <w:rFonts w:ascii="Arial Narrow" w:hAnsi="Arial Narrow"/>
                <w:sz w:val="20"/>
                <w:szCs w:val="20"/>
              </w:rPr>
            </w:pPr>
            <w:r w:rsidRPr="006B1802">
              <w:rPr>
                <w:rFonts w:ascii="Arial Narrow" w:hAnsi="Arial Narrow"/>
                <w:color w:val="000000"/>
                <w:sz w:val="20"/>
                <w:szCs w:val="20"/>
              </w:rPr>
              <w:t>20 years</w:t>
            </w:r>
          </w:p>
        </w:tc>
        <w:tc>
          <w:tcPr>
            <w:tcW w:w="614" w:type="pct"/>
            <w:vAlign w:val="bottom"/>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584" w:type="pct"/>
            <w:vAlign w:val="bottom"/>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0.3530</w:t>
            </w:r>
          </w:p>
        </w:tc>
        <w:tc>
          <w:tcPr>
            <w:tcW w:w="599" w:type="pct"/>
            <w:vAlign w:val="bottom"/>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Dominant</w:t>
            </w:r>
          </w:p>
        </w:tc>
      </w:tr>
      <w:tr w:rsidR="0014764A" w:rsidRPr="006B1802" w:rsidTr="00B34669">
        <w:tc>
          <w:tcPr>
            <w:tcW w:w="3203" w:type="pct"/>
            <w:vAlign w:val="bottom"/>
          </w:tcPr>
          <w:p w:rsidR="0014764A" w:rsidRPr="006B1802" w:rsidRDefault="0014764A" w:rsidP="00B93A10">
            <w:pPr>
              <w:keepNext/>
              <w:rPr>
                <w:rFonts w:ascii="Arial Narrow" w:hAnsi="Arial Narrow"/>
                <w:color w:val="000000"/>
                <w:sz w:val="20"/>
                <w:szCs w:val="20"/>
              </w:rPr>
            </w:pPr>
            <w:r w:rsidRPr="006B1802">
              <w:rPr>
                <w:rFonts w:ascii="Arial Narrow" w:hAnsi="Arial Narrow"/>
                <w:color w:val="000000"/>
                <w:sz w:val="20"/>
                <w:szCs w:val="20"/>
              </w:rPr>
              <w:t>30 years</w:t>
            </w:r>
          </w:p>
        </w:tc>
        <w:tc>
          <w:tcPr>
            <w:tcW w:w="614" w:type="pct"/>
            <w:vAlign w:val="bottom"/>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584" w:type="pct"/>
            <w:vAlign w:val="bottom"/>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0.4994</w:t>
            </w:r>
          </w:p>
        </w:tc>
        <w:tc>
          <w:tcPr>
            <w:tcW w:w="599" w:type="pct"/>
            <w:vAlign w:val="bottom"/>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r>
      <w:tr w:rsidR="00CB35CC" w:rsidRPr="006B1802" w:rsidTr="00B34669">
        <w:tc>
          <w:tcPr>
            <w:tcW w:w="3203" w:type="pct"/>
            <w:vAlign w:val="bottom"/>
          </w:tcPr>
          <w:p w:rsidR="00CB35CC" w:rsidRPr="006B1802" w:rsidRDefault="00CB35CC" w:rsidP="00B93A10">
            <w:pPr>
              <w:keepNext/>
              <w:rPr>
                <w:rFonts w:ascii="Arial Narrow" w:hAnsi="Arial Narrow"/>
                <w:color w:val="000000"/>
                <w:sz w:val="20"/>
                <w:szCs w:val="20"/>
              </w:rPr>
            </w:pPr>
            <w:r w:rsidRPr="006B1802">
              <w:rPr>
                <w:rFonts w:ascii="Arial Narrow" w:hAnsi="Arial Narrow"/>
                <w:color w:val="000000"/>
                <w:sz w:val="20"/>
                <w:szCs w:val="20"/>
              </w:rPr>
              <w:t>50 years</w:t>
            </w:r>
          </w:p>
        </w:tc>
        <w:tc>
          <w:tcPr>
            <w:tcW w:w="614" w:type="pct"/>
            <w:vAlign w:val="bottom"/>
          </w:tcPr>
          <w:p w:rsidR="00CB35CC" w:rsidRPr="006B1802" w:rsidRDefault="00CB35CC"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584" w:type="pct"/>
            <w:vAlign w:val="bottom"/>
          </w:tcPr>
          <w:p w:rsidR="00CB35CC" w:rsidRPr="006B1802" w:rsidRDefault="0015099D" w:rsidP="00B93A10">
            <w:pPr>
              <w:keepNext/>
              <w:jc w:val="center"/>
              <w:rPr>
                <w:rFonts w:ascii="Arial Narrow" w:hAnsi="Arial Narrow"/>
                <w:sz w:val="20"/>
                <w:szCs w:val="20"/>
              </w:rPr>
            </w:pPr>
            <w:r w:rsidRPr="006B1802">
              <w:rPr>
                <w:rFonts w:ascii="Arial Narrow" w:hAnsi="Arial Narrow"/>
                <w:sz w:val="20"/>
                <w:szCs w:val="20"/>
              </w:rPr>
              <w:t>0.5486</w:t>
            </w:r>
          </w:p>
        </w:tc>
        <w:tc>
          <w:tcPr>
            <w:tcW w:w="599" w:type="pct"/>
            <w:vAlign w:val="bottom"/>
          </w:tcPr>
          <w:p w:rsidR="00CB35CC" w:rsidRPr="006B1802" w:rsidRDefault="0015099D"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r>
    </w:tbl>
    <w:p w:rsidR="0014764A" w:rsidRPr="006B1802" w:rsidRDefault="0014764A" w:rsidP="00B93A10">
      <w:pPr>
        <w:keepNext/>
        <w:rPr>
          <w:rFonts w:ascii="Arial Narrow" w:hAnsi="Arial Narrow"/>
          <w:sz w:val="18"/>
        </w:rPr>
      </w:pPr>
      <w:r w:rsidRPr="006B1802">
        <w:rPr>
          <w:rFonts w:ascii="Arial Narrow" w:hAnsi="Arial Narrow"/>
          <w:sz w:val="18"/>
        </w:rPr>
        <w:t>Abbreviations: CKD: chronic kidney disease; ICER, incremental cost effectiveness ratio; QALYs: quality adjusted life years</w:t>
      </w:r>
    </w:p>
    <w:p w:rsidR="0014764A" w:rsidRPr="006B1802" w:rsidRDefault="0014764A" w:rsidP="00B93A10">
      <w:pPr>
        <w:keepNext/>
        <w:keepLines/>
        <w:rPr>
          <w:rFonts w:ascii="Arial Narrow" w:hAnsi="Arial Narrow"/>
          <w:sz w:val="18"/>
          <w:szCs w:val="18"/>
        </w:rPr>
      </w:pPr>
      <w:r w:rsidRPr="006B1802">
        <w:rPr>
          <w:rFonts w:ascii="Arial Narrow" w:hAnsi="Arial Narrow"/>
          <w:sz w:val="18"/>
        </w:rPr>
        <w:t xml:space="preserve">Source: </w:t>
      </w:r>
      <w:r w:rsidRPr="006B1802">
        <w:rPr>
          <w:rFonts w:ascii="Arial Narrow" w:hAnsi="Arial Narrow"/>
          <w:sz w:val="18"/>
          <w:szCs w:val="18"/>
        </w:rPr>
        <w:t xml:space="preserve">Table 3-3, p16 of the minor resubmission and calculated during preparation of the Minor Overview based on ‘Tolvaptan November 2017 PBAC Section 3 Updated for April 2018’ </w:t>
      </w:r>
    </w:p>
    <w:p w:rsidR="0014764A" w:rsidRPr="006B1802" w:rsidRDefault="0014764A" w:rsidP="00B93A10">
      <w:pPr>
        <w:keepNext/>
        <w:rPr>
          <w:rFonts w:ascii="Arial Narrow" w:hAnsi="Arial Narrow"/>
          <w:sz w:val="18"/>
        </w:rPr>
      </w:pPr>
      <w:proofErr w:type="spellStart"/>
      <w:proofErr w:type="gramStart"/>
      <w:r w:rsidRPr="006B1802">
        <w:rPr>
          <w:rFonts w:ascii="Arial Narrow" w:hAnsi="Arial Narrow"/>
          <w:sz w:val="18"/>
          <w:vertAlign w:val="superscript"/>
        </w:rPr>
        <w:t>a</w:t>
      </w:r>
      <w:proofErr w:type="spellEnd"/>
      <w:proofErr w:type="gramEnd"/>
      <w:r w:rsidRPr="006B1802">
        <w:rPr>
          <w:rFonts w:ascii="Arial Narrow" w:hAnsi="Arial Narrow"/>
          <w:sz w:val="18"/>
          <w:vertAlign w:val="superscript"/>
        </w:rPr>
        <w:t xml:space="preserve"> </w:t>
      </w:r>
      <w:r w:rsidRPr="006B1802">
        <w:rPr>
          <w:rFonts w:ascii="Arial Narrow" w:hAnsi="Arial Narrow"/>
          <w:sz w:val="18"/>
        </w:rPr>
        <w:t xml:space="preserve">These sensitivity analyses are based on the minor resubmission’s base case which comprised the trial sub-populations. This differs to the sensitivity analyses presented in Tables 14 and 15 of the March 2018 PBAC Minutes, which used the ITT (overall trial population and efficacy) as the base case.  </w:t>
      </w:r>
    </w:p>
    <w:p w:rsidR="0014764A" w:rsidRPr="006B1802" w:rsidRDefault="0014764A" w:rsidP="00B93A10">
      <w:pPr>
        <w:keepNext/>
        <w:rPr>
          <w:rFonts w:ascii="Arial Narrow" w:hAnsi="Arial Narrow"/>
          <w:sz w:val="18"/>
        </w:rPr>
      </w:pPr>
      <w:proofErr w:type="gramStart"/>
      <w:r w:rsidRPr="006B1802">
        <w:rPr>
          <w:rFonts w:ascii="Arial Narrow" w:hAnsi="Arial Narrow"/>
          <w:sz w:val="18"/>
          <w:vertAlign w:val="superscript"/>
        </w:rPr>
        <w:t>b</w:t>
      </w:r>
      <w:proofErr w:type="gramEnd"/>
      <w:r w:rsidRPr="006B1802">
        <w:rPr>
          <w:rFonts w:ascii="Arial Narrow" w:hAnsi="Arial Narrow"/>
          <w:sz w:val="18"/>
        </w:rPr>
        <w:t xml:space="preserve"> Change </w:t>
      </w:r>
      <w:proofErr w:type="spellStart"/>
      <w:r w:rsidRPr="006B1802">
        <w:rPr>
          <w:rFonts w:ascii="Arial Narrow" w:hAnsi="Arial Narrow"/>
          <w:sz w:val="18"/>
        </w:rPr>
        <w:t>tbl_TOLefficacy</w:t>
      </w:r>
      <w:proofErr w:type="spellEnd"/>
      <w:r w:rsidRPr="006B1802">
        <w:rPr>
          <w:rFonts w:ascii="Arial Narrow" w:hAnsi="Arial Narrow"/>
          <w:sz w:val="18"/>
        </w:rPr>
        <w:t xml:space="preserve"> Column 1 to 0.264 for Index 1 to 4. </w:t>
      </w:r>
    </w:p>
    <w:p w:rsidR="0014764A" w:rsidRPr="006B1802" w:rsidRDefault="0014764A" w:rsidP="00B93A10">
      <w:pPr>
        <w:keepNext/>
        <w:rPr>
          <w:rFonts w:ascii="Arial Narrow" w:hAnsi="Arial Narrow"/>
          <w:sz w:val="18"/>
        </w:rPr>
      </w:pPr>
      <w:proofErr w:type="gramStart"/>
      <w:r w:rsidRPr="006B1802">
        <w:rPr>
          <w:rFonts w:ascii="Arial Narrow" w:hAnsi="Arial Narrow"/>
          <w:sz w:val="18"/>
          <w:vertAlign w:val="superscript"/>
        </w:rPr>
        <w:t>c</w:t>
      </w:r>
      <w:proofErr w:type="gramEnd"/>
      <w:r w:rsidRPr="006B1802">
        <w:rPr>
          <w:rFonts w:ascii="Arial Narrow" w:hAnsi="Arial Narrow"/>
          <w:sz w:val="18"/>
        </w:rPr>
        <w:t xml:space="preserve"> Using ‘</w:t>
      </w:r>
      <w:proofErr w:type="spellStart"/>
      <w:r w:rsidRPr="006B1802">
        <w:rPr>
          <w:rFonts w:ascii="Arial Narrow" w:hAnsi="Arial Narrow"/>
          <w:sz w:val="18"/>
        </w:rPr>
        <w:t>sa_efficacyTOL</w:t>
      </w:r>
      <w:proofErr w:type="spellEnd"/>
      <w:r w:rsidRPr="006B1802">
        <w:rPr>
          <w:rFonts w:ascii="Arial Narrow" w:hAnsi="Arial Narrow"/>
          <w:sz w:val="18"/>
        </w:rPr>
        <w:t>’ = 5 and ‘</w:t>
      </w:r>
      <w:proofErr w:type="spellStart"/>
      <w:r w:rsidRPr="006B1802">
        <w:rPr>
          <w:rFonts w:ascii="Arial Narrow" w:hAnsi="Arial Narrow"/>
          <w:sz w:val="18"/>
        </w:rPr>
        <w:t>sa_PopGroup</w:t>
      </w:r>
      <w:proofErr w:type="spellEnd"/>
      <w:r w:rsidRPr="006B1802">
        <w:rPr>
          <w:rFonts w:ascii="Arial Narrow" w:hAnsi="Arial Narrow"/>
          <w:sz w:val="18"/>
        </w:rPr>
        <w:t>’ = 1.</w:t>
      </w:r>
    </w:p>
    <w:p w:rsidR="003E1A7D" w:rsidRPr="006B1802" w:rsidRDefault="003E1A7D" w:rsidP="00B93A10">
      <w:pPr>
        <w:keepNext/>
        <w:rPr>
          <w:rFonts w:ascii="Arial Narrow" w:hAnsi="Arial Narrow"/>
          <w:sz w:val="18"/>
        </w:rPr>
      </w:pPr>
      <w:proofErr w:type="gramStart"/>
      <w:r w:rsidRPr="006B1802">
        <w:rPr>
          <w:rFonts w:ascii="Arial Narrow" w:hAnsi="Arial Narrow"/>
          <w:sz w:val="18"/>
          <w:vertAlign w:val="superscript"/>
        </w:rPr>
        <w:t>d</w:t>
      </w:r>
      <w:proofErr w:type="gramEnd"/>
      <w:r w:rsidRPr="006B1802">
        <w:rPr>
          <w:rFonts w:ascii="Arial Narrow" w:hAnsi="Arial Narrow"/>
          <w:sz w:val="18"/>
        </w:rPr>
        <w:t xml:space="preserve"> Change ‘</w:t>
      </w:r>
      <w:proofErr w:type="spellStart"/>
      <w:r w:rsidRPr="006B1802">
        <w:rPr>
          <w:rFonts w:ascii="Arial Narrow" w:hAnsi="Arial Narrow"/>
          <w:sz w:val="18"/>
        </w:rPr>
        <w:t>dur_years</w:t>
      </w:r>
      <w:proofErr w:type="spellEnd"/>
      <w:r w:rsidRPr="006B1802">
        <w:rPr>
          <w:rFonts w:ascii="Arial Narrow" w:hAnsi="Arial Narrow"/>
          <w:sz w:val="18"/>
        </w:rPr>
        <w:t>’ variable definition</w:t>
      </w:r>
    </w:p>
    <w:p w:rsidR="0087107C" w:rsidRDefault="0087107C" w:rsidP="00B93A10"/>
    <w:p w:rsidR="0087107C" w:rsidRDefault="0087107C" w:rsidP="0087107C"/>
    <w:p w:rsidR="0014764A" w:rsidRPr="0087107C" w:rsidRDefault="0087107C" w:rsidP="0087107C">
      <w:pPr>
        <w:rPr>
          <w:rFonts w:asciiTheme="minorHAnsi" w:hAnsiTheme="minorHAnsi" w:cstheme="minorHAnsi"/>
        </w:rPr>
      </w:pPr>
      <w:r w:rsidRPr="0087107C">
        <w:rPr>
          <w:rFonts w:asciiTheme="minorHAnsi" w:hAnsiTheme="minorHAnsi" w:cstheme="minorHAnsi"/>
        </w:rPr>
        <w:t>The re</w:t>
      </w:r>
      <w:r>
        <w:rPr>
          <w:rFonts w:asciiTheme="minorHAnsi" w:hAnsiTheme="minorHAnsi" w:cstheme="minorHAnsi"/>
        </w:rPr>
        <w:t xml:space="preserve">dacted table shows ICERs in the range of less than $15,000/QALY – more than $200,000/QALY. </w:t>
      </w:r>
    </w:p>
    <w:p w:rsidR="0014764A" w:rsidRPr="006B1802" w:rsidRDefault="0014764A" w:rsidP="00B93A10">
      <w:pPr>
        <w:pStyle w:val="Caption"/>
        <w:keepNext/>
        <w:keepLines/>
        <w:spacing w:after="0"/>
        <w:rPr>
          <w:rFonts w:ascii="Arial Narrow" w:hAnsi="Arial Narrow"/>
          <w:color w:val="auto"/>
          <w:sz w:val="20"/>
          <w:szCs w:val="20"/>
        </w:rPr>
      </w:pPr>
      <w:r w:rsidRPr="006B1802">
        <w:rPr>
          <w:rFonts w:ascii="Arial Narrow" w:hAnsi="Arial Narrow"/>
          <w:color w:val="auto"/>
          <w:sz w:val="20"/>
          <w:szCs w:val="20"/>
        </w:rPr>
        <w:lastRenderedPageBreak/>
        <w:t xml:space="preserve">Table </w:t>
      </w:r>
      <w:r w:rsidR="00CC525E" w:rsidRPr="006B1802">
        <w:rPr>
          <w:rFonts w:ascii="Arial Narrow" w:hAnsi="Arial Narrow"/>
          <w:color w:val="auto"/>
          <w:sz w:val="20"/>
          <w:szCs w:val="20"/>
        </w:rPr>
        <w:t>6</w:t>
      </w:r>
      <w:r w:rsidRPr="006B1802">
        <w:rPr>
          <w:rFonts w:ascii="Arial Narrow" w:hAnsi="Arial Narrow"/>
          <w:color w:val="auto"/>
          <w:sz w:val="20"/>
          <w:szCs w:val="20"/>
        </w:rPr>
        <w:t xml:space="preserve">: Sensitivity analyses on REPRISE </w:t>
      </w:r>
      <w:r w:rsidR="003C3869" w:rsidRPr="006B1802">
        <w:rPr>
          <w:rFonts w:ascii="Arial Narrow" w:hAnsi="Arial Narrow"/>
          <w:color w:val="auto"/>
          <w:sz w:val="20"/>
          <w:szCs w:val="20"/>
        </w:rPr>
        <w:t>sub-population</w:t>
      </w:r>
      <w:r w:rsidRPr="006B1802">
        <w:rPr>
          <w:rFonts w:ascii="Arial Narrow" w:hAnsi="Arial Narrow"/>
          <w:color w:val="auto"/>
          <w:sz w:val="20"/>
          <w:szCs w:val="20"/>
        </w:rPr>
        <w:t xml:space="preserve"> </w:t>
      </w:r>
      <w:r w:rsidRPr="006B1802">
        <w:rPr>
          <w:rFonts w:ascii="Arial Narrow" w:hAnsi="Arial Narrow"/>
          <w:color w:val="auto"/>
          <w:sz w:val="20"/>
          <w:szCs w:val="20"/>
          <w:vertAlign w:val="superscript"/>
        </w:rPr>
        <w:t>a</w:t>
      </w:r>
    </w:p>
    <w:tbl>
      <w:tblPr>
        <w:tblStyle w:val="TableGrid"/>
        <w:tblW w:w="5000" w:type="pct"/>
        <w:tblLayout w:type="fixed"/>
        <w:tblLook w:val="04A0" w:firstRow="1" w:lastRow="0" w:firstColumn="1" w:lastColumn="0" w:noHBand="0" w:noVBand="1"/>
        <w:tblCaption w:val="Table 6: Sensitivity analyses on REPRISE sub-population "/>
      </w:tblPr>
      <w:tblGrid>
        <w:gridCol w:w="5778"/>
        <w:gridCol w:w="1134"/>
        <w:gridCol w:w="1276"/>
        <w:gridCol w:w="1054"/>
      </w:tblGrid>
      <w:tr w:rsidR="0014764A" w:rsidRPr="006B1802" w:rsidTr="0014764A">
        <w:trPr>
          <w:tblHeader/>
        </w:trPr>
        <w:tc>
          <w:tcPr>
            <w:tcW w:w="5778" w:type="dxa"/>
            <w:vAlign w:val="center"/>
          </w:tcPr>
          <w:p w:rsidR="0014764A" w:rsidRPr="006B1802" w:rsidRDefault="0014764A" w:rsidP="00B93A10">
            <w:pPr>
              <w:keepNext/>
              <w:rPr>
                <w:rFonts w:ascii="Arial Narrow" w:hAnsi="Arial Narrow"/>
                <w:b/>
                <w:sz w:val="20"/>
                <w:szCs w:val="20"/>
              </w:rPr>
            </w:pPr>
            <w:r w:rsidRPr="006B1802">
              <w:rPr>
                <w:rFonts w:ascii="Arial Narrow" w:hAnsi="Arial Narrow"/>
                <w:b/>
                <w:sz w:val="20"/>
                <w:szCs w:val="20"/>
              </w:rPr>
              <w:t>Analysis</w:t>
            </w:r>
          </w:p>
        </w:tc>
        <w:tc>
          <w:tcPr>
            <w:tcW w:w="1134" w:type="dxa"/>
            <w:vAlign w:val="center"/>
          </w:tcPr>
          <w:p w:rsidR="0014764A" w:rsidRPr="006B1802" w:rsidRDefault="0014764A" w:rsidP="00B93A10">
            <w:pPr>
              <w:keepNext/>
              <w:jc w:val="center"/>
              <w:rPr>
                <w:rFonts w:ascii="Arial Narrow" w:hAnsi="Arial Narrow"/>
                <w:b/>
                <w:sz w:val="20"/>
                <w:szCs w:val="20"/>
              </w:rPr>
            </w:pPr>
            <w:r w:rsidRPr="006B1802">
              <w:rPr>
                <w:rFonts w:ascii="Arial Narrow" w:hAnsi="Arial Narrow"/>
                <w:b/>
                <w:sz w:val="20"/>
                <w:szCs w:val="20"/>
              </w:rPr>
              <w:t>∆ cost</w:t>
            </w:r>
          </w:p>
        </w:tc>
        <w:tc>
          <w:tcPr>
            <w:tcW w:w="1276" w:type="dxa"/>
            <w:vAlign w:val="center"/>
          </w:tcPr>
          <w:p w:rsidR="0014764A" w:rsidRPr="006B1802" w:rsidRDefault="0014764A" w:rsidP="00B93A10">
            <w:pPr>
              <w:keepNext/>
              <w:jc w:val="center"/>
              <w:rPr>
                <w:rFonts w:ascii="Arial Narrow" w:hAnsi="Arial Narrow"/>
                <w:b/>
                <w:sz w:val="20"/>
                <w:szCs w:val="20"/>
              </w:rPr>
            </w:pPr>
            <w:r w:rsidRPr="006B1802">
              <w:rPr>
                <w:rFonts w:ascii="Arial Narrow" w:hAnsi="Arial Narrow"/>
                <w:b/>
                <w:sz w:val="20"/>
                <w:szCs w:val="20"/>
              </w:rPr>
              <w:t>∆ QALYs</w:t>
            </w:r>
          </w:p>
        </w:tc>
        <w:tc>
          <w:tcPr>
            <w:tcW w:w="1054" w:type="dxa"/>
            <w:vAlign w:val="center"/>
          </w:tcPr>
          <w:p w:rsidR="0014764A" w:rsidRPr="006B1802" w:rsidRDefault="0014764A" w:rsidP="00B93A10">
            <w:pPr>
              <w:keepNext/>
              <w:jc w:val="center"/>
              <w:rPr>
                <w:rFonts w:ascii="Arial Narrow" w:hAnsi="Arial Narrow"/>
                <w:b/>
                <w:sz w:val="20"/>
                <w:szCs w:val="20"/>
              </w:rPr>
            </w:pPr>
            <w:r w:rsidRPr="006B1802">
              <w:rPr>
                <w:rFonts w:ascii="Arial Narrow" w:hAnsi="Arial Narrow"/>
                <w:b/>
                <w:sz w:val="20"/>
                <w:szCs w:val="20"/>
              </w:rPr>
              <w:t>ICER</w:t>
            </w:r>
          </w:p>
        </w:tc>
      </w:tr>
      <w:tr w:rsidR="0014764A" w:rsidRPr="006B1802" w:rsidTr="0014764A">
        <w:tc>
          <w:tcPr>
            <w:tcW w:w="5778" w:type="dxa"/>
          </w:tcPr>
          <w:p w:rsidR="0014764A" w:rsidRPr="006B1802" w:rsidRDefault="0014764A" w:rsidP="00B93A10">
            <w:pPr>
              <w:keepNext/>
              <w:rPr>
                <w:rFonts w:ascii="Arial Narrow" w:hAnsi="Arial Narrow"/>
                <w:sz w:val="20"/>
                <w:szCs w:val="20"/>
                <w:vertAlign w:val="superscript"/>
              </w:rPr>
            </w:pPr>
            <w:r w:rsidRPr="006B1802">
              <w:rPr>
                <w:rFonts w:ascii="Arial Narrow" w:hAnsi="Arial Narrow"/>
                <w:sz w:val="20"/>
                <w:szCs w:val="20"/>
              </w:rPr>
              <w:t xml:space="preserve">Base case presented in minor resubmission (PBS eligibility population and CKD stage 2-3 efficacy; efficacy = 0.346) </w:t>
            </w:r>
            <w:r w:rsidRPr="006B1802">
              <w:rPr>
                <w:rFonts w:ascii="Arial Narrow" w:hAnsi="Arial Narrow"/>
                <w:sz w:val="20"/>
                <w:szCs w:val="20"/>
                <w:vertAlign w:val="superscript"/>
              </w:rPr>
              <w:t>a</w:t>
            </w:r>
          </w:p>
        </w:tc>
        <w:tc>
          <w:tcPr>
            <w:tcW w:w="1134" w:type="dxa"/>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1276" w:type="dxa"/>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0.5605</w:t>
            </w:r>
          </w:p>
        </w:tc>
        <w:tc>
          <w:tcPr>
            <w:tcW w:w="1054" w:type="dxa"/>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Dominant</w:t>
            </w:r>
          </w:p>
        </w:tc>
      </w:tr>
      <w:tr w:rsidR="0014764A" w:rsidRPr="006B1802" w:rsidTr="0014764A">
        <w:tc>
          <w:tcPr>
            <w:tcW w:w="9242" w:type="dxa"/>
            <w:gridSpan w:val="4"/>
          </w:tcPr>
          <w:p w:rsidR="0014764A" w:rsidRPr="006B1802" w:rsidRDefault="0014764A" w:rsidP="00B93A10">
            <w:pPr>
              <w:keepNext/>
              <w:rPr>
                <w:rFonts w:ascii="Arial Narrow" w:hAnsi="Arial Narrow"/>
                <w:sz w:val="20"/>
                <w:szCs w:val="20"/>
              </w:rPr>
            </w:pPr>
            <w:r w:rsidRPr="006B1802">
              <w:rPr>
                <w:rFonts w:ascii="Arial Narrow" w:hAnsi="Arial Narrow"/>
                <w:b/>
                <w:sz w:val="20"/>
                <w:szCs w:val="20"/>
              </w:rPr>
              <w:t>Alternative population and efficacy</w:t>
            </w:r>
          </w:p>
        </w:tc>
      </w:tr>
      <w:tr w:rsidR="0014764A" w:rsidRPr="006B1802" w:rsidTr="0014764A">
        <w:tc>
          <w:tcPr>
            <w:tcW w:w="5778" w:type="dxa"/>
          </w:tcPr>
          <w:p w:rsidR="0014764A" w:rsidRPr="006B1802" w:rsidRDefault="0014764A" w:rsidP="00B93A10">
            <w:pPr>
              <w:keepNext/>
              <w:rPr>
                <w:rFonts w:ascii="Arial Narrow" w:hAnsi="Arial Narrow"/>
                <w:sz w:val="20"/>
                <w:szCs w:val="20"/>
              </w:rPr>
            </w:pPr>
            <w:r w:rsidRPr="006B1802">
              <w:rPr>
                <w:rFonts w:ascii="Arial Narrow" w:hAnsi="Arial Narrow"/>
                <w:sz w:val="20"/>
                <w:szCs w:val="20"/>
              </w:rPr>
              <w:t>REPRISE ITT - overall trial population and efficacy (N=663, efficacy = 0.303)</w:t>
            </w:r>
          </w:p>
        </w:tc>
        <w:tc>
          <w:tcPr>
            <w:tcW w:w="1134" w:type="dxa"/>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1276" w:type="dxa"/>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0.37</w:t>
            </w:r>
          </w:p>
        </w:tc>
        <w:tc>
          <w:tcPr>
            <w:tcW w:w="1054" w:type="dxa"/>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r>
      <w:tr w:rsidR="0014764A" w:rsidRPr="006B1802" w:rsidTr="0014764A">
        <w:tc>
          <w:tcPr>
            <w:tcW w:w="9242" w:type="dxa"/>
            <w:gridSpan w:val="4"/>
          </w:tcPr>
          <w:p w:rsidR="0014764A" w:rsidRPr="006B1802" w:rsidRDefault="0014764A" w:rsidP="00B93A10">
            <w:pPr>
              <w:keepNext/>
              <w:rPr>
                <w:rFonts w:ascii="Arial Narrow" w:hAnsi="Arial Narrow"/>
                <w:sz w:val="20"/>
                <w:szCs w:val="20"/>
              </w:rPr>
            </w:pPr>
            <w:r w:rsidRPr="006B1802">
              <w:rPr>
                <w:rFonts w:ascii="Arial Narrow" w:hAnsi="Arial Narrow"/>
                <w:b/>
                <w:sz w:val="20"/>
                <w:szCs w:val="20"/>
              </w:rPr>
              <w:t>Alternative tolvaptan efficacy (relative reduction; base case 0.346 based on change in eGFR, weighted ANCOVA)</w:t>
            </w:r>
          </w:p>
        </w:tc>
      </w:tr>
      <w:tr w:rsidR="0014764A" w:rsidRPr="006B1802" w:rsidTr="0014764A">
        <w:tc>
          <w:tcPr>
            <w:tcW w:w="5778" w:type="dxa"/>
          </w:tcPr>
          <w:p w:rsidR="0014764A" w:rsidRPr="006B1802" w:rsidRDefault="0014764A" w:rsidP="00B93A10">
            <w:pPr>
              <w:keepNext/>
              <w:rPr>
                <w:rFonts w:ascii="Arial Narrow" w:hAnsi="Arial Narrow"/>
                <w:sz w:val="20"/>
                <w:szCs w:val="20"/>
              </w:rPr>
            </w:pPr>
            <w:r w:rsidRPr="006B1802">
              <w:rPr>
                <w:rFonts w:ascii="Arial Narrow" w:hAnsi="Arial Narrow"/>
                <w:sz w:val="20"/>
                <w:szCs w:val="20"/>
              </w:rPr>
              <w:t>Efficacy halved at start (0.148)</w:t>
            </w:r>
          </w:p>
        </w:tc>
        <w:tc>
          <w:tcPr>
            <w:tcW w:w="1134" w:type="dxa"/>
            <w:vAlign w:val="center"/>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1276" w:type="dxa"/>
            <w:vAlign w:val="center"/>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0.2834</w:t>
            </w:r>
          </w:p>
        </w:tc>
        <w:tc>
          <w:tcPr>
            <w:tcW w:w="1054" w:type="dxa"/>
            <w:vAlign w:val="center"/>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r>
      <w:tr w:rsidR="0014764A" w:rsidRPr="006B1802" w:rsidTr="0014764A">
        <w:tc>
          <w:tcPr>
            <w:tcW w:w="5778" w:type="dxa"/>
          </w:tcPr>
          <w:p w:rsidR="0014764A" w:rsidRPr="006B1802" w:rsidRDefault="0014764A" w:rsidP="00B93A10">
            <w:pPr>
              <w:keepNext/>
              <w:rPr>
                <w:rFonts w:ascii="Arial Narrow" w:hAnsi="Arial Narrow"/>
                <w:sz w:val="20"/>
                <w:szCs w:val="20"/>
              </w:rPr>
            </w:pPr>
            <w:r w:rsidRPr="006B1802">
              <w:rPr>
                <w:rFonts w:ascii="Arial Narrow" w:hAnsi="Arial Narrow"/>
                <w:sz w:val="20"/>
                <w:szCs w:val="20"/>
              </w:rPr>
              <w:t xml:space="preserve">Efficacy halved after 2 years </w:t>
            </w:r>
          </w:p>
        </w:tc>
        <w:tc>
          <w:tcPr>
            <w:tcW w:w="1134" w:type="dxa"/>
            <w:vAlign w:val="center"/>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1276" w:type="dxa"/>
            <w:vAlign w:val="center"/>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0.3299</w:t>
            </w:r>
          </w:p>
        </w:tc>
        <w:tc>
          <w:tcPr>
            <w:tcW w:w="1054" w:type="dxa"/>
            <w:vAlign w:val="center"/>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r>
      <w:tr w:rsidR="0014764A" w:rsidRPr="006B1802" w:rsidTr="0014764A">
        <w:tc>
          <w:tcPr>
            <w:tcW w:w="5778" w:type="dxa"/>
          </w:tcPr>
          <w:p w:rsidR="0014764A" w:rsidRPr="006B1802" w:rsidRDefault="0014764A" w:rsidP="00B93A10">
            <w:pPr>
              <w:keepNext/>
              <w:rPr>
                <w:rFonts w:ascii="Arial Narrow" w:hAnsi="Arial Narrow"/>
                <w:sz w:val="20"/>
                <w:szCs w:val="20"/>
              </w:rPr>
            </w:pPr>
            <w:r w:rsidRPr="006B1802">
              <w:rPr>
                <w:rFonts w:ascii="Arial Narrow" w:hAnsi="Arial Narrow"/>
                <w:sz w:val="20"/>
                <w:szCs w:val="20"/>
              </w:rPr>
              <w:t>Efficacy halved after 5 years</w:t>
            </w:r>
          </w:p>
        </w:tc>
        <w:tc>
          <w:tcPr>
            <w:tcW w:w="1134" w:type="dxa"/>
            <w:tcBorders>
              <w:top w:val="single" w:sz="4" w:space="0" w:color="auto"/>
              <w:left w:val="single" w:sz="4" w:space="0" w:color="auto"/>
              <w:bottom w:val="single" w:sz="4" w:space="0" w:color="auto"/>
              <w:right w:val="single" w:sz="4" w:space="0" w:color="auto"/>
            </w:tcBorders>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0.4471</w:t>
            </w:r>
          </w:p>
        </w:tc>
        <w:tc>
          <w:tcPr>
            <w:tcW w:w="1054" w:type="dxa"/>
            <w:tcBorders>
              <w:top w:val="single" w:sz="4" w:space="0" w:color="auto"/>
              <w:left w:val="single" w:sz="4" w:space="0" w:color="auto"/>
              <w:bottom w:val="single" w:sz="4" w:space="0" w:color="auto"/>
              <w:right w:val="single" w:sz="4" w:space="0" w:color="auto"/>
            </w:tcBorders>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Dominant</w:t>
            </w:r>
          </w:p>
        </w:tc>
      </w:tr>
      <w:tr w:rsidR="0014764A" w:rsidRPr="006B1802" w:rsidTr="0014764A">
        <w:tc>
          <w:tcPr>
            <w:tcW w:w="5778" w:type="dxa"/>
          </w:tcPr>
          <w:p w:rsidR="0014764A" w:rsidRPr="006B1802" w:rsidRDefault="0014764A" w:rsidP="00B93A10">
            <w:pPr>
              <w:keepNext/>
              <w:rPr>
                <w:rFonts w:ascii="Arial Narrow" w:hAnsi="Arial Narrow"/>
                <w:sz w:val="20"/>
                <w:szCs w:val="20"/>
              </w:rPr>
            </w:pPr>
            <w:r w:rsidRPr="006B1802">
              <w:rPr>
                <w:rFonts w:ascii="Arial Narrow" w:hAnsi="Arial Narrow"/>
                <w:sz w:val="20"/>
                <w:szCs w:val="20"/>
              </w:rPr>
              <w:t xml:space="preserve">Efficacy halved after 10 years </w:t>
            </w:r>
          </w:p>
        </w:tc>
        <w:tc>
          <w:tcPr>
            <w:tcW w:w="1134" w:type="dxa"/>
            <w:tcBorders>
              <w:top w:val="single" w:sz="4" w:space="0" w:color="auto"/>
              <w:left w:val="single" w:sz="4" w:space="0" w:color="auto"/>
              <w:bottom w:val="single" w:sz="4" w:space="0" w:color="auto"/>
              <w:right w:val="single" w:sz="4" w:space="0" w:color="auto"/>
            </w:tcBorders>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0.5316</w:t>
            </w:r>
          </w:p>
        </w:tc>
        <w:tc>
          <w:tcPr>
            <w:tcW w:w="1054" w:type="dxa"/>
            <w:tcBorders>
              <w:top w:val="single" w:sz="4" w:space="0" w:color="auto"/>
              <w:left w:val="single" w:sz="4" w:space="0" w:color="auto"/>
              <w:bottom w:val="single" w:sz="4" w:space="0" w:color="auto"/>
              <w:right w:val="single" w:sz="4" w:space="0" w:color="auto"/>
            </w:tcBorders>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Dominant</w:t>
            </w:r>
          </w:p>
        </w:tc>
      </w:tr>
      <w:tr w:rsidR="0014764A" w:rsidRPr="006B1802" w:rsidTr="0014764A">
        <w:trPr>
          <w:trHeight w:val="211"/>
        </w:trPr>
        <w:tc>
          <w:tcPr>
            <w:tcW w:w="5778" w:type="dxa"/>
          </w:tcPr>
          <w:p w:rsidR="0014764A" w:rsidRPr="006B1802" w:rsidRDefault="0014764A" w:rsidP="00B93A10">
            <w:pPr>
              <w:keepNext/>
              <w:rPr>
                <w:rFonts w:ascii="Arial Narrow" w:hAnsi="Arial Narrow"/>
                <w:sz w:val="20"/>
                <w:szCs w:val="20"/>
              </w:rPr>
            </w:pPr>
            <w:r w:rsidRPr="006B1802">
              <w:rPr>
                <w:rFonts w:ascii="Arial Narrow" w:hAnsi="Arial Narrow"/>
                <w:sz w:val="20"/>
                <w:szCs w:val="20"/>
              </w:rPr>
              <w:t>Efficacy based on change in slope linear mixed model (0.243)</w:t>
            </w:r>
          </w:p>
        </w:tc>
        <w:tc>
          <w:tcPr>
            <w:tcW w:w="1134" w:type="dxa"/>
            <w:vAlign w:val="center"/>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1276" w:type="dxa"/>
            <w:vAlign w:val="center"/>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0.3544</w:t>
            </w:r>
          </w:p>
        </w:tc>
        <w:tc>
          <w:tcPr>
            <w:tcW w:w="1054" w:type="dxa"/>
            <w:vAlign w:val="center"/>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r>
      <w:tr w:rsidR="0014764A" w:rsidRPr="006B1802" w:rsidTr="0014764A">
        <w:tc>
          <w:tcPr>
            <w:tcW w:w="5778" w:type="dxa"/>
          </w:tcPr>
          <w:p w:rsidR="0014764A" w:rsidRPr="006B1802" w:rsidRDefault="0014764A" w:rsidP="00B93A10">
            <w:pPr>
              <w:keepNext/>
              <w:rPr>
                <w:rFonts w:ascii="Arial Narrow" w:hAnsi="Arial Narrow"/>
                <w:sz w:val="20"/>
                <w:szCs w:val="20"/>
              </w:rPr>
            </w:pPr>
            <w:r w:rsidRPr="006B1802">
              <w:rPr>
                <w:rFonts w:ascii="Arial Narrow" w:hAnsi="Arial Narrow"/>
                <w:sz w:val="20"/>
                <w:szCs w:val="20"/>
              </w:rPr>
              <w:t xml:space="preserve">REPRISE by CKD stage </w:t>
            </w:r>
          </w:p>
          <w:p w:rsidR="0014764A" w:rsidRPr="006B1802" w:rsidRDefault="0014764A" w:rsidP="00B93A10">
            <w:pPr>
              <w:keepNext/>
              <w:rPr>
                <w:rFonts w:ascii="Arial Narrow" w:hAnsi="Arial Narrow"/>
                <w:sz w:val="20"/>
                <w:szCs w:val="20"/>
                <w:vertAlign w:val="superscript"/>
              </w:rPr>
            </w:pPr>
            <w:r w:rsidRPr="006B1802">
              <w:rPr>
                <w:rFonts w:ascii="Arial Narrow" w:hAnsi="Arial Narrow"/>
                <w:sz w:val="20"/>
                <w:szCs w:val="20"/>
              </w:rPr>
              <w:t xml:space="preserve">(CKD 2: 0.882; CKD 3: 0.309; CKD 4: 0.120) </w:t>
            </w:r>
            <w:r w:rsidRPr="006B1802">
              <w:rPr>
                <w:rFonts w:ascii="Arial Narrow" w:hAnsi="Arial Narrow"/>
                <w:sz w:val="20"/>
                <w:szCs w:val="20"/>
                <w:vertAlign w:val="superscript"/>
              </w:rPr>
              <w:t>b</w:t>
            </w:r>
          </w:p>
        </w:tc>
        <w:tc>
          <w:tcPr>
            <w:tcW w:w="1134" w:type="dxa"/>
            <w:vAlign w:val="center"/>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1276" w:type="dxa"/>
            <w:vAlign w:val="center"/>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0.3636</w:t>
            </w:r>
          </w:p>
        </w:tc>
        <w:tc>
          <w:tcPr>
            <w:tcW w:w="1054" w:type="dxa"/>
            <w:vAlign w:val="center"/>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r>
      <w:tr w:rsidR="0014764A" w:rsidRPr="006B1802" w:rsidTr="0014764A">
        <w:tc>
          <w:tcPr>
            <w:tcW w:w="9242" w:type="dxa"/>
            <w:gridSpan w:val="4"/>
          </w:tcPr>
          <w:p w:rsidR="0014764A" w:rsidRPr="006B1802" w:rsidRDefault="0014764A" w:rsidP="00B93A10">
            <w:pPr>
              <w:keepNext/>
              <w:rPr>
                <w:rFonts w:ascii="Arial Narrow" w:hAnsi="Arial Narrow"/>
                <w:sz w:val="20"/>
                <w:szCs w:val="20"/>
              </w:rPr>
            </w:pPr>
            <w:proofErr w:type="spellStart"/>
            <w:r w:rsidRPr="006B1802">
              <w:rPr>
                <w:rFonts w:ascii="Arial Narrow" w:hAnsi="Arial Narrow"/>
                <w:b/>
                <w:sz w:val="20"/>
                <w:szCs w:val="20"/>
              </w:rPr>
              <w:t>Disutilities</w:t>
            </w:r>
            <w:proofErr w:type="spellEnd"/>
            <w:r w:rsidRPr="006B1802">
              <w:rPr>
                <w:rFonts w:ascii="Arial Narrow" w:hAnsi="Arial Narrow"/>
                <w:b/>
                <w:sz w:val="20"/>
                <w:szCs w:val="20"/>
              </w:rPr>
              <w:t xml:space="preserve"> (base case = -0.0123 was applied to 33% of patients for duration of treatment)</w:t>
            </w:r>
          </w:p>
        </w:tc>
      </w:tr>
      <w:tr w:rsidR="0014764A" w:rsidRPr="006B1802" w:rsidTr="0014764A">
        <w:tc>
          <w:tcPr>
            <w:tcW w:w="5778" w:type="dxa"/>
          </w:tcPr>
          <w:p w:rsidR="0014764A" w:rsidRPr="006B1802" w:rsidRDefault="0014764A" w:rsidP="00B93A10">
            <w:pPr>
              <w:keepNext/>
              <w:rPr>
                <w:rFonts w:ascii="Arial Narrow" w:hAnsi="Arial Narrow"/>
                <w:sz w:val="20"/>
                <w:szCs w:val="20"/>
              </w:rPr>
            </w:pPr>
            <w:r w:rsidRPr="006B1802">
              <w:rPr>
                <w:rFonts w:ascii="Arial Narrow" w:hAnsi="Arial Narrow"/>
                <w:sz w:val="20"/>
                <w:szCs w:val="20"/>
              </w:rPr>
              <w:t xml:space="preserve">-0.05 applied to all patients for duration of tolvaptan treatment </w:t>
            </w:r>
          </w:p>
        </w:tc>
        <w:tc>
          <w:tcPr>
            <w:tcW w:w="1134" w:type="dxa"/>
            <w:vAlign w:val="center"/>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1276" w:type="dxa"/>
            <w:vAlign w:val="center"/>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0.3359</w:t>
            </w:r>
          </w:p>
        </w:tc>
        <w:tc>
          <w:tcPr>
            <w:tcW w:w="1054" w:type="dxa"/>
            <w:vAlign w:val="center"/>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Dominant</w:t>
            </w:r>
          </w:p>
        </w:tc>
      </w:tr>
      <w:tr w:rsidR="0014764A" w:rsidRPr="006B1802" w:rsidTr="0014764A">
        <w:tc>
          <w:tcPr>
            <w:tcW w:w="9242" w:type="dxa"/>
            <w:gridSpan w:val="4"/>
          </w:tcPr>
          <w:p w:rsidR="0014764A" w:rsidRPr="006B1802" w:rsidRDefault="0014764A" w:rsidP="00B93A10">
            <w:pPr>
              <w:keepNext/>
              <w:rPr>
                <w:rFonts w:ascii="Arial Narrow" w:hAnsi="Arial Narrow"/>
                <w:sz w:val="20"/>
                <w:szCs w:val="20"/>
              </w:rPr>
            </w:pPr>
            <w:r w:rsidRPr="006B1802">
              <w:rPr>
                <w:rFonts w:ascii="Arial Narrow" w:hAnsi="Arial Narrow"/>
                <w:b/>
                <w:sz w:val="20"/>
                <w:szCs w:val="20"/>
              </w:rPr>
              <w:t>Time horizon (base case: lifetime; maximum 100 years)</w:t>
            </w:r>
          </w:p>
        </w:tc>
      </w:tr>
      <w:tr w:rsidR="0014764A" w:rsidRPr="006B1802" w:rsidTr="0014764A">
        <w:tc>
          <w:tcPr>
            <w:tcW w:w="5778" w:type="dxa"/>
            <w:vAlign w:val="bottom"/>
          </w:tcPr>
          <w:p w:rsidR="0014764A" w:rsidRPr="006B1802" w:rsidRDefault="0014764A" w:rsidP="00B93A10">
            <w:pPr>
              <w:keepNext/>
              <w:rPr>
                <w:rFonts w:ascii="Arial Narrow" w:hAnsi="Arial Narrow"/>
                <w:sz w:val="20"/>
                <w:szCs w:val="20"/>
              </w:rPr>
            </w:pPr>
            <w:r w:rsidRPr="006B1802">
              <w:rPr>
                <w:rFonts w:ascii="Arial Narrow" w:hAnsi="Arial Narrow"/>
                <w:sz w:val="20"/>
                <w:szCs w:val="20"/>
              </w:rPr>
              <w:t>5 years</w:t>
            </w:r>
          </w:p>
        </w:tc>
        <w:tc>
          <w:tcPr>
            <w:tcW w:w="1134" w:type="dxa"/>
            <w:tcBorders>
              <w:top w:val="single" w:sz="4" w:space="0" w:color="auto"/>
              <w:left w:val="nil"/>
              <w:bottom w:val="single" w:sz="4" w:space="0" w:color="auto"/>
              <w:right w:val="single" w:sz="4" w:space="0" w:color="auto"/>
            </w:tcBorders>
            <w:shd w:val="clear" w:color="auto" w:fill="auto"/>
            <w:vAlign w:val="bottom"/>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0.033</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bottom"/>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r>
      <w:tr w:rsidR="0014764A" w:rsidRPr="006B1802" w:rsidTr="0014764A">
        <w:tc>
          <w:tcPr>
            <w:tcW w:w="5778" w:type="dxa"/>
            <w:vAlign w:val="bottom"/>
          </w:tcPr>
          <w:p w:rsidR="0014764A" w:rsidRPr="006B1802" w:rsidRDefault="0014764A" w:rsidP="00B93A10">
            <w:pPr>
              <w:keepNext/>
              <w:rPr>
                <w:rFonts w:ascii="Arial Narrow" w:hAnsi="Arial Narrow"/>
                <w:sz w:val="20"/>
                <w:szCs w:val="20"/>
              </w:rPr>
            </w:pPr>
            <w:r w:rsidRPr="006B1802">
              <w:rPr>
                <w:rFonts w:ascii="Arial Narrow" w:hAnsi="Arial Narrow"/>
                <w:sz w:val="20"/>
                <w:szCs w:val="20"/>
              </w:rPr>
              <w:t>≥6 years</w:t>
            </w:r>
            <w:r w:rsidR="0080214C" w:rsidRPr="006B1802">
              <w:rPr>
                <w:rFonts w:ascii="Arial Narrow" w:hAnsi="Arial Narrow"/>
                <w:sz w:val="20"/>
                <w:szCs w:val="20"/>
              </w:rPr>
              <w:t xml:space="preserve"> (i.e. all analyses with time horizons of ≥6 years are dominant)</w:t>
            </w:r>
          </w:p>
        </w:tc>
        <w:tc>
          <w:tcPr>
            <w:tcW w:w="1134" w:type="dxa"/>
            <w:tcBorders>
              <w:top w:val="single" w:sz="4" w:space="0" w:color="auto"/>
              <w:left w:val="nil"/>
              <w:bottom w:val="single" w:sz="4" w:space="0" w:color="auto"/>
              <w:right w:val="single" w:sz="4" w:space="0" w:color="auto"/>
            </w:tcBorders>
            <w:shd w:val="clear" w:color="auto" w:fill="auto"/>
            <w:vAlign w:val="bottom"/>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bottom"/>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Dominant</w:t>
            </w:r>
          </w:p>
        </w:tc>
      </w:tr>
      <w:tr w:rsidR="0014764A" w:rsidRPr="006B1802" w:rsidTr="0014764A">
        <w:tc>
          <w:tcPr>
            <w:tcW w:w="5778" w:type="dxa"/>
            <w:vAlign w:val="bottom"/>
          </w:tcPr>
          <w:p w:rsidR="0014764A" w:rsidRPr="006B1802" w:rsidRDefault="0014764A" w:rsidP="00B93A10">
            <w:pPr>
              <w:keepNext/>
              <w:rPr>
                <w:rFonts w:ascii="Arial Narrow" w:hAnsi="Arial Narrow"/>
                <w:sz w:val="20"/>
                <w:szCs w:val="20"/>
              </w:rPr>
            </w:pPr>
            <w:r w:rsidRPr="006B1802">
              <w:rPr>
                <w:rFonts w:ascii="Arial Narrow" w:hAnsi="Arial Narrow"/>
                <w:sz w:val="20"/>
                <w:szCs w:val="20"/>
              </w:rPr>
              <w:t>7 years</w:t>
            </w:r>
          </w:p>
        </w:tc>
        <w:tc>
          <w:tcPr>
            <w:tcW w:w="1134" w:type="dxa"/>
            <w:tcBorders>
              <w:top w:val="single" w:sz="4" w:space="0" w:color="auto"/>
              <w:left w:val="nil"/>
              <w:bottom w:val="single" w:sz="4" w:space="0" w:color="auto"/>
              <w:right w:val="single" w:sz="4" w:space="0" w:color="auto"/>
            </w:tcBorders>
            <w:shd w:val="clear" w:color="auto" w:fill="auto"/>
            <w:vAlign w:val="bottom"/>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0.0952</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bottom"/>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Dominant</w:t>
            </w:r>
          </w:p>
        </w:tc>
      </w:tr>
      <w:tr w:rsidR="0014764A" w:rsidRPr="006B1802" w:rsidTr="0014764A">
        <w:tc>
          <w:tcPr>
            <w:tcW w:w="5778" w:type="dxa"/>
            <w:vAlign w:val="bottom"/>
          </w:tcPr>
          <w:p w:rsidR="0014764A" w:rsidRPr="006B1802" w:rsidRDefault="0014764A" w:rsidP="00B93A10">
            <w:pPr>
              <w:keepNext/>
              <w:rPr>
                <w:rFonts w:ascii="Arial Narrow" w:hAnsi="Arial Narrow"/>
                <w:sz w:val="20"/>
                <w:szCs w:val="20"/>
              </w:rPr>
            </w:pPr>
            <w:r w:rsidRPr="006B1802">
              <w:rPr>
                <w:rFonts w:ascii="Arial Narrow" w:hAnsi="Arial Narrow"/>
                <w:sz w:val="20"/>
                <w:szCs w:val="20"/>
              </w:rPr>
              <w:t>10 years</w:t>
            </w:r>
          </w:p>
        </w:tc>
        <w:tc>
          <w:tcPr>
            <w:tcW w:w="1134" w:type="dxa"/>
            <w:tcBorders>
              <w:top w:val="single" w:sz="4" w:space="0" w:color="auto"/>
              <w:left w:val="nil"/>
              <w:bottom w:val="single" w:sz="4" w:space="0" w:color="auto"/>
              <w:right w:val="single" w:sz="4" w:space="0" w:color="auto"/>
            </w:tcBorders>
            <w:shd w:val="clear" w:color="auto" w:fill="auto"/>
            <w:vAlign w:val="bottom"/>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0.2291</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bottom"/>
          </w:tcPr>
          <w:p w:rsidR="0014764A" w:rsidRPr="006B1802" w:rsidRDefault="0014764A" w:rsidP="00B93A10">
            <w:pPr>
              <w:keepNext/>
              <w:jc w:val="center"/>
              <w:rPr>
                <w:rFonts w:ascii="Arial Narrow" w:hAnsi="Arial Narrow"/>
                <w:sz w:val="20"/>
                <w:szCs w:val="20"/>
              </w:rPr>
            </w:pPr>
            <w:r w:rsidRPr="006B1802">
              <w:rPr>
                <w:rFonts w:ascii="Arial Narrow" w:hAnsi="Arial Narrow"/>
                <w:sz w:val="20"/>
                <w:szCs w:val="20"/>
              </w:rPr>
              <w:t>Dominant</w:t>
            </w:r>
          </w:p>
        </w:tc>
      </w:tr>
    </w:tbl>
    <w:p w:rsidR="0014764A" w:rsidRPr="006B1802" w:rsidRDefault="0014764A" w:rsidP="00B93A10">
      <w:pPr>
        <w:keepNext/>
        <w:rPr>
          <w:rFonts w:ascii="Arial Narrow" w:hAnsi="Arial Narrow"/>
          <w:sz w:val="18"/>
        </w:rPr>
      </w:pPr>
      <w:r w:rsidRPr="006B1802">
        <w:rPr>
          <w:rFonts w:ascii="Arial Narrow" w:hAnsi="Arial Narrow"/>
          <w:sz w:val="18"/>
        </w:rPr>
        <w:t>Abbreviations: CKD: chronic kidney disease; ICER, incremental cost effectiveness ratio; QALYs: quality adjusted life years; Yr, year.</w:t>
      </w:r>
    </w:p>
    <w:p w:rsidR="0014764A" w:rsidRPr="006B1802" w:rsidRDefault="0014764A" w:rsidP="00B93A10">
      <w:pPr>
        <w:keepNext/>
        <w:keepLines/>
        <w:rPr>
          <w:rFonts w:ascii="Arial Narrow" w:hAnsi="Arial Narrow"/>
          <w:sz w:val="18"/>
          <w:szCs w:val="18"/>
        </w:rPr>
      </w:pPr>
      <w:r w:rsidRPr="006B1802">
        <w:rPr>
          <w:rFonts w:ascii="Arial Narrow" w:hAnsi="Arial Narrow"/>
          <w:sz w:val="18"/>
        </w:rPr>
        <w:t xml:space="preserve">Source: </w:t>
      </w:r>
      <w:r w:rsidRPr="006B1802">
        <w:rPr>
          <w:rFonts w:ascii="Arial Narrow" w:hAnsi="Arial Narrow"/>
          <w:sz w:val="18"/>
          <w:szCs w:val="18"/>
        </w:rPr>
        <w:t xml:space="preserve">Table 3-3, p16 of the minor resubmission and calculated during preparation of the Minor Overview based on ‘Tolvaptan November 2017 PBAC Section 3 Updated for April 2018’ </w:t>
      </w:r>
    </w:p>
    <w:p w:rsidR="0014764A" w:rsidRPr="006B1802" w:rsidRDefault="0014764A" w:rsidP="00B93A10">
      <w:pPr>
        <w:keepNext/>
        <w:rPr>
          <w:rFonts w:ascii="Arial Narrow" w:hAnsi="Arial Narrow"/>
          <w:sz w:val="18"/>
        </w:rPr>
      </w:pPr>
      <w:proofErr w:type="spellStart"/>
      <w:proofErr w:type="gramStart"/>
      <w:r w:rsidRPr="006B1802">
        <w:rPr>
          <w:rFonts w:ascii="Arial Narrow" w:hAnsi="Arial Narrow"/>
          <w:sz w:val="18"/>
          <w:vertAlign w:val="superscript"/>
        </w:rPr>
        <w:t>a</w:t>
      </w:r>
      <w:proofErr w:type="spellEnd"/>
      <w:proofErr w:type="gramEnd"/>
      <w:r w:rsidRPr="006B1802">
        <w:rPr>
          <w:rFonts w:ascii="Arial Narrow" w:hAnsi="Arial Narrow"/>
          <w:sz w:val="18"/>
          <w:vertAlign w:val="superscript"/>
        </w:rPr>
        <w:t xml:space="preserve"> </w:t>
      </w:r>
      <w:r w:rsidRPr="006B1802">
        <w:rPr>
          <w:rFonts w:ascii="Arial Narrow" w:hAnsi="Arial Narrow"/>
          <w:sz w:val="18"/>
        </w:rPr>
        <w:t xml:space="preserve">These sensitivity analyses are based on the minor resubmission’s base case which comprised the trial sub-populations. This differs to the sensitivity analyses presented in Tables 14 and 15 of the March 2018 PBAC Minutes, which used the ITT (overall trial population and efficacy) as the base case.  </w:t>
      </w:r>
    </w:p>
    <w:p w:rsidR="0014764A" w:rsidRPr="006B1802" w:rsidRDefault="0014764A" w:rsidP="00B93A10">
      <w:pPr>
        <w:keepNext/>
        <w:spacing w:afterLines="160" w:after="384"/>
        <w:rPr>
          <w:rFonts w:ascii="Arial Narrow" w:hAnsi="Arial Narrow"/>
          <w:sz w:val="18"/>
        </w:rPr>
      </w:pPr>
      <w:proofErr w:type="gramStart"/>
      <w:r w:rsidRPr="006B1802">
        <w:rPr>
          <w:rFonts w:ascii="Arial Narrow" w:hAnsi="Arial Narrow"/>
          <w:sz w:val="18"/>
          <w:vertAlign w:val="superscript"/>
        </w:rPr>
        <w:t>b</w:t>
      </w:r>
      <w:proofErr w:type="gramEnd"/>
      <w:r w:rsidRPr="006B1802">
        <w:rPr>
          <w:rFonts w:ascii="Arial Narrow" w:hAnsi="Arial Narrow"/>
          <w:sz w:val="18"/>
        </w:rPr>
        <w:t xml:space="preserve"> Using ‘</w:t>
      </w:r>
      <w:proofErr w:type="spellStart"/>
      <w:r w:rsidRPr="006B1802">
        <w:rPr>
          <w:rFonts w:ascii="Arial Narrow" w:hAnsi="Arial Narrow"/>
          <w:sz w:val="18"/>
        </w:rPr>
        <w:t>sa_efficacyTOL</w:t>
      </w:r>
      <w:proofErr w:type="spellEnd"/>
      <w:r w:rsidRPr="006B1802">
        <w:rPr>
          <w:rFonts w:ascii="Arial Narrow" w:hAnsi="Arial Narrow"/>
          <w:sz w:val="18"/>
        </w:rPr>
        <w:t>’ = 6 and ‘</w:t>
      </w:r>
      <w:proofErr w:type="spellStart"/>
      <w:r w:rsidRPr="006B1802">
        <w:rPr>
          <w:rFonts w:ascii="Arial Narrow" w:hAnsi="Arial Narrow"/>
          <w:sz w:val="18"/>
        </w:rPr>
        <w:t>sa_PopGroup</w:t>
      </w:r>
      <w:proofErr w:type="spellEnd"/>
      <w:r w:rsidRPr="006B1802">
        <w:rPr>
          <w:rFonts w:ascii="Arial Narrow" w:hAnsi="Arial Narrow"/>
          <w:sz w:val="18"/>
        </w:rPr>
        <w:t>’ = 2.</w:t>
      </w:r>
    </w:p>
    <w:p w:rsidR="0087107C" w:rsidRDefault="0087107C" w:rsidP="0087107C">
      <w:pPr>
        <w:spacing w:afterLines="160" w:after="384"/>
        <w:jc w:val="both"/>
        <w:rPr>
          <w:rFonts w:asciiTheme="minorHAnsi" w:hAnsiTheme="minorHAnsi"/>
        </w:rPr>
      </w:pPr>
      <w:r>
        <w:rPr>
          <w:rFonts w:asciiTheme="minorHAnsi" w:hAnsiTheme="minorHAnsi"/>
        </w:rPr>
        <w:t>The redacted table shows ICERs in the range of less than $15,000/QALY – more than $200,000/QALY.</w:t>
      </w:r>
    </w:p>
    <w:p w:rsidR="00B17B05" w:rsidRPr="006B1802" w:rsidRDefault="00B17B05" w:rsidP="00B93A10">
      <w:pPr>
        <w:numPr>
          <w:ilvl w:val="1"/>
          <w:numId w:val="5"/>
        </w:numPr>
        <w:spacing w:afterLines="160" w:after="384"/>
        <w:jc w:val="both"/>
        <w:rPr>
          <w:rFonts w:asciiTheme="minorHAnsi" w:hAnsiTheme="minorHAnsi"/>
        </w:rPr>
      </w:pPr>
      <w:r w:rsidRPr="006B1802">
        <w:rPr>
          <w:rFonts w:asciiTheme="minorHAnsi" w:hAnsiTheme="minorHAnsi"/>
        </w:rPr>
        <w:t>Overall, the economic model was sensitive to the efficacy estimate, the modelled population and the model time horizon. In particular, the weighted ICER would change from a base case of</w:t>
      </w:r>
      <w:r w:rsidR="009D4FC4">
        <w:rPr>
          <w:rFonts w:asciiTheme="minorHAnsi" w:hAnsiTheme="minorHAnsi"/>
        </w:rPr>
        <w:t xml:space="preserve"> less than</w:t>
      </w:r>
      <w:r w:rsidRPr="006B1802">
        <w:rPr>
          <w:rFonts w:asciiTheme="minorHAnsi" w:hAnsiTheme="minorHAnsi"/>
        </w:rPr>
        <w:t xml:space="preserve"> $</w:t>
      </w:r>
      <w:r w:rsidR="009D4FC4">
        <w:rPr>
          <w:rFonts w:asciiTheme="minorHAnsi" w:hAnsiTheme="minorHAnsi"/>
        </w:rPr>
        <w:t>15,000</w:t>
      </w:r>
      <w:r w:rsidRPr="006B1802">
        <w:rPr>
          <w:rFonts w:asciiTheme="minorHAnsi" w:hAnsiTheme="minorHAnsi"/>
        </w:rPr>
        <w:t xml:space="preserve">/QALY to: </w:t>
      </w:r>
    </w:p>
    <w:p w:rsidR="00B17B05" w:rsidRPr="006B1802" w:rsidRDefault="00B17B05" w:rsidP="00B93A10">
      <w:pPr>
        <w:pStyle w:val="ListParagraph"/>
        <w:widowControl/>
        <w:numPr>
          <w:ilvl w:val="0"/>
          <w:numId w:val="22"/>
        </w:numPr>
        <w:ind w:left="1134" w:hanging="11"/>
        <w:rPr>
          <w:rFonts w:asciiTheme="minorHAnsi" w:hAnsiTheme="minorHAnsi"/>
          <w:sz w:val="24"/>
          <w:szCs w:val="24"/>
        </w:rPr>
      </w:pPr>
      <w:r w:rsidRPr="006B1802">
        <w:rPr>
          <w:rFonts w:asciiTheme="minorHAnsi" w:hAnsiTheme="minorHAnsi"/>
          <w:sz w:val="24"/>
          <w:szCs w:val="24"/>
        </w:rPr>
        <w:t>$</w:t>
      </w:r>
      <w:r w:rsidR="009D4FC4">
        <w:rPr>
          <w:rFonts w:asciiTheme="minorHAnsi" w:hAnsiTheme="minorHAnsi"/>
          <w:sz w:val="24"/>
          <w:szCs w:val="24"/>
        </w:rPr>
        <w:t>105,000</w:t>
      </w:r>
      <w:r w:rsidRPr="006B1802">
        <w:rPr>
          <w:rFonts w:asciiTheme="minorHAnsi" w:hAnsiTheme="minorHAnsi"/>
          <w:sz w:val="24"/>
          <w:szCs w:val="24"/>
        </w:rPr>
        <w:t>/QALY</w:t>
      </w:r>
      <w:r w:rsidR="009D4FC4">
        <w:rPr>
          <w:rFonts w:asciiTheme="minorHAnsi" w:hAnsiTheme="minorHAnsi"/>
          <w:sz w:val="24"/>
          <w:szCs w:val="24"/>
        </w:rPr>
        <w:t xml:space="preserve"> - $200,000/QALY</w:t>
      </w:r>
      <w:r w:rsidRPr="006B1802">
        <w:rPr>
          <w:rFonts w:asciiTheme="minorHAnsi" w:hAnsiTheme="minorHAnsi"/>
          <w:sz w:val="24"/>
          <w:szCs w:val="24"/>
        </w:rPr>
        <w:t xml:space="preserve"> for a time horizon of seven years in both models;</w:t>
      </w:r>
    </w:p>
    <w:p w:rsidR="00B17B05" w:rsidRPr="006B1802" w:rsidRDefault="00B17B05" w:rsidP="00B93A10">
      <w:pPr>
        <w:pStyle w:val="ListParagraph"/>
        <w:widowControl/>
        <w:numPr>
          <w:ilvl w:val="0"/>
          <w:numId w:val="22"/>
        </w:numPr>
        <w:ind w:left="1418" w:hanging="284"/>
        <w:rPr>
          <w:rFonts w:asciiTheme="minorHAnsi" w:hAnsiTheme="minorHAnsi"/>
          <w:sz w:val="24"/>
          <w:szCs w:val="24"/>
        </w:rPr>
      </w:pPr>
      <w:r w:rsidRPr="006B1802">
        <w:rPr>
          <w:rFonts w:asciiTheme="minorHAnsi" w:hAnsiTheme="minorHAnsi"/>
          <w:sz w:val="24"/>
          <w:szCs w:val="24"/>
        </w:rPr>
        <w:t>$</w:t>
      </w:r>
      <w:r w:rsidR="009D4FC4">
        <w:rPr>
          <w:rFonts w:asciiTheme="minorHAnsi" w:hAnsiTheme="minorHAnsi"/>
          <w:sz w:val="24"/>
          <w:szCs w:val="24"/>
        </w:rPr>
        <w:t>75,000</w:t>
      </w:r>
      <w:r w:rsidRPr="006B1802">
        <w:rPr>
          <w:rFonts w:asciiTheme="minorHAnsi" w:hAnsiTheme="minorHAnsi"/>
          <w:sz w:val="24"/>
          <w:szCs w:val="24"/>
        </w:rPr>
        <w:t>/QALY</w:t>
      </w:r>
      <w:r w:rsidR="009D4FC4">
        <w:rPr>
          <w:rFonts w:asciiTheme="minorHAnsi" w:hAnsiTheme="minorHAnsi"/>
          <w:sz w:val="24"/>
          <w:szCs w:val="24"/>
        </w:rPr>
        <w:t xml:space="preserve"> - $105,000/QALY</w:t>
      </w:r>
      <w:r w:rsidRPr="006B1802">
        <w:rPr>
          <w:rFonts w:asciiTheme="minorHAnsi" w:hAnsiTheme="minorHAnsi"/>
          <w:sz w:val="24"/>
          <w:szCs w:val="24"/>
        </w:rPr>
        <w:t xml:space="preserve"> if efficacy was halved at the start of the model</w:t>
      </w:r>
      <w:r w:rsidR="000238EF" w:rsidRPr="006B1802">
        <w:rPr>
          <w:rFonts w:asciiTheme="minorHAnsi" w:hAnsiTheme="minorHAnsi"/>
          <w:sz w:val="24"/>
          <w:szCs w:val="24"/>
        </w:rPr>
        <w:t>s</w:t>
      </w:r>
      <w:r w:rsidRPr="006B1802">
        <w:rPr>
          <w:rFonts w:asciiTheme="minorHAnsi" w:hAnsiTheme="minorHAnsi"/>
          <w:sz w:val="24"/>
          <w:szCs w:val="24"/>
        </w:rPr>
        <w:t xml:space="preserve">, rather than after 5 or 10 years as used in the minor resubmission’s sensitivity analyses; </w:t>
      </w:r>
      <w:r w:rsidR="00AB35BC" w:rsidRPr="006B1802">
        <w:rPr>
          <w:rFonts w:asciiTheme="minorHAnsi" w:hAnsiTheme="minorHAnsi"/>
          <w:sz w:val="24"/>
          <w:szCs w:val="24"/>
        </w:rPr>
        <w:t>and</w:t>
      </w:r>
    </w:p>
    <w:p w:rsidR="00B17B05" w:rsidRPr="006B1802" w:rsidRDefault="00B17B05" w:rsidP="00B93A10">
      <w:pPr>
        <w:pStyle w:val="ListParagraph"/>
        <w:widowControl/>
        <w:numPr>
          <w:ilvl w:val="0"/>
          <w:numId w:val="22"/>
        </w:numPr>
        <w:ind w:left="1134" w:hanging="11"/>
        <w:rPr>
          <w:rFonts w:asciiTheme="minorHAnsi" w:hAnsiTheme="minorHAnsi"/>
          <w:sz w:val="24"/>
          <w:szCs w:val="24"/>
        </w:rPr>
      </w:pPr>
      <w:r w:rsidRPr="006B1802">
        <w:rPr>
          <w:rFonts w:asciiTheme="minorHAnsi" w:hAnsiTheme="minorHAnsi"/>
          <w:sz w:val="24"/>
          <w:szCs w:val="24"/>
        </w:rPr>
        <w:t>$</w:t>
      </w:r>
      <w:r w:rsidR="009D4FC4">
        <w:rPr>
          <w:rFonts w:asciiTheme="minorHAnsi" w:hAnsiTheme="minorHAnsi"/>
          <w:sz w:val="24"/>
          <w:szCs w:val="24"/>
        </w:rPr>
        <w:t>75,000</w:t>
      </w:r>
      <w:r w:rsidRPr="006B1802">
        <w:rPr>
          <w:rFonts w:asciiTheme="minorHAnsi" w:hAnsiTheme="minorHAnsi"/>
          <w:sz w:val="24"/>
          <w:szCs w:val="24"/>
        </w:rPr>
        <w:t>/QALY</w:t>
      </w:r>
      <w:r w:rsidR="009D4FC4">
        <w:rPr>
          <w:rFonts w:asciiTheme="minorHAnsi" w:hAnsiTheme="minorHAnsi"/>
          <w:sz w:val="24"/>
          <w:szCs w:val="24"/>
        </w:rPr>
        <w:t xml:space="preserve"> - $105,000/QALY</w:t>
      </w:r>
      <w:r w:rsidRPr="006B1802">
        <w:rPr>
          <w:rFonts w:asciiTheme="minorHAnsi" w:hAnsiTheme="minorHAnsi"/>
          <w:sz w:val="24"/>
          <w:szCs w:val="24"/>
        </w:rPr>
        <w:t xml:space="preserve"> if the ITT populations were used for both models</w:t>
      </w:r>
      <w:r w:rsidR="00AB35BC" w:rsidRPr="006B1802">
        <w:rPr>
          <w:rFonts w:asciiTheme="minorHAnsi" w:hAnsiTheme="minorHAnsi"/>
          <w:sz w:val="24"/>
          <w:szCs w:val="24"/>
        </w:rPr>
        <w:t>.</w:t>
      </w:r>
    </w:p>
    <w:p w:rsidR="00B17B05" w:rsidRPr="006B1802" w:rsidRDefault="00B17B05" w:rsidP="00B93A10">
      <w:pPr>
        <w:spacing w:before="120" w:after="160"/>
        <w:ind w:left="360"/>
        <w:rPr>
          <w:rFonts w:asciiTheme="minorHAnsi" w:hAnsiTheme="minorHAnsi"/>
        </w:rPr>
      </w:pPr>
      <w:r w:rsidRPr="006B1802">
        <w:rPr>
          <w:rFonts w:asciiTheme="minorHAnsi" w:hAnsiTheme="minorHAnsi"/>
        </w:rPr>
        <w:t>These values were calculated using the weightings applied in the minor resubmission of 54.1% and 45.9% between TEMPO 3:4 and REPRISE, respectively.</w:t>
      </w:r>
    </w:p>
    <w:p w:rsidR="003C2FB5" w:rsidRPr="006B1802" w:rsidRDefault="00A55FEE" w:rsidP="00B93A10">
      <w:pPr>
        <w:pStyle w:val="Heading2"/>
        <w:keepLines/>
        <w:spacing w:before="240" w:after="120"/>
        <w:rPr>
          <w:rFonts w:asciiTheme="minorHAnsi" w:eastAsiaTheme="majorEastAsia" w:hAnsiTheme="minorHAnsi" w:cstheme="majorBidi"/>
          <w:sz w:val="28"/>
          <w:szCs w:val="28"/>
          <w:lang w:eastAsia="en-US"/>
        </w:rPr>
      </w:pPr>
      <w:proofErr w:type="gramStart"/>
      <w:r w:rsidRPr="006B1802">
        <w:rPr>
          <w:rFonts w:asciiTheme="minorHAnsi" w:eastAsiaTheme="majorEastAsia" w:hAnsiTheme="minorHAnsi" w:cstheme="majorBidi"/>
          <w:sz w:val="28"/>
          <w:szCs w:val="28"/>
          <w:lang w:eastAsia="en-US"/>
        </w:rPr>
        <w:lastRenderedPageBreak/>
        <w:t>Drug c</w:t>
      </w:r>
      <w:r w:rsidR="0043640A" w:rsidRPr="006B1802">
        <w:rPr>
          <w:rFonts w:asciiTheme="minorHAnsi" w:eastAsiaTheme="majorEastAsia" w:hAnsiTheme="minorHAnsi" w:cstheme="majorBidi"/>
          <w:sz w:val="28"/>
          <w:szCs w:val="28"/>
          <w:lang w:eastAsia="en-US"/>
        </w:rPr>
        <w:t>ost/patient/year</w:t>
      </w:r>
      <w:r w:rsidR="008400FE" w:rsidRPr="006B1802">
        <w:rPr>
          <w:rFonts w:asciiTheme="minorHAnsi" w:eastAsiaTheme="majorEastAsia" w:hAnsiTheme="minorHAnsi" w:cstheme="majorBidi"/>
          <w:sz w:val="28"/>
          <w:szCs w:val="28"/>
          <w:lang w:eastAsia="en-US"/>
        </w:rPr>
        <w:t>: $</w:t>
      </w:r>
      <w:r w:rsidR="00B912EA">
        <w:rPr>
          <w:rFonts w:asciiTheme="minorHAnsi" w:eastAsiaTheme="majorEastAsia" w:hAnsiTheme="minorHAnsi" w:cstheme="majorBidi"/>
          <w:noProof/>
          <w:color w:val="000000"/>
          <w:sz w:val="28"/>
          <w:szCs w:val="28"/>
          <w:highlight w:val="black"/>
          <w:lang w:eastAsia="en-US"/>
        </w:rPr>
        <w:t>'''''''''''</w:t>
      </w:r>
      <w:r w:rsidRPr="006B1802">
        <w:rPr>
          <w:rFonts w:asciiTheme="minorHAnsi" w:eastAsiaTheme="majorEastAsia" w:hAnsiTheme="minorHAnsi" w:cstheme="majorBidi"/>
          <w:sz w:val="28"/>
          <w:szCs w:val="28"/>
          <w:lang w:eastAsia="en-US"/>
        </w:rPr>
        <w:t>.</w:t>
      </w:r>
      <w:proofErr w:type="gramEnd"/>
    </w:p>
    <w:p w:rsidR="00A55FEE" w:rsidRPr="006B1802" w:rsidRDefault="008400FE" w:rsidP="00B93A10">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6B1802">
        <w:rPr>
          <w:rFonts w:asciiTheme="minorHAnsi" w:eastAsiaTheme="minorHAnsi" w:hAnsiTheme="minorHAnsi" w:cstheme="minorBidi"/>
          <w:snapToGrid/>
          <w:sz w:val="24"/>
          <w:szCs w:val="22"/>
        </w:rPr>
        <w:t xml:space="preserve">The estimated annual cost for tolvaptan is $ </w:t>
      </w:r>
      <w:r w:rsidR="00B912EA">
        <w:rPr>
          <w:rFonts w:asciiTheme="minorHAnsi" w:eastAsiaTheme="minorHAnsi" w:hAnsiTheme="minorHAnsi" w:cstheme="minorBidi"/>
          <w:noProof/>
          <w:snapToGrid/>
          <w:color w:val="000000"/>
          <w:sz w:val="24"/>
          <w:szCs w:val="22"/>
          <w:highlight w:val="black"/>
        </w:rPr>
        <w:t>''''''''''''</w:t>
      </w:r>
      <w:r w:rsidRPr="006B1802">
        <w:rPr>
          <w:rFonts w:asciiTheme="minorHAnsi" w:eastAsiaTheme="minorHAnsi" w:hAnsiTheme="minorHAnsi" w:cstheme="minorBidi"/>
          <w:snapToGrid/>
          <w:sz w:val="24"/>
          <w:szCs w:val="22"/>
        </w:rPr>
        <w:t xml:space="preserve"> (effective price) based on 13.04 scripts per year (=365 days per year/28 days per pack).</w:t>
      </w:r>
      <w:r w:rsidR="00A55FEE" w:rsidRPr="006B1802">
        <w:rPr>
          <w:rFonts w:asciiTheme="minorHAnsi" w:eastAsiaTheme="minorHAnsi" w:hAnsiTheme="minorHAnsi" w:cstheme="minorBidi"/>
          <w:snapToGrid/>
          <w:sz w:val="24"/>
          <w:szCs w:val="22"/>
        </w:rPr>
        <w:t xml:space="preserve">  </w:t>
      </w:r>
    </w:p>
    <w:p w:rsidR="008400FE" w:rsidRPr="006B1802" w:rsidRDefault="008400FE" w:rsidP="00B93A10">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6B1802">
        <w:rPr>
          <w:rFonts w:asciiTheme="minorHAnsi" w:eastAsiaTheme="minorHAnsi" w:hAnsiTheme="minorHAnsi" w:cstheme="minorBidi"/>
          <w:snapToGrid/>
          <w:sz w:val="24"/>
          <w:szCs w:val="22"/>
        </w:rPr>
        <w:t>The estimated cost was lower than in the March 2018 submission ($</w:t>
      </w:r>
      <w:r w:rsidR="00B912EA">
        <w:rPr>
          <w:rFonts w:asciiTheme="minorHAnsi" w:eastAsiaTheme="minorHAnsi" w:hAnsiTheme="minorHAnsi" w:cstheme="minorBidi"/>
          <w:noProof/>
          <w:snapToGrid/>
          <w:color w:val="000000"/>
          <w:sz w:val="24"/>
          <w:szCs w:val="22"/>
          <w:highlight w:val="black"/>
        </w:rPr>
        <w:t>''''''''''''''</w:t>
      </w:r>
      <w:r w:rsidRPr="006B1802">
        <w:rPr>
          <w:rFonts w:asciiTheme="minorHAnsi" w:eastAsiaTheme="minorHAnsi" w:hAnsiTheme="minorHAnsi" w:cstheme="minorBidi"/>
          <w:snapToGrid/>
          <w:sz w:val="24"/>
          <w:szCs w:val="22"/>
        </w:rPr>
        <w:t xml:space="preserve"> based on </w:t>
      </w:r>
      <w:r w:rsidR="00A750A8" w:rsidRPr="006B1802">
        <w:rPr>
          <w:rFonts w:asciiTheme="minorHAnsi" w:eastAsiaTheme="minorHAnsi" w:hAnsiTheme="minorHAnsi" w:cstheme="minorBidi"/>
          <w:snapToGrid/>
          <w:sz w:val="24"/>
          <w:szCs w:val="22"/>
        </w:rPr>
        <w:t xml:space="preserve">the </w:t>
      </w:r>
      <w:r w:rsidRPr="006B1802">
        <w:rPr>
          <w:rFonts w:asciiTheme="minorHAnsi" w:eastAsiaTheme="minorHAnsi" w:hAnsiTheme="minorHAnsi" w:cstheme="minorBidi"/>
          <w:snapToGrid/>
          <w:sz w:val="24"/>
          <w:szCs w:val="22"/>
        </w:rPr>
        <w:t>effective price).</w:t>
      </w:r>
    </w:p>
    <w:p w:rsidR="005A3173" w:rsidRPr="006B1802" w:rsidRDefault="005A3173" w:rsidP="00B93A10">
      <w:pPr>
        <w:pStyle w:val="Heading2"/>
        <w:keepLines/>
        <w:spacing w:before="240" w:after="120"/>
        <w:rPr>
          <w:rFonts w:asciiTheme="minorHAnsi" w:eastAsiaTheme="majorEastAsia" w:hAnsiTheme="minorHAnsi" w:cstheme="majorBidi"/>
          <w:sz w:val="28"/>
          <w:szCs w:val="28"/>
          <w:lang w:eastAsia="en-US"/>
        </w:rPr>
      </w:pPr>
      <w:r w:rsidRPr="006B1802">
        <w:rPr>
          <w:rFonts w:asciiTheme="minorHAnsi" w:eastAsiaTheme="majorEastAsia" w:hAnsiTheme="minorHAnsi" w:cstheme="majorBidi"/>
          <w:sz w:val="28"/>
          <w:szCs w:val="28"/>
          <w:lang w:eastAsia="en-US"/>
        </w:rPr>
        <w:t>Estimated PBS usage &amp; financial implications</w:t>
      </w:r>
    </w:p>
    <w:p w:rsidR="004E3285" w:rsidRPr="006B1802" w:rsidRDefault="00FF2801" w:rsidP="00B93A10">
      <w:pPr>
        <w:pStyle w:val="ListParagraph"/>
        <w:widowControl/>
        <w:numPr>
          <w:ilvl w:val="1"/>
          <w:numId w:val="14"/>
        </w:numPr>
        <w:spacing w:after="120"/>
        <w:contextualSpacing w:val="0"/>
        <w:rPr>
          <w:rFonts w:asciiTheme="minorHAnsi" w:hAnsiTheme="minorHAnsi"/>
          <w:sz w:val="24"/>
          <w:szCs w:val="24"/>
        </w:rPr>
      </w:pPr>
      <w:r w:rsidRPr="006B1802">
        <w:rPr>
          <w:rFonts w:asciiTheme="minorHAnsi" w:hAnsiTheme="minorHAnsi"/>
          <w:sz w:val="24"/>
          <w:szCs w:val="24"/>
        </w:rPr>
        <w:t xml:space="preserve">The minor </w:t>
      </w:r>
      <w:r w:rsidR="00A724FC" w:rsidRPr="006B1802">
        <w:rPr>
          <w:rFonts w:asciiTheme="minorHAnsi" w:hAnsiTheme="minorHAnsi"/>
          <w:sz w:val="24"/>
          <w:szCs w:val="24"/>
        </w:rPr>
        <w:t>re</w:t>
      </w:r>
      <w:r w:rsidRPr="006B1802">
        <w:rPr>
          <w:rFonts w:asciiTheme="minorHAnsi" w:hAnsiTheme="minorHAnsi"/>
          <w:sz w:val="24"/>
          <w:szCs w:val="24"/>
        </w:rPr>
        <w:t>submission estimated</w:t>
      </w:r>
      <w:r w:rsidR="00B83387" w:rsidRPr="006B1802">
        <w:rPr>
          <w:rFonts w:asciiTheme="minorHAnsi" w:hAnsiTheme="minorHAnsi"/>
          <w:sz w:val="24"/>
          <w:szCs w:val="24"/>
        </w:rPr>
        <w:t xml:space="preserve"> a net cost to the PBS of </w:t>
      </w:r>
      <w:r w:rsidR="00C52C64" w:rsidRPr="006B1802">
        <w:rPr>
          <w:rFonts w:asciiTheme="minorHAnsi" w:hAnsiTheme="minorHAnsi"/>
          <w:sz w:val="24"/>
          <w:szCs w:val="24"/>
        </w:rPr>
        <w:t>up to</w:t>
      </w:r>
      <w:r w:rsidR="0077737C" w:rsidRPr="006B1802">
        <w:rPr>
          <w:rFonts w:asciiTheme="minorHAnsi" w:hAnsiTheme="minorHAnsi"/>
          <w:sz w:val="24"/>
          <w:szCs w:val="24"/>
        </w:rPr>
        <w:t xml:space="preserve"> </w:t>
      </w:r>
      <w:r w:rsidR="00B83387" w:rsidRPr="006B1802">
        <w:rPr>
          <w:rFonts w:asciiTheme="minorHAnsi" w:hAnsiTheme="minorHAnsi"/>
          <w:sz w:val="24"/>
          <w:szCs w:val="24"/>
        </w:rPr>
        <w:t>$</w:t>
      </w:r>
      <w:r w:rsidR="00583AF4" w:rsidRPr="006B1802">
        <w:rPr>
          <w:rFonts w:asciiTheme="minorHAnsi" w:hAnsiTheme="minorHAnsi"/>
          <w:sz w:val="24"/>
          <w:szCs w:val="24"/>
        </w:rPr>
        <w:t>10</w:t>
      </w:r>
      <w:r w:rsidR="0077737C" w:rsidRPr="006B1802">
        <w:rPr>
          <w:rFonts w:asciiTheme="minorHAnsi" w:hAnsiTheme="minorHAnsi"/>
          <w:sz w:val="24"/>
          <w:szCs w:val="24"/>
        </w:rPr>
        <w:t xml:space="preserve"> million</w:t>
      </w:r>
      <w:r w:rsidR="00C00DA7" w:rsidRPr="006B1802">
        <w:rPr>
          <w:rFonts w:asciiTheme="minorHAnsi" w:hAnsiTheme="minorHAnsi"/>
          <w:sz w:val="24"/>
          <w:szCs w:val="24"/>
        </w:rPr>
        <w:t xml:space="preserve"> in Year </w:t>
      </w:r>
      <w:r w:rsidR="00583AF4" w:rsidRPr="006B1802">
        <w:rPr>
          <w:rFonts w:asciiTheme="minorHAnsi" w:hAnsiTheme="minorHAnsi"/>
          <w:sz w:val="24"/>
          <w:szCs w:val="24"/>
        </w:rPr>
        <w:t>6</w:t>
      </w:r>
      <w:r w:rsidR="00C00DA7" w:rsidRPr="006B1802">
        <w:rPr>
          <w:rFonts w:asciiTheme="minorHAnsi" w:hAnsiTheme="minorHAnsi"/>
          <w:sz w:val="24"/>
          <w:szCs w:val="24"/>
        </w:rPr>
        <w:t xml:space="preserve"> of lis</w:t>
      </w:r>
      <w:r w:rsidR="00B83387" w:rsidRPr="006B1802">
        <w:rPr>
          <w:rFonts w:asciiTheme="minorHAnsi" w:hAnsiTheme="minorHAnsi"/>
          <w:sz w:val="24"/>
          <w:szCs w:val="24"/>
        </w:rPr>
        <w:t xml:space="preserve">ting, with a total net cost to the PBS of </w:t>
      </w:r>
      <w:r w:rsidR="0077737C" w:rsidRPr="006B1802">
        <w:rPr>
          <w:rFonts w:asciiTheme="minorHAnsi" w:hAnsiTheme="minorHAnsi"/>
          <w:sz w:val="24"/>
          <w:szCs w:val="24"/>
        </w:rPr>
        <w:t>$</w:t>
      </w:r>
      <w:r w:rsidR="00137E2A">
        <w:rPr>
          <w:rFonts w:asciiTheme="minorHAnsi" w:hAnsiTheme="minorHAnsi"/>
          <w:sz w:val="24"/>
          <w:szCs w:val="24"/>
        </w:rPr>
        <w:t>30 - $60</w:t>
      </w:r>
      <w:r w:rsidR="0077737C" w:rsidRPr="006B1802">
        <w:rPr>
          <w:rFonts w:asciiTheme="minorHAnsi" w:hAnsiTheme="minorHAnsi"/>
          <w:sz w:val="24"/>
          <w:szCs w:val="24"/>
        </w:rPr>
        <w:t xml:space="preserve"> million </w:t>
      </w:r>
      <w:r w:rsidR="00C00DA7" w:rsidRPr="006B1802">
        <w:rPr>
          <w:rFonts w:asciiTheme="minorHAnsi" w:hAnsiTheme="minorHAnsi"/>
          <w:sz w:val="24"/>
          <w:szCs w:val="24"/>
        </w:rPr>
        <w:t xml:space="preserve">over the first </w:t>
      </w:r>
      <w:r w:rsidR="00583AF4" w:rsidRPr="006B1802">
        <w:rPr>
          <w:rFonts w:asciiTheme="minorHAnsi" w:hAnsiTheme="minorHAnsi"/>
          <w:sz w:val="24"/>
          <w:szCs w:val="24"/>
        </w:rPr>
        <w:t>6</w:t>
      </w:r>
      <w:r w:rsidR="00C00DA7" w:rsidRPr="006B1802">
        <w:rPr>
          <w:rFonts w:asciiTheme="minorHAnsi" w:hAnsiTheme="minorHAnsi"/>
          <w:sz w:val="24"/>
          <w:szCs w:val="24"/>
        </w:rPr>
        <w:t xml:space="preserve"> years of listing</w:t>
      </w:r>
      <w:r w:rsidR="003641D8" w:rsidRPr="006B1802">
        <w:rPr>
          <w:rFonts w:asciiTheme="minorHAnsi" w:hAnsiTheme="minorHAnsi"/>
          <w:sz w:val="24"/>
          <w:szCs w:val="24"/>
        </w:rPr>
        <w:t xml:space="preserve"> based on the effective price</w:t>
      </w:r>
      <w:r w:rsidR="00C00DA7" w:rsidRPr="006B1802">
        <w:rPr>
          <w:rFonts w:asciiTheme="minorHAnsi" w:hAnsiTheme="minorHAnsi"/>
          <w:sz w:val="24"/>
          <w:szCs w:val="24"/>
        </w:rPr>
        <w:t xml:space="preserve">. </w:t>
      </w:r>
      <w:r w:rsidR="003641D8" w:rsidRPr="006B1802">
        <w:rPr>
          <w:rFonts w:asciiTheme="minorHAnsi" w:hAnsiTheme="minorHAnsi"/>
          <w:sz w:val="24"/>
          <w:szCs w:val="24"/>
        </w:rPr>
        <w:t>This</w:t>
      </w:r>
      <w:r w:rsidR="00583AF4" w:rsidRPr="006B1802">
        <w:rPr>
          <w:rFonts w:asciiTheme="minorHAnsi" w:hAnsiTheme="minorHAnsi"/>
          <w:sz w:val="24"/>
          <w:szCs w:val="24"/>
        </w:rPr>
        <w:t xml:space="preserve"> </w:t>
      </w:r>
      <w:r w:rsidR="006B1802" w:rsidRPr="006B1802">
        <w:rPr>
          <w:rFonts w:asciiTheme="minorHAnsi" w:hAnsiTheme="minorHAnsi"/>
          <w:sz w:val="24"/>
          <w:szCs w:val="24"/>
        </w:rPr>
        <w:t>compare</w:t>
      </w:r>
      <w:r w:rsidR="006B1802">
        <w:rPr>
          <w:rFonts w:asciiTheme="minorHAnsi" w:hAnsiTheme="minorHAnsi"/>
          <w:sz w:val="24"/>
          <w:szCs w:val="24"/>
        </w:rPr>
        <w:t>s</w:t>
      </w:r>
      <w:r w:rsidR="006B1802" w:rsidRPr="006B1802">
        <w:rPr>
          <w:rFonts w:asciiTheme="minorHAnsi" w:hAnsiTheme="minorHAnsi"/>
          <w:sz w:val="24"/>
          <w:szCs w:val="24"/>
        </w:rPr>
        <w:t xml:space="preserve"> </w:t>
      </w:r>
      <w:r w:rsidR="003641D8" w:rsidRPr="006B1802">
        <w:rPr>
          <w:rFonts w:asciiTheme="minorHAnsi" w:hAnsiTheme="minorHAnsi"/>
          <w:sz w:val="24"/>
          <w:szCs w:val="24"/>
        </w:rPr>
        <w:t>to $</w:t>
      </w:r>
      <w:r w:rsidR="00137E2A">
        <w:rPr>
          <w:rFonts w:asciiTheme="minorHAnsi" w:hAnsiTheme="minorHAnsi"/>
          <w:sz w:val="24"/>
          <w:szCs w:val="24"/>
        </w:rPr>
        <w:t>60 - $100</w:t>
      </w:r>
      <w:r w:rsidR="003641D8" w:rsidRPr="006B1802">
        <w:rPr>
          <w:rFonts w:asciiTheme="minorHAnsi" w:hAnsiTheme="minorHAnsi"/>
          <w:sz w:val="24"/>
          <w:szCs w:val="24"/>
        </w:rPr>
        <w:t xml:space="preserve"> million </w:t>
      </w:r>
      <w:r w:rsidR="0077737C" w:rsidRPr="006B1802">
        <w:rPr>
          <w:rFonts w:asciiTheme="minorHAnsi" w:hAnsiTheme="minorHAnsi"/>
          <w:sz w:val="24"/>
          <w:szCs w:val="24"/>
        </w:rPr>
        <w:t xml:space="preserve">over 6 years </w:t>
      </w:r>
      <w:r w:rsidR="00583AF4" w:rsidRPr="006B1802">
        <w:rPr>
          <w:rFonts w:asciiTheme="minorHAnsi" w:hAnsiTheme="minorHAnsi"/>
          <w:sz w:val="24"/>
          <w:szCs w:val="24"/>
        </w:rPr>
        <w:t>in the March 2018 submission</w:t>
      </w:r>
      <w:r w:rsidR="00C61D3F" w:rsidRPr="006B1802">
        <w:rPr>
          <w:rFonts w:asciiTheme="minorHAnsi" w:hAnsiTheme="minorHAnsi"/>
          <w:sz w:val="24"/>
          <w:szCs w:val="24"/>
        </w:rPr>
        <w:t>.</w:t>
      </w:r>
      <w:r w:rsidR="00DB645D" w:rsidRPr="006B1802">
        <w:rPr>
          <w:rFonts w:asciiTheme="minorHAnsi" w:hAnsiTheme="minorHAnsi"/>
          <w:sz w:val="24"/>
          <w:szCs w:val="24"/>
        </w:rPr>
        <w:t xml:space="preserve"> </w:t>
      </w:r>
      <w:r w:rsidR="003641D8" w:rsidRPr="006B1802">
        <w:rPr>
          <w:rFonts w:asciiTheme="minorHAnsi" w:hAnsiTheme="minorHAnsi"/>
          <w:sz w:val="24"/>
          <w:szCs w:val="24"/>
        </w:rPr>
        <w:t>T</w:t>
      </w:r>
      <w:r w:rsidR="00C00DA7" w:rsidRPr="006B1802">
        <w:rPr>
          <w:rFonts w:asciiTheme="minorHAnsi" w:hAnsiTheme="minorHAnsi"/>
          <w:sz w:val="24"/>
          <w:szCs w:val="24"/>
        </w:rPr>
        <w:t>he table</w:t>
      </w:r>
      <w:r w:rsidR="00A724FC" w:rsidRPr="006B1802">
        <w:rPr>
          <w:rFonts w:asciiTheme="minorHAnsi" w:hAnsiTheme="minorHAnsi"/>
          <w:sz w:val="24"/>
          <w:szCs w:val="24"/>
        </w:rPr>
        <w:t>s</w:t>
      </w:r>
      <w:r w:rsidR="00C00DA7" w:rsidRPr="006B1802">
        <w:rPr>
          <w:rFonts w:asciiTheme="minorHAnsi" w:hAnsiTheme="minorHAnsi"/>
          <w:sz w:val="24"/>
          <w:szCs w:val="24"/>
        </w:rPr>
        <w:t xml:space="preserve"> below </w:t>
      </w:r>
      <w:r w:rsidR="003641D8" w:rsidRPr="006B1802">
        <w:rPr>
          <w:rFonts w:asciiTheme="minorHAnsi" w:hAnsiTheme="minorHAnsi"/>
          <w:sz w:val="24"/>
          <w:szCs w:val="24"/>
        </w:rPr>
        <w:t xml:space="preserve">summarise </w:t>
      </w:r>
      <w:r w:rsidR="00C00DA7" w:rsidRPr="006B1802">
        <w:rPr>
          <w:rFonts w:asciiTheme="minorHAnsi" w:hAnsiTheme="minorHAnsi"/>
          <w:sz w:val="24"/>
          <w:szCs w:val="24"/>
        </w:rPr>
        <w:t>the expected patient/prescription numbers</w:t>
      </w:r>
      <w:r w:rsidR="00A724FC" w:rsidRPr="006B1802">
        <w:rPr>
          <w:rFonts w:asciiTheme="minorHAnsi" w:hAnsiTheme="minorHAnsi"/>
          <w:sz w:val="24"/>
          <w:szCs w:val="24"/>
        </w:rPr>
        <w:t xml:space="preserve"> and total costs</w:t>
      </w:r>
      <w:r w:rsidR="00C00DA7" w:rsidRPr="006B1802">
        <w:rPr>
          <w:rFonts w:asciiTheme="minorHAnsi" w:hAnsiTheme="minorHAnsi"/>
          <w:sz w:val="24"/>
          <w:szCs w:val="24"/>
        </w:rPr>
        <w:t xml:space="preserve">.  </w:t>
      </w:r>
      <w:bookmarkStart w:id="7" w:name="_Ref511832438"/>
    </w:p>
    <w:bookmarkEnd w:id="7"/>
    <w:p w:rsidR="00E22F3A" w:rsidRPr="006B1802" w:rsidRDefault="00E22F3A" w:rsidP="00B93A10">
      <w:pPr>
        <w:pStyle w:val="Caption"/>
        <w:keepNext/>
        <w:spacing w:after="0"/>
        <w:rPr>
          <w:rFonts w:ascii="Arial Narrow" w:hAnsi="Arial Narrow"/>
          <w:color w:val="auto"/>
          <w:sz w:val="20"/>
          <w:szCs w:val="20"/>
        </w:rPr>
      </w:pPr>
      <w:r w:rsidRPr="006B1802">
        <w:rPr>
          <w:rFonts w:ascii="Arial Narrow" w:hAnsi="Arial Narrow"/>
          <w:color w:val="auto"/>
          <w:sz w:val="20"/>
          <w:szCs w:val="20"/>
        </w:rPr>
        <w:lastRenderedPageBreak/>
        <w:t xml:space="preserve">Table </w:t>
      </w:r>
      <w:r w:rsidR="00CC525E" w:rsidRPr="006B1802">
        <w:rPr>
          <w:rFonts w:ascii="Arial Narrow" w:hAnsi="Arial Narrow"/>
          <w:color w:val="auto"/>
          <w:sz w:val="20"/>
          <w:szCs w:val="20"/>
        </w:rPr>
        <w:t>7</w:t>
      </w:r>
      <w:r w:rsidR="00583AF4" w:rsidRPr="006B1802">
        <w:rPr>
          <w:rFonts w:ascii="Arial Narrow" w:hAnsi="Arial Narrow"/>
          <w:color w:val="auto"/>
          <w:sz w:val="20"/>
          <w:szCs w:val="20"/>
        </w:rPr>
        <w:t xml:space="preserve">: </w:t>
      </w:r>
      <w:r w:rsidRPr="006B1802">
        <w:rPr>
          <w:rFonts w:ascii="Arial Narrow" w:hAnsi="Arial Narrow"/>
          <w:color w:val="auto"/>
          <w:sz w:val="20"/>
          <w:szCs w:val="20"/>
        </w:rPr>
        <w:t>Revised usage and financial estimates proposed in the current submission</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Caption w:val="Table 4 2 Revised usage and financial estimates proposed in the current submission"/>
        <w:tblDescription w:val="Table 4 2 Revised usage and financial estimates proposed in the current submission"/>
      </w:tblPr>
      <w:tblGrid>
        <w:gridCol w:w="2653"/>
        <w:gridCol w:w="1081"/>
        <w:gridCol w:w="1082"/>
        <w:gridCol w:w="1082"/>
        <w:gridCol w:w="1080"/>
        <w:gridCol w:w="1082"/>
        <w:gridCol w:w="1080"/>
      </w:tblGrid>
      <w:tr w:rsidR="004E3285" w:rsidRPr="006B1802" w:rsidTr="00414990">
        <w:trPr>
          <w:tblHeader/>
        </w:trPr>
        <w:tc>
          <w:tcPr>
            <w:tcW w:w="1451" w:type="pct"/>
            <w:tcBorders>
              <w:top w:val="single" w:sz="4" w:space="0" w:color="auto"/>
              <w:left w:val="single" w:sz="4" w:space="0" w:color="auto"/>
              <w:bottom w:val="single" w:sz="4" w:space="0" w:color="auto"/>
              <w:right w:val="single" w:sz="4" w:space="0" w:color="auto"/>
            </w:tcBorders>
          </w:tcPr>
          <w:p w:rsidR="004E3285" w:rsidRPr="006B1802" w:rsidRDefault="004E3285" w:rsidP="00B93A10">
            <w:pPr>
              <w:keepNext/>
              <w:keepLines/>
              <w:spacing w:before="60" w:after="60"/>
              <w:rPr>
                <w:rFonts w:ascii="Arial Narrow" w:hAnsi="Arial Narrow"/>
                <w:b/>
                <w:sz w:val="20"/>
                <w:szCs w:val="20"/>
              </w:rPr>
            </w:pPr>
            <w:r w:rsidRPr="006B1802">
              <w:rPr>
                <w:rFonts w:ascii="Arial Narrow" w:hAnsi="Arial Narrow"/>
                <w:b/>
                <w:sz w:val="20"/>
                <w:szCs w:val="20"/>
              </w:rPr>
              <w:t xml:space="preserve">Year </w:t>
            </w:r>
          </w:p>
        </w:tc>
        <w:tc>
          <w:tcPr>
            <w:tcW w:w="591" w:type="pct"/>
            <w:tcBorders>
              <w:top w:val="single" w:sz="4" w:space="0" w:color="auto"/>
              <w:left w:val="single" w:sz="4" w:space="0" w:color="auto"/>
              <w:bottom w:val="single" w:sz="4" w:space="0" w:color="auto"/>
              <w:right w:val="single" w:sz="4" w:space="0" w:color="auto"/>
            </w:tcBorders>
          </w:tcPr>
          <w:p w:rsidR="004E3285" w:rsidRPr="006B1802" w:rsidRDefault="004E3285" w:rsidP="00B93A10">
            <w:pPr>
              <w:keepNext/>
              <w:keepLines/>
              <w:spacing w:before="60" w:after="60"/>
              <w:rPr>
                <w:rFonts w:ascii="Arial Narrow" w:hAnsi="Arial Narrow"/>
                <w:b/>
                <w:sz w:val="20"/>
                <w:szCs w:val="20"/>
              </w:rPr>
            </w:pPr>
            <w:r w:rsidRPr="006B1802">
              <w:rPr>
                <w:rFonts w:ascii="Arial Narrow" w:hAnsi="Arial Narrow"/>
                <w:b/>
                <w:sz w:val="20"/>
                <w:szCs w:val="20"/>
              </w:rPr>
              <w:t xml:space="preserve">Year 1 </w:t>
            </w:r>
          </w:p>
        </w:tc>
        <w:tc>
          <w:tcPr>
            <w:tcW w:w="592" w:type="pct"/>
            <w:tcBorders>
              <w:top w:val="single" w:sz="4" w:space="0" w:color="auto"/>
              <w:left w:val="single" w:sz="4" w:space="0" w:color="auto"/>
              <w:bottom w:val="single" w:sz="4" w:space="0" w:color="auto"/>
              <w:right w:val="single" w:sz="4" w:space="0" w:color="auto"/>
            </w:tcBorders>
          </w:tcPr>
          <w:p w:rsidR="004E3285" w:rsidRPr="006B1802" w:rsidRDefault="004E3285" w:rsidP="00B93A10">
            <w:pPr>
              <w:keepNext/>
              <w:keepLines/>
              <w:spacing w:before="60" w:after="60"/>
              <w:rPr>
                <w:rFonts w:ascii="Arial Narrow" w:hAnsi="Arial Narrow"/>
                <w:b/>
                <w:sz w:val="20"/>
                <w:szCs w:val="20"/>
              </w:rPr>
            </w:pPr>
            <w:r w:rsidRPr="006B1802">
              <w:rPr>
                <w:rFonts w:ascii="Arial Narrow" w:hAnsi="Arial Narrow"/>
                <w:b/>
                <w:sz w:val="20"/>
                <w:szCs w:val="20"/>
              </w:rPr>
              <w:t xml:space="preserve">Year 2 </w:t>
            </w:r>
          </w:p>
        </w:tc>
        <w:tc>
          <w:tcPr>
            <w:tcW w:w="592" w:type="pct"/>
            <w:tcBorders>
              <w:top w:val="single" w:sz="4" w:space="0" w:color="auto"/>
              <w:left w:val="single" w:sz="4" w:space="0" w:color="auto"/>
              <w:bottom w:val="single" w:sz="4" w:space="0" w:color="auto"/>
              <w:right w:val="single" w:sz="4" w:space="0" w:color="auto"/>
            </w:tcBorders>
          </w:tcPr>
          <w:p w:rsidR="004E3285" w:rsidRPr="006B1802" w:rsidRDefault="004E3285" w:rsidP="00B93A10">
            <w:pPr>
              <w:keepNext/>
              <w:keepLines/>
              <w:spacing w:before="60" w:after="60"/>
              <w:rPr>
                <w:rFonts w:ascii="Arial Narrow" w:hAnsi="Arial Narrow"/>
                <w:b/>
                <w:sz w:val="20"/>
                <w:szCs w:val="20"/>
              </w:rPr>
            </w:pPr>
            <w:r w:rsidRPr="006B1802">
              <w:rPr>
                <w:rFonts w:ascii="Arial Narrow" w:hAnsi="Arial Narrow"/>
                <w:b/>
                <w:sz w:val="20"/>
                <w:szCs w:val="20"/>
              </w:rPr>
              <w:t xml:space="preserve">Year 3 </w:t>
            </w:r>
          </w:p>
        </w:tc>
        <w:tc>
          <w:tcPr>
            <w:tcW w:w="591" w:type="pct"/>
            <w:tcBorders>
              <w:top w:val="single" w:sz="4" w:space="0" w:color="auto"/>
              <w:left w:val="single" w:sz="4" w:space="0" w:color="auto"/>
              <w:bottom w:val="single" w:sz="4" w:space="0" w:color="auto"/>
              <w:right w:val="single" w:sz="4" w:space="0" w:color="auto"/>
            </w:tcBorders>
          </w:tcPr>
          <w:p w:rsidR="004E3285" w:rsidRPr="006B1802" w:rsidRDefault="004E3285" w:rsidP="00B93A10">
            <w:pPr>
              <w:keepNext/>
              <w:keepLines/>
              <w:spacing w:before="60" w:after="60"/>
              <w:rPr>
                <w:rFonts w:ascii="Arial Narrow" w:hAnsi="Arial Narrow"/>
                <w:b/>
                <w:sz w:val="20"/>
                <w:szCs w:val="20"/>
              </w:rPr>
            </w:pPr>
            <w:r w:rsidRPr="006B1802">
              <w:rPr>
                <w:rFonts w:ascii="Arial Narrow" w:hAnsi="Arial Narrow"/>
                <w:b/>
                <w:sz w:val="20"/>
                <w:szCs w:val="20"/>
              </w:rPr>
              <w:t xml:space="preserve">Year 4 </w:t>
            </w:r>
          </w:p>
        </w:tc>
        <w:tc>
          <w:tcPr>
            <w:tcW w:w="592" w:type="pct"/>
            <w:tcBorders>
              <w:top w:val="single" w:sz="4" w:space="0" w:color="auto"/>
              <w:left w:val="single" w:sz="4" w:space="0" w:color="auto"/>
              <w:bottom w:val="single" w:sz="4" w:space="0" w:color="auto"/>
              <w:right w:val="single" w:sz="4" w:space="0" w:color="auto"/>
            </w:tcBorders>
          </w:tcPr>
          <w:p w:rsidR="004E3285" w:rsidRPr="006B1802" w:rsidRDefault="004E3285" w:rsidP="00B93A10">
            <w:pPr>
              <w:keepNext/>
              <w:keepLines/>
              <w:spacing w:before="60" w:after="60"/>
              <w:rPr>
                <w:rFonts w:ascii="Arial Narrow" w:hAnsi="Arial Narrow"/>
                <w:b/>
                <w:sz w:val="20"/>
                <w:szCs w:val="20"/>
              </w:rPr>
            </w:pPr>
            <w:r w:rsidRPr="006B1802">
              <w:rPr>
                <w:rFonts w:ascii="Arial Narrow" w:hAnsi="Arial Narrow"/>
                <w:b/>
                <w:sz w:val="20"/>
                <w:szCs w:val="20"/>
              </w:rPr>
              <w:t xml:space="preserve">Year 5 </w:t>
            </w:r>
          </w:p>
        </w:tc>
        <w:tc>
          <w:tcPr>
            <w:tcW w:w="591" w:type="pct"/>
            <w:tcBorders>
              <w:top w:val="single" w:sz="4" w:space="0" w:color="auto"/>
              <w:left w:val="single" w:sz="4" w:space="0" w:color="auto"/>
              <w:bottom w:val="single" w:sz="4" w:space="0" w:color="auto"/>
              <w:right w:val="single" w:sz="4" w:space="0" w:color="auto"/>
            </w:tcBorders>
          </w:tcPr>
          <w:p w:rsidR="004E3285" w:rsidRPr="006B1802" w:rsidRDefault="004E3285" w:rsidP="00B93A10">
            <w:pPr>
              <w:keepNext/>
              <w:keepLines/>
              <w:spacing w:before="60" w:after="60"/>
              <w:rPr>
                <w:rFonts w:ascii="Arial Narrow" w:hAnsi="Arial Narrow"/>
                <w:b/>
                <w:sz w:val="20"/>
                <w:szCs w:val="20"/>
              </w:rPr>
            </w:pPr>
            <w:r w:rsidRPr="006B1802">
              <w:rPr>
                <w:rFonts w:ascii="Arial Narrow" w:hAnsi="Arial Narrow"/>
                <w:b/>
                <w:sz w:val="20"/>
                <w:szCs w:val="20"/>
              </w:rPr>
              <w:t>Year 6</w:t>
            </w:r>
          </w:p>
        </w:tc>
      </w:tr>
      <w:tr w:rsidR="004E3285" w:rsidRPr="006B1802" w:rsidTr="00E22F3A">
        <w:tc>
          <w:tcPr>
            <w:tcW w:w="1451" w:type="pct"/>
            <w:tcBorders>
              <w:top w:val="single" w:sz="4" w:space="0" w:color="auto"/>
              <w:left w:val="single" w:sz="4" w:space="0" w:color="auto"/>
              <w:bottom w:val="single" w:sz="4" w:space="0" w:color="auto"/>
              <w:right w:val="single" w:sz="4" w:space="0" w:color="auto"/>
            </w:tcBorders>
            <w:vAlign w:val="center"/>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 xml:space="preserve">Prevalent ADPKD </w:t>
            </w:r>
            <w:proofErr w:type="spellStart"/>
            <w:r w:rsidRPr="006B1802">
              <w:rPr>
                <w:rFonts w:ascii="Arial Narrow" w:hAnsi="Arial Narrow"/>
                <w:sz w:val="20"/>
                <w:szCs w:val="20"/>
              </w:rPr>
              <w:t>pop’n</w:t>
            </w:r>
            <w:proofErr w:type="spellEnd"/>
          </w:p>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(356 per million)</w:t>
            </w:r>
          </w:p>
        </w:tc>
        <w:tc>
          <w:tcPr>
            <w:tcW w:w="591" w:type="pct"/>
            <w:tcBorders>
              <w:top w:val="single" w:sz="4" w:space="0" w:color="auto"/>
              <w:left w:val="single" w:sz="4" w:space="0" w:color="auto"/>
              <w:bottom w:val="single" w:sz="4" w:space="0" w:color="auto"/>
              <w:right w:val="single" w:sz="4" w:space="0" w:color="auto"/>
            </w:tcBorders>
            <w:vAlign w:val="center"/>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w:t>
            </w:r>
          </w:p>
        </w:tc>
        <w:tc>
          <w:tcPr>
            <w:tcW w:w="592" w:type="pct"/>
            <w:tcBorders>
              <w:top w:val="single" w:sz="4" w:space="0" w:color="auto"/>
              <w:left w:val="single" w:sz="4" w:space="0" w:color="auto"/>
              <w:bottom w:val="single" w:sz="4" w:space="0" w:color="auto"/>
              <w:right w:val="single" w:sz="4" w:space="0" w:color="auto"/>
            </w:tcBorders>
            <w:vAlign w:val="center"/>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w:t>
            </w:r>
          </w:p>
        </w:tc>
        <w:tc>
          <w:tcPr>
            <w:tcW w:w="592" w:type="pct"/>
            <w:tcBorders>
              <w:top w:val="single" w:sz="4" w:space="0" w:color="auto"/>
              <w:left w:val="single" w:sz="4" w:space="0" w:color="auto"/>
              <w:bottom w:val="single" w:sz="4" w:space="0" w:color="auto"/>
              <w:right w:val="single" w:sz="4" w:space="0" w:color="auto"/>
            </w:tcBorders>
            <w:vAlign w:val="center"/>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w:t>
            </w:r>
          </w:p>
        </w:tc>
        <w:tc>
          <w:tcPr>
            <w:tcW w:w="591" w:type="pct"/>
            <w:tcBorders>
              <w:top w:val="single" w:sz="4" w:space="0" w:color="auto"/>
              <w:left w:val="single" w:sz="4" w:space="0" w:color="auto"/>
              <w:bottom w:val="single" w:sz="4" w:space="0" w:color="auto"/>
              <w:right w:val="single" w:sz="4" w:space="0" w:color="auto"/>
            </w:tcBorders>
            <w:vAlign w:val="center"/>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w:t>
            </w:r>
          </w:p>
        </w:tc>
        <w:tc>
          <w:tcPr>
            <w:tcW w:w="592" w:type="pct"/>
            <w:tcBorders>
              <w:top w:val="single" w:sz="4" w:space="0" w:color="auto"/>
              <w:left w:val="single" w:sz="4" w:space="0" w:color="auto"/>
              <w:bottom w:val="single" w:sz="4" w:space="0" w:color="auto"/>
              <w:right w:val="single" w:sz="4" w:space="0" w:color="auto"/>
            </w:tcBorders>
            <w:vAlign w:val="center"/>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w:t>
            </w:r>
          </w:p>
        </w:tc>
        <w:tc>
          <w:tcPr>
            <w:tcW w:w="591" w:type="pct"/>
            <w:tcBorders>
              <w:top w:val="single" w:sz="4" w:space="0" w:color="auto"/>
              <w:left w:val="single" w:sz="4" w:space="0" w:color="auto"/>
              <w:bottom w:val="single" w:sz="4" w:space="0" w:color="auto"/>
              <w:right w:val="single" w:sz="4" w:space="0" w:color="auto"/>
            </w:tcBorders>
            <w:vAlign w:val="center"/>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w:t>
            </w:r>
          </w:p>
        </w:tc>
      </w:tr>
      <w:tr w:rsidR="004E3285" w:rsidRPr="006B1802" w:rsidTr="00E22F3A">
        <w:tc>
          <w:tcPr>
            <w:tcW w:w="1451" w:type="pct"/>
            <w:tcBorders>
              <w:top w:val="single" w:sz="4" w:space="0" w:color="auto"/>
              <w:left w:val="single" w:sz="4" w:space="0" w:color="auto"/>
              <w:bottom w:val="single" w:sz="4" w:space="0" w:color="auto"/>
              <w:right w:val="single" w:sz="4" w:space="0" w:color="auto"/>
            </w:tcBorders>
            <w:vAlign w:val="center"/>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ADPKD patients where a ‘hard cap’ is set to ensure cost-effectiveness</w:t>
            </w:r>
          </w:p>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 xml:space="preserve">(15%) </w:t>
            </w:r>
          </w:p>
        </w:tc>
        <w:tc>
          <w:tcPr>
            <w:tcW w:w="591"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w:t>
            </w:r>
          </w:p>
        </w:tc>
        <w:tc>
          <w:tcPr>
            <w:tcW w:w="592"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w:t>
            </w:r>
          </w:p>
        </w:tc>
        <w:tc>
          <w:tcPr>
            <w:tcW w:w="592"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w:t>
            </w:r>
          </w:p>
        </w:tc>
        <w:tc>
          <w:tcPr>
            <w:tcW w:w="591"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w:t>
            </w:r>
          </w:p>
        </w:tc>
        <w:tc>
          <w:tcPr>
            <w:tcW w:w="592"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w:t>
            </w:r>
          </w:p>
        </w:tc>
        <w:tc>
          <w:tcPr>
            <w:tcW w:w="591"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w:t>
            </w:r>
          </w:p>
        </w:tc>
      </w:tr>
      <w:tr w:rsidR="004E3285" w:rsidRPr="006B1802" w:rsidTr="00E22F3A">
        <w:tc>
          <w:tcPr>
            <w:tcW w:w="1451" w:type="pct"/>
            <w:tcBorders>
              <w:top w:val="single" w:sz="4" w:space="0" w:color="auto"/>
              <w:left w:val="single" w:sz="4" w:space="0" w:color="auto"/>
              <w:bottom w:val="single" w:sz="4" w:space="0" w:color="auto"/>
              <w:right w:val="single" w:sz="4" w:space="0" w:color="auto"/>
            </w:tcBorders>
            <w:vAlign w:val="center"/>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Tolvaptan estimated initiation rates</w:t>
            </w:r>
          </w:p>
        </w:tc>
        <w:tc>
          <w:tcPr>
            <w:tcW w:w="591" w:type="pct"/>
            <w:tcBorders>
              <w:top w:val="single" w:sz="4" w:space="0" w:color="auto"/>
              <w:left w:val="single" w:sz="4" w:space="0" w:color="auto"/>
              <w:bottom w:val="single" w:sz="4" w:space="0" w:color="auto"/>
              <w:right w:val="single" w:sz="4" w:space="0" w:color="auto"/>
            </w:tcBorders>
            <w:vAlign w:val="center"/>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60.0%</w:t>
            </w:r>
          </w:p>
        </w:tc>
        <w:tc>
          <w:tcPr>
            <w:tcW w:w="592" w:type="pct"/>
            <w:tcBorders>
              <w:top w:val="single" w:sz="4" w:space="0" w:color="auto"/>
              <w:left w:val="single" w:sz="4" w:space="0" w:color="auto"/>
              <w:bottom w:val="single" w:sz="4" w:space="0" w:color="auto"/>
              <w:right w:val="single" w:sz="4" w:space="0" w:color="auto"/>
            </w:tcBorders>
            <w:vAlign w:val="center"/>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8.0%</w:t>
            </w:r>
          </w:p>
        </w:tc>
        <w:tc>
          <w:tcPr>
            <w:tcW w:w="592" w:type="pct"/>
            <w:tcBorders>
              <w:top w:val="single" w:sz="4" w:space="0" w:color="auto"/>
              <w:left w:val="single" w:sz="4" w:space="0" w:color="auto"/>
              <w:bottom w:val="single" w:sz="4" w:space="0" w:color="auto"/>
              <w:right w:val="single" w:sz="4" w:space="0" w:color="auto"/>
            </w:tcBorders>
            <w:vAlign w:val="center"/>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8.0%</w:t>
            </w:r>
          </w:p>
        </w:tc>
        <w:tc>
          <w:tcPr>
            <w:tcW w:w="591" w:type="pct"/>
            <w:tcBorders>
              <w:top w:val="single" w:sz="4" w:space="0" w:color="auto"/>
              <w:left w:val="single" w:sz="4" w:space="0" w:color="auto"/>
              <w:bottom w:val="single" w:sz="4" w:space="0" w:color="auto"/>
              <w:right w:val="single" w:sz="4" w:space="0" w:color="auto"/>
            </w:tcBorders>
            <w:vAlign w:val="center"/>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8.0%</w:t>
            </w:r>
          </w:p>
        </w:tc>
        <w:tc>
          <w:tcPr>
            <w:tcW w:w="592" w:type="pct"/>
            <w:tcBorders>
              <w:top w:val="single" w:sz="4" w:space="0" w:color="auto"/>
              <w:left w:val="single" w:sz="4" w:space="0" w:color="auto"/>
              <w:bottom w:val="single" w:sz="4" w:space="0" w:color="auto"/>
              <w:right w:val="single" w:sz="4" w:space="0" w:color="auto"/>
            </w:tcBorders>
            <w:vAlign w:val="center"/>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8.0%</w:t>
            </w:r>
          </w:p>
        </w:tc>
        <w:tc>
          <w:tcPr>
            <w:tcW w:w="591" w:type="pct"/>
            <w:tcBorders>
              <w:top w:val="single" w:sz="4" w:space="0" w:color="auto"/>
              <w:left w:val="single" w:sz="4" w:space="0" w:color="auto"/>
              <w:bottom w:val="single" w:sz="4" w:space="0" w:color="auto"/>
              <w:right w:val="single" w:sz="4" w:space="0" w:color="auto"/>
            </w:tcBorders>
            <w:vAlign w:val="center"/>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8.0%</w:t>
            </w:r>
          </w:p>
        </w:tc>
      </w:tr>
      <w:tr w:rsidR="004E3285" w:rsidRPr="006B1802" w:rsidTr="00E22F3A">
        <w:tc>
          <w:tcPr>
            <w:tcW w:w="1451" w:type="pct"/>
            <w:tcBorders>
              <w:top w:val="single" w:sz="4" w:space="0" w:color="auto"/>
              <w:left w:val="single" w:sz="4" w:space="0" w:color="auto"/>
              <w:bottom w:val="single" w:sz="4" w:space="0" w:color="auto"/>
              <w:right w:val="single" w:sz="4" w:space="0" w:color="auto"/>
            </w:tcBorders>
            <w:vAlign w:val="center"/>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 xml:space="preserve">Patients initiating treatment </w:t>
            </w:r>
          </w:p>
        </w:tc>
        <w:tc>
          <w:tcPr>
            <w:tcW w:w="591"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w:t>
            </w:r>
          </w:p>
        </w:tc>
        <w:tc>
          <w:tcPr>
            <w:tcW w:w="592"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w:t>
            </w:r>
          </w:p>
        </w:tc>
        <w:tc>
          <w:tcPr>
            <w:tcW w:w="592"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w:t>
            </w:r>
          </w:p>
        </w:tc>
        <w:tc>
          <w:tcPr>
            <w:tcW w:w="591"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w:t>
            </w:r>
          </w:p>
        </w:tc>
        <w:tc>
          <w:tcPr>
            <w:tcW w:w="592"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w:t>
            </w:r>
          </w:p>
        </w:tc>
        <w:tc>
          <w:tcPr>
            <w:tcW w:w="591"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w:t>
            </w:r>
          </w:p>
        </w:tc>
      </w:tr>
      <w:tr w:rsidR="004E3285" w:rsidRPr="006B1802" w:rsidTr="00E22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51" w:type="pct"/>
            <w:tcBorders>
              <w:top w:val="single" w:sz="4" w:space="0" w:color="auto"/>
              <w:left w:val="single" w:sz="4" w:space="0" w:color="auto"/>
              <w:bottom w:val="single" w:sz="4" w:space="0" w:color="auto"/>
              <w:right w:val="single" w:sz="4" w:space="0" w:color="auto"/>
            </w:tcBorders>
            <w:vAlign w:val="center"/>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Treatment persistence for each year of therapy</w:t>
            </w:r>
          </w:p>
        </w:tc>
        <w:tc>
          <w:tcPr>
            <w:tcW w:w="591" w:type="pct"/>
            <w:tcBorders>
              <w:top w:val="single" w:sz="4" w:space="0" w:color="auto"/>
              <w:left w:val="single" w:sz="4" w:space="0" w:color="auto"/>
              <w:bottom w:val="single" w:sz="4" w:space="0" w:color="auto"/>
              <w:right w:val="single" w:sz="4" w:space="0" w:color="auto"/>
            </w:tcBorders>
            <w:vAlign w:val="center"/>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100%</w:t>
            </w:r>
          </w:p>
        </w:tc>
        <w:tc>
          <w:tcPr>
            <w:tcW w:w="592" w:type="pct"/>
            <w:tcBorders>
              <w:top w:val="single" w:sz="4" w:space="0" w:color="auto"/>
              <w:left w:val="single" w:sz="4" w:space="0" w:color="auto"/>
              <w:bottom w:val="single" w:sz="4" w:space="0" w:color="auto"/>
              <w:right w:val="single" w:sz="4" w:space="0" w:color="auto"/>
            </w:tcBorders>
            <w:vAlign w:val="center"/>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84.7%</w:t>
            </w:r>
          </w:p>
        </w:tc>
        <w:tc>
          <w:tcPr>
            <w:tcW w:w="592" w:type="pct"/>
            <w:tcBorders>
              <w:top w:val="single" w:sz="4" w:space="0" w:color="auto"/>
              <w:left w:val="single" w:sz="4" w:space="0" w:color="auto"/>
              <w:bottom w:val="single" w:sz="4" w:space="0" w:color="auto"/>
              <w:right w:val="single" w:sz="4" w:space="0" w:color="auto"/>
            </w:tcBorders>
            <w:vAlign w:val="center"/>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80.8%</w:t>
            </w:r>
          </w:p>
        </w:tc>
        <w:tc>
          <w:tcPr>
            <w:tcW w:w="591" w:type="pct"/>
            <w:tcBorders>
              <w:top w:val="single" w:sz="4" w:space="0" w:color="auto"/>
              <w:left w:val="single" w:sz="4" w:space="0" w:color="auto"/>
              <w:bottom w:val="single" w:sz="4" w:space="0" w:color="auto"/>
              <w:right w:val="single" w:sz="4" w:space="0" w:color="auto"/>
            </w:tcBorders>
            <w:vAlign w:val="center"/>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77.1%</w:t>
            </w:r>
          </w:p>
        </w:tc>
        <w:tc>
          <w:tcPr>
            <w:tcW w:w="592" w:type="pct"/>
            <w:tcBorders>
              <w:top w:val="single" w:sz="4" w:space="0" w:color="auto"/>
              <w:left w:val="single" w:sz="4" w:space="0" w:color="auto"/>
              <w:bottom w:val="single" w:sz="4" w:space="0" w:color="auto"/>
              <w:right w:val="single" w:sz="4" w:space="0" w:color="auto"/>
            </w:tcBorders>
            <w:vAlign w:val="center"/>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73.5%</w:t>
            </w:r>
          </w:p>
        </w:tc>
        <w:tc>
          <w:tcPr>
            <w:tcW w:w="591" w:type="pct"/>
            <w:tcBorders>
              <w:top w:val="single" w:sz="4" w:space="0" w:color="auto"/>
              <w:left w:val="single" w:sz="4" w:space="0" w:color="auto"/>
              <w:bottom w:val="single" w:sz="4" w:space="0" w:color="auto"/>
              <w:right w:val="single" w:sz="4" w:space="0" w:color="auto"/>
            </w:tcBorders>
            <w:vAlign w:val="center"/>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70.2%</w:t>
            </w:r>
          </w:p>
        </w:tc>
      </w:tr>
      <w:tr w:rsidR="004E3285" w:rsidRPr="006B1802" w:rsidTr="001F1763">
        <w:tc>
          <w:tcPr>
            <w:tcW w:w="5000" w:type="pct"/>
            <w:gridSpan w:val="7"/>
            <w:tcBorders>
              <w:top w:val="single" w:sz="4" w:space="0" w:color="auto"/>
              <w:left w:val="single" w:sz="4" w:space="0" w:color="auto"/>
              <w:bottom w:val="single" w:sz="4" w:space="0" w:color="auto"/>
              <w:right w:val="single" w:sz="4" w:space="0" w:color="auto"/>
            </w:tcBorders>
            <w:vAlign w:val="center"/>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Number of patients remaining on tolvaptan at the beginning of each year among those initiated in:</w:t>
            </w:r>
          </w:p>
        </w:tc>
      </w:tr>
      <w:tr w:rsidR="004E3285" w:rsidRPr="006B1802" w:rsidTr="00E22F3A">
        <w:tc>
          <w:tcPr>
            <w:tcW w:w="1451" w:type="pct"/>
            <w:tcBorders>
              <w:top w:val="single" w:sz="4" w:space="0" w:color="auto"/>
              <w:left w:val="single" w:sz="4" w:space="0" w:color="auto"/>
              <w:bottom w:val="single" w:sz="4" w:space="0" w:color="auto"/>
              <w:right w:val="single" w:sz="4" w:space="0" w:color="auto"/>
            </w:tcBorders>
            <w:vAlign w:val="center"/>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Year 1</w:t>
            </w:r>
          </w:p>
        </w:tc>
        <w:tc>
          <w:tcPr>
            <w:tcW w:w="591" w:type="pct"/>
            <w:tcBorders>
              <w:top w:val="single" w:sz="4" w:space="0" w:color="auto"/>
              <w:left w:val="single" w:sz="4" w:space="0" w:color="auto"/>
              <w:bottom w:val="single" w:sz="4" w:space="0" w:color="auto"/>
              <w:right w:val="single" w:sz="4" w:space="0" w:color="auto"/>
            </w:tcBorders>
          </w:tcPr>
          <w:p w:rsidR="004E3285" w:rsidRPr="00B912EA" w:rsidRDefault="004E3285" w:rsidP="00B93A10">
            <w:pPr>
              <w:keepNext/>
              <w:keepLines/>
              <w:spacing w:before="60" w:after="60"/>
              <w:rPr>
                <w:rFonts w:ascii="Arial Narrow" w:hAnsi="Arial Narrow"/>
                <w:sz w:val="20"/>
                <w:szCs w:val="20"/>
                <w:highlight w:val="black"/>
              </w:rPr>
            </w:pPr>
            <w:r w:rsidRPr="006B1802">
              <w:rPr>
                <w:rFonts w:ascii="Arial Narrow" w:hAnsi="Arial Narrow"/>
                <w:sz w:val="20"/>
                <w:szCs w:val="20"/>
              </w:rPr>
              <w:t xml:space="preserve"> </w:t>
            </w:r>
            <w:r w:rsidR="00B912EA">
              <w:rPr>
                <w:rFonts w:ascii="Arial Narrow" w:hAnsi="Arial Narrow"/>
                <w:noProof/>
                <w:color w:val="000000"/>
                <w:sz w:val="20"/>
                <w:szCs w:val="20"/>
                <w:highlight w:val="black"/>
              </w:rPr>
              <w:t xml:space="preserve">''''''''' </w:t>
            </w:r>
          </w:p>
        </w:tc>
        <w:tc>
          <w:tcPr>
            <w:tcW w:w="592" w:type="pct"/>
            <w:tcBorders>
              <w:top w:val="single" w:sz="4" w:space="0" w:color="auto"/>
              <w:left w:val="single" w:sz="4" w:space="0" w:color="auto"/>
              <w:bottom w:val="single" w:sz="4" w:space="0" w:color="auto"/>
              <w:right w:val="single" w:sz="4" w:space="0" w:color="auto"/>
            </w:tcBorders>
          </w:tcPr>
          <w:p w:rsidR="004E3285" w:rsidRPr="00B912EA" w:rsidRDefault="004E3285" w:rsidP="00B93A10">
            <w:pPr>
              <w:keepNext/>
              <w:keepLines/>
              <w:spacing w:before="60" w:after="60"/>
              <w:rPr>
                <w:rFonts w:ascii="Arial Narrow" w:hAnsi="Arial Narrow"/>
                <w:sz w:val="20"/>
                <w:szCs w:val="20"/>
                <w:highlight w:val="black"/>
              </w:rPr>
            </w:pPr>
            <w:r w:rsidRPr="006B1802">
              <w:rPr>
                <w:rFonts w:ascii="Arial Narrow" w:hAnsi="Arial Narrow"/>
                <w:sz w:val="20"/>
                <w:szCs w:val="20"/>
              </w:rPr>
              <w:t xml:space="preserve"> </w:t>
            </w:r>
            <w:r w:rsidR="00B912EA">
              <w:rPr>
                <w:rFonts w:ascii="Arial Narrow" w:hAnsi="Arial Narrow"/>
                <w:noProof/>
                <w:color w:val="000000"/>
                <w:sz w:val="20"/>
                <w:szCs w:val="20"/>
                <w:highlight w:val="black"/>
              </w:rPr>
              <w:t>''''''''</w:t>
            </w:r>
            <w:r w:rsidRPr="00B912EA">
              <w:rPr>
                <w:rFonts w:ascii="Arial Narrow" w:hAnsi="Arial Narrow"/>
                <w:sz w:val="20"/>
                <w:szCs w:val="20"/>
                <w:highlight w:val="black"/>
              </w:rPr>
              <w:t xml:space="preserve"> </w:t>
            </w:r>
          </w:p>
        </w:tc>
        <w:tc>
          <w:tcPr>
            <w:tcW w:w="592" w:type="pct"/>
            <w:tcBorders>
              <w:top w:val="single" w:sz="4" w:space="0" w:color="auto"/>
              <w:left w:val="single" w:sz="4" w:space="0" w:color="auto"/>
              <w:bottom w:val="single" w:sz="4" w:space="0" w:color="auto"/>
              <w:right w:val="single" w:sz="4" w:space="0" w:color="auto"/>
            </w:tcBorders>
          </w:tcPr>
          <w:p w:rsidR="004E3285" w:rsidRPr="00B912EA" w:rsidRDefault="004E3285" w:rsidP="00B93A10">
            <w:pPr>
              <w:keepNext/>
              <w:keepLines/>
              <w:spacing w:before="60" w:after="60"/>
              <w:rPr>
                <w:rFonts w:ascii="Arial Narrow" w:hAnsi="Arial Narrow"/>
                <w:sz w:val="20"/>
                <w:szCs w:val="20"/>
                <w:highlight w:val="black"/>
              </w:rPr>
            </w:pPr>
            <w:r w:rsidRPr="006B1802">
              <w:rPr>
                <w:rFonts w:ascii="Arial Narrow" w:hAnsi="Arial Narrow"/>
                <w:sz w:val="20"/>
                <w:szCs w:val="20"/>
              </w:rPr>
              <w:t xml:space="preserve"> </w:t>
            </w:r>
            <w:r w:rsidR="00B912EA">
              <w:rPr>
                <w:rFonts w:ascii="Arial Narrow" w:hAnsi="Arial Narrow"/>
                <w:noProof/>
                <w:color w:val="000000"/>
                <w:sz w:val="20"/>
                <w:szCs w:val="20"/>
                <w:highlight w:val="black"/>
              </w:rPr>
              <w:t xml:space="preserve">'''''''''' </w:t>
            </w:r>
          </w:p>
        </w:tc>
        <w:tc>
          <w:tcPr>
            <w:tcW w:w="591" w:type="pct"/>
            <w:tcBorders>
              <w:top w:val="single" w:sz="4" w:space="0" w:color="auto"/>
              <w:left w:val="single" w:sz="4" w:space="0" w:color="auto"/>
              <w:bottom w:val="single" w:sz="4" w:space="0" w:color="auto"/>
              <w:right w:val="single" w:sz="4" w:space="0" w:color="auto"/>
            </w:tcBorders>
          </w:tcPr>
          <w:p w:rsidR="004E3285" w:rsidRPr="00B912EA" w:rsidRDefault="004E3285" w:rsidP="00B93A10">
            <w:pPr>
              <w:keepNext/>
              <w:keepLines/>
              <w:spacing w:before="60" w:after="60"/>
              <w:rPr>
                <w:rFonts w:ascii="Arial Narrow" w:hAnsi="Arial Narrow"/>
                <w:sz w:val="20"/>
                <w:szCs w:val="20"/>
                <w:highlight w:val="black"/>
              </w:rPr>
            </w:pPr>
            <w:r w:rsidRPr="006B1802">
              <w:rPr>
                <w:rFonts w:ascii="Arial Narrow" w:hAnsi="Arial Narrow"/>
                <w:sz w:val="20"/>
                <w:szCs w:val="20"/>
              </w:rPr>
              <w:t xml:space="preserve"> </w:t>
            </w:r>
            <w:r w:rsidR="00B912EA">
              <w:rPr>
                <w:rFonts w:ascii="Arial Narrow" w:hAnsi="Arial Narrow"/>
                <w:noProof/>
                <w:color w:val="000000"/>
                <w:sz w:val="20"/>
                <w:szCs w:val="20"/>
                <w:highlight w:val="black"/>
              </w:rPr>
              <w:t xml:space="preserve">'''''''''' </w:t>
            </w:r>
          </w:p>
        </w:tc>
        <w:tc>
          <w:tcPr>
            <w:tcW w:w="592" w:type="pct"/>
            <w:tcBorders>
              <w:top w:val="single" w:sz="4" w:space="0" w:color="auto"/>
              <w:left w:val="single" w:sz="4" w:space="0" w:color="auto"/>
              <w:bottom w:val="single" w:sz="4" w:space="0" w:color="auto"/>
              <w:right w:val="single" w:sz="4" w:space="0" w:color="auto"/>
            </w:tcBorders>
          </w:tcPr>
          <w:p w:rsidR="004E3285" w:rsidRPr="00B912EA" w:rsidRDefault="004E3285" w:rsidP="00B93A10">
            <w:pPr>
              <w:keepNext/>
              <w:keepLines/>
              <w:spacing w:before="60" w:after="60"/>
              <w:rPr>
                <w:rFonts w:ascii="Arial Narrow" w:hAnsi="Arial Narrow"/>
                <w:sz w:val="20"/>
                <w:szCs w:val="20"/>
                <w:highlight w:val="black"/>
              </w:rPr>
            </w:pPr>
            <w:r w:rsidRPr="006B1802">
              <w:rPr>
                <w:rFonts w:ascii="Arial Narrow" w:hAnsi="Arial Narrow"/>
                <w:sz w:val="20"/>
                <w:szCs w:val="20"/>
              </w:rPr>
              <w:t xml:space="preserve"> </w:t>
            </w:r>
            <w:r w:rsidR="00B912EA">
              <w:rPr>
                <w:rFonts w:ascii="Arial Narrow" w:hAnsi="Arial Narrow"/>
                <w:noProof/>
                <w:color w:val="000000"/>
                <w:sz w:val="20"/>
                <w:szCs w:val="20"/>
                <w:highlight w:val="black"/>
              </w:rPr>
              <w:t xml:space="preserve">''''''''' </w:t>
            </w:r>
          </w:p>
        </w:tc>
        <w:tc>
          <w:tcPr>
            <w:tcW w:w="591" w:type="pct"/>
            <w:tcBorders>
              <w:top w:val="single" w:sz="4" w:space="0" w:color="auto"/>
              <w:left w:val="single" w:sz="4" w:space="0" w:color="auto"/>
              <w:bottom w:val="single" w:sz="4" w:space="0" w:color="auto"/>
              <w:right w:val="single" w:sz="4" w:space="0" w:color="auto"/>
            </w:tcBorders>
          </w:tcPr>
          <w:p w:rsidR="004E3285" w:rsidRPr="00B912EA" w:rsidRDefault="004E3285" w:rsidP="00B93A10">
            <w:pPr>
              <w:keepNext/>
              <w:keepLines/>
              <w:spacing w:before="60" w:after="60"/>
              <w:rPr>
                <w:rFonts w:ascii="Arial Narrow" w:hAnsi="Arial Narrow"/>
                <w:sz w:val="20"/>
                <w:szCs w:val="20"/>
                <w:highlight w:val="black"/>
              </w:rPr>
            </w:pPr>
            <w:r w:rsidRPr="006B1802">
              <w:rPr>
                <w:rFonts w:ascii="Arial Narrow" w:hAnsi="Arial Narrow"/>
                <w:sz w:val="20"/>
                <w:szCs w:val="20"/>
              </w:rPr>
              <w:t xml:space="preserve"> </w:t>
            </w:r>
            <w:r w:rsidR="00B912EA">
              <w:rPr>
                <w:rFonts w:ascii="Arial Narrow" w:hAnsi="Arial Narrow"/>
                <w:noProof/>
                <w:color w:val="000000"/>
                <w:sz w:val="20"/>
                <w:szCs w:val="20"/>
                <w:highlight w:val="black"/>
              </w:rPr>
              <w:t xml:space="preserve">'''''''' </w:t>
            </w:r>
          </w:p>
        </w:tc>
      </w:tr>
      <w:tr w:rsidR="004E3285" w:rsidRPr="006B1802" w:rsidTr="00E22F3A">
        <w:tc>
          <w:tcPr>
            <w:tcW w:w="1451" w:type="pct"/>
            <w:tcBorders>
              <w:top w:val="single" w:sz="4" w:space="0" w:color="auto"/>
              <w:left w:val="single" w:sz="4" w:space="0" w:color="auto"/>
              <w:bottom w:val="single" w:sz="4" w:space="0" w:color="auto"/>
              <w:right w:val="single" w:sz="4" w:space="0" w:color="auto"/>
            </w:tcBorders>
            <w:vAlign w:val="center"/>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Year 2</w:t>
            </w:r>
          </w:p>
        </w:tc>
        <w:tc>
          <w:tcPr>
            <w:tcW w:w="591" w:type="pct"/>
            <w:tcBorders>
              <w:top w:val="single" w:sz="4" w:space="0" w:color="auto"/>
              <w:left w:val="single" w:sz="4" w:space="0" w:color="auto"/>
              <w:bottom w:val="single" w:sz="4" w:space="0" w:color="auto"/>
              <w:right w:val="single" w:sz="4" w:space="0" w:color="auto"/>
            </w:tcBorders>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 xml:space="preserve"> - </w:t>
            </w:r>
          </w:p>
        </w:tc>
        <w:tc>
          <w:tcPr>
            <w:tcW w:w="592" w:type="pct"/>
            <w:tcBorders>
              <w:top w:val="single" w:sz="4" w:space="0" w:color="auto"/>
              <w:left w:val="single" w:sz="4" w:space="0" w:color="auto"/>
              <w:bottom w:val="single" w:sz="4" w:space="0" w:color="auto"/>
              <w:right w:val="single" w:sz="4" w:space="0" w:color="auto"/>
            </w:tcBorders>
          </w:tcPr>
          <w:p w:rsidR="004E3285" w:rsidRPr="00B912EA" w:rsidRDefault="004E3285" w:rsidP="00B93A10">
            <w:pPr>
              <w:keepNext/>
              <w:keepLines/>
              <w:spacing w:before="60" w:after="60"/>
              <w:rPr>
                <w:rFonts w:ascii="Arial Narrow" w:hAnsi="Arial Narrow"/>
                <w:sz w:val="20"/>
                <w:szCs w:val="20"/>
                <w:highlight w:val="black"/>
              </w:rPr>
            </w:pPr>
            <w:r w:rsidRPr="006B1802">
              <w:rPr>
                <w:rFonts w:ascii="Arial Narrow" w:hAnsi="Arial Narrow"/>
                <w:sz w:val="20"/>
                <w:szCs w:val="20"/>
              </w:rPr>
              <w:t xml:space="preserve"> </w:t>
            </w:r>
            <w:r w:rsidR="00B912EA">
              <w:rPr>
                <w:rFonts w:ascii="Arial Narrow" w:hAnsi="Arial Narrow"/>
                <w:noProof/>
                <w:color w:val="000000"/>
                <w:sz w:val="20"/>
                <w:szCs w:val="20"/>
                <w:highlight w:val="black"/>
              </w:rPr>
              <w:t xml:space="preserve">''''''''' </w:t>
            </w:r>
          </w:p>
        </w:tc>
        <w:tc>
          <w:tcPr>
            <w:tcW w:w="592"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 xml:space="preserve"> '''''</w:t>
            </w:r>
            <w:r w:rsidR="004E3285" w:rsidRPr="00B912EA">
              <w:rPr>
                <w:rFonts w:ascii="Arial Narrow" w:hAnsi="Arial Narrow"/>
                <w:sz w:val="20"/>
                <w:szCs w:val="20"/>
                <w:highlight w:val="black"/>
              </w:rPr>
              <w:t xml:space="preserve"> </w:t>
            </w:r>
          </w:p>
        </w:tc>
        <w:tc>
          <w:tcPr>
            <w:tcW w:w="591"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 xml:space="preserve"> '''''''</w:t>
            </w:r>
            <w:r w:rsidR="004E3285" w:rsidRPr="00B912EA">
              <w:rPr>
                <w:rFonts w:ascii="Arial Narrow" w:hAnsi="Arial Narrow"/>
                <w:sz w:val="20"/>
                <w:szCs w:val="20"/>
                <w:highlight w:val="black"/>
              </w:rPr>
              <w:t xml:space="preserve"> </w:t>
            </w:r>
          </w:p>
        </w:tc>
        <w:tc>
          <w:tcPr>
            <w:tcW w:w="592" w:type="pct"/>
            <w:tcBorders>
              <w:top w:val="single" w:sz="4" w:space="0" w:color="auto"/>
              <w:left w:val="single" w:sz="4" w:space="0" w:color="auto"/>
              <w:bottom w:val="single" w:sz="4" w:space="0" w:color="auto"/>
              <w:right w:val="single" w:sz="4" w:space="0" w:color="auto"/>
            </w:tcBorders>
          </w:tcPr>
          <w:p w:rsidR="004E3285" w:rsidRPr="00B912EA" w:rsidRDefault="004E3285" w:rsidP="00B93A10">
            <w:pPr>
              <w:keepNext/>
              <w:keepLines/>
              <w:spacing w:before="60" w:after="60"/>
              <w:rPr>
                <w:rFonts w:ascii="Arial Narrow" w:hAnsi="Arial Narrow"/>
                <w:sz w:val="20"/>
                <w:szCs w:val="20"/>
                <w:highlight w:val="black"/>
              </w:rPr>
            </w:pPr>
            <w:r w:rsidRPr="006B1802">
              <w:rPr>
                <w:rFonts w:ascii="Arial Narrow" w:hAnsi="Arial Narrow"/>
                <w:sz w:val="20"/>
                <w:szCs w:val="20"/>
              </w:rPr>
              <w:t xml:space="preserve"> </w:t>
            </w:r>
            <w:r w:rsidR="00B912EA">
              <w:rPr>
                <w:rFonts w:ascii="Arial Narrow" w:hAnsi="Arial Narrow"/>
                <w:noProof/>
                <w:color w:val="000000"/>
                <w:sz w:val="20"/>
                <w:szCs w:val="20"/>
                <w:highlight w:val="black"/>
              </w:rPr>
              <w:t>''''''</w:t>
            </w:r>
            <w:r w:rsidRPr="00B912EA">
              <w:rPr>
                <w:rFonts w:ascii="Arial Narrow" w:hAnsi="Arial Narrow"/>
                <w:sz w:val="20"/>
                <w:szCs w:val="20"/>
                <w:highlight w:val="black"/>
              </w:rPr>
              <w:t xml:space="preserve"> </w:t>
            </w:r>
          </w:p>
        </w:tc>
        <w:tc>
          <w:tcPr>
            <w:tcW w:w="591"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 xml:space="preserve"> '''''</w:t>
            </w:r>
            <w:r w:rsidR="004E3285" w:rsidRPr="00B912EA">
              <w:rPr>
                <w:rFonts w:ascii="Arial Narrow" w:hAnsi="Arial Narrow"/>
                <w:sz w:val="20"/>
                <w:szCs w:val="20"/>
                <w:highlight w:val="black"/>
              </w:rPr>
              <w:t xml:space="preserve"> </w:t>
            </w:r>
          </w:p>
        </w:tc>
      </w:tr>
      <w:tr w:rsidR="004E3285" w:rsidRPr="006B1802" w:rsidTr="00E22F3A">
        <w:tc>
          <w:tcPr>
            <w:tcW w:w="1451" w:type="pct"/>
            <w:tcBorders>
              <w:top w:val="single" w:sz="4" w:space="0" w:color="auto"/>
              <w:left w:val="single" w:sz="4" w:space="0" w:color="auto"/>
              <w:bottom w:val="single" w:sz="4" w:space="0" w:color="auto"/>
              <w:right w:val="single" w:sz="4" w:space="0" w:color="auto"/>
            </w:tcBorders>
            <w:vAlign w:val="center"/>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Year 3</w:t>
            </w:r>
          </w:p>
        </w:tc>
        <w:tc>
          <w:tcPr>
            <w:tcW w:w="591" w:type="pct"/>
            <w:tcBorders>
              <w:top w:val="single" w:sz="4" w:space="0" w:color="auto"/>
              <w:left w:val="single" w:sz="4" w:space="0" w:color="auto"/>
              <w:bottom w:val="single" w:sz="4" w:space="0" w:color="auto"/>
              <w:right w:val="single" w:sz="4" w:space="0" w:color="auto"/>
            </w:tcBorders>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 xml:space="preserve"> - </w:t>
            </w:r>
          </w:p>
        </w:tc>
        <w:tc>
          <w:tcPr>
            <w:tcW w:w="592" w:type="pct"/>
            <w:tcBorders>
              <w:top w:val="single" w:sz="4" w:space="0" w:color="auto"/>
              <w:left w:val="single" w:sz="4" w:space="0" w:color="auto"/>
              <w:bottom w:val="single" w:sz="4" w:space="0" w:color="auto"/>
              <w:right w:val="single" w:sz="4" w:space="0" w:color="auto"/>
            </w:tcBorders>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 xml:space="preserve"> - </w:t>
            </w:r>
          </w:p>
        </w:tc>
        <w:tc>
          <w:tcPr>
            <w:tcW w:w="592" w:type="pct"/>
            <w:tcBorders>
              <w:top w:val="single" w:sz="4" w:space="0" w:color="auto"/>
              <w:left w:val="single" w:sz="4" w:space="0" w:color="auto"/>
              <w:bottom w:val="single" w:sz="4" w:space="0" w:color="auto"/>
              <w:right w:val="single" w:sz="4" w:space="0" w:color="auto"/>
            </w:tcBorders>
          </w:tcPr>
          <w:p w:rsidR="004E3285" w:rsidRPr="00B912EA" w:rsidRDefault="004E3285" w:rsidP="00B93A10">
            <w:pPr>
              <w:keepNext/>
              <w:keepLines/>
              <w:spacing w:before="60" w:after="60"/>
              <w:rPr>
                <w:rFonts w:ascii="Arial Narrow" w:hAnsi="Arial Narrow"/>
                <w:sz w:val="20"/>
                <w:szCs w:val="20"/>
                <w:highlight w:val="black"/>
              </w:rPr>
            </w:pPr>
            <w:r w:rsidRPr="006B1802">
              <w:rPr>
                <w:rFonts w:ascii="Arial Narrow" w:hAnsi="Arial Narrow"/>
                <w:sz w:val="20"/>
                <w:szCs w:val="20"/>
              </w:rPr>
              <w:t xml:space="preserve"> </w:t>
            </w:r>
            <w:r w:rsidR="00B912EA">
              <w:rPr>
                <w:rFonts w:ascii="Arial Narrow" w:hAnsi="Arial Narrow"/>
                <w:noProof/>
                <w:color w:val="000000"/>
                <w:sz w:val="20"/>
                <w:szCs w:val="20"/>
                <w:highlight w:val="black"/>
              </w:rPr>
              <w:t xml:space="preserve">'''''''''' </w:t>
            </w:r>
          </w:p>
        </w:tc>
        <w:tc>
          <w:tcPr>
            <w:tcW w:w="591"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 xml:space="preserve"> '''''</w:t>
            </w:r>
            <w:r w:rsidR="004E3285" w:rsidRPr="00B912EA">
              <w:rPr>
                <w:rFonts w:ascii="Arial Narrow" w:hAnsi="Arial Narrow"/>
                <w:sz w:val="20"/>
                <w:szCs w:val="20"/>
                <w:highlight w:val="black"/>
              </w:rPr>
              <w:t xml:space="preserve"> </w:t>
            </w:r>
          </w:p>
        </w:tc>
        <w:tc>
          <w:tcPr>
            <w:tcW w:w="592" w:type="pct"/>
            <w:tcBorders>
              <w:top w:val="single" w:sz="4" w:space="0" w:color="auto"/>
              <w:left w:val="single" w:sz="4" w:space="0" w:color="auto"/>
              <w:bottom w:val="single" w:sz="4" w:space="0" w:color="auto"/>
              <w:right w:val="single" w:sz="4" w:space="0" w:color="auto"/>
            </w:tcBorders>
          </w:tcPr>
          <w:p w:rsidR="004E3285" w:rsidRPr="00B912EA" w:rsidRDefault="004E3285" w:rsidP="00B93A10">
            <w:pPr>
              <w:keepNext/>
              <w:keepLines/>
              <w:spacing w:before="60" w:after="60"/>
              <w:rPr>
                <w:rFonts w:ascii="Arial Narrow" w:hAnsi="Arial Narrow"/>
                <w:sz w:val="20"/>
                <w:szCs w:val="20"/>
                <w:highlight w:val="black"/>
              </w:rPr>
            </w:pPr>
            <w:r w:rsidRPr="006B1802">
              <w:rPr>
                <w:rFonts w:ascii="Arial Narrow" w:hAnsi="Arial Narrow"/>
                <w:sz w:val="20"/>
                <w:szCs w:val="20"/>
              </w:rPr>
              <w:t xml:space="preserve"> </w:t>
            </w:r>
            <w:r w:rsidR="00B912EA">
              <w:rPr>
                <w:rFonts w:ascii="Arial Narrow" w:hAnsi="Arial Narrow"/>
                <w:noProof/>
                <w:color w:val="000000"/>
                <w:sz w:val="20"/>
                <w:szCs w:val="20"/>
                <w:highlight w:val="black"/>
              </w:rPr>
              <w:t xml:space="preserve">'''''' </w:t>
            </w:r>
          </w:p>
        </w:tc>
        <w:tc>
          <w:tcPr>
            <w:tcW w:w="591"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 xml:space="preserve"> '''''''</w:t>
            </w:r>
            <w:r w:rsidR="004E3285" w:rsidRPr="00B912EA">
              <w:rPr>
                <w:rFonts w:ascii="Arial Narrow" w:hAnsi="Arial Narrow"/>
                <w:sz w:val="20"/>
                <w:szCs w:val="20"/>
                <w:highlight w:val="black"/>
              </w:rPr>
              <w:t xml:space="preserve"> </w:t>
            </w:r>
          </w:p>
        </w:tc>
      </w:tr>
      <w:tr w:rsidR="004E3285" w:rsidRPr="006B1802" w:rsidTr="00E22F3A">
        <w:tc>
          <w:tcPr>
            <w:tcW w:w="1451" w:type="pct"/>
            <w:tcBorders>
              <w:top w:val="single" w:sz="4" w:space="0" w:color="auto"/>
              <w:left w:val="single" w:sz="4" w:space="0" w:color="auto"/>
              <w:bottom w:val="single" w:sz="4" w:space="0" w:color="auto"/>
              <w:right w:val="single" w:sz="4" w:space="0" w:color="auto"/>
            </w:tcBorders>
            <w:vAlign w:val="center"/>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 xml:space="preserve">Year 4 </w:t>
            </w:r>
          </w:p>
        </w:tc>
        <w:tc>
          <w:tcPr>
            <w:tcW w:w="591" w:type="pct"/>
            <w:tcBorders>
              <w:top w:val="single" w:sz="4" w:space="0" w:color="auto"/>
              <w:left w:val="single" w:sz="4" w:space="0" w:color="auto"/>
              <w:bottom w:val="single" w:sz="4" w:space="0" w:color="auto"/>
              <w:right w:val="single" w:sz="4" w:space="0" w:color="auto"/>
            </w:tcBorders>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 xml:space="preserve"> - </w:t>
            </w:r>
          </w:p>
        </w:tc>
        <w:tc>
          <w:tcPr>
            <w:tcW w:w="592" w:type="pct"/>
            <w:tcBorders>
              <w:top w:val="single" w:sz="4" w:space="0" w:color="auto"/>
              <w:left w:val="single" w:sz="4" w:space="0" w:color="auto"/>
              <w:bottom w:val="single" w:sz="4" w:space="0" w:color="auto"/>
              <w:right w:val="single" w:sz="4" w:space="0" w:color="auto"/>
            </w:tcBorders>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 xml:space="preserve"> - </w:t>
            </w:r>
          </w:p>
        </w:tc>
        <w:tc>
          <w:tcPr>
            <w:tcW w:w="592" w:type="pct"/>
            <w:tcBorders>
              <w:top w:val="single" w:sz="4" w:space="0" w:color="auto"/>
              <w:left w:val="single" w:sz="4" w:space="0" w:color="auto"/>
              <w:bottom w:val="single" w:sz="4" w:space="0" w:color="auto"/>
              <w:right w:val="single" w:sz="4" w:space="0" w:color="auto"/>
            </w:tcBorders>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 xml:space="preserve"> - </w:t>
            </w:r>
          </w:p>
        </w:tc>
        <w:tc>
          <w:tcPr>
            <w:tcW w:w="591" w:type="pct"/>
            <w:tcBorders>
              <w:top w:val="single" w:sz="4" w:space="0" w:color="auto"/>
              <w:left w:val="single" w:sz="4" w:space="0" w:color="auto"/>
              <w:bottom w:val="single" w:sz="4" w:space="0" w:color="auto"/>
              <w:right w:val="single" w:sz="4" w:space="0" w:color="auto"/>
            </w:tcBorders>
          </w:tcPr>
          <w:p w:rsidR="004E3285" w:rsidRPr="00B912EA" w:rsidRDefault="004E3285" w:rsidP="00B93A10">
            <w:pPr>
              <w:keepNext/>
              <w:keepLines/>
              <w:spacing w:before="60" w:after="60"/>
              <w:rPr>
                <w:rFonts w:ascii="Arial Narrow" w:hAnsi="Arial Narrow"/>
                <w:sz w:val="20"/>
                <w:szCs w:val="20"/>
                <w:highlight w:val="black"/>
              </w:rPr>
            </w:pPr>
            <w:r w:rsidRPr="006B1802">
              <w:rPr>
                <w:rFonts w:ascii="Arial Narrow" w:hAnsi="Arial Narrow"/>
                <w:sz w:val="20"/>
                <w:szCs w:val="20"/>
              </w:rPr>
              <w:t xml:space="preserve"> </w:t>
            </w:r>
            <w:r w:rsidR="00B912EA">
              <w:rPr>
                <w:rFonts w:ascii="Arial Narrow" w:hAnsi="Arial Narrow"/>
                <w:noProof/>
                <w:color w:val="000000"/>
                <w:sz w:val="20"/>
                <w:szCs w:val="20"/>
                <w:highlight w:val="black"/>
              </w:rPr>
              <w:t xml:space="preserve">''''''''' </w:t>
            </w:r>
          </w:p>
        </w:tc>
        <w:tc>
          <w:tcPr>
            <w:tcW w:w="592"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 xml:space="preserve"> ''''''</w:t>
            </w:r>
            <w:r w:rsidR="004E3285" w:rsidRPr="00B912EA">
              <w:rPr>
                <w:rFonts w:ascii="Arial Narrow" w:hAnsi="Arial Narrow"/>
                <w:sz w:val="20"/>
                <w:szCs w:val="20"/>
                <w:highlight w:val="black"/>
              </w:rPr>
              <w:t xml:space="preserve"> </w:t>
            </w:r>
          </w:p>
        </w:tc>
        <w:tc>
          <w:tcPr>
            <w:tcW w:w="591" w:type="pct"/>
            <w:tcBorders>
              <w:top w:val="single" w:sz="4" w:space="0" w:color="auto"/>
              <w:left w:val="single" w:sz="4" w:space="0" w:color="auto"/>
              <w:bottom w:val="single" w:sz="4" w:space="0" w:color="auto"/>
              <w:right w:val="single" w:sz="4" w:space="0" w:color="auto"/>
            </w:tcBorders>
          </w:tcPr>
          <w:p w:rsidR="004E3285" w:rsidRPr="00B912EA" w:rsidRDefault="004E3285" w:rsidP="00B93A10">
            <w:pPr>
              <w:keepNext/>
              <w:keepLines/>
              <w:spacing w:before="60" w:after="60"/>
              <w:rPr>
                <w:rFonts w:ascii="Arial Narrow" w:hAnsi="Arial Narrow"/>
                <w:sz w:val="20"/>
                <w:szCs w:val="20"/>
                <w:highlight w:val="black"/>
              </w:rPr>
            </w:pPr>
            <w:r w:rsidRPr="006B1802">
              <w:rPr>
                <w:rFonts w:ascii="Arial Narrow" w:hAnsi="Arial Narrow"/>
                <w:sz w:val="20"/>
                <w:szCs w:val="20"/>
              </w:rPr>
              <w:t xml:space="preserve"> </w:t>
            </w:r>
            <w:r w:rsidR="00B912EA">
              <w:rPr>
                <w:rFonts w:ascii="Arial Narrow" w:hAnsi="Arial Narrow"/>
                <w:noProof/>
                <w:color w:val="000000"/>
                <w:sz w:val="20"/>
                <w:szCs w:val="20"/>
                <w:highlight w:val="black"/>
              </w:rPr>
              <w:t>''''''</w:t>
            </w:r>
            <w:r w:rsidRPr="00B912EA">
              <w:rPr>
                <w:rFonts w:ascii="Arial Narrow" w:hAnsi="Arial Narrow"/>
                <w:sz w:val="20"/>
                <w:szCs w:val="20"/>
                <w:highlight w:val="black"/>
              </w:rPr>
              <w:t xml:space="preserve"> </w:t>
            </w:r>
          </w:p>
        </w:tc>
      </w:tr>
      <w:tr w:rsidR="004E3285" w:rsidRPr="006B1802" w:rsidTr="00E22F3A">
        <w:tc>
          <w:tcPr>
            <w:tcW w:w="1451" w:type="pct"/>
            <w:tcBorders>
              <w:top w:val="single" w:sz="4" w:space="0" w:color="auto"/>
              <w:left w:val="single" w:sz="4" w:space="0" w:color="auto"/>
              <w:bottom w:val="single" w:sz="4" w:space="0" w:color="auto"/>
              <w:right w:val="single" w:sz="4" w:space="0" w:color="auto"/>
            </w:tcBorders>
            <w:vAlign w:val="center"/>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Year 5</w:t>
            </w:r>
          </w:p>
        </w:tc>
        <w:tc>
          <w:tcPr>
            <w:tcW w:w="591" w:type="pct"/>
            <w:tcBorders>
              <w:top w:val="single" w:sz="4" w:space="0" w:color="auto"/>
              <w:left w:val="single" w:sz="4" w:space="0" w:color="auto"/>
              <w:bottom w:val="single" w:sz="4" w:space="0" w:color="auto"/>
              <w:right w:val="single" w:sz="4" w:space="0" w:color="auto"/>
            </w:tcBorders>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 xml:space="preserve"> - </w:t>
            </w:r>
          </w:p>
        </w:tc>
        <w:tc>
          <w:tcPr>
            <w:tcW w:w="592" w:type="pct"/>
            <w:tcBorders>
              <w:top w:val="single" w:sz="4" w:space="0" w:color="auto"/>
              <w:left w:val="single" w:sz="4" w:space="0" w:color="auto"/>
              <w:bottom w:val="single" w:sz="4" w:space="0" w:color="auto"/>
              <w:right w:val="single" w:sz="4" w:space="0" w:color="auto"/>
            </w:tcBorders>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 xml:space="preserve"> - </w:t>
            </w:r>
          </w:p>
        </w:tc>
        <w:tc>
          <w:tcPr>
            <w:tcW w:w="592" w:type="pct"/>
            <w:tcBorders>
              <w:top w:val="single" w:sz="4" w:space="0" w:color="auto"/>
              <w:left w:val="single" w:sz="4" w:space="0" w:color="auto"/>
              <w:bottom w:val="single" w:sz="4" w:space="0" w:color="auto"/>
              <w:right w:val="single" w:sz="4" w:space="0" w:color="auto"/>
            </w:tcBorders>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 xml:space="preserve"> - </w:t>
            </w:r>
          </w:p>
        </w:tc>
        <w:tc>
          <w:tcPr>
            <w:tcW w:w="591" w:type="pct"/>
            <w:tcBorders>
              <w:top w:val="single" w:sz="4" w:space="0" w:color="auto"/>
              <w:left w:val="single" w:sz="4" w:space="0" w:color="auto"/>
              <w:bottom w:val="single" w:sz="4" w:space="0" w:color="auto"/>
              <w:right w:val="single" w:sz="4" w:space="0" w:color="auto"/>
            </w:tcBorders>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 xml:space="preserve"> - </w:t>
            </w:r>
          </w:p>
        </w:tc>
        <w:tc>
          <w:tcPr>
            <w:tcW w:w="592" w:type="pct"/>
            <w:tcBorders>
              <w:top w:val="single" w:sz="4" w:space="0" w:color="auto"/>
              <w:left w:val="single" w:sz="4" w:space="0" w:color="auto"/>
              <w:bottom w:val="single" w:sz="4" w:space="0" w:color="auto"/>
              <w:right w:val="single" w:sz="4" w:space="0" w:color="auto"/>
            </w:tcBorders>
          </w:tcPr>
          <w:p w:rsidR="004E3285" w:rsidRPr="00B912EA" w:rsidRDefault="004E3285" w:rsidP="00B93A10">
            <w:pPr>
              <w:keepNext/>
              <w:keepLines/>
              <w:spacing w:before="60" w:after="60"/>
              <w:rPr>
                <w:rFonts w:ascii="Arial Narrow" w:hAnsi="Arial Narrow"/>
                <w:sz w:val="20"/>
                <w:szCs w:val="20"/>
                <w:highlight w:val="black"/>
              </w:rPr>
            </w:pPr>
            <w:r w:rsidRPr="006B1802">
              <w:rPr>
                <w:rFonts w:ascii="Arial Narrow" w:hAnsi="Arial Narrow"/>
                <w:sz w:val="20"/>
                <w:szCs w:val="20"/>
              </w:rPr>
              <w:t xml:space="preserve"> </w:t>
            </w:r>
            <w:r w:rsidR="00B912EA">
              <w:rPr>
                <w:rFonts w:ascii="Arial Narrow" w:hAnsi="Arial Narrow"/>
                <w:noProof/>
                <w:color w:val="000000"/>
                <w:sz w:val="20"/>
                <w:szCs w:val="20"/>
                <w:highlight w:val="black"/>
              </w:rPr>
              <w:t xml:space="preserve">'''''''''' </w:t>
            </w:r>
          </w:p>
        </w:tc>
        <w:tc>
          <w:tcPr>
            <w:tcW w:w="591" w:type="pct"/>
            <w:tcBorders>
              <w:top w:val="single" w:sz="4" w:space="0" w:color="auto"/>
              <w:left w:val="single" w:sz="4" w:space="0" w:color="auto"/>
              <w:bottom w:val="single" w:sz="4" w:space="0" w:color="auto"/>
              <w:right w:val="single" w:sz="4" w:space="0" w:color="auto"/>
            </w:tcBorders>
          </w:tcPr>
          <w:p w:rsidR="004E3285" w:rsidRPr="00B912EA" w:rsidRDefault="004E3285" w:rsidP="00B93A10">
            <w:pPr>
              <w:keepNext/>
              <w:keepLines/>
              <w:spacing w:before="60" w:after="60"/>
              <w:rPr>
                <w:rFonts w:ascii="Arial Narrow" w:hAnsi="Arial Narrow"/>
                <w:sz w:val="20"/>
                <w:szCs w:val="20"/>
                <w:highlight w:val="black"/>
              </w:rPr>
            </w:pPr>
            <w:r w:rsidRPr="006B1802">
              <w:rPr>
                <w:rFonts w:ascii="Arial Narrow" w:hAnsi="Arial Narrow"/>
                <w:sz w:val="20"/>
                <w:szCs w:val="20"/>
              </w:rPr>
              <w:t xml:space="preserve"> </w:t>
            </w:r>
            <w:r w:rsidR="00B912EA">
              <w:rPr>
                <w:rFonts w:ascii="Arial Narrow" w:hAnsi="Arial Narrow"/>
                <w:noProof/>
                <w:color w:val="000000"/>
                <w:sz w:val="20"/>
                <w:szCs w:val="20"/>
                <w:highlight w:val="black"/>
              </w:rPr>
              <w:t xml:space="preserve">''''''' </w:t>
            </w:r>
          </w:p>
        </w:tc>
      </w:tr>
      <w:tr w:rsidR="004E3285" w:rsidRPr="006B1802" w:rsidTr="00E22F3A">
        <w:tc>
          <w:tcPr>
            <w:tcW w:w="1451" w:type="pct"/>
            <w:tcBorders>
              <w:top w:val="single" w:sz="4" w:space="0" w:color="auto"/>
              <w:left w:val="single" w:sz="4" w:space="0" w:color="auto"/>
              <w:bottom w:val="single" w:sz="4" w:space="0" w:color="auto"/>
              <w:right w:val="single" w:sz="4" w:space="0" w:color="auto"/>
            </w:tcBorders>
            <w:vAlign w:val="center"/>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Year 6</w:t>
            </w:r>
          </w:p>
        </w:tc>
        <w:tc>
          <w:tcPr>
            <w:tcW w:w="591" w:type="pct"/>
            <w:tcBorders>
              <w:top w:val="single" w:sz="4" w:space="0" w:color="auto"/>
              <w:left w:val="single" w:sz="4" w:space="0" w:color="auto"/>
              <w:bottom w:val="single" w:sz="4" w:space="0" w:color="auto"/>
              <w:right w:val="single" w:sz="4" w:space="0" w:color="auto"/>
            </w:tcBorders>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 xml:space="preserve"> - </w:t>
            </w:r>
          </w:p>
        </w:tc>
        <w:tc>
          <w:tcPr>
            <w:tcW w:w="592" w:type="pct"/>
            <w:tcBorders>
              <w:top w:val="single" w:sz="4" w:space="0" w:color="auto"/>
              <w:left w:val="single" w:sz="4" w:space="0" w:color="auto"/>
              <w:bottom w:val="single" w:sz="4" w:space="0" w:color="auto"/>
              <w:right w:val="single" w:sz="4" w:space="0" w:color="auto"/>
            </w:tcBorders>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 xml:space="preserve"> - </w:t>
            </w:r>
          </w:p>
        </w:tc>
        <w:tc>
          <w:tcPr>
            <w:tcW w:w="592" w:type="pct"/>
            <w:tcBorders>
              <w:top w:val="single" w:sz="4" w:space="0" w:color="auto"/>
              <w:left w:val="single" w:sz="4" w:space="0" w:color="auto"/>
              <w:bottom w:val="single" w:sz="4" w:space="0" w:color="auto"/>
              <w:right w:val="single" w:sz="4" w:space="0" w:color="auto"/>
            </w:tcBorders>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 xml:space="preserve"> - </w:t>
            </w:r>
          </w:p>
        </w:tc>
        <w:tc>
          <w:tcPr>
            <w:tcW w:w="591" w:type="pct"/>
            <w:tcBorders>
              <w:top w:val="single" w:sz="4" w:space="0" w:color="auto"/>
              <w:left w:val="single" w:sz="4" w:space="0" w:color="auto"/>
              <w:bottom w:val="single" w:sz="4" w:space="0" w:color="auto"/>
              <w:right w:val="single" w:sz="4" w:space="0" w:color="auto"/>
            </w:tcBorders>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 xml:space="preserve"> - </w:t>
            </w:r>
          </w:p>
        </w:tc>
        <w:tc>
          <w:tcPr>
            <w:tcW w:w="592" w:type="pct"/>
            <w:tcBorders>
              <w:top w:val="single" w:sz="4" w:space="0" w:color="auto"/>
              <w:left w:val="single" w:sz="4" w:space="0" w:color="auto"/>
              <w:bottom w:val="single" w:sz="4" w:space="0" w:color="auto"/>
              <w:right w:val="single" w:sz="4" w:space="0" w:color="auto"/>
            </w:tcBorders>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 xml:space="preserve"> - </w:t>
            </w:r>
          </w:p>
        </w:tc>
        <w:tc>
          <w:tcPr>
            <w:tcW w:w="591" w:type="pct"/>
            <w:tcBorders>
              <w:top w:val="single" w:sz="4" w:space="0" w:color="auto"/>
              <w:left w:val="single" w:sz="4" w:space="0" w:color="auto"/>
              <w:bottom w:val="single" w:sz="4" w:space="0" w:color="auto"/>
              <w:right w:val="single" w:sz="4" w:space="0" w:color="auto"/>
            </w:tcBorders>
          </w:tcPr>
          <w:p w:rsidR="004E3285" w:rsidRPr="00B912EA" w:rsidRDefault="004E3285" w:rsidP="00B93A10">
            <w:pPr>
              <w:keepNext/>
              <w:keepLines/>
              <w:spacing w:before="60" w:after="60"/>
              <w:rPr>
                <w:rFonts w:ascii="Arial Narrow" w:hAnsi="Arial Narrow"/>
                <w:sz w:val="20"/>
                <w:szCs w:val="20"/>
                <w:highlight w:val="black"/>
              </w:rPr>
            </w:pPr>
            <w:r w:rsidRPr="006B1802">
              <w:rPr>
                <w:rFonts w:ascii="Arial Narrow" w:hAnsi="Arial Narrow"/>
                <w:sz w:val="20"/>
                <w:szCs w:val="20"/>
              </w:rPr>
              <w:t xml:space="preserve"> </w:t>
            </w:r>
            <w:r w:rsidR="00B912EA">
              <w:rPr>
                <w:rFonts w:ascii="Arial Narrow" w:hAnsi="Arial Narrow"/>
                <w:noProof/>
                <w:color w:val="000000"/>
                <w:sz w:val="20"/>
                <w:szCs w:val="20"/>
                <w:highlight w:val="black"/>
              </w:rPr>
              <w:t xml:space="preserve">''''''''' </w:t>
            </w:r>
          </w:p>
        </w:tc>
      </w:tr>
      <w:tr w:rsidR="004E3285" w:rsidRPr="006B1802" w:rsidTr="00E22F3A">
        <w:tc>
          <w:tcPr>
            <w:tcW w:w="1451" w:type="pct"/>
            <w:tcBorders>
              <w:top w:val="single" w:sz="4" w:space="0" w:color="auto"/>
              <w:left w:val="single" w:sz="4" w:space="0" w:color="auto"/>
              <w:bottom w:val="single" w:sz="4" w:space="0" w:color="auto"/>
              <w:right w:val="single" w:sz="4" w:space="0" w:color="auto"/>
            </w:tcBorders>
            <w:vAlign w:val="center"/>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Total patients on therapy</w:t>
            </w:r>
          </w:p>
        </w:tc>
        <w:tc>
          <w:tcPr>
            <w:tcW w:w="591" w:type="pct"/>
            <w:tcBorders>
              <w:top w:val="single" w:sz="4" w:space="0" w:color="auto"/>
              <w:left w:val="single" w:sz="4" w:space="0" w:color="auto"/>
              <w:bottom w:val="single" w:sz="4" w:space="0" w:color="auto"/>
              <w:right w:val="single" w:sz="4" w:space="0" w:color="auto"/>
            </w:tcBorders>
          </w:tcPr>
          <w:p w:rsidR="004E3285" w:rsidRPr="00B912EA" w:rsidRDefault="004E3285" w:rsidP="00B93A10">
            <w:pPr>
              <w:keepNext/>
              <w:keepLines/>
              <w:spacing w:before="60" w:after="60"/>
              <w:rPr>
                <w:rFonts w:ascii="Arial Narrow" w:hAnsi="Arial Narrow"/>
                <w:sz w:val="20"/>
                <w:szCs w:val="20"/>
                <w:highlight w:val="black"/>
              </w:rPr>
            </w:pPr>
            <w:r w:rsidRPr="006B1802">
              <w:rPr>
                <w:rFonts w:ascii="Arial Narrow" w:hAnsi="Arial Narrow"/>
                <w:sz w:val="20"/>
                <w:szCs w:val="20"/>
              </w:rPr>
              <w:t xml:space="preserve"> </w:t>
            </w:r>
            <w:r w:rsidR="00B912EA">
              <w:rPr>
                <w:rFonts w:ascii="Arial Narrow" w:hAnsi="Arial Narrow"/>
                <w:noProof/>
                <w:color w:val="000000"/>
                <w:sz w:val="20"/>
                <w:szCs w:val="20"/>
                <w:highlight w:val="black"/>
              </w:rPr>
              <w:t xml:space="preserve">''''''''' </w:t>
            </w:r>
          </w:p>
        </w:tc>
        <w:tc>
          <w:tcPr>
            <w:tcW w:w="592" w:type="pct"/>
            <w:tcBorders>
              <w:top w:val="single" w:sz="4" w:space="0" w:color="auto"/>
              <w:left w:val="single" w:sz="4" w:space="0" w:color="auto"/>
              <w:bottom w:val="single" w:sz="4" w:space="0" w:color="auto"/>
              <w:right w:val="single" w:sz="4" w:space="0" w:color="auto"/>
            </w:tcBorders>
          </w:tcPr>
          <w:p w:rsidR="004E3285" w:rsidRPr="00B912EA" w:rsidRDefault="004E3285" w:rsidP="00B93A10">
            <w:pPr>
              <w:keepNext/>
              <w:keepLines/>
              <w:spacing w:before="60" w:after="60"/>
              <w:rPr>
                <w:rFonts w:ascii="Arial Narrow" w:hAnsi="Arial Narrow"/>
                <w:sz w:val="20"/>
                <w:szCs w:val="20"/>
                <w:highlight w:val="black"/>
              </w:rPr>
            </w:pPr>
            <w:r w:rsidRPr="006B1802">
              <w:rPr>
                <w:rFonts w:ascii="Arial Narrow" w:hAnsi="Arial Narrow"/>
                <w:sz w:val="20"/>
                <w:szCs w:val="20"/>
              </w:rPr>
              <w:t xml:space="preserve"> </w:t>
            </w:r>
            <w:r w:rsidR="00B912EA">
              <w:rPr>
                <w:rFonts w:ascii="Arial Narrow" w:hAnsi="Arial Narrow"/>
                <w:noProof/>
                <w:color w:val="000000"/>
                <w:sz w:val="20"/>
                <w:szCs w:val="20"/>
                <w:highlight w:val="black"/>
              </w:rPr>
              <w:t xml:space="preserve">'''''''''' </w:t>
            </w:r>
          </w:p>
        </w:tc>
        <w:tc>
          <w:tcPr>
            <w:tcW w:w="592" w:type="pct"/>
            <w:tcBorders>
              <w:top w:val="single" w:sz="4" w:space="0" w:color="auto"/>
              <w:left w:val="single" w:sz="4" w:space="0" w:color="auto"/>
              <w:bottom w:val="single" w:sz="4" w:space="0" w:color="auto"/>
              <w:right w:val="single" w:sz="4" w:space="0" w:color="auto"/>
            </w:tcBorders>
          </w:tcPr>
          <w:p w:rsidR="004E3285" w:rsidRPr="00B912EA" w:rsidRDefault="004E3285" w:rsidP="00B93A10">
            <w:pPr>
              <w:keepNext/>
              <w:keepLines/>
              <w:spacing w:before="60" w:after="60"/>
              <w:rPr>
                <w:rFonts w:ascii="Arial Narrow" w:hAnsi="Arial Narrow"/>
                <w:sz w:val="20"/>
                <w:szCs w:val="20"/>
                <w:highlight w:val="black"/>
              </w:rPr>
            </w:pPr>
            <w:r w:rsidRPr="006B1802">
              <w:rPr>
                <w:rFonts w:ascii="Arial Narrow" w:hAnsi="Arial Narrow"/>
                <w:sz w:val="20"/>
                <w:szCs w:val="20"/>
              </w:rPr>
              <w:t xml:space="preserve"> </w:t>
            </w:r>
            <w:r w:rsidR="00B912EA">
              <w:rPr>
                <w:rFonts w:ascii="Arial Narrow" w:hAnsi="Arial Narrow"/>
                <w:noProof/>
                <w:color w:val="000000"/>
                <w:sz w:val="20"/>
                <w:szCs w:val="20"/>
                <w:highlight w:val="black"/>
              </w:rPr>
              <w:t>''''''''''</w:t>
            </w:r>
            <w:r w:rsidRPr="00B912EA">
              <w:rPr>
                <w:rFonts w:ascii="Arial Narrow" w:hAnsi="Arial Narrow"/>
                <w:sz w:val="20"/>
                <w:szCs w:val="20"/>
                <w:highlight w:val="black"/>
              </w:rPr>
              <w:t xml:space="preserve"> </w:t>
            </w:r>
          </w:p>
        </w:tc>
        <w:tc>
          <w:tcPr>
            <w:tcW w:w="591" w:type="pct"/>
            <w:tcBorders>
              <w:top w:val="single" w:sz="4" w:space="0" w:color="auto"/>
              <w:left w:val="single" w:sz="4" w:space="0" w:color="auto"/>
              <w:bottom w:val="single" w:sz="4" w:space="0" w:color="auto"/>
              <w:right w:val="single" w:sz="4" w:space="0" w:color="auto"/>
            </w:tcBorders>
          </w:tcPr>
          <w:p w:rsidR="004E3285" w:rsidRPr="00B912EA" w:rsidRDefault="004E3285" w:rsidP="00B93A10">
            <w:pPr>
              <w:keepNext/>
              <w:keepLines/>
              <w:spacing w:before="60" w:after="60"/>
              <w:rPr>
                <w:rFonts w:ascii="Arial Narrow" w:hAnsi="Arial Narrow"/>
                <w:sz w:val="20"/>
                <w:szCs w:val="20"/>
                <w:highlight w:val="black"/>
              </w:rPr>
            </w:pPr>
            <w:r w:rsidRPr="006B1802">
              <w:rPr>
                <w:rFonts w:ascii="Arial Narrow" w:hAnsi="Arial Narrow"/>
                <w:sz w:val="20"/>
                <w:szCs w:val="20"/>
              </w:rPr>
              <w:t xml:space="preserve"> </w:t>
            </w:r>
            <w:r w:rsidR="00B912EA">
              <w:rPr>
                <w:rFonts w:ascii="Arial Narrow" w:hAnsi="Arial Narrow"/>
                <w:noProof/>
                <w:color w:val="000000"/>
                <w:sz w:val="20"/>
                <w:szCs w:val="20"/>
                <w:highlight w:val="black"/>
              </w:rPr>
              <w:t xml:space="preserve">''''''''' </w:t>
            </w:r>
          </w:p>
        </w:tc>
        <w:tc>
          <w:tcPr>
            <w:tcW w:w="592" w:type="pct"/>
            <w:tcBorders>
              <w:top w:val="single" w:sz="4" w:space="0" w:color="auto"/>
              <w:left w:val="single" w:sz="4" w:space="0" w:color="auto"/>
              <w:bottom w:val="single" w:sz="4" w:space="0" w:color="auto"/>
              <w:right w:val="single" w:sz="4" w:space="0" w:color="auto"/>
            </w:tcBorders>
          </w:tcPr>
          <w:p w:rsidR="004E3285" w:rsidRPr="00B912EA" w:rsidRDefault="004E3285" w:rsidP="00B93A10">
            <w:pPr>
              <w:keepNext/>
              <w:keepLines/>
              <w:spacing w:before="60" w:after="60"/>
              <w:rPr>
                <w:rFonts w:ascii="Arial Narrow" w:hAnsi="Arial Narrow"/>
                <w:sz w:val="20"/>
                <w:szCs w:val="20"/>
                <w:highlight w:val="black"/>
              </w:rPr>
            </w:pPr>
            <w:r w:rsidRPr="006B1802">
              <w:rPr>
                <w:rFonts w:ascii="Arial Narrow" w:hAnsi="Arial Narrow"/>
                <w:sz w:val="20"/>
                <w:szCs w:val="20"/>
              </w:rPr>
              <w:t xml:space="preserve"> </w:t>
            </w:r>
            <w:r w:rsidR="00B912EA">
              <w:rPr>
                <w:rFonts w:ascii="Arial Narrow" w:hAnsi="Arial Narrow"/>
                <w:noProof/>
                <w:color w:val="000000"/>
                <w:sz w:val="20"/>
                <w:szCs w:val="20"/>
                <w:highlight w:val="black"/>
              </w:rPr>
              <w:t xml:space="preserve">'''''''''' </w:t>
            </w:r>
          </w:p>
        </w:tc>
        <w:tc>
          <w:tcPr>
            <w:tcW w:w="591" w:type="pct"/>
            <w:tcBorders>
              <w:top w:val="single" w:sz="4" w:space="0" w:color="auto"/>
              <w:left w:val="single" w:sz="4" w:space="0" w:color="auto"/>
              <w:bottom w:val="single" w:sz="4" w:space="0" w:color="auto"/>
              <w:right w:val="single" w:sz="4" w:space="0" w:color="auto"/>
            </w:tcBorders>
          </w:tcPr>
          <w:p w:rsidR="004E3285" w:rsidRPr="00B912EA" w:rsidRDefault="004E3285" w:rsidP="00B93A10">
            <w:pPr>
              <w:keepNext/>
              <w:keepLines/>
              <w:spacing w:before="60" w:after="60"/>
              <w:rPr>
                <w:rFonts w:ascii="Arial Narrow" w:hAnsi="Arial Narrow"/>
                <w:sz w:val="20"/>
                <w:szCs w:val="20"/>
                <w:highlight w:val="black"/>
              </w:rPr>
            </w:pPr>
            <w:r w:rsidRPr="006B1802">
              <w:rPr>
                <w:rFonts w:ascii="Arial Narrow" w:hAnsi="Arial Narrow"/>
                <w:sz w:val="20"/>
                <w:szCs w:val="20"/>
              </w:rPr>
              <w:t xml:space="preserve"> </w:t>
            </w:r>
            <w:r w:rsidR="00B912EA">
              <w:rPr>
                <w:rFonts w:ascii="Arial Narrow" w:hAnsi="Arial Narrow"/>
                <w:noProof/>
                <w:color w:val="000000"/>
                <w:sz w:val="20"/>
                <w:szCs w:val="20"/>
                <w:highlight w:val="black"/>
              </w:rPr>
              <w:t xml:space="preserve">'''''''''' </w:t>
            </w:r>
          </w:p>
        </w:tc>
      </w:tr>
      <w:tr w:rsidR="004E3285" w:rsidRPr="006B1802" w:rsidTr="00E22F3A">
        <w:tc>
          <w:tcPr>
            <w:tcW w:w="1451" w:type="pct"/>
            <w:tcBorders>
              <w:top w:val="single" w:sz="4" w:space="0" w:color="auto"/>
              <w:left w:val="single" w:sz="4" w:space="0" w:color="auto"/>
              <w:bottom w:val="single" w:sz="4" w:space="0" w:color="auto"/>
              <w:right w:val="single" w:sz="4" w:space="0" w:color="auto"/>
            </w:tcBorders>
            <w:vAlign w:val="center"/>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 xml:space="preserve">Total patient </w:t>
            </w:r>
            <w:proofErr w:type="spellStart"/>
            <w:r w:rsidRPr="006B1802">
              <w:rPr>
                <w:rFonts w:ascii="Arial Narrow" w:hAnsi="Arial Narrow"/>
                <w:sz w:val="20"/>
                <w:szCs w:val="20"/>
              </w:rPr>
              <w:t>yrs</w:t>
            </w:r>
            <w:proofErr w:type="spellEnd"/>
            <w:r w:rsidRPr="006B1802">
              <w:rPr>
                <w:rFonts w:ascii="Arial Narrow" w:hAnsi="Arial Narrow"/>
                <w:sz w:val="20"/>
                <w:szCs w:val="20"/>
              </w:rPr>
              <w:t xml:space="preserve"> on therapy (half-cycle corrected)</w:t>
            </w:r>
          </w:p>
        </w:tc>
        <w:tc>
          <w:tcPr>
            <w:tcW w:w="591"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 xml:space="preserve"> ''''''''''</w:t>
            </w:r>
            <w:r w:rsidR="004E3285" w:rsidRPr="00B912EA">
              <w:rPr>
                <w:rFonts w:ascii="Arial Narrow" w:hAnsi="Arial Narrow"/>
                <w:sz w:val="20"/>
                <w:szCs w:val="20"/>
                <w:highlight w:val="black"/>
              </w:rPr>
              <w:t xml:space="preserve"> </w:t>
            </w:r>
          </w:p>
        </w:tc>
        <w:tc>
          <w:tcPr>
            <w:tcW w:w="592"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 xml:space="preserve"> ''''''''''</w:t>
            </w:r>
            <w:r w:rsidR="004E3285" w:rsidRPr="00B912EA">
              <w:rPr>
                <w:rFonts w:ascii="Arial Narrow" w:hAnsi="Arial Narrow"/>
                <w:sz w:val="20"/>
                <w:szCs w:val="20"/>
                <w:highlight w:val="black"/>
              </w:rPr>
              <w:t xml:space="preserve"> </w:t>
            </w:r>
          </w:p>
        </w:tc>
        <w:tc>
          <w:tcPr>
            <w:tcW w:w="592"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 xml:space="preserve"> ''''''''''</w:t>
            </w:r>
            <w:r w:rsidR="004E3285" w:rsidRPr="00B912EA">
              <w:rPr>
                <w:rFonts w:ascii="Arial Narrow" w:hAnsi="Arial Narrow"/>
                <w:sz w:val="20"/>
                <w:szCs w:val="20"/>
                <w:highlight w:val="black"/>
              </w:rPr>
              <w:t xml:space="preserve"> </w:t>
            </w:r>
          </w:p>
        </w:tc>
        <w:tc>
          <w:tcPr>
            <w:tcW w:w="591"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 xml:space="preserve"> ''''''''''</w:t>
            </w:r>
            <w:r w:rsidR="004E3285" w:rsidRPr="00B912EA">
              <w:rPr>
                <w:rFonts w:ascii="Arial Narrow" w:hAnsi="Arial Narrow"/>
                <w:sz w:val="20"/>
                <w:szCs w:val="20"/>
                <w:highlight w:val="black"/>
              </w:rPr>
              <w:t xml:space="preserve"> </w:t>
            </w:r>
          </w:p>
        </w:tc>
        <w:tc>
          <w:tcPr>
            <w:tcW w:w="592"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 xml:space="preserve"> ''''''''''</w:t>
            </w:r>
            <w:r w:rsidR="004E3285" w:rsidRPr="00B912EA">
              <w:rPr>
                <w:rFonts w:ascii="Arial Narrow" w:hAnsi="Arial Narrow"/>
                <w:sz w:val="20"/>
                <w:szCs w:val="20"/>
                <w:highlight w:val="black"/>
              </w:rPr>
              <w:t xml:space="preserve"> </w:t>
            </w:r>
          </w:p>
        </w:tc>
        <w:tc>
          <w:tcPr>
            <w:tcW w:w="591"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 xml:space="preserve"> ''''''''''''''</w:t>
            </w:r>
            <w:r w:rsidR="004E3285" w:rsidRPr="00B912EA">
              <w:rPr>
                <w:rFonts w:ascii="Arial Narrow" w:hAnsi="Arial Narrow"/>
                <w:sz w:val="20"/>
                <w:szCs w:val="20"/>
                <w:highlight w:val="black"/>
              </w:rPr>
              <w:t xml:space="preserve"> </w:t>
            </w:r>
          </w:p>
        </w:tc>
      </w:tr>
      <w:tr w:rsidR="004E3285" w:rsidRPr="006B1802" w:rsidTr="00E22F3A">
        <w:tc>
          <w:tcPr>
            <w:tcW w:w="1451" w:type="pct"/>
            <w:tcBorders>
              <w:top w:val="single" w:sz="4" w:space="0" w:color="auto"/>
              <w:left w:val="single" w:sz="4" w:space="0" w:color="auto"/>
              <w:bottom w:val="single" w:sz="4" w:space="0" w:color="auto"/>
              <w:right w:val="single" w:sz="4" w:space="0" w:color="auto"/>
            </w:tcBorders>
            <w:vAlign w:val="center"/>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Total tolvaptan packs dispensed (13.04/patient)</w:t>
            </w:r>
          </w:p>
        </w:tc>
        <w:tc>
          <w:tcPr>
            <w:tcW w:w="591"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w:t>
            </w:r>
          </w:p>
        </w:tc>
        <w:tc>
          <w:tcPr>
            <w:tcW w:w="592"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w:t>
            </w:r>
          </w:p>
        </w:tc>
        <w:tc>
          <w:tcPr>
            <w:tcW w:w="592"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w:t>
            </w:r>
          </w:p>
        </w:tc>
        <w:tc>
          <w:tcPr>
            <w:tcW w:w="591"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w:t>
            </w:r>
          </w:p>
        </w:tc>
        <w:tc>
          <w:tcPr>
            <w:tcW w:w="592"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w:t>
            </w:r>
          </w:p>
        </w:tc>
        <w:tc>
          <w:tcPr>
            <w:tcW w:w="591"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w:t>
            </w:r>
          </w:p>
        </w:tc>
      </w:tr>
      <w:tr w:rsidR="004E3285" w:rsidRPr="006B1802" w:rsidTr="00E22F3A">
        <w:tc>
          <w:tcPr>
            <w:tcW w:w="1451" w:type="pct"/>
            <w:tcBorders>
              <w:top w:val="single" w:sz="4" w:space="0" w:color="auto"/>
              <w:left w:val="single" w:sz="4" w:space="0" w:color="auto"/>
              <w:bottom w:val="single" w:sz="4" w:space="0" w:color="auto"/>
              <w:right w:val="single" w:sz="4" w:space="0" w:color="auto"/>
            </w:tcBorders>
            <w:vAlign w:val="center"/>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- 15 mg + 45 mg dose pack</w:t>
            </w:r>
          </w:p>
        </w:tc>
        <w:tc>
          <w:tcPr>
            <w:tcW w:w="591"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w:t>
            </w:r>
          </w:p>
        </w:tc>
        <w:tc>
          <w:tcPr>
            <w:tcW w:w="592"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w:t>
            </w:r>
          </w:p>
        </w:tc>
        <w:tc>
          <w:tcPr>
            <w:tcW w:w="592"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w:t>
            </w:r>
          </w:p>
        </w:tc>
        <w:tc>
          <w:tcPr>
            <w:tcW w:w="591"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w:t>
            </w:r>
          </w:p>
        </w:tc>
        <w:tc>
          <w:tcPr>
            <w:tcW w:w="592"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w:t>
            </w:r>
          </w:p>
        </w:tc>
        <w:tc>
          <w:tcPr>
            <w:tcW w:w="591"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w:t>
            </w:r>
          </w:p>
        </w:tc>
      </w:tr>
      <w:tr w:rsidR="004E3285" w:rsidRPr="006B1802" w:rsidTr="00E22F3A">
        <w:tc>
          <w:tcPr>
            <w:tcW w:w="1451" w:type="pct"/>
            <w:tcBorders>
              <w:top w:val="single" w:sz="4" w:space="0" w:color="auto"/>
              <w:left w:val="single" w:sz="4" w:space="0" w:color="auto"/>
              <w:bottom w:val="single" w:sz="4" w:space="0" w:color="auto"/>
              <w:right w:val="single" w:sz="4" w:space="0" w:color="auto"/>
            </w:tcBorders>
            <w:vAlign w:val="center"/>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- 30 mg + 60 mg dose pack</w:t>
            </w:r>
          </w:p>
        </w:tc>
        <w:tc>
          <w:tcPr>
            <w:tcW w:w="591"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w:t>
            </w:r>
          </w:p>
        </w:tc>
        <w:tc>
          <w:tcPr>
            <w:tcW w:w="592"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w:t>
            </w:r>
          </w:p>
        </w:tc>
        <w:tc>
          <w:tcPr>
            <w:tcW w:w="592"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w:t>
            </w:r>
          </w:p>
        </w:tc>
        <w:tc>
          <w:tcPr>
            <w:tcW w:w="591"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w:t>
            </w:r>
          </w:p>
        </w:tc>
        <w:tc>
          <w:tcPr>
            <w:tcW w:w="592"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w:t>
            </w:r>
          </w:p>
        </w:tc>
        <w:tc>
          <w:tcPr>
            <w:tcW w:w="591"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w:t>
            </w:r>
          </w:p>
        </w:tc>
      </w:tr>
      <w:tr w:rsidR="004E3285" w:rsidRPr="006B1802" w:rsidTr="00E22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51" w:type="pct"/>
            <w:tcBorders>
              <w:top w:val="single" w:sz="4" w:space="0" w:color="auto"/>
              <w:left w:val="single" w:sz="4" w:space="0" w:color="auto"/>
              <w:bottom w:val="single" w:sz="4" w:space="0" w:color="auto"/>
              <w:right w:val="single" w:sz="4" w:space="0" w:color="auto"/>
            </w:tcBorders>
            <w:vAlign w:val="center"/>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- 30 mg + 90 mg dose pack</w:t>
            </w:r>
          </w:p>
        </w:tc>
        <w:tc>
          <w:tcPr>
            <w:tcW w:w="591"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w:t>
            </w:r>
          </w:p>
        </w:tc>
        <w:tc>
          <w:tcPr>
            <w:tcW w:w="592"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w:t>
            </w:r>
          </w:p>
        </w:tc>
        <w:tc>
          <w:tcPr>
            <w:tcW w:w="592"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w:t>
            </w:r>
          </w:p>
        </w:tc>
        <w:tc>
          <w:tcPr>
            <w:tcW w:w="591"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w:t>
            </w:r>
          </w:p>
        </w:tc>
        <w:tc>
          <w:tcPr>
            <w:tcW w:w="592"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w:t>
            </w:r>
          </w:p>
        </w:tc>
        <w:tc>
          <w:tcPr>
            <w:tcW w:w="591" w:type="pct"/>
            <w:tcBorders>
              <w:top w:val="single" w:sz="4" w:space="0" w:color="auto"/>
              <w:left w:val="single" w:sz="4" w:space="0" w:color="auto"/>
              <w:bottom w:val="single" w:sz="4" w:space="0" w:color="auto"/>
              <w:right w:val="single" w:sz="4" w:space="0" w:color="auto"/>
            </w:tcBorders>
          </w:tcPr>
          <w:p w:rsidR="004E3285" w:rsidRPr="00B912EA" w:rsidRDefault="00B912EA" w:rsidP="00B93A10">
            <w:pPr>
              <w:keepNext/>
              <w:keepLines/>
              <w:spacing w:before="60" w:after="60"/>
              <w:rPr>
                <w:rFonts w:ascii="Arial Narrow" w:hAnsi="Arial Narrow"/>
                <w:sz w:val="20"/>
                <w:szCs w:val="20"/>
                <w:highlight w:val="black"/>
              </w:rPr>
            </w:pPr>
            <w:r>
              <w:rPr>
                <w:rFonts w:ascii="Arial Narrow" w:hAnsi="Arial Narrow"/>
                <w:noProof/>
                <w:color w:val="000000"/>
                <w:sz w:val="20"/>
                <w:szCs w:val="20"/>
                <w:highlight w:val="black"/>
              </w:rPr>
              <w:t>''''''''''''''</w:t>
            </w:r>
          </w:p>
        </w:tc>
      </w:tr>
      <w:tr w:rsidR="004E3285" w:rsidRPr="006B1802" w:rsidTr="001F1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7"/>
            <w:tcBorders>
              <w:top w:val="single" w:sz="4" w:space="0" w:color="auto"/>
            </w:tcBorders>
            <w:vAlign w:val="center"/>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Cost with effective DPMQ ($</w:t>
            </w:r>
            <w:r w:rsidR="00B912EA">
              <w:rPr>
                <w:rFonts w:ascii="Arial Narrow" w:hAnsi="Arial Narrow"/>
                <w:noProof/>
                <w:color w:val="000000"/>
                <w:sz w:val="20"/>
                <w:szCs w:val="20"/>
                <w:highlight w:val="black"/>
              </w:rPr>
              <w:t>'''''''''''''''</w:t>
            </w:r>
            <w:r w:rsidRPr="006B1802">
              <w:rPr>
                <w:rFonts w:ascii="Arial Narrow" w:hAnsi="Arial Narrow"/>
                <w:sz w:val="20"/>
                <w:szCs w:val="20"/>
              </w:rPr>
              <w:t>)</w:t>
            </w:r>
          </w:p>
        </w:tc>
      </w:tr>
      <w:tr w:rsidR="004E3285" w:rsidRPr="006B1802" w:rsidTr="00E22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51" w:type="pct"/>
            <w:vAlign w:val="center"/>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Cost of tolvaptan</w:t>
            </w:r>
          </w:p>
        </w:tc>
        <w:tc>
          <w:tcPr>
            <w:tcW w:w="591" w:type="pct"/>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592" w:type="pct"/>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592" w:type="pct"/>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591" w:type="pct"/>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592" w:type="pct"/>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591" w:type="pct"/>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r>
      <w:tr w:rsidR="004E3285" w:rsidRPr="006B1802" w:rsidTr="00E22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51" w:type="pct"/>
            <w:vAlign w:val="center"/>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 xml:space="preserve">Patient </w:t>
            </w:r>
            <w:proofErr w:type="spellStart"/>
            <w:r w:rsidRPr="006B1802">
              <w:rPr>
                <w:rFonts w:ascii="Arial Narrow" w:hAnsi="Arial Narrow"/>
                <w:sz w:val="20"/>
                <w:szCs w:val="20"/>
              </w:rPr>
              <w:t>copay</w:t>
            </w:r>
            <w:proofErr w:type="spellEnd"/>
            <w:r w:rsidRPr="006B1802">
              <w:rPr>
                <w:rFonts w:ascii="Arial Narrow" w:hAnsi="Arial Narrow"/>
                <w:sz w:val="20"/>
                <w:szCs w:val="20"/>
              </w:rPr>
              <w:t xml:space="preserve"> (mean $25.06)</w:t>
            </w:r>
          </w:p>
        </w:tc>
        <w:tc>
          <w:tcPr>
            <w:tcW w:w="591" w:type="pct"/>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592" w:type="pct"/>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592" w:type="pct"/>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591" w:type="pct"/>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592" w:type="pct"/>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591" w:type="pct"/>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r>
      <w:tr w:rsidR="004E3285" w:rsidRPr="006B1802" w:rsidTr="00E22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51" w:type="pct"/>
            <w:tcBorders>
              <w:bottom w:val="single" w:sz="4" w:space="0" w:color="auto"/>
            </w:tcBorders>
            <w:vAlign w:val="center"/>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Net cost to the PBS/RPBS</w:t>
            </w:r>
          </w:p>
        </w:tc>
        <w:tc>
          <w:tcPr>
            <w:tcW w:w="591" w:type="pct"/>
            <w:tcBorders>
              <w:bottom w:val="single" w:sz="4" w:space="0" w:color="auto"/>
            </w:tcBorders>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592" w:type="pct"/>
            <w:tcBorders>
              <w:bottom w:val="single" w:sz="4" w:space="0" w:color="auto"/>
            </w:tcBorders>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592" w:type="pct"/>
            <w:tcBorders>
              <w:bottom w:val="single" w:sz="4" w:space="0" w:color="auto"/>
            </w:tcBorders>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591" w:type="pct"/>
            <w:tcBorders>
              <w:bottom w:val="single" w:sz="4" w:space="0" w:color="auto"/>
            </w:tcBorders>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592" w:type="pct"/>
            <w:tcBorders>
              <w:bottom w:val="single" w:sz="4" w:space="0" w:color="auto"/>
            </w:tcBorders>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591" w:type="pct"/>
            <w:tcBorders>
              <w:bottom w:val="single" w:sz="4" w:space="0" w:color="auto"/>
            </w:tcBorders>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r>
      <w:tr w:rsidR="004E3285" w:rsidRPr="006B1802" w:rsidTr="00E22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51" w:type="pct"/>
            <w:tcBorders>
              <w:top w:val="single" w:sz="4" w:space="0" w:color="auto"/>
              <w:left w:val="single" w:sz="4" w:space="0" w:color="auto"/>
              <w:bottom w:val="single" w:sz="4" w:space="0" w:color="auto"/>
              <w:right w:val="single" w:sz="4" w:space="0" w:color="auto"/>
            </w:tcBorders>
            <w:vAlign w:val="center"/>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LFT cost to MBS (12 tests per year, $11.65 per test)</w:t>
            </w:r>
          </w:p>
        </w:tc>
        <w:tc>
          <w:tcPr>
            <w:tcW w:w="591" w:type="pct"/>
            <w:tcBorders>
              <w:top w:val="single" w:sz="4" w:space="0" w:color="auto"/>
              <w:left w:val="single" w:sz="4" w:space="0" w:color="auto"/>
              <w:bottom w:val="single" w:sz="4" w:space="0" w:color="auto"/>
              <w:right w:val="single" w:sz="4" w:space="0" w:color="auto"/>
            </w:tcBorders>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592" w:type="pct"/>
            <w:tcBorders>
              <w:top w:val="single" w:sz="4" w:space="0" w:color="auto"/>
              <w:left w:val="single" w:sz="4" w:space="0" w:color="auto"/>
              <w:bottom w:val="single" w:sz="4" w:space="0" w:color="auto"/>
              <w:right w:val="single" w:sz="4" w:space="0" w:color="auto"/>
            </w:tcBorders>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592" w:type="pct"/>
            <w:tcBorders>
              <w:top w:val="single" w:sz="4" w:space="0" w:color="auto"/>
              <w:left w:val="single" w:sz="4" w:space="0" w:color="auto"/>
              <w:bottom w:val="single" w:sz="4" w:space="0" w:color="auto"/>
              <w:right w:val="single" w:sz="4" w:space="0" w:color="auto"/>
            </w:tcBorders>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591" w:type="pct"/>
            <w:tcBorders>
              <w:top w:val="single" w:sz="4" w:space="0" w:color="auto"/>
              <w:left w:val="single" w:sz="4" w:space="0" w:color="auto"/>
              <w:bottom w:val="single" w:sz="4" w:space="0" w:color="auto"/>
              <w:right w:val="single" w:sz="4" w:space="0" w:color="auto"/>
            </w:tcBorders>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592" w:type="pct"/>
            <w:tcBorders>
              <w:top w:val="single" w:sz="4" w:space="0" w:color="auto"/>
              <w:left w:val="single" w:sz="4" w:space="0" w:color="auto"/>
              <w:bottom w:val="single" w:sz="4" w:space="0" w:color="auto"/>
              <w:right w:val="single" w:sz="4" w:space="0" w:color="auto"/>
            </w:tcBorders>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591" w:type="pct"/>
            <w:tcBorders>
              <w:top w:val="single" w:sz="4" w:space="0" w:color="auto"/>
              <w:left w:val="single" w:sz="4" w:space="0" w:color="auto"/>
              <w:bottom w:val="single" w:sz="4" w:space="0" w:color="auto"/>
              <w:right w:val="single" w:sz="4" w:space="0" w:color="auto"/>
            </w:tcBorders>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r>
      <w:tr w:rsidR="004E3285" w:rsidRPr="006B1802" w:rsidTr="00E22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51" w:type="pct"/>
            <w:tcBorders>
              <w:top w:val="single" w:sz="4" w:space="0" w:color="auto"/>
            </w:tcBorders>
            <w:vAlign w:val="center"/>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 xml:space="preserve">Net cost to government </w:t>
            </w:r>
          </w:p>
        </w:tc>
        <w:tc>
          <w:tcPr>
            <w:tcW w:w="591" w:type="pct"/>
            <w:tcBorders>
              <w:top w:val="single" w:sz="4" w:space="0" w:color="auto"/>
            </w:tcBorders>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592" w:type="pct"/>
            <w:tcBorders>
              <w:top w:val="single" w:sz="4" w:space="0" w:color="auto"/>
            </w:tcBorders>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592" w:type="pct"/>
            <w:tcBorders>
              <w:top w:val="single" w:sz="4" w:space="0" w:color="auto"/>
            </w:tcBorders>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591" w:type="pct"/>
            <w:tcBorders>
              <w:top w:val="single" w:sz="4" w:space="0" w:color="auto"/>
            </w:tcBorders>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592" w:type="pct"/>
            <w:tcBorders>
              <w:top w:val="single" w:sz="4" w:space="0" w:color="auto"/>
            </w:tcBorders>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c>
          <w:tcPr>
            <w:tcW w:w="591" w:type="pct"/>
            <w:tcBorders>
              <w:top w:val="single" w:sz="4" w:space="0" w:color="auto"/>
            </w:tcBorders>
          </w:tcPr>
          <w:p w:rsidR="004E3285" w:rsidRPr="006B1802" w:rsidRDefault="004E3285" w:rsidP="00B93A10">
            <w:pPr>
              <w:keepNext/>
              <w:keepLines/>
              <w:spacing w:before="60" w:after="60"/>
              <w:rPr>
                <w:rFonts w:ascii="Arial Narrow" w:hAnsi="Arial Narrow"/>
                <w:sz w:val="20"/>
                <w:szCs w:val="20"/>
              </w:rPr>
            </w:pPr>
            <w:r w:rsidRPr="006B1802">
              <w:rPr>
                <w:rFonts w:ascii="Arial Narrow" w:hAnsi="Arial Narrow"/>
                <w:sz w:val="20"/>
                <w:szCs w:val="20"/>
              </w:rPr>
              <w:t>$</w:t>
            </w:r>
            <w:r w:rsidR="00B912EA">
              <w:rPr>
                <w:rFonts w:ascii="Arial Narrow" w:hAnsi="Arial Narrow"/>
                <w:noProof/>
                <w:color w:val="000000"/>
                <w:sz w:val="20"/>
                <w:szCs w:val="20"/>
                <w:highlight w:val="black"/>
              </w:rPr>
              <w:t>''''''''''''''''''''''''</w:t>
            </w:r>
          </w:p>
        </w:tc>
      </w:tr>
    </w:tbl>
    <w:p w:rsidR="004E3285" w:rsidRPr="006B1802" w:rsidRDefault="004E3285" w:rsidP="00B93A10">
      <w:pPr>
        <w:spacing w:before="40" w:after="360"/>
        <w:contextualSpacing/>
        <w:rPr>
          <w:rFonts w:ascii="Arial Narrow" w:hAnsi="Arial Narrow"/>
          <w:sz w:val="20"/>
          <w:szCs w:val="20"/>
          <w:lang w:eastAsia="en-US"/>
        </w:rPr>
      </w:pPr>
      <w:r w:rsidRPr="006B1802">
        <w:rPr>
          <w:rFonts w:ascii="Arial Narrow" w:hAnsi="Arial Narrow"/>
          <w:sz w:val="20"/>
          <w:szCs w:val="20"/>
          <w:lang w:eastAsia="en-US"/>
        </w:rPr>
        <w:t xml:space="preserve">Abbreviations: ADPKD, autosomal dominant polycystic kidney disease; CKD, chronic kidney disease; DPMQ, dispensed price for maximum quantity; </w:t>
      </w:r>
      <w:proofErr w:type="spellStart"/>
      <w:r w:rsidRPr="006B1802">
        <w:rPr>
          <w:rFonts w:ascii="Arial Narrow" w:hAnsi="Arial Narrow"/>
          <w:sz w:val="20"/>
          <w:szCs w:val="20"/>
          <w:lang w:eastAsia="en-US"/>
        </w:rPr>
        <w:t>ΔeGFR</w:t>
      </w:r>
      <w:proofErr w:type="spellEnd"/>
      <w:r w:rsidRPr="006B1802">
        <w:rPr>
          <w:rFonts w:ascii="Arial Narrow" w:hAnsi="Arial Narrow"/>
          <w:sz w:val="20"/>
          <w:szCs w:val="20"/>
          <w:lang w:eastAsia="en-US"/>
        </w:rPr>
        <w:t xml:space="preserve">, change in estimated glomerular filtration rate; LFT, liver function test; PBS, Pharmaceutical Benefits Scheme; </w:t>
      </w:r>
      <w:proofErr w:type="spellStart"/>
      <w:r w:rsidRPr="006B1802">
        <w:rPr>
          <w:rFonts w:ascii="Arial Narrow" w:hAnsi="Arial Narrow"/>
          <w:sz w:val="20"/>
          <w:szCs w:val="20"/>
          <w:lang w:eastAsia="en-US"/>
        </w:rPr>
        <w:t>pop’n</w:t>
      </w:r>
      <w:proofErr w:type="spellEnd"/>
      <w:r w:rsidRPr="006B1802">
        <w:rPr>
          <w:rFonts w:ascii="Arial Narrow" w:hAnsi="Arial Narrow"/>
          <w:sz w:val="20"/>
          <w:szCs w:val="20"/>
          <w:lang w:eastAsia="en-US"/>
        </w:rPr>
        <w:t>, population; RPBS, Repatriation Pharmaceutical Benefits Scheme.</w:t>
      </w:r>
    </w:p>
    <w:p w:rsidR="004E3285" w:rsidRDefault="004E3285" w:rsidP="00B93A10">
      <w:pPr>
        <w:spacing w:before="40" w:after="360"/>
        <w:contextualSpacing/>
        <w:rPr>
          <w:rFonts w:ascii="Arial Narrow" w:hAnsi="Arial Narrow"/>
          <w:sz w:val="20"/>
          <w:szCs w:val="20"/>
          <w:lang w:eastAsia="en-US"/>
        </w:rPr>
      </w:pPr>
      <w:r w:rsidRPr="006B1802">
        <w:rPr>
          <w:rFonts w:ascii="Arial Narrow" w:hAnsi="Arial Narrow"/>
          <w:sz w:val="20"/>
          <w:szCs w:val="20"/>
          <w:lang w:eastAsia="en-US"/>
        </w:rPr>
        <w:t>Source: table 4.2, p20 of the minor submission</w:t>
      </w:r>
    </w:p>
    <w:p w:rsidR="009873A4" w:rsidRDefault="009873A4" w:rsidP="00B93A10">
      <w:pPr>
        <w:spacing w:before="40" w:after="360"/>
        <w:contextualSpacing/>
        <w:rPr>
          <w:rFonts w:ascii="Arial Narrow" w:hAnsi="Arial Narrow"/>
          <w:sz w:val="20"/>
          <w:szCs w:val="20"/>
          <w:lang w:eastAsia="en-US"/>
        </w:rPr>
      </w:pPr>
    </w:p>
    <w:p w:rsidR="009873A4" w:rsidRPr="006B1802" w:rsidRDefault="00C73A73" w:rsidP="00B93A10">
      <w:pPr>
        <w:spacing w:before="40" w:after="360"/>
        <w:contextualSpacing/>
        <w:rPr>
          <w:rFonts w:ascii="Arial Narrow" w:hAnsi="Arial Narrow"/>
          <w:sz w:val="20"/>
          <w:szCs w:val="20"/>
          <w:lang w:eastAsia="en-US"/>
        </w:rPr>
      </w:pPr>
      <w:r>
        <w:rPr>
          <w:rFonts w:asciiTheme="minorHAnsi" w:hAnsiTheme="minorHAnsi"/>
        </w:rPr>
        <w:t xml:space="preserve">The redacted table shows that at Year 6, the estimated number of patients was less than 10,000. </w:t>
      </w:r>
    </w:p>
    <w:p w:rsidR="00993FD4" w:rsidRPr="006B1802" w:rsidRDefault="00993FD4" w:rsidP="00B93A10">
      <w:pPr>
        <w:pStyle w:val="Caption"/>
        <w:keepNext/>
        <w:spacing w:after="0"/>
        <w:rPr>
          <w:rFonts w:ascii="Arial Narrow" w:hAnsi="Arial Narrow"/>
          <w:color w:val="auto"/>
          <w:sz w:val="20"/>
          <w:szCs w:val="20"/>
        </w:rPr>
      </w:pPr>
      <w:bookmarkStart w:id="8" w:name="_Hlk511833634"/>
      <w:r w:rsidRPr="006B1802">
        <w:rPr>
          <w:rFonts w:ascii="Arial Narrow" w:hAnsi="Arial Narrow"/>
          <w:color w:val="auto"/>
          <w:sz w:val="20"/>
          <w:szCs w:val="20"/>
        </w:rPr>
        <w:lastRenderedPageBreak/>
        <w:t xml:space="preserve">Table </w:t>
      </w:r>
      <w:r w:rsidR="00CC525E" w:rsidRPr="006B1802">
        <w:rPr>
          <w:rFonts w:ascii="Arial Narrow" w:hAnsi="Arial Narrow"/>
          <w:color w:val="auto"/>
          <w:sz w:val="20"/>
          <w:szCs w:val="20"/>
        </w:rPr>
        <w:t>8</w:t>
      </w:r>
      <w:r w:rsidR="002E5197" w:rsidRPr="006B1802">
        <w:rPr>
          <w:rFonts w:ascii="Arial Narrow" w:hAnsi="Arial Narrow"/>
          <w:color w:val="auto"/>
          <w:sz w:val="20"/>
          <w:szCs w:val="20"/>
        </w:rPr>
        <w:t xml:space="preserve">: </w:t>
      </w:r>
      <w:r w:rsidRPr="006B1802">
        <w:rPr>
          <w:rFonts w:ascii="Arial Narrow" w:hAnsi="Arial Narrow"/>
          <w:color w:val="auto"/>
          <w:sz w:val="20"/>
          <w:szCs w:val="20"/>
        </w:rPr>
        <w:t>Stepped-wise presentation of the proposed revisions to the Section 4 estimates – net costs to the PBS / RPBS</w:t>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Caption w:val="Table 8: Stepped-wise presentation of the proposed revisions to the Section 4 estimates – net costs to the PBS / RPBS"/>
      </w:tblPr>
      <w:tblGrid>
        <w:gridCol w:w="2213"/>
        <w:gridCol w:w="1155"/>
        <w:gridCol w:w="1155"/>
        <w:gridCol w:w="1155"/>
        <w:gridCol w:w="1155"/>
        <w:gridCol w:w="1155"/>
        <w:gridCol w:w="1152"/>
      </w:tblGrid>
      <w:tr w:rsidR="00993FD4" w:rsidRPr="006B1802" w:rsidTr="00414990">
        <w:trPr>
          <w:tblHeader/>
        </w:trPr>
        <w:tc>
          <w:tcPr>
            <w:tcW w:w="1210" w:type="pct"/>
            <w:tcBorders>
              <w:top w:val="single" w:sz="4" w:space="0" w:color="auto"/>
              <w:left w:val="single" w:sz="4" w:space="0" w:color="auto"/>
              <w:bottom w:val="single" w:sz="4" w:space="0" w:color="auto"/>
              <w:right w:val="single" w:sz="4" w:space="0" w:color="auto"/>
            </w:tcBorders>
          </w:tcPr>
          <w:p w:rsidR="00993FD4" w:rsidRPr="006B1802" w:rsidRDefault="00993FD4" w:rsidP="00B93A10">
            <w:pPr>
              <w:keepNext/>
              <w:keepLines/>
              <w:rPr>
                <w:rFonts w:ascii="Arial Narrow" w:hAnsi="Arial Narrow" w:cs="Arial"/>
                <w:b/>
                <w:sz w:val="20"/>
                <w:szCs w:val="20"/>
              </w:rPr>
            </w:pPr>
            <w:r w:rsidRPr="006B1802">
              <w:rPr>
                <w:rFonts w:ascii="Arial Narrow" w:hAnsi="Arial Narrow" w:cs="Arial"/>
                <w:b/>
                <w:sz w:val="20"/>
                <w:szCs w:val="20"/>
              </w:rPr>
              <w:t xml:space="preserve">Year </w:t>
            </w:r>
          </w:p>
        </w:tc>
        <w:tc>
          <w:tcPr>
            <w:tcW w:w="632" w:type="pct"/>
            <w:tcBorders>
              <w:top w:val="single" w:sz="4" w:space="0" w:color="auto"/>
              <w:left w:val="single" w:sz="4" w:space="0" w:color="auto"/>
              <w:bottom w:val="single" w:sz="4" w:space="0" w:color="auto"/>
              <w:right w:val="single" w:sz="4" w:space="0" w:color="auto"/>
            </w:tcBorders>
          </w:tcPr>
          <w:p w:rsidR="00993FD4" w:rsidRPr="006B1802" w:rsidRDefault="00993FD4" w:rsidP="00B93A10">
            <w:pPr>
              <w:keepNext/>
              <w:keepLines/>
              <w:rPr>
                <w:rFonts w:ascii="Arial Narrow" w:hAnsi="Arial Narrow" w:cs="Arial"/>
                <w:b/>
                <w:sz w:val="20"/>
                <w:szCs w:val="20"/>
              </w:rPr>
            </w:pPr>
            <w:r w:rsidRPr="006B1802">
              <w:rPr>
                <w:rFonts w:ascii="Arial Narrow" w:hAnsi="Arial Narrow" w:cs="Arial"/>
                <w:b/>
                <w:sz w:val="20"/>
                <w:szCs w:val="20"/>
              </w:rPr>
              <w:t xml:space="preserve">Year 1 </w:t>
            </w:r>
          </w:p>
        </w:tc>
        <w:tc>
          <w:tcPr>
            <w:tcW w:w="632" w:type="pct"/>
            <w:tcBorders>
              <w:top w:val="single" w:sz="4" w:space="0" w:color="auto"/>
              <w:left w:val="single" w:sz="4" w:space="0" w:color="auto"/>
              <w:bottom w:val="single" w:sz="4" w:space="0" w:color="auto"/>
              <w:right w:val="single" w:sz="4" w:space="0" w:color="auto"/>
            </w:tcBorders>
          </w:tcPr>
          <w:p w:rsidR="00993FD4" w:rsidRPr="006B1802" w:rsidRDefault="00993FD4" w:rsidP="00B93A10">
            <w:pPr>
              <w:keepNext/>
              <w:keepLines/>
              <w:rPr>
                <w:rFonts w:ascii="Arial Narrow" w:hAnsi="Arial Narrow" w:cs="Arial"/>
                <w:b/>
                <w:sz w:val="20"/>
                <w:szCs w:val="20"/>
              </w:rPr>
            </w:pPr>
            <w:r w:rsidRPr="006B1802">
              <w:rPr>
                <w:rFonts w:ascii="Arial Narrow" w:hAnsi="Arial Narrow" w:cs="Arial"/>
                <w:b/>
                <w:sz w:val="20"/>
                <w:szCs w:val="20"/>
              </w:rPr>
              <w:t xml:space="preserve">Year 2 </w:t>
            </w:r>
          </w:p>
        </w:tc>
        <w:tc>
          <w:tcPr>
            <w:tcW w:w="632" w:type="pct"/>
            <w:tcBorders>
              <w:top w:val="single" w:sz="4" w:space="0" w:color="auto"/>
              <w:left w:val="single" w:sz="4" w:space="0" w:color="auto"/>
              <w:bottom w:val="single" w:sz="4" w:space="0" w:color="auto"/>
              <w:right w:val="single" w:sz="4" w:space="0" w:color="auto"/>
            </w:tcBorders>
          </w:tcPr>
          <w:p w:rsidR="00993FD4" w:rsidRPr="006B1802" w:rsidRDefault="00993FD4" w:rsidP="00B93A10">
            <w:pPr>
              <w:keepNext/>
              <w:keepLines/>
              <w:rPr>
                <w:rFonts w:ascii="Arial Narrow" w:hAnsi="Arial Narrow" w:cs="Arial"/>
                <w:b/>
                <w:sz w:val="20"/>
                <w:szCs w:val="20"/>
              </w:rPr>
            </w:pPr>
            <w:r w:rsidRPr="006B1802">
              <w:rPr>
                <w:rFonts w:ascii="Arial Narrow" w:hAnsi="Arial Narrow" w:cs="Arial"/>
                <w:b/>
                <w:sz w:val="20"/>
                <w:szCs w:val="20"/>
              </w:rPr>
              <w:t xml:space="preserve">Year 3 </w:t>
            </w:r>
          </w:p>
        </w:tc>
        <w:tc>
          <w:tcPr>
            <w:tcW w:w="632" w:type="pct"/>
            <w:tcBorders>
              <w:top w:val="single" w:sz="4" w:space="0" w:color="auto"/>
              <w:left w:val="single" w:sz="4" w:space="0" w:color="auto"/>
              <w:bottom w:val="single" w:sz="4" w:space="0" w:color="auto"/>
              <w:right w:val="single" w:sz="4" w:space="0" w:color="auto"/>
            </w:tcBorders>
          </w:tcPr>
          <w:p w:rsidR="00993FD4" w:rsidRPr="006B1802" w:rsidRDefault="00993FD4" w:rsidP="00B93A10">
            <w:pPr>
              <w:keepNext/>
              <w:keepLines/>
              <w:rPr>
                <w:rFonts w:ascii="Arial Narrow" w:hAnsi="Arial Narrow" w:cs="Arial"/>
                <w:b/>
                <w:sz w:val="20"/>
                <w:szCs w:val="20"/>
              </w:rPr>
            </w:pPr>
            <w:r w:rsidRPr="006B1802">
              <w:rPr>
                <w:rFonts w:ascii="Arial Narrow" w:hAnsi="Arial Narrow" w:cs="Arial"/>
                <w:b/>
                <w:sz w:val="20"/>
                <w:szCs w:val="20"/>
              </w:rPr>
              <w:t xml:space="preserve">Year 4 </w:t>
            </w:r>
          </w:p>
        </w:tc>
        <w:tc>
          <w:tcPr>
            <w:tcW w:w="632" w:type="pct"/>
            <w:tcBorders>
              <w:top w:val="single" w:sz="4" w:space="0" w:color="auto"/>
              <w:left w:val="single" w:sz="4" w:space="0" w:color="auto"/>
              <w:bottom w:val="single" w:sz="4" w:space="0" w:color="auto"/>
              <w:right w:val="single" w:sz="4" w:space="0" w:color="auto"/>
            </w:tcBorders>
          </w:tcPr>
          <w:p w:rsidR="00993FD4" w:rsidRPr="006B1802" w:rsidRDefault="00993FD4" w:rsidP="00B93A10">
            <w:pPr>
              <w:keepNext/>
              <w:keepLines/>
              <w:rPr>
                <w:rFonts w:ascii="Arial Narrow" w:hAnsi="Arial Narrow" w:cs="Arial"/>
                <w:b/>
                <w:sz w:val="20"/>
                <w:szCs w:val="20"/>
              </w:rPr>
            </w:pPr>
            <w:r w:rsidRPr="006B1802">
              <w:rPr>
                <w:rFonts w:ascii="Arial Narrow" w:hAnsi="Arial Narrow" w:cs="Arial"/>
                <w:b/>
                <w:sz w:val="20"/>
                <w:szCs w:val="20"/>
              </w:rPr>
              <w:t xml:space="preserve">Year 5 </w:t>
            </w:r>
          </w:p>
        </w:tc>
        <w:tc>
          <w:tcPr>
            <w:tcW w:w="631" w:type="pct"/>
            <w:tcBorders>
              <w:top w:val="single" w:sz="4" w:space="0" w:color="auto"/>
              <w:left w:val="single" w:sz="4" w:space="0" w:color="auto"/>
              <w:bottom w:val="single" w:sz="4" w:space="0" w:color="auto"/>
              <w:right w:val="single" w:sz="4" w:space="0" w:color="auto"/>
            </w:tcBorders>
          </w:tcPr>
          <w:p w:rsidR="00993FD4" w:rsidRPr="006B1802" w:rsidRDefault="00993FD4" w:rsidP="00B93A10">
            <w:pPr>
              <w:keepNext/>
              <w:keepLines/>
              <w:rPr>
                <w:rFonts w:ascii="Arial Narrow" w:hAnsi="Arial Narrow" w:cs="Arial"/>
                <w:b/>
                <w:sz w:val="20"/>
                <w:szCs w:val="20"/>
              </w:rPr>
            </w:pPr>
            <w:r w:rsidRPr="006B1802">
              <w:rPr>
                <w:rFonts w:ascii="Arial Narrow" w:hAnsi="Arial Narrow" w:cs="Arial"/>
                <w:b/>
                <w:sz w:val="20"/>
                <w:szCs w:val="20"/>
              </w:rPr>
              <w:t>Year 6</w:t>
            </w:r>
          </w:p>
        </w:tc>
      </w:tr>
      <w:tr w:rsidR="00993FD4" w:rsidRPr="006B1802" w:rsidTr="00993FD4">
        <w:tc>
          <w:tcPr>
            <w:tcW w:w="1210" w:type="pct"/>
            <w:tcBorders>
              <w:top w:val="single" w:sz="4" w:space="0" w:color="auto"/>
              <w:left w:val="single" w:sz="4" w:space="0" w:color="auto"/>
              <w:bottom w:val="single" w:sz="4" w:space="0" w:color="auto"/>
              <w:right w:val="single" w:sz="4" w:space="0" w:color="auto"/>
            </w:tcBorders>
            <w:vAlign w:val="center"/>
          </w:tcPr>
          <w:p w:rsidR="00993FD4" w:rsidRPr="006B1802" w:rsidRDefault="00993FD4" w:rsidP="00B93A10">
            <w:pPr>
              <w:keepNext/>
              <w:keepLines/>
              <w:spacing w:before="60" w:after="60"/>
              <w:rPr>
                <w:rFonts w:ascii="Arial Narrow" w:hAnsi="Arial Narrow" w:cs="Arial"/>
                <w:sz w:val="20"/>
                <w:szCs w:val="20"/>
              </w:rPr>
            </w:pPr>
            <w:r w:rsidRPr="006B1802">
              <w:rPr>
                <w:rFonts w:ascii="Arial Narrow" w:hAnsi="Arial Narrow" w:cs="Arial"/>
                <w:sz w:val="20"/>
                <w:szCs w:val="20"/>
              </w:rPr>
              <w:t xml:space="preserve">March 2018 estimates </w:t>
            </w:r>
          </w:p>
        </w:tc>
        <w:tc>
          <w:tcPr>
            <w:tcW w:w="632" w:type="pct"/>
            <w:tcBorders>
              <w:top w:val="single" w:sz="4" w:space="0" w:color="auto"/>
              <w:left w:val="single" w:sz="4" w:space="0" w:color="auto"/>
              <w:bottom w:val="single" w:sz="4" w:space="0" w:color="auto"/>
              <w:right w:val="single" w:sz="4" w:space="0" w:color="auto"/>
            </w:tcBorders>
          </w:tcPr>
          <w:p w:rsidR="00993FD4" w:rsidRPr="006B1802" w:rsidRDefault="00993FD4" w:rsidP="00B93A10">
            <w:pPr>
              <w:keepNext/>
              <w:keepLines/>
              <w:spacing w:before="60" w:after="60"/>
              <w:rPr>
                <w:rFonts w:ascii="Arial Narrow" w:hAnsi="Arial Narrow" w:cs="Arial"/>
                <w:sz w:val="20"/>
                <w:szCs w:val="20"/>
              </w:rPr>
            </w:pPr>
            <w:r w:rsidRPr="006B1802">
              <w:rPr>
                <w:rFonts w:ascii="Arial Narrow" w:hAnsi="Arial Narrow" w:cs="Arial"/>
                <w:sz w:val="20"/>
                <w:szCs w:val="20"/>
              </w:rPr>
              <w:t>$</w:t>
            </w:r>
            <w:r w:rsidR="00B912EA">
              <w:rPr>
                <w:rFonts w:ascii="Arial Narrow" w:hAnsi="Arial Narrow" w:cs="Arial"/>
                <w:noProof/>
                <w:color w:val="000000"/>
                <w:sz w:val="20"/>
                <w:szCs w:val="20"/>
                <w:highlight w:val="black"/>
              </w:rPr>
              <w:t>''''''''''''''''''''''''''</w:t>
            </w:r>
          </w:p>
        </w:tc>
        <w:tc>
          <w:tcPr>
            <w:tcW w:w="632" w:type="pct"/>
            <w:tcBorders>
              <w:top w:val="single" w:sz="4" w:space="0" w:color="auto"/>
              <w:left w:val="single" w:sz="4" w:space="0" w:color="auto"/>
              <w:bottom w:val="single" w:sz="4" w:space="0" w:color="auto"/>
              <w:right w:val="single" w:sz="4" w:space="0" w:color="auto"/>
            </w:tcBorders>
          </w:tcPr>
          <w:p w:rsidR="00993FD4" w:rsidRPr="006B1802" w:rsidRDefault="00993FD4" w:rsidP="00B93A10">
            <w:pPr>
              <w:keepNext/>
              <w:keepLines/>
              <w:spacing w:before="60" w:after="60"/>
              <w:rPr>
                <w:rFonts w:ascii="Arial Narrow" w:hAnsi="Arial Narrow" w:cs="Arial"/>
                <w:sz w:val="20"/>
                <w:szCs w:val="20"/>
              </w:rPr>
            </w:pPr>
            <w:r w:rsidRPr="006B1802">
              <w:rPr>
                <w:rFonts w:ascii="Arial Narrow" w:hAnsi="Arial Narrow" w:cs="Arial"/>
                <w:sz w:val="20"/>
                <w:szCs w:val="20"/>
              </w:rPr>
              <w:t>$</w:t>
            </w:r>
            <w:r w:rsidR="00B912EA">
              <w:rPr>
                <w:rFonts w:ascii="Arial Narrow" w:hAnsi="Arial Narrow" w:cs="Arial"/>
                <w:noProof/>
                <w:color w:val="000000"/>
                <w:sz w:val="20"/>
                <w:szCs w:val="20"/>
                <w:highlight w:val="black"/>
              </w:rPr>
              <w:t>'''''''''''''''''''''''''''</w:t>
            </w:r>
          </w:p>
        </w:tc>
        <w:tc>
          <w:tcPr>
            <w:tcW w:w="632" w:type="pct"/>
            <w:tcBorders>
              <w:top w:val="single" w:sz="4" w:space="0" w:color="auto"/>
              <w:left w:val="single" w:sz="4" w:space="0" w:color="auto"/>
              <w:bottom w:val="single" w:sz="4" w:space="0" w:color="auto"/>
              <w:right w:val="single" w:sz="4" w:space="0" w:color="auto"/>
            </w:tcBorders>
          </w:tcPr>
          <w:p w:rsidR="00993FD4" w:rsidRPr="006B1802" w:rsidRDefault="00993FD4" w:rsidP="00B93A10">
            <w:pPr>
              <w:keepNext/>
              <w:keepLines/>
              <w:spacing w:before="60" w:after="60"/>
              <w:rPr>
                <w:rFonts w:ascii="Arial Narrow" w:hAnsi="Arial Narrow" w:cs="Arial"/>
                <w:sz w:val="20"/>
                <w:szCs w:val="20"/>
              </w:rPr>
            </w:pPr>
            <w:r w:rsidRPr="006B1802">
              <w:rPr>
                <w:rFonts w:ascii="Arial Narrow" w:hAnsi="Arial Narrow" w:cs="Arial"/>
                <w:sz w:val="20"/>
                <w:szCs w:val="20"/>
              </w:rPr>
              <w:t>$</w:t>
            </w:r>
            <w:r w:rsidR="00B912EA">
              <w:rPr>
                <w:rFonts w:ascii="Arial Narrow" w:hAnsi="Arial Narrow" w:cs="Arial"/>
                <w:noProof/>
                <w:color w:val="000000"/>
                <w:sz w:val="20"/>
                <w:szCs w:val="20"/>
                <w:highlight w:val="black"/>
              </w:rPr>
              <w:t>'''''''''''''''''''''''''</w:t>
            </w:r>
          </w:p>
        </w:tc>
        <w:tc>
          <w:tcPr>
            <w:tcW w:w="632" w:type="pct"/>
            <w:tcBorders>
              <w:top w:val="single" w:sz="4" w:space="0" w:color="auto"/>
              <w:left w:val="single" w:sz="4" w:space="0" w:color="auto"/>
              <w:bottom w:val="single" w:sz="4" w:space="0" w:color="auto"/>
              <w:right w:val="single" w:sz="4" w:space="0" w:color="auto"/>
            </w:tcBorders>
          </w:tcPr>
          <w:p w:rsidR="00993FD4" w:rsidRPr="006B1802" w:rsidRDefault="00993FD4" w:rsidP="00B93A10">
            <w:pPr>
              <w:keepNext/>
              <w:keepLines/>
              <w:spacing w:before="60" w:after="60"/>
              <w:rPr>
                <w:rFonts w:ascii="Arial Narrow" w:hAnsi="Arial Narrow" w:cs="Arial"/>
                <w:sz w:val="20"/>
                <w:szCs w:val="20"/>
              </w:rPr>
            </w:pPr>
            <w:r w:rsidRPr="006B1802">
              <w:rPr>
                <w:rFonts w:ascii="Arial Narrow" w:hAnsi="Arial Narrow" w:cs="Arial"/>
                <w:sz w:val="20"/>
                <w:szCs w:val="20"/>
              </w:rPr>
              <w:t>$</w:t>
            </w:r>
            <w:r w:rsidR="00B912EA">
              <w:rPr>
                <w:rFonts w:ascii="Arial Narrow" w:hAnsi="Arial Narrow" w:cs="Arial"/>
                <w:noProof/>
                <w:color w:val="000000"/>
                <w:sz w:val="20"/>
                <w:szCs w:val="20"/>
                <w:highlight w:val="black"/>
              </w:rPr>
              <w:t>''''''''''''''''''''''''''</w:t>
            </w:r>
          </w:p>
        </w:tc>
        <w:tc>
          <w:tcPr>
            <w:tcW w:w="632" w:type="pct"/>
            <w:tcBorders>
              <w:top w:val="single" w:sz="4" w:space="0" w:color="auto"/>
              <w:left w:val="single" w:sz="4" w:space="0" w:color="auto"/>
              <w:bottom w:val="single" w:sz="4" w:space="0" w:color="auto"/>
              <w:right w:val="single" w:sz="4" w:space="0" w:color="auto"/>
            </w:tcBorders>
          </w:tcPr>
          <w:p w:rsidR="00993FD4" w:rsidRPr="006B1802" w:rsidRDefault="00993FD4" w:rsidP="00B93A10">
            <w:pPr>
              <w:keepNext/>
              <w:keepLines/>
              <w:spacing w:before="60" w:after="60"/>
              <w:rPr>
                <w:rFonts w:ascii="Arial Narrow" w:hAnsi="Arial Narrow" w:cs="Arial"/>
                <w:sz w:val="20"/>
                <w:szCs w:val="20"/>
              </w:rPr>
            </w:pPr>
            <w:r w:rsidRPr="006B1802">
              <w:rPr>
                <w:rFonts w:ascii="Arial Narrow" w:hAnsi="Arial Narrow" w:cs="Arial"/>
                <w:sz w:val="20"/>
                <w:szCs w:val="20"/>
              </w:rPr>
              <w:t>$</w:t>
            </w:r>
            <w:r w:rsidR="00B912EA">
              <w:rPr>
                <w:rFonts w:ascii="Arial Narrow" w:hAnsi="Arial Narrow" w:cs="Arial"/>
                <w:noProof/>
                <w:color w:val="000000"/>
                <w:sz w:val="20"/>
                <w:szCs w:val="20"/>
                <w:highlight w:val="black"/>
              </w:rPr>
              <w:t>'''''''''''''''''''''''''''</w:t>
            </w:r>
          </w:p>
        </w:tc>
        <w:tc>
          <w:tcPr>
            <w:tcW w:w="631" w:type="pct"/>
            <w:tcBorders>
              <w:top w:val="single" w:sz="4" w:space="0" w:color="auto"/>
              <w:left w:val="single" w:sz="4" w:space="0" w:color="auto"/>
              <w:bottom w:val="single" w:sz="4" w:space="0" w:color="auto"/>
              <w:right w:val="single" w:sz="4" w:space="0" w:color="auto"/>
            </w:tcBorders>
          </w:tcPr>
          <w:p w:rsidR="00993FD4" w:rsidRPr="006B1802" w:rsidRDefault="00993FD4" w:rsidP="00B93A10">
            <w:pPr>
              <w:keepNext/>
              <w:keepLines/>
              <w:spacing w:before="60" w:after="60"/>
              <w:rPr>
                <w:rFonts w:ascii="Arial Narrow" w:hAnsi="Arial Narrow" w:cs="Arial"/>
                <w:sz w:val="20"/>
                <w:szCs w:val="20"/>
              </w:rPr>
            </w:pPr>
            <w:r w:rsidRPr="006B1802">
              <w:rPr>
                <w:rFonts w:ascii="Arial Narrow" w:hAnsi="Arial Narrow" w:cs="Arial"/>
                <w:sz w:val="20"/>
                <w:szCs w:val="20"/>
              </w:rPr>
              <w:t>$</w:t>
            </w:r>
            <w:r w:rsidR="00B912EA">
              <w:rPr>
                <w:rFonts w:ascii="Arial Narrow" w:hAnsi="Arial Narrow" w:cs="Arial"/>
                <w:noProof/>
                <w:color w:val="000000"/>
                <w:sz w:val="20"/>
                <w:szCs w:val="20"/>
                <w:highlight w:val="black"/>
              </w:rPr>
              <w:t>'''''''''''''''''''''''''''''</w:t>
            </w:r>
          </w:p>
        </w:tc>
      </w:tr>
      <w:tr w:rsidR="00993FD4" w:rsidRPr="006B1802" w:rsidTr="00993FD4">
        <w:tc>
          <w:tcPr>
            <w:tcW w:w="1210" w:type="pct"/>
            <w:tcBorders>
              <w:top w:val="single" w:sz="4" w:space="0" w:color="auto"/>
              <w:left w:val="single" w:sz="4" w:space="0" w:color="auto"/>
              <w:bottom w:val="single" w:sz="4" w:space="0" w:color="auto"/>
              <w:right w:val="single" w:sz="4" w:space="0" w:color="auto"/>
            </w:tcBorders>
            <w:vAlign w:val="center"/>
          </w:tcPr>
          <w:p w:rsidR="00993FD4" w:rsidRPr="006B1802" w:rsidRDefault="00993FD4" w:rsidP="00B93A10">
            <w:pPr>
              <w:keepNext/>
              <w:keepLines/>
              <w:spacing w:before="60" w:after="60"/>
              <w:rPr>
                <w:rFonts w:ascii="Arial Narrow" w:hAnsi="Arial Narrow" w:cs="Arial"/>
                <w:sz w:val="20"/>
                <w:szCs w:val="20"/>
              </w:rPr>
            </w:pPr>
            <w:r w:rsidRPr="006B1802">
              <w:rPr>
                <w:rFonts w:ascii="Arial Narrow" w:hAnsi="Arial Narrow" w:cs="Arial"/>
                <w:sz w:val="20"/>
                <w:szCs w:val="20"/>
              </w:rPr>
              <w:t>Price reduction ($</w:t>
            </w:r>
            <w:r w:rsidR="00B912EA">
              <w:rPr>
                <w:rFonts w:ascii="Arial Narrow" w:hAnsi="Arial Narrow" w:cs="Arial"/>
                <w:noProof/>
                <w:color w:val="000000"/>
                <w:sz w:val="20"/>
                <w:szCs w:val="20"/>
                <w:highlight w:val="black"/>
              </w:rPr>
              <w:t>'''''''''''''''</w:t>
            </w:r>
            <w:r w:rsidRPr="006B1802">
              <w:rPr>
                <w:rFonts w:ascii="Arial Narrow" w:hAnsi="Arial Narrow" w:cs="Arial"/>
                <w:sz w:val="20"/>
                <w:szCs w:val="20"/>
              </w:rPr>
              <w:t>)</w:t>
            </w:r>
          </w:p>
        </w:tc>
        <w:tc>
          <w:tcPr>
            <w:tcW w:w="632" w:type="pct"/>
            <w:tcBorders>
              <w:top w:val="single" w:sz="4" w:space="0" w:color="auto"/>
              <w:left w:val="single" w:sz="4" w:space="0" w:color="auto"/>
              <w:bottom w:val="single" w:sz="4" w:space="0" w:color="auto"/>
              <w:right w:val="single" w:sz="4" w:space="0" w:color="auto"/>
            </w:tcBorders>
          </w:tcPr>
          <w:p w:rsidR="00993FD4" w:rsidRPr="006B1802" w:rsidRDefault="00993FD4" w:rsidP="00B93A10">
            <w:pPr>
              <w:keepNext/>
              <w:keepLines/>
              <w:spacing w:before="60" w:after="60"/>
              <w:rPr>
                <w:rFonts w:ascii="Arial Narrow" w:hAnsi="Arial Narrow" w:cs="Arial"/>
                <w:sz w:val="20"/>
                <w:szCs w:val="20"/>
              </w:rPr>
            </w:pPr>
            <w:r w:rsidRPr="006B1802">
              <w:rPr>
                <w:rFonts w:ascii="Arial Narrow" w:hAnsi="Arial Narrow" w:cs="Arial"/>
                <w:sz w:val="20"/>
                <w:szCs w:val="20"/>
              </w:rPr>
              <w:t>$</w:t>
            </w:r>
            <w:r w:rsidR="00B912EA">
              <w:rPr>
                <w:rFonts w:ascii="Arial Narrow" w:hAnsi="Arial Narrow" w:cs="Arial"/>
                <w:noProof/>
                <w:color w:val="000000"/>
                <w:sz w:val="20"/>
                <w:szCs w:val="20"/>
                <w:highlight w:val="black"/>
              </w:rPr>
              <w:t>'''''''''''''''''''''''</w:t>
            </w:r>
          </w:p>
        </w:tc>
        <w:tc>
          <w:tcPr>
            <w:tcW w:w="632" w:type="pct"/>
            <w:tcBorders>
              <w:top w:val="single" w:sz="4" w:space="0" w:color="auto"/>
              <w:left w:val="single" w:sz="4" w:space="0" w:color="auto"/>
              <w:bottom w:val="single" w:sz="4" w:space="0" w:color="auto"/>
              <w:right w:val="single" w:sz="4" w:space="0" w:color="auto"/>
            </w:tcBorders>
          </w:tcPr>
          <w:p w:rsidR="00993FD4" w:rsidRPr="006B1802" w:rsidRDefault="00993FD4" w:rsidP="00B93A10">
            <w:pPr>
              <w:keepNext/>
              <w:keepLines/>
              <w:spacing w:before="60" w:after="60"/>
              <w:rPr>
                <w:rFonts w:ascii="Arial Narrow" w:hAnsi="Arial Narrow" w:cs="Arial"/>
                <w:sz w:val="20"/>
                <w:szCs w:val="20"/>
              </w:rPr>
            </w:pPr>
            <w:r w:rsidRPr="006B1802">
              <w:rPr>
                <w:rFonts w:ascii="Arial Narrow" w:hAnsi="Arial Narrow" w:cs="Arial"/>
                <w:sz w:val="20"/>
                <w:szCs w:val="20"/>
              </w:rPr>
              <w:t>$</w:t>
            </w:r>
            <w:r w:rsidR="00B912EA">
              <w:rPr>
                <w:rFonts w:ascii="Arial Narrow" w:hAnsi="Arial Narrow" w:cs="Arial"/>
                <w:noProof/>
                <w:color w:val="000000"/>
                <w:sz w:val="20"/>
                <w:szCs w:val="20"/>
                <w:highlight w:val="black"/>
              </w:rPr>
              <w:t>''''''''''''''''''''''''</w:t>
            </w:r>
          </w:p>
        </w:tc>
        <w:tc>
          <w:tcPr>
            <w:tcW w:w="632" w:type="pct"/>
            <w:tcBorders>
              <w:top w:val="single" w:sz="4" w:space="0" w:color="auto"/>
              <w:left w:val="single" w:sz="4" w:space="0" w:color="auto"/>
              <w:bottom w:val="single" w:sz="4" w:space="0" w:color="auto"/>
              <w:right w:val="single" w:sz="4" w:space="0" w:color="auto"/>
            </w:tcBorders>
          </w:tcPr>
          <w:p w:rsidR="00993FD4" w:rsidRPr="006B1802" w:rsidRDefault="00993FD4" w:rsidP="00B93A10">
            <w:pPr>
              <w:keepNext/>
              <w:keepLines/>
              <w:spacing w:before="60" w:after="60"/>
              <w:rPr>
                <w:rFonts w:ascii="Arial Narrow" w:hAnsi="Arial Narrow" w:cs="Arial"/>
                <w:sz w:val="20"/>
                <w:szCs w:val="20"/>
              </w:rPr>
            </w:pPr>
            <w:r w:rsidRPr="006B1802">
              <w:rPr>
                <w:rFonts w:ascii="Arial Narrow" w:hAnsi="Arial Narrow" w:cs="Arial"/>
                <w:sz w:val="20"/>
                <w:szCs w:val="20"/>
              </w:rPr>
              <w:t>$</w:t>
            </w:r>
            <w:r w:rsidR="00B912EA">
              <w:rPr>
                <w:rFonts w:ascii="Arial Narrow" w:hAnsi="Arial Narrow" w:cs="Arial"/>
                <w:noProof/>
                <w:color w:val="000000"/>
                <w:sz w:val="20"/>
                <w:szCs w:val="20"/>
                <w:highlight w:val="black"/>
              </w:rPr>
              <w:t>''''''''''''''''''''''''''</w:t>
            </w:r>
          </w:p>
        </w:tc>
        <w:tc>
          <w:tcPr>
            <w:tcW w:w="632" w:type="pct"/>
            <w:tcBorders>
              <w:top w:val="single" w:sz="4" w:space="0" w:color="auto"/>
              <w:left w:val="single" w:sz="4" w:space="0" w:color="auto"/>
              <w:bottom w:val="single" w:sz="4" w:space="0" w:color="auto"/>
              <w:right w:val="single" w:sz="4" w:space="0" w:color="auto"/>
            </w:tcBorders>
          </w:tcPr>
          <w:p w:rsidR="00993FD4" w:rsidRPr="006B1802" w:rsidRDefault="00993FD4" w:rsidP="00B93A10">
            <w:pPr>
              <w:keepNext/>
              <w:keepLines/>
              <w:spacing w:before="60" w:after="60"/>
              <w:rPr>
                <w:rFonts w:ascii="Arial Narrow" w:hAnsi="Arial Narrow" w:cs="Arial"/>
                <w:sz w:val="20"/>
                <w:szCs w:val="20"/>
              </w:rPr>
            </w:pPr>
            <w:r w:rsidRPr="006B1802">
              <w:rPr>
                <w:rFonts w:ascii="Arial Narrow" w:hAnsi="Arial Narrow" w:cs="Arial"/>
                <w:sz w:val="20"/>
                <w:szCs w:val="20"/>
              </w:rPr>
              <w:t>$</w:t>
            </w:r>
            <w:r w:rsidR="00B912EA">
              <w:rPr>
                <w:rFonts w:ascii="Arial Narrow" w:hAnsi="Arial Narrow" w:cs="Arial"/>
                <w:noProof/>
                <w:color w:val="000000"/>
                <w:sz w:val="20"/>
                <w:szCs w:val="20"/>
                <w:highlight w:val="black"/>
              </w:rPr>
              <w:t>'''''''''''''''''''''''''''</w:t>
            </w:r>
          </w:p>
        </w:tc>
        <w:tc>
          <w:tcPr>
            <w:tcW w:w="632" w:type="pct"/>
            <w:tcBorders>
              <w:top w:val="single" w:sz="4" w:space="0" w:color="auto"/>
              <w:left w:val="single" w:sz="4" w:space="0" w:color="auto"/>
              <w:bottom w:val="single" w:sz="4" w:space="0" w:color="auto"/>
              <w:right w:val="single" w:sz="4" w:space="0" w:color="auto"/>
            </w:tcBorders>
          </w:tcPr>
          <w:p w:rsidR="00993FD4" w:rsidRPr="006B1802" w:rsidRDefault="00993FD4" w:rsidP="00B93A10">
            <w:pPr>
              <w:keepNext/>
              <w:keepLines/>
              <w:spacing w:before="60" w:after="60"/>
              <w:rPr>
                <w:rFonts w:ascii="Arial Narrow" w:hAnsi="Arial Narrow" w:cs="Arial"/>
                <w:sz w:val="20"/>
                <w:szCs w:val="20"/>
              </w:rPr>
            </w:pPr>
            <w:r w:rsidRPr="006B1802">
              <w:rPr>
                <w:rFonts w:ascii="Arial Narrow" w:hAnsi="Arial Narrow" w:cs="Arial"/>
                <w:sz w:val="20"/>
                <w:szCs w:val="20"/>
              </w:rPr>
              <w:t>$</w:t>
            </w:r>
            <w:r w:rsidR="00B912EA">
              <w:rPr>
                <w:rFonts w:ascii="Arial Narrow" w:hAnsi="Arial Narrow" w:cs="Arial"/>
                <w:noProof/>
                <w:color w:val="000000"/>
                <w:sz w:val="20"/>
                <w:szCs w:val="20"/>
                <w:highlight w:val="black"/>
              </w:rPr>
              <w:t>'''''''''''''''''''''''</w:t>
            </w:r>
          </w:p>
        </w:tc>
        <w:tc>
          <w:tcPr>
            <w:tcW w:w="631" w:type="pct"/>
            <w:tcBorders>
              <w:top w:val="single" w:sz="4" w:space="0" w:color="auto"/>
              <w:left w:val="single" w:sz="4" w:space="0" w:color="auto"/>
              <w:bottom w:val="single" w:sz="4" w:space="0" w:color="auto"/>
              <w:right w:val="single" w:sz="4" w:space="0" w:color="auto"/>
            </w:tcBorders>
          </w:tcPr>
          <w:p w:rsidR="00993FD4" w:rsidRPr="006B1802" w:rsidRDefault="00993FD4" w:rsidP="00B93A10">
            <w:pPr>
              <w:keepNext/>
              <w:keepLines/>
              <w:spacing w:before="60" w:after="60"/>
              <w:rPr>
                <w:rFonts w:ascii="Arial Narrow" w:hAnsi="Arial Narrow" w:cs="Arial"/>
                <w:sz w:val="20"/>
                <w:szCs w:val="20"/>
              </w:rPr>
            </w:pPr>
            <w:r w:rsidRPr="006B1802">
              <w:rPr>
                <w:rFonts w:ascii="Arial Narrow" w:hAnsi="Arial Narrow" w:cs="Arial"/>
                <w:sz w:val="20"/>
                <w:szCs w:val="20"/>
              </w:rPr>
              <w:t>$</w:t>
            </w:r>
            <w:r w:rsidR="00B912EA">
              <w:rPr>
                <w:rFonts w:ascii="Arial Narrow" w:hAnsi="Arial Narrow" w:cs="Arial"/>
                <w:noProof/>
                <w:color w:val="000000"/>
                <w:sz w:val="20"/>
                <w:szCs w:val="20"/>
                <w:highlight w:val="black"/>
              </w:rPr>
              <w:t>''''''''''''''''''''''''''''</w:t>
            </w:r>
          </w:p>
        </w:tc>
      </w:tr>
      <w:tr w:rsidR="00993FD4" w:rsidRPr="006B1802" w:rsidTr="00993FD4">
        <w:tc>
          <w:tcPr>
            <w:tcW w:w="1210" w:type="pct"/>
            <w:tcBorders>
              <w:top w:val="single" w:sz="4" w:space="0" w:color="auto"/>
              <w:left w:val="single" w:sz="4" w:space="0" w:color="auto"/>
              <w:bottom w:val="single" w:sz="4" w:space="0" w:color="auto"/>
              <w:right w:val="single" w:sz="4" w:space="0" w:color="auto"/>
            </w:tcBorders>
            <w:vAlign w:val="center"/>
          </w:tcPr>
          <w:p w:rsidR="00993FD4" w:rsidRPr="006B1802" w:rsidRDefault="00993FD4" w:rsidP="00B93A10">
            <w:pPr>
              <w:keepNext/>
              <w:keepLines/>
              <w:spacing w:before="60" w:after="60"/>
              <w:rPr>
                <w:rFonts w:ascii="Arial Narrow" w:hAnsi="Arial Narrow" w:cs="Arial"/>
                <w:sz w:val="20"/>
                <w:szCs w:val="20"/>
              </w:rPr>
            </w:pPr>
            <w:r w:rsidRPr="006B1802">
              <w:rPr>
                <w:rFonts w:ascii="Arial Narrow" w:hAnsi="Arial Narrow" w:cs="Arial"/>
                <w:sz w:val="20"/>
                <w:szCs w:val="20"/>
              </w:rPr>
              <w:t>Revised eligible population size – base case estimates for the current minor submission</w:t>
            </w:r>
          </w:p>
        </w:tc>
        <w:tc>
          <w:tcPr>
            <w:tcW w:w="632" w:type="pct"/>
            <w:tcBorders>
              <w:top w:val="single" w:sz="4" w:space="0" w:color="auto"/>
              <w:left w:val="single" w:sz="4" w:space="0" w:color="auto"/>
              <w:bottom w:val="single" w:sz="4" w:space="0" w:color="auto"/>
              <w:right w:val="single" w:sz="4" w:space="0" w:color="auto"/>
            </w:tcBorders>
          </w:tcPr>
          <w:p w:rsidR="00993FD4" w:rsidRPr="006B1802" w:rsidRDefault="00993FD4" w:rsidP="00B93A10">
            <w:pPr>
              <w:keepNext/>
              <w:keepLines/>
              <w:spacing w:before="60" w:after="60"/>
              <w:rPr>
                <w:rFonts w:ascii="Arial Narrow" w:hAnsi="Arial Narrow" w:cs="Arial"/>
                <w:sz w:val="20"/>
                <w:szCs w:val="20"/>
              </w:rPr>
            </w:pPr>
            <w:r w:rsidRPr="006B1802">
              <w:rPr>
                <w:rFonts w:ascii="Arial Narrow" w:hAnsi="Arial Narrow" w:cs="Arial"/>
                <w:sz w:val="20"/>
                <w:szCs w:val="20"/>
              </w:rPr>
              <w:t>$</w:t>
            </w:r>
            <w:r w:rsidR="00B912EA">
              <w:rPr>
                <w:rFonts w:ascii="Arial Narrow" w:hAnsi="Arial Narrow" w:cs="Arial"/>
                <w:noProof/>
                <w:color w:val="000000"/>
                <w:sz w:val="20"/>
                <w:szCs w:val="20"/>
                <w:highlight w:val="black"/>
              </w:rPr>
              <w:t>''''''''''''''''''''''</w:t>
            </w:r>
          </w:p>
        </w:tc>
        <w:tc>
          <w:tcPr>
            <w:tcW w:w="632" w:type="pct"/>
            <w:tcBorders>
              <w:top w:val="single" w:sz="4" w:space="0" w:color="auto"/>
              <w:left w:val="single" w:sz="4" w:space="0" w:color="auto"/>
              <w:bottom w:val="single" w:sz="4" w:space="0" w:color="auto"/>
              <w:right w:val="single" w:sz="4" w:space="0" w:color="auto"/>
            </w:tcBorders>
          </w:tcPr>
          <w:p w:rsidR="00993FD4" w:rsidRPr="006B1802" w:rsidRDefault="00993FD4" w:rsidP="00B93A10">
            <w:pPr>
              <w:keepNext/>
              <w:keepLines/>
              <w:spacing w:before="60" w:after="60"/>
              <w:rPr>
                <w:rFonts w:ascii="Arial Narrow" w:hAnsi="Arial Narrow" w:cs="Arial"/>
                <w:sz w:val="20"/>
                <w:szCs w:val="20"/>
              </w:rPr>
            </w:pPr>
            <w:r w:rsidRPr="006B1802">
              <w:rPr>
                <w:rFonts w:ascii="Arial Narrow" w:hAnsi="Arial Narrow" w:cs="Arial"/>
                <w:sz w:val="20"/>
                <w:szCs w:val="20"/>
              </w:rPr>
              <w:t>$</w:t>
            </w:r>
            <w:r w:rsidR="00B912EA">
              <w:rPr>
                <w:rFonts w:ascii="Arial Narrow" w:hAnsi="Arial Narrow" w:cs="Arial"/>
                <w:noProof/>
                <w:color w:val="000000"/>
                <w:sz w:val="20"/>
                <w:szCs w:val="20"/>
                <w:highlight w:val="black"/>
              </w:rPr>
              <w:t>'''''''''''''''''''''''</w:t>
            </w:r>
          </w:p>
        </w:tc>
        <w:tc>
          <w:tcPr>
            <w:tcW w:w="632" w:type="pct"/>
            <w:tcBorders>
              <w:top w:val="single" w:sz="4" w:space="0" w:color="auto"/>
              <w:left w:val="single" w:sz="4" w:space="0" w:color="auto"/>
              <w:bottom w:val="single" w:sz="4" w:space="0" w:color="auto"/>
              <w:right w:val="single" w:sz="4" w:space="0" w:color="auto"/>
            </w:tcBorders>
          </w:tcPr>
          <w:p w:rsidR="00993FD4" w:rsidRPr="006B1802" w:rsidRDefault="00993FD4" w:rsidP="00B93A10">
            <w:pPr>
              <w:keepNext/>
              <w:keepLines/>
              <w:spacing w:before="60" w:after="60"/>
              <w:rPr>
                <w:rFonts w:ascii="Arial Narrow" w:hAnsi="Arial Narrow" w:cs="Arial"/>
                <w:sz w:val="20"/>
                <w:szCs w:val="20"/>
              </w:rPr>
            </w:pPr>
            <w:r w:rsidRPr="006B1802">
              <w:rPr>
                <w:rFonts w:ascii="Arial Narrow" w:hAnsi="Arial Narrow" w:cs="Arial"/>
                <w:sz w:val="20"/>
                <w:szCs w:val="20"/>
              </w:rPr>
              <w:t>$</w:t>
            </w:r>
            <w:r w:rsidR="00B912EA">
              <w:rPr>
                <w:rFonts w:ascii="Arial Narrow" w:hAnsi="Arial Narrow" w:cs="Arial"/>
                <w:noProof/>
                <w:color w:val="000000"/>
                <w:sz w:val="20"/>
                <w:szCs w:val="20"/>
                <w:highlight w:val="black"/>
              </w:rPr>
              <w:t>''''''''''''''''''''''</w:t>
            </w:r>
          </w:p>
        </w:tc>
        <w:tc>
          <w:tcPr>
            <w:tcW w:w="632" w:type="pct"/>
            <w:tcBorders>
              <w:top w:val="single" w:sz="4" w:space="0" w:color="auto"/>
              <w:left w:val="single" w:sz="4" w:space="0" w:color="auto"/>
              <w:bottom w:val="single" w:sz="4" w:space="0" w:color="auto"/>
              <w:right w:val="single" w:sz="4" w:space="0" w:color="auto"/>
            </w:tcBorders>
          </w:tcPr>
          <w:p w:rsidR="00993FD4" w:rsidRPr="006B1802" w:rsidRDefault="00993FD4" w:rsidP="00B93A10">
            <w:pPr>
              <w:keepNext/>
              <w:keepLines/>
              <w:spacing w:before="60" w:after="60"/>
              <w:rPr>
                <w:rFonts w:ascii="Arial Narrow" w:hAnsi="Arial Narrow" w:cs="Arial"/>
                <w:sz w:val="20"/>
                <w:szCs w:val="20"/>
              </w:rPr>
            </w:pPr>
            <w:r w:rsidRPr="006B1802">
              <w:rPr>
                <w:rFonts w:ascii="Arial Narrow" w:hAnsi="Arial Narrow" w:cs="Arial"/>
                <w:sz w:val="20"/>
                <w:szCs w:val="20"/>
              </w:rPr>
              <w:t>$</w:t>
            </w:r>
            <w:r w:rsidR="00B912EA">
              <w:rPr>
                <w:rFonts w:ascii="Arial Narrow" w:hAnsi="Arial Narrow" w:cs="Arial"/>
                <w:noProof/>
                <w:color w:val="000000"/>
                <w:sz w:val="20"/>
                <w:szCs w:val="20"/>
                <w:highlight w:val="black"/>
              </w:rPr>
              <w:t>'''''''''''''''''''''''</w:t>
            </w:r>
          </w:p>
        </w:tc>
        <w:tc>
          <w:tcPr>
            <w:tcW w:w="632" w:type="pct"/>
            <w:tcBorders>
              <w:top w:val="single" w:sz="4" w:space="0" w:color="auto"/>
              <w:left w:val="single" w:sz="4" w:space="0" w:color="auto"/>
              <w:bottom w:val="single" w:sz="4" w:space="0" w:color="auto"/>
              <w:right w:val="single" w:sz="4" w:space="0" w:color="auto"/>
            </w:tcBorders>
          </w:tcPr>
          <w:p w:rsidR="00993FD4" w:rsidRPr="006B1802" w:rsidRDefault="00993FD4" w:rsidP="00B93A10">
            <w:pPr>
              <w:keepNext/>
              <w:keepLines/>
              <w:spacing w:before="60" w:after="60"/>
              <w:rPr>
                <w:rFonts w:ascii="Arial Narrow" w:hAnsi="Arial Narrow" w:cs="Arial"/>
                <w:sz w:val="20"/>
                <w:szCs w:val="20"/>
              </w:rPr>
            </w:pPr>
            <w:r w:rsidRPr="006B1802">
              <w:rPr>
                <w:rFonts w:ascii="Arial Narrow" w:hAnsi="Arial Narrow" w:cs="Arial"/>
                <w:sz w:val="20"/>
                <w:szCs w:val="20"/>
              </w:rPr>
              <w:t>$</w:t>
            </w:r>
            <w:r w:rsidR="00B912EA">
              <w:rPr>
                <w:rFonts w:ascii="Arial Narrow" w:hAnsi="Arial Narrow" w:cs="Arial"/>
                <w:noProof/>
                <w:color w:val="000000"/>
                <w:sz w:val="20"/>
                <w:szCs w:val="20"/>
                <w:highlight w:val="black"/>
              </w:rPr>
              <w:t>'''''''''''''''''''''</w:t>
            </w:r>
          </w:p>
        </w:tc>
        <w:tc>
          <w:tcPr>
            <w:tcW w:w="631" w:type="pct"/>
            <w:tcBorders>
              <w:top w:val="single" w:sz="4" w:space="0" w:color="auto"/>
              <w:left w:val="single" w:sz="4" w:space="0" w:color="auto"/>
              <w:bottom w:val="single" w:sz="4" w:space="0" w:color="auto"/>
              <w:right w:val="single" w:sz="4" w:space="0" w:color="auto"/>
            </w:tcBorders>
          </w:tcPr>
          <w:p w:rsidR="00993FD4" w:rsidRPr="006B1802" w:rsidRDefault="00993FD4" w:rsidP="00B93A10">
            <w:pPr>
              <w:keepNext/>
              <w:keepLines/>
              <w:spacing w:before="60" w:after="60"/>
              <w:rPr>
                <w:rFonts w:ascii="Arial Narrow" w:hAnsi="Arial Narrow" w:cs="Arial"/>
                <w:sz w:val="20"/>
                <w:szCs w:val="20"/>
              </w:rPr>
            </w:pPr>
            <w:r w:rsidRPr="006B1802">
              <w:rPr>
                <w:rFonts w:ascii="Arial Narrow" w:hAnsi="Arial Narrow" w:cs="Arial"/>
                <w:sz w:val="20"/>
                <w:szCs w:val="20"/>
              </w:rPr>
              <w:t>$</w:t>
            </w:r>
            <w:r w:rsidR="00B912EA">
              <w:rPr>
                <w:rFonts w:ascii="Arial Narrow" w:hAnsi="Arial Narrow" w:cs="Arial"/>
                <w:noProof/>
                <w:color w:val="000000"/>
                <w:sz w:val="20"/>
                <w:szCs w:val="20"/>
                <w:highlight w:val="black"/>
              </w:rPr>
              <w:t>'''''''''''''''''''''''</w:t>
            </w:r>
          </w:p>
        </w:tc>
      </w:tr>
    </w:tbl>
    <w:p w:rsidR="00993FD4" w:rsidRPr="006B1802" w:rsidRDefault="00993FD4" w:rsidP="00B93A10">
      <w:pPr>
        <w:spacing w:before="40" w:after="360"/>
        <w:contextualSpacing/>
        <w:rPr>
          <w:rFonts w:asciiTheme="minorHAnsi" w:eastAsiaTheme="majorEastAsia" w:hAnsiTheme="minorHAnsi" w:cstheme="majorBidi"/>
          <w:sz w:val="20"/>
          <w:szCs w:val="20"/>
          <w:lang w:eastAsia="en-US"/>
        </w:rPr>
      </w:pPr>
      <w:r w:rsidRPr="006B1802">
        <w:rPr>
          <w:rFonts w:ascii="Arial Narrow" w:hAnsi="Arial Narrow"/>
          <w:sz w:val="20"/>
          <w:szCs w:val="20"/>
          <w:lang w:eastAsia="en-US"/>
        </w:rPr>
        <w:t xml:space="preserve">Source: table 4-3, p21 minor submission. </w:t>
      </w:r>
      <w:bookmarkEnd w:id="8"/>
    </w:p>
    <w:p w:rsidR="004C7CFC" w:rsidRPr="006B1802" w:rsidRDefault="00D85381" w:rsidP="00B93A10">
      <w:pPr>
        <w:pStyle w:val="Heading2"/>
        <w:keepLines/>
        <w:spacing w:before="240" w:after="120"/>
        <w:rPr>
          <w:rFonts w:asciiTheme="minorHAnsi" w:eastAsiaTheme="majorEastAsia" w:hAnsiTheme="minorHAnsi" w:cstheme="majorBidi"/>
          <w:sz w:val="28"/>
          <w:szCs w:val="28"/>
          <w:lang w:eastAsia="en-US"/>
        </w:rPr>
      </w:pPr>
      <w:r w:rsidRPr="006B1802">
        <w:rPr>
          <w:rFonts w:asciiTheme="minorHAnsi" w:eastAsiaTheme="majorEastAsia" w:hAnsiTheme="minorHAnsi" w:cstheme="majorBidi"/>
          <w:sz w:val="28"/>
          <w:szCs w:val="28"/>
          <w:lang w:eastAsia="en-US"/>
        </w:rPr>
        <w:t>Financial Management –</w:t>
      </w:r>
      <w:r w:rsidR="00FE168E" w:rsidRPr="006B1802">
        <w:rPr>
          <w:rFonts w:asciiTheme="minorHAnsi" w:eastAsiaTheme="majorEastAsia" w:hAnsiTheme="minorHAnsi" w:cstheme="majorBidi"/>
          <w:sz w:val="28"/>
          <w:szCs w:val="28"/>
          <w:lang w:eastAsia="en-US"/>
        </w:rPr>
        <w:t xml:space="preserve"> </w:t>
      </w:r>
      <w:r w:rsidRPr="006B1802">
        <w:rPr>
          <w:rFonts w:asciiTheme="minorHAnsi" w:eastAsiaTheme="majorEastAsia" w:hAnsiTheme="minorHAnsi" w:cstheme="majorBidi"/>
          <w:sz w:val="28"/>
          <w:szCs w:val="28"/>
          <w:lang w:eastAsia="en-US"/>
        </w:rPr>
        <w:t>Risk Sharing Arrangements</w:t>
      </w:r>
    </w:p>
    <w:p w:rsidR="00A2326B" w:rsidRPr="006B1802" w:rsidRDefault="00D85381" w:rsidP="00B93A10">
      <w:pPr>
        <w:pStyle w:val="ListParagraph"/>
        <w:widowControl/>
        <w:numPr>
          <w:ilvl w:val="1"/>
          <w:numId w:val="14"/>
        </w:numPr>
        <w:spacing w:after="120"/>
        <w:contextualSpacing w:val="0"/>
        <w:rPr>
          <w:rFonts w:asciiTheme="minorHAnsi" w:hAnsiTheme="minorHAnsi"/>
          <w:szCs w:val="22"/>
        </w:rPr>
      </w:pPr>
      <w:r w:rsidRPr="006B1802">
        <w:rPr>
          <w:rFonts w:asciiTheme="minorHAnsi" w:hAnsiTheme="minorHAnsi"/>
          <w:sz w:val="24"/>
          <w:szCs w:val="24"/>
        </w:rPr>
        <w:t>The sponsor proposed a</w:t>
      </w:r>
      <w:r w:rsidR="00A2326B" w:rsidRPr="006B1802">
        <w:rPr>
          <w:rFonts w:asciiTheme="minorHAnsi" w:hAnsiTheme="minorHAnsi"/>
          <w:sz w:val="24"/>
          <w:szCs w:val="24"/>
        </w:rPr>
        <w:t xml:space="preserve"> cap-based risk-sharing arrangement </w:t>
      </w:r>
      <w:r w:rsidR="002F015F" w:rsidRPr="006B1802">
        <w:rPr>
          <w:rFonts w:asciiTheme="minorHAnsi" w:hAnsiTheme="minorHAnsi"/>
          <w:sz w:val="24"/>
          <w:szCs w:val="24"/>
        </w:rPr>
        <w:t xml:space="preserve">(RSA) </w:t>
      </w:r>
      <w:r w:rsidR="006B1802">
        <w:rPr>
          <w:rFonts w:asciiTheme="minorHAnsi" w:hAnsiTheme="minorHAnsi"/>
          <w:sz w:val="24"/>
          <w:szCs w:val="24"/>
        </w:rPr>
        <w:t xml:space="preserve">with </w:t>
      </w:r>
      <w:r w:rsidR="00C61D3F" w:rsidRPr="006B1802">
        <w:rPr>
          <w:rFonts w:asciiTheme="minorHAnsi" w:hAnsiTheme="minorHAnsi"/>
          <w:sz w:val="24"/>
          <w:szCs w:val="24"/>
        </w:rPr>
        <w:t xml:space="preserve">any PBS expenditures </w:t>
      </w:r>
      <w:r w:rsidR="006B1802">
        <w:rPr>
          <w:rFonts w:asciiTheme="minorHAnsi" w:hAnsiTheme="minorHAnsi"/>
          <w:sz w:val="24"/>
          <w:szCs w:val="24"/>
        </w:rPr>
        <w:t xml:space="preserve">beyond </w:t>
      </w:r>
      <w:r w:rsidR="00C61D3F" w:rsidRPr="006B1802">
        <w:rPr>
          <w:rFonts w:asciiTheme="minorHAnsi" w:hAnsiTheme="minorHAnsi"/>
          <w:sz w:val="24"/>
          <w:szCs w:val="24"/>
        </w:rPr>
        <w:t xml:space="preserve">these </w:t>
      </w:r>
      <w:r w:rsidR="00A2326B" w:rsidRPr="006B1802">
        <w:rPr>
          <w:rFonts w:asciiTheme="minorHAnsi" w:hAnsiTheme="minorHAnsi"/>
          <w:sz w:val="24"/>
          <w:szCs w:val="24"/>
        </w:rPr>
        <w:t xml:space="preserve">caps </w:t>
      </w:r>
      <w:r w:rsidR="006B1802">
        <w:rPr>
          <w:rFonts w:asciiTheme="minorHAnsi" w:hAnsiTheme="minorHAnsi"/>
          <w:sz w:val="24"/>
          <w:szCs w:val="24"/>
        </w:rPr>
        <w:t xml:space="preserve">would result in a </w:t>
      </w:r>
      <w:r w:rsidR="00A2326B" w:rsidRPr="006B1802">
        <w:rPr>
          <w:rFonts w:asciiTheme="minorHAnsi" w:hAnsiTheme="minorHAnsi"/>
          <w:sz w:val="24"/>
          <w:szCs w:val="24"/>
        </w:rPr>
        <w:t>100% rebate (</w:t>
      </w:r>
      <w:r w:rsidR="00C61D3F" w:rsidRPr="006B1802">
        <w:rPr>
          <w:rFonts w:asciiTheme="minorHAnsi" w:hAnsiTheme="minorHAnsi"/>
          <w:sz w:val="24"/>
          <w:szCs w:val="24"/>
        </w:rPr>
        <w:t xml:space="preserve">hard cap). </w:t>
      </w:r>
      <w:r w:rsidR="00A2326B" w:rsidRPr="006B1802">
        <w:rPr>
          <w:rFonts w:asciiTheme="minorHAnsi" w:hAnsiTheme="minorHAnsi"/>
          <w:sz w:val="24"/>
          <w:szCs w:val="24"/>
        </w:rPr>
        <w:t xml:space="preserve">The </w:t>
      </w:r>
      <w:r w:rsidR="002F015F" w:rsidRPr="006B1802">
        <w:rPr>
          <w:rFonts w:asciiTheme="minorHAnsi" w:hAnsiTheme="minorHAnsi"/>
          <w:sz w:val="24"/>
          <w:szCs w:val="24"/>
        </w:rPr>
        <w:t>sponsor requested the</w:t>
      </w:r>
      <w:r w:rsidR="00A2326B" w:rsidRPr="006B1802">
        <w:rPr>
          <w:rFonts w:asciiTheme="minorHAnsi" w:hAnsiTheme="minorHAnsi"/>
          <w:sz w:val="24"/>
          <w:szCs w:val="24"/>
        </w:rPr>
        <w:t xml:space="preserve"> RSA caps </w:t>
      </w:r>
      <w:r w:rsidR="002F015F" w:rsidRPr="006B1802">
        <w:rPr>
          <w:rFonts w:asciiTheme="minorHAnsi" w:hAnsiTheme="minorHAnsi"/>
          <w:sz w:val="24"/>
          <w:szCs w:val="24"/>
        </w:rPr>
        <w:t xml:space="preserve">to be </w:t>
      </w:r>
      <w:r w:rsidR="00A2326B" w:rsidRPr="006B1802">
        <w:rPr>
          <w:rFonts w:asciiTheme="minorHAnsi" w:hAnsiTheme="minorHAnsi"/>
          <w:sz w:val="24"/>
          <w:szCs w:val="24"/>
        </w:rPr>
        <w:t>based on cumulative estimates, not yearly estimates</w:t>
      </w:r>
      <w:r w:rsidR="002F015F" w:rsidRPr="006B1802">
        <w:rPr>
          <w:rFonts w:asciiTheme="minorHAnsi" w:hAnsiTheme="minorHAnsi"/>
          <w:sz w:val="24"/>
          <w:szCs w:val="24"/>
        </w:rPr>
        <w:t>. Ho</w:t>
      </w:r>
      <w:r w:rsidR="00A2326B" w:rsidRPr="006B1802">
        <w:rPr>
          <w:rFonts w:asciiTheme="minorHAnsi" w:hAnsiTheme="minorHAnsi"/>
          <w:sz w:val="24"/>
          <w:szCs w:val="24"/>
        </w:rPr>
        <w:t xml:space="preserve">wever, </w:t>
      </w:r>
      <w:r w:rsidR="002F015F" w:rsidRPr="006B1802">
        <w:rPr>
          <w:rFonts w:asciiTheme="minorHAnsi" w:hAnsiTheme="minorHAnsi"/>
          <w:sz w:val="24"/>
          <w:szCs w:val="24"/>
        </w:rPr>
        <w:t>the submission stated the sponsor is</w:t>
      </w:r>
      <w:r w:rsidR="00A2326B" w:rsidRPr="006B1802">
        <w:rPr>
          <w:rFonts w:asciiTheme="minorHAnsi" w:hAnsiTheme="minorHAnsi"/>
          <w:sz w:val="24"/>
          <w:szCs w:val="24"/>
        </w:rPr>
        <w:t xml:space="preserve"> willing to receive PBAC’s direction on the formulation of </w:t>
      </w:r>
      <w:r w:rsidR="002F015F" w:rsidRPr="006B1802">
        <w:rPr>
          <w:rFonts w:asciiTheme="minorHAnsi" w:hAnsiTheme="minorHAnsi"/>
          <w:sz w:val="24"/>
          <w:szCs w:val="24"/>
        </w:rPr>
        <w:t xml:space="preserve">the </w:t>
      </w:r>
      <w:r w:rsidR="00A2326B" w:rsidRPr="006B1802">
        <w:rPr>
          <w:rFonts w:asciiTheme="minorHAnsi" w:hAnsiTheme="minorHAnsi"/>
          <w:sz w:val="24"/>
          <w:szCs w:val="24"/>
        </w:rPr>
        <w:t>RSA.</w:t>
      </w:r>
      <w:r w:rsidR="002F015F" w:rsidRPr="006B1802">
        <w:rPr>
          <w:rFonts w:asciiTheme="minorHAnsi" w:hAnsiTheme="minorHAnsi"/>
          <w:sz w:val="24"/>
          <w:szCs w:val="24"/>
        </w:rPr>
        <w:t xml:space="preserve"> The table below outlines the proposed cap base.</w:t>
      </w:r>
      <w:r w:rsidR="007357C1" w:rsidRPr="006B1802">
        <w:rPr>
          <w:rFonts w:asciiTheme="minorHAnsi" w:hAnsiTheme="minorHAnsi"/>
          <w:sz w:val="24"/>
          <w:szCs w:val="24"/>
        </w:rPr>
        <w:t xml:space="preserve"> </w:t>
      </w:r>
      <w:r w:rsidR="004C1766" w:rsidRPr="006B1802">
        <w:rPr>
          <w:rFonts w:asciiTheme="minorHAnsi" w:hAnsiTheme="minorHAnsi"/>
          <w:sz w:val="24"/>
          <w:szCs w:val="24"/>
        </w:rPr>
        <w:t xml:space="preserve">The </w:t>
      </w:r>
      <w:r w:rsidR="009154DF" w:rsidRPr="006B1802">
        <w:rPr>
          <w:rFonts w:asciiTheme="minorHAnsi" w:hAnsiTheme="minorHAnsi"/>
          <w:sz w:val="24"/>
          <w:szCs w:val="24"/>
        </w:rPr>
        <w:t xml:space="preserve">Department advised </w:t>
      </w:r>
      <w:r w:rsidR="006B1802">
        <w:rPr>
          <w:rFonts w:asciiTheme="minorHAnsi" w:hAnsiTheme="minorHAnsi"/>
          <w:sz w:val="24"/>
          <w:szCs w:val="24"/>
        </w:rPr>
        <w:t xml:space="preserve">that </w:t>
      </w:r>
      <w:r w:rsidR="009154DF" w:rsidRPr="006B1802">
        <w:rPr>
          <w:rFonts w:asciiTheme="minorHAnsi" w:hAnsiTheme="minorHAnsi"/>
          <w:sz w:val="24"/>
          <w:szCs w:val="24"/>
        </w:rPr>
        <w:t xml:space="preserve">the </w:t>
      </w:r>
      <w:r w:rsidR="004C1766" w:rsidRPr="006B1802">
        <w:rPr>
          <w:rFonts w:asciiTheme="minorHAnsi" w:hAnsiTheme="minorHAnsi"/>
          <w:sz w:val="24"/>
          <w:szCs w:val="24"/>
        </w:rPr>
        <w:t xml:space="preserve">caps </w:t>
      </w:r>
      <w:r w:rsidR="009154DF" w:rsidRPr="006B1802">
        <w:rPr>
          <w:rFonts w:asciiTheme="minorHAnsi" w:hAnsiTheme="minorHAnsi"/>
          <w:sz w:val="24"/>
          <w:szCs w:val="24"/>
        </w:rPr>
        <w:t xml:space="preserve">in the RSA </w:t>
      </w:r>
      <w:r w:rsidR="004C1766" w:rsidRPr="006B1802">
        <w:rPr>
          <w:rFonts w:asciiTheme="minorHAnsi" w:hAnsiTheme="minorHAnsi"/>
          <w:sz w:val="24"/>
          <w:szCs w:val="24"/>
        </w:rPr>
        <w:t xml:space="preserve">should not be </w:t>
      </w:r>
      <w:r w:rsidR="006B1802">
        <w:rPr>
          <w:rFonts w:asciiTheme="minorHAnsi" w:hAnsiTheme="minorHAnsi"/>
          <w:sz w:val="24"/>
          <w:szCs w:val="24"/>
        </w:rPr>
        <w:t>cumulative.</w:t>
      </w:r>
      <w:r w:rsidR="004C1766" w:rsidRPr="006B1802">
        <w:rPr>
          <w:rFonts w:asciiTheme="minorHAnsi" w:hAnsiTheme="minorHAnsi"/>
          <w:sz w:val="24"/>
          <w:szCs w:val="24"/>
        </w:rPr>
        <w:t xml:space="preserve"> </w:t>
      </w:r>
    </w:p>
    <w:p w:rsidR="00993FD4" w:rsidRPr="006B1802" w:rsidRDefault="00993FD4" w:rsidP="00B93A10">
      <w:pPr>
        <w:pStyle w:val="Caption"/>
        <w:keepNext/>
        <w:spacing w:after="0"/>
        <w:rPr>
          <w:rFonts w:ascii="Arial Narrow" w:hAnsi="Arial Narrow"/>
          <w:color w:val="auto"/>
          <w:sz w:val="20"/>
          <w:szCs w:val="20"/>
        </w:rPr>
      </w:pPr>
      <w:r w:rsidRPr="006B1802">
        <w:rPr>
          <w:rFonts w:ascii="Arial Narrow" w:hAnsi="Arial Narrow"/>
          <w:color w:val="auto"/>
          <w:sz w:val="20"/>
          <w:szCs w:val="20"/>
        </w:rPr>
        <w:t xml:space="preserve">Table </w:t>
      </w:r>
      <w:r w:rsidR="00CC525E" w:rsidRPr="006B1802">
        <w:rPr>
          <w:rFonts w:ascii="Arial Narrow" w:hAnsi="Arial Narrow"/>
          <w:color w:val="auto"/>
          <w:sz w:val="20"/>
          <w:szCs w:val="20"/>
        </w:rPr>
        <w:t>9</w:t>
      </w:r>
      <w:r w:rsidR="002E5197" w:rsidRPr="006B1802">
        <w:rPr>
          <w:rFonts w:ascii="Arial Narrow" w:hAnsi="Arial Narrow"/>
          <w:color w:val="auto"/>
          <w:sz w:val="20"/>
          <w:szCs w:val="20"/>
        </w:rPr>
        <w:t xml:space="preserve">: </w:t>
      </w:r>
      <w:r w:rsidRPr="006B1802">
        <w:rPr>
          <w:rFonts w:ascii="Arial Narrow" w:hAnsi="Arial Narrow"/>
          <w:color w:val="auto"/>
          <w:sz w:val="20"/>
          <w:szCs w:val="20"/>
        </w:rPr>
        <w:t xml:space="preserve"> Proposed cap-based RSAs for tolvaptan</w:t>
      </w:r>
    </w:p>
    <w:tbl>
      <w:tblPr>
        <w:tblW w:w="5000" w:type="pct"/>
        <w:tblCellMar>
          <w:left w:w="57" w:type="dxa"/>
          <w:right w:w="57" w:type="dxa"/>
        </w:tblCellMar>
        <w:tblLook w:val="04A0" w:firstRow="1" w:lastRow="0" w:firstColumn="1" w:lastColumn="0" w:noHBand="0" w:noVBand="1"/>
      </w:tblPr>
      <w:tblGrid>
        <w:gridCol w:w="2530"/>
        <w:gridCol w:w="1322"/>
        <w:gridCol w:w="1322"/>
        <w:gridCol w:w="1323"/>
        <w:gridCol w:w="1323"/>
        <w:gridCol w:w="1320"/>
      </w:tblGrid>
      <w:tr w:rsidR="00C61D3F" w:rsidRPr="006B1802" w:rsidTr="00531402">
        <w:tc>
          <w:tcPr>
            <w:tcW w:w="1384" w:type="pct"/>
            <w:tcBorders>
              <w:top w:val="single" w:sz="4" w:space="0" w:color="auto"/>
              <w:left w:val="single" w:sz="4" w:space="0" w:color="auto"/>
              <w:bottom w:val="single" w:sz="4" w:space="0" w:color="auto"/>
              <w:right w:val="single" w:sz="4" w:space="0" w:color="auto"/>
            </w:tcBorders>
          </w:tcPr>
          <w:p w:rsidR="00C61D3F" w:rsidRPr="006B1802" w:rsidRDefault="00C61D3F" w:rsidP="00B93A10">
            <w:pPr>
              <w:rPr>
                <w:rFonts w:ascii="Arial Narrow" w:hAnsi="Arial Narrow" w:cs="Arial"/>
                <w:b/>
                <w:sz w:val="20"/>
                <w:szCs w:val="20"/>
              </w:rPr>
            </w:pPr>
            <w:r w:rsidRPr="006B1802">
              <w:rPr>
                <w:rFonts w:ascii="Arial Narrow" w:hAnsi="Arial Narrow" w:cs="Arial"/>
                <w:b/>
                <w:sz w:val="20"/>
                <w:szCs w:val="20"/>
              </w:rPr>
              <w:t xml:space="preserve">Year </w:t>
            </w:r>
          </w:p>
        </w:tc>
        <w:tc>
          <w:tcPr>
            <w:tcW w:w="723" w:type="pct"/>
            <w:tcBorders>
              <w:top w:val="single" w:sz="4" w:space="0" w:color="auto"/>
              <w:left w:val="single" w:sz="4" w:space="0" w:color="auto"/>
              <w:bottom w:val="single" w:sz="4" w:space="0" w:color="auto"/>
              <w:right w:val="single" w:sz="4" w:space="0" w:color="auto"/>
            </w:tcBorders>
          </w:tcPr>
          <w:p w:rsidR="00C61D3F" w:rsidRPr="006B1802" w:rsidRDefault="00C61D3F" w:rsidP="00B93A10">
            <w:pPr>
              <w:rPr>
                <w:rFonts w:ascii="Arial Narrow" w:hAnsi="Arial Narrow" w:cs="Arial"/>
                <w:b/>
                <w:sz w:val="20"/>
                <w:szCs w:val="20"/>
              </w:rPr>
            </w:pPr>
            <w:r w:rsidRPr="006B1802">
              <w:rPr>
                <w:rFonts w:ascii="Arial Narrow" w:hAnsi="Arial Narrow" w:cs="Arial"/>
                <w:b/>
                <w:sz w:val="20"/>
                <w:szCs w:val="20"/>
              </w:rPr>
              <w:t xml:space="preserve">Year 1 </w:t>
            </w:r>
          </w:p>
        </w:tc>
        <w:tc>
          <w:tcPr>
            <w:tcW w:w="723" w:type="pct"/>
            <w:tcBorders>
              <w:top w:val="single" w:sz="4" w:space="0" w:color="auto"/>
              <w:left w:val="single" w:sz="4" w:space="0" w:color="auto"/>
              <w:bottom w:val="single" w:sz="4" w:space="0" w:color="auto"/>
              <w:right w:val="single" w:sz="4" w:space="0" w:color="auto"/>
            </w:tcBorders>
          </w:tcPr>
          <w:p w:rsidR="00C61D3F" w:rsidRPr="006B1802" w:rsidRDefault="00C61D3F" w:rsidP="00B93A10">
            <w:pPr>
              <w:rPr>
                <w:rFonts w:ascii="Arial Narrow" w:hAnsi="Arial Narrow" w:cs="Arial"/>
                <w:b/>
                <w:sz w:val="20"/>
                <w:szCs w:val="20"/>
              </w:rPr>
            </w:pPr>
            <w:r w:rsidRPr="006B1802">
              <w:rPr>
                <w:rFonts w:ascii="Arial Narrow" w:hAnsi="Arial Narrow" w:cs="Arial"/>
                <w:b/>
                <w:sz w:val="20"/>
                <w:szCs w:val="20"/>
              </w:rPr>
              <w:t xml:space="preserve">Year 2 </w:t>
            </w:r>
          </w:p>
        </w:tc>
        <w:tc>
          <w:tcPr>
            <w:tcW w:w="724" w:type="pct"/>
            <w:tcBorders>
              <w:top w:val="single" w:sz="4" w:space="0" w:color="auto"/>
              <w:left w:val="single" w:sz="4" w:space="0" w:color="auto"/>
              <w:bottom w:val="single" w:sz="4" w:space="0" w:color="auto"/>
              <w:right w:val="single" w:sz="4" w:space="0" w:color="auto"/>
            </w:tcBorders>
          </w:tcPr>
          <w:p w:rsidR="00C61D3F" w:rsidRPr="006B1802" w:rsidRDefault="00C61D3F" w:rsidP="00B93A10">
            <w:pPr>
              <w:rPr>
                <w:rFonts w:ascii="Arial Narrow" w:hAnsi="Arial Narrow" w:cs="Arial"/>
                <w:b/>
                <w:sz w:val="20"/>
                <w:szCs w:val="20"/>
              </w:rPr>
            </w:pPr>
            <w:r w:rsidRPr="006B1802">
              <w:rPr>
                <w:rFonts w:ascii="Arial Narrow" w:hAnsi="Arial Narrow" w:cs="Arial"/>
                <w:b/>
                <w:sz w:val="20"/>
                <w:szCs w:val="20"/>
              </w:rPr>
              <w:t xml:space="preserve">Year 3 </w:t>
            </w:r>
          </w:p>
        </w:tc>
        <w:tc>
          <w:tcPr>
            <w:tcW w:w="724" w:type="pct"/>
            <w:tcBorders>
              <w:top w:val="single" w:sz="4" w:space="0" w:color="auto"/>
              <w:left w:val="single" w:sz="4" w:space="0" w:color="auto"/>
              <w:bottom w:val="single" w:sz="4" w:space="0" w:color="auto"/>
              <w:right w:val="single" w:sz="4" w:space="0" w:color="auto"/>
            </w:tcBorders>
          </w:tcPr>
          <w:p w:rsidR="00C61D3F" w:rsidRPr="006B1802" w:rsidRDefault="00C61D3F" w:rsidP="00B93A10">
            <w:pPr>
              <w:rPr>
                <w:rFonts w:ascii="Arial Narrow" w:hAnsi="Arial Narrow" w:cs="Arial"/>
                <w:b/>
                <w:sz w:val="20"/>
                <w:szCs w:val="20"/>
              </w:rPr>
            </w:pPr>
            <w:r w:rsidRPr="006B1802">
              <w:rPr>
                <w:rFonts w:ascii="Arial Narrow" w:hAnsi="Arial Narrow" w:cs="Arial"/>
                <w:b/>
                <w:sz w:val="20"/>
                <w:szCs w:val="20"/>
              </w:rPr>
              <w:t xml:space="preserve">Year 4 </w:t>
            </w:r>
          </w:p>
        </w:tc>
        <w:tc>
          <w:tcPr>
            <w:tcW w:w="722" w:type="pct"/>
            <w:tcBorders>
              <w:top w:val="single" w:sz="4" w:space="0" w:color="auto"/>
              <w:left w:val="single" w:sz="4" w:space="0" w:color="auto"/>
              <w:bottom w:val="single" w:sz="4" w:space="0" w:color="auto"/>
              <w:right w:val="single" w:sz="4" w:space="0" w:color="auto"/>
            </w:tcBorders>
          </w:tcPr>
          <w:p w:rsidR="00C61D3F" w:rsidRPr="006B1802" w:rsidRDefault="00C61D3F" w:rsidP="00B93A10">
            <w:pPr>
              <w:rPr>
                <w:rFonts w:ascii="Arial Narrow" w:hAnsi="Arial Narrow" w:cs="Arial"/>
                <w:b/>
                <w:sz w:val="20"/>
                <w:szCs w:val="20"/>
              </w:rPr>
            </w:pPr>
            <w:r w:rsidRPr="006B1802">
              <w:rPr>
                <w:rFonts w:ascii="Arial Narrow" w:hAnsi="Arial Narrow" w:cs="Arial"/>
                <w:b/>
                <w:sz w:val="20"/>
                <w:szCs w:val="20"/>
              </w:rPr>
              <w:t xml:space="preserve">Year 5 </w:t>
            </w:r>
          </w:p>
        </w:tc>
      </w:tr>
      <w:tr w:rsidR="00C61D3F" w:rsidRPr="006B1802" w:rsidTr="00531402">
        <w:tc>
          <w:tcPr>
            <w:tcW w:w="1384" w:type="pct"/>
            <w:tcBorders>
              <w:top w:val="single" w:sz="4" w:space="0" w:color="auto"/>
              <w:left w:val="single" w:sz="4" w:space="0" w:color="auto"/>
              <w:bottom w:val="single" w:sz="4" w:space="0" w:color="auto"/>
              <w:right w:val="single" w:sz="4" w:space="0" w:color="auto"/>
            </w:tcBorders>
            <w:vAlign w:val="center"/>
          </w:tcPr>
          <w:p w:rsidR="00C61D3F" w:rsidRPr="006B1802" w:rsidRDefault="00C61D3F" w:rsidP="00B93A10">
            <w:pPr>
              <w:rPr>
                <w:rFonts w:ascii="Arial Narrow" w:hAnsi="Arial Narrow" w:cs="Arial"/>
                <w:sz w:val="20"/>
                <w:szCs w:val="20"/>
              </w:rPr>
            </w:pPr>
            <w:r w:rsidRPr="006B1802">
              <w:rPr>
                <w:rFonts w:ascii="Arial Narrow" w:hAnsi="Arial Narrow" w:cs="Arial"/>
                <w:sz w:val="20"/>
                <w:szCs w:val="20"/>
              </w:rPr>
              <w:t xml:space="preserve">Yearly estimates to Year 5 </w:t>
            </w:r>
          </w:p>
        </w:tc>
        <w:tc>
          <w:tcPr>
            <w:tcW w:w="723" w:type="pct"/>
            <w:tcBorders>
              <w:top w:val="single" w:sz="4" w:space="0" w:color="auto"/>
              <w:left w:val="single" w:sz="4" w:space="0" w:color="auto"/>
              <w:bottom w:val="single" w:sz="4" w:space="0" w:color="auto"/>
              <w:right w:val="single" w:sz="4" w:space="0" w:color="auto"/>
            </w:tcBorders>
          </w:tcPr>
          <w:p w:rsidR="00C61D3F" w:rsidRPr="006B1802" w:rsidRDefault="00C61D3F" w:rsidP="00B93A10">
            <w:pPr>
              <w:rPr>
                <w:rFonts w:ascii="Arial Narrow" w:hAnsi="Arial Narrow" w:cs="Arial"/>
                <w:sz w:val="20"/>
                <w:szCs w:val="20"/>
              </w:rPr>
            </w:pPr>
            <w:r w:rsidRPr="006B1802">
              <w:rPr>
                <w:rFonts w:ascii="Arial Narrow" w:hAnsi="Arial Narrow" w:cs="Arial"/>
                <w:sz w:val="20"/>
                <w:szCs w:val="20"/>
              </w:rPr>
              <w:t>$</w:t>
            </w:r>
            <w:r w:rsidR="00B912EA">
              <w:rPr>
                <w:rFonts w:ascii="Arial Narrow" w:hAnsi="Arial Narrow" w:cs="Arial"/>
                <w:noProof/>
                <w:color w:val="000000"/>
                <w:sz w:val="20"/>
                <w:szCs w:val="20"/>
                <w:highlight w:val="black"/>
              </w:rPr>
              <w:t>'''''''''''''''''''''''</w:t>
            </w:r>
          </w:p>
        </w:tc>
        <w:tc>
          <w:tcPr>
            <w:tcW w:w="723" w:type="pct"/>
            <w:tcBorders>
              <w:top w:val="single" w:sz="4" w:space="0" w:color="auto"/>
              <w:left w:val="single" w:sz="4" w:space="0" w:color="auto"/>
              <w:bottom w:val="single" w:sz="4" w:space="0" w:color="auto"/>
              <w:right w:val="single" w:sz="4" w:space="0" w:color="auto"/>
            </w:tcBorders>
          </w:tcPr>
          <w:p w:rsidR="00C61D3F" w:rsidRPr="006B1802" w:rsidRDefault="00C61D3F" w:rsidP="00B93A10">
            <w:pPr>
              <w:rPr>
                <w:rFonts w:ascii="Arial Narrow" w:hAnsi="Arial Narrow" w:cs="Arial"/>
                <w:sz w:val="20"/>
                <w:szCs w:val="20"/>
              </w:rPr>
            </w:pPr>
            <w:r w:rsidRPr="006B1802">
              <w:rPr>
                <w:rFonts w:ascii="Arial Narrow" w:hAnsi="Arial Narrow" w:cs="Arial"/>
                <w:sz w:val="20"/>
                <w:szCs w:val="20"/>
              </w:rPr>
              <w:t>$</w:t>
            </w:r>
            <w:r w:rsidR="00B912EA">
              <w:rPr>
                <w:rFonts w:ascii="Arial Narrow" w:hAnsi="Arial Narrow" w:cs="Arial"/>
                <w:noProof/>
                <w:color w:val="000000"/>
                <w:sz w:val="20"/>
                <w:szCs w:val="20"/>
                <w:highlight w:val="black"/>
              </w:rPr>
              <w:t>'''''''''''''''''''''</w:t>
            </w:r>
          </w:p>
        </w:tc>
        <w:tc>
          <w:tcPr>
            <w:tcW w:w="724" w:type="pct"/>
            <w:tcBorders>
              <w:top w:val="single" w:sz="4" w:space="0" w:color="auto"/>
              <w:left w:val="single" w:sz="4" w:space="0" w:color="auto"/>
              <w:bottom w:val="single" w:sz="4" w:space="0" w:color="auto"/>
              <w:right w:val="single" w:sz="4" w:space="0" w:color="auto"/>
            </w:tcBorders>
          </w:tcPr>
          <w:p w:rsidR="00C61D3F" w:rsidRPr="006B1802" w:rsidRDefault="00C61D3F" w:rsidP="00B93A10">
            <w:pPr>
              <w:rPr>
                <w:rFonts w:ascii="Arial Narrow" w:hAnsi="Arial Narrow" w:cs="Arial"/>
                <w:sz w:val="20"/>
                <w:szCs w:val="20"/>
              </w:rPr>
            </w:pPr>
            <w:r w:rsidRPr="006B1802">
              <w:rPr>
                <w:rFonts w:ascii="Arial Narrow" w:hAnsi="Arial Narrow" w:cs="Arial"/>
                <w:sz w:val="20"/>
                <w:szCs w:val="20"/>
              </w:rPr>
              <w:t>$</w:t>
            </w:r>
            <w:r w:rsidR="00B912EA">
              <w:rPr>
                <w:rFonts w:ascii="Arial Narrow" w:hAnsi="Arial Narrow" w:cs="Arial"/>
                <w:noProof/>
                <w:color w:val="000000"/>
                <w:sz w:val="20"/>
                <w:szCs w:val="20"/>
                <w:highlight w:val="black"/>
              </w:rPr>
              <w:t>''''''''''''''''''''''''</w:t>
            </w:r>
          </w:p>
        </w:tc>
        <w:tc>
          <w:tcPr>
            <w:tcW w:w="724" w:type="pct"/>
            <w:tcBorders>
              <w:top w:val="single" w:sz="4" w:space="0" w:color="auto"/>
              <w:left w:val="single" w:sz="4" w:space="0" w:color="auto"/>
              <w:bottom w:val="single" w:sz="4" w:space="0" w:color="auto"/>
              <w:right w:val="single" w:sz="4" w:space="0" w:color="auto"/>
            </w:tcBorders>
          </w:tcPr>
          <w:p w:rsidR="00C61D3F" w:rsidRPr="006B1802" w:rsidRDefault="00C61D3F" w:rsidP="00B93A10">
            <w:pPr>
              <w:rPr>
                <w:rFonts w:ascii="Arial Narrow" w:hAnsi="Arial Narrow" w:cs="Arial"/>
                <w:sz w:val="20"/>
                <w:szCs w:val="20"/>
              </w:rPr>
            </w:pPr>
            <w:r w:rsidRPr="006B1802">
              <w:rPr>
                <w:rFonts w:ascii="Arial Narrow" w:hAnsi="Arial Narrow" w:cs="Arial"/>
                <w:sz w:val="20"/>
                <w:szCs w:val="20"/>
              </w:rPr>
              <w:t>$</w:t>
            </w:r>
            <w:r w:rsidR="00B912EA">
              <w:rPr>
                <w:rFonts w:ascii="Arial Narrow" w:hAnsi="Arial Narrow" w:cs="Arial"/>
                <w:noProof/>
                <w:color w:val="000000"/>
                <w:sz w:val="20"/>
                <w:szCs w:val="20"/>
                <w:highlight w:val="black"/>
              </w:rPr>
              <w:t>'''''''''''''''''''''''''</w:t>
            </w:r>
          </w:p>
        </w:tc>
        <w:tc>
          <w:tcPr>
            <w:tcW w:w="722" w:type="pct"/>
            <w:tcBorders>
              <w:top w:val="single" w:sz="4" w:space="0" w:color="auto"/>
              <w:left w:val="single" w:sz="4" w:space="0" w:color="auto"/>
              <w:bottom w:val="single" w:sz="4" w:space="0" w:color="auto"/>
              <w:right w:val="single" w:sz="4" w:space="0" w:color="auto"/>
            </w:tcBorders>
          </w:tcPr>
          <w:p w:rsidR="00C61D3F" w:rsidRPr="006B1802" w:rsidRDefault="00C61D3F" w:rsidP="00B93A10">
            <w:pPr>
              <w:rPr>
                <w:rFonts w:ascii="Arial Narrow" w:hAnsi="Arial Narrow" w:cs="Arial"/>
                <w:sz w:val="20"/>
                <w:szCs w:val="20"/>
              </w:rPr>
            </w:pPr>
            <w:r w:rsidRPr="006B1802">
              <w:rPr>
                <w:rFonts w:ascii="Arial Narrow" w:hAnsi="Arial Narrow" w:cs="Arial"/>
                <w:sz w:val="20"/>
                <w:szCs w:val="20"/>
              </w:rPr>
              <w:t>$</w:t>
            </w:r>
            <w:r w:rsidR="00B912EA">
              <w:rPr>
                <w:rFonts w:ascii="Arial Narrow" w:hAnsi="Arial Narrow" w:cs="Arial"/>
                <w:noProof/>
                <w:color w:val="000000"/>
                <w:sz w:val="20"/>
                <w:szCs w:val="20"/>
                <w:highlight w:val="black"/>
              </w:rPr>
              <w:t>'''''''''''''''''''''''''</w:t>
            </w:r>
          </w:p>
        </w:tc>
      </w:tr>
      <w:tr w:rsidR="00C61D3F" w:rsidRPr="006B1802" w:rsidTr="00531402">
        <w:tc>
          <w:tcPr>
            <w:tcW w:w="1384" w:type="pct"/>
            <w:tcBorders>
              <w:top w:val="single" w:sz="4" w:space="0" w:color="auto"/>
              <w:left w:val="single" w:sz="4" w:space="0" w:color="auto"/>
              <w:bottom w:val="single" w:sz="4" w:space="0" w:color="auto"/>
              <w:right w:val="single" w:sz="4" w:space="0" w:color="auto"/>
            </w:tcBorders>
            <w:vAlign w:val="center"/>
          </w:tcPr>
          <w:p w:rsidR="00C61D3F" w:rsidRPr="006B1802" w:rsidRDefault="00C61D3F" w:rsidP="00B93A10">
            <w:pPr>
              <w:rPr>
                <w:rFonts w:ascii="Arial Narrow" w:hAnsi="Arial Narrow" w:cs="Arial"/>
                <w:sz w:val="20"/>
                <w:szCs w:val="20"/>
              </w:rPr>
            </w:pPr>
            <w:r w:rsidRPr="006B1802">
              <w:rPr>
                <w:rFonts w:ascii="Arial Narrow" w:hAnsi="Arial Narrow" w:cs="Arial"/>
                <w:sz w:val="20"/>
                <w:szCs w:val="20"/>
              </w:rPr>
              <w:t>Cumulative estimates to Year 5</w:t>
            </w:r>
          </w:p>
        </w:tc>
        <w:tc>
          <w:tcPr>
            <w:tcW w:w="723" w:type="pct"/>
            <w:tcBorders>
              <w:top w:val="single" w:sz="4" w:space="0" w:color="auto"/>
              <w:left w:val="single" w:sz="4" w:space="0" w:color="auto"/>
              <w:bottom w:val="single" w:sz="4" w:space="0" w:color="auto"/>
              <w:right w:val="single" w:sz="4" w:space="0" w:color="auto"/>
            </w:tcBorders>
          </w:tcPr>
          <w:p w:rsidR="00C61D3F" w:rsidRPr="006B1802" w:rsidRDefault="00C61D3F" w:rsidP="00B93A10">
            <w:pPr>
              <w:rPr>
                <w:rFonts w:ascii="Arial Narrow" w:hAnsi="Arial Narrow" w:cs="Arial"/>
                <w:sz w:val="20"/>
                <w:szCs w:val="20"/>
              </w:rPr>
            </w:pPr>
            <w:r w:rsidRPr="006B1802">
              <w:rPr>
                <w:rFonts w:ascii="Arial Narrow" w:hAnsi="Arial Narrow" w:cs="Arial"/>
                <w:sz w:val="20"/>
                <w:szCs w:val="20"/>
              </w:rPr>
              <w:t>$</w:t>
            </w:r>
            <w:r w:rsidR="00B912EA">
              <w:rPr>
                <w:rFonts w:ascii="Arial Narrow" w:hAnsi="Arial Narrow" w:cs="Arial"/>
                <w:noProof/>
                <w:color w:val="000000"/>
                <w:sz w:val="20"/>
                <w:szCs w:val="20"/>
                <w:highlight w:val="black"/>
              </w:rPr>
              <w:t>''''''''''''''''''''''''''</w:t>
            </w:r>
          </w:p>
        </w:tc>
        <w:tc>
          <w:tcPr>
            <w:tcW w:w="723" w:type="pct"/>
            <w:tcBorders>
              <w:top w:val="single" w:sz="4" w:space="0" w:color="auto"/>
              <w:left w:val="single" w:sz="4" w:space="0" w:color="auto"/>
              <w:bottom w:val="single" w:sz="4" w:space="0" w:color="auto"/>
              <w:right w:val="single" w:sz="4" w:space="0" w:color="auto"/>
            </w:tcBorders>
          </w:tcPr>
          <w:p w:rsidR="00C61D3F" w:rsidRPr="006B1802" w:rsidRDefault="00C61D3F" w:rsidP="00B93A10">
            <w:pPr>
              <w:rPr>
                <w:rFonts w:ascii="Arial Narrow" w:hAnsi="Arial Narrow" w:cs="Arial"/>
                <w:sz w:val="20"/>
                <w:szCs w:val="20"/>
              </w:rPr>
            </w:pPr>
            <w:r w:rsidRPr="006B1802">
              <w:rPr>
                <w:rFonts w:ascii="Arial Narrow" w:hAnsi="Arial Narrow" w:cs="Arial"/>
                <w:sz w:val="20"/>
                <w:szCs w:val="20"/>
              </w:rPr>
              <w:t>$</w:t>
            </w:r>
            <w:r w:rsidR="00B912EA">
              <w:rPr>
                <w:rFonts w:ascii="Arial Narrow" w:hAnsi="Arial Narrow" w:cs="Arial"/>
                <w:noProof/>
                <w:color w:val="000000"/>
                <w:sz w:val="20"/>
                <w:szCs w:val="20"/>
                <w:highlight w:val="black"/>
              </w:rPr>
              <w:t>'''''''''''''''''''''''''</w:t>
            </w:r>
          </w:p>
        </w:tc>
        <w:tc>
          <w:tcPr>
            <w:tcW w:w="724" w:type="pct"/>
            <w:tcBorders>
              <w:top w:val="single" w:sz="4" w:space="0" w:color="auto"/>
              <w:left w:val="single" w:sz="4" w:space="0" w:color="auto"/>
              <w:bottom w:val="single" w:sz="4" w:space="0" w:color="auto"/>
              <w:right w:val="single" w:sz="4" w:space="0" w:color="auto"/>
            </w:tcBorders>
          </w:tcPr>
          <w:p w:rsidR="00C61D3F" w:rsidRPr="006B1802" w:rsidRDefault="00C61D3F" w:rsidP="00B93A10">
            <w:pPr>
              <w:rPr>
                <w:rFonts w:ascii="Arial Narrow" w:hAnsi="Arial Narrow" w:cs="Arial"/>
                <w:sz w:val="20"/>
                <w:szCs w:val="20"/>
              </w:rPr>
            </w:pPr>
            <w:r w:rsidRPr="006B1802">
              <w:rPr>
                <w:rFonts w:ascii="Arial Narrow" w:hAnsi="Arial Narrow" w:cs="Arial"/>
                <w:sz w:val="20"/>
                <w:szCs w:val="20"/>
              </w:rPr>
              <w:t>$</w:t>
            </w:r>
            <w:r w:rsidR="00B912EA">
              <w:rPr>
                <w:rFonts w:ascii="Arial Narrow" w:hAnsi="Arial Narrow" w:cs="Arial"/>
                <w:noProof/>
                <w:color w:val="000000"/>
                <w:sz w:val="20"/>
                <w:szCs w:val="20"/>
                <w:highlight w:val="black"/>
              </w:rPr>
              <w:t>''''''''''''''''''''''''''</w:t>
            </w:r>
          </w:p>
        </w:tc>
        <w:tc>
          <w:tcPr>
            <w:tcW w:w="724" w:type="pct"/>
            <w:tcBorders>
              <w:top w:val="single" w:sz="4" w:space="0" w:color="auto"/>
              <w:left w:val="single" w:sz="4" w:space="0" w:color="auto"/>
              <w:bottom w:val="single" w:sz="4" w:space="0" w:color="auto"/>
              <w:right w:val="single" w:sz="4" w:space="0" w:color="auto"/>
            </w:tcBorders>
          </w:tcPr>
          <w:p w:rsidR="00C61D3F" w:rsidRPr="006B1802" w:rsidRDefault="00C61D3F" w:rsidP="00B93A10">
            <w:pPr>
              <w:rPr>
                <w:rFonts w:ascii="Arial Narrow" w:hAnsi="Arial Narrow" w:cs="Arial"/>
                <w:sz w:val="20"/>
                <w:szCs w:val="20"/>
              </w:rPr>
            </w:pPr>
            <w:r w:rsidRPr="006B1802">
              <w:rPr>
                <w:rFonts w:ascii="Arial Narrow" w:hAnsi="Arial Narrow" w:cs="Arial"/>
                <w:sz w:val="20"/>
                <w:szCs w:val="20"/>
              </w:rPr>
              <w:t>$</w:t>
            </w:r>
            <w:r w:rsidR="00B912EA">
              <w:rPr>
                <w:rFonts w:ascii="Arial Narrow" w:hAnsi="Arial Narrow" w:cs="Arial"/>
                <w:noProof/>
                <w:color w:val="000000"/>
                <w:sz w:val="20"/>
                <w:szCs w:val="20"/>
                <w:highlight w:val="black"/>
              </w:rPr>
              <w:t>''''''''''''''''''''''''''''</w:t>
            </w:r>
          </w:p>
        </w:tc>
        <w:tc>
          <w:tcPr>
            <w:tcW w:w="722" w:type="pct"/>
            <w:tcBorders>
              <w:top w:val="single" w:sz="4" w:space="0" w:color="auto"/>
              <w:left w:val="single" w:sz="4" w:space="0" w:color="auto"/>
              <w:bottom w:val="single" w:sz="4" w:space="0" w:color="auto"/>
              <w:right w:val="single" w:sz="4" w:space="0" w:color="auto"/>
            </w:tcBorders>
          </w:tcPr>
          <w:p w:rsidR="00C61D3F" w:rsidRPr="006B1802" w:rsidRDefault="00C61D3F" w:rsidP="00B93A10">
            <w:pPr>
              <w:rPr>
                <w:rFonts w:ascii="Arial Narrow" w:hAnsi="Arial Narrow" w:cs="Arial"/>
                <w:sz w:val="20"/>
                <w:szCs w:val="20"/>
              </w:rPr>
            </w:pPr>
            <w:r w:rsidRPr="006B1802">
              <w:rPr>
                <w:rFonts w:ascii="Arial Narrow" w:hAnsi="Arial Narrow" w:cs="Arial"/>
                <w:sz w:val="20"/>
                <w:szCs w:val="20"/>
              </w:rPr>
              <w:t>$</w:t>
            </w:r>
            <w:r w:rsidR="00B912EA">
              <w:rPr>
                <w:rFonts w:ascii="Arial Narrow" w:hAnsi="Arial Narrow" w:cs="Arial"/>
                <w:noProof/>
                <w:color w:val="000000"/>
                <w:sz w:val="20"/>
                <w:szCs w:val="20"/>
                <w:highlight w:val="black"/>
              </w:rPr>
              <w:t>'''''''''''''''''''''''''''</w:t>
            </w:r>
          </w:p>
        </w:tc>
      </w:tr>
    </w:tbl>
    <w:p w:rsidR="00C61D3F" w:rsidRPr="006B1802" w:rsidRDefault="00AA4387" w:rsidP="00B93A10">
      <w:pPr>
        <w:rPr>
          <w:rFonts w:ascii="Arial Narrow" w:hAnsi="Arial Narrow"/>
          <w:sz w:val="16"/>
          <w:szCs w:val="16"/>
        </w:rPr>
      </w:pPr>
      <w:r w:rsidRPr="006B1802">
        <w:rPr>
          <w:rFonts w:ascii="Arial Narrow" w:hAnsi="Arial Narrow"/>
          <w:sz w:val="16"/>
          <w:szCs w:val="16"/>
        </w:rPr>
        <w:t>Source: table 4-4</w:t>
      </w:r>
      <w:proofErr w:type="gramStart"/>
      <w:r w:rsidRPr="006B1802">
        <w:rPr>
          <w:rFonts w:ascii="Arial Narrow" w:hAnsi="Arial Narrow"/>
          <w:sz w:val="16"/>
          <w:szCs w:val="16"/>
        </w:rPr>
        <w:t>,</w:t>
      </w:r>
      <w:r w:rsidR="00993FD4" w:rsidRPr="006B1802">
        <w:rPr>
          <w:rFonts w:ascii="Arial Narrow" w:hAnsi="Arial Narrow"/>
          <w:sz w:val="16"/>
          <w:szCs w:val="16"/>
        </w:rPr>
        <w:t>p21</w:t>
      </w:r>
      <w:proofErr w:type="gramEnd"/>
      <w:r w:rsidR="00993FD4" w:rsidRPr="006B1802">
        <w:rPr>
          <w:rFonts w:ascii="Arial Narrow" w:hAnsi="Arial Narrow"/>
          <w:sz w:val="16"/>
          <w:szCs w:val="16"/>
        </w:rPr>
        <w:t>,</w:t>
      </w:r>
      <w:r w:rsidRPr="006B1802">
        <w:rPr>
          <w:rFonts w:ascii="Arial Narrow" w:hAnsi="Arial Narrow"/>
          <w:sz w:val="16"/>
          <w:szCs w:val="16"/>
        </w:rPr>
        <w:t xml:space="preserve"> minor submission</w:t>
      </w:r>
    </w:p>
    <w:p w:rsidR="00D85381" w:rsidRPr="006B1802" w:rsidRDefault="00D85381" w:rsidP="00B93A10">
      <w:pPr>
        <w:rPr>
          <w:rFonts w:ascii="Arial Narrow" w:hAnsi="Arial Narrow"/>
          <w:sz w:val="16"/>
          <w:szCs w:val="16"/>
        </w:rPr>
      </w:pPr>
    </w:p>
    <w:p w:rsidR="0056324B" w:rsidRPr="006B1802" w:rsidRDefault="00A36C1A" w:rsidP="00B93A10">
      <w:pPr>
        <w:pStyle w:val="ListParagraph"/>
        <w:widowControl/>
        <w:contextualSpacing w:val="0"/>
        <w:rPr>
          <w:rFonts w:asciiTheme="minorHAnsi" w:eastAsiaTheme="minorHAnsi" w:hAnsiTheme="minorHAnsi" w:cstheme="minorBidi"/>
          <w:i/>
          <w:snapToGrid/>
          <w:sz w:val="24"/>
          <w:szCs w:val="24"/>
        </w:rPr>
      </w:pPr>
      <w:r w:rsidRPr="006B1802">
        <w:rPr>
          <w:rFonts w:asciiTheme="minorHAnsi" w:hAnsiTheme="minorHAnsi"/>
          <w:szCs w:val="22"/>
        </w:rPr>
        <w:t xml:space="preserve"> </w:t>
      </w:r>
      <w:r w:rsidR="0056324B" w:rsidRPr="006B1802">
        <w:rPr>
          <w:rFonts w:asciiTheme="minorHAnsi" w:eastAsiaTheme="minorHAnsi" w:hAnsiTheme="minorHAnsi" w:cstheme="minorBidi"/>
          <w:i/>
          <w:snapToGrid/>
          <w:sz w:val="24"/>
          <w:szCs w:val="24"/>
        </w:rPr>
        <w:t xml:space="preserve">For more detail on </w:t>
      </w:r>
      <w:r w:rsidR="00294C7B" w:rsidRPr="006B1802">
        <w:rPr>
          <w:rFonts w:asciiTheme="minorHAnsi" w:eastAsiaTheme="minorHAnsi" w:hAnsiTheme="minorHAnsi" w:cstheme="minorBidi"/>
          <w:i/>
          <w:snapToGrid/>
          <w:sz w:val="24"/>
          <w:szCs w:val="24"/>
        </w:rPr>
        <w:t>PBAC’s view, see section 5</w:t>
      </w:r>
      <w:r w:rsidR="0056324B" w:rsidRPr="006B1802">
        <w:rPr>
          <w:rFonts w:asciiTheme="minorHAnsi" w:eastAsiaTheme="minorHAnsi" w:hAnsiTheme="minorHAnsi" w:cstheme="minorBidi"/>
          <w:i/>
          <w:snapToGrid/>
          <w:sz w:val="24"/>
          <w:szCs w:val="24"/>
        </w:rPr>
        <w:t xml:space="preserve"> PBAC outcome.</w:t>
      </w:r>
    </w:p>
    <w:p w:rsidR="0085219E" w:rsidRPr="006B1802" w:rsidRDefault="0085219E" w:rsidP="00B93A10">
      <w:pPr>
        <w:pStyle w:val="PBACHeading1"/>
        <w:spacing w:before="240" w:after="120"/>
        <w:ind w:left="709" w:hanging="709"/>
        <w:rPr>
          <w:rFonts w:asciiTheme="minorHAnsi" w:hAnsiTheme="minorHAnsi"/>
          <w:sz w:val="32"/>
          <w:szCs w:val="32"/>
        </w:rPr>
      </w:pPr>
      <w:r w:rsidRPr="006B1802">
        <w:rPr>
          <w:rFonts w:asciiTheme="minorHAnsi" w:hAnsiTheme="minorHAnsi"/>
          <w:sz w:val="32"/>
          <w:szCs w:val="32"/>
        </w:rPr>
        <w:t>PBAC Outcome</w:t>
      </w:r>
    </w:p>
    <w:p w:rsidR="0085219E" w:rsidRPr="006B1802" w:rsidRDefault="00A23771" w:rsidP="00B93A10">
      <w:pPr>
        <w:numPr>
          <w:ilvl w:val="1"/>
          <w:numId w:val="5"/>
        </w:numPr>
        <w:spacing w:after="120"/>
        <w:jc w:val="both"/>
        <w:rPr>
          <w:rFonts w:asciiTheme="minorHAnsi" w:hAnsiTheme="minorHAnsi" w:cs="Arial"/>
          <w:bCs/>
          <w:snapToGrid w:val="0"/>
          <w:lang w:eastAsia="en-US"/>
        </w:rPr>
      </w:pPr>
      <w:r w:rsidRPr="006B1802">
        <w:rPr>
          <w:rFonts w:asciiTheme="minorHAnsi" w:hAnsiTheme="minorHAnsi" w:cs="Arial"/>
          <w:bCs/>
          <w:snapToGrid w:val="0"/>
          <w:lang w:eastAsia="en-US"/>
        </w:rPr>
        <w:t xml:space="preserve">The PBAC recommended the </w:t>
      </w:r>
      <w:r w:rsidR="007068AA" w:rsidRPr="006B1802">
        <w:rPr>
          <w:rFonts w:asciiTheme="minorHAnsi" w:eastAsiaTheme="minorHAnsi" w:hAnsiTheme="minorHAnsi" w:cstheme="minorBidi"/>
          <w:szCs w:val="22"/>
        </w:rPr>
        <w:t>PBS</w:t>
      </w:r>
      <w:r w:rsidR="007068AA" w:rsidRPr="006B1802">
        <w:rPr>
          <w:rFonts w:asciiTheme="minorHAnsi" w:hAnsiTheme="minorHAnsi" w:cs="Arial"/>
          <w:bCs/>
          <w:snapToGrid w:val="0"/>
          <w:lang w:eastAsia="en-US"/>
        </w:rPr>
        <w:t xml:space="preserve"> </w:t>
      </w:r>
      <w:r w:rsidRPr="006B1802">
        <w:rPr>
          <w:rFonts w:asciiTheme="minorHAnsi" w:hAnsiTheme="minorHAnsi" w:cs="Arial"/>
          <w:bCs/>
          <w:snapToGrid w:val="0"/>
          <w:lang w:eastAsia="en-US"/>
        </w:rPr>
        <w:t xml:space="preserve">listing of tolvaptan </w:t>
      </w:r>
      <w:r w:rsidR="007068AA">
        <w:rPr>
          <w:rFonts w:asciiTheme="minorHAnsi" w:hAnsiTheme="minorHAnsi" w:cs="Arial"/>
          <w:bCs/>
          <w:snapToGrid w:val="0"/>
          <w:lang w:eastAsia="en-US"/>
        </w:rPr>
        <w:t xml:space="preserve">as </w:t>
      </w:r>
      <w:r w:rsidR="007068AA" w:rsidRPr="006B1802">
        <w:rPr>
          <w:rFonts w:asciiTheme="minorHAnsi" w:eastAsiaTheme="minorHAnsi" w:hAnsiTheme="minorHAnsi" w:cstheme="minorBidi"/>
          <w:szCs w:val="22"/>
        </w:rPr>
        <w:t>Section 85 Authority Required (</w:t>
      </w:r>
      <w:r w:rsidR="00194BE9">
        <w:rPr>
          <w:rFonts w:asciiTheme="minorHAnsi" w:eastAsiaTheme="minorHAnsi" w:hAnsiTheme="minorHAnsi" w:cstheme="minorBidi"/>
          <w:szCs w:val="22"/>
        </w:rPr>
        <w:t xml:space="preserve">in writing) </w:t>
      </w:r>
      <w:r w:rsidR="007068AA" w:rsidRPr="006B1802">
        <w:rPr>
          <w:rFonts w:asciiTheme="minorHAnsi" w:eastAsiaTheme="minorHAnsi" w:hAnsiTheme="minorHAnsi" w:cstheme="minorBidi"/>
          <w:szCs w:val="22"/>
        </w:rPr>
        <w:t xml:space="preserve">for initiation of </w:t>
      </w:r>
      <w:proofErr w:type="spellStart"/>
      <w:r w:rsidR="007068AA" w:rsidRPr="006B1802">
        <w:rPr>
          <w:rFonts w:asciiTheme="minorHAnsi" w:eastAsiaTheme="minorHAnsi" w:hAnsiTheme="minorHAnsi" w:cstheme="minorBidi"/>
          <w:szCs w:val="22"/>
        </w:rPr>
        <w:t>tolvaptan</w:t>
      </w:r>
      <w:proofErr w:type="spellEnd"/>
      <w:r w:rsidR="007068AA" w:rsidRPr="006B1802">
        <w:rPr>
          <w:rFonts w:asciiTheme="minorHAnsi" w:eastAsiaTheme="minorHAnsi" w:hAnsiTheme="minorHAnsi" w:cstheme="minorBidi"/>
          <w:szCs w:val="22"/>
        </w:rPr>
        <w:t xml:space="preserve"> and an Authority Required (Streamlined) listing for continuing treatment of autosomal dominant polycystic kidney disease (ADPKD)</w:t>
      </w:r>
      <w:r w:rsidR="00A47773" w:rsidRPr="006B1802">
        <w:rPr>
          <w:rFonts w:asciiTheme="minorHAnsi" w:hAnsiTheme="minorHAnsi" w:cs="Arial"/>
          <w:bCs/>
          <w:snapToGrid w:val="0"/>
          <w:lang w:eastAsia="en-US"/>
        </w:rPr>
        <w:t xml:space="preserve">. </w:t>
      </w:r>
      <w:r w:rsidRPr="006B1802">
        <w:rPr>
          <w:rFonts w:asciiTheme="minorHAnsi" w:hAnsiTheme="minorHAnsi" w:cs="Arial"/>
          <w:bCs/>
          <w:snapToGrid w:val="0"/>
          <w:lang w:eastAsia="en-US"/>
        </w:rPr>
        <w:t xml:space="preserve"> The PBAC was satisfied that for some patients, </w:t>
      </w:r>
      <w:r w:rsidR="00A47773" w:rsidRPr="006B1802">
        <w:rPr>
          <w:rFonts w:asciiTheme="minorHAnsi" w:hAnsiTheme="minorHAnsi" w:cs="Arial"/>
          <w:bCs/>
          <w:snapToGrid w:val="0"/>
          <w:lang w:eastAsia="en-US"/>
        </w:rPr>
        <w:t>tolvaptan</w:t>
      </w:r>
      <w:r w:rsidRPr="006B1802">
        <w:rPr>
          <w:rFonts w:asciiTheme="minorHAnsi" w:hAnsiTheme="minorHAnsi" w:cs="Arial"/>
          <w:bCs/>
          <w:snapToGrid w:val="0"/>
          <w:lang w:eastAsia="en-US"/>
        </w:rPr>
        <w:t xml:space="preserve"> provides </w:t>
      </w:r>
      <w:r w:rsidR="00A46581" w:rsidRPr="006B1802">
        <w:rPr>
          <w:rFonts w:asciiTheme="minorHAnsi" w:hAnsiTheme="minorHAnsi" w:cs="Arial"/>
          <w:bCs/>
          <w:snapToGrid w:val="0"/>
          <w:lang w:eastAsia="en-US"/>
        </w:rPr>
        <w:t>a small benefit al</w:t>
      </w:r>
      <w:r w:rsidRPr="006B1802">
        <w:rPr>
          <w:rFonts w:asciiTheme="minorHAnsi" w:hAnsiTheme="minorHAnsi" w:cs="Arial"/>
          <w:bCs/>
          <w:snapToGrid w:val="0"/>
          <w:lang w:eastAsia="en-US"/>
        </w:rPr>
        <w:t xml:space="preserve">though its effect on </w:t>
      </w:r>
      <w:r w:rsidR="002C2563" w:rsidRPr="006B1802">
        <w:rPr>
          <w:rFonts w:asciiTheme="minorHAnsi" w:hAnsiTheme="minorHAnsi" w:cs="Arial"/>
          <w:bCs/>
          <w:snapToGrid w:val="0"/>
          <w:lang w:eastAsia="en-US"/>
        </w:rPr>
        <w:t xml:space="preserve">the </w:t>
      </w:r>
      <w:r w:rsidR="00A46581" w:rsidRPr="006B1802">
        <w:rPr>
          <w:rFonts w:asciiTheme="minorHAnsi" w:hAnsiTheme="minorHAnsi" w:cs="Arial"/>
          <w:bCs/>
          <w:snapToGrid w:val="0"/>
          <w:lang w:eastAsia="en-US"/>
        </w:rPr>
        <w:t>prevention of end stage kidney disease (ESKD)</w:t>
      </w:r>
      <w:r w:rsidRPr="006B1802">
        <w:rPr>
          <w:rFonts w:asciiTheme="minorHAnsi" w:hAnsiTheme="minorHAnsi" w:cs="Arial"/>
          <w:bCs/>
          <w:snapToGrid w:val="0"/>
          <w:lang w:eastAsia="en-US"/>
        </w:rPr>
        <w:t xml:space="preserve"> is un</w:t>
      </w:r>
      <w:r w:rsidR="00A46581" w:rsidRPr="006B1802">
        <w:rPr>
          <w:rFonts w:asciiTheme="minorHAnsi" w:hAnsiTheme="minorHAnsi" w:cs="Arial"/>
          <w:bCs/>
          <w:snapToGrid w:val="0"/>
          <w:lang w:eastAsia="en-US"/>
        </w:rPr>
        <w:t>certain</w:t>
      </w:r>
      <w:r w:rsidRPr="006B1802">
        <w:rPr>
          <w:rFonts w:asciiTheme="minorHAnsi" w:hAnsiTheme="minorHAnsi" w:cs="Arial"/>
          <w:bCs/>
          <w:snapToGrid w:val="0"/>
          <w:lang w:eastAsia="en-US"/>
        </w:rPr>
        <w:t xml:space="preserve">. The PBAC </w:t>
      </w:r>
      <w:r w:rsidR="00784A96" w:rsidRPr="006B1802">
        <w:rPr>
          <w:rFonts w:asciiTheme="minorHAnsi" w:hAnsiTheme="minorHAnsi" w:cs="Arial"/>
          <w:bCs/>
          <w:snapToGrid w:val="0"/>
          <w:lang w:eastAsia="en-US"/>
        </w:rPr>
        <w:t xml:space="preserve">considered </w:t>
      </w:r>
      <w:r w:rsidRPr="006B1802">
        <w:rPr>
          <w:rFonts w:asciiTheme="minorHAnsi" w:hAnsiTheme="minorHAnsi" w:cs="Arial"/>
          <w:bCs/>
          <w:snapToGrid w:val="0"/>
          <w:lang w:eastAsia="en-US"/>
        </w:rPr>
        <w:t xml:space="preserve">that </w:t>
      </w:r>
      <w:r w:rsidR="00784A96" w:rsidRPr="006B1802">
        <w:rPr>
          <w:rFonts w:asciiTheme="minorHAnsi" w:hAnsiTheme="minorHAnsi" w:cs="Arial"/>
          <w:bCs/>
          <w:snapToGrid w:val="0"/>
          <w:lang w:eastAsia="en-US"/>
        </w:rPr>
        <w:t xml:space="preserve">whilst </w:t>
      </w:r>
      <w:r w:rsidRPr="006B1802">
        <w:rPr>
          <w:rFonts w:asciiTheme="minorHAnsi" w:hAnsiTheme="minorHAnsi" w:cs="Arial"/>
          <w:bCs/>
          <w:snapToGrid w:val="0"/>
          <w:lang w:eastAsia="en-US"/>
        </w:rPr>
        <w:t xml:space="preserve">the modelled cost-effectiveness </w:t>
      </w:r>
      <w:r w:rsidR="0025521E" w:rsidRPr="006B1802">
        <w:rPr>
          <w:rFonts w:asciiTheme="minorHAnsi" w:hAnsiTheme="minorHAnsi" w:cs="Arial"/>
          <w:bCs/>
          <w:snapToGrid w:val="0"/>
          <w:lang w:eastAsia="en-US"/>
        </w:rPr>
        <w:t>remained</w:t>
      </w:r>
      <w:r w:rsidRPr="006B1802">
        <w:rPr>
          <w:rFonts w:asciiTheme="minorHAnsi" w:hAnsiTheme="minorHAnsi" w:cs="Arial"/>
          <w:bCs/>
          <w:snapToGrid w:val="0"/>
          <w:lang w:eastAsia="en-US"/>
        </w:rPr>
        <w:t xml:space="preserve"> highly </w:t>
      </w:r>
      <w:r w:rsidR="00AD1991" w:rsidRPr="006B1802">
        <w:rPr>
          <w:rFonts w:asciiTheme="minorHAnsi" w:hAnsiTheme="minorHAnsi" w:cs="Arial"/>
          <w:bCs/>
          <w:snapToGrid w:val="0"/>
          <w:lang w:eastAsia="en-US"/>
        </w:rPr>
        <w:t>variable</w:t>
      </w:r>
      <w:r w:rsidRPr="006B1802">
        <w:rPr>
          <w:rFonts w:asciiTheme="minorHAnsi" w:hAnsiTheme="minorHAnsi" w:cs="Arial"/>
          <w:bCs/>
          <w:snapToGrid w:val="0"/>
          <w:lang w:eastAsia="en-US"/>
        </w:rPr>
        <w:t xml:space="preserve">, the cost effectiveness of </w:t>
      </w:r>
      <w:r w:rsidR="00A46581" w:rsidRPr="006B1802">
        <w:rPr>
          <w:rFonts w:asciiTheme="minorHAnsi" w:hAnsiTheme="minorHAnsi" w:cs="Arial"/>
          <w:bCs/>
          <w:snapToGrid w:val="0"/>
          <w:lang w:eastAsia="en-US"/>
        </w:rPr>
        <w:t>tolvaptan</w:t>
      </w:r>
      <w:r w:rsidRPr="006B1802">
        <w:rPr>
          <w:rFonts w:asciiTheme="minorHAnsi" w:hAnsiTheme="minorHAnsi" w:cs="Arial"/>
          <w:bCs/>
          <w:snapToGrid w:val="0"/>
          <w:lang w:eastAsia="en-US"/>
        </w:rPr>
        <w:t xml:space="preserve"> </w:t>
      </w:r>
      <w:r w:rsidR="00AD1991" w:rsidRPr="006B1802">
        <w:rPr>
          <w:rFonts w:asciiTheme="minorHAnsi" w:hAnsiTheme="minorHAnsi" w:cs="Arial"/>
          <w:bCs/>
          <w:snapToGrid w:val="0"/>
          <w:lang w:eastAsia="en-US"/>
        </w:rPr>
        <w:t>at the</w:t>
      </w:r>
      <w:r w:rsidRPr="006B1802">
        <w:rPr>
          <w:rFonts w:asciiTheme="minorHAnsi" w:hAnsiTheme="minorHAnsi" w:cs="Arial"/>
          <w:bCs/>
          <w:snapToGrid w:val="0"/>
          <w:lang w:eastAsia="en-US"/>
        </w:rPr>
        <w:t xml:space="preserve"> reduc</w:t>
      </w:r>
      <w:r w:rsidR="00AD1991" w:rsidRPr="006B1802">
        <w:rPr>
          <w:rFonts w:asciiTheme="minorHAnsi" w:hAnsiTheme="minorHAnsi" w:cs="Arial"/>
          <w:bCs/>
          <w:snapToGrid w:val="0"/>
          <w:lang w:eastAsia="en-US"/>
        </w:rPr>
        <w:t>ed</w:t>
      </w:r>
      <w:r w:rsidRPr="006B1802">
        <w:rPr>
          <w:rFonts w:asciiTheme="minorHAnsi" w:hAnsiTheme="minorHAnsi" w:cs="Arial"/>
          <w:bCs/>
          <w:snapToGrid w:val="0"/>
          <w:lang w:eastAsia="en-US"/>
        </w:rPr>
        <w:t xml:space="preserve"> price</w:t>
      </w:r>
      <w:r w:rsidR="00AD1991" w:rsidRPr="006B1802">
        <w:rPr>
          <w:rFonts w:asciiTheme="minorHAnsi" w:hAnsiTheme="minorHAnsi" w:cs="Arial"/>
          <w:bCs/>
          <w:snapToGrid w:val="0"/>
          <w:lang w:eastAsia="en-US"/>
        </w:rPr>
        <w:t xml:space="preserve"> offered, </w:t>
      </w:r>
      <w:r w:rsidRPr="006B1802">
        <w:rPr>
          <w:rFonts w:asciiTheme="minorHAnsi" w:hAnsiTheme="minorHAnsi" w:cs="Arial"/>
          <w:bCs/>
          <w:snapToGrid w:val="0"/>
          <w:lang w:eastAsia="en-US"/>
        </w:rPr>
        <w:t xml:space="preserve">in conjunction with </w:t>
      </w:r>
      <w:r w:rsidR="00AD1991" w:rsidRPr="006B1802">
        <w:rPr>
          <w:rFonts w:asciiTheme="minorHAnsi" w:hAnsiTheme="minorHAnsi" w:cs="Arial"/>
          <w:bCs/>
          <w:snapToGrid w:val="0"/>
          <w:lang w:eastAsia="en-US"/>
        </w:rPr>
        <w:t xml:space="preserve">proposed </w:t>
      </w:r>
      <w:r w:rsidRPr="006B1802">
        <w:rPr>
          <w:rFonts w:asciiTheme="minorHAnsi" w:hAnsiTheme="minorHAnsi" w:cs="Arial"/>
          <w:bCs/>
          <w:snapToGrid w:val="0"/>
          <w:lang w:eastAsia="en-US"/>
        </w:rPr>
        <w:t>financial caps</w:t>
      </w:r>
      <w:r w:rsidR="00AD1991" w:rsidRPr="006B1802">
        <w:rPr>
          <w:rFonts w:asciiTheme="minorHAnsi" w:hAnsiTheme="minorHAnsi" w:cs="Arial"/>
          <w:bCs/>
          <w:snapToGrid w:val="0"/>
          <w:lang w:eastAsia="en-US"/>
        </w:rPr>
        <w:t xml:space="preserve">, would be acceptable for patients </w:t>
      </w:r>
      <w:r w:rsidR="00AD1991" w:rsidRPr="006B1802">
        <w:rPr>
          <w:rFonts w:asciiTheme="minorHAnsi" w:eastAsiaTheme="minorHAnsi" w:hAnsiTheme="minorHAnsi" w:cstheme="minorBidi"/>
        </w:rPr>
        <w:t>with stage 2–3 chronic kidney disease (CKD) and rapid disease</w:t>
      </w:r>
      <w:r w:rsidR="00AD1991" w:rsidRPr="006B1802">
        <w:rPr>
          <w:rFonts w:asciiTheme="minorHAnsi" w:eastAsiaTheme="minorHAnsi" w:hAnsiTheme="minorHAnsi" w:cstheme="minorBidi"/>
          <w:szCs w:val="22"/>
        </w:rPr>
        <w:t xml:space="preserve"> progression</w:t>
      </w:r>
      <w:r w:rsidR="0053165D" w:rsidRPr="006B1802">
        <w:rPr>
          <w:rFonts w:asciiTheme="minorHAnsi" w:hAnsiTheme="minorHAnsi" w:cs="Arial"/>
          <w:bCs/>
          <w:snapToGrid w:val="0"/>
          <w:lang w:eastAsia="en-US"/>
        </w:rPr>
        <w:t>.</w:t>
      </w:r>
    </w:p>
    <w:p w:rsidR="0085219E" w:rsidRPr="006B1802" w:rsidRDefault="004C41B8" w:rsidP="00B93A10">
      <w:pPr>
        <w:pStyle w:val="ListParagraph"/>
        <w:widowControl/>
        <w:numPr>
          <w:ilvl w:val="1"/>
          <w:numId w:val="5"/>
        </w:numPr>
        <w:spacing w:after="120"/>
        <w:rPr>
          <w:rFonts w:asciiTheme="minorHAnsi" w:hAnsiTheme="minorHAnsi"/>
          <w:bCs/>
        </w:rPr>
      </w:pPr>
      <w:r w:rsidRPr="006B1802">
        <w:rPr>
          <w:rFonts w:asciiTheme="minorHAnsi" w:hAnsiTheme="minorHAnsi"/>
          <w:bCs/>
          <w:sz w:val="24"/>
          <w:szCs w:val="24"/>
        </w:rPr>
        <w:t xml:space="preserve">The PBAC agreed with the </w:t>
      </w:r>
      <w:r w:rsidR="00C93B5F" w:rsidRPr="006B1802">
        <w:rPr>
          <w:rFonts w:asciiTheme="minorHAnsi" w:hAnsiTheme="minorHAnsi"/>
          <w:bCs/>
          <w:sz w:val="24"/>
          <w:szCs w:val="24"/>
        </w:rPr>
        <w:t xml:space="preserve">modified </w:t>
      </w:r>
      <w:r w:rsidRPr="006B1802">
        <w:rPr>
          <w:rFonts w:asciiTheme="minorHAnsi" w:hAnsiTheme="minorHAnsi"/>
          <w:bCs/>
          <w:sz w:val="24"/>
          <w:szCs w:val="24"/>
        </w:rPr>
        <w:t xml:space="preserve">criteria </w:t>
      </w:r>
      <w:r w:rsidR="00E406FC" w:rsidRPr="006B1802">
        <w:rPr>
          <w:rFonts w:asciiTheme="minorHAnsi" w:hAnsiTheme="minorHAnsi"/>
          <w:bCs/>
          <w:sz w:val="24"/>
          <w:szCs w:val="24"/>
        </w:rPr>
        <w:t xml:space="preserve">proposed in this resubmission </w:t>
      </w:r>
      <w:r w:rsidR="00C93B5F" w:rsidRPr="006B1802">
        <w:rPr>
          <w:rFonts w:asciiTheme="minorHAnsi" w:hAnsiTheme="minorHAnsi"/>
          <w:bCs/>
          <w:sz w:val="24"/>
          <w:szCs w:val="24"/>
        </w:rPr>
        <w:t xml:space="preserve">to include patients with </w:t>
      </w:r>
      <w:r w:rsidR="00C93B5F" w:rsidRPr="006B1802">
        <w:rPr>
          <w:rFonts w:asciiTheme="minorHAnsi" w:hAnsiTheme="minorHAnsi"/>
          <w:sz w:val="24"/>
          <w:szCs w:val="24"/>
        </w:rPr>
        <w:t>CKD</w:t>
      </w:r>
      <w:r w:rsidR="00C93B5F" w:rsidRPr="006B1802">
        <w:rPr>
          <w:rFonts w:asciiTheme="minorHAnsi" w:hAnsiTheme="minorHAnsi"/>
        </w:rPr>
        <w:t xml:space="preserve"> </w:t>
      </w:r>
      <w:r w:rsidR="00C93B5F" w:rsidRPr="006B1802">
        <w:rPr>
          <w:rFonts w:asciiTheme="minorHAnsi" w:hAnsiTheme="minorHAnsi"/>
          <w:sz w:val="24"/>
          <w:szCs w:val="24"/>
        </w:rPr>
        <w:t xml:space="preserve">stages 2 and 3 and rapid disease progression to identify patients who will receive the greatest benefit from tolvaptan treatment. </w:t>
      </w:r>
      <w:r w:rsidRPr="006B1802">
        <w:rPr>
          <w:rFonts w:asciiTheme="minorHAnsi" w:hAnsiTheme="minorHAnsi"/>
          <w:bCs/>
          <w:sz w:val="24"/>
          <w:szCs w:val="24"/>
        </w:rPr>
        <w:t xml:space="preserve">The PBAC advised that the PBS listing for tolvaptan should be restricted to prescribing by nephrologists for initiation and in consultation with a nephrologist for continuing treatment. </w:t>
      </w:r>
      <w:r w:rsidR="00873F42" w:rsidRPr="006B1802">
        <w:rPr>
          <w:rFonts w:asciiTheme="minorHAnsi" w:hAnsiTheme="minorHAnsi"/>
          <w:sz w:val="24"/>
          <w:szCs w:val="24"/>
        </w:rPr>
        <w:t xml:space="preserve">The PBAC also noted the tolvaptan product information provided a special warning </w:t>
      </w:r>
      <w:r w:rsidR="00E012CD" w:rsidRPr="006B1802">
        <w:rPr>
          <w:rFonts w:asciiTheme="minorHAnsi" w:hAnsiTheme="minorHAnsi"/>
          <w:sz w:val="24"/>
          <w:szCs w:val="24"/>
        </w:rPr>
        <w:t xml:space="preserve">and precaution for use </w:t>
      </w:r>
      <w:r w:rsidR="00873F42" w:rsidRPr="006B1802">
        <w:rPr>
          <w:rFonts w:asciiTheme="minorHAnsi" w:hAnsiTheme="minorHAnsi"/>
          <w:sz w:val="24"/>
          <w:szCs w:val="24"/>
        </w:rPr>
        <w:t>regarding tolvaptan</w:t>
      </w:r>
      <w:r w:rsidRPr="006B1802">
        <w:rPr>
          <w:rFonts w:asciiTheme="minorHAnsi" w:hAnsiTheme="minorHAnsi"/>
          <w:sz w:val="24"/>
          <w:szCs w:val="24"/>
        </w:rPr>
        <w:t>-</w:t>
      </w:r>
      <w:r w:rsidR="00873F42" w:rsidRPr="006B1802">
        <w:rPr>
          <w:rFonts w:asciiTheme="minorHAnsi" w:hAnsiTheme="minorHAnsi"/>
          <w:sz w:val="24"/>
          <w:szCs w:val="24"/>
        </w:rPr>
        <w:t xml:space="preserve">associated liver injury and </w:t>
      </w:r>
      <w:r w:rsidRPr="006B1802">
        <w:rPr>
          <w:rFonts w:asciiTheme="minorHAnsi" w:hAnsiTheme="minorHAnsi"/>
          <w:sz w:val="24"/>
          <w:szCs w:val="24"/>
        </w:rPr>
        <w:t xml:space="preserve">that </w:t>
      </w:r>
      <w:r w:rsidR="00E012CD" w:rsidRPr="006B1802">
        <w:rPr>
          <w:rFonts w:asciiTheme="minorHAnsi" w:hAnsiTheme="minorHAnsi"/>
          <w:sz w:val="24"/>
          <w:szCs w:val="24"/>
        </w:rPr>
        <w:t xml:space="preserve">continuing </w:t>
      </w:r>
      <w:r w:rsidR="00E012CD" w:rsidRPr="006B1802">
        <w:rPr>
          <w:rFonts w:asciiTheme="minorHAnsi" w:hAnsiTheme="minorHAnsi"/>
          <w:sz w:val="24"/>
          <w:szCs w:val="24"/>
        </w:rPr>
        <w:lastRenderedPageBreak/>
        <w:t xml:space="preserve">monitoring for </w:t>
      </w:r>
      <w:r w:rsidR="00873F42" w:rsidRPr="006B1802">
        <w:rPr>
          <w:rFonts w:asciiTheme="minorHAnsi" w:hAnsiTheme="minorHAnsi"/>
          <w:sz w:val="24"/>
          <w:szCs w:val="24"/>
        </w:rPr>
        <w:t>hepatotoxicity during tolvaptan treatment</w:t>
      </w:r>
      <w:r w:rsidRPr="006B1802">
        <w:rPr>
          <w:rFonts w:asciiTheme="minorHAnsi" w:hAnsiTheme="minorHAnsi"/>
          <w:sz w:val="24"/>
          <w:szCs w:val="24"/>
        </w:rPr>
        <w:t xml:space="preserve"> was required</w:t>
      </w:r>
      <w:r w:rsidR="00873F42" w:rsidRPr="006B1802">
        <w:rPr>
          <w:rFonts w:asciiTheme="minorHAnsi" w:hAnsiTheme="minorHAnsi"/>
          <w:sz w:val="24"/>
          <w:szCs w:val="24"/>
        </w:rPr>
        <w:t xml:space="preserve">. </w:t>
      </w:r>
      <w:r w:rsidRPr="006B1802">
        <w:rPr>
          <w:rFonts w:asciiTheme="minorHAnsi" w:hAnsiTheme="minorHAnsi"/>
          <w:sz w:val="24"/>
          <w:szCs w:val="24"/>
        </w:rPr>
        <w:t>T</w:t>
      </w:r>
      <w:r w:rsidR="00873F42" w:rsidRPr="006B1802">
        <w:rPr>
          <w:rFonts w:asciiTheme="minorHAnsi" w:hAnsiTheme="minorHAnsi"/>
          <w:sz w:val="24"/>
          <w:szCs w:val="24"/>
        </w:rPr>
        <w:t xml:space="preserve">he PBAC </w:t>
      </w:r>
      <w:r w:rsidR="00C93B5F" w:rsidRPr="006B1802">
        <w:rPr>
          <w:rFonts w:asciiTheme="minorHAnsi" w:hAnsiTheme="minorHAnsi"/>
          <w:sz w:val="24"/>
          <w:szCs w:val="24"/>
        </w:rPr>
        <w:t xml:space="preserve">considered the </w:t>
      </w:r>
      <w:r w:rsidR="00400973" w:rsidRPr="006B1802">
        <w:rPr>
          <w:rFonts w:asciiTheme="minorHAnsi" w:hAnsiTheme="minorHAnsi"/>
          <w:sz w:val="24"/>
          <w:szCs w:val="24"/>
        </w:rPr>
        <w:t>sponsor</w:t>
      </w:r>
      <w:r w:rsidR="00C93B5F" w:rsidRPr="006B1802">
        <w:rPr>
          <w:rFonts w:asciiTheme="minorHAnsi" w:hAnsiTheme="minorHAnsi"/>
          <w:sz w:val="24"/>
          <w:szCs w:val="24"/>
        </w:rPr>
        <w:t xml:space="preserve"> </w:t>
      </w:r>
      <w:r w:rsidR="00400973" w:rsidRPr="006B1802">
        <w:rPr>
          <w:rFonts w:asciiTheme="minorHAnsi" w:hAnsiTheme="minorHAnsi"/>
          <w:sz w:val="24"/>
          <w:szCs w:val="24"/>
        </w:rPr>
        <w:t>mandated</w:t>
      </w:r>
      <w:r w:rsidR="00C93B5F" w:rsidRPr="006B1802">
        <w:rPr>
          <w:rFonts w:asciiTheme="minorHAnsi" w:hAnsiTheme="minorHAnsi"/>
          <w:sz w:val="24"/>
          <w:szCs w:val="24"/>
        </w:rPr>
        <w:t xml:space="preserve"> </w:t>
      </w:r>
      <w:r w:rsidR="00873F42" w:rsidRPr="006B1802">
        <w:rPr>
          <w:rFonts w:asciiTheme="minorHAnsi" w:hAnsiTheme="minorHAnsi"/>
          <w:sz w:val="24"/>
          <w:szCs w:val="24"/>
        </w:rPr>
        <w:t xml:space="preserve">tolvaptan </w:t>
      </w:r>
      <w:r w:rsidR="00C93B5F" w:rsidRPr="006B1802">
        <w:rPr>
          <w:rFonts w:asciiTheme="minorHAnsi" w:hAnsiTheme="minorHAnsi"/>
          <w:sz w:val="24"/>
          <w:szCs w:val="24"/>
        </w:rPr>
        <w:t xml:space="preserve">prescriber training </w:t>
      </w:r>
      <w:r w:rsidR="00873F42" w:rsidRPr="006B1802">
        <w:rPr>
          <w:rFonts w:asciiTheme="minorHAnsi" w:hAnsiTheme="minorHAnsi"/>
          <w:sz w:val="24"/>
          <w:szCs w:val="24"/>
        </w:rPr>
        <w:t>included in the proposed listing was not warranted</w:t>
      </w:r>
      <w:r w:rsidR="00F56702" w:rsidRPr="006B1802">
        <w:rPr>
          <w:rFonts w:asciiTheme="minorHAnsi" w:hAnsiTheme="minorHAnsi"/>
          <w:sz w:val="24"/>
          <w:szCs w:val="24"/>
        </w:rPr>
        <w:t xml:space="preserve"> </w:t>
      </w:r>
      <w:r w:rsidR="00400973" w:rsidRPr="006B1802">
        <w:rPr>
          <w:rFonts w:asciiTheme="minorHAnsi" w:hAnsiTheme="minorHAnsi"/>
          <w:sz w:val="24"/>
          <w:szCs w:val="24"/>
        </w:rPr>
        <w:t xml:space="preserve">and advised a cautionary statement regarding hepatotoxicity </w:t>
      </w:r>
      <w:r w:rsidR="00C932AD" w:rsidRPr="006B1802">
        <w:rPr>
          <w:rFonts w:asciiTheme="minorHAnsi" w:hAnsiTheme="minorHAnsi"/>
          <w:sz w:val="24"/>
          <w:szCs w:val="24"/>
        </w:rPr>
        <w:t xml:space="preserve">and </w:t>
      </w:r>
      <w:r w:rsidR="00400973" w:rsidRPr="006B1802">
        <w:rPr>
          <w:rFonts w:asciiTheme="minorHAnsi" w:hAnsiTheme="minorHAnsi"/>
          <w:sz w:val="24"/>
          <w:szCs w:val="24"/>
        </w:rPr>
        <w:t>monitoring requirements</w:t>
      </w:r>
      <w:r w:rsidRPr="006B1802">
        <w:rPr>
          <w:rFonts w:asciiTheme="minorHAnsi" w:hAnsiTheme="minorHAnsi"/>
          <w:sz w:val="24"/>
          <w:szCs w:val="24"/>
        </w:rPr>
        <w:t xml:space="preserve"> would be sufficient</w:t>
      </w:r>
      <w:r w:rsidR="00873F42" w:rsidRPr="006B1802">
        <w:rPr>
          <w:rFonts w:asciiTheme="minorHAnsi" w:hAnsiTheme="minorHAnsi"/>
          <w:sz w:val="24"/>
          <w:szCs w:val="24"/>
        </w:rPr>
        <w:t>.</w:t>
      </w:r>
    </w:p>
    <w:p w:rsidR="0025521E" w:rsidRPr="006B1802" w:rsidRDefault="0025521E" w:rsidP="00B93A10">
      <w:pPr>
        <w:numPr>
          <w:ilvl w:val="1"/>
          <w:numId w:val="5"/>
        </w:numPr>
        <w:spacing w:after="120"/>
        <w:jc w:val="both"/>
        <w:rPr>
          <w:rFonts w:asciiTheme="minorHAnsi" w:hAnsiTheme="minorHAnsi" w:cs="Arial"/>
          <w:bCs/>
          <w:snapToGrid w:val="0"/>
          <w:lang w:eastAsia="en-US"/>
        </w:rPr>
      </w:pPr>
      <w:r w:rsidRPr="006B1802">
        <w:rPr>
          <w:rFonts w:asciiTheme="minorHAnsi" w:hAnsiTheme="minorHAnsi"/>
          <w:bCs/>
        </w:rPr>
        <w:t xml:space="preserve">The PBAC considered </w:t>
      </w:r>
      <w:r w:rsidR="00007C32" w:rsidRPr="006B1802">
        <w:rPr>
          <w:rFonts w:asciiTheme="minorHAnsi" w:hAnsiTheme="minorHAnsi"/>
          <w:bCs/>
        </w:rPr>
        <w:t>a</w:t>
      </w:r>
      <w:r w:rsidRPr="006B1802">
        <w:rPr>
          <w:rFonts w:asciiTheme="minorHAnsi" w:hAnsiTheme="minorHAnsi"/>
          <w:bCs/>
        </w:rPr>
        <w:t xml:space="preserve"> grandfather</w:t>
      </w:r>
      <w:r w:rsidR="00174DFE" w:rsidRPr="006B1802">
        <w:rPr>
          <w:rFonts w:asciiTheme="minorHAnsi" w:hAnsiTheme="minorHAnsi"/>
          <w:bCs/>
        </w:rPr>
        <w:t>ing clause</w:t>
      </w:r>
      <w:r w:rsidRPr="006B1802">
        <w:rPr>
          <w:rFonts w:asciiTheme="minorHAnsi" w:hAnsiTheme="minorHAnsi"/>
          <w:bCs/>
        </w:rPr>
        <w:t xml:space="preserve"> was</w:t>
      </w:r>
      <w:r w:rsidR="00007C32" w:rsidRPr="006B1802">
        <w:rPr>
          <w:rFonts w:asciiTheme="minorHAnsi" w:hAnsiTheme="minorHAnsi"/>
          <w:bCs/>
        </w:rPr>
        <w:t xml:space="preserve"> </w:t>
      </w:r>
      <w:r w:rsidR="007F05EE" w:rsidRPr="006B1802">
        <w:rPr>
          <w:rFonts w:asciiTheme="minorHAnsi" w:hAnsiTheme="minorHAnsi"/>
          <w:bCs/>
        </w:rPr>
        <w:t xml:space="preserve">not required as </w:t>
      </w:r>
      <w:r w:rsidR="00174DFE" w:rsidRPr="006B1802">
        <w:rPr>
          <w:rFonts w:asciiTheme="minorHAnsi" w:hAnsiTheme="minorHAnsi"/>
          <w:bCs/>
        </w:rPr>
        <w:t xml:space="preserve">patients from the clinical </w:t>
      </w:r>
      <w:r w:rsidR="00692293" w:rsidRPr="006B1802">
        <w:rPr>
          <w:rFonts w:asciiTheme="minorHAnsi" w:hAnsiTheme="minorHAnsi"/>
          <w:bCs/>
        </w:rPr>
        <w:t xml:space="preserve">trials </w:t>
      </w:r>
      <w:r w:rsidR="00174DFE" w:rsidRPr="006B1802">
        <w:rPr>
          <w:rFonts w:asciiTheme="minorHAnsi" w:hAnsiTheme="minorHAnsi"/>
          <w:bCs/>
        </w:rPr>
        <w:t xml:space="preserve">should be eligible for PBS treatment under the proposed criteria. </w:t>
      </w:r>
    </w:p>
    <w:p w:rsidR="00973B29" w:rsidRPr="006B1802" w:rsidRDefault="0025521E" w:rsidP="00B93A10">
      <w:pPr>
        <w:numPr>
          <w:ilvl w:val="1"/>
          <w:numId w:val="5"/>
        </w:numPr>
        <w:spacing w:after="120"/>
        <w:jc w:val="both"/>
        <w:rPr>
          <w:rFonts w:asciiTheme="minorHAnsi" w:hAnsiTheme="minorHAnsi"/>
          <w:bCs/>
        </w:rPr>
      </w:pPr>
      <w:r w:rsidRPr="006B1802">
        <w:rPr>
          <w:rFonts w:asciiTheme="minorHAnsi" w:hAnsiTheme="minorHAnsi" w:cs="Arial"/>
          <w:bCs/>
          <w:snapToGrid w:val="0"/>
          <w:lang w:eastAsia="en-US"/>
        </w:rPr>
        <w:t xml:space="preserve">The PBAC considered that the </w:t>
      </w:r>
      <w:r w:rsidR="00CC66C8" w:rsidRPr="006B1802">
        <w:rPr>
          <w:rFonts w:asciiTheme="minorHAnsi" w:hAnsiTheme="minorHAnsi" w:cs="Arial"/>
          <w:bCs/>
          <w:snapToGrid w:val="0"/>
          <w:lang w:eastAsia="en-US"/>
        </w:rPr>
        <w:t>tolvaptan</w:t>
      </w:r>
      <w:r w:rsidRPr="006B1802">
        <w:rPr>
          <w:rFonts w:asciiTheme="minorHAnsi" w:hAnsiTheme="minorHAnsi" w:cs="Arial"/>
          <w:bCs/>
          <w:snapToGrid w:val="0"/>
          <w:lang w:eastAsia="en-US"/>
        </w:rPr>
        <w:t xml:space="preserve"> economic model </w:t>
      </w:r>
      <w:r w:rsidR="00F221DD" w:rsidRPr="006B1802">
        <w:rPr>
          <w:rFonts w:asciiTheme="minorHAnsi" w:hAnsiTheme="minorHAnsi" w:cs="Arial"/>
          <w:bCs/>
          <w:snapToGrid w:val="0"/>
          <w:lang w:eastAsia="en-US"/>
        </w:rPr>
        <w:t xml:space="preserve">was sensitive to the efficacy estimates, the modelled populations and the model time horizon and </w:t>
      </w:r>
      <w:r w:rsidRPr="006B1802">
        <w:rPr>
          <w:rFonts w:asciiTheme="minorHAnsi" w:hAnsiTheme="minorHAnsi"/>
          <w:bCs/>
        </w:rPr>
        <w:t xml:space="preserve">this resulted in the ICER being highly </w:t>
      </w:r>
      <w:r w:rsidR="00174DFE" w:rsidRPr="006B1802">
        <w:rPr>
          <w:rFonts w:asciiTheme="minorHAnsi" w:hAnsiTheme="minorHAnsi"/>
          <w:bCs/>
        </w:rPr>
        <w:t>variable</w:t>
      </w:r>
      <w:r w:rsidRPr="006B1802">
        <w:rPr>
          <w:rFonts w:asciiTheme="minorHAnsi" w:hAnsiTheme="minorHAnsi"/>
          <w:bCs/>
        </w:rPr>
        <w:t xml:space="preserve">. </w:t>
      </w:r>
      <w:r w:rsidR="00174DFE" w:rsidRPr="006B1802">
        <w:rPr>
          <w:rFonts w:asciiTheme="minorHAnsi" w:hAnsiTheme="minorHAnsi"/>
          <w:bCs/>
        </w:rPr>
        <w:t>The ICERs presented</w:t>
      </w:r>
      <w:r w:rsidR="00973B29" w:rsidRPr="006B1802">
        <w:rPr>
          <w:rFonts w:asciiTheme="minorHAnsi" w:hAnsiTheme="minorHAnsi"/>
          <w:bCs/>
        </w:rPr>
        <w:t>,</w:t>
      </w:r>
      <w:r w:rsidR="00174DFE" w:rsidRPr="006B1802">
        <w:rPr>
          <w:rFonts w:asciiTheme="minorHAnsi" w:hAnsiTheme="minorHAnsi"/>
          <w:bCs/>
        </w:rPr>
        <w:t xml:space="preserve"> </w:t>
      </w:r>
      <w:r w:rsidR="00973B29" w:rsidRPr="006B1802">
        <w:rPr>
          <w:rFonts w:asciiTheme="minorHAnsi" w:hAnsiTheme="minorHAnsi"/>
          <w:bCs/>
        </w:rPr>
        <w:t xml:space="preserve">at the reduced price and including the disutility for adverse </w:t>
      </w:r>
      <w:proofErr w:type="gramStart"/>
      <w:r w:rsidR="00973B29" w:rsidRPr="006B1802">
        <w:rPr>
          <w:rFonts w:asciiTheme="minorHAnsi" w:hAnsiTheme="minorHAnsi"/>
          <w:bCs/>
        </w:rPr>
        <w:t>events,</w:t>
      </w:r>
      <w:proofErr w:type="gramEnd"/>
      <w:r w:rsidR="00973B29" w:rsidRPr="006B1802">
        <w:rPr>
          <w:rFonts w:asciiTheme="minorHAnsi" w:hAnsiTheme="minorHAnsi"/>
          <w:bCs/>
        </w:rPr>
        <w:t xml:space="preserve"> </w:t>
      </w:r>
      <w:r w:rsidR="00174DFE" w:rsidRPr="006B1802">
        <w:rPr>
          <w:rFonts w:asciiTheme="minorHAnsi" w:hAnsiTheme="minorHAnsi"/>
          <w:bCs/>
        </w:rPr>
        <w:t xml:space="preserve">were indicative of cost-effective use in the target population. </w:t>
      </w:r>
      <w:r w:rsidRPr="006B1802">
        <w:rPr>
          <w:rFonts w:asciiTheme="minorHAnsi" w:hAnsiTheme="minorHAnsi"/>
          <w:bCs/>
        </w:rPr>
        <w:t xml:space="preserve">The PBAC considered the uncertainty with the cost-effectiveness </w:t>
      </w:r>
      <w:r w:rsidR="00973B29" w:rsidRPr="006B1802">
        <w:rPr>
          <w:rFonts w:asciiTheme="minorHAnsi" w:hAnsiTheme="minorHAnsi"/>
          <w:bCs/>
        </w:rPr>
        <w:t>was</w:t>
      </w:r>
      <w:r w:rsidR="00D74D86" w:rsidRPr="006B1802">
        <w:rPr>
          <w:rFonts w:asciiTheme="minorHAnsi" w:hAnsiTheme="minorHAnsi"/>
          <w:bCs/>
        </w:rPr>
        <w:t xml:space="preserve"> adequately addressed through the</w:t>
      </w:r>
      <w:r w:rsidRPr="006B1802">
        <w:rPr>
          <w:rFonts w:asciiTheme="minorHAnsi" w:hAnsiTheme="minorHAnsi"/>
          <w:bCs/>
        </w:rPr>
        <w:t xml:space="preserve"> </w:t>
      </w:r>
      <w:r w:rsidR="00D74D86" w:rsidRPr="006B1802">
        <w:rPr>
          <w:rFonts w:asciiTheme="minorHAnsi" w:hAnsiTheme="minorHAnsi"/>
          <w:bCs/>
        </w:rPr>
        <w:t xml:space="preserve">16.7% </w:t>
      </w:r>
      <w:r w:rsidRPr="006B1802">
        <w:rPr>
          <w:rFonts w:asciiTheme="minorHAnsi" w:hAnsiTheme="minorHAnsi"/>
          <w:bCs/>
        </w:rPr>
        <w:t xml:space="preserve">reduction in price </w:t>
      </w:r>
      <w:r w:rsidR="00D74D86" w:rsidRPr="006B1802">
        <w:rPr>
          <w:rFonts w:asciiTheme="minorHAnsi" w:hAnsiTheme="minorHAnsi"/>
          <w:bCs/>
        </w:rPr>
        <w:t xml:space="preserve">from the March 2018 submission and in </w:t>
      </w:r>
      <w:r w:rsidRPr="006B1802">
        <w:rPr>
          <w:rFonts w:asciiTheme="minorHAnsi" w:hAnsiTheme="minorHAnsi"/>
          <w:bCs/>
        </w:rPr>
        <w:t xml:space="preserve">conjunction with </w:t>
      </w:r>
      <w:r w:rsidR="00323D90" w:rsidRPr="006B1802">
        <w:rPr>
          <w:rFonts w:asciiTheme="minorHAnsi" w:hAnsiTheme="minorHAnsi"/>
          <w:bCs/>
        </w:rPr>
        <w:t xml:space="preserve">a </w:t>
      </w:r>
      <w:r w:rsidR="00D74D86" w:rsidRPr="006B1802">
        <w:rPr>
          <w:rFonts w:asciiTheme="minorHAnsi" w:hAnsiTheme="minorHAnsi"/>
          <w:bCs/>
        </w:rPr>
        <w:t xml:space="preserve">100% rebate </w:t>
      </w:r>
      <w:r w:rsidR="006B1802">
        <w:rPr>
          <w:rFonts w:asciiTheme="minorHAnsi" w:hAnsiTheme="minorHAnsi"/>
          <w:bCs/>
        </w:rPr>
        <w:t>for use beyond the estimates</w:t>
      </w:r>
      <w:r w:rsidR="00973B29" w:rsidRPr="006B1802">
        <w:rPr>
          <w:rFonts w:asciiTheme="minorHAnsi" w:hAnsiTheme="minorHAnsi"/>
          <w:bCs/>
        </w:rPr>
        <w:t>.</w:t>
      </w:r>
      <w:r w:rsidRPr="006B1802">
        <w:rPr>
          <w:rFonts w:asciiTheme="minorHAnsi" w:hAnsiTheme="minorHAnsi"/>
          <w:bCs/>
        </w:rPr>
        <w:t xml:space="preserve"> </w:t>
      </w:r>
    </w:p>
    <w:p w:rsidR="0025521E" w:rsidRPr="006B1802" w:rsidRDefault="00973B29" w:rsidP="00B93A10">
      <w:pPr>
        <w:numPr>
          <w:ilvl w:val="1"/>
          <w:numId w:val="5"/>
        </w:numPr>
        <w:spacing w:after="120"/>
        <w:jc w:val="both"/>
        <w:rPr>
          <w:rFonts w:asciiTheme="minorHAnsi" w:hAnsiTheme="minorHAnsi"/>
          <w:bCs/>
        </w:rPr>
      </w:pPr>
      <w:r w:rsidRPr="006B1802">
        <w:rPr>
          <w:rFonts w:asciiTheme="minorHAnsi" w:hAnsiTheme="minorHAnsi"/>
          <w:bCs/>
        </w:rPr>
        <w:t>The PBAC considered the hard cap set at 15% of the prevalent population was acceptable,</w:t>
      </w:r>
      <w:r w:rsidR="00784A96" w:rsidRPr="006B1802">
        <w:rPr>
          <w:rFonts w:asciiTheme="minorHAnsi" w:hAnsiTheme="minorHAnsi"/>
          <w:bCs/>
        </w:rPr>
        <w:t xml:space="preserve"> noting the </w:t>
      </w:r>
      <w:r w:rsidRPr="006B1802">
        <w:rPr>
          <w:rFonts w:asciiTheme="minorHAnsi" w:hAnsiTheme="minorHAnsi"/>
          <w:bCs/>
        </w:rPr>
        <w:t>assumed high persistence with treatment (between 100%–</w:t>
      </w:r>
      <w:proofErr w:type="gramStart"/>
      <w:r w:rsidRPr="006B1802">
        <w:rPr>
          <w:rFonts w:asciiTheme="minorHAnsi" w:hAnsiTheme="minorHAnsi"/>
          <w:bCs/>
        </w:rPr>
        <w:t>73.5%</w:t>
      </w:r>
      <w:proofErr w:type="gramEnd"/>
      <w:r w:rsidRPr="006B1802">
        <w:rPr>
          <w:rFonts w:asciiTheme="minorHAnsi" w:hAnsiTheme="minorHAnsi"/>
          <w:bCs/>
        </w:rPr>
        <w:t xml:space="preserve"> over the first five years of listing) may be optimistic, but was internally consistent with the modelled assumptions. </w:t>
      </w:r>
      <w:r w:rsidR="0025521E" w:rsidRPr="006B1802">
        <w:rPr>
          <w:rFonts w:asciiTheme="minorHAnsi" w:hAnsiTheme="minorHAnsi"/>
          <w:bCs/>
        </w:rPr>
        <w:t xml:space="preserve"> </w:t>
      </w:r>
    </w:p>
    <w:p w:rsidR="0085219E" w:rsidRPr="006B1802" w:rsidRDefault="00873F42" w:rsidP="00B93A10">
      <w:pPr>
        <w:pStyle w:val="ListParagraph"/>
        <w:widowControl/>
        <w:numPr>
          <w:ilvl w:val="1"/>
          <w:numId w:val="5"/>
        </w:numPr>
        <w:spacing w:after="120"/>
        <w:rPr>
          <w:rFonts w:asciiTheme="minorHAnsi" w:hAnsiTheme="minorHAnsi"/>
          <w:bCs/>
        </w:rPr>
      </w:pPr>
      <w:r w:rsidRPr="006B1802">
        <w:rPr>
          <w:rFonts w:asciiTheme="minorHAnsi" w:hAnsiTheme="minorHAnsi"/>
          <w:bCs/>
          <w:sz w:val="24"/>
          <w:szCs w:val="24"/>
        </w:rPr>
        <w:t>The PBAC acknowledged the current and previously expressed significant public interest in the listing of tolvaptan in the AKPD population.</w:t>
      </w:r>
    </w:p>
    <w:p w:rsidR="005909CB" w:rsidRPr="006B1802" w:rsidRDefault="005909CB" w:rsidP="00B93A10">
      <w:pPr>
        <w:numPr>
          <w:ilvl w:val="1"/>
          <w:numId w:val="5"/>
        </w:numPr>
        <w:spacing w:after="120"/>
        <w:jc w:val="both"/>
        <w:rPr>
          <w:rFonts w:asciiTheme="minorHAnsi" w:hAnsiTheme="minorHAnsi" w:cs="Arial"/>
          <w:bCs/>
          <w:snapToGrid w:val="0"/>
          <w:lang w:eastAsia="en-US"/>
        </w:rPr>
      </w:pPr>
      <w:r w:rsidRPr="006B1802">
        <w:rPr>
          <w:rFonts w:asciiTheme="minorHAnsi" w:hAnsiTheme="minorHAnsi" w:cs="Arial"/>
          <w:bCs/>
          <w:snapToGrid w:val="0"/>
          <w:lang w:eastAsia="en-US"/>
        </w:rPr>
        <w:t xml:space="preserve">The PBAC advised that tolvaptan is not suitable for prescribing by nurse practitioners.  </w:t>
      </w:r>
    </w:p>
    <w:p w:rsidR="00323D90" w:rsidRPr="006B1802" w:rsidRDefault="00323D90" w:rsidP="00B93A10">
      <w:pPr>
        <w:pStyle w:val="ListParagraph"/>
        <w:widowControl/>
        <w:numPr>
          <w:ilvl w:val="1"/>
          <w:numId w:val="5"/>
        </w:numPr>
        <w:spacing w:after="120"/>
        <w:rPr>
          <w:rFonts w:asciiTheme="minorHAnsi" w:hAnsiTheme="minorHAnsi"/>
          <w:bCs/>
        </w:rPr>
      </w:pPr>
      <w:r w:rsidRPr="006B1802">
        <w:rPr>
          <w:rFonts w:asciiTheme="minorHAnsi" w:hAnsiTheme="minorHAnsi"/>
          <w:bCs/>
          <w:sz w:val="24"/>
          <w:szCs w:val="24"/>
        </w:rPr>
        <w:t xml:space="preserve">The PBAC recommended that </w:t>
      </w:r>
      <w:r w:rsidR="00BE0E39" w:rsidRPr="006B1802">
        <w:rPr>
          <w:rFonts w:asciiTheme="minorHAnsi" w:hAnsiTheme="minorHAnsi"/>
          <w:bCs/>
          <w:sz w:val="24"/>
          <w:szCs w:val="24"/>
        </w:rPr>
        <w:t>tolvaptan</w:t>
      </w:r>
      <w:r w:rsidRPr="006B1802">
        <w:rPr>
          <w:rFonts w:asciiTheme="minorHAnsi" w:hAnsiTheme="minorHAnsi"/>
          <w:bCs/>
          <w:sz w:val="24"/>
          <w:szCs w:val="24"/>
        </w:rPr>
        <w:t xml:space="preserve"> should </w:t>
      </w:r>
      <w:r w:rsidR="00784A96" w:rsidRPr="006B1802">
        <w:rPr>
          <w:rFonts w:asciiTheme="minorHAnsi" w:hAnsiTheme="minorHAnsi"/>
          <w:bCs/>
          <w:sz w:val="24"/>
          <w:szCs w:val="24"/>
        </w:rPr>
        <w:t xml:space="preserve">not </w:t>
      </w:r>
      <w:r w:rsidRPr="006B1802">
        <w:rPr>
          <w:rFonts w:asciiTheme="minorHAnsi" w:hAnsiTheme="minorHAnsi"/>
          <w:bCs/>
          <w:sz w:val="24"/>
          <w:szCs w:val="24"/>
        </w:rPr>
        <w:t xml:space="preserve">be treated as interchangeable </w:t>
      </w:r>
      <w:r w:rsidR="00784A96" w:rsidRPr="006B1802">
        <w:rPr>
          <w:rFonts w:asciiTheme="minorHAnsi" w:hAnsiTheme="minorHAnsi"/>
          <w:bCs/>
          <w:sz w:val="24"/>
          <w:szCs w:val="24"/>
        </w:rPr>
        <w:t>with any other drugs</w:t>
      </w:r>
      <w:r w:rsidRPr="006B1802">
        <w:rPr>
          <w:rFonts w:asciiTheme="minorHAnsi" w:hAnsiTheme="minorHAnsi"/>
          <w:bCs/>
          <w:sz w:val="24"/>
          <w:szCs w:val="24"/>
        </w:rPr>
        <w:t xml:space="preserve">. </w:t>
      </w:r>
    </w:p>
    <w:p w:rsidR="005909CB" w:rsidRPr="006B1802" w:rsidRDefault="005909CB" w:rsidP="00B93A10">
      <w:pPr>
        <w:numPr>
          <w:ilvl w:val="1"/>
          <w:numId w:val="5"/>
        </w:numPr>
        <w:spacing w:after="120"/>
        <w:jc w:val="both"/>
        <w:rPr>
          <w:rFonts w:asciiTheme="minorHAnsi" w:hAnsiTheme="minorHAnsi" w:cs="Arial"/>
          <w:bCs/>
          <w:snapToGrid w:val="0"/>
          <w:lang w:eastAsia="en-US"/>
        </w:rPr>
      </w:pPr>
      <w:r w:rsidRPr="006B1802">
        <w:rPr>
          <w:rFonts w:asciiTheme="minorHAnsi" w:hAnsiTheme="minorHAnsi" w:cs="Arial"/>
          <w:bCs/>
          <w:snapToGrid w:val="0"/>
          <w:lang w:eastAsia="en-US"/>
        </w:rPr>
        <w:t xml:space="preserve">The PBAC noted that this submission is not eligible for an Independent Review as it is a positive recommendation. </w:t>
      </w:r>
    </w:p>
    <w:p w:rsidR="0085219E" w:rsidRPr="006B1802" w:rsidRDefault="0085219E" w:rsidP="00B93A10">
      <w:pPr>
        <w:numPr>
          <w:ilvl w:val="1"/>
          <w:numId w:val="5"/>
        </w:numPr>
        <w:spacing w:after="120"/>
        <w:jc w:val="both"/>
        <w:rPr>
          <w:rFonts w:asciiTheme="minorHAnsi" w:hAnsiTheme="minorHAnsi" w:cs="Arial"/>
          <w:bCs/>
          <w:snapToGrid w:val="0"/>
          <w:lang w:eastAsia="en-US"/>
        </w:rPr>
      </w:pPr>
      <w:r w:rsidRPr="006B1802">
        <w:rPr>
          <w:rFonts w:asciiTheme="minorHAnsi" w:hAnsiTheme="minorHAnsi" w:cs="Arial"/>
          <w:bCs/>
          <w:snapToGrid w:val="0"/>
          <w:lang w:eastAsia="en-US"/>
        </w:rPr>
        <w:t>The PBAC recommended th</w:t>
      </w:r>
      <w:r w:rsidR="005909CB" w:rsidRPr="006B1802">
        <w:rPr>
          <w:rFonts w:asciiTheme="minorHAnsi" w:hAnsiTheme="minorHAnsi" w:cs="Arial"/>
          <w:bCs/>
          <w:snapToGrid w:val="0"/>
          <w:lang w:eastAsia="en-US"/>
        </w:rPr>
        <w:t xml:space="preserve">at the Early Supply Rule </w:t>
      </w:r>
      <w:r w:rsidRPr="006B1802">
        <w:rPr>
          <w:rFonts w:asciiTheme="minorHAnsi" w:hAnsiTheme="minorHAnsi" w:cs="Arial"/>
          <w:bCs/>
          <w:snapToGrid w:val="0"/>
          <w:lang w:eastAsia="en-US"/>
        </w:rPr>
        <w:t xml:space="preserve">should not apply. </w:t>
      </w:r>
    </w:p>
    <w:p w:rsidR="0085219E" w:rsidRPr="006B1802" w:rsidRDefault="0085219E" w:rsidP="00B93A10">
      <w:pPr>
        <w:spacing w:after="120"/>
        <w:ind w:left="720"/>
        <w:jc w:val="both"/>
        <w:rPr>
          <w:rFonts w:asciiTheme="minorHAnsi" w:hAnsiTheme="minorHAnsi" w:cs="Arial"/>
          <w:bCs/>
          <w:snapToGrid w:val="0"/>
          <w:lang w:eastAsia="en-US"/>
        </w:rPr>
      </w:pPr>
    </w:p>
    <w:p w:rsidR="0085219E" w:rsidRPr="006B1802" w:rsidRDefault="0085219E" w:rsidP="00B93A10">
      <w:pPr>
        <w:spacing w:before="240" w:after="120"/>
        <w:jc w:val="both"/>
        <w:rPr>
          <w:rFonts w:asciiTheme="minorHAnsi" w:hAnsiTheme="minorHAnsi" w:cs="Arial"/>
          <w:b/>
          <w:bCs/>
          <w:snapToGrid w:val="0"/>
          <w:lang w:eastAsia="en-US"/>
        </w:rPr>
      </w:pPr>
      <w:r w:rsidRPr="006B1802">
        <w:rPr>
          <w:rFonts w:asciiTheme="minorHAnsi" w:hAnsiTheme="minorHAnsi" w:cs="Arial"/>
          <w:b/>
          <w:bCs/>
          <w:snapToGrid w:val="0"/>
          <w:lang w:eastAsia="en-US"/>
        </w:rPr>
        <w:t>Outcome:</w:t>
      </w:r>
    </w:p>
    <w:p w:rsidR="00784A96" w:rsidRPr="006B1802" w:rsidRDefault="0085219E" w:rsidP="00B93A10">
      <w:pPr>
        <w:spacing w:after="120"/>
        <w:jc w:val="both"/>
        <w:rPr>
          <w:rFonts w:asciiTheme="minorHAnsi" w:hAnsiTheme="minorHAnsi" w:cs="Arial"/>
          <w:bCs/>
          <w:snapToGrid w:val="0"/>
          <w:lang w:eastAsia="en-US"/>
        </w:rPr>
      </w:pPr>
      <w:r w:rsidRPr="006B1802">
        <w:rPr>
          <w:rFonts w:asciiTheme="minorHAnsi" w:hAnsiTheme="minorHAnsi" w:cs="Arial"/>
          <w:bCs/>
          <w:snapToGrid w:val="0"/>
          <w:lang w:eastAsia="en-US"/>
        </w:rPr>
        <w:t>Recommended</w:t>
      </w:r>
    </w:p>
    <w:p w:rsidR="0085219E" w:rsidRPr="006B1802" w:rsidRDefault="0085219E" w:rsidP="00B93A10">
      <w:pPr>
        <w:pStyle w:val="PBACHeading1"/>
        <w:keepNext/>
        <w:spacing w:before="240" w:after="120"/>
        <w:ind w:left="709" w:hanging="709"/>
        <w:rPr>
          <w:rFonts w:asciiTheme="minorHAnsi" w:hAnsiTheme="minorHAnsi"/>
          <w:sz w:val="32"/>
          <w:szCs w:val="32"/>
        </w:rPr>
      </w:pPr>
      <w:r w:rsidRPr="006B1802">
        <w:rPr>
          <w:rFonts w:asciiTheme="minorHAnsi" w:hAnsiTheme="minorHAnsi"/>
          <w:sz w:val="32"/>
          <w:szCs w:val="32"/>
        </w:rPr>
        <w:lastRenderedPageBreak/>
        <w:t>Recommended listing</w:t>
      </w:r>
    </w:p>
    <w:p w:rsidR="0085219E" w:rsidRPr="006A4D78" w:rsidRDefault="0085219E" w:rsidP="00B93A10">
      <w:pPr>
        <w:keepNext/>
        <w:numPr>
          <w:ilvl w:val="1"/>
          <w:numId w:val="5"/>
        </w:numPr>
        <w:spacing w:after="120"/>
        <w:jc w:val="both"/>
        <w:rPr>
          <w:rFonts w:asciiTheme="minorHAnsi" w:hAnsiTheme="minorHAnsi" w:cs="Arial"/>
          <w:bCs/>
          <w:snapToGrid w:val="0"/>
          <w:lang w:eastAsia="en-US"/>
        </w:rPr>
      </w:pPr>
      <w:r w:rsidRPr="006B1802">
        <w:rPr>
          <w:rFonts w:asciiTheme="minorHAnsi" w:hAnsiTheme="minorHAnsi" w:cs="Arial"/>
          <w:bCs/>
          <w:snapToGrid w:val="0"/>
          <w:lang w:eastAsia="en-US"/>
        </w:rPr>
        <w:t>Add new item:</w:t>
      </w:r>
      <w:r w:rsidR="00861441" w:rsidRPr="006B1802">
        <w:rPr>
          <w:rFonts w:asciiTheme="minorHAnsi" w:hAnsiTheme="minorHAnsi" w:cs="Arial"/>
          <w:bCs/>
          <w:snapToGrid w:val="0"/>
          <w:lang w:eastAsia="en-US"/>
        </w:rPr>
        <w:t xml:space="preserve"> </w:t>
      </w:r>
    </w:p>
    <w:tbl>
      <w:tblPr>
        <w:tblW w:w="4916" w:type="pct"/>
        <w:tblLook w:val="0000" w:firstRow="0" w:lastRow="0" w:firstColumn="0" w:lastColumn="0" w:noHBand="0" w:noVBand="0"/>
      </w:tblPr>
      <w:tblGrid>
        <w:gridCol w:w="1896"/>
        <w:gridCol w:w="1312"/>
        <w:gridCol w:w="680"/>
        <w:gridCol w:w="832"/>
        <w:gridCol w:w="1570"/>
        <w:gridCol w:w="1977"/>
        <w:gridCol w:w="487"/>
        <w:gridCol w:w="333"/>
      </w:tblGrid>
      <w:tr w:rsidR="00D37A43" w:rsidRPr="006B1802" w:rsidTr="00EF52C3">
        <w:trPr>
          <w:cantSplit/>
          <w:trHeight w:val="465"/>
        </w:trPr>
        <w:tc>
          <w:tcPr>
            <w:tcW w:w="1765" w:type="pct"/>
            <w:gridSpan w:val="2"/>
            <w:tcBorders>
              <w:bottom w:val="single" w:sz="4" w:space="0" w:color="auto"/>
            </w:tcBorders>
          </w:tcPr>
          <w:p w:rsidR="00D37A43" w:rsidRPr="006B1802" w:rsidRDefault="00D37A43" w:rsidP="00B93A10">
            <w:pPr>
              <w:keepNext/>
              <w:spacing w:before="40" w:after="40"/>
              <w:jc w:val="both"/>
              <w:rPr>
                <w:rFonts w:ascii="Arial Narrow" w:hAnsi="Arial Narrow" w:cs="Arial"/>
                <w:b/>
                <w:sz w:val="20"/>
                <w:szCs w:val="20"/>
              </w:rPr>
            </w:pPr>
            <w:r w:rsidRPr="006B1802">
              <w:rPr>
                <w:rFonts w:ascii="Arial Narrow" w:hAnsi="Arial Narrow" w:cs="Arial"/>
                <w:b/>
                <w:sz w:val="20"/>
                <w:szCs w:val="20"/>
              </w:rPr>
              <w:t>Name, Restriction,</w:t>
            </w:r>
          </w:p>
          <w:p w:rsidR="00D37A43" w:rsidRPr="006B1802" w:rsidRDefault="00D37A43" w:rsidP="00B93A10">
            <w:pPr>
              <w:keepNext/>
              <w:spacing w:before="40" w:after="40"/>
              <w:jc w:val="both"/>
              <w:rPr>
                <w:rFonts w:ascii="Arial Narrow" w:hAnsi="Arial Narrow" w:cs="Arial"/>
                <w:b/>
                <w:sz w:val="20"/>
                <w:szCs w:val="20"/>
              </w:rPr>
            </w:pPr>
            <w:r w:rsidRPr="006B1802">
              <w:rPr>
                <w:rFonts w:ascii="Arial Narrow" w:hAnsi="Arial Narrow" w:cs="Arial"/>
                <w:b/>
                <w:sz w:val="20"/>
                <w:szCs w:val="20"/>
              </w:rPr>
              <w:t>Manner of administration and form</w:t>
            </w:r>
          </w:p>
        </w:tc>
        <w:tc>
          <w:tcPr>
            <w:tcW w:w="374" w:type="pct"/>
            <w:tcBorders>
              <w:bottom w:val="single" w:sz="4" w:space="0" w:color="auto"/>
            </w:tcBorders>
          </w:tcPr>
          <w:p w:rsidR="00D37A43" w:rsidRPr="006B1802" w:rsidRDefault="00D37A43" w:rsidP="00B93A10">
            <w:pPr>
              <w:keepNext/>
              <w:spacing w:before="40" w:after="40"/>
              <w:jc w:val="both"/>
              <w:rPr>
                <w:rFonts w:ascii="Arial Narrow" w:hAnsi="Arial Narrow" w:cs="Arial"/>
                <w:b/>
                <w:sz w:val="20"/>
                <w:szCs w:val="20"/>
              </w:rPr>
            </w:pPr>
            <w:r w:rsidRPr="006B1802">
              <w:rPr>
                <w:rFonts w:ascii="Arial Narrow" w:hAnsi="Arial Narrow" w:cs="Arial"/>
                <w:b/>
                <w:sz w:val="20"/>
                <w:szCs w:val="20"/>
              </w:rPr>
              <w:t>Max.</w:t>
            </w:r>
          </w:p>
          <w:p w:rsidR="00D37A43" w:rsidRPr="006B1802" w:rsidRDefault="00D37A43" w:rsidP="00B93A10">
            <w:pPr>
              <w:keepNext/>
              <w:spacing w:before="40" w:after="40"/>
              <w:jc w:val="both"/>
              <w:rPr>
                <w:rFonts w:ascii="Arial Narrow" w:hAnsi="Arial Narrow" w:cs="Arial"/>
                <w:b/>
                <w:sz w:val="20"/>
                <w:szCs w:val="20"/>
              </w:rPr>
            </w:pPr>
            <w:r w:rsidRPr="006B1802">
              <w:rPr>
                <w:rFonts w:ascii="Arial Narrow" w:hAnsi="Arial Narrow" w:cs="Arial"/>
                <w:b/>
                <w:sz w:val="20"/>
                <w:szCs w:val="20"/>
              </w:rPr>
              <w:t>Qty</w:t>
            </w:r>
          </w:p>
        </w:tc>
        <w:tc>
          <w:tcPr>
            <w:tcW w:w="458" w:type="pct"/>
            <w:tcBorders>
              <w:bottom w:val="single" w:sz="4" w:space="0" w:color="auto"/>
            </w:tcBorders>
          </w:tcPr>
          <w:p w:rsidR="00D37A43" w:rsidRPr="006B1802" w:rsidRDefault="00D37A43" w:rsidP="00B93A10">
            <w:pPr>
              <w:keepNext/>
              <w:spacing w:before="40" w:after="40"/>
              <w:jc w:val="both"/>
              <w:rPr>
                <w:rFonts w:ascii="Arial Narrow" w:hAnsi="Arial Narrow" w:cs="Arial"/>
                <w:b/>
                <w:sz w:val="20"/>
                <w:szCs w:val="20"/>
              </w:rPr>
            </w:pPr>
            <w:r w:rsidRPr="006B1802">
              <w:rPr>
                <w:rFonts w:ascii="Arial Narrow" w:hAnsi="Arial Narrow" w:cs="Arial"/>
                <w:b/>
                <w:sz w:val="20"/>
                <w:szCs w:val="20"/>
              </w:rPr>
              <w:t>№.of</w:t>
            </w:r>
          </w:p>
          <w:p w:rsidR="00D37A43" w:rsidRPr="006B1802" w:rsidRDefault="00D37A43" w:rsidP="00B93A10">
            <w:pPr>
              <w:keepNext/>
              <w:spacing w:before="40" w:after="40"/>
              <w:jc w:val="both"/>
              <w:rPr>
                <w:rFonts w:ascii="Arial Narrow" w:hAnsi="Arial Narrow" w:cs="Arial"/>
                <w:b/>
                <w:sz w:val="20"/>
                <w:szCs w:val="20"/>
              </w:rPr>
            </w:pPr>
            <w:r w:rsidRPr="006B1802">
              <w:rPr>
                <w:rFonts w:ascii="Arial Narrow" w:hAnsi="Arial Narrow" w:cs="Arial"/>
                <w:b/>
                <w:sz w:val="20"/>
                <w:szCs w:val="20"/>
              </w:rPr>
              <w:t>Rpts</w:t>
            </w:r>
          </w:p>
        </w:tc>
        <w:tc>
          <w:tcPr>
            <w:tcW w:w="864" w:type="pct"/>
            <w:tcBorders>
              <w:bottom w:val="single" w:sz="4" w:space="0" w:color="auto"/>
            </w:tcBorders>
          </w:tcPr>
          <w:p w:rsidR="00D37A43" w:rsidRPr="006B1802" w:rsidRDefault="00EF1C6A" w:rsidP="00B93A10">
            <w:pPr>
              <w:keepNext/>
              <w:spacing w:before="40" w:after="40"/>
              <w:jc w:val="center"/>
              <w:rPr>
                <w:rFonts w:ascii="Arial Narrow" w:hAnsi="Arial Narrow" w:cs="Arial"/>
                <w:b/>
                <w:sz w:val="20"/>
                <w:szCs w:val="20"/>
              </w:rPr>
            </w:pPr>
            <w:r w:rsidRPr="006B1802">
              <w:rPr>
                <w:rFonts w:ascii="Arial Narrow" w:hAnsi="Arial Narrow" w:cs="Arial"/>
                <w:b/>
                <w:sz w:val="20"/>
                <w:szCs w:val="20"/>
              </w:rPr>
              <w:t xml:space="preserve">Proprietary Name </w:t>
            </w:r>
          </w:p>
        </w:tc>
        <w:tc>
          <w:tcPr>
            <w:tcW w:w="1539" w:type="pct"/>
            <w:gridSpan w:val="3"/>
            <w:tcBorders>
              <w:bottom w:val="single" w:sz="4" w:space="0" w:color="auto"/>
            </w:tcBorders>
          </w:tcPr>
          <w:p w:rsidR="00D37A43" w:rsidRPr="006B1802" w:rsidRDefault="00EF1C6A" w:rsidP="00B93A10">
            <w:pPr>
              <w:keepNext/>
              <w:spacing w:before="40" w:after="40"/>
              <w:ind w:left="-53" w:firstLine="53"/>
              <w:jc w:val="center"/>
              <w:rPr>
                <w:rFonts w:ascii="Arial Narrow" w:hAnsi="Arial Narrow" w:cs="Arial"/>
                <w:b/>
                <w:sz w:val="20"/>
                <w:szCs w:val="20"/>
              </w:rPr>
            </w:pPr>
            <w:r w:rsidRPr="006B1802">
              <w:rPr>
                <w:rFonts w:ascii="Arial Narrow" w:hAnsi="Arial Narrow" w:cs="Arial"/>
                <w:b/>
                <w:sz w:val="20"/>
                <w:szCs w:val="20"/>
              </w:rPr>
              <w:t>Manufacturer</w:t>
            </w:r>
          </w:p>
        </w:tc>
      </w:tr>
      <w:tr w:rsidR="00EF1C6A" w:rsidRPr="006B1802" w:rsidTr="00EF52C3">
        <w:trPr>
          <w:cantSplit/>
          <w:trHeight w:val="567"/>
        </w:trPr>
        <w:tc>
          <w:tcPr>
            <w:tcW w:w="1765" w:type="pct"/>
            <w:gridSpan w:val="2"/>
          </w:tcPr>
          <w:p w:rsidR="00EF1C6A" w:rsidRPr="006B1802" w:rsidRDefault="00EF1C6A" w:rsidP="00B93A10">
            <w:pPr>
              <w:keepNext/>
              <w:spacing w:before="40" w:after="40"/>
              <w:jc w:val="both"/>
              <w:rPr>
                <w:rFonts w:ascii="Arial Narrow" w:hAnsi="Arial Narrow" w:cs="Arial"/>
                <w:sz w:val="20"/>
                <w:szCs w:val="20"/>
              </w:rPr>
            </w:pPr>
            <w:r w:rsidRPr="006B1802">
              <w:rPr>
                <w:rFonts w:ascii="Arial Narrow" w:hAnsi="Arial Narrow" w:cs="Arial"/>
                <w:smallCaps/>
                <w:sz w:val="20"/>
                <w:szCs w:val="20"/>
              </w:rPr>
              <w:t>TOLVAPTAN</w:t>
            </w:r>
          </w:p>
          <w:p w:rsidR="00EF1C6A" w:rsidRPr="006B1802" w:rsidRDefault="00EF1C6A" w:rsidP="00B93A10">
            <w:pPr>
              <w:keepNext/>
              <w:spacing w:before="40" w:after="40"/>
              <w:jc w:val="both"/>
              <w:rPr>
                <w:rFonts w:ascii="Arial Narrow" w:hAnsi="Arial Narrow" w:cs="Arial"/>
                <w:sz w:val="20"/>
                <w:szCs w:val="20"/>
              </w:rPr>
            </w:pPr>
            <w:r w:rsidRPr="006B1802">
              <w:rPr>
                <w:rFonts w:ascii="Arial Narrow" w:hAnsi="Arial Narrow" w:cs="Arial"/>
                <w:sz w:val="20"/>
                <w:szCs w:val="20"/>
              </w:rPr>
              <w:t>15mg + 45mg oral tablets</w:t>
            </w:r>
          </w:p>
          <w:p w:rsidR="00EF1C6A" w:rsidRPr="006B1802" w:rsidRDefault="00EF1C6A" w:rsidP="00B93A10">
            <w:pPr>
              <w:keepNext/>
              <w:spacing w:before="40" w:after="40"/>
              <w:jc w:val="both"/>
              <w:rPr>
                <w:rFonts w:ascii="Arial Narrow" w:hAnsi="Arial Narrow" w:cs="Arial"/>
                <w:sz w:val="20"/>
                <w:szCs w:val="20"/>
              </w:rPr>
            </w:pPr>
            <w:r w:rsidRPr="006B1802">
              <w:rPr>
                <w:rFonts w:ascii="Arial Narrow" w:hAnsi="Arial Narrow" w:cs="Arial"/>
                <w:sz w:val="20"/>
                <w:szCs w:val="20"/>
              </w:rPr>
              <w:t>30mg + 60mg oral tablets</w:t>
            </w:r>
          </w:p>
          <w:p w:rsidR="00EF1C6A" w:rsidRPr="006B1802" w:rsidRDefault="00EF1C6A" w:rsidP="00B93A10">
            <w:pPr>
              <w:keepNext/>
              <w:spacing w:before="40" w:after="40"/>
              <w:jc w:val="both"/>
              <w:rPr>
                <w:rFonts w:ascii="Arial Narrow" w:hAnsi="Arial Narrow" w:cs="Arial"/>
                <w:sz w:val="20"/>
                <w:szCs w:val="20"/>
              </w:rPr>
            </w:pPr>
            <w:r w:rsidRPr="006B1802">
              <w:rPr>
                <w:rFonts w:ascii="Arial Narrow" w:hAnsi="Arial Narrow" w:cs="Arial"/>
                <w:sz w:val="20"/>
                <w:szCs w:val="20"/>
              </w:rPr>
              <w:t>30mg + 90mg oral tablets</w:t>
            </w:r>
          </w:p>
        </w:tc>
        <w:tc>
          <w:tcPr>
            <w:tcW w:w="374" w:type="pct"/>
          </w:tcPr>
          <w:p w:rsidR="00EF1C6A" w:rsidRPr="006B1802" w:rsidRDefault="00EF1C6A" w:rsidP="00B93A10">
            <w:pPr>
              <w:keepNext/>
              <w:spacing w:before="40" w:after="40"/>
              <w:jc w:val="both"/>
              <w:rPr>
                <w:rFonts w:ascii="Arial Narrow" w:hAnsi="Arial Narrow" w:cs="Arial"/>
                <w:sz w:val="20"/>
                <w:szCs w:val="20"/>
              </w:rPr>
            </w:pPr>
          </w:p>
          <w:p w:rsidR="00EF1C6A" w:rsidRPr="006B1802" w:rsidRDefault="00EF1C6A" w:rsidP="00B93A10">
            <w:pPr>
              <w:keepNext/>
              <w:spacing w:before="40" w:after="40"/>
              <w:jc w:val="both"/>
              <w:rPr>
                <w:rFonts w:ascii="Arial Narrow" w:hAnsi="Arial Narrow" w:cs="Arial"/>
                <w:sz w:val="20"/>
                <w:szCs w:val="20"/>
              </w:rPr>
            </w:pPr>
            <w:r w:rsidRPr="006B1802">
              <w:rPr>
                <w:rFonts w:ascii="Arial Narrow" w:hAnsi="Arial Narrow" w:cs="Arial"/>
                <w:sz w:val="20"/>
                <w:szCs w:val="20"/>
              </w:rPr>
              <w:t>56</w:t>
            </w:r>
          </w:p>
        </w:tc>
        <w:tc>
          <w:tcPr>
            <w:tcW w:w="458" w:type="pct"/>
          </w:tcPr>
          <w:p w:rsidR="00EF1C6A" w:rsidRPr="006B1802" w:rsidRDefault="00EF1C6A" w:rsidP="00B93A10">
            <w:pPr>
              <w:keepNext/>
              <w:spacing w:before="40" w:after="40"/>
              <w:jc w:val="both"/>
              <w:rPr>
                <w:rFonts w:ascii="Arial Narrow" w:hAnsi="Arial Narrow" w:cs="Arial"/>
                <w:sz w:val="20"/>
                <w:szCs w:val="20"/>
              </w:rPr>
            </w:pPr>
          </w:p>
          <w:p w:rsidR="00EF1C6A" w:rsidRPr="006B1802" w:rsidRDefault="00EF1C6A" w:rsidP="00B93A10">
            <w:pPr>
              <w:keepNext/>
              <w:spacing w:before="40" w:after="40"/>
              <w:jc w:val="both"/>
              <w:rPr>
                <w:rFonts w:ascii="Arial Narrow" w:hAnsi="Arial Narrow" w:cs="Arial"/>
                <w:sz w:val="20"/>
                <w:szCs w:val="20"/>
              </w:rPr>
            </w:pPr>
            <w:r w:rsidRPr="006B1802">
              <w:rPr>
                <w:rFonts w:ascii="Arial Narrow" w:hAnsi="Arial Narrow" w:cs="Arial"/>
                <w:sz w:val="20"/>
                <w:szCs w:val="20"/>
              </w:rPr>
              <w:t>5</w:t>
            </w:r>
          </w:p>
        </w:tc>
        <w:tc>
          <w:tcPr>
            <w:tcW w:w="864" w:type="pct"/>
          </w:tcPr>
          <w:p w:rsidR="00EF1C6A" w:rsidRPr="006B1802" w:rsidRDefault="00EF1C6A" w:rsidP="00B93A10">
            <w:pPr>
              <w:keepNext/>
              <w:spacing w:before="40" w:after="40"/>
              <w:jc w:val="center"/>
              <w:rPr>
                <w:rFonts w:ascii="Arial Narrow" w:hAnsi="Arial Narrow" w:cs="Arial"/>
                <w:sz w:val="20"/>
                <w:szCs w:val="20"/>
              </w:rPr>
            </w:pPr>
          </w:p>
          <w:p w:rsidR="00EF1C6A" w:rsidRPr="006B1802" w:rsidRDefault="00EF1C6A" w:rsidP="00B93A10">
            <w:pPr>
              <w:keepNext/>
              <w:spacing w:before="40" w:after="40"/>
              <w:jc w:val="center"/>
              <w:rPr>
                <w:rFonts w:ascii="Arial Narrow" w:hAnsi="Arial Narrow" w:cs="Arial"/>
                <w:sz w:val="20"/>
                <w:szCs w:val="20"/>
              </w:rPr>
            </w:pPr>
            <w:proofErr w:type="spellStart"/>
            <w:r w:rsidRPr="006B1802">
              <w:rPr>
                <w:rFonts w:ascii="Arial Narrow" w:hAnsi="Arial Narrow" w:cs="Arial"/>
                <w:sz w:val="20"/>
                <w:szCs w:val="20"/>
              </w:rPr>
              <w:t>Jinarc</w:t>
            </w:r>
            <w:proofErr w:type="spellEnd"/>
            <w:r w:rsidRPr="006B1802">
              <w:rPr>
                <w:rFonts w:ascii="Arial Narrow" w:hAnsi="Arial Narrow" w:cs="Arial"/>
                <w:sz w:val="20"/>
                <w:szCs w:val="20"/>
              </w:rPr>
              <w:t>®</w:t>
            </w:r>
          </w:p>
        </w:tc>
        <w:tc>
          <w:tcPr>
            <w:tcW w:w="1356" w:type="pct"/>
            <w:gridSpan w:val="2"/>
          </w:tcPr>
          <w:p w:rsidR="00EF1C6A" w:rsidRPr="006B1802" w:rsidRDefault="00EF1C6A" w:rsidP="00B93A10">
            <w:pPr>
              <w:keepNext/>
              <w:spacing w:before="40" w:after="40"/>
              <w:jc w:val="both"/>
              <w:rPr>
                <w:rFonts w:ascii="Arial Narrow" w:hAnsi="Arial Narrow" w:cs="Arial"/>
                <w:sz w:val="20"/>
                <w:szCs w:val="20"/>
              </w:rPr>
            </w:pPr>
          </w:p>
          <w:p w:rsidR="00EF1C6A" w:rsidRPr="006B1802" w:rsidRDefault="00EF1C6A" w:rsidP="00B93A10">
            <w:pPr>
              <w:keepNext/>
              <w:spacing w:before="40" w:after="40"/>
              <w:jc w:val="center"/>
              <w:rPr>
                <w:rFonts w:ascii="Arial Narrow" w:hAnsi="Arial Narrow" w:cs="Arial"/>
                <w:sz w:val="20"/>
                <w:szCs w:val="20"/>
              </w:rPr>
            </w:pPr>
            <w:r w:rsidRPr="006B1802">
              <w:rPr>
                <w:rFonts w:ascii="Arial Narrow" w:hAnsi="Arial Narrow" w:cs="Arial"/>
                <w:sz w:val="20"/>
                <w:szCs w:val="20"/>
              </w:rPr>
              <w:t>Otsuka Australia Pharmaceutical P/L</w:t>
            </w:r>
          </w:p>
        </w:tc>
        <w:tc>
          <w:tcPr>
            <w:tcW w:w="183" w:type="pct"/>
          </w:tcPr>
          <w:p w:rsidR="00EF1C6A" w:rsidRPr="006B1802" w:rsidRDefault="00EF1C6A" w:rsidP="00B93A10">
            <w:pPr>
              <w:keepNext/>
              <w:spacing w:before="40" w:after="40"/>
              <w:jc w:val="both"/>
              <w:rPr>
                <w:rFonts w:ascii="Arial Narrow" w:hAnsi="Arial Narrow" w:cs="Arial"/>
                <w:sz w:val="20"/>
                <w:szCs w:val="20"/>
              </w:rPr>
            </w:pPr>
          </w:p>
        </w:tc>
      </w:tr>
      <w:tr w:rsidR="00EF1C6A" w:rsidRPr="006B1802" w:rsidTr="00EF52C3">
        <w:trPr>
          <w:cantSplit/>
          <w:trHeight w:val="360"/>
        </w:trPr>
        <w:tc>
          <w:tcPr>
            <w:tcW w:w="5000" w:type="pct"/>
            <w:gridSpan w:val="8"/>
            <w:tcBorders>
              <w:bottom w:val="single" w:sz="4" w:space="0" w:color="auto"/>
            </w:tcBorders>
          </w:tcPr>
          <w:p w:rsidR="00EF1C6A" w:rsidRPr="006B1802" w:rsidRDefault="00EF1C6A" w:rsidP="00B93A10">
            <w:pPr>
              <w:spacing w:before="40" w:after="40"/>
              <w:jc w:val="both"/>
              <w:rPr>
                <w:rFonts w:ascii="Arial Narrow" w:hAnsi="Arial Narrow" w:cs="Arial"/>
                <w:sz w:val="20"/>
                <w:szCs w:val="20"/>
              </w:rPr>
            </w:pPr>
          </w:p>
        </w:tc>
      </w:tr>
      <w:tr w:rsidR="00EF1C6A" w:rsidRPr="006B1802" w:rsidTr="00EF52C3">
        <w:trPr>
          <w:cantSplit/>
          <w:trHeight w:val="360"/>
        </w:trPr>
        <w:tc>
          <w:tcPr>
            <w:tcW w:w="1043" w:type="pct"/>
            <w:tcBorders>
              <w:top w:val="single" w:sz="4" w:space="0" w:color="auto"/>
              <w:left w:val="single" w:sz="4" w:space="0" w:color="auto"/>
              <w:bottom w:val="single" w:sz="4" w:space="0" w:color="auto"/>
              <w:right w:val="single" w:sz="4" w:space="0" w:color="auto"/>
            </w:tcBorders>
          </w:tcPr>
          <w:p w:rsidR="00EF1C6A" w:rsidRPr="006B1802" w:rsidRDefault="00EF1C6A" w:rsidP="00B93A10">
            <w:pPr>
              <w:spacing w:before="40" w:after="40"/>
              <w:jc w:val="both"/>
              <w:rPr>
                <w:rFonts w:ascii="Arial Narrow" w:hAnsi="Arial Narrow" w:cs="Arial"/>
                <w:b/>
                <w:sz w:val="20"/>
                <w:szCs w:val="20"/>
              </w:rPr>
            </w:pPr>
            <w:r w:rsidRPr="006B1802">
              <w:rPr>
                <w:rFonts w:ascii="Arial Narrow" w:hAnsi="Arial Narrow" w:cs="Arial"/>
                <w:b/>
                <w:sz w:val="20"/>
                <w:szCs w:val="20"/>
              </w:rPr>
              <w:t xml:space="preserve">Category / </w:t>
            </w:r>
          </w:p>
          <w:p w:rsidR="00EF1C6A" w:rsidRPr="006B1802" w:rsidRDefault="00EF1C6A" w:rsidP="00B93A10">
            <w:pPr>
              <w:spacing w:before="40" w:after="40"/>
              <w:jc w:val="both"/>
              <w:rPr>
                <w:rFonts w:ascii="Arial Narrow" w:hAnsi="Arial Narrow" w:cs="Arial"/>
                <w:b/>
                <w:sz w:val="20"/>
                <w:szCs w:val="20"/>
              </w:rPr>
            </w:pPr>
            <w:r w:rsidRPr="006B1802">
              <w:rPr>
                <w:rFonts w:ascii="Arial Narrow" w:hAnsi="Arial Narrow" w:cs="Arial"/>
                <w:b/>
                <w:sz w:val="20"/>
                <w:szCs w:val="20"/>
              </w:rPr>
              <w:t>Program</w:t>
            </w:r>
          </w:p>
        </w:tc>
        <w:tc>
          <w:tcPr>
            <w:tcW w:w="3957" w:type="pct"/>
            <w:gridSpan w:val="7"/>
            <w:tcBorders>
              <w:top w:val="single" w:sz="4" w:space="0" w:color="auto"/>
              <w:left w:val="single" w:sz="4" w:space="0" w:color="auto"/>
              <w:bottom w:val="single" w:sz="4" w:space="0" w:color="auto"/>
              <w:right w:val="single" w:sz="4" w:space="0" w:color="auto"/>
            </w:tcBorders>
          </w:tcPr>
          <w:p w:rsidR="00EF1C6A" w:rsidRPr="006B1802" w:rsidRDefault="00EF1C6A" w:rsidP="00B93A10">
            <w:pPr>
              <w:spacing w:before="40" w:after="40"/>
              <w:rPr>
                <w:rFonts w:ascii="Arial Narrow" w:hAnsi="Arial Narrow" w:cs="Arial"/>
                <w:sz w:val="20"/>
                <w:szCs w:val="20"/>
              </w:rPr>
            </w:pPr>
            <w:r w:rsidRPr="006B1802">
              <w:rPr>
                <w:rFonts w:ascii="Arial Narrow" w:hAnsi="Arial Narrow" w:cs="Arial"/>
                <w:sz w:val="20"/>
                <w:szCs w:val="20"/>
              </w:rPr>
              <w:t>GENERAL – General Schedule (Code GE)</w:t>
            </w:r>
          </w:p>
          <w:p w:rsidR="00EF1C6A" w:rsidRPr="006B1802" w:rsidRDefault="00EF1C6A" w:rsidP="00B93A10">
            <w:pPr>
              <w:spacing w:before="40" w:after="40"/>
              <w:rPr>
                <w:rFonts w:ascii="Arial Narrow" w:hAnsi="Arial Narrow" w:cs="Arial"/>
                <w:sz w:val="20"/>
                <w:szCs w:val="20"/>
              </w:rPr>
            </w:pPr>
          </w:p>
        </w:tc>
      </w:tr>
      <w:tr w:rsidR="00EF1C6A" w:rsidRPr="006B1802" w:rsidTr="00EF52C3">
        <w:trPr>
          <w:cantSplit/>
          <w:trHeight w:val="360"/>
        </w:trPr>
        <w:tc>
          <w:tcPr>
            <w:tcW w:w="1043" w:type="pct"/>
            <w:tcBorders>
              <w:top w:val="single" w:sz="4" w:space="0" w:color="auto"/>
              <w:left w:val="single" w:sz="4" w:space="0" w:color="auto"/>
              <w:bottom w:val="single" w:sz="4" w:space="0" w:color="auto"/>
              <w:right w:val="single" w:sz="4" w:space="0" w:color="auto"/>
            </w:tcBorders>
          </w:tcPr>
          <w:p w:rsidR="00EF1C6A" w:rsidRPr="006B1802" w:rsidRDefault="00EF1C6A" w:rsidP="00B93A10">
            <w:pPr>
              <w:spacing w:before="40" w:after="40"/>
              <w:jc w:val="both"/>
              <w:rPr>
                <w:rFonts w:ascii="Arial Narrow" w:hAnsi="Arial Narrow" w:cs="Arial"/>
                <w:b/>
                <w:sz w:val="20"/>
                <w:szCs w:val="20"/>
              </w:rPr>
            </w:pPr>
            <w:r w:rsidRPr="006B1802">
              <w:rPr>
                <w:rFonts w:ascii="Arial Narrow" w:hAnsi="Arial Narrow" w:cs="Arial"/>
                <w:b/>
                <w:sz w:val="20"/>
                <w:szCs w:val="20"/>
              </w:rPr>
              <w:t>Prescriber type:</w:t>
            </w:r>
          </w:p>
        </w:tc>
        <w:tc>
          <w:tcPr>
            <w:tcW w:w="3957" w:type="pct"/>
            <w:gridSpan w:val="7"/>
            <w:tcBorders>
              <w:top w:val="single" w:sz="4" w:space="0" w:color="auto"/>
              <w:left w:val="single" w:sz="4" w:space="0" w:color="auto"/>
              <w:bottom w:val="single" w:sz="4" w:space="0" w:color="auto"/>
              <w:right w:val="single" w:sz="4" w:space="0" w:color="auto"/>
            </w:tcBorders>
          </w:tcPr>
          <w:p w:rsidR="00EF1C6A" w:rsidRPr="006B1802" w:rsidRDefault="00EF1C6A" w:rsidP="00B93A10">
            <w:pPr>
              <w:spacing w:before="40" w:after="40"/>
              <w:rPr>
                <w:rFonts w:ascii="Arial Narrow" w:hAnsi="Arial Narrow" w:cs="Arial"/>
                <w:sz w:val="20"/>
                <w:szCs w:val="20"/>
              </w:rPr>
            </w:pPr>
            <w:r w:rsidRPr="006B1802">
              <w:rPr>
                <w:rFonts w:ascii="Arial Narrow" w:hAnsi="Arial Narrow" w:cs="Arial"/>
                <w:sz w:val="20"/>
                <w:szCs w:val="20"/>
              </w:rPr>
              <w:fldChar w:fldCharType="begin">
                <w:ffData>
                  <w:name w:val="Check1"/>
                  <w:enabled/>
                  <w:calcOnExit w:val="0"/>
                  <w:checkBox>
                    <w:sizeAuto/>
                    <w:default w:val="0"/>
                  </w:checkBox>
                </w:ffData>
              </w:fldChar>
            </w:r>
            <w:r w:rsidRPr="006B1802">
              <w:rPr>
                <w:rFonts w:ascii="Arial Narrow" w:hAnsi="Arial Narrow" w:cs="Arial"/>
                <w:sz w:val="20"/>
                <w:szCs w:val="20"/>
              </w:rPr>
              <w:instrText xml:space="preserve"> FORMCHECKBOX </w:instrText>
            </w:r>
            <w:r w:rsidR="00194BE9">
              <w:rPr>
                <w:rFonts w:ascii="Arial Narrow" w:hAnsi="Arial Narrow" w:cs="Arial"/>
                <w:sz w:val="20"/>
                <w:szCs w:val="20"/>
              </w:rPr>
            </w:r>
            <w:r w:rsidR="00194BE9">
              <w:rPr>
                <w:rFonts w:ascii="Arial Narrow" w:hAnsi="Arial Narrow" w:cs="Arial"/>
                <w:sz w:val="20"/>
                <w:szCs w:val="20"/>
              </w:rPr>
              <w:fldChar w:fldCharType="separate"/>
            </w:r>
            <w:r w:rsidRPr="006B1802">
              <w:rPr>
                <w:rFonts w:ascii="Arial Narrow" w:hAnsi="Arial Narrow" w:cs="Arial"/>
                <w:sz w:val="20"/>
                <w:szCs w:val="20"/>
              </w:rPr>
              <w:fldChar w:fldCharType="end"/>
            </w:r>
            <w:r w:rsidRPr="006B1802">
              <w:rPr>
                <w:rFonts w:ascii="Arial Narrow" w:hAnsi="Arial Narrow" w:cs="Arial"/>
                <w:sz w:val="20"/>
                <w:szCs w:val="20"/>
              </w:rPr>
              <w:t xml:space="preserve">Dental  </w:t>
            </w:r>
            <w:r w:rsidRPr="006B1802">
              <w:rPr>
                <w:rFonts w:ascii="Arial Narrow" w:hAnsi="Arial Narrow" w:cs="Arial"/>
                <w:sz w:val="20"/>
                <w:szCs w:val="20"/>
              </w:rPr>
              <w:fldChar w:fldCharType="begin">
                <w:ffData>
                  <w:name w:val=""/>
                  <w:enabled/>
                  <w:calcOnExit w:val="0"/>
                  <w:checkBox>
                    <w:sizeAuto/>
                    <w:default w:val="1"/>
                  </w:checkBox>
                </w:ffData>
              </w:fldChar>
            </w:r>
            <w:r w:rsidRPr="006B1802">
              <w:rPr>
                <w:rFonts w:ascii="Arial Narrow" w:hAnsi="Arial Narrow" w:cs="Arial"/>
                <w:sz w:val="20"/>
                <w:szCs w:val="20"/>
              </w:rPr>
              <w:instrText xml:space="preserve"> FORMCHECKBOX </w:instrText>
            </w:r>
            <w:r w:rsidR="00194BE9">
              <w:rPr>
                <w:rFonts w:ascii="Arial Narrow" w:hAnsi="Arial Narrow" w:cs="Arial"/>
                <w:sz w:val="20"/>
                <w:szCs w:val="20"/>
              </w:rPr>
            </w:r>
            <w:r w:rsidR="00194BE9">
              <w:rPr>
                <w:rFonts w:ascii="Arial Narrow" w:hAnsi="Arial Narrow" w:cs="Arial"/>
                <w:sz w:val="20"/>
                <w:szCs w:val="20"/>
              </w:rPr>
              <w:fldChar w:fldCharType="separate"/>
            </w:r>
            <w:r w:rsidRPr="006B1802">
              <w:rPr>
                <w:rFonts w:ascii="Arial Narrow" w:hAnsi="Arial Narrow" w:cs="Arial"/>
                <w:sz w:val="20"/>
                <w:szCs w:val="20"/>
              </w:rPr>
              <w:fldChar w:fldCharType="end"/>
            </w:r>
            <w:r w:rsidRPr="006B1802">
              <w:rPr>
                <w:rFonts w:ascii="Arial Narrow" w:hAnsi="Arial Narrow" w:cs="Arial"/>
                <w:sz w:val="20"/>
                <w:szCs w:val="20"/>
              </w:rPr>
              <w:t xml:space="preserve">Medical Practitioners  </w:t>
            </w:r>
            <w:r w:rsidRPr="006B1802">
              <w:rPr>
                <w:rFonts w:ascii="Arial Narrow" w:hAnsi="Arial Narrow" w:cs="Arial"/>
                <w:sz w:val="20"/>
                <w:szCs w:val="20"/>
              </w:rPr>
              <w:fldChar w:fldCharType="begin">
                <w:ffData>
                  <w:name w:val="Check3"/>
                  <w:enabled/>
                  <w:calcOnExit w:val="0"/>
                  <w:checkBox>
                    <w:sizeAuto/>
                    <w:default w:val="0"/>
                  </w:checkBox>
                </w:ffData>
              </w:fldChar>
            </w:r>
            <w:r w:rsidRPr="006B1802">
              <w:rPr>
                <w:rFonts w:ascii="Arial Narrow" w:hAnsi="Arial Narrow" w:cs="Arial"/>
                <w:sz w:val="20"/>
                <w:szCs w:val="20"/>
              </w:rPr>
              <w:instrText xml:space="preserve"> FORMCHECKBOX </w:instrText>
            </w:r>
            <w:r w:rsidR="00194BE9">
              <w:rPr>
                <w:rFonts w:ascii="Arial Narrow" w:hAnsi="Arial Narrow" w:cs="Arial"/>
                <w:sz w:val="20"/>
                <w:szCs w:val="20"/>
              </w:rPr>
            </w:r>
            <w:r w:rsidR="00194BE9">
              <w:rPr>
                <w:rFonts w:ascii="Arial Narrow" w:hAnsi="Arial Narrow" w:cs="Arial"/>
                <w:sz w:val="20"/>
                <w:szCs w:val="20"/>
              </w:rPr>
              <w:fldChar w:fldCharType="separate"/>
            </w:r>
            <w:r w:rsidRPr="006B1802">
              <w:rPr>
                <w:rFonts w:ascii="Arial Narrow" w:hAnsi="Arial Narrow" w:cs="Arial"/>
                <w:sz w:val="20"/>
                <w:szCs w:val="20"/>
              </w:rPr>
              <w:fldChar w:fldCharType="end"/>
            </w:r>
            <w:r w:rsidRPr="006B1802">
              <w:rPr>
                <w:rFonts w:ascii="Arial Narrow" w:hAnsi="Arial Narrow" w:cs="Arial"/>
                <w:sz w:val="20"/>
                <w:szCs w:val="20"/>
              </w:rPr>
              <w:t xml:space="preserve">Nurse practitioners  </w:t>
            </w:r>
            <w:r w:rsidRPr="006B1802">
              <w:rPr>
                <w:rFonts w:ascii="Arial Narrow" w:hAnsi="Arial Narrow" w:cs="Arial"/>
                <w:sz w:val="20"/>
                <w:szCs w:val="20"/>
              </w:rPr>
              <w:fldChar w:fldCharType="begin">
                <w:ffData>
                  <w:name w:val=""/>
                  <w:enabled/>
                  <w:calcOnExit w:val="0"/>
                  <w:checkBox>
                    <w:sizeAuto/>
                    <w:default w:val="0"/>
                  </w:checkBox>
                </w:ffData>
              </w:fldChar>
            </w:r>
            <w:r w:rsidRPr="006B1802">
              <w:rPr>
                <w:rFonts w:ascii="Arial Narrow" w:hAnsi="Arial Narrow" w:cs="Arial"/>
                <w:sz w:val="20"/>
                <w:szCs w:val="20"/>
              </w:rPr>
              <w:instrText xml:space="preserve"> FORMCHECKBOX </w:instrText>
            </w:r>
            <w:r w:rsidR="00194BE9">
              <w:rPr>
                <w:rFonts w:ascii="Arial Narrow" w:hAnsi="Arial Narrow" w:cs="Arial"/>
                <w:sz w:val="20"/>
                <w:szCs w:val="20"/>
              </w:rPr>
            </w:r>
            <w:r w:rsidR="00194BE9">
              <w:rPr>
                <w:rFonts w:ascii="Arial Narrow" w:hAnsi="Arial Narrow" w:cs="Arial"/>
                <w:sz w:val="20"/>
                <w:szCs w:val="20"/>
              </w:rPr>
              <w:fldChar w:fldCharType="separate"/>
            </w:r>
            <w:r w:rsidRPr="006B1802">
              <w:rPr>
                <w:rFonts w:ascii="Arial Narrow" w:hAnsi="Arial Narrow" w:cs="Arial"/>
                <w:sz w:val="20"/>
                <w:szCs w:val="20"/>
              </w:rPr>
              <w:fldChar w:fldCharType="end"/>
            </w:r>
            <w:r w:rsidRPr="006B1802">
              <w:rPr>
                <w:rFonts w:ascii="Arial Narrow" w:hAnsi="Arial Narrow" w:cs="Arial"/>
                <w:sz w:val="20"/>
                <w:szCs w:val="20"/>
              </w:rPr>
              <w:t>Optometrists</w:t>
            </w:r>
          </w:p>
          <w:p w:rsidR="00EF1C6A" w:rsidRPr="006B1802" w:rsidRDefault="00EF1C6A" w:rsidP="00B93A10">
            <w:pPr>
              <w:spacing w:before="40" w:after="40"/>
              <w:rPr>
                <w:rFonts w:ascii="Arial Narrow" w:hAnsi="Arial Narrow" w:cs="Arial"/>
                <w:sz w:val="20"/>
                <w:szCs w:val="20"/>
              </w:rPr>
            </w:pPr>
            <w:r w:rsidRPr="006B1802">
              <w:rPr>
                <w:rFonts w:ascii="Arial Narrow" w:hAnsi="Arial Narrow" w:cs="Arial"/>
                <w:sz w:val="20"/>
                <w:szCs w:val="20"/>
              </w:rPr>
              <w:fldChar w:fldCharType="begin">
                <w:ffData>
                  <w:name w:val="Check5"/>
                  <w:enabled/>
                  <w:calcOnExit w:val="0"/>
                  <w:checkBox>
                    <w:sizeAuto/>
                    <w:default w:val="0"/>
                  </w:checkBox>
                </w:ffData>
              </w:fldChar>
            </w:r>
            <w:r w:rsidRPr="006B1802">
              <w:rPr>
                <w:rFonts w:ascii="Arial Narrow" w:hAnsi="Arial Narrow" w:cs="Arial"/>
                <w:sz w:val="20"/>
                <w:szCs w:val="20"/>
              </w:rPr>
              <w:instrText xml:space="preserve"> FORMCHECKBOX </w:instrText>
            </w:r>
            <w:r w:rsidR="00194BE9">
              <w:rPr>
                <w:rFonts w:ascii="Arial Narrow" w:hAnsi="Arial Narrow" w:cs="Arial"/>
                <w:sz w:val="20"/>
                <w:szCs w:val="20"/>
              </w:rPr>
            </w:r>
            <w:r w:rsidR="00194BE9">
              <w:rPr>
                <w:rFonts w:ascii="Arial Narrow" w:hAnsi="Arial Narrow" w:cs="Arial"/>
                <w:sz w:val="20"/>
                <w:szCs w:val="20"/>
              </w:rPr>
              <w:fldChar w:fldCharType="separate"/>
            </w:r>
            <w:r w:rsidRPr="006B1802">
              <w:rPr>
                <w:rFonts w:ascii="Arial Narrow" w:hAnsi="Arial Narrow" w:cs="Arial"/>
                <w:sz w:val="20"/>
                <w:szCs w:val="20"/>
              </w:rPr>
              <w:fldChar w:fldCharType="end"/>
            </w:r>
            <w:r w:rsidRPr="006B1802">
              <w:rPr>
                <w:rFonts w:ascii="Arial Narrow" w:hAnsi="Arial Narrow" w:cs="Arial"/>
                <w:sz w:val="20"/>
                <w:szCs w:val="20"/>
              </w:rPr>
              <w:t>Midwives</w:t>
            </w:r>
          </w:p>
        </w:tc>
      </w:tr>
      <w:tr w:rsidR="00EF1C6A" w:rsidRPr="006B1802" w:rsidTr="00EF52C3">
        <w:trPr>
          <w:cantSplit/>
          <w:trHeight w:val="360"/>
        </w:trPr>
        <w:tc>
          <w:tcPr>
            <w:tcW w:w="1043" w:type="pct"/>
            <w:tcBorders>
              <w:top w:val="single" w:sz="4" w:space="0" w:color="auto"/>
              <w:left w:val="single" w:sz="4" w:space="0" w:color="auto"/>
              <w:bottom w:val="single" w:sz="4" w:space="0" w:color="auto"/>
              <w:right w:val="single" w:sz="4" w:space="0" w:color="auto"/>
            </w:tcBorders>
          </w:tcPr>
          <w:p w:rsidR="00EF1C6A" w:rsidRPr="006B1802" w:rsidRDefault="00EF1C6A" w:rsidP="00B93A10">
            <w:pPr>
              <w:spacing w:before="40" w:after="40"/>
              <w:jc w:val="both"/>
              <w:rPr>
                <w:rFonts w:ascii="Arial Narrow" w:hAnsi="Arial Narrow" w:cs="Arial"/>
                <w:b/>
                <w:sz w:val="20"/>
                <w:szCs w:val="20"/>
              </w:rPr>
            </w:pPr>
            <w:r w:rsidRPr="006B1802">
              <w:rPr>
                <w:rFonts w:ascii="Arial Narrow" w:hAnsi="Arial Narrow" w:cs="Arial"/>
                <w:b/>
                <w:sz w:val="20"/>
                <w:szCs w:val="20"/>
              </w:rPr>
              <w:t>Condition:</w:t>
            </w:r>
          </w:p>
        </w:tc>
        <w:tc>
          <w:tcPr>
            <w:tcW w:w="3957" w:type="pct"/>
            <w:gridSpan w:val="7"/>
            <w:tcBorders>
              <w:top w:val="single" w:sz="4" w:space="0" w:color="auto"/>
              <w:left w:val="single" w:sz="4" w:space="0" w:color="auto"/>
              <w:bottom w:val="single" w:sz="4" w:space="0" w:color="auto"/>
              <w:right w:val="single" w:sz="4" w:space="0" w:color="auto"/>
            </w:tcBorders>
          </w:tcPr>
          <w:p w:rsidR="00EF1C6A" w:rsidRPr="006B1802" w:rsidRDefault="00EF1C6A" w:rsidP="00B93A10">
            <w:pPr>
              <w:spacing w:before="40" w:after="40"/>
              <w:rPr>
                <w:rFonts w:ascii="Arial Narrow" w:hAnsi="Arial Narrow" w:cs="Arial"/>
                <w:sz w:val="20"/>
                <w:szCs w:val="20"/>
              </w:rPr>
            </w:pPr>
            <w:r w:rsidRPr="006B1802">
              <w:rPr>
                <w:rFonts w:ascii="Arial Narrow" w:hAnsi="Arial Narrow" w:cs="Arial"/>
                <w:sz w:val="20"/>
                <w:szCs w:val="20"/>
              </w:rPr>
              <w:t>Autosomal dominant polycystic kidney disease (ADPKD)</w:t>
            </w:r>
          </w:p>
        </w:tc>
      </w:tr>
      <w:tr w:rsidR="00EF1C6A" w:rsidRPr="006B1802" w:rsidTr="00EF52C3">
        <w:trPr>
          <w:cantSplit/>
          <w:trHeight w:val="360"/>
        </w:trPr>
        <w:tc>
          <w:tcPr>
            <w:tcW w:w="1043" w:type="pct"/>
            <w:tcBorders>
              <w:top w:val="single" w:sz="4" w:space="0" w:color="auto"/>
              <w:left w:val="single" w:sz="4" w:space="0" w:color="auto"/>
              <w:bottom w:val="single" w:sz="4" w:space="0" w:color="auto"/>
              <w:right w:val="single" w:sz="4" w:space="0" w:color="auto"/>
            </w:tcBorders>
          </w:tcPr>
          <w:p w:rsidR="00EF1C6A" w:rsidRPr="006B1802" w:rsidRDefault="00EF1C6A" w:rsidP="00B93A10">
            <w:pPr>
              <w:spacing w:before="40" w:after="40"/>
              <w:jc w:val="both"/>
              <w:rPr>
                <w:rFonts w:ascii="Arial Narrow" w:hAnsi="Arial Narrow" w:cs="Arial"/>
                <w:b/>
                <w:sz w:val="20"/>
                <w:szCs w:val="20"/>
              </w:rPr>
            </w:pPr>
            <w:r w:rsidRPr="006B1802">
              <w:rPr>
                <w:rFonts w:ascii="Arial Narrow" w:hAnsi="Arial Narrow" w:cs="Arial"/>
                <w:b/>
                <w:sz w:val="20"/>
                <w:szCs w:val="20"/>
              </w:rPr>
              <w:t>PBS Indication:</w:t>
            </w:r>
          </w:p>
        </w:tc>
        <w:tc>
          <w:tcPr>
            <w:tcW w:w="3957" w:type="pct"/>
            <w:gridSpan w:val="7"/>
            <w:tcBorders>
              <w:top w:val="single" w:sz="4" w:space="0" w:color="auto"/>
              <w:left w:val="single" w:sz="4" w:space="0" w:color="auto"/>
              <w:bottom w:val="single" w:sz="4" w:space="0" w:color="auto"/>
              <w:right w:val="single" w:sz="4" w:space="0" w:color="auto"/>
            </w:tcBorders>
          </w:tcPr>
          <w:p w:rsidR="00EF1C6A" w:rsidRPr="006B1802" w:rsidRDefault="00EF1C6A" w:rsidP="00B93A10">
            <w:pPr>
              <w:spacing w:before="40" w:after="40"/>
              <w:rPr>
                <w:rFonts w:ascii="Arial Narrow" w:hAnsi="Arial Narrow" w:cs="Arial"/>
                <w:sz w:val="20"/>
                <w:szCs w:val="20"/>
              </w:rPr>
            </w:pPr>
            <w:r w:rsidRPr="006B1802">
              <w:rPr>
                <w:rFonts w:ascii="Arial Narrow" w:hAnsi="Arial Narrow" w:cs="Arial"/>
                <w:sz w:val="20"/>
                <w:szCs w:val="20"/>
              </w:rPr>
              <w:t>Autosomal dominant polycystic kidney disease (ADPKD)</w:t>
            </w:r>
          </w:p>
        </w:tc>
      </w:tr>
      <w:tr w:rsidR="00EF1C6A" w:rsidRPr="006B1802" w:rsidTr="00EF52C3">
        <w:trPr>
          <w:cantSplit/>
          <w:trHeight w:val="360"/>
        </w:trPr>
        <w:tc>
          <w:tcPr>
            <w:tcW w:w="1043" w:type="pct"/>
            <w:tcBorders>
              <w:top w:val="single" w:sz="4" w:space="0" w:color="auto"/>
              <w:left w:val="single" w:sz="4" w:space="0" w:color="auto"/>
              <w:bottom w:val="single" w:sz="4" w:space="0" w:color="auto"/>
              <w:right w:val="single" w:sz="4" w:space="0" w:color="auto"/>
            </w:tcBorders>
          </w:tcPr>
          <w:p w:rsidR="00EF1C6A" w:rsidRPr="006B1802" w:rsidRDefault="00EF1C6A" w:rsidP="00B93A10">
            <w:pPr>
              <w:spacing w:before="40" w:after="40"/>
              <w:jc w:val="both"/>
              <w:rPr>
                <w:rFonts w:ascii="Arial Narrow" w:hAnsi="Arial Narrow" w:cs="Arial"/>
                <w:i/>
                <w:sz w:val="20"/>
                <w:szCs w:val="20"/>
              </w:rPr>
            </w:pPr>
            <w:r w:rsidRPr="006B1802">
              <w:rPr>
                <w:rFonts w:ascii="Arial Narrow" w:hAnsi="Arial Narrow" w:cs="Arial"/>
                <w:b/>
                <w:sz w:val="20"/>
                <w:szCs w:val="20"/>
              </w:rPr>
              <w:t>Treatment phase:</w:t>
            </w:r>
          </w:p>
        </w:tc>
        <w:tc>
          <w:tcPr>
            <w:tcW w:w="3957" w:type="pct"/>
            <w:gridSpan w:val="7"/>
            <w:tcBorders>
              <w:top w:val="single" w:sz="4" w:space="0" w:color="auto"/>
              <w:left w:val="single" w:sz="4" w:space="0" w:color="auto"/>
              <w:bottom w:val="single" w:sz="4" w:space="0" w:color="auto"/>
              <w:right w:val="single" w:sz="4" w:space="0" w:color="auto"/>
            </w:tcBorders>
          </w:tcPr>
          <w:p w:rsidR="00EF1C6A" w:rsidRPr="006B1802" w:rsidRDefault="00EF1C6A" w:rsidP="00B93A10">
            <w:pPr>
              <w:spacing w:before="40" w:after="40"/>
              <w:rPr>
                <w:rFonts w:ascii="Arial Narrow" w:hAnsi="Arial Narrow" w:cs="Arial"/>
                <w:sz w:val="20"/>
                <w:szCs w:val="20"/>
              </w:rPr>
            </w:pPr>
            <w:r w:rsidRPr="006B1802">
              <w:rPr>
                <w:rFonts w:ascii="Arial Narrow" w:hAnsi="Arial Narrow" w:cs="Arial"/>
                <w:sz w:val="20"/>
                <w:szCs w:val="20"/>
              </w:rPr>
              <w:t xml:space="preserve">Initial </w:t>
            </w:r>
            <w:r w:rsidR="003248B4">
              <w:rPr>
                <w:rFonts w:ascii="Arial Narrow" w:hAnsi="Arial Narrow" w:cs="Arial"/>
                <w:sz w:val="20"/>
                <w:szCs w:val="20"/>
              </w:rPr>
              <w:t>treatment</w:t>
            </w:r>
          </w:p>
        </w:tc>
      </w:tr>
      <w:tr w:rsidR="00EF1C6A" w:rsidRPr="006B1802" w:rsidTr="00EF52C3">
        <w:trPr>
          <w:cantSplit/>
          <w:trHeight w:val="360"/>
        </w:trPr>
        <w:tc>
          <w:tcPr>
            <w:tcW w:w="1043" w:type="pct"/>
            <w:tcBorders>
              <w:top w:val="single" w:sz="4" w:space="0" w:color="auto"/>
              <w:left w:val="single" w:sz="4" w:space="0" w:color="auto"/>
              <w:bottom w:val="single" w:sz="4" w:space="0" w:color="auto"/>
              <w:right w:val="single" w:sz="4" w:space="0" w:color="auto"/>
            </w:tcBorders>
          </w:tcPr>
          <w:p w:rsidR="00EF1C6A" w:rsidRPr="006B1802" w:rsidRDefault="00EF1C6A" w:rsidP="00B93A10">
            <w:pPr>
              <w:spacing w:before="40" w:after="40"/>
              <w:jc w:val="both"/>
              <w:rPr>
                <w:rFonts w:ascii="Arial Narrow" w:hAnsi="Arial Narrow" w:cs="Arial"/>
                <w:sz w:val="20"/>
                <w:szCs w:val="20"/>
              </w:rPr>
            </w:pPr>
            <w:r w:rsidRPr="006B1802">
              <w:rPr>
                <w:rFonts w:ascii="Arial Narrow" w:hAnsi="Arial Narrow" w:cs="Arial"/>
                <w:b/>
                <w:sz w:val="20"/>
                <w:szCs w:val="20"/>
              </w:rPr>
              <w:t>Restriction Level / Method:</w:t>
            </w:r>
          </w:p>
        </w:tc>
        <w:tc>
          <w:tcPr>
            <w:tcW w:w="3957" w:type="pct"/>
            <w:gridSpan w:val="7"/>
            <w:tcBorders>
              <w:top w:val="single" w:sz="4" w:space="0" w:color="auto"/>
              <w:left w:val="single" w:sz="4" w:space="0" w:color="auto"/>
              <w:bottom w:val="single" w:sz="4" w:space="0" w:color="auto"/>
              <w:right w:val="single" w:sz="4" w:space="0" w:color="auto"/>
            </w:tcBorders>
          </w:tcPr>
          <w:p w:rsidR="00EF1C6A" w:rsidRPr="006B1802" w:rsidRDefault="00EF1C6A" w:rsidP="00B93A10">
            <w:pPr>
              <w:spacing w:before="40" w:after="40"/>
              <w:rPr>
                <w:rFonts w:ascii="Arial Narrow" w:hAnsi="Arial Narrow" w:cs="Arial"/>
                <w:sz w:val="20"/>
                <w:szCs w:val="20"/>
              </w:rPr>
            </w:pPr>
            <w:r w:rsidRPr="006B1802">
              <w:rPr>
                <w:rFonts w:ascii="Arial Narrow" w:hAnsi="Arial Narrow" w:cs="Arial"/>
                <w:sz w:val="20"/>
                <w:szCs w:val="20"/>
              </w:rPr>
              <w:fldChar w:fldCharType="begin">
                <w:ffData>
                  <w:name w:val=""/>
                  <w:enabled/>
                  <w:calcOnExit w:val="0"/>
                  <w:checkBox>
                    <w:sizeAuto/>
                    <w:default w:val="1"/>
                  </w:checkBox>
                </w:ffData>
              </w:fldChar>
            </w:r>
            <w:r w:rsidRPr="006B1802">
              <w:rPr>
                <w:rFonts w:ascii="Arial Narrow" w:hAnsi="Arial Narrow" w:cs="Arial"/>
                <w:sz w:val="20"/>
                <w:szCs w:val="20"/>
              </w:rPr>
              <w:instrText xml:space="preserve"> FORMCHECKBOX </w:instrText>
            </w:r>
            <w:r w:rsidR="00194BE9">
              <w:rPr>
                <w:rFonts w:ascii="Arial Narrow" w:hAnsi="Arial Narrow" w:cs="Arial"/>
                <w:sz w:val="20"/>
                <w:szCs w:val="20"/>
              </w:rPr>
            </w:r>
            <w:r w:rsidR="00194BE9">
              <w:rPr>
                <w:rFonts w:ascii="Arial Narrow" w:hAnsi="Arial Narrow" w:cs="Arial"/>
                <w:sz w:val="20"/>
                <w:szCs w:val="20"/>
              </w:rPr>
              <w:fldChar w:fldCharType="separate"/>
            </w:r>
            <w:r w:rsidRPr="006B1802">
              <w:rPr>
                <w:rFonts w:ascii="Arial Narrow" w:hAnsi="Arial Narrow" w:cs="Arial"/>
                <w:sz w:val="20"/>
                <w:szCs w:val="20"/>
              </w:rPr>
              <w:fldChar w:fldCharType="end"/>
            </w:r>
            <w:r w:rsidRPr="006B1802">
              <w:rPr>
                <w:rFonts w:ascii="Arial Narrow" w:hAnsi="Arial Narrow" w:cs="Arial"/>
                <w:sz w:val="20"/>
                <w:szCs w:val="20"/>
              </w:rPr>
              <w:t>Authority Required - In Writing</w:t>
            </w:r>
          </w:p>
        </w:tc>
      </w:tr>
      <w:tr w:rsidR="00EF1C6A" w:rsidRPr="006B1802" w:rsidTr="00EF52C3">
        <w:trPr>
          <w:cantSplit/>
          <w:trHeight w:val="360"/>
        </w:trPr>
        <w:tc>
          <w:tcPr>
            <w:tcW w:w="1043" w:type="pct"/>
            <w:tcBorders>
              <w:top w:val="single" w:sz="4" w:space="0" w:color="auto"/>
              <w:left w:val="single" w:sz="4" w:space="0" w:color="auto"/>
              <w:bottom w:val="single" w:sz="4" w:space="0" w:color="auto"/>
              <w:right w:val="single" w:sz="4" w:space="0" w:color="auto"/>
            </w:tcBorders>
          </w:tcPr>
          <w:p w:rsidR="00EF1C6A" w:rsidRPr="006B1802" w:rsidRDefault="00EF1C6A" w:rsidP="00B93A10">
            <w:pPr>
              <w:spacing w:before="40" w:after="40"/>
              <w:rPr>
                <w:rFonts w:ascii="Arial Narrow" w:hAnsi="Arial Narrow" w:cs="Arial"/>
                <w:b/>
                <w:sz w:val="20"/>
                <w:szCs w:val="20"/>
              </w:rPr>
            </w:pPr>
            <w:r w:rsidRPr="006B1802">
              <w:rPr>
                <w:rFonts w:ascii="Arial Narrow" w:hAnsi="Arial Narrow" w:cs="Arial"/>
                <w:b/>
                <w:sz w:val="20"/>
                <w:szCs w:val="20"/>
              </w:rPr>
              <w:t>Treatment criteria:</w:t>
            </w:r>
          </w:p>
          <w:p w:rsidR="00EF1C6A" w:rsidRPr="006B1802" w:rsidRDefault="00EF1C6A" w:rsidP="00B93A10">
            <w:pPr>
              <w:spacing w:before="40" w:after="40"/>
              <w:rPr>
                <w:rFonts w:ascii="Arial Narrow" w:hAnsi="Arial Narrow" w:cs="Arial"/>
                <w:sz w:val="20"/>
                <w:szCs w:val="20"/>
              </w:rPr>
            </w:pPr>
          </w:p>
        </w:tc>
        <w:tc>
          <w:tcPr>
            <w:tcW w:w="3957" w:type="pct"/>
            <w:gridSpan w:val="7"/>
            <w:tcBorders>
              <w:top w:val="single" w:sz="4" w:space="0" w:color="auto"/>
              <w:left w:val="single" w:sz="4" w:space="0" w:color="auto"/>
              <w:bottom w:val="single" w:sz="4" w:space="0" w:color="auto"/>
              <w:right w:val="single" w:sz="4" w:space="0" w:color="auto"/>
            </w:tcBorders>
          </w:tcPr>
          <w:p w:rsidR="008D276F" w:rsidRPr="008D276F" w:rsidRDefault="008D276F" w:rsidP="00B93A10">
            <w:pPr>
              <w:spacing w:before="40" w:after="40"/>
              <w:rPr>
                <w:rFonts w:ascii="Arial Narrow" w:hAnsi="Arial Narrow" w:cs="Arial"/>
                <w:sz w:val="20"/>
                <w:szCs w:val="20"/>
              </w:rPr>
            </w:pPr>
            <w:r>
              <w:rPr>
                <w:rFonts w:ascii="Arial Narrow" w:hAnsi="Arial Narrow" w:cs="Arial"/>
                <w:sz w:val="20"/>
                <w:szCs w:val="20"/>
              </w:rPr>
              <w:t xml:space="preserve"> Must be treated by a nephrologist.</w:t>
            </w:r>
          </w:p>
        </w:tc>
      </w:tr>
      <w:tr w:rsidR="00EF1C6A" w:rsidRPr="006B1802" w:rsidTr="00EF52C3">
        <w:trPr>
          <w:cantSplit/>
          <w:trHeight w:val="360"/>
        </w:trPr>
        <w:tc>
          <w:tcPr>
            <w:tcW w:w="1043" w:type="pct"/>
            <w:tcBorders>
              <w:top w:val="single" w:sz="4" w:space="0" w:color="auto"/>
              <w:left w:val="single" w:sz="4" w:space="0" w:color="auto"/>
              <w:bottom w:val="single" w:sz="4" w:space="0" w:color="auto"/>
              <w:right w:val="single" w:sz="4" w:space="0" w:color="auto"/>
            </w:tcBorders>
          </w:tcPr>
          <w:p w:rsidR="00EF1C6A" w:rsidRPr="006B1802" w:rsidRDefault="00EF1C6A" w:rsidP="00B93A10">
            <w:pPr>
              <w:spacing w:before="40" w:after="40"/>
              <w:jc w:val="both"/>
              <w:rPr>
                <w:rFonts w:ascii="Arial Narrow" w:hAnsi="Arial Narrow" w:cs="Arial"/>
                <w:b/>
                <w:sz w:val="20"/>
                <w:szCs w:val="20"/>
              </w:rPr>
            </w:pPr>
            <w:r w:rsidRPr="006B1802">
              <w:rPr>
                <w:rFonts w:ascii="Arial Narrow" w:hAnsi="Arial Narrow" w:cs="Arial"/>
                <w:b/>
                <w:sz w:val="20"/>
                <w:szCs w:val="20"/>
              </w:rPr>
              <w:t>Clinical criteria:</w:t>
            </w:r>
          </w:p>
          <w:p w:rsidR="00EF1C6A" w:rsidRPr="006B1802" w:rsidRDefault="00EF1C6A" w:rsidP="00B93A10">
            <w:pPr>
              <w:spacing w:before="40" w:after="40"/>
              <w:jc w:val="both"/>
              <w:rPr>
                <w:rFonts w:ascii="Arial Narrow" w:hAnsi="Arial Narrow" w:cs="Arial"/>
                <w:i/>
                <w:sz w:val="20"/>
                <w:szCs w:val="20"/>
              </w:rPr>
            </w:pPr>
          </w:p>
          <w:p w:rsidR="00EF1C6A" w:rsidRPr="006B1802" w:rsidRDefault="00EF1C6A" w:rsidP="00B93A10">
            <w:pPr>
              <w:spacing w:before="40" w:after="40"/>
              <w:jc w:val="both"/>
              <w:rPr>
                <w:rFonts w:ascii="Arial Narrow" w:hAnsi="Arial Narrow" w:cs="Arial"/>
                <w:sz w:val="20"/>
                <w:szCs w:val="20"/>
              </w:rPr>
            </w:pPr>
          </w:p>
        </w:tc>
        <w:tc>
          <w:tcPr>
            <w:tcW w:w="3957" w:type="pct"/>
            <w:gridSpan w:val="7"/>
            <w:tcBorders>
              <w:top w:val="single" w:sz="4" w:space="0" w:color="auto"/>
              <w:left w:val="single" w:sz="4" w:space="0" w:color="auto"/>
              <w:bottom w:val="single" w:sz="4" w:space="0" w:color="auto"/>
              <w:right w:val="single" w:sz="4" w:space="0" w:color="auto"/>
            </w:tcBorders>
          </w:tcPr>
          <w:p w:rsidR="00E406FC" w:rsidRPr="006B1802" w:rsidRDefault="00F924D1" w:rsidP="00B93A10">
            <w:pPr>
              <w:spacing w:before="40" w:after="40"/>
              <w:rPr>
                <w:rFonts w:ascii="Arial Narrow" w:hAnsi="Arial Narrow" w:cs="Arial"/>
                <w:sz w:val="20"/>
                <w:szCs w:val="20"/>
              </w:rPr>
            </w:pPr>
            <w:r>
              <w:rPr>
                <w:rFonts w:ascii="Arial Narrow" w:hAnsi="Arial Narrow" w:cs="Arial"/>
                <w:sz w:val="20"/>
                <w:szCs w:val="20"/>
              </w:rPr>
              <w:t>P</w:t>
            </w:r>
            <w:r w:rsidR="00E406FC" w:rsidRPr="006B1802">
              <w:rPr>
                <w:rFonts w:ascii="Arial Narrow" w:hAnsi="Arial Narrow" w:cs="Arial"/>
                <w:sz w:val="20"/>
                <w:szCs w:val="20"/>
              </w:rPr>
              <w:t xml:space="preserve">atient must have an </w:t>
            </w:r>
            <w:r w:rsidR="008951BB" w:rsidRPr="008951BB">
              <w:rPr>
                <w:rFonts w:ascii="Arial Narrow" w:hAnsi="Arial Narrow" w:cs="Arial"/>
                <w:sz w:val="20"/>
                <w:szCs w:val="20"/>
              </w:rPr>
              <w:t xml:space="preserve">estimated glomerular filtration rate </w:t>
            </w:r>
            <w:r w:rsidR="008951BB">
              <w:rPr>
                <w:rFonts w:ascii="Arial Narrow" w:hAnsi="Arial Narrow" w:cs="Arial"/>
                <w:sz w:val="20"/>
                <w:szCs w:val="20"/>
              </w:rPr>
              <w:t>(</w:t>
            </w:r>
            <w:r w:rsidR="00E406FC" w:rsidRPr="006B1802">
              <w:rPr>
                <w:rFonts w:ascii="Arial Narrow" w:hAnsi="Arial Narrow" w:cs="Arial"/>
                <w:sz w:val="20"/>
                <w:szCs w:val="20"/>
              </w:rPr>
              <w:t>eGFR</w:t>
            </w:r>
            <w:r w:rsidR="008951BB">
              <w:rPr>
                <w:rFonts w:ascii="Arial Narrow" w:hAnsi="Arial Narrow" w:cs="Arial"/>
                <w:sz w:val="20"/>
                <w:szCs w:val="20"/>
              </w:rPr>
              <w:t>)</w:t>
            </w:r>
            <w:r w:rsidR="00E406FC" w:rsidRPr="006B1802">
              <w:rPr>
                <w:rFonts w:ascii="Arial Narrow" w:hAnsi="Arial Narrow" w:cs="Arial"/>
                <w:sz w:val="20"/>
                <w:szCs w:val="20"/>
              </w:rPr>
              <w:t xml:space="preserve"> between 30 and 89 mL/min 1.73 m</w:t>
            </w:r>
            <w:r w:rsidR="00E406FC" w:rsidRPr="006B1802">
              <w:rPr>
                <w:rFonts w:ascii="Arial Narrow" w:hAnsi="Arial Narrow" w:cs="Arial"/>
                <w:sz w:val="20"/>
                <w:szCs w:val="20"/>
                <w:vertAlign w:val="superscript"/>
              </w:rPr>
              <w:t>2</w:t>
            </w:r>
            <w:r w:rsidR="00E406FC" w:rsidRPr="006B1802">
              <w:rPr>
                <w:rFonts w:ascii="Arial Narrow" w:hAnsi="Arial Narrow" w:cs="Arial"/>
                <w:sz w:val="20"/>
                <w:szCs w:val="20"/>
              </w:rPr>
              <w:t xml:space="preserve"> at the initiation of treatment</w:t>
            </w:r>
          </w:p>
          <w:p w:rsidR="00005DD7" w:rsidRDefault="00005DD7" w:rsidP="00B93A10">
            <w:pPr>
              <w:spacing w:before="40" w:after="40"/>
              <w:rPr>
                <w:rFonts w:ascii="Arial Narrow" w:hAnsi="Arial Narrow" w:cs="Arial"/>
                <w:sz w:val="20"/>
                <w:szCs w:val="20"/>
              </w:rPr>
            </w:pPr>
          </w:p>
          <w:p w:rsidR="00EF1C6A" w:rsidRDefault="00EF1C6A" w:rsidP="00B93A10">
            <w:pPr>
              <w:spacing w:before="40" w:after="40"/>
              <w:rPr>
                <w:rFonts w:ascii="Arial Narrow" w:hAnsi="Arial Narrow" w:cs="Arial"/>
                <w:sz w:val="20"/>
                <w:szCs w:val="20"/>
              </w:rPr>
            </w:pPr>
            <w:r w:rsidRPr="006B1802">
              <w:rPr>
                <w:rFonts w:ascii="Arial Narrow" w:hAnsi="Arial Narrow" w:cs="Arial"/>
                <w:sz w:val="20"/>
                <w:szCs w:val="20"/>
              </w:rPr>
              <w:t>AND</w:t>
            </w:r>
          </w:p>
          <w:p w:rsidR="00005DD7" w:rsidRPr="006B1802" w:rsidRDefault="00005DD7" w:rsidP="00B93A10">
            <w:pPr>
              <w:spacing w:before="40" w:after="40"/>
              <w:rPr>
                <w:rFonts w:ascii="Arial Narrow" w:hAnsi="Arial Narrow" w:cs="Arial"/>
                <w:sz w:val="20"/>
                <w:szCs w:val="20"/>
              </w:rPr>
            </w:pPr>
          </w:p>
          <w:p w:rsidR="00EF1C6A" w:rsidRPr="006B1802" w:rsidRDefault="00EF1C6A" w:rsidP="00B93A10">
            <w:pPr>
              <w:spacing w:before="40" w:after="40"/>
              <w:rPr>
                <w:rFonts w:ascii="Arial Narrow" w:hAnsi="Arial Narrow" w:cs="Arial"/>
                <w:sz w:val="20"/>
                <w:szCs w:val="20"/>
              </w:rPr>
            </w:pPr>
            <w:r w:rsidRPr="006B1802">
              <w:rPr>
                <w:rFonts w:ascii="Arial Narrow" w:hAnsi="Arial Narrow" w:cs="Arial"/>
                <w:sz w:val="20"/>
                <w:szCs w:val="20"/>
              </w:rPr>
              <w:t>The patient must have rapidly progressing disease.</w:t>
            </w:r>
          </w:p>
          <w:p w:rsidR="00EF1C6A" w:rsidRPr="006B1802" w:rsidRDefault="00EF1C6A" w:rsidP="00B93A10">
            <w:pPr>
              <w:spacing w:before="40" w:after="40"/>
              <w:jc w:val="both"/>
              <w:rPr>
                <w:rFonts w:ascii="Arial Narrow" w:hAnsi="Arial Narrow" w:cs="Arial"/>
                <w:sz w:val="20"/>
                <w:szCs w:val="20"/>
              </w:rPr>
            </w:pPr>
          </w:p>
        </w:tc>
      </w:tr>
      <w:tr w:rsidR="00EF1C6A" w:rsidRPr="006B1802" w:rsidTr="00EF52C3">
        <w:trPr>
          <w:cantSplit/>
          <w:trHeight w:val="360"/>
        </w:trPr>
        <w:tc>
          <w:tcPr>
            <w:tcW w:w="1043" w:type="pct"/>
            <w:tcBorders>
              <w:top w:val="single" w:sz="4" w:space="0" w:color="auto"/>
              <w:left w:val="single" w:sz="4" w:space="0" w:color="auto"/>
              <w:bottom w:val="single" w:sz="4" w:space="0" w:color="auto"/>
              <w:right w:val="single" w:sz="4" w:space="0" w:color="auto"/>
            </w:tcBorders>
          </w:tcPr>
          <w:p w:rsidR="00EF1C6A" w:rsidRPr="006B1802" w:rsidRDefault="00C949BC" w:rsidP="00B93A10">
            <w:pPr>
              <w:spacing w:before="40" w:after="40"/>
              <w:jc w:val="both"/>
              <w:rPr>
                <w:rFonts w:ascii="Arial Narrow" w:hAnsi="Arial Narrow" w:cs="Arial"/>
                <w:sz w:val="20"/>
                <w:szCs w:val="20"/>
              </w:rPr>
            </w:pPr>
            <w:r>
              <w:rPr>
                <w:rFonts w:ascii="Arial Narrow" w:hAnsi="Arial Narrow" w:cs="Arial"/>
                <w:sz w:val="20"/>
                <w:szCs w:val="20"/>
              </w:rPr>
              <w:t>Prescriber Instructions</w:t>
            </w:r>
          </w:p>
        </w:tc>
        <w:tc>
          <w:tcPr>
            <w:tcW w:w="3957" w:type="pct"/>
            <w:gridSpan w:val="7"/>
            <w:tcBorders>
              <w:top w:val="single" w:sz="4" w:space="0" w:color="auto"/>
              <w:left w:val="single" w:sz="4" w:space="0" w:color="auto"/>
              <w:bottom w:val="single" w:sz="4" w:space="0" w:color="auto"/>
              <w:right w:val="single" w:sz="4" w:space="0" w:color="auto"/>
            </w:tcBorders>
          </w:tcPr>
          <w:p w:rsidR="00EF1C6A" w:rsidRPr="006B1802" w:rsidRDefault="00EF1C6A" w:rsidP="00B93A10">
            <w:pPr>
              <w:spacing w:before="40" w:after="40"/>
              <w:rPr>
                <w:rFonts w:ascii="Arial Narrow" w:hAnsi="Arial Narrow" w:cs="Arial"/>
                <w:sz w:val="20"/>
                <w:szCs w:val="20"/>
              </w:rPr>
            </w:pPr>
            <w:r w:rsidRPr="006B1802">
              <w:rPr>
                <w:rFonts w:ascii="Arial Narrow" w:hAnsi="Arial Narrow" w:cs="Arial"/>
                <w:sz w:val="20"/>
                <w:szCs w:val="20"/>
              </w:rPr>
              <w:t>Rapidly progressing disease is defined as either of the following:</w:t>
            </w:r>
          </w:p>
          <w:p w:rsidR="003576DB" w:rsidRDefault="003576DB" w:rsidP="00B93A10">
            <w:pPr>
              <w:spacing w:before="40" w:after="40"/>
              <w:rPr>
                <w:rFonts w:ascii="Arial Narrow" w:hAnsi="Arial Narrow" w:cs="Arial"/>
                <w:sz w:val="20"/>
                <w:szCs w:val="20"/>
              </w:rPr>
            </w:pPr>
            <w:r>
              <w:rPr>
                <w:rFonts w:ascii="Arial Narrow" w:hAnsi="Arial Narrow" w:cs="Arial"/>
                <w:sz w:val="20"/>
                <w:szCs w:val="20"/>
              </w:rPr>
              <w:t xml:space="preserve"> </w:t>
            </w:r>
            <w:r w:rsidR="00EF1C6A" w:rsidRPr="006B1802">
              <w:rPr>
                <w:rFonts w:ascii="Arial Narrow" w:hAnsi="Arial Narrow" w:cs="Arial"/>
                <w:sz w:val="20"/>
                <w:szCs w:val="20"/>
              </w:rPr>
              <w:t>A decline in eGFR</w:t>
            </w:r>
            <w:r w:rsidR="005F4016">
              <w:rPr>
                <w:rFonts w:ascii="Arial Narrow" w:hAnsi="Arial Narrow" w:cs="Arial"/>
                <w:sz w:val="20"/>
                <w:szCs w:val="20"/>
              </w:rPr>
              <w:t xml:space="preserve"> of greater than or equal to</w:t>
            </w:r>
            <w:r w:rsidR="00EF1C6A" w:rsidRPr="006B1802">
              <w:rPr>
                <w:rFonts w:ascii="Arial Narrow" w:hAnsi="Arial Narrow" w:cs="Arial"/>
                <w:sz w:val="20"/>
                <w:szCs w:val="20"/>
              </w:rPr>
              <w:t xml:space="preserve"> 5 mL/min/1.73 m</w:t>
            </w:r>
            <w:r w:rsidR="00EF1C6A" w:rsidRPr="006B1802">
              <w:rPr>
                <w:rFonts w:ascii="Arial Narrow" w:hAnsi="Arial Narrow" w:cs="Arial"/>
                <w:sz w:val="20"/>
                <w:szCs w:val="20"/>
                <w:vertAlign w:val="superscript"/>
              </w:rPr>
              <w:t>2</w:t>
            </w:r>
            <w:r w:rsidR="00EF1C6A" w:rsidRPr="006B1802">
              <w:rPr>
                <w:rFonts w:ascii="Arial Narrow" w:hAnsi="Arial Narrow" w:cs="Arial"/>
                <w:sz w:val="20"/>
                <w:szCs w:val="20"/>
              </w:rPr>
              <w:t xml:space="preserve"> within one year</w:t>
            </w:r>
            <w:r>
              <w:rPr>
                <w:rFonts w:ascii="Arial Narrow" w:hAnsi="Arial Narrow" w:cs="Arial"/>
                <w:sz w:val="20"/>
                <w:szCs w:val="20"/>
              </w:rPr>
              <w:t>;</w:t>
            </w:r>
          </w:p>
          <w:p w:rsidR="003576DB" w:rsidRDefault="00EF1C6A" w:rsidP="00B93A10">
            <w:pPr>
              <w:spacing w:before="40" w:after="40"/>
              <w:rPr>
                <w:rFonts w:ascii="Arial Narrow" w:hAnsi="Arial Narrow" w:cs="Arial"/>
                <w:sz w:val="20"/>
                <w:szCs w:val="20"/>
              </w:rPr>
            </w:pPr>
            <w:r w:rsidRPr="006B1802">
              <w:rPr>
                <w:rFonts w:ascii="Arial Narrow" w:hAnsi="Arial Narrow" w:cs="Arial"/>
                <w:sz w:val="20"/>
                <w:szCs w:val="20"/>
              </w:rPr>
              <w:t>OR</w:t>
            </w:r>
            <w:r w:rsidR="003576DB">
              <w:rPr>
                <w:rFonts w:ascii="Arial Narrow" w:hAnsi="Arial Narrow" w:cs="Arial"/>
                <w:sz w:val="20"/>
                <w:szCs w:val="20"/>
              </w:rPr>
              <w:t>;</w:t>
            </w:r>
          </w:p>
          <w:p w:rsidR="00920E7E" w:rsidRDefault="003576DB" w:rsidP="00B93A10">
            <w:pPr>
              <w:spacing w:before="40" w:after="40"/>
              <w:rPr>
                <w:rFonts w:ascii="Arial Narrow" w:hAnsi="Arial Narrow"/>
                <w:sz w:val="20"/>
              </w:rPr>
            </w:pPr>
            <w:r>
              <w:rPr>
                <w:rFonts w:ascii="Arial Narrow" w:hAnsi="Arial Narrow"/>
                <w:sz w:val="20"/>
              </w:rPr>
              <w:t xml:space="preserve"> </w:t>
            </w:r>
            <w:r w:rsidR="00EF1C6A" w:rsidRPr="00E20016">
              <w:rPr>
                <w:rFonts w:ascii="Arial Narrow" w:hAnsi="Arial Narrow"/>
                <w:sz w:val="20"/>
              </w:rPr>
              <w:t xml:space="preserve">an average decline in eGFR </w:t>
            </w:r>
            <w:r w:rsidR="00277ADD">
              <w:rPr>
                <w:rFonts w:ascii="Arial Narrow" w:hAnsi="Arial Narrow"/>
                <w:sz w:val="20"/>
              </w:rPr>
              <w:t xml:space="preserve">of greater than or equal to </w:t>
            </w:r>
            <w:r w:rsidR="00EF1C6A" w:rsidRPr="00E20016">
              <w:rPr>
                <w:rFonts w:ascii="Arial Narrow" w:hAnsi="Arial Narrow"/>
                <w:sz w:val="20"/>
              </w:rPr>
              <w:t>2.5 mL/min/1.73 m</w:t>
            </w:r>
            <w:r w:rsidR="00EF1C6A" w:rsidRPr="00E20016">
              <w:rPr>
                <w:rFonts w:ascii="Arial Narrow" w:hAnsi="Arial Narrow"/>
                <w:sz w:val="20"/>
                <w:vertAlign w:val="superscript"/>
              </w:rPr>
              <w:t>2</w:t>
            </w:r>
            <w:r w:rsidR="00EF1C6A" w:rsidRPr="00E20016">
              <w:rPr>
                <w:rFonts w:ascii="Arial Narrow" w:hAnsi="Arial Narrow"/>
                <w:sz w:val="20"/>
              </w:rPr>
              <w:t xml:space="preserve"> per year over a five year period</w:t>
            </w:r>
          </w:p>
          <w:p w:rsidR="00CD1D26" w:rsidRPr="00E20016" w:rsidRDefault="00CD1D26" w:rsidP="00B93A10">
            <w:pPr>
              <w:spacing w:before="40" w:after="40"/>
              <w:rPr>
                <w:rFonts w:ascii="Arial Narrow" w:hAnsi="Arial Narrow"/>
                <w:sz w:val="20"/>
              </w:rPr>
            </w:pPr>
          </w:p>
        </w:tc>
      </w:tr>
      <w:tr w:rsidR="00EF1C6A" w:rsidRPr="006B1802" w:rsidTr="00EF52C3">
        <w:trPr>
          <w:cantSplit/>
          <w:trHeight w:val="360"/>
        </w:trPr>
        <w:tc>
          <w:tcPr>
            <w:tcW w:w="1043" w:type="pct"/>
            <w:tcBorders>
              <w:top w:val="single" w:sz="4" w:space="0" w:color="auto"/>
              <w:left w:val="single" w:sz="4" w:space="0" w:color="auto"/>
              <w:bottom w:val="single" w:sz="4" w:space="0" w:color="auto"/>
              <w:right w:val="single" w:sz="4" w:space="0" w:color="auto"/>
            </w:tcBorders>
          </w:tcPr>
          <w:p w:rsidR="00EF1C6A" w:rsidRPr="006B1802" w:rsidRDefault="00EF1C6A" w:rsidP="00B93A10">
            <w:pPr>
              <w:spacing w:before="40" w:after="40"/>
              <w:jc w:val="both"/>
              <w:rPr>
                <w:rFonts w:ascii="Arial Narrow" w:hAnsi="Arial Narrow" w:cs="Arial"/>
                <w:b/>
                <w:sz w:val="20"/>
                <w:szCs w:val="20"/>
              </w:rPr>
            </w:pPr>
            <w:r w:rsidRPr="00E20016">
              <w:rPr>
                <w:rFonts w:ascii="Arial Narrow" w:hAnsi="Arial Narrow" w:cs="Arial"/>
                <w:sz w:val="20"/>
                <w:szCs w:val="20"/>
              </w:rPr>
              <w:t>Caution</w:t>
            </w:r>
          </w:p>
          <w:p w:rsidR="00EF1C6A" w:rsidRPr="006B1802" w:rsidRDefault="00EF1C6A" w:rsidP="00B93A10">
            <w:pPr>
              <w:spacing w:before="40" w:after="40"/>
              <w:jc w:val="both"/>
              <w:rPr>
                <w:rFonts w:ascii="Arial Narrow" w:hAnsi="Arial Narrow" w:cs="Arial"/>
                <w:i/>
                <w:sz w:val="20"/>
                <w:szCs w:val="20"/>
              </w:rPr>
            </w:pPr>
          </w:p>
        </w:tc>
        <w:tc>
          <w:tcPr>
            <w:tcW w:w="3957" w:type="pct"/>
            <w:gridSpan w:val="7"/>
            <w:tcBorders>
              <w:top w:val="single" w:sz="4" w:space="0" w:color="auto"/>
              <w:left w:val="single" w:sz="4" w:space="0" w:color="auto"/>
              <w:bottom w:val="single" w:sz="4" w:space="0" w:color="auto"/>
              <w:right w:val="single" w:sz="4" w:space="0" w:color="auto"/>
            </w:tcBorders>
          </w:tcPr>
          <w:p w:rsidR="0039186A" w:rsidRDefault="0039186A" w:rsidP="00B93A10">
            <w:pPr>
              <w:spacing w:before="40" w:after="40"/>
              <w:rPr>
                <w:rFonts w:ascii="Arial Narrow" w:hAnsi="Arial Narrow" w:cs="Arial"/>
                <w:sz w:val="20"/>
                <w:szCs w:val="20"/>
              </w:rPr>
            </w:pPr>
            <w:r w:rsidRPr="00E20016">
              <w:rPr>
                <w:rFonts w:ascii="Arial Narrow" w:hAnsi="Arial Narrow" w:cs="Arial"/>
                <w:sz w:val="20"/>
                <w:szCs w:val="20"/>
              </w:rPr>
              <w:t xml:space="preserve">Tolvaptan has been associated with idiosyncratic </w:t>
            </w:r>
            <w:r w:rsidR="00C23EB8">
              <w:rPr>
                <w:rFonts w:ascii="Arial Narrow" w:hAnsi="Arial Narrow" w:cs="Arial"/>
                <w:sz w:val="20"/>
                <w:szCs w:val="20"/>
              </w:rPr>
              <w:t>hepatic toxicity</w:t>
            </w:r>
            <w:r w:rsidRPr="00E20016">
              <w:rPr>
                <w:rFonts w:ascii="Arial Narrow" w:hAnsi="Arial Narrow" w:cs="Arial"/>
                <w:sz w:val="20"/>
                <w:szCs w:val="20"/>
              </w:rPr>
              <w:t>.</w:t>
            </w:r>
            <w:r>
              <w:rPr>
                <w:rFonts w:ascii="Arial Narrow" w:hAnsi="Arial Narrow" w:cs="Arial"/>
                <w:sz w:val="20"/>
                <w:szCs w:val="20"/>
              </w:rPr>
              <w:t xml:space="preserve"> Liver fu</w:t>
            </w:r>
            <w:r w:rsidR="00EE7668">
              <w:rPr>
                <w:rFonts w:ascii="Arial Narrow" w:hAnsi="Arial Narrow" w:cs="Arial"/>
                <w:sz w:val="20"/>
                <w:szCs w:val="20"/>
              </w:rPr>
              <w:t>nction monitoring is required</w:t>
            </w:r>
            <w:r>
              <w:rPr>
                <w:rFonts w:ascii="Arial Narrow" w:hAnsi="Arial Narrow" w:cs="Arial"/>
                <w:sz w:val="20"/>
                <w:szCs w:val="20"/>
              </w:rPr>
              <w:t>.</w:t>
            </w:r>
          </w:p>
          <w:p w:rsidR="000E766E" w:rsidRPr="00E20016" w:rsidRDefault="000E766E" w:rsidP="00B93A10">
            <w:pPr>
              <w:spacing w:before="40" w:after="40"/>
              <w:rPr>
                <w:rFonts w:ascii="Arial Narrow" w:hAnsi="Arial Narrow" w:cs="Arial"/>
                <w:sz w:val="20"/>
                <w:szCs w:val="20"/>
              </w:rPr>
            </w:pPr>
          </w:p>
          <w:p w:rsidR="00EF1C6A" w:rsidRPr="006B1802" w:rsidRDefault="00EF1C6A" w:rsidP="00B93A10">
            <w:pPr>
              <w:spacing w:before="40" w:after="40"/>
              <w:rPr>
                <w:rFonts w:ascii="Arial Narrow" w:hAnsi="Arial Narrow" w:cs="Arial"/>
                <w:sz w:val="20"/>
                <w:szCs w:val="20"/>
              </w:rPr>
            </w:pPr>
          </w:p>
        </w:tc>
      </w:tr>
      <w:tr w:rsidR="00EF1C6A" w:rsidRPr="006B1802" w:rsidTr="00EF52C3">
        <w:trPr>
          <w:gridAfter w:val="2"/>
          <w:wAfter w:w="451" w:type="pct"/>
          <w:cantSplit/>
          <w:trHeight w:val="360"/>
        </w:trPr>
        <w:tc>
          <w:tcPr>
            <w:tcW w:w="4549" w:type="pct"/>
            <w:gridSpan w:val="6"/>
            <w:tcBorders>
              <w:bottom w:val="single" w:sz="4" w:space="0" w:color="auto"/>
            </w:tcBorders>
          </w:tcPr>
          <w:p w:rsidR="00EF1C6A" w:rsidRPr="006B1802" w:rsidRDefault="00EF1C6A" w:rsidP="00B93A10">
            <w:pPr>
              <w:rPr>
                <w:szCs w:val="22"/>
              </w:rPr>
            </w:pPr>
          </w:p>
        </w:tc>
      </w:tr>
      <w:tr w:rsidR="00EF1C6A" w:rsidRPr="006B1802" w:rsidTr="00EF52C3">
        <w:trPr>
          <w:cantSplit/>
          <w:trHeight w:val="360"/>
        </w:trPr>
        <w:tc>
          <w:tcPr>
            <w:tcW w:w="1043" w:type="pct"/>
            <w:tcBorders>
              <w:top w:val="single" w:sz="4" w:space="0" w:color="auto"/>
              <w:left w:val="single" w:sz="4" w:space="0" w:color="auto"/>
              <w:bottom w:val="single" w:sz="4" w:space="0" w:color="auto"/>
              <w:right w:val="single" w:sz="4" w:space="0" w:color="auto"/>
            </w:tcBorders>
          </w:tcPr>
          <w:p w:rsidR="00EF1C6A" w:rsidRPr="006B1802" w:rsidRDefault="00EF1C6A" w:rsidP="00B93A10">
            <w:pPr>
              <w:spacing w:before="40" w:after="40"/>
              <w:rPr>
                <w:rFonts w:ascii="Arial Narrow" w:hAnsi="Arial Narrow" w:cs="Arial"/>
                <w:sz w:val="20"/>
                <w:szCs w:val="20"/>
              </w:rPr>
            </w:pPr>
            <w:r w:rsidRPr="006B1802">
              <w:rPr>
                <w:rFonts w:ascii="Arial Narrow" w:hAnsi="Arial Narrow" w:cs="Arial"/>
                <w:sz w:val="20"/>
                <w:szCs w:val="20"/>
              </w:rPr>
              <w:t xml:space="preserve">Category / </w:t>
            </w:r>
          </w:p>
          <w:p w:rsidR="00EF1C6A" w:rsidRPr="006B1802" w:rsidRDefault="00EF1C6A" w:rsidP="00B93A10">
            <w:pPr>
              <w:spacing w:before="40" w:after="40"/>
              <w:rPr>
                <w:rFonts w:ascii="Arial Narrow" w:hAnsi="Arial Narrow" w:cs="Arial"/>
                <w:sz w:val="20"/>
                <w:szCs w:val="20"/>
              </w:rPr>
            </w:pPr>
            <w:r w:rsidRPr="006B1802">
              <w:rPr>
                <w:rFonts w:ascii="Arial Narrow" w:hAnsi="Arial Narrow" w:cs="Arial"/>
                <w:sz w:val="20"/>
                <w:szCs w:val="20"/>
              </w:rPr>
              <w:t>Program</w:t>
            </w:r>
          </w:p>
        </w:tc>
        <w:tc>
          <w:tcPr>
            <w:tcW w:w="3957" w:type="pct"/>
            <w:gridSpan w:val="7"/>
            <w:tcBorders>
              <w:top w:val="single" w:sz="4" w:space="0" w:color="auto"/>
              <w:left w:val="single" w:sz="4" w:space="0" w:color="auto"/>
              <w:bottom w:val="single" w:sz="4" w:space="0" w:color="auto"/>
              <w:right w:val="single" w:sz="4" w:space="0" w:color="auto"/>
            </w:tcBorders>
          </w:tcPr>
          <w:p w:rsidR="00EF1C6A" w:rsidRPr="006B1802" w:rsidRDefault="00EF1C6A" w:rsidP="00B93A10">
            <w:pPr>
              <w:spacing w:before="40" w:after="40"/>
              <w:rPr>
                <w:rFonts w:ascii="Arial Narrow" w:hAnsi="Arial Narrow" w:cs="Arial"/>
                <w:sz w:val="20"/>
                <w:szCs w:val="20"/>
              </w:rPr>
            </w:pPr>
            <w:r w:rsidRPr="006B1802">
              <w:rPr>
                <w:rFonts w:ascii="Arial Narrow" w:hAnsi="Arial Narrow" w:cs="Arial"/>
                <w:sz w:val="20"/>
                <w:szCs w:val="20"/>
              </w:rPr>
              <w:t>GENERAL – General Schedule (Code GE)</w:t>
            </w:r>
          </w:p>
          <w:p w:rsidR="00EF1C6A" w:rsidRPr="006B1802" w:rsidRDefault="00EF1C6A" w:rsidP="00B93A10">
            <w:pPr>
              <w:spacing w:before="40" w:after="40"/>
              <w:rPr>
                <w:rFonts w:ascii="Arial Narrow" w:hAnsi="Arial Narrow" w:cs="Arial"/>
                <w:sz w:val="20"/>
                <w:szCs w:val="20"/>
              </w:rPr>
            </w:pPr>
          </w:p>
        </w:tc>
      </w:tr>
      <w:tr w:rsidR="00EF1C6A" w:rsidRPr="006B1802" w:rsidTr="00EF52C3">
        <w:trPr>
          <w:cantSplit/>
          <w:trHeight w:val="360"/>
        </w:trPr>
        <w:tc>
          <w:tcPr>
            <w:tcW w:w="1043" w:type="pct"/>
            <w:tcBorders>
              <w:top w:val="single" w:sz="4" w:space="0" w:color="auto"/>
              <w:left w:val="single" w:sz="4" w:space="0" w:color="auto"/>
              <w:bottom w:val="single" w:sz="4" w:space="0" w:color="auto"/>
              <w:right w:val="single" w:sz="4" w:space="0" w:color="auto"/>
            </w:tcBorders>
          </w:tcPr>
          <w:p w:rsidR="00EF1C6A" w:rsidRPr="006B1802" w:rsidRDefault="00EF1C6A" w:rsidP="00B93A10">
            <w:pPr>
              <w:spacing w:before="40" w:after="40"/>
              <w:rPr>
                <w:rFonts w:ascii="Arial Narrow" w:hAnsi="Arial Narrow" w:cs="Arial"/>
                <w:sz w:val="20"/>
                <w:szCs w:val="20"/>
              </w:rPr>
            </w:pPr>
            <w:r w:rsidRPr="006B1802">
              <w:rPr>
                <w:rFonts w:ascii="Arial Narrow" w:hAnsi="Arial Narrow" w:cs="Arial"/>
                <w:sz w:val="20"/>
                <w:szCs w:val="20"/>
              </w:rPr>
              <w:t>Prescriber type:</w:t>
            </w:r>
          </w:p>
        </w:tc>
        <w:tc>
          <w:tcPr>
            <w:tcW w:w="3957" w:type="pct"/>
            <w:gridSpan w:val="7"/>
            <w:tcBorders>
              <w:top w:val="single" w:sz="4" w:space="0" w:color="auto"/>
              <w:left w:val="single" w:sz="4" w:space="0" w:color="auto"/>
              <w:bottom w:val="single" w:sz="4" w:space="0" w:color="auto"/>
              <w:right w:val="single" w:sz="4" w:space="0" w:color="auto"/>
            </w:tcBorders>
          </w:tcPr>
          <w:p w:rsidR="00EF1C6A" w:rsidRPr="006B1802" w:rsidRDefault="00EF1C6A" w:rsidP="00B93A10">
            <w:pPr>
              <w:spacing w:before="40" w:after="40"/>
              <w:rPr>
                <w:rFonts w:ascii="Arial Narrow" w:hAnsi="Arial Narrow" w:cs="Arial"/>
                <w:sz w:val="20"/>
                <w:szCs w:val="20"/>
              </w:rPr>
            </w:pPr>
            <w:r w:rsidRPr="006B1802">
              <w:rPr>
                <w:rFonts w:ascii="Arial Narrow" w:hAnsi="Arial Narrow" w:cs="Arial"/>
                <w:sz w:val="20"/>
                <w:szCs w:val="20"/>
              </w:rPr>
              <w:fldChar w:fldCharType="begin">
                <w:ffData>
                  <w:name w:val="Check1"/>
                  <w:enabled/>
                  <w:calcOnExit w:val="0"/>
                  <w:checkBox>
                    <w:sizeAuto/>
                    <w:default w:val="0"/>
                  </w:checkBox>
                </w:ffData>
              </w:fldChar>
            </w:r>
            <w:r w:rsidRPr="006B1802">
              <w:rPr>
                <w:rFonts w:ascii="Arial Narrow" w:hAnsi="Arial Narrow" w:cs="Arial"/>
                <w:sz w:val="20"/>
                <w:szCs w:val="20"/>
              </w:rPr>
              <w:instrText xml:space="preserve"> FORMCHECKBOX </w:instrText>
            </w:r>
            <w:r w:rsidR="00194BE9">
              <w:rPr>
                <w:rFonts w:ascii="Arial Narrow" w:hAnsi="Arial Narrow" w:cs="Arial"/>
                <w:sz w:val="20"/>
                <w:szCs w:val="20"/>
              </w:rPr>
            </w:r>
            <w:r w:rsidR="00194BE9">
              <w:rPr>
                <w:rFonts w:ascii="Arial Narrow" w:hAnsi="Arial Narrow" w:cs="Arial"/>
                <w:sz w:val="20"/>
                <w:szCs w:val="20"/>
              </w:rPr>
              <w:fldChar w:fldCharType="separate"/>
            </w:r>
            <w:r w:rsidRPr="006B1802">
              <w:rPr>
                <w:rFonts w:ascii="Arial Narrow" w:hAnsi="Arial Narrow" w:cs="Arial"/>
                <w:sz w:val="20"/>
                <w:szCs w:val="20"/>
              </w:rPr>
              <w:fldChar w:fldCharType="end"/>
            </w:r>
            <w:r w:rsidRPr="006B1802">
              <w:rPr>
                <w:rFonts w:ascii="Arial Narrow" w:hAnsi="Arial Narrow" w:cs="Arial"/>
                <w:sz w:val="20"/>
                <w:szCs w:val="20"/>
              </w:rPr>
              <w:t xml:space="preserve">Dental  </w:t>
            </w:r>
            <w:r w:rsidRPr="006B1802">
              <w:rPr>
                <w:rFonts w:ascii="Arial Narrow" w:hAnsi="Arial Narrow" w:cs="Arial"/>
                <w:sz w:val="20"/>
                <w:szCs w:val="20"/>
              </w:rPr>
              <w:fldChar w:fldCharType="begin">
                <w:ffData>
                  <w:name w:val=""/>
                  <w:enabled/>
                  <w:calcOnExit w:val="0"/>
                  <w:checkBox>
                    <w:sizeAuto/>
                    <w:default w:val="1"/>
                  </w:checkBox>
                </w:ffData>
              </w:fldChar>
            </w:r>
            <w:r w:rsidRPr="006B1802">
              <w:rPr>
                <w:rFonts w:ascii="Arial Narrow" w:hAnsi="Arial Narrow" w:cs="Arial"/>
                <w:sz w:val="20"/>
                <w:szCs w:val="20"/>
              </w:rPr>
              <w:instrText xml:space="preserve"> FORMCHECKBOX </w:instrText>
            </w:r>
            <w:r w:rsidR="00194BE9">
              <w:rPr>
                <w:rFonts w:ascii="Arial Narrow" w:hAnsi="Arial Narrow" w:cs="Arial"/>
                <w:sz w:val="20"/>
                <w:szCs w:val="20"/>
              </w:rPr>
            </w:r>
            <w:r w:rsidR="00194BE9">
              <w:rPr>
                <w:rFonts w:ascii="Arial Narrow" w:hAnsi="Arial Narrow" w:cs="Arial"/>
                <w:sz w:val="20"/>
                <w:szCs w:val="20"/>
              </w:rPr>
              <w:fldChar w:fldCharType="separate"/>
            </w:r>
            <w:r w:rsidRPr="006B1802">
              <w:rPr>
                <w:rFonts w:ascii="Arial Narrow" w:hAnsi="Arial Narrow" w:cs="Arial"/>
                <w:sz w:val="20"/>
                <w:szCs w:val="20"/>
              </w:rPr>
              <w:fldChar w:fldCharType="end"/>
            </w:r>
            <w:r w:rsidRPr="006B1802">
              <w:rPr>
                <w:rFonts w:ascii="Arial Narrow" w:hAnsi="Arial Narrow" w:cs="Arial"/>
                <w:sz w:val="20"/>
                <w:szCs w:val="20"/>
              </w:rPr>
              <w:t xml:space="preserve">Medical Practitioners  </w:t>
            </w:r>
            <w:r w:rsidRPr="006B1802">
              <w:rPr>
                <w:rFonts w:ascii="Arial Narrow" w:hAnsi="Arial Narrow" w:cs="Arial"/>
                <w:sz w:val="20"/>
                <w:szCs w:val="20"/>
              </w:rPr>
              <w:fldChar w:fldCharType="begin">
                <w:ffData>
                  <w:name w:val="Check3"/>
                  <w:enabled/>
                  <w:calcOnExit w:val="0"/>
                  <w:checkBox>
                    <w:sizeAuto/>
                    <w:default w:val="0"/>
                  </w:checkBox>
                </w:ffData>
              </w:fldChar>
            </w:r>
            <w:r w:rsidRPr="006B1802">
              <w:rPr>
                <w:rFonts w:ascii="Arial Narrow" w:hAnsi="Arial Narrow" w:cs="Arial"/>
                <w:sz w:val="20"/>
                <w:szCs w:val="20"/>
              </w:rPr>
              <w:instrText xml:space="preserve"> FORMCHECKBOX </w:instrText>
            </w:r>
            <w:r w:rsidR="00194BE9">
              <w:rPr>
                <w:rFonts w:ascii="Arial Narrow" w:hAnsi="Arial Narrow" w:cs="Arial"/>
                <w:sz w:val="20"/>
                <w:szCs w:val="20"/>
              </w:rPr>
            </w:r>
            <w:r w:rsidR="00194BE9">
              <w:rPr>
                <w:rFonts w:ascii="Arial Narrow" w:hAnsi="Arial Narrow" w:cs="Arial"/>
                <w:sz w:val="20"/>
                <w:szCs w:val="20"/>
              </w:rPr>
              <w:fldChar w:fldCharType="separate"/>
            </w:r>
            <w:r w:rsidRPr="006B1802">
              <w:rPr>
                <w:rFonts w:ascii="Arial Narrow" w:hAnsi="Arial Narrow" w:cs="Arial"/>
                <w:sz w:val="20"/>
                <w:szCs w:val="20"/>
              </w:rPr>
              <w:fldChar w:fldCharType="end"/>
            </w:r>
            <w:r w:rsidRPr="006B1802">
              <w:rPr>
                <w:rFonts w:ascii="Arial Narrow" w:hAnsi="Arial Narrow" w:cs="Arial"/>
                <w:sz w:val="20"/>
                <w:szCs w:val="20"/>
              </w:rPr>
              <w:t xml:space="preserve">Nurse practitioners  </w:t>
            </w:r>
            <w:r w:rsidRPr="006B1802">
              <w:rPr>
                <w:rFonts w:ascii="Arial Narrow" w:hAnsi="Arial Narrow" w:cs="Arial"/>
                <w:sz w:val="20"/>
                <w:szCs w:val="20"/>
              </w:rPr>
              <w:fldChar w:fldCharType="begin">
                <w:ffData>
                  <w:name w:val=""/>
                  <w:enabled/>
                  <w:calcOnExit w:val="0"/>
                  <w:checkBox>
                    <w:sizeAuto/>
                    <w:default w:val="0"/>
                  </w:checkBox>
                </w:ffData>
              </w:fldChar>
            </w:r>
            <w:r w:rsidRPr="006B1802">
              <w:rPr>
                <w:rFonts w:ascii="Arial Narrow" w:hAnsi="Arial Narrow" w:cs="Arial"/>
                <w:sz w:val="20"/>
                <w:szCs w:val="20"/>
              </w:rPr>
              <w:instrText xml:space="preserve"> FORMCHECKBOX </w:instrText>
            </w:r>
            <w:r w:rsidR="00194BE9">
              <w:rPr>
                <w:rFonts w:ascii="Arial Narrow" w:hAnsi="Arial Narrow" w:cs="Arial"/>
                <w:sz w:val="20"/>
                <w:szCs w:val="20"/>
              </w:rPr>
            </w:r>
            <w:r w:rsidR="00194BE9">
              <w:rPr>
                <w:rFonts w:ascii="Arial Narrow" w:hAnsi="Arial Narrow" w:cs="Arial"/>
                <w:sz w:val="20"/>
                <w:szCs w:val="20"/>
              </w:rPr>
              <w:fldChar w:fldCharType="separate"/>
            </w:r>
            <w:r w:rsidRPr="006B1802">
              <w:rPr>
                <w:rFonts w:ascii="Arial Narrow" w:hAnsi="Arial Narrow" w:cs="Arial"/>
                <w:sz w:val="20"/>
                <w:szCs w:val="20"/>
              </w:rPr>
              <w:fldChar w:fldCharType="end"/>
            </w:r>
            <w:r w:rsidRPr="006B1802">
              <w:rPr>
                <w:rFonts w:ascii="Arial Narrow" w:hAnsi="Arial Narrow" w:cs="Arial"/>
                <w:sz w:val="20"/>
                <w:szCs w:val="20"/>
              </w:rPr>
              <w:t>Optometrists</w:t>
            </w:r>
          </w:p>
          <w:p w:rsidR="00EF1C6A" w:rsidRPr="006B1802" w:rsidRDefault="00EF1C6A" w:rsidP="00B93A10">
            <w:pPr>
              <w:spacing w:before="40" w:after="40"/>
              <w:rPr>
                <w:rFonts w:ascii="Arial Narrow" w:hAnsi="Arial Narrow" w:cs="Arial"/>
                <w:sz w:val="20"/>
                <w:szCs w:val="20"/>
              </w:rPr>
            </w:pPr>
            <w:r w:rsidRPr="006B1802">
              <w:rPr>
                <w:rFonts w:ascii="Arial Narrow" w:hAnsi="Arial Narrow" w:cs="Arial"/>
                <w:sz w:val="20"/>
                <w:szCs w:val="20"/>
              </w:rPr>
              <w:fldChar w:fldCharType="begin">
                <w:ffData>
                  <w:name w:val="Check5"/>
                  <w:enabled/>
                  <w:calcOnExit w:val="0"/>
                  <w:checkBox>
                    <w:sizeAuto/>
                    <w:default w:val="0"/>
                  </w:checkBox>
                </w:ffData>
              </w:fldChar>
            </w:r>
            <w:r w:rsidRPr="006B1802">
              <w:rPr>
                <w:rFonts w:ascii="Arial Narrow" w:hAnsi="Arial Narrow" w:cs="Arial"/>
                <w:sz w:val="20"/>
                <w:szCs w:val="20"/>
              </w:rPr>
              <w:instrText xml:space="preserve"> FORMCHECKBOX </w:instrText>
            </w:r>
            <w:r w:rsidR="00194BE9">
              <w:rPr>
                <w:rFonts w:ascii="Arial Narrow" w:hAnsi="Arial Narrow" w:cs="Arial"/>
                <w:sz w:val="20"/>
                <w:szCs w:val="20"/>
              </w:rPr>
            </w:r>
            <w:r w:rsidR="00194BE9">
              <w:rPr>
                <w:rFonts w:ascii="Arial Narrow" w:hAnsi="Arial Narrow" w:cs="Arial"/>
                <w:sz w:val="20"/>
                <w:szCs w:val="20"/>
              </w:rPr>
              <w:fldChar w:fldCharType="separate"/>
            </w:r>
            <w:r w:rsidRPr="006B1802">
              <w:rPr>
                <w:rFonts w:ascii="Arial Narrow" w:hAnsi="Arial Narrow" w:cs="Arial"/>
                <w:sz w:val="20"/>
                <w:szCs w:val="20"/>
              </w:rPr>
              <w:fldChar w:fldCharType="end"/>
            </w:r>
            <w:r w:rsidRPr="006B1802">
              <w:rPr>
                <w:rFonts w:ascii="Arial Narrow" w:hAnsi="Arial Narrow" w:cs="Arial"/>
                <w:sz w:val="20"/>
                <w:szCs w:val="20"/>
              </w:rPr>
              <w:t>Midwives</w:t>
            </w:r>
          </w:p>
        </w:tc>
      </w:tr>
      <w:tr w:rsidR="00EF1C6A" w:rsidRPr="006B1802" w:rsidTr="00EF52C3">
        <w:trPr>
          <w:cantSplit/>
          <w:trHeight w:val="480"/>
        </w:trPr>
        <w:tc>
          <w:tcPr>
            <w:tcW w:w="1043" w:type="pct"/>
            <w:tcBorders>
              <w:top w:val="single" w:sz="4" w:space="0" w:color="auto"/>
              <w:left w:val="single" w:sz="4" w:space="0" w:color="auto"/>
              <w:bottom w:val="single" w:sz="4" w:space="0" w:color="auto"/>
              <w:right w:val="single" w:sz="4" w:space="0" w:color="auto"/>
            </w:tcBorders>
          </w:tcPr>
          <w:p w:rsidR="00EF1C6A" w:rsidRPr="006B1802" w:rsidRDefault="00EF1C6A" w:rsidP="00B93A10">
            <w:pPr>
              <w:spacing w:before="40" w:after="40"/>
              <w:rPr>
                <w:rFonts w:ascii="Arial Narrow" w:hAnsi="Arial Narrow" w:cs="Arial"/>
                <w:sz w:val="20"/>
                <w:szCs w:val="20"/>
              </w:rPr>
            </w:pPr>
            <w:r w:rsidRPr="006B1802">
              <w:rPr>
                <w:rFonts w:ascii="Arial Narrow" w:hAnsi="Arial Narrow" w:cs="Arial"/>
                <w:sz w:val="20"/>
                <w:szCs w:val="20"/>
              </w:rPr>
              <w:t>Condition:</w:t>
            </w:r>
          </w:p>
        </w:tc>
        <w:tc>
          <w:tcPr>
            <w:tcW w:w="3957" w:type="pct"/>
            <w:gridSpan w:val="7"/>
            <w:tcBorders>
              <w:top w:val="single" w:sz="4" w:space="0" w:color="auto"/>
              <w:left w:val="single" w:sz="4" w:space="0" w:color="auto"/>
              <w:bottom w:val="single" w:sz="4" w:space="0" w:color="auto"/>
              <w:right w:val="single" w:sz="4" w:space="0" w:color="auto"/>
            </w:tcBorders>
          </w:tcPr>
          <w:p w:rsidR="00EF1C6A" w:rsidRPr="006B1802" w:rsidRDefault="00EF1C6A" w:rsidP="00B93A10">
            <w:pPr>
              <w:spacing w:before="40" w:after="40"/>
              <w:rPr>
                <w:rFonts w:ascii="Arial Narrow" w:hAnsi="Arial Narrow" w:cs="Arial"/>
                <w:sz w:val="20"/>
                <w:szCs w:val="20"/>
              </w:rPr>
            </w:pPr>
            <w:r w:rsidRPr="006B1802">
              <w:rPr>
                <w:rFonts w:ascii="Arial Narrow" w:hAnsi="Arial Narrow" w:cs="Arial"/>
                <w:sz w:val="20"/>
                <w:szCs w:val="20"/>
              </w:rPr>
              <w:t>Autosomal dominant polycystic kidney disease (ADPKD)</w:t>
            </w:r>
          </w:p>
        </w:tc>
      </w:tr>
      <w:tr w:rsidR="00EF1C6A" w:rsidRPr="006B1802" w:rsidTr="00EF52C3">
        <w:trPr>
          <w:cantSplit/>
          <w:trHeight w:val="360"/>
        </w:trPr>
        <w:tc>
          <w:tcPr>
            <w:tcW w:w="1043" w:type="pct"/>
            <w:tcBorders>
              <w:top w:val="single" w:sz="4" w:space="0" w:color="auto"/>
              <w:left w:val="single" w:sz="4" w:space="0" w:color="auto"/>
              <w:bottom w:val="single" w:sz="4" w:space="0" w:color="auto"/>
              <w:right w:val="single" w:sz="4" w:space="0" w:color="auto"/>
            </w:tcBorders>
          </w:tcPr>
          <w:p w:rsidR="00EF1C6A" w:rsidRPr="006B1802" w:rsidRDefault="00EF1C6A" w:rsidP="00B93A10">
            <w:pPr>
              <w:spacing w:before="40" w:after="40"/>
              <w:rPr>
                <w:rFonts w:ascii="Arial Narrow" w:hAnsi="Arial Narrow" w:cs="Arial"/>
                <w:sz w:val="20"/>
                <w:szCs w:val="20"/>
              </w:rPr>
            </w:pPr>
            <w:r w:rsidRPr="006B1802">
              <w:rPr>
                <w:rFonts w:ascii="Arial Narrow" w:hAnsi="Arial Narrow" w:cs="Arial"/>
                <w:sz w:val="20"/>
                <w:szCs w:val="20"/>
              </w:rPr>
              <w:lastRenderedPageBreak/>
              <w:t>PBS Indication:</w:t>
            </w:r>
          </w:p>
        </w:tc>
        <w:tc>
          <w:tcPr>
            <w:tcW w:w="3957" w:type="pct"/>
            <w:gridSpan w:val="7"/>
            <w:tcBorders>
              <w:top w:val="single" w:sz="4" w:space="0" w:color="auto"/>
              <w:left w:val="single" w:sz="4" w:space="0" w:color="auto"/>
              <w:bottom w:val="single" w:sz="4" w:space="0" w:color="auto"/>
              <w:right w:val="single" w:sz="4" w:space="0" w:color="auto"/>
            </w:tcBorders>
          </w:tcPr>
          <w:p w:rsidR="00EF1C6A" w:rsidRPr="006B1802" w:rsidRDefault="00EF1C6A" w:rsidP="00B93A10">
            <w:pPr>
              <w:spacing w:before="40" w:after="40"/>
              <w:rPr>
                <w:rFonts w:ascii="Arial Narrow" w:hAnsi="Arial Narrow" w:cs="Arial"/>
                <w:sz w:val="20"/>
                <w:szCs w:val="20"/>
              </w:rPr>
            </w:pPr>
            <w:r w:rsidRPr="006B1802">
              <w:rPr>
                <w:rFonts w:ascii="Arial Narrow" w:hAnsi="Arial Narrow" w:cs="Arial"/>
                <w:sz w:val="20"/>
                <w:szCs w:val="20"/>
              </w:rPr>
              <w:t>Autosomal dominant polycystic kidney disease (ADPKD)</w:t>
            </w:r>
          </w:p>
        </w:tc>
      </w:tr>
      <w:tr w:rsidR="00EF1C6A" w:rsidRPr="006B1802" w:rsidTr="00EF52C3">
        <w:trPr>
          <w:cantSplit/>
          <w:trHeight w:val="360"/>
        </w:trPr>
        <w:tc>
          <w:tcPr>
            <w:tcW w:w="1043" w:type="pct"/>
            <w:tcBorders>
              <w:top w:val="single" w:sz="4" w:space="0" w:color="auto"/>
              <w:left w:val="single" w:sz="4" w:space="0" w:color="auto"/>
              <w:bottom w:val="single" w:sz="4" w:space="0" w:color="auto"/>
              <w:right w:val="single" w:sz="4" w:space="0" w:color="auto"/>
            </w:tcBorders>
          </w:tcPr>
          <w:p w:rsidR="00EF1C6A" w:rsidRPr="006B1802" w:rsidRDefault="00EF1C6A" w:rsidP="00B93A10">
            <w:pPr>
              <w:spacing w:before="40" w:after="40"/>
              <w:rPr>
                <w:rFonts w:ascii="Arial Narrow" w:hAnsi="Arial Narrow" w:cs="Arial"/>
                <w:sz w:val="20"/>
                <w:szCs w:val="20"/>
              </w:rPr>
            </w:pPr>
            <w:r w:rsidRPr="006B1802">
              <w:rPr>
                <w:rFonts w:ascii="Arial Narrow" w:hAnsi="Arial Narrow" w:cs="Arial"/>
                <w:sz w:val="20"/>
                <w:szCs w:val="20"/>
              </w:rPr>
              <w:t>Treatment phase:</w:t>
            </w:r>
          </w:p>
        </w:tc>
        <w:tc>
          <w:tcPr>
            <w:tcW w:w="3957" w:type="pct"/>
            <w:gridSpan w:val="7"/>
            <w:tcBorders>
              <w:top w:val="single" w:sz="4" w:space="0" w:color="auto"/>
              <w:left w:val="single" w:sz="4" w:space="0" w:color="auto"/>
              <w:bottom w:val="single" w:sz="4" w:space="0" w:color="auto"/>
              <w:right w:val="single" w:sz="4" w:space="0" w:color="auto"/>
            </w:tcBorders>
          </w:tcPr>
          <w:p w:rsidR="00EF1C6A" w:rsidRPr="006B1802" w:rsidRDefault="00EF1C6A" w:rsidP="00B93A10">
            <w:pPr>
              <w:spacing w:before="40" w:after="40"/>
              <w:rPr>
                <w:rFonts w:ascii="Arial Narrow" w:hAnsi="Arial Narrow" w:cs="Arial"/>
                <w:sz w:val="20"/>
                <w:szCs w:val="20"/>
              </w:rPr>
            </w:pPr>
            <w:r w:rsidRPr="006B1802">
              <w:rPr>
                <w:rFonts w:ascii="Arial Narrow" w:hAnsi="Arial Narrow" w:cs="Arial"/>
                <w:sz w:val="20"/>
                <w:szCs w:val="20"/>
              </w:rPr>
              <w:t xml:space="preserve">Continuing </w:t>
            </w:r>
            <w:r w:rsidR="00DD7EC3">
              <w:rPr>
                <w:rFonts w:ascii="Arial Narrow" w:hAnsi="Arial Narrow" w:cs="Arial"/>
                <w:sz w:val="20"/>
                <w:szCs w:val="20"/>
              </w:rPr>
              <w:t>treatment</w:t>
            </w:r>
          </w:p>
        </w:tc>
      </w:tr>
      <w:tr w:rsidR="00EF1C6A" w:rsidRPr="006B1802" w:rsidTr="00EF52C3">
        <w:trPr>
          <w:cantSplit/>
          <w:trHeight w:val="360"/>
        </w:trPr>
        <w:tc>
          <w:tcPr>
            <w:tcW w:w="1043" w:type="pct"/>
            <w:tcBorders>
              <w:top w:val="single" w:sz="4" w:space="0" w:color="auto"/>
              <w:left w:val="single" w:sz="4" w:space="0" w:color="auto"/>
              <w:bottom w:val="single" w:sz="4" w:space="0" w:color="auto"/>
              <w:right w:val="single" w:sz="4" w:space="0" w:color="auto"/>
            </w:tcBorders>
          </w:tcPr>
          <w:p w:rsidR="00EF1C6A" w:rsidRPr="006B1802" w:rsidRDefault="00EF1C6A" w:rsidP="00B93A10">
            <w:pPr>
              <w:spacing w:before="40" w:after="40"/>
              <w:rPr>
                <w:rFonts w:ascii="Arial Narrow" w:hAnsi="Arial Narrow" w:cs="Arial"/>
                <w:sz w:val="20"/>
                <w:szCs w:val="20"/>
              </w:rPr>
            </w:pPr>
            <w:r w:rsidRPr="006B1802">
              <w:rPr>
                <w:rFonts w:ascii="Arial Narrow" w:hAnsi="Arial Narrow" w:cs="Arial"/>
                <w:sz w:val="20"/>
                <w:szCs w:val="20"/>
              </w:rPr>
              <w:t>Restriction Level / Method:</w:t>
            </w:r>
          </w:p>
          <w:p w:rsidR="00EF1C6A" w:rsidRPr="006B1802" w:rsidRDefault="00EF1C6A" w:rsidP="00B93A10">
            <w:pPr>
              <w:spacing w:before="40" w:after="40"/>
              <w:rPr>
                <w:rFonts w:ascii="Arial Narrow" w:hAnsi="Arial Narrow" w:cs="Arial"/>
                <w:sz w:val="20"/>
                <w:szCs w:val="20"/>
              </w:rPr>
            </w:pPr>
          </w:p>
        </w:tc>
        <w:tc>
          <w:tcPr>
            <w:tcW w:w="3957" w:type="pct"/>
            <w:gridSpan w:val="7"/>
            <w:tcBorders>
              <w:top w:val="single" w:sz="4" w:space="0" w:color="auto"/>
              <w:left w:val="single" w:sz="4" w:space="0" w:color="auto"/>
              <w:bottom w:val="single" w:sz="4" w:space="0" w:color="auto"/>
              <w:right w:val="single" w:sz="4" w:space="0" w:color="auto"/>
            </w:tcBorders>
          </w:tcPr>
          <w:p w:rsidR="00EF1C6A" w:rsidRPr="006B1802" w:rsidRDefault="00EF1C6A" w:rsidP="00B93A10">
            <w:pPr>
              <w:spacing w:before="40" w:after="40"/>
              <w:rPr>
                <w:rFonts w:ascii="Arial Narrow" w:hAnsi="Arial Narrow" w:cs="Arial"/>
                <w:sz w:val="20"/>
                <w:szCs w:val="20"/>
              </w:rPr>
            </w:pPr>
            <w:r w:rsidRPr="006B1802">
              <w:rPr>
                <w:rFonts w:ascii="Arial Narrow" w:hAnsi="Arial Narrow" w:cs="Arial"/>
                <w:sz w:val="20"/>
                <w:szCs w:val="20"/>
              </w:rPr>
              <w:fldChar w:fldCharType="begin">
                <w:ffData>
                  <w:name w:val=""/>
                  <w:enabled/>
                  <w:calcOnExit w:val="0"/>
                  <w:checkBox>
                    <w:sizeAuto/>
                    <w:default w:val="1"/>
                  </w:checkBox>
                </w:ffData>
              </w:fldChar>
            </w:r>
            <w:r w:rsidRPr="006B1802">
              <w:rPr>
                <w:rFonts w:ascii="Arial Narrow" w:hAnsi="Arial Narrow" w:cs="Arial"/>
                <w:sz w:val="20"/>
                <w:szCs w:val="20"/>
              </w:rPr>
              <w:instrText xml:space="preserve"> FORMCHECKBOX </w:instrText>
            </w:r>
            <w:r w:rsidR="00194BE9">
              <w:rPr>
                <w:rFonts w:ascii="Arial Narrow" w:hAnsi="Arial Narrow" w:cs="Arial"/>
                <w:sz w:val="20"/>
                <w:szCs w:val="20"/>
              </w:rPr>
            </w:r>
            <w:r w:rsidR="00194BE9">
              <w:rPr>
                <w:rFonts w:ascii="Arial Narrow" w:hAnsi="Arial Narrow" w:cs="Arial"/>
                <w:sz w:val="20"/>
                <w:szCs w:val="20"/>
              </w:rPr>
              <w:fldChar w:fldCharType="separate"/>
            </w:r>
            <w:r w:rsidRPr="006B1802">
              <w:rPr>
                <w:rFonts w:ascii="Arial Narrow" w:hAnsi="Arial Narrow" w:cs="Arial"/>
                <w:sz w:val="20"/>
                <w:szCs w:val="20"/>
              </w:rPr>
              <w:fldChar w:fldCharType="end"/>
            </w:r>
            <w:r w:rsidR="001E0660">
              <w:rPr>
                <w:rFonts w:ascii="Arial Narrow" w:hAnsi="Arial Narrow" w:cs="Arial"/>
                <w:sz w:val="20"/>
                <w:szCs w:val="20"/>
              </w:rPr>
              <w:t>Authority Required (</w:t>
            </w:r>
            <w:r w:rsidRPr="006B1802">
              <w:rPr>
                <w:rFonts w:ascii="Arial Narrow" w:hAnsi="Arial Narrow" w:cs="Arial"/>
                <w:sz w:val="20"/>
                <w:szCs w:val="20"/>
              </w:rPr>
              <w:t>Streamlined</w:t>
            </w:r>
            <w:r w:rsidR="001E0660">
              <w:rPr>
                <w:rFonts w:ascii="Arial Narrow" w:hAnsi="Arial Narrow" w:cs="Arial"/>
                <w:sz w:val="20"/>
                <w:szCs w:val="20"/>
              </w:rPr>
              <w:t>)</w:t>
            </w:r>
          </w:p>
        </w:tc>
      </w:tr>
      <w:tr w:rsidR="00EF1C6A" w:rsidRPr="006B1802" w:rsidTr="00EF52C3">
        <w:trPr>
          <w:cantSplit/>
          <w:trHeight w:val="360"/>
        </w:trPr>
        <w:tc>
          <w:tcPr>
            <w:tcW w:w="1043" w:type="pct"/>
            <w:tcBorders>
              <w:top w:val="single" w:sz="4" w:space="0" w:color="auto"/>
              <w:left w:val="single" w:sz="4" w:space="0" w:color="auto"/>
              <w:bottom w:val="single" w:sz="4" w:space="0" w:color="auto"/>
              <w:right w:val="single" w:sz="4" w:space="0" w:color="auto"/>
            </w:tcBorders>
          </w:tcPr>
          <w:p w:rsidR="00EF1C6A" w:rsidRPr="006B1802" w:rsidRDefault="00EF1C6A" w:rsidP="00B93A10">
            <w:pPr>
              <w:spacing w:before="40" w:after="40"/>
              <w:rPr>
                <w:rFonts w:ascii="Arial Narrow" w:hAnsi="Arial Narrow" w:cs="Arial"/>
                <w:sz w:val="20"/>
                <w:szCs w:val="20"/>
              </w:rPr>
            </w:pPr>
            <w:r w:rsidRPr="006B1802">
              <w:rPr>
                <w:rFonts w:ascii="Arial Narrow" w:hAnsi="Arial Narrow" w:cs="Arial"/>
                <w:sz w:val="20"/>
                <w:szCs w:val="20"/>
              </w:rPr>
              <w:t>Treatment criteria:</w:t>
            </w:r>
            <w:r w:rsidR="007A509B" w:rsidRPr="006B1802" w:rsidDel="007A509B">
              <w:rPr>
                <w:rFonts w:ascii="Arial Narrow" w:hAnsi="Arial Narrow" w:cs="Arial"/>
                <w:sz w:val="20"/>
                <w:szCs w:val="20"/>
              </w:rPr>
              <w:t xml:space="preserve"> </w:t>
            </w:r>
          </w:p>
        </w:tc>
        <w:tc>
          <w:tcPr>
            <w:tcW w:w="3957" w:type="pct"/>
            <w:gridSpan w:val="7"/>
            <w:tcBorders>
              <w:top w:val="single" w:sz="4" w:space="0" w:color="auto"/>
              <w:left w:val="single" w:sz="4" w:space="0" w:color="auto"/>
              <w:bottom w:val="single" w:sz="4" w:space="0" w:color="auto"/>
              <w:right w:val="single" w:sz="4" w:space="0" w:color="auto"/>
            </w:tcBorders>
          </w:tcPr>
          <w:p w:rsidR="007A509B" w:rsidRDefault="007A509B" w:rsidP="00B93A10">
            <w:pPr>
              <w:spacing w:before="40" w:after="40"/>
              <w:rPr>
                <w:rFonts w:ascii="Arial Narrow" w:hAnsi="Arial Narrow" w:cs="Arial"/>
                <w:sz w:val="20"/>
                <w:szCs w:val="20"/>
              </w:rPr>
            </w:pPr>
            <w:r>
              <w:rPr>
                <w:rFonts w:ascii="Arial Narrow" w:hAnsi="Arial Narrow" w:cs="Arial"/>
                <w:sz w:val="20"/>
                <w:szCs w:val="20"/>
              </w:rPr>
              <w:t>Must be treated by a nephrologist.</w:t>
            </w:r>
          </w:p>
          <w:p w:rsidR="007A509B" w:rsidRDefault="007A509B" w:rsidP="00B93A10">
            <w:pPr>
              <w:spacing w:before="40" w:after="40"/>
              <w:rPr>
                <w:rFonts w:ascii="Arial Narrow" w:hAnsi="Arial Narrow" w:cs="Arial"/>
                <w:sz w:val="20"/>
                <w:szCs w:val="20"/>
              </w:rPr>
            </w:pPr>
          </w:p>
          <w:p w:rsidR="007A509B" w:rsidRDefault="007A509B" w:rsidP="00B93A10">
            <w:pPr>
              <w:spacing w:before="40" w:after="40"/>
              <w:rPr>
                <w:rFonts w:ascii="Arial Narrow" w:hAnsi="Arial Narrow" w:cs="Arial"/>
                <w:sz w:val="20"/>
                <w:szCs w:val="20"/>
              </w:rPr>
            </w:pPr>
            <w:r>
              <w:rPr>
                <w:rFonts w:ascii="Arial Narrow" w:hAnsi="Arial Narrow" w:cs="Arial"/>
                <w:sz w:val="20"/>
                <w:szCs w:val="20"/>
              </w:rPr>
              <w:t>OR</w:t>
            </w:r>
          </w:p>
          <w:p w:rsidR="007A509B" w:rsidRDefault="007A509B" w:rsidP="00B93A10">
            <w:pPr>
              <w:spacing w:before="40" w:after="40"/>
              <w:rPr>
                <w:rFonts w:ascii="Arial Narrow" w:hAnsi="Arial Narrow" w:cs="Arial"/>
                <w:sz w:val="20"/>
                <w:szCs w:val="20"/>
              </w:rPr>
            </w:pPr>
          </w:p>
          <w:p w:rsidR="007A509B" w:rsidRDefault="007A509B" w:rsidP="00B93A10">
            <w:pPr>
              <w:spacing w:before="40" w:after="40"/>
              <w:rPr>
                <w:rFonts w:ascii="Arial Narrow" w:hAnsi="Arial Narrow" w:cs="Arial"/>
                <w:sz w:val="20"/>
                <w:szCs w:val="20"/>
              </w:rPr>
            </w:pPr>
            <w:r>
              <w:rPr>
                <w:rFonts w:ascii="Arial Narrow" w:hAnsi="Arial Narrow" w:cs="Arial"/>
                <w:sz w:val="20"/>
                <w:szCs w:val="20"/>
              </w:rPr>
              <w:t>Must be treated in consultation with a nephrologist.</w:t>
            </w:r>
          </w:p>
          <w:p w:rsidR="00B315DC" w:rsidRPr="00E20016" w:rsidRDefault="00B315DC" w:rsidP="00B93A10">
            <w:pPr>
              <w:spacing w:before="40" w:after="40"/>
              <w:rPr>
                <w:strike/>
                <w:szCs w:val="22"/>
              </w:rPr>
            </w:pPr>
          </w:p>
        </w:tc>
      </w:tr>
      <w:tr w:rsidR="00EF1C6A" w:rsidRPr="006B1802" w:rsidTr="00EF52C3">
        <w:trPr>
          <w:cantSplit/>
          <w:trHeight w:val="360"/>
        </w:trPr>
        <w:tc>
          <w:tcPr>
            <w:tcW w:w="1043" w:type="pct"/>
            <w:tcBorders>
              <w:top w:val="single" w:sz="4" w:space="0" w:color="auto"/>
              <w:left w:val="single" w:sz="4" w:space="0" w:color="auto"/>
              <w:bottom w:val="single" w:sz="4" w:space="0" w:color="auto"/>
              <w:right w:val="single" w:sz="4" w:space="0" w:color="auto"/>
            </w:tcBorders>
          </w:tcPr>
          <w:p w:rsidR="00EF1C6A" w:rsidRPr="006B1802" w:rsidRDefault="00EF1C6A" w:rsidP="00B93A10">
            <w:pPr>
              <w:spacing w:before="40" w:after="40"/>
              <w:rPr>
                <w:rFonts w:ascii="Arial Narrow" w:hAnsi="Arial Narrow" w:cs="Arial"/>
                <w:sz w:val="20"/>
                <w:szCs w:val="20"/>
              </w:rPr>
            </w:pPr>
            <w:r w:rsidRPr="006B1802">
              <w:rPr>
                <w:rFonts w:ascii="Arial Narrow" w:hAnsi="Arial Narrow" w:cs="Arial"/>
                <w:sz w:val="20"/>
                <w:szCs w:val="20"/>
              </w:rPr>
              <w:t>Clinical criteria:</w:t>
            </w:r>
          </w:p>
          <w:p w:rsidR="00EF1C6A" w:rsidRPr="006B1802" w:rsidRDefault="00EF1C6A" w:rsidP="00B93A10">
            <w:pPr>
              <w:spacing w:before="40" w:after="40"/>
              <w:rPr>
                <w:rFonts w:ascii="Arial Narrow" w:hAnsi="Arial Narrow" w:cs="Arial"/>
                <w:sz w:val="20"/>
                <w:szCs w:val="20"/>
              </w:rPr>
            </w:pPr>
          </w:p>
        </w:tc>
        <w:tc>
          <w:tcPr>
            <w:tcW w:w="3957" w:type="pct"/>
            <w:gridSpan w:val="7"/>
            <w:tcBorders>
              <w:top w:val="single" w:sz="4" w:space="0" w:color="auto"/>
              <w:left w:val="single" w:sz="4" w:space="0" w:color="auto"/>
              <w:bottom w:val="single" w:sz="4" w:space="0" w:color="auto"/>
              <w:right w:val="single" w:sz="4" w:space="0" w:color="auto"/>
            </w:tcBorders>
          </w:tcPr>
          <w:p w:rsidR="00EF1C6A" w:rsidRDefault="00EF1C6A" w:rsidP="00B93A10">
            <w:pPr>
              <w:spacing w:before="40" w:after="40"/>
              <w:rPr>
                <w:rFonts w:ascii="Arial Narrow" w:hAnsi="Arial Narrow" w:cs="Arial"/>
                <w:sz w:val="20"/>
                <w:szCs w:val="20"/>
              </w:rPr>
            </w:pPr>
            <w:r w:rsidRPr="006B1802">
              <w:rPr>
                <w:rFonts w:ascii="Arial Narrow" w:hAnsi="Arial Narrow" w:cs="Arial"/>
                <w:sz w:val="20"/>
                <w:szCs w:val="20"/>
              </w:rPr>
              <w:t xml:space="preserve">Patient must have previously </w:t>
            </w:r>
            <w:r w:rsidR="00D11978">
              <w:rPr>
                <w:rFonts w:ascii="Arial Narrow" w:hAnsi="Arial Narrow" w:cs="Arial"/>
                <w:sz w:val="20"/>
                <w:szCs w:val="20"/>
              </w:rPr>
              <w:t xml:space="preserve">received PBS-subsidised treatment with </w:t>
            </w:r>
            <w:r w:rsidRPr="006B1802">
              <w:rPr>
                <w:rFonts w:ascii="Arial Narrow" w:hAnsi="Arial Narrow" w:cs="Arial"/>
                <w:sz w:val="20"/>
                <w:szCs w:val="20"/>
              </w:rPr>
              <w:t>for this drug for this condition</w:t>
            </w:r>
          </w:p>
          <w:p w:rsidR="00855CD2" w:rsidRPr="006B1802" w:rsidRDefault="00855CD2" w:rsidP="00B93A10">
            <w:pPr>
              <w:spacing w:before="40" w:after="40"/>
              <w:rPr>
                <w:rFonts w:ascii="Arial Narrow" w:hAnsi="Arial Narrow" w:cs="Arial"/>
                <w:sz w:val="20"/>
                <w:szCs w:val="20"/>
              </w:rPr>
            </w:pPr>
          </w:p>
          <w:p w:rsidR="00EF1C6A" w:rsidRDefault="00EF1C6A" w:rsidP="00B93A10">
            <w:pPr>
              <w:spacing w:before="40" w:after="40"/>
              <w:rPr>
                <w:rFonts w:ascii="Arial Narrow" w:hAnsi="Arial Narrow" w:cs="Arial"/>
                <w:sz w:val="20"/>
                <w:szCs w:val="20"/>
              </w:rPr>
            </w:pPr>
            <w:r w:rsidRPr="006B1802">
              <w:rPr>
                <w:rFonts w:ascii="Arial Narrow" w:hAnsi="Arial Narrow" w:cs="Arial"/>
                <w:sz w:val="20"/>
                <w:szCs w:val="20"/>
              </w:rPr>
              <w:t>AND</w:t>
            </w:r>
          </w:p>
          <w:p w:rsidR="00855CD2" w:rsidRPr="006B1802" w:rsidRDefault="00855CD2" w:rsidP="00B93A10">
            <w:pPr>
              <w:spacing w:before="40" w:after="40"/>
              <w:rPr>
                <w:rFonts w:ascii="Arial Narrow" w:hAnsi="Arial Narrow" w:cs="Arial"/>
                <w:sz w:val="20"/>
                <w:szCs w:val="20"/>
              </w:rPr>
            </w:pPr>
          </w:p>
          <w:p w:rsidR="00C601A3" w:rsidRDefault="00C601A3" w:rsidP="00B93A10">
            <w:pPr>
              <w:spacing w:before="40" w:after="40"/>
              <w:rPr>
                <w:rFonts w:ascii="Arial Narrow" w:hAnsi="Arial Narrow" w:cs="Arial"/>
                <w:sz w:val="20"/>
                <w:szCs w:val="20"/>
              </w:rPr>
            </w:pPr>
            <w:r>
              <w:rPr>
                <w:rFonts w:ascii="Arial Narrow" w:hAnsi="Arial Narrow" w:cs="Arial"/>
                <w:sz w:val="20"/>
                <w:szCs w:val="20"/>
              </w:rPr>
              <w:t>P</w:t>
            </w:r>
            <w:r w:rsidR="00EF1C6A" w:rsidRPr="006B1802">
              <w:rPr>
                <w:rFonts w:ascii="Arial Narrow" w:hAnsi="Arial Narrow" w:cs="Arial"/>
                <w:sz w:val="20"/>
                <w:szCs w:val="20"/>
              </w:rPr>
              <w:t xml:space="preserve">atient must not have end-stage renal disease </w:t>
            </w:r>
            <w:r w:rsidR="003C3922">
              <w:rPr>
                <w:rFonts w:ascii="Arial Narrow" w:hAnsi="Arial Narrow" w:cs="Arial"/>
                <w:sz w:val="20"/>
                <w:szCs w:val="20"/>
              </w:rPr>
              <w:t xml:space="preserve">defined as an </w:t>
            </w:r>
            <w:r w:rsidR="003C3922" w:rsidRPr="008951BB">
              <w:rPr>
                <w:rFonts w:ascii="Arial Narrow" w:hAnsi="Arial Narrow" w:cs="Arial"/>
                <w:sz w:val="20"/>
                <w:szCs w:val="20"/>
              </w:rPr>
              <w:t>estimated glomerular filtration rate</w:t>
            </w:r>
            <w:r w:rsidR="003C3922" w:rsidRPr="006B1802">
              <w:rPr>
                <w:rFonts w:ascii="Arial Narrow" w:hAnsi="Arial Narrow" w:cs="Arial"/>
                <w:sz w:val="20"/>
                <w:szCs w:val="20"/>
              </w:rPr>
              <w:t xml:space="preserve"> </w:t>
            </w:r>
            <w:r w:rsidR="00EF1C6A" w:rsidRPr="006B1802">
              <w:rPr>
                <w:rFonts w:ascii="Arial Narrow" w:hAnsi="Arial Narrow" w:cs="Arial"/>
                <w:sz w:val="20"/>
                <w:szCs w:val="20"/>
              </w:rPr>
              <w:t>(eGFR</w:t>
            </w:r>
            <w:r w:rsidR="003C3922">
              <w:rPr>
                <w:rFonts w:ascii="Arial Narrow" w:hAnsi="Arial Narrow" w:cs="Arial"/>
                <w:sz w:val="20"/>
                <w:szCs w:val="20"/>
              </w:rPr>
              <w:t xml:space="preserve">) of less than </w:t>
            </w:r>
            <w:r w:rsidR="00EF1C6A" w:rsidRPr="006B1802">
              <w:rPr>
                <w:rFonts w:ascii="Arial Narrow" w:hAnsi="Arial Narrow" w:cs="Arial"/>
                <w:sz w:val="20"/>
                <w:szCs w:val="20"/>
              </w:rPr>
              <w:t>15 mL/min/1.73m</w:t>
            </w:r>
            <w:r w:rsidR="00EF1C6A" w:rsidRPr="006B1802">
              <w:rPr>
                <w:rFonts w:ascii="Arial Narrow" w:hAnsi="Arial Narrow" w:cs="Arial"/>
                <w:sz w:val="20"/>
                <w:szCs w:val="20"/>
                <w:vertAlign w:val="superscript"/>
              </w:rPr>
              <w:t>2</w:t>
            </w:r>
          </w:p>
          <w:p w:rsidR="00C601A3" w:rsidRDefault="00C601A3" w:rsidP="00B93A10">
            <w:pPr>
              <w:spacing w:before="40" w:after="40"/>
              <w:rPr>
                <w:rFonts w:ascii="Arial Narrow" w:hAnsi="Arial Narrow" w:cs="Arial"/>
                <w:sz w:val="20"/>
                <w:szCs w:val="20"/>
              </w:rPr>
            </w:pPr>
          </w:p>
          <w:p w:rsidR="00C601A3" w:rsidRDefault="00D61771" w:rsidP="00B93A10">
            <w:pPr>
              <w:spacing w:before="40" w:after="40"/>
              <w:rPr>
                <w:rFonts w:ascii="Arial Narrow" w:hAnsi="Arial Narrow" w:cs="Arial"/>
                <w:sz w:val="20"/>
                <w:szCs w:val="20"/>
              </w:rPr>
            </w:pPr>
            <w:r>
              <w:rPr>
                <w:rFonts w:ascii="Arial Narrow" w:hAnsi="Arial Narrow" w:cs="Arial"/>
                <w:sz w:val="20"/>
                <w:szCs w:val="20"/>
              </w:rPr>
              <w:t>AND</w:t>
            </w:r>
          </w:p>
          <w:p w:rsidR="00E6051F" w:rsidRDefault="00E6051F" w:rsidP="00B93A10">
            <w:pPr>
              <w:spacing w:before="40" w:after="40"/>
              <w:rPr>
                <w:rFonts w:ascii="Arial Narrow" w:hAnsi="Arial Narrow" w:cs="Arial"/>
                <w:sz w:val="20"/>
                <w:szCs w:val="20"/>
              </w:rPr>
            </w:pPr>
          </w:p>
          <w:p w:rsidR="00EF1C6A" w:rsidRDefault="00067240" w:rsidP="00B93A10">
            <w:pPr>
              <w:spacing w:before="40" w:after="40"/>
              <w:rPr>
                <w:rFonts w:ascii="Arial Narrow" w:hAnsi="Arial Narrow" w:cs="Arial"/>
                <w:sz w:val="20"/>
                <w:szCs w:val="20"/>
              </w:rPr>
            </w:pPr>
            <w:r>
              <w:rPr>
                <w:rFonts w:ascii="Arial Narrow" w:hAnsi="Arial Narrow" w:cs="Arial"/>
                <w:sz w:val="20"/>
                <w:szCs w:val="20"/>
              </w:rPr>
              <w:t>Patient must not have</w:t>
            </w:r>
            <w:r w:rsidR="004C09A2">
              <w:rPr>
                <w:rFonts w:ascii="Arial Narrow" w:hAnsi="Arial Narrow" w:cs="Arial"/>
                <w:sz w:val="20"/>
                <w:szCs w:val="20"/>
              </w:rPr>
              <w:t xml:space="preserve"> had</w:t>
            </w:r>
            <w:r w:rsidR="00EF1C6A" w:rsidRPr="006B1802">
              <w:rPr>
                <w:rFonts w:ascii="Arial Narrow" w:hAnsi="Arial Narrow" w:cs="Arial"/>
                <w:sz w:val="20"/>
                <w:szCs w:val="20"/>
              </w:rPr>
              <w:t xml:space="preserve"> a kidney transplant.</w:t>
            </w:r>
          </w:p>
          <w:p w:rsidR="00855CD2" w:rsidRPr="006B1802" w:rsidRDefault="00855CD2" w:rsidP="00B93A10">
            <w:pPr>
              <w:spacing w:before="40" w:after="40"/>
              <w:rPr>
                <w:rFonts w:ascii="Arial Narrow" w:hAnsi="Arial Narrow" w:cs="Arial"/>
                <w:sz w:val="20"/>
                <w:szCs w:val="20"/>
              </w:rPr>
            </w:pPr>
          </w:p>
        </w:tc>
      </w:tr>
      <w:tr w:rsidR="00EF1C6A" w:rsidRPr="006B1802" w:rsidTr="00EF52C3">
        <w:trPr>
          <w:cantSplit/>
          <w:trHeight w:val="360"/>
        </w:trPr>
        <w:tc>
          <w:tcPr>
            <w:tcW w:w="1043" w:type="pct"/>
            <w:tcBorders>
              <w:top w:val="single" w:sz="4" w:space="0" w:color="auto"/>
              <w:left w:val="single" w:sz="4" w:space="0" w:color="auto"/>
              <w:bottom w:val="single" w:sz="4" w:space="0" w:color="auto"/>
              <w:right w:val="single" w:sz="4" w:space="0" w:color="auto"/>
            </w:tcBorders>
          </w:tcPr>
          <w:p w:rsidR="00EF1C6A" w:rsidRPr="00E20016" w:rsidRDefault="00EF1C6A" w:rsidP="00B93A10">
            <w:pPr>
              <w:spacing w:before="40" w:after="40"/>
              <w:rPr>
                <w:rFonts w:ascii="Arial Narrow" w:hAnsi="Arial Narrow" w:cs="Arial"/>
                <w:sz w:val="20"/>
                <w:szCs w:val="20"/>
              </w:rPr>
            </w:pPr>
            <w:r w:rsidRPr="00E20016">
              <w:rPr>
                <w:rFonts w:ascii="Arial Narrow" w:hAnsi="Arial Narrow" w:cs="Arial"/>
                <w:sz w:val="20"/>
                <w:szCs w:val="20"/>
              </w:rPr>
              <w:t>Caution</w:t>
            </w:r>
          </w:p>
          <w:p w:rsidR="00EF1C6A" w:rsidRPr="006B1802" w:rsidRDefault="00EF1C6A" w:rsidP="00B93A10">
            <w:pPr>
              <w:spacing w:before="40" w:after="40"/>
              <w:rPr>
                <w:rFonts w:ascii="Arial Narrow" w:hAnsi="Arial Narrow" w:cs="Arial"/>
                <w:sz w:val="18"/>
                <w:szCs w:val="20"/>
              </w:rPr>
            </w:pPr>
          </w:p>
        </w:tc>
        <w:tc>
          <w:tcPr>
            <w:tcW w:w="3957" w:type="pct"/>
            <w:gridSpan w:val="7"/>
            <w:tcBorders>
              <w:top w:val="single" w:sz="4" w:space="0" w:color="auto"/>
              <w:left w:val="single" w:sz="4" w:space="0" w:color="auto"/>
              <w:bottom w:val="single" w:sz="4" w:space="0" w:color="auto"/>
              <w:right w:val="single" w:sz="4" w:space="0" w:color="auto"/>
            </w:tcBorders>
          </w:tcPr>
          <w:p w:rsidR="003C11C5" w:rsidRDefault="003C11C5" w:rsidP="00B93A10">
            <w:pPr>
              <w:spacing w:before="40" w:after="40"/>
              <w:rPr>
                <w:rFonts w:ascii="Arial Narrow" w:hAnsi="Arial Narrow" w:cs="Arial"/>
                <w:sz w:val="20"/>
                <w:szCs w:val="20"/>
              </w:rPr>
            </w:pPr>
            <w:r w:rsidRPr="00F873DB">
              <w:rPr>
                <w:rFonts w:ascii="Arial Narrow" w:hAnsi="Arial Narrow" w:cs="Arial"/>
                <w:sz w:val="20"/>
                <w:szCs w:val="20"/>
              </w:rPr>
              <w:t xml:space="preserve">Tolvaptan has been associated with idiosyncratic </w:t>
            </w:r>
            <w:r>
              <w:rPr>
                <w:rFonts w:ascii="Arial Narrow" w:hAnsi="Arial Narrow" w:cs="Arial"/>
                <w:sz w:val="20"/>
                <w:szCs w:val="20"/>
              </w:rPr>
              <w:t>hepatic toxicity</w:t>
            </w:r>
            <w:r w:rsidRPr="00F873DB">
              <w:rPr>
                <w:rFonts w:ascii="Arial Narrow" w:hAnsi="Arial Narrow" w:cs="Arial"/>
                <w:sz w:val="20"/>
                <w:szCs w:val="20"/>
              </w:rPr>
              <w:t>.</w:t>
            </w:r>
            <w:r>
              <w:rPr>
                <w:rFonts w:ascii="Arial Narrow" w:hAnsi="Arial Narrow" w:cs="Arial"/>
                <w:sz w:val="20"/>
                <w:szCs w:val="20"/>
              </w:rPr>
              <w:t xml:space="preserve"> Liver fu</w:t>
            </w:r>
            <w:r w:rsidR="00127672">
              <w:rPr>
                <w:rFonts w:ascii="Arial Narrow" w:hAnsi="Arial Narrow" w:cs="Arial"/>
                <w:sz w:val="20"/>
                <w:szCs w:val="20"/>
              </w:rPr>
              <w:t>nction monitoring is required</w:t>
            </w:r>
            <w:r>
              <w:rPr>
                <w:rFonts w:ascii="Arial Narrow" w:hAnsi="Arial Narrow" w:cs="Arial"/>
                <w:sz w:val="20"/>
                <w:szCs w:val="20"/>
              </w:rPr>
              <w:t>.</w:t>
            </w:r>
          </w:p>
          <w:p w:rsidR="00EF1C6A" w:rsidRPr="006B1802" w:rsidRDefault="00EF1C6A" w:rsidP="00B93A10">
            <w:pPr>
              <w:spacing w:before="40" w:after="40"/>
              <w:rPr>
                <w:rFonts w:ascii="Arial Narrow" w:hAnsi="Arial Narrow" w:cs="Arial"/>
                <w:sz w:val="20"/>
                <w:szCs w:val="20"/>
              </w:rPr>
            </w:pPr>
          </w:p>
        </w:tc>
      </w:tr>
    </w:tbl>
    <w:p w:rsidR="007F6BD3" w:rsidRPr="006B1802" w:rsidRDefault="007F6BD3" w:rsidP="00B93A10">
      <w:pPr>
        <w:rPr>
          <w:lang w:eastAsia="en-US"/>
        </w:rPr>
      </w:pPr>
    </w:p>
    <w:p w:rsidR="00517915" w:rsidRDefault="00517915" w:rsidP="00517915">
      <w:pPr>
        <w:pStyle w:val="PBACHeading1"/>
        <w:keepNext/>
        <w:spacing w:before="240" w:after="120"/>
        <w:ind w:left="709" w:hanging="709"/>
        <w:rPr>
          <w:rFonts w:asciiTheme="minorHAnsi" w:hAnsiTheme="minorHAnsi"/>
        </w:rPr>
      </w:pPr>
      <w:r>
        <w:rPr>
          <w:rFonts w:asciiTheme="minorHAnsi" w:hAnsiTheme="minorHAnsi"/>
          <w:sz w:val="32"/>
          <w:szCs w:val="32"/>
        </w:rPr>
        <w:t>Context for Decision</w:t>
      </w:r>
    </w:p>
    <w:p w:rsidR="00517915" w:rsidRPr="00517915" w:rsidRDefault="00517915" w:rsidP="00517915">
      <w:pPr>
        <w:spacing w:line="276" w:lineRule="auto"/>
        <w:jc w:val="both"/>
        <w:rPr>
          <w:rFonts w:asciiTheme="minorHAnsi" w:eastAsiaTheme="minorHAnsi" w:hAnsiTheme="minorHAnsi" w:cs="Arial"/>
          <w:szCs w:val="22"/>
          <w:lang w:eastAsia="en-US"/>
        </w:rPr>
      </w:pPr>
      <w:r w:rsidRPr="00517915">
        <w:rPr>
          <w:rFonts w:asciiTheme="minorHAnsi" w:eastAsiaTheme="minorHAnsi" w:hAnsi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17915" w:rsidRPr="00517915" w:rsidRDefault="00517915" w:rsidP="00517915">
      <w:pPr>
        <w:pStyle w:val="PBACHeading1"/>
        <w:keepNext/>
        <w:spacing w:before="240" w:after="120"/>
        <w:ind w:left="709" w:hanging="709"/>
        <w:rPr>
          <w:rFonts w:asciiTheme="minorHAnsi" w:hAnsiTheme="minorHAnsi"/>
          <w:sz w:val="32"/>
          <w:szCs w:val="32"/>
        </w:rPr>
      </w:pPr>
      <w:r>
        <w:rPr>
          <w:rFonts w:asciiTheme="minorHAnsi" w:hAnsiTheme="minorHAnsi"/>
          <w:sz w:val="32"/>
          <w:szCs w:val="32"/>
        </w:rPr>
        <w:t xml:space="preserve">Sponsor’s Comment </w:t>
      </w:r>
    </w:p>
    <w:p w:rsidR="004746E3" w:rsidRPr="00C07617" w:rsidRDefault="004746E3" w:rsidP="004746E3">
      <w:pPr>
        <w:spacing w:after="120"/>
        <w:jc w:val="both"/>
        <w:rPr>
          <w:rFonts w:asciiTheme="minorHAnsi" w:hAnsiTheme="minorHAnsi" w:cs="Arial"/>
          <w:bCs/>
        </w:rPr>
      </w:pPr>
      <w:r w:rsidRPr="004746E3">
        <w:rPr>
          <w:rFonts w:asciiTheme="minorHAnsi" w:hAnsiTheme="minorHAnsi" w:cs="Arial"/>
          <w:bCs/>
          <w:lang w:val="en-GB"/>
        </w:rPr>
        <w:t>Otsuka welcomes the PBAC’s positive recommendation and will keep working with the Department of Health to offer a treatment option to ADPKD patients in Australia as soon as possible.</w:t>
      </w:r>
      <w:r w:rsidRPr="004746E3" w:rsidDel="00C71398">
        <w:rPr>
          <w:rFonts w:asciiTheme="minorHAnsi" w:hAnsiTheme="minorHAnsi" w:cs="Arial"/>
          <w:bCs/>
          <w:lang w:val="en-GB"/>
        </w:rPr>
        <w:t xml:space="preserve"> </w:t>
      </w:r>
    </w:p>
    <w:p w:rsidR="0085219E" w:rsidRPr="00517915" w:rsidRDefault="0085219E" w:rsidP="00517915">
      <w:pPr>
        <w:rPr>
          <w:lang w:eastAsia="en-US"/>
        </w:rPr>
      </w:pPr>
    </w:p>
    <w:sectPr w:rsidR="0085219E" w:rsidRPr="00517915" w:rsidSect="00DC7F48">
      <w:headerReference w:type="even" r:id="rId15"/>
      <w:headerReference w:type="default" r:id="rId16"/>
      <w:footerReference w:type="even" r:id="rId17"/>
      <w:footerReference w:type="default" r:id="rId18"/>
      <w:headerReference w:type="first" r:id="rId19"/>
      <w:footerReference w:type="first" r:id="rId20"/>
      <w:pgSz w:w="11906" w:h="16838" w:code="9"/>
      <w:pgMar w:top="1780" w:right="1440" w:bottom="1440" w:left="1440" w:header="1276"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50F6FE" w15:done="0"/>
  <w15:commentEx w15:paraId="49206E40" w15:done="0"/>
  <w15:commentEx w15:paraId="7C327060" w15:done="0"/>
  <w15:commentEx w15:paraId="360E1EFE" w15:done="0"/>
  <w15:commentEx w15:paraId="56C7C386" w15:done="0"/>
  <w15:commentEx w15:paraId="48A4CFEF" w15:done="0"/>
  <w15:commentEx w15:paraId="75C9DF02" w15:paraIdParent="48A4CFEF" w15:done="0"/>
  <w15:commentEx w15:paraId="5C7D521A" w15:done="0"/>
  <w15:commentEx w15:paraId="4EC38B62" w15:done="0"/>
  <w15:commentEx w15:paraId="73E0D120" w15:done="0"/>
  <w15:commentEx w15:paraId="4DA1B309" w15:paraIdParent="73E0D120" w15:done="0"/>
  <w15:commentEx w15:paraId="7023F098" w15:done="0"/>
  <w15:commentEx w15:paraId="2DD1F95F" w15:done="0"/>
  <w15:commentEx w15:paraId="6B58789E" w15:paraIdParent="2DD1F95F" w15:done="0"/>
  <w15:commentEx w15:paraId="069DFFE0" w15:done="0"/>
  <w15:commentEx w15:paraId="766DF1AA" w15:paraIdParent="069DFFE0" w15:done="0"/>
  <w15:commentEx w15:paraId="72DCF6EC" w15:done="0"/>
  <w15:commentEx w15:paraId="21F9B8CB" w15:paraIdParent="72DCF6EC" w15:done="0"/>
  <w15:commentEx w15:paraId="0432FD5F" w15:done="0"/>
  <w15:commentEx w15:paraId="332ECCC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2EA" w:rsidRDefault="00B912EA">
      <w:r>
        <w:separator/>
      </w:r>
    </w:p>
    <w:p w:rsidR="00B912EA" w:rsidRDefault="00B912EA"/>
  </w:endnote>
  <w:endnote w:type="continuationSeparator" w:id="0">
    <w:p w:rsidR="00B912EA" w:rsidRDefault="00B912EA">
      <w:r>
        <w:continuationSeparator/>
      </w:r>
    </w:p>
    <w:p w:rsidR="00B912EA" w:rsidRDefault="00B912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97CB0" w:rsidTr="005A3173">
      <w:trPr>
        <w:trHeight w:val="151"/>
      </w:trPr>
      <w:tc>
        <w:tcPr>
          <w:tcW w:w="2250" w:type="pct"/>
          <w:tcBorders>
            <w:top w:val="nil"/>
            <w:left w:val="nil"/>
            <w:bottom w:val="single" w:sz="4" w:space="0" w:color="4F81BD"/>
            <w:right w:val="nil"/>
          </w:tcBorders>
        </w:tcPr>
        <w:p w:rsidR="00297CB0" w:rsidRPr="005A3173" w:rsidRDefault="00297CB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97CB0" w:rsidRPr="005A3173" w:rsidRDefault="00297CB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97CB0" w:rsidRPr="005A3173" w:rsidRDefault="00297CB0" w:rsidP="005A3173">
          <w:pPr>
            <w:pStyle w:val="Header"/>
            <w:spacing w:line="276" w:lineRule="auto"/>
            <w:rPr>
              <w:rFonts w:ascii="Calibri" w:eastAsia="MS Gothic" w:hAnsi="Calibri"/>
              <w:b/>
              <w:bCs/>
              <w:color w:val="4F81BD"/>
            </w:rPr>
          </w:pPr>
        </w:p>
      </w:tc>
    </w:tr>
    <w:tr w:rsidR="00297CB0" w:rsidTr="005A3173">
      <w:trPr>
        <w:trHeight w:val="150"/>
      </w:trPr>
      <w:tc>
        <w:tcPr>
          <w:tcW w:w="2250" w:type="pct"/>
          <w:tcBorders>
            <w:top w:val="single" w:sz="4" w:space="0" w:color="4F81BD"/>
            <w:left w:val="nil"/>
            <w:bottom w:val="nil"/>
            <w:right w:val="nil"/>
          </w:tcBorders>
        </w:tcPr>
        <w:p w:rsidR="00297CB0" w:rsidRPr="005A3173" w:rsidRDefault="00297CB0" w:rsidP="005A3173">
          <w:pPr>
            <w:pStyle w:val="Header"/>
            <w:spacing w:line="276" w:lineRule="auto"/>
            <w:rPr>
              <w:rFonts w:ascii="Calibri" w:eastAsia="MS Gothic" w:hAnsi="Calibri"/>
              <w:b/>
              <w:bCs/>
              <w:color w:val="4F81BD"/>
            </w:rPr>
          </w:pPr>
        </w:p>
      </w:tc>
      <w:tc>
        <w:tcPr>
          <w:tcW w:w="0" w:type="auto"/>
          <w:vMerge/>
          <w:vAlign w:val="center"/>
          <w:hideMark/>
        </w:tcPr>
        <w:p w:rsidR="00297CB0" w:rsidRPr="005A3173" w:rsidRDefault="00297CB0" w:rsidP="005A3173">
          <w:pPr>
            <w:rPr>
              <w:rFonts w:ascii="Calibri" w:hAnsi="Calibri"/>
              <w:color w:val="365F91"/>
              <w:sz w:val="22"/>
              <w:szCs w:val="22"/>
            </w:rPr>
          </w:pPr>
        </w:p>
      </w:tc>
      <w:tc>
        <w:tcPr>
          <w:tcW w:w="2250" w:type="pct"/>
          <w:tcBorders>
            <w:top w:val="single" w:sz="4" w:space="0" w:color="4F81BD"/>
            <w:left w:val="nil"/>
            <w:bottom w:val="nil"/>
            <w:right w:val="nil"/>
          </w:tcBorders>
        </w:tcPr>
        <w:p w:rsidR="00297CB0" w:rsidRPr="005A3173" w:rsidRDefault="00297CB0" w:rsidP="005A3173">
          <w:pPr>
            <w:pStyle w:val="Header"/>
            <w:spacing w:line="276" w:lineRule="auto"/>
            <w:rPr>
              <w:rFonts w:ascii="Calibri" w:eastAsia="MS Gothic" w:hAnsi="Calibri"/>
              <w:b/>
              <w:bCs/>
              <w:color w:val="4F81BD"/>
            </w:rPr>
          </w:pPr>
        </w:p>
      </w:tc>
    </w:tr>
  </w:tbl>
  <w:p w:rsidR="00297CB0" w:rsidRDefault="00297CB0"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97CB0" w:rsidRDefault="00297CB0">
    <w:pPr>
      <w:pStyle w:val="Footer"/>
    </w:pPr>
  </w:p>
  <w:p w:rsidR="00297CB0" w:rsidRDefault="00297CB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469071"/>
      <w:docPartObj>
        <w:docPartGallery w:val="Page Numbers (Bottom of Page)"/>
        <w:docPartUnique/>
      </w:docPartObj>
    </w:sdtPr>
    <w:sdtEndPr>
      <w:rPr>
        <w:rFonts w:asciiTheme="minorHAnsi" w:hAnsiTheme="minorHAnsi" w:cstheme="minorHAnsi"/>
        <w:noProof/>
      </w:rPr>
    </w:sdtEndPr>
    <w:sdtContent>
      <w:p w:rsidR="00297CB0" w:rsidRPr="006A4D78" w:rsidRDefault="00297CB0">
        <w:pPr>
          <w:pStyle w:val="Footer"/>
          <w:jc w:val="center"/>
          <w:rPr>
            <w:rFonts w:asciiTheme="minorHAnsi" w:hAnsiTheme="minorHAnsi" w:cstheme="minorHAnsi"/>
          </w:rPr>
        </w:pPr>
        <w:r w:rsidRPr="006A4D78">
          <w:rPr>
            <w:rFonts w:asciiTheme="minorHAnsi" w:hAnsiTheme="minorHAnsi" w:cstheme="minorHAnsi"/>
          </w:rPr>
          <w:fldChar w:fldCharType="begin"/>
        </w:r>
        <w:r w:rsidRPr="006A4D78">
          <w:rPr>
            <w:rFonts w:asciiTheme="minorHAnsi" w:hAnsiTheme="minorHAnsi" w:cstheme="minorHAnsi"/>
          </w:rPr>
          <w:instrText xml:space="preserve"> PAGE   \* MERGEFORMAT </w:instrText>
        </w:r>
        <w:r w:rsidRPr="006A4D78">
          <w:rPr>
            <w:rFonts w:asciiTheme="minorHAnsi" w:hAnsiTheme="minorHAnsi" w:cstheme="minorHAnsi"/>
          </w:rPr>
          <w:fldChar w:fldCharType="separate"/>
        </w:r>
        <w:r w:rsidR="00194BE9">
          <w:rPr>
            <w:rFonts w:asciiTheme="minorHAnsi" w:hAnsiTheme="minorHAnsi" w:cstheme="minorHAnsi"/>
            <w:noProof/>
          </w:rPr>
          <w:t>2</w:t>
        </w:r>
        <w:r w:rsidRPr="006A4D78">
          <w:rPr>
            <w:rFonts w:asciiTheme="minorHAnsi" w:hAnsiTheme="minorHAnsi" w:cstheme="minorHAnsi"/>
            <w:noProof/>
          </w:rPr>
          <w:fldChar w:fldCharType="end"/>
        </w:r>
      </w:p>
    </w:sdtContent>
  </w:sdt>
  <w:p w:rsidR="00297CB0" w:rsidRDefault="00297CB0"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297CB0" w:rsidTr="005A3173">
      <w:trPr>
        <w:trHeight w:val="151"/>
      </w:trPr>
      <w:tc>
        <w:tcPr>
          <w:tcW w:w="2250" w:type="pct"/>
          <w:tcBorders>
            <w:top w:val="nil"/>
            <w:left w:val="nil"/>
            <w:bottom w:val="single" w:sz="4" w:space="0" w:color="4F81BD"/>
            <w:right w:val="nil"/>
          </w:tcBorders>
        </w:tcPr>
        <w:p w:rsidR="00297CB0" w:rsidRPr="005A3173" w:rsidRDefault="00297CB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97CB0" w:rsidRPr="005A3173" w:rsidRDefault="00297CB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97CB0" w:rsidRPr="005A3173" w:rsidRDefault="00297CB0" w:rsidP="005A3173">
          <w:pPr>
            <w:pStyle w:val="Header"/>
            <w:spacing w:line="276" w:lineRule="auto"/>
            <w:rPr>
              <w:rFonts w:ascii="Calibri" w:eastAsia="MS Gothic" w:hAnsi="Calibri"/>
              <w:b/>
              <w:bCs/>
              <w:color w:val="4F81BD"/>
            </w:rPr>
          </w:pPr>
        </w:p>
      </w:tc>
    </w:tr>
    <w:tr w:rsidR="00297CB0" w:rsidTr="005A3173">
      <w:trPr>
        <w:trHeight w:val="150"/>
      </w:trPr>
      <w:tc>
        <w:tcPr>
          <w:tcW w:w="2250" w:type="pct"/>
          <w:tcBorders>
            <w:top w:val="single" w:sz="4" w:space="0" w:color="4F81BD"/>
            <w:left w:val="nil"/>
            <w:bottom w:val="nil"/>
            <w:right w:val="nil"/>
          </w:tcBorders>
        </w:tcPr>
        <w:p w:rsidR="00297CB0" w:rsidRPr="005A3173" w:rsidRDefault="00297CB0" w:rsidP="005A3173">
          <w:pPr>
            <w:pStyle w:val="Header"/>
            <w:spacing w:line="276" w:lineRule="auto"/>
            <w:rPr>
              <w:rFonts w:ascii="Calibri" w:eastAsia="MS Gothic" w:hAnsi="Calibri"/>
              <w:b/>
              <w:bCs/>
              <w:color w:val="4F81BD"/>
            </w:rPr>
          </w:pPr>
        </w:p>
      </w:tc>
      <w:tc>
        <w:tcPr>
          <w:tcW w:w="0" w:type="auto"/>
          <w:vMerge/>
          <w:vAlign w:val="center"/>
          <w:hideMark/>
        </w:tcPr>
        <w:p w:rsidR="00297CB0" w:rsidRPr="005A3173" w:rsidRDefault="00297CB0" w:rsidP="005A3173">
          <w:pPr>
            <w:rPr>
              <w:rFonts w:ascii="Calibri" w:hAnsi="Calibri"/>
              <w:color w:val="365F91"/>
              <w:sz w:val="22"/>
              <w:szCs w:val="22"/>
            </w:rPr>
          </w:pPr>
        </w:p>
      </w:tc>
      <w:tc>
        <w:tcPr>
          <w:tcW w:w="2250" w:type="pct"/>
          <w:tcBorders>
            <w:top w:val="single" w:sz="4" w:space="0" w:color="4F81BD"/>
            <w:left w:val="nil"/>
            <w:bottom w:val="nil"/>
            <w:right w:val="nil"/>
          </w:tcBorders>
        </w:tcPr>
        <w:p w:rsidR="00297CB0" w:rsidRPr="005A3173" w:rsidRDefault="00297CB0"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97CB0" w:rsidTr="005A3173">
      <w:trPr>
        <w:trHeight w:val="151"/>
      </w:trPr>
      <w:tc>
        <w:tcPr>
          <w:tcW w:w="2250" w:type="pct"/>
          <w:tcBorders>
            <w:top w:val="nil"/>
            <w:left w:val="nil"/>
            <w:bottom w:val="single" w:sz="4" w:space="0" w:color="4F81BD"/>
            <w:right w:val="nil"/>
          </w:tcBorders>
        </w:tcPr>
        <w:p w:rsidR="00297CB0" w:rsidRPr="005A3173" w:rsidRDefault="00297CB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97CB0" w:rsidRPr="005A3173" w:rsidRDefault="00297CB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97CB0" w:rsidRPr="005A3173" w:rsidRDefault="00297CB0" w:rsidP="005A3173">
          <w:pPr>
            <w:pStyle w:val="Header"/>
            <w:spacing w:line="276" w:lineRule="auto"/>
            <w:rPr>
              <w:rFonts w:ascii="Calibri" w:eastAsia="MS Gothic" w:hAnsi="Calibri"/>
              <w:b/>
              <w:bCs/>
              <w:color w:val="4F81BD"/>
            </w:rPr>
          </w:pPr>
        </w:p>
      </w:tc>
    </w:tr>
    <w:tr w:rsidR="00297CB0" w:rsidTr="005A3173">
      <w:trPr>
        <w:trHeight w:val="150"/>
      </w:trPr>
      <w:tc>
        <w:tcPr>
          <w:tcW w:w="2250" w:type="pct"/>
          <w:tcBorders>
            <w:top w:val="single" w:sz="4" w:space="0" w:color="4F81BD"/>
            <w:left w:val="nil"/>
            <w:bottom w:val="nil"/>
            <w:right w:val="nil"/>
          </w:tcBorders>
        </w:tcPr>
        <w:p w:rsidR="00297CB0" w:rsidRPr="005A3173" w:rsidRDefault="00297CB0" w:rsidP="005A3173">
          <w:pPr>
            <w:pStyle w:val="Header"/>
            <w:spacing w:line="276" w:lineRule="auto"/>
            <w:rPr>
              <w:rFonts w:ascii="Calibri" w:eastAsia="MS Gothic" w:hAnsi="Calibri"/>
              <w:b/>
              <w:bCs/>
              <w:color w:val="4F81BD"/>
            </w:rPr>
          </w:pPr>
        </w:p>
      </w:tc>
      <w:tc>
        <w:tcPr>
          <w:tcW w:w="0" w:type="auto"/>
          <w:vMerge/>
          <w:vAlign w:val="center"/>
          <w:hideMark/>
        </w:tcPr>
        <w:p w:rsidR="00297CB0" w:rsidRPr="005A3173" w:rsidRDefault="00297CB0" w:rsidP="005A3173">
          <w:pPr>
            <w:rPr>
              <w:rFonts w:ascii="Calibri" w:hAnsi="Calibri"/>
              <w:color w:val="365F91"/>
              <w:sz w:val="22"/>
              <w:szCs w:val="22"/>
            </w:rPr>
          </w:pPr>
        </w:p>
      </w:tc>
      <w:tc>
        <w:tcPr>
          <w:tcW w:w="2250" w:type="pct"/>
          <w:tcBorders>
            <w:top w:val="single" w:sz="4" w:space="0" w:color="4F81BD"/>
            <w:left w:val="nil"/>
            <w:bottom w:val="nil"/>
            <w:right w:val="nil"/>
          </w:tcBorders>
        </w:tcPr>
        <w:p w:rsidR="00297CB0" w:rsidRPr="005A3173" w:rsidRDefault="00297CB0" w:rsidP="005A3173">
          <w:pPr>
            <w:pStyle w:val="Header"/>
            <w:spacing w:line="276" w:lineRule="auto"/>
            <w:rPr>
              <w:rFonts w:ascii="Calibri" w:eastAsia="MS Gothic" w:hAnsi="Calibri"/>
              <w:b/>
              <w:bCs/>
              <w:color w:val="4F81BD"/>
            </w:rPr>
          </w:pPr>
        </w:p>
      </w:tc>
    </w:tr>
  </w:tbl>
  <w:p w:rsidR="00297CB0" w:rsidRPr="007C0F57" w:rsidRDefault="00297CB0"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297CB0" w:rsidRPr="007C0F57" w:rsidRDefault="00297CB0" w:rsidP="007C0F57">
    <w:pPr>
      <w:pStyle w:val="Footer"/>
      <w:jc w:val="center"/>
      <w:rPr>
        <w:b/>
        <w:i/>
        <w:sz w:val="20"/>
        <w:szCs w:val="20"/>
      </w:rPr>
    </w:pPr>
    <w:r w:rsidRPr="007C0F57">
      <w:rPr>
        <w:b/>
        <w:i/>
        <w:sz w:val="20"/>
        <w:szCs w:val="20"/>
      </w:rPr>
      <w:t>Commercial-in-Confidence</w:t>
    </w:r>
  </w:p>
  <w:p w:rsidR="00297CB0" w:rsidRDefault="00297CB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2EA" w:rsidRDefault="00B912EA">
      <w:r>
        <w:separator/>
      </w:r>
    </w:p>
    <w:p w:rsidR="00B912EA" w:rsidRDefault="00B912EA"/>
  </w:footnote>
  <w:footnote w:type="continuationSeparator" w:id="0">
    <w:p w:rsidR="00B912EA" w:rsidRDefault="00B912EA">
      <w:r>
        <w:continuationSeparator/>
      </w:r>
    </w:p>
    <w:p w:rsidR="00B912EA" w:rsidRDefault="00B912E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297CB0" w:rsidRPr="008E0D90" w:rsidTr="00A06225">
      <w:trPr>
        <w:trHeight w:val="151"/>
      </w:trPr>
      <w:tc>
        <w:tcPr>
          <w:tcW w:w="2389" w:type="pct"/>
          <w:tcBorders>
            <w:top w:val="nil"/>
            <w:left w:val="nil"/>
            <w:bottom w:val="single" w:sz="4" w:space="0" w:color="4F81BD"/>
            <w:right w:val="nil"/>
          </w:tcBorders>
        </w:tcPr>
        <w:p w:rsidR="00297CB0" w:rsidRPr="00A06225" w:rsidRDefault="00297CB0">
          <w:pPr>
            <w:pStyle w:val="Header"/>
            <w:spacing w:line="276" w:lineRule="auto"/>
            <w:rPr>
              <w:rFonts w:ascii="Cambria" w:eastAsia="MS Gothic" w:hAnsi="Cambria"/>
              <w:b/>
              <w:bCs/>
              <w:color w:val="4F81BD"/>
            </w:rPr>
          </w:pPr>
        </w:p>
      </w:tc>
      <w:tc>
        <w:tcPr>
          <w:tcW w:w="333" w:type="pct"/>
          <w:vMerge w:val="restart"/>
          <w:noWrap/>
          <w:vAlign w:val="center"/>
          <w:hideMark/>
        </w:tcPr>
        <w:p w:rsidR="00297CB0" w:rsidRPr="00A06225" w:rsidRDefault="00297CB0"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297CB0" w:rsidRPr="00A06225" w:rsidRDefault="00297CB0">
          <w:pPr>
            <w:pStyle w:val="Header"/>
            <w:spacing w:line="276" w:lineRule="auto"/>
            <w:rPr>
              <w:rFonts w:ascii="Cambria" w:eastAsia="MS Gothic" w:hAnsi="Cambria"/>
              <w:b/>
              <w:bCs/>
              <w:color w:val="4F81BD"/>
            </w:rPr>
          </w:pPr>
        </w:p>
      </w:tc>
    </w:tr>
    <w:tr w:rsidR="00297CB0" w:rsidRPr="008E0D90" w:rsidTr="00A06225">
      <w:trPr>
        <w:trHeight w:val="150"/>
      </w:trPr>
      <w:tc>
        <w:tcPr>
          <w:tcW w:w="2389" w:type="pct"/>
          <w:tcBorders>
            <w:top w:val="single" w:sz="4" w:space="0" w:color="4F81BD"/>
            <w:left w:val="nil"/>
            <w:bottom w:val="nil"/>
            <w:right w:val="nil"/>
          </w:tcBorders>
        </w:tcPr>
        <w:p w:rsidR="00297CB0" w:rsidRPr="00A06225" w:rsidRDefault="00297CB0">
          <w:pPr>
            <w:pStyle w:val="Header"/>
            <w:spacing w:line="276" w:lineRule="auto"/>
            <w:rPr>
              <w:rFonts w:ascii="Cambria" w:eastAsia="MS Gothic" w:hAnsi="Cambria"/>
              <w:b/>
              <w:bCs/>
              <w:color w:val="4F81BD"/>
            </w:rPr>
          </w:pPr>
        </w:p>
      </w:tc>
      <w:tc>
        <w:tcPr>
          <w:tcW w:w="0" w:type="auto"/>
          <w:vMerge/>
          <w:vAlign w:val="center"/>
          <w:hideMark/>
        </w:tcPr>
        <w:p w:rsidR="00297CB0" w:rsidRPr="00A06225" w:rsidRDefault="00297CB0">
          <w:pPr>
            <w:rPr>
              <w:rFonts w:ascii="Cambria" w:hAnsi="Cambria"/>
              <w:color w:val="4F81BD"/>
              <w:sz w:val="22"/>
              <w:szCs w:val="22"/>
            </w:rPr>
          </w:pPr>
        </w:p>
      </w:tc>
      <w:tc>
        <w:tcPr>
          <w:tcW w:w="2278" w:type="pct"/>
          <w:tcBorders>
            <w:top w:val="single" w:sz="4" w:space="0" w:color="4F81BD"/>
            <w:left w:val="nil"/>
            <w:bottom w:val="nil"/>
            <w:right w:val="nil"/>
          </w:tcBorders>
        </w:tcPr>
        <w:p w:rsidR="00297CB0" w:rsidRPr="00A06225" w:rsidRDefault="00297CB0">
          <w:pPr>
            <w:pStyle w:val="Header"/>
            <w:spacing w:line="276" w:lineRule="auto"/>
            <w:rPr>
              <w:rFonts w:ascii="Cambria" w:eastAsia="MS Gothic" w:hAnsi="Cambria"/>
              <w:b/>
              <w:bCs/>
              <w:color w:val="4F81BD"/>
            </w:rPr>
          </w:pPr>
        </w:p>
      </w:tc>
    </w:tr>
  </w:tbl>
  <w:p w:rsidR="00297CB0" w:rsidRDefault="00297CB0">
    <w:pPr>
      <w:pStyle w:val="Header"/>
    </w:pPr>
  </w:p>
  <w:p w:rsidR="00297CB0" w:rsidRDefault="00297CB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CB0" w:rsidRPr="00517915" w:rsidRDefault="00297CB0" w:rsidP="00517915">
    <w:pPr>
      <w:tabs>
        <w:tab w:val="center" w:pos="4513"/>
        <w:tab w:val="right" w:pos="9026"/>
      </w:tabs>
      <w:jc w:val="center"/>
      <w:rPr>
        <w:rFonts w:asciiTheme="minorHAnsi" w:eastAsiaTheme="minorHAnsi" w:hAnsiTheme="minorHAnsi" w:cstheme="minorHAnsi"/>
        <w:i/>
        <w:color w:val="808080"/>
        <w:sz w:val="22"/>
        <w:szCs w:val="22"/>
        <w:lang w:eastAsia="en-US"/>
      </w:rPr>
    </w:pPr>
    <w:r w:rsidRPr="00517915">
      <w:rPr>
        <w:rFonts w:asciiTheme="minorHAnsi" w:eastAsiaTheme="minorHAnsi" w:hAnsiTheme="minorHAnsi" w:cstheme="minorHAnsi"/>
        <w:i/>
        <w:color w:val="808080"/>
        <w:sz w:val="22"/>
        <w:szCs w:val="22"/>
        <w:lang w:eastAsia="en-US"/>
      </w:rPr>
      <w:t xml:space="preserve">Public Summary Document – </w:t>
    </w:r>
    <w:r>
      <w:rPr>
        <w:rFonts w:asciiTheme="minorHAnsi" w:eastAsiaTheme="minorHAnsi" w:hAnsiTheme="minorHAnsi" w:cstheme="minorHAnsi"/>
        <w:i/>
        <w:color w:val="808080"/>
        <w:sz w:val="22"/>
        <w:szCs w:val="22"/>
        <w:lang w:eastAsia="en-US"/>
      </w:rPr>
      <w:t>July 2018</w:t>
    </w:r>
    <w:r w:rsidRPr="00517915">
      <w:rPr>
        <w:rFonts w:asciiTheme="minorHAnsi" w:eastAsiaTheme="minorHAnsi" w:hAnsiTheme="minorHAnsi" w:cstheme="minorHAnsi"/>
        <w:i/>
        <w:color w:val="808080"/>
        <w:sz w:val="22"/>
        <w:szCs w:val="22"/>
        <w:lang w:eastAsia="en-US"/>
      </w:rPr>
      <w:t xml:space="preserve"> PBAC Meeting</w:t>
    </w:r>
  </w:p>
  <w:p w:rsidR="00297CB0" w:rsidRDefault="00297CB0"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2EA" w:rsidRDefault="00B912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36700E8"/>
    <w:multiLevelType w:val="hybridMultilevel"/>
    <w:tmpl w:val="A642C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2A3EF4"/>
    <w:multiLevelType w:val="hybridMultilevel"/>
    <w:tmpl w:val="EB6C2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B7C34E2"/>
    <w:multiLevelType w:val="hybridMultilevel"/>
    <w:tmpl w:val="64C2F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506D1FAF"/>
    <w:multiLevelType w:val="hybridMultilevel"/>
    <w:tmpl w:val="B8EA6C32"/>
    <w:lvl w:ilvl="0" w:tplc="65BEAA0A">
      <w:start w:val="1"/>
      <w:numFmt w:val="decimal"/>
      <w:lvlText w:val="%1)"/>
      <w:lvlJc w:val="left"/>
      <w:pPr>
        <w:ind w:left="1140" w:hanging="360"/>
      </w:pPr>
      <w:rPr>
        <w:rFonts w:hint="default"/>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abstractNum w:abstractNumId="19">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C752F44"/>
    <w:multiLevelType w:val="hybridMultilevel"/>
    <w:tmpl w:val="E70C344C"/>
    <w:lvl w:ilvl="0" w:tplc="0C09000F">
      <w:start w:val="1"/>
      <w:numFmt w:val="decimal"/>
      <w:lvlText w:val="%1."/>
      <w:lvlJc w:val="left"/>
      <w:pPr>
        <w:ind w:left="1490" w:hanging="360"/>
      </w:pPr>
    </w:lvl>
    <w:lvl w:ilvl="1" w:tplc="0C090019" w:tentative="1">
      <w:start w:val="1"/>
      <w:numFmt w:val="lowerLetter"/>
      <w:lvlText w:val="%2."/>
      <w:lvlJc w:val="left"/>
      <w:pPr>
        <w:ind w:left="2210" w:hanging="360"/>
      </w:pPr>
    </w:lvl>
    <w:lvl w:ilvl="2" w:tplc="0C09001B" w:tentative="1">
      <w:start w:val="1"/>
      <w:numFmt w:val="lowerRoman"/>
      <w:lvlText w:val="%3."/>
      <w:lvlJc w:val="right"/>
      <w:pPr>
        <w:ind w:left="2930" w:hanging="180"/>
      </w:pPr>
    </w:lvl>
    <w:lvl w:ilvl="3" w:tplc="0C09000F" w:tentative="1">
      <w:start w:val="1"/>
      <w:numFmt w:val="decimal"/>
      <w:lvlText w:val="%4."/>
      <w:lvlJc w:val="left"/>
      <w:pPr>
        <w:ind w:left="3650" w:hanging="360"/>
      </w:pPr>
    </w:lvl>
    <w:lvl w:ilvl="4" w:tplc="0C090019" w:tentative="1">
      <w:start w:val="1"/>
      <w:numFmt w:val="lowerLetter"/>
      <w:lvlText w:val="%5."/>
      <w:lvlJc w:val="left"/>
      <w:pPr>
        <w:ind w:left="4370" w:hanging="360"/>
      </w:pPr>
    </w:lvl>
    <w:lvl w:ilvl="5" w:tplc="0C09001B" w:tentative="1">
      <w:start w:val="1"/>
      <w:numFmt w:val="lowerRoman"/>
      <w:lvlText w:val="%6."/>
      <w:lvlJc w:val="right"/>
      <w:pPr>
        <w:ind w:left="5090" w:hanging="180"/>
      </w:pPr>
    </w:lvl>
    <w:lvl w:ilvl="6" w:tplc="0C09000F" w:tentative="1">
      <w:start w:val="1"/>
      <w:numFmt w:val="decimal"/>
      <w:lvlText w:val="%7."/>
      <w:lvlJc w:val="left"/>
      <w:pPr>
        <w:ind w:left="5810" w:hanging="360"/>
      </w:pPr>
    </w:lvl>
    <w:lvl w:ilvl="7" w:tplc="0C090019" w:tentative="1">
      <w:start w:val="1"/>
      <w:numFmt w:val="lowerLetter"/>
      <w:lvlText w:val="%8."/>
      <w:lvlJc w:val="left"/>
      <w:pPr>
        <w:ind w:left="6530" w:hanging="360"/>
      </w:pPr>
    </w:lvl>
    <w:lvl w:ilvl="8" w:tplc="0C09001B" w:tentative="1">
      <w:start w:val="1"/>
      <w:numFmt w:val="lowerRoman"/>
      <w:lvlText w:val="%9."/>
      <w:lvlJc w:val="right"/>
      <w:pPr>
        <w:ind w:left="7250" w:hanging="180"/>
      </w:pPr>
    </w:lvl>
  </w:abstractNum>
  <w:abstractNum w:abstractNumId="22">
    <w:nsid w:val="66186639"/>
    <w:multiLevelType w:val="hybridMultilevel"/>
    <w:tmpl w:val="B64AD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8CC275D"/>
    <w:multiLevelType w:val="multilevel"/>
    <w:tmpl w:val="9142077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6ECD7D1D"/>
    <w:multiLevelType w:val="hybridMultilevel"/>
    <w:tmpl w:val="EF1EE2A6"/>
    <w:lvl w:ilvl="0" w:tplc="8B0E0F6A">
      <w:start w:val="1"/>
      <w:numFmt w:val="decimal"/>
      <w:lvlText w:val="%1."/>
      <w:lvlJc w:val="left"/>
      <w:pPr>
        <w:ind w:left="720" w:hanging="360"/>
      </w:pPr>
      <w:rPr>
        <w:rFonts w:asciiTheme="minorHAnsi" w:hAnsiTheme="minorHAnsi"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77B534BB"/>
    <w:multiLevelType w:val="hybridMultilevel"/>
    <w:tmpl w:val="F224F0DE"/>
    <w:lvl w:ilvl="0" w:tplc="6A98A3A8">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84D033C"/>
    <w:multiLevelType w:val="multilevel"/>
    <w:tmpl w:val="90569790"/>
    <w:lvl w:ilvl="0">
      <w:start w:val="1"/>
      <w:numFmt w:val="decimal"/>
      <w:pStyle w:val="PBACHeading1"/>
      <w:lvlText w:val="%1"/>
      <w:lvlJc w:val="left"/>
      <w:pPr>
        <w:ind w:left="720" w:hanging="720"/>
      </w:pPr>
      <w:rPr>
        <w:rFonts w:hint="default"/>
        <w:b/>
        <w:sz w:val="32"/>
        <w:szCs w:val="32"/>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3"/>
  </w:num>
  <w:num w:numId="3">
    <w:abstractNumId w:val="6"/>
  </w:num>
  <w:num w:numId="4">
    <w:abstractNumId w:val="17"/>
  </w:num>
  <w:num w:numId="5">
    <w:abstractNumId w:val="26"/>
  </w:num>
  <w:num w:numId="6">
    <w:abstractNumId w:val="8"/>
  </w:num>
  <w:num w:numId="7">
    <w:abstractNumId w:val="15"/>
  </w:num>
  <w:num w:numId="8">
    <w:abstractNumId w:val="4"/>
  </w:num>
  <w:num w:numId="9">
    <w:abstractNumId w:val="14"/>
  </w:num>
  <w:num w:numId="10">
    <w:abstractNumId w:val="13"/>
  </w:num>
  <w:num w:numId="11">
    <w:abstractNumId w:val="12"/>
  </w:num>
  <w:num w:numId="12">
    <w:abstractNumId w:val="1"/>
  </w:num>
  <w:num w:numId="13">
    <w:abstractNumId w:val="0"/>
  </w:num>
  <w:num w:numId="14">
    <w:abstractNumId w:val="26"/>
  </w:num>
  <w:num w:numId="15">
    <w:abstractNumId w:val="16"/>
  </w:num>
  <w:num w:numId="16">
    <w:abstractNumId w:val="7"/>
  </w:num>
  <w:num w:numId="17">
    <w:abstractNumId w:val="21"/>
  </w:num>
  <w:num w:numId="18">
    <w:abstractNumId w:val="18"/>
  </w:num>
  <w:num w:numId="19">
    <w:abstractNumId w:val="24"/>
  </w:num>
  <w:num w:numId="20">
    <w:abstractNumId w:val="22"/>
  </w:num>
  <w:num w:numId="21">
    <w:abstractNumId w:val="23"/>
  </w:num>
  <w:num w:numId="22">
    <w:abstractNumId w:val="9"/>
  </w:num>
  <w:num w:numId="23">
    <w:abstractNumId w:val="25"/>
  </w:num>
  <w:num w:numId="24">
    <w:abstractNumId w:val="5"/>
  </w:num>
  <w:num w:numId="25">
    <w:abstractNumId w:val="2"/>
  </w:num>
  <w:num w:numId="26">
    <w:abstractNumId w:val="11"/>
  </w:num>
  <w:num w:numId="27">
    <w:abstractNumId w:val="19"/>
  </w:num>
  <w:num w:numId="28">
    <w:abstractNumId w:val="20"/>
  </w:num>
  <w:num w:numId="29">
    <w:abstractNumId w:val="26"/>
  </w:num>
  <w:num w:numId="30">
    <w:abstractNumId w:val="26"/>
  </w:num>
  <w:num w:numId="31">
    <w:abstractNumId w:val="26"/>
  </w:num>
  <w:num w:numId="32">
    <w:abstractNumId w:val="26"/>
  </w:num>
  <w:num w:numId="33">
    <w:abstractNumId w:val="26"/>
  </w:num>
  <w:num w:numId="34">
    <w:abstractNumId w:val="26"/>
  </w:num>
  <w:num w:numId="35">
    <w:abstractNumId w:val="26"/>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ielle Lang">
    <w15:presenceInfo w15:providerId="AD" w15:userId="S-1-5-21-1451058757-1749049392-1947940980-40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1AF1"/>
    <w:rsid w:val="000025AD"/>
    <w:rsid w:val="0000335D"/>
    <w:rsid w:val="00005DD7"/>
    <w:rsid w:val="00007C32"/>
    <w:rsid w:val="00013AC2"/>
    <w:rsid w:val="00014A1F"/>
    <w:rsid w:val="0001500E"/>
    <w:rsid w:val="00022FE3"/>
    <w:rsid w:val="000238EF"/>
    <w:rsid w:val="0002464A"/>
    <w:rsid w:val="0003106B"/>
    <w:rsid w:val="000325AF"/>
    <w:rsid w:val="000421A1"/>
    <w:rsid w:val="0004240E"/>
    <w:rsid w:val="00045E26"/>
    <w:rsid w:val="000514B5"/>
    <w:rsid w:val="00060E64"/>
    <w:rsid w:val="00066755"/>
    <w:rsid w:val="00067240"/>
    <w:rsid w:val="0007092F"/>
    <w:rsid w:val="000751C2"/>
    <w:rsid w:val="00076C0F"/>
    <w:rsid w:val="00077143"/>
    <w:rsid w:val="00082169"/>
    <w:rsid w:val="0008323D"/>
    <w:rsid w:val="000969AD"/>
    <w:rsid w:val="000A3937"/>
    <w:rsid w:val="000B558D"/>
    <w:rsid w:val="000C6996"/>
    <w:rsid w:val="000D23BA"/>
    <w:rsid w:val="000E681E"/>
    <w:rsid w:val="000E766E"/>
    <w:rsid w:val="000F0003"/>
    <w:rsid w:val="000F4E6A"/>
    <w:rsid w:val="000F66CB"/>
    <w:rsid w:val="000F7B68"/>
    <w:rsid w:val="00101840"/>
    <w:rsid w:val="00104227"/>
    <w:rsid w:val="001042AC"/>
    <w:rsid w:val="00104F2A"/>
    <w:rsid w:val="001107BF"/>
    <w:rsid w:val="00111C90"/>
    <w:rsid w:val="001127B1"/>
    <w:rsid w:val="001206F4"/>
    <w:rsid w:val="0012417C"/>
    <w:rsid w:val="00127672"/>
    <w:rsid w:val="001326D4"/>
    <w:rsid w:val="00137E2A"/>
    <w:rsid w:val="00142395"/>
    <w:rsid w:val="00142714"/>
    <w:rsid w:val="001452ED"/>
    <w:rsid w:val="0014764A"/>
    <w:rsid w:val="0015099D"/>
    <w:rsid w:val="00152F93"/>
    <w:rsid w:val="001533A5"/>
    <w:rsid w:val="00163329"/>
    <w:rsid w:val="001638C8"/>
    <w:rsid w:val="00164623"/>
    <w:rsid w:val="00165B64"/>
    <w:rsid w:val="00174DFE"/>
    <w:rsid w:val="00180713"/>
    <w:rsid w:val="001830CE"/>
    <w:rsid w:val="0018643B"/>
    <w:rsid w:val="00194BE9"/>
    <w:rsid w:val="00196307"/>
    <w:rsid w:val="001A33EA"/>
    <w:rsid w:val="001B017F"/>
    <w:rsid w:val="001B2BBC"/>
    <w:rsid w:val="001B5129"/>
    <w:rsid w:val="001B6DA3"/>
    <w:rsid w:val="001C1195"/>
    <w:rsid w:val="001D0C83"/>
    <w:rsid w:val="001E0660"/>
    <w:rsid w:val="001F1763"/>
    <w:rsid w:val="001F1850"/>
    <w:rsid w:val="0020039E"/>
    <w:rsid w:val="0020390C"/>
    <w:rsid w:val="00203FAC"/>
    <w:rsid w:val="00213CFB"/>
    <w:rsid w:val="00217BE1"/>
    <w:rsid w:val="00220736"/>
    <w:rsid w:val="002302AA"/>
    <w:rsid w:val="00230EBA"/>
    <w:rsid w:val="00234A3C"/>
    <w:rsid w:val="00247145"/>
    <w:rsid w:val="002501F6"/>
    <w:rsid w:val="0025521E"/>
    <w:rsid w:val="00271BA1"/>
    <w:rsid w:val="002762FA"/>
    <w:rsid w:val="00277505"/>
    <w:rsid w:val="00277ADD"/>
    <w:rsid w:val="002836DB"/>
    <w:rsid w:val="00287B21"/>
    <w:rsid w:val="0029458F"/>
    <w:rsid w:val="002946D4"/>
    <w:rsid w:val="00294C7B"/>
    <w:rsid w:val="00297B37"/>
    <w:rsid w:val="00297CB0"/>
    <w:rsid w:val="002A0ECC"/>
    <w:rsid w:val="002A104C"/>
    <w:rsid w:val="002A3811"/>
    <w:rsid w:val="002A4960"/>
    <w:rsid w:val="002B1AE6"/>
    <w:rsid w:val="002B2DE8"/>
    <w:rsid w:val="002B30F8"/>
    <w:rsid w:val="002B3B49"/>
    <w:rsid w:val="002B5596"/>
    <w:rsid w:val="002C212F"/>
    <w:rsid w:val="002C2563"/>
    <w:rsid w:val="002D4543"/>
    <w:rsid w:val="002E28FA"/>
    <w:rsid w:val="002E3153"/>
    <w:rsid w:val="002E353A"/>
    <w:rsid w:val="002E5197"/>
    <w:rsid w:val="002E72CA"/>
    <w:rsid w:val="002F015F"/>
    <w:rsid w:val="002F600D"/>
    <w:rsid w:val="00300AD6"/>
    <w:rsid w:val="00317C6C"/>
    <w:rsid w:val="00323D90"/>
    <w:rsid w:val="003248B4"/>
    <w:rsid w:val="00326E79"/>
    <w:rsid w:val="0033518A"/>
    <w:rsid w:val="003367EF"/>
    <w:rsid w:val="00341AE4"/>
    <w:rsid w:val="00351415"/>
    <w:rsid w:val="003576DB"/>
    <w:rsid w:val="00361ADC"/>
    <w:rsid w:val="003641D8"/>
    <w:rsid w:val="00366729"/>
    <w:rsid w:val="003669F5"/>
    <w:rsid w:val="00373867"/>
    <w:rsid w:val="003851C8"/>
    <w:rsid w:val="003872CF"/>
    <w:rsid w:val="0039186A"/>
    <w:rsid w:val="0039366D"/>
    <w:rsid w:val="0039782C"/>
    <w:rsid w:val="003A5B4A"/>
    <w:rsid w:val="003B23C5"/>
    <w:rsid w:val="003B2A75"/>
    <w:rsid w:val="003B34A4"/>
    <w:rsid w:val="003B6124"/>
    <w:rsid w:val="003C11C5"/>
    <w:rsid w:val="003C2FB5"/>
    <w:rsid w:val="003C3869"/>
    <w:rsid w:val="003C3922"/>
    <w:rsid w:val="003D29BC"/>
    <w:rsid w:val="003D4AC4"/>
    <w:rsid w:val="003D63B7"/>
    <w:rsid w:val="003E1A7D"/>
    <w:rsid w:val="003E2FEA"/>
    <w:rsid w:val="003E468B"/>
    <w:rsid w:val="003F0EB9"/>
    <w:rsid w:val="003F3228"/>
    <w:rsid w:val="003F5C8C"/>
    <w:rsid w:val="003F754F"/>
    <w:rsid w:val="003F7AA9"/>
    <w:rsid w:val="00400973"/>
    <w:rsid w:val="00406E6A"/>
    <w:rsid w:val="00414990"/>
    <w:rsid w:val="00420B5C"/>
    <w:rsid w:val="004252EC"/>
    <w:rsid w:val="0043640A"/>
    <w:rsid w:val="004465BD"/>
    <w:rsid w:val="00466ADA"/>
    <w:rsid w:val="00473C0C"/>
    <w:rsid w:val="004746E3"/>
    <w:rsid w:val="00476245"/>
    <w:rsid w:val="00482D49"/>
    <w:rsid w:val="00483035"/>
    <w:rsid w:val="0048482A"/>
    <w:rsid w:val="0048521A"/>
    <w:rsid w:val="00485396"/>
    <w:rsid w:val="00485940"/>
    <w:rsid w:val="004A2484"/>
    <w:rsid w:val="004A5522"/>
    <w:rsid w:val="004A5A85"/>
    <w:rsid w:val="004A71D1"/>
    <w:rsid w:val="004A7C9E"/>
    <w:rsid w:val="004B2BE9"/>
    <w:rsid w:val="004B5640"/>
    <w:rsid w:val="004C09A2"/>
    <w:rsid w:val="004C1766"/>
    <w:rsid w:val="004C1BD7"/>
    <w:rsid w:val="004C31FE"/>
    <w:rsid w:val="004C41B8"/>
    <w:rsid w:val="004C691D"/>
    <w:rsid w:val="004C6C07"/>
    <w:rsid w:val="004C7CFC"/>
    <w:rsid w:val="004D1D5B"/>
    <w:rsid w:val="004D419B"/>
    <w:rsid w:val="004D6F76"/>
    <w:rsid w:val="004E3285"/>
    <w:rsid w:val="004E692D"/>
    <w:rsid w:val="004F45D9"/>
    <w:rsid w:val="00501554"/>
    <w:rsid w:val="0051093E"/>
    <w:rsid w:val="00513D8A"/>
    <w:rsid w:val="00514CD7"/>
    <w:rsid w:val="00517915"/>
    <w:rsid w:val="00517A78"/>
    <w:rsid w:val="00525DE6"/>
    <w:rsid w:val="00531402"/>
    <w:rsid w:val="0053165D"/>
    <w:rsid w:val="005319B2"/>
    <w:rsid w:val="00532402"/>
    <w:rsid w:val="00532C74"/>
    <w:rsid w:val="00534E2E"/>
    <w:rsid w:val="00540BFF"/>
    <w:rsid w:val="00544552"/>
    <w:rsid w:val="005549A7"/>
    <w:rsid w:val="0056324B"/>
    <w:rsid w:val="00564AAD"/>
    <w:rsid w:val="00566BCE"/>
    <w:rsid w:val="0057744F"/>
    <w:rsid w:val="00577C4D"/>
    <w:rsid w:val="00581932"/>
    <w:rsid w:val="00583AF4"/>
    <w:rsid w:val="005909CB"/>
    <w:rsid w:val="005917FC"/>
    <w:rsid w:val="005963BB"/>
    <w:rsid w:val="00596907"/>
    <w:rsid w:val="005A3173"/>
    <w:rsid w:val="005A3223"/>
    <w:rsid w:val="005A3DA3"/>
    <w:rsid w:val="005A52C4"/>
    <w:rsid w:val="005D03AB"/>
    <w:rsid w:val="005D24DE"/>
    <w:rsid w:val="005D5017"/>
    <w:rsid w:val="005E0AAC"/>
    <w:rsid w:val="005E1333"/>
    <w:rsid w:val="005F4016"/>
    <w:rsid w:val="00601A91"/>
    <w:rsid w:val="00602BA3"/>
    <w:rsid w:val="00612E34"/>
    <w:rsid w:val="00613578"/>
    <w:rsid w:val="00614060"/>
    <w:rsid w:val="00614159"/>
    <w:rsid w:val="00617C00"/>
    <w:rsid w:val="006206E2"/>
    <w:rsid w:val="00621175"/>
    <w:rsid w:val="006263BF"/>
    <w:rsid w:val="0062748A"/>
    <w:rsid w:val="00630A2C"/>
    <w:rsid w:val="00632D92"/>
    <w:rsid w:val="00632DA5"/>
    <w:rsid w:val="00633C45"/>
    <w:rsid w:val="0063682E"/>
    <w:rsid w:val="006436CD"/>
    <w:rsid w:val="006509F6"/>
    <w:rsid w:val="00651169"/>
    <w:rsid w:val="00651ABE"/>
    <w:rsid w:val="00653D69"/>
    <w:rsid w:val="00656FAA"/>
    <w:rsid w:val="006628DD"/>
    <w:rsid w:val="006670BE"/>
    <w:rsid w:val="00670A76"/>
    <w:rsid w:val="006711AA"/>
    <w:rsid w:val="00672B57"/>
    <w:rsid w:val="00675622"/>
    <w:rsid w:val="0067747D"/>
    <w:rsid w:val="006906DB"/>
    <w:rsid w:val="00691E6C"/>
    <w:rsid w:val="00692293"/>
    <w:rsid w:val="00696129"/>
    <w:rsid w:val="00697CF2"/>
    <w:rsid w:val="006A12A5"/>
    <w:rsid w:val="006A4D78"/>
    <w:rsid w:val="006B0D94"/>
    <w:rsid w:val="006B1802"/>
    <w:rsid w:val="006B485D"/>
    <w:rsid w:val="006C0543"/>
    <w:rsid w:val="006C708E"/>
    <w:rsid w:val="006D14E7"/>
    <w:rsid w:val="006D6493"/>
    <w:rsid w:val="006D6EC7"/>
    <w:rsid w:val="006E1BC6"/>
    <w:rsid w:val="006F02C7"/>
    <w:rsid w:val="006F5125"/>
    <w:rsid w:val="00702B6F"/>
    <w:rsid w:val="007068AA"/>
    <w:rsid w:val="0071340B"/>
    <w:rsid w:val="007174BB"/>
    <w:rsid w:val="0072025D"/>
    <w:rsid w:val="00733CE7"/>
    <w:rsid w:val="007353D3"/>
    <w:rsid w:val="007357C1"/>
    <w:rsid w:val="007434D1"/>
    <w:rsid w:val="00752C72"/>
    <w:rsid w:val="00754BB7"/>
    <w:rsid w:val="00756117"/>
    <w:rsid w:val="0076420C"/>
    <w:rsid w:val="007753C2"/>
    <w:rsid w:val="0077737C"/>
    <w:rsid w:val="00782189"/>
    <w:rsid w:val="007838B8"/>
    <w:rsid w:val="00784A96"/>
    <w:rsid w:val="00797E9C"/>
    <w:rsid w:val="007A3559"/>
    <w:rsid w:val="007A509B"/>
    <w:rsid w:val="007B05B6"/>
    <w:rsid w:val="007B2676"/>
    <w:rsid w:val="007C0F57"/>
    <w:rsid w:val="007C40B6"/>
    <w:rsid w:val="007C5CDA"/>
    <w:rsid w:val="007C6642"/>
    <w:rsid w:val="007C729F"/>
    <w:rsid w:val="007E1D28"/>
    <w:rsid w:val="007F05EE"/>
    <w:rsid w:val="007F2641"/>
    <w:rsid w:val="007F55C1"/>
    <w:rsid w:val="007F6BD3"/>
    <w:rsid w:val="007F7C36"/>
    <w:rsid w:val="0080214C"/>
    <w:rsid w:val="0080276B"/>
    <w:rsid w:val="00806796"/>
    <w:rsid w:val="0081050B"/>
    <w:rsid w:val="008151D6"/>
    <w:rsid w:val="00823139"/>
    <w:rsid w:val="00826F6D"/>
    <w:rsid w:val="008306F3"/>
    <w:rsid w:val="00830CA8"/>
    <w:rsid w:val="00836932"/>
    <w:rsid w:val="008400FE"/>
    <w:rsid w:val="00841C87"/>
    <w:rsid w:val="00842332"/>
    <w:rsid w:val="0085219E"/>
    <w:rsid w:val="008551C4"/>
    <w:rsid w:val="0085550A"/>
    <w:rsid w:val="00855CD2"/>
    <w:rsid w:val="00856DDD"/>
    <w:rsid w:val="00861441"/>
    <w:rsid w:val="00861C33"/>
    <w:rsid w:val="00863E68"/>
    <w:rsid w:val="0087107C"/>
    <w:rsid w:val="00873F42"/>
    <w:rsid w:val="00882085"/>
    <w:rsid w:val="00883188"/>
    <w:rsid w:val="008951BB"/>
    <w:rsid w:val="00897D58"/>
    <w:rsid w:val="00897F22"/>
    <w:rsid w:val="008A1956"/>
    <w:rsid w:val="008A4937"/>
    <w:rsid w:val="008A50F1"/>
    <w:rsid w:val="008D1B5C"/>
    <w:rsid w:val="008D276F"/>
    <w:rsid w:val="008D3C82"/>
    <w:rsid w:val="008D447E"/>
    <w:rsid w:val="008D7A41"/>
    <w:rsid w:val="008E1146"/>
    <w:rsid w:val="008E3680"/>
    <w:rsid w:val="008E5870"/>
    <w:rsid w:val="008F1434"/>
    <w:rsid w:val="008F597D"/>
    <w:rsid w:val="008F7355"/>
    <w:rsid w:val="009067B7"/>
    <w:rsid w:val="009154DF"/>
    <w:rsid w:val="00917934"/>
    <w:rsid w:val="00920E7E"/>
    <w:rsid w:val="00923714"/>
    <w:rsid w:val="00930937"/>
    <w:rsid w:val="0093100C"/>
    <w:rsid w:val="00932294"/>
    <w:rsid w:val="009322AC"/>
    <w:rsid w:val="00933E6C"/>
    <w:rsid w:val="00935768"/>
    <w:rsid w:val="00937958"/>
    <w:rsid w:val="00941516"/>
    <w:rsid w:val="00942160"/>
    <w:rsid w:val="0095146F"/>
    <w:rsid w:val="009549F7"/>
    <w:rsid w:val="009602C5"/>
    <w:rsid w:val="00962223"/>
    <w:rsid w:val="00966D0D"/>
    <w:rsid w:val="00973B29"/>
    <w:rsid w:val="00974C21"/>
    <w:rsid w:val="00986CCE"/>
    <w:rsid w:val="009873A4"/>
    <w:rsid w:val="00990F35"/>
    <w:rsid w:val="00993FD4"/>
    <w:rsid w:val="009A4970"/>
    <w:rsid w:val="009A4AF8"/>
    <w:rsid w:val="009B0F67"/>
    <w:rsid w:val="009C703C"/>
    <w:rsid w:val="009D37F9"/>
    <w:rsid w:val="009D3CAA"/>
    <w:rsid w:val="009D4FC4"/>
    <w:rsid w:val="009D7C48"/>
    <w:rsid w:val="009E40E1"/>
    <w:rsid w:val="009E4680"/>
    <w:rsid w:val="009F4E46"/>
    <w:rsid w:val="009F5B65"/>
    <w:rsid w:val="009F5F2E"/>
    <w:rsid w:val="00A06225"/>
    <w:rsid w:val="00A128E6"/>
    <w:rsid w:val="00A2326B"/>
    <w:rsid w:val="00A23771"/>
    <w:rsid w:val="00A34E6C"/>
    <w:rsid w:val="00A35254"/>
    <w:rsid w:val="00A35BAC"/>
    <w:rsid w:val="00A36C1A"/>
    <w:rsid w:val="00A37C8D"/>
    <w:rsid w:val="00A40112"/>
    <w:rsid w:val="00A445C2"/>
    <w:rsid w:val="00A46581"/>
    <w:rsid w:val="00A47773"/>
    <w:rsid w:val="00A5273B"/>
    <w:rsid w:val="00A53A9D"/>
    <w:rsid w:val="00A55FEE"/>
    <w:rsid w:val="00A62C1A"/>
    <w:rsid w:val="00A6426D"/>
    <w:rsid w:val="00A665C1"/>
    <w:rsid w:val="00A70622"/>
    <w:rsid w:val="00A70977"/>
    <w:rsid w:val="00A724FC"/>
    <w:rsid w:val="00A750A8"/>
    <w:rsid w:val="00A77613"/>
    <w:rsid w:val="00A8390C"/>
    <w:rsid w:val="00A8530A"/>
    <w:rsid w:val="00A928BD"/>
    <w:rsid w:val="00A97D08"/>
    <w:rsid w:val="00AA4387"/>
    <w:rsid w:val="00AA4D1C"/>
    <w:rsid w:val="00AB13F8"/>
    <w:rsid w:val="00AB35BC"/>
    <w:rsid w:val="00AC193C"/>
    <w:rsid w:val="00AC5206"/>
    <w:rsid w:val="00AC5EB4"/>
    <w:rsid w:val="00AD0297"/>
    <w:rsid w:val="00AD1991"/>
    <w:rsid w:val="00AD7771"/>
    <w:rsid w:val="00AE11A5"/>
    <w:rsid w:val="00AE13E2"/>
    <w:rsid w:val="00AE22D3"/>
    <w:rsid w:val="00AE597D"/>
    <w:rsid w:val="00AF25ED"/>
    <w:rsid w:val="00AF62DF"/>
    <w:rsid w:val="00AF68CC"/>
    <w:rsid w:val="00B1059E"/>
    <w:rsid w:val="00B13ACF"/>
    <w:rsid w:val="00B176C8"/>
    <w:rsid w:val="00B17B05"/>
    <w:rsid w:val="00B205AA"/>
    <w:rsid w:val="00B22E84"/>
    <w:rsid w:val="00B25F75"/>
    <w:rsid w:val="00B26B3F"/>
    <w:rsid w:val="00B315DC"/>
    <w:rsid w:val="00B34669"/>
    <w:rsid w:val="00B43E90"/>
    <w:rsid w:val="00B45253"/>
    <w:rsid w:val="00B467DC"/>
    <w:rsid w:val="00B56118"/>
    <w:rsid w:val="00B6773F"/>
    <w:rsid w:val="00B774EE"/>
    <w:rsid w:val="00B77F43"/>
    <w:rsid w:val="00B801BA"/>
    <w:rsid w:val="00B83387"/>
    <w:rsid w:val="00B84D5C"/>
    <w:rsid w:val="00B912EA"/>
    <w:rsid w:val="00B93A10"/>
    <w:rsid w:val="00B93CCB"/>
    <w:rsid w:val="00BB02C0"/>
    <w:rsid w:val="00BB51E5"/>
    <w:rsid w:val="00BB69F5"/>
    <w:rsid w:val="00BB7EC3"/>
    <w:rsid w:val="00BC0987"/>
    <w:rsid w:val="00BC4509"/>
    <w:rsid w:val="00BC4B9A"/>
    <w:rsid w:val="00BC5BB9"/>
    <w:rsid w:val="00BC71C4"/>
    <w:rsid w:val="00BD784C"/>
    <w:rsid w:val="00BE0E39"/>
    <w:rsid w:val="00BF4CB6"/>
    <w:rsid w:val="00C00DA7"/>
    <w:rsid w:val="00C03139"/>
    <w:rsid w:val="00C04159"/>
    <w:rsid w:val="00C12768"/>
    <w:rsid w:val="00C210B9"/>
    <w:rsid w:val="00C23EB8"/>
    <w:rsid w:val="00C27B58"/>
    <w:rsid w:val="00C35996"/>
    <w:rsid w:val="00C4747E"/>
    <w:rsid w:val="00C50F06"/>
    <w:rsid w:val="00C52C64"/>
    <w:rsid w:val="00C5342C"/>
    <w:rsid w:val="00C601A3"/>
    <w:rsid w:val="00C603D4"/>
    <w:rsid w:val="00C61D3F"/>
    <w:rsid w:val="00C6256A"/>
    <w:rsid w:val="00C73A73"/>
    <w:rsid w:val="00C77891"/>
    <w:rsid w:val="00C81909"/>
    <w:rsid w:val="00C91449"/>
    <w:rsid w:val="00C92D10"/>
    <w:rsid w:val="00C932AD"/>
    <w:rsid w:val="00C93B5F"/>
    <w:rsid w:val="00C949BC"/>
    <w:rsid w:val="00C96652"/>
    <w:rsid w:val="00C968C7"/>
    <w:rsid w:val="00C97FED"/>
    <w:rsid w:val="00CB35CC"/>
    <w:rsid w:val="00CC525E"/>
    <w:rsid w:val="00CC66C8"/>
    <w:rsid w:val="00CD1D26"/>
    <w:rsid w:val="00CE10C4"/>
    <w:rsid w:val="00CE14C7"/>
    <w:rsid w:val="00CE27B5"/>
    <w:rsid w:val="00CE7F7E"/>
    <w:rsid w:val="00D0321E"/>
    <w:rsid w:val="00D0377C"/>
    <w:rsid w:val="00D052EF"/>
    <w:rsid w:val="00D11978"/>
    <w:rsid w:val="00D1455A"/>
    <w:rsid w:val="00D14CEA"/>
    <w:rsid w:val="00D25E91"/>
    <w:rsid w:val="00D31150"/>
    <w:rsid w:val="00D3138B"/>
    <w:rsid w:val="00D3280C"/>
    <w:rsid w:val="00D3406A"/>
    <w:rsid w:val="00D37A43"/>
    <w:rsid w:val="00D4572C"/>
    <w:rsid w:val="00D469B2"/>
    <w:rsid w:val="00D61771"/>
    <w:rsid w:val="00D672D4"/>
    <w:rsid w:val="00D73759"/>
    <w:rsid w:val="00D741EB"/>
    <w:rsid w:val="00D74D86"/>
    <w:rsid w:val="00D83605"/>
    <w:rsid w:val="00D845AE"/>
    <w:rsid w:val="00D84934"/>
    <w:rsid w:val="00D85381"/>
    <w:rsid w:val="00D91271"/>
    <w:rsid w:val="00D919F5"/>
    <w:rsid w:val="00D94F03"/>
    <w:rsid w:val="00DA2CB5"/>
    <w:rsid w:val="00DA4BAC"/>
    <w:rsid w:val="00DB645D"/>
    <w:rsid w:val="00DC7382"/>
    <w:rsid w:val="00DC7F48"/>
    <w:rsid w:val="00DD7EC3"/>
    <w:rsid w:val="00DE06AF"/>
    <w:rsid w:val="00DE6D27"/>
    <w:rsid w:val="00DF217D"/>
    <w:rsid w:val="00DF2556"/>
    <w:rsid w:val="00DF26A7"/>
    <w:rsid w:val="00DF7E0D"/>
    <w:rsid w:val="00E012CD"/>
    <w:rsid w:val="00E04715"/>
    <w:rsid w:val="00E142E4"/>
    <w:rsid w:val="00E15627"/>
    <w:rsid w:val="00E164B3"/>
    <w:rsid w:val="00E16910"/>
    <w:rsid w:val="00E20016"/>
    <w:rsid w:val="00E22F3A"/>
    <w:rsid w:val="00E406FC"/>
    <w:rsid w:val="00E42978"/>
    <w:rsid w:val="00E42BDB"/>
    <w:rsid w:val="00E57EEB"/>
    <w:rsid w:val="00E6051F"/>
    <w:rsid w:val="00E62D94"/>
    <w:rsid w:val="00E65E54"/>
    <w:rsid w:val="00E80155"/>
    <w:rsid w:val="00E81F28"/>
    <w:rsid w:val="00E848C0"/>
    <w:rsid w:val="00E91B96"/>
    <w:rsid w:val="00E941A1"/>
    <w:rsid w:val="00E95044"/>
    <w:rsid w:val="00E95CE3"/>
    <w:rsid w:val="00E973BF"/>
    <w:rsid w:val="00EA2825"/>
    <w:rsid w:val="00EB0B63"/>
    <w:rsid w:val="00EB1936"/>
    <w:rsid w:val="00EB5088"/>
    <w:rsid w:val="00EC799F"/>
    <w:rsid w:val="00ED1644"/>
    <w:rsid w:val="00ED2593"/>
    <w:rsid w:val="00ED3AF8"/>
    <w:rsid w:val="00ED7D9C"/>
    <w:rsid w:val="00EE37B9"/>
    <w:rsid w:val="00EE7668"/>
    <w:rsid w:val="00EF1C6A"/>
    <w:rsid w:val="00EF44A0"/>
    <w:rsid w:val="00EF4FED"/>
    <w:rsid w:val="00EF52C3"/>
    <w:rsid w:val="00F050BD"/>
    <w:rsid w:val="00F05657"/>
    <w:rsid w:val="00F065A2"/>
    <w:rsid w:val="00F215F0"/>
    <w:rsid w:val="00F221DD"/>
    <w:rsid w:val="00F224EF"/>
    <w:rsid w:val="00F25578"/>
    <w:rsid w:val="00F258E5"/>
    <w:rsid w:val="00F300BC"/>
    <w:rsid w:val="00F32926"/>
    <w:rsid w:val="00F3334E"/>
    <w:rsid w:val="00F36CCB"/>
    <w:rsid w:val="00F374E5"/>
    <w:rsid w:val="00F3791E"/>
    <w:rsid w:val="00F42D9D"/>
    <w:rsid w:val="00F43798"/>
    <w:rsid w:val="00F43AF2"/>
    <w:rsid w:val="00F50EC4"/>
    <w:rsid w:val="00F550CF"/>
    <w:rsid w:val="00F56702"/>
    <w:rsid w:val="00F57A6D"/>
    <w:rsid w:val="00F638CC"/>
    <w:rsid w:val="00F64CC1"/>
    <w:rsid w:val="00F72317"/>
    <w:rsid w:val="00F80475"/>
    <w:rsid w:val="00F8247A"/>
    <w:rsid w:val="00F85AC8"/>
    <w:rsid w:val="00F924D1"/>
    <w:rsid w:val="00F9629A"/>
    <w:rsid w:val="00F97EFC"/>
    <w:rsid w:val="00FA5883"/>
    <w:rsid w:val="00FA6055"/>
    <w:rsid w:val="00FA626C"/>
    <w:rsid w:val="00FB087C"/>
    <w:rsid w:val="00FB322F"/>
    <w:rsid w:val="00FB442F"/>
    <w:rsid w:val="00FC1929"/>
    <w:rsid w:val="00FC5B46"/>
    <w:rsid w:val="00FD6D8E"/>
    <w:rsid w:val="00FE0E94"/>
    <w:rsid w:val="00FE168E"/>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uiPriority="35"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Balloon Text" w:uiPriority="99"/>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uiPriority w:val="99"/>
    <w:semiHidden/>
    <w:rPr>
      <w:rFonts w:ascii="Tahoma" w:hAnsi="Tahoma" w:cs="Tahoma"/>
      <w:sz w:val="16"/>
      <w:szCs w:val="16"/>
    </w:rPr>
  </w:style>
  <w:style w:type="table" w:styleId="TableGrid">
    <w:name w:val="Table Grid"/>
    <w:aliases w:val="Summary box,Table Gridbeth"/>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Table Legend"/>
    <w:basedOn w:val="Normal"/>
    <w:link w:val="ListParagraphChar"/>
    <w:uiPriority w:val="34"/>
    <w:qFormat/>
    <w:rsid w:val="00C96652"/>
    <w:pPr>
      <w:widowControl w:val="0"/>
      <w:spacing w:before="120" w:after="16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Table Legend Char"/>
    <w:basedOn w:val="DefaultParagraphFont"/>
    <w:link w:val="ListParagraph"/>
    <w:uiPriority w:val="72"/>
    <w:rsid w:val="00C96652"/>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table" w:customStyle="1" w:styleId="TableGrid1">
    <w:name w:val="Table Grid1"/>
    <w:basedOn w:val="TableNormal"/>
    <w:next w:val="TableGrid"/>
    <w:uiPriority w:val="59"/>
    <w:rsid w:val="004E328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qFormat/>
    <w:rsid w:val="004E3285"/>
    <w:pPr>
      <w:spacing w:after="200"/>
    </w:pPr>
    <w:rPr>
      <w:b/>
      <w:bCs/>
      <w:color w:val="4F81BD" w:themeColor="accent1"/>
      <w:sz w:val="18"/>
      <w:szCs w:val="18"/>
    </w:rPr>
  </w:style>
  <w:style w:type="paragraph" w:customStyle="1" w:styleId="Tablenotes0">
    <w:name w:val="Table notes"/>
    <w:basedOn w:val="Normal"/>
    <w:qFormat/>
    <w:rsid w:val="00BB02C0"/>
    <w:pPr>
      <w:spacing w:before="40" w:after="360"/>
      <w:contextualSpacing/>
    </w:pPr>
    <w:rPr>
      <w:rFonts w:ascii="Arial Narrow" w:hAnsi="Arial Narrow"/>
      <w:sz w:val="16"/>
      <w:szCs w:val="22"/>
      <w:lang w:eastAsia="en-US"/>
    </w:rPr>
  </w:style>
  <w:style w:type="table" w:customStyle="1" w:styleId="TableGrid11">
    <w:name w:val="Table Grid11"/>
    <w:basedOn w:val="TableNormal"/>
    <w:next w:val="TableGrid"/>
    <w:uiPriority w:val="59"/>
    <w:rsid w:val="00993F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er">
    <w:name w:val="Table Footer"/>
    <w:basedOn w:val="Normal"/>
    <w:qFormat/>
    <w:rsid w:val="004A5522"/>
    <w:pPr>
      <w:widowControl w:val="0"/>
      <w:jc w:val="both"/>
    </w:pPr>
    <w:rPr>
      <w:rFonts w:ascii="Arial Narrow" w:hAnsi="Arial Narrow" w:cs="Arial"/>
      <w:snapToGrid w:val="0"/>
      <w:sz w:val="18"/>
      <w:szCs w:val="20"/>
      <w:lang w:eastAsia="en-US"/>
    </w:rPr>
  </w:style>
  <w:style w:type="paragraph" w:customStyle="1" w:styleId="Tablenormal0">
    <w:name w:val="Table normal"/>
    <w:basedOn w:val="Normal"/>
    <w:link w:val="TablenormalChar"/>
    <w:qFormat/>
    <w:rsid w:val="00F065A2"/>
    <w:pPr>
      <w:spacing w:after="120" w:line="360" w:lineRule="auto"/>
      <w:jc w:val="both"/>
    </w:pPr>
    <w:rPr>
      <w:rFonts w:ascii="Calibri" w:eastAsiaTheme="minorHAnsi" w:hAnsi="Calibri" w:cstheme="minorBidi"/>
      <w:sz w:val="22"/>
      <w:szCs w:val="22"/>
      <w:lang w:eastAsia="en-US"/>
    </w:rPr>
  </w:style>
  <w:style w:type="character" w:customStyle="1" w:styleId="TablenormalChar">
    <w:name w:val="Table normal Char"/>
    <w:link w:val="Tablenormal0"/>
    <w:locked/>
    <w:rsid w:val="00F065A2"/>
    <w:rPr>
      <w:rFonts w:ascii="Calibri" w:eastAsiaTheme="minorHAnsi" w:hAnsi="Calibri" w:cstheme="minorBidi"/>
      <w:sz w:val="22"/>
      <w:szCs w:val="22"/>
      <w:lang w:eastAsia="en-US"/>
    </w:rPr>
  </w:style>
  <w:style w:type="character" w:customStyle="1" w:styleId="TableFooterChar">
    <w:name w:val="TableFooter Char"/>
    <w:basedOn w:val="DefaultParagraphFont"/>
    <w:link w:val="TableFooter0"/>
    <w:locked/>
    <w:rsid w:val="00F065A2"/>
    <w:rPr>
      <w:rFonts w:ascii="Arial" w:eastAsia="MS Mincho" w:hAnsi="Arial"/>
      <w:sz w:val="16"/>
    </w:rPr>
  </w:style>
  <w:style w:type="paragraph" w:customStyle="1" w:styleId="TableFooter0">
    <w:name w:val="TableFooter"/>
    <w:basedOn w:val="Normal"/>
    <w:link w:val="TableFooterChar"/>
    <w:qFormat/>
    <w:rsid w:val="00F065A2"/>
    <w:pPr>
      <w:spacing w:after="120"/>
    </w:pPr>
    <w:rPr>
      <w:rFonts w:ascii="Arial" w:eastAsia="MS Mincho" w:hAnsi="Arial"/>
      <w:sz w:val="16"/>
      <w:szCs w:val="20"/>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basedOn w:val="DefaultParagraphFont"/>
    <w:link w:val="Caption"/>
    <w:uiPriority w:val="35"/>
    <w:locked/>
    <w:rsid w:val="00C96652"/>
    <w:rPr>
      <w:b/>
      <w:bCs/>
      <w:color w:val="4F81BD" w:themeColor="accent1"/>
      <w:sz w:val="18"/>
      <w:szCs w:val="18"/>
    </w:rPr>
  </w:style>
  <w:style w:type="character" w:customStyle="1" w:styleId="BalloonTextChar">
    <w:name w:val="Balloon Text Char"/>
    <w:basedOn w:val="DefaultParagraphFont"/>
    <w:link w:val="BalloonText"/>
    <w:uiPriority w:val="99"/>
    <w:semiHidden/>
    <w:rsid w:val="001476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uiPriority="35"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Balloon Text" w:uiPriority="99"/>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uiPriority w:val="99"/>
    <w:semiHidden/>
    <w:rPr>
      <w:rFonts w:ascii="Tahoma" w:hAnsi="Tahoma" w:cs="Tahoma"/>
      <w:sz w:val="16"/>
      <w:szCs w:val="16"/>
    </w:rPr>
  </w:style>
  <w:style w:type="table" w:styleId="TableGrid">
    <w:name w:val="Table Grid"/>
    <w:aliases w:val="Summary box,Table Gridbeth"/>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Table Legend"/>
    <w:basedOn w:val="Normal"/>
    <w:link w:val="ListParagraphChar"/>
    <w:uiPriority w:val="34"/>
    <w:qFormat/>
    <w:rsid w:val="00C96652"/>
    <w:pPr>
      <w:widowControl w:val="0"/>
      <w:spacing w:before="120" w:after="16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Table Legend Char"/>
    <w:basedOn w:val="DefaultParagraphFont"/>
    <w:link w:val="ListParagraph"/>
    <w:uiPriority w:val="72"/>
    <w:rsid w:val="00C96652"/>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table" w:customStyle="1" w:styleId="TableGrid1">
    <w:name w:val="Table Grid1"/>
    <w:basedOn w:val="TableNormal"/>
    <w:next w:val="TableGrid"/>
    <w:uiPriority w:val="59"/>
    <w:rsid w:val="004E328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qFormat/>
    <w:rsid w:val="004E3285"/>
    <w:pPr>
      <w:spacing w:after="200"/>
    </w:pPr>
    <w:rPr>
      <w:b/>
      <w:bCs/>
      <w:color w:val="4F81BD" w:themeColor="accent1"/>
      <w:sz w:val="18"/>
      <w:szCs w:val="18"/>
    </w:rPr>
  </w:style>
  <w:style w:type="paragraph" w:customStyle="1" w:styleId="Tablenotes0">
    <w:name w:val="Table notes"/>
    <w:basedOn w:val="Normal"/>
    <w:qFormat/>
    <w:rsid w:val="00BB02C0"/>
    <w:pPr>
      <w:spacing w:before="40" w:after="360"/>
      <w:contextualSpacing/>
    </w:pPr>
    <w:rPr>
      <w:rFonts w:ascii="Arial Narrow" w:hAnsi="Arial Narrow"/>
      <w:sz w:val="16"/>
      <w:szCs w:val="22"/>
      <w:lang w:eastAsia="en-US"/>
    </w:rPr>
  </w:style>
  <w:style w:type="table" w:customStyle="1" w:styleId="TableGrid11">
    <w:name w:val="Table Grid11"/>
    <w:basedOn w:val="TableNormal"/>
    <w:next w:val="TableGrid"/>
    <w:uiPriority w:val="59"/>
    <w:rsid w:val="00993F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er">
    <w:name w:val="Table Footer"/>
    <w:basedOn w:val="Normal"/>
    <w:qFormat/>
    <w:rsid w:val="004A5522"/>
    <w:pPr>
      <w:widowControl w:val="0"/>
      <w:jc w:val="both"/>
    </w:pPr>
    <w:rPr>
      <w:rFonts w:ascii="Arial Narrow" w:hAnsi="Arial Narrow" w:cs="Arial"/>
      <w:snapToGrid w:val="0"/>
      <w:sz w:val="18"/>
      <w:szCs w:val="20"/>
      <w:lang w:eastAsia="en-US"/>
    </w:rPr>
  </w:style>
  <w:style w:type="paragraph" w:customStyle="1" w:styleId="Tablenormal0">
    <w:name w:val="Table normal"/>
    <w:basedOn w:val="Normal"/>
    <w:link w:val="TablenormalChar"/>
    <w:qFormat/>
    <w:rsid w:val="00F065A2"/>
    <w:pPr>
      <w:spacing w:after="120" w:line="360" w:lineRule="auto"/>
      <w:jc w:val="both"/>
    </w:pPr>
    <w:rPr>
      <w:rFonts w:ascii="Calibri" w:eastAsiaTheme="minorHAnsi" w:hAnsi="Calibri" w:cstheme="minorBidi"/>
      <w:sz w:val="22"/>
      <w:szCs w:val="22"/>
      <w:lang w:eastAsia="en-US"/>
    </w:rPr>
  </w:style>
  <w:style w:type="character" w:customStyle="1" w:styleId="TablenormalChar">
    <w:name w:val="Table normal Char"/>
    <w:link w:val="Tablenormal0"/>
    <w:locked/>
    <w:rsid w:val="00F065A2"/>
    <w:rPr>
      <w:rFonts w:ascii="Calibri" w:eastAsiaTheme="minorHAnsi" w:hAnsi="Calibri" w:cstheme="minorBidi"/>
      <w:sz w:val="22"/>
      <w:szCs w:val="22"/>
      <w:lang w:eastAsia="en-US"/>
    </w:rPr>
  </w:style>
  <w:style w:type="character" w:customStyle="1" w:styleId="TableFooterChar">
    <w:name w:val="TableFooter Char"/>
    <w:basedOn w:val="DefaultParagraphFont"/>
    <w:link w:val="TableFooter0"/>
    <w:locked/>
    <w:rsid w:val="00F065A2"/>
    <w:rPr>
      <w:rFonts w:ascii="Arial" w:eastAsia="MS Mincho" w:hAnsi="Arial"/>
      <w:sz w:val="16"/>
    </w:rPr>
  </w:style>
  <w:style w:type="paragraph" w:customStyle="1" w:styleId="TableFooter0">
    <w:name w:val="TableFooter"/>
    <w:basedOn w:val="Normal"/>
    <w:link w:val="TableFooterChar"/>
    <w:qFormat/>
    <w:rsid w:val="00F065A2"/>
    <w:pPr>
      <w:spacing w:after="120"/>
    </w:pPr>
    <w:rPr>
      <w:rFonts w:ascii="Arial" w:eastAsia="MS Mincho" w:hAnsi="Arial"/>
      <w:sz w:val="16"/>
      <w:szCs w:val="20"/>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basedOn w:val="DefaultParagraphFont"/>
    <w:link w:val="Caption"/>
    <w:uiPriority w:val="35"/>
    <w:locked/>
    <w:rsid w:val="00C96652"/>
    <w:rPr>
      <w:b/>
      <w:bCs/>
      <w:color w:val="4F81BD" w:themeColor="accent1"/>
      <w:sz w:val="18"/>
      <w:szCs w:val="18"/>
    </w:rPr>
  </w:style>
  <w:style w:type="character" w:customStyle="1" w:styleId="BalloonTextChar">
    <w:name w:val="Balloon Text Char"/>
    <w:basedOn w:val="DefaultParagraphFont"/>
    <w:link w:val="BalloonText"/>
    <w:uiPriority w:val="99"/>
    <w:semiHidden/>
    <w:rsid w:val="001476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173448652">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28" Type="http://schemas.microsoft.com/office/2011/relationships/commentsExtended" Target="commentsExtended.xml"/><Relationship Id="rId10" Type="http://schemas.openxmlformats.org/officeDocument/2006/relationships/image" Target="media/image2.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1C7EC-8224-47AA-AE6B-88FAFB610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7074</Words>
  <Characters>42302</Characters>
  <Application>Microsoft Office Word</Application>
  <DocSecurity>0</DocSecurity>
  <Lines>352</Lines>
  <Paragraphs>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2018-09-27T03:52:00Z</dcterms:created>
  <dcterms:modified xsi:type="dcterms:W3CDTF">2018-10-22T07:08:00Z</dcterms:modified>
</cp:coreProperties>
</file>