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DCF" w:rsidRPr="00B70F42" w:rsidRDefault="007C7DCF" w:rsidP="00AF220A">
      <w:pPr>
        <w:pStyle w:val="Title"/>
        <w:spacing w:before="120" w:after="0"/>
        <w:ind w:left="720" w:hanging="720"/>
        <w:rPr>
          <w:rFonts w:asciiTheme="minorHAnsi" w:hAnsiTheme="minorHAnsi"/>
          <w:sz w:val="36"/>
          <w:szCs w:val="36"/>
        </w:rPr>
      </w:pPr>
      <w:r w:rsidRPr="00B70F42">
        <w:rPr>
          <w:rFonts w:asciiTheme="minorHAnsi" w:hAnsiTheme="minorHAnsi"/>
          <w:sz w:val="36"/>
          <w:szCs w:val="36"/>
        </w:rPr>
        <w:t>5.26</w:t>
      </w:r>
      <w:r w:rsidR="006D6493" w:rsidRPr="00B70F42">
        <w:rPr>
          <w:rFonts w:asciiTheme="minorHAnsi" w:hAnsiTheme="minorHAnsi"/>
          <w:sz w:val="36"/>
          <w:szCs w:val="36"/>
        </w:rPr>
        <w:tab/>
      </w:r>
      <w:r w:rsidRPr="00B70F42">
        <w:rPr>
          <w:rFonts w:asciiTheme="minorHAnsi" w:hAnsiTheme="minorHAnsi"/>
          <w:sz w:val="36"/>
          <w:szCs w:val="36"/>
        </w:rPr>
        <w:t>TOCILIZUMAB</w:t>
      </w:r>
      <w:r w:rsidR="006D6493" w:rsidRPr="00B70F42">
        <w:rPr>
          <w:rFonts w:asciiTheme="minorHAnsi" w:hAnsiTheme="minorHAnsi"/>
          <w:sz w:val="36"/>
          <w:szCs w:val="36"/>
        </w:rPr>
        <w:t xml:space="preserve"> </w:t>
      </w:r>
      <w:bookmarkStart w:id="0" w:name="_GoBack"/>
      <w:bookmarkEnd w:id="0"/>
      <w:r w:rsidR="006D6493" w:rsidRPr="00B70F42">
        <w:rPr>
          <w:rFonts w:asciiTheme="minorHAnsi" w:hAnsiTheme="minorHAnsi"/>
          <w:sz w:val="36"/>
          <w:szCs w:val="36"/>
        </w:rPr>
        <w:br/>
      </w:r>
      <w:r w:rsidRPr="00C8378F">
        <w:rPr>
          <w:rStyle w:val="BodyText2Char"/>
          <w:rFonts w:asciiTheme="minorHAnsi" w:hAnsiTheme="minorHAnsi" w:cstheme="minorHAnsi"/>
          <w:sz w:val="36"/>
        </w:rPr>
        <w:t>Injection</w:t>
      </w:r>
      <w:r w:rsidR="00A74C2C" w:rsidRPr="00C8378F">
        <w:rPr>
          <w:rStyle w:val="BodyText2Char"/>
          <w:rFonts w:asciiTheme="minorHAnsi" w:hAnsiTheme="minorHAnsi" w:cstheme="minorHAnsi"/>
          <w:sz w:val="36"/>
        </w:rPr>
        <w:t xml:space="preserve"> </w:t>
      </w:r>
      <w:r w:rsidRPr="00C8378F">
        <w:rPr>
          <w:rStyle w:val="BodyText2Char"/>
          <w:rFonts w:asciiTheme="minorHAnsi" w:hAnsiTheme="minorHAnsi" w:cstheme="minorHAnsi"/>
          <w:sz w:val="36"/>
        </w:rPr>
        <w:t xml:space="preserve">162 mg in 0.9 mL </w:t>
      </w:r>
      <w:r w:rsidR="00CC4BC6" w:rsidRPr="00C8378F">
        <w:rPr>
          <w:rStyle w:val="BodyText2Char"/>
          <w:rFonts w:asciiTheme="minorHAnsi" w:hAnsiTheme="minorHAnsi" w:cstheme="minorHAnsi"/>
          <w:sz w:val="36"/>
        </w:rPr>
        <w:t>auto-injector</w:t>
      </w:r>
      <w:r w:rsidR="004A4407" w:rsidRPr="00C8378F">
        <w:rPr>
          <w:rStyle w:val="BodyText2Char"/>
          <w:rFonts w:asciiTheme="minorHAnsi" w:hAnsiTheme="minorHAnsi" w:cstheme="minorHAnsi"/>
          <w:sz w:val="36"/>
        </w:rPr>
        <w:t>, subcutaneous injection</w:t>
      </w:r>
      <w:r w:rsidR="006D6493" w:rsidRPr="00C8378F">
        <w:rPr>
          <w:rStyle w:val="BodyText2Char"/>
          <w:rFonts w:asciiTheme="minorHAnsi" w:hAnsiTheme="minorHAnsi" w:cstheme="minorHAnsi"/>
          <w:sz w:val="36"/>
        </w:rPr>
        <w:t xml:space="preserve"> </w:t>
      </w:r>
      <w:r w:rsidR="006D6493" w:rsidRPr="00C8378F">
        <w:rPr>
          <w:rStyle w:val="BodyText2Char"/>
          <w:rFonts w:asciiTheme="minorHAnsi" w:hAnsiTheme="minorHAnsi" w:cstheme="minorHAnsi"/>
          <w:sz w:val="36"/>
        </w:rPr>
        <w:br/>
      </w:r>
      <w:proofErr w:type="spellStart"/>
      <w:r w:rsidRPr="00C8378F">
        <w:rPr>
          <w:rStyle w:val="BodyText2Char"/>
          <w:rFonts w:asciiTheme="minorHAnsi" w:hAnsiTheme="minorHAnsi" w:cstheme="minorHAnsi"/>
          <w:sz w:val="36"/>
        </w:rPr>
        <w:t>Actemra</w:t>
      </w:r>
      <w:proofErr w:type="spellEnd"/>
      <w:r w:rsidR="006D6493" w:rsidRPr="00C8378F">
        <w:rPr>
          <w:rStyle w:val="BodyText2Char"/>
          <w:rFonts w:asciiTheme="minorHAnsi" w:hAnsiTheme="minorHAnsi" w:cstheme="minorHAnsi"/>
          <w:sz w:val="36"/>
        </w:rPr>
        <w:t>®</w:t>
      </w:r>
      <w:r w:rsidRPr="00C8378F">
        <w:rPr>
          <w:rStyle w:val="BodyText2Char"/>
          <w:rFonts w:asciiTheme="minorHAnsi" w:hAnsiTheme="minorHAnsi" w:cstheme="minorHAnsi"/>
          <w:sz w:val="36"/>
        </w:rPr>
        <w:t xml:space="preserve"> </w:t>
      </w:r>
      <w:proofErr w:type="spellStart"/>
      <w:r w:rsidR="004A4407" w:rsidRPr="00C8378F">
        <w:rPr>
          <w:rStyle w:val="BodyText2Char"/>
          <w:rFonts w:asciiTheme="minorHAnsi" w:hAnsiTheme="minorHAnsi" w:cstheme="minorHAnsi"/>
          <w:sz w:val="36"/>
        </w:rPr>
        <w:t>ACTPen</w:t>
      </w:r>
      <w:proofErr w:type="spellEnd"/>
      <w:r w:rsidR="006D6493" w:rsidRPr="00C8378F">
        <w:rPr>
          <w:rStyle w:val="BodyText2Char"/>
          <w:rFonts w:asciiTheme="minorHAnsi" w:hAnsiTheme="minorHAnsi" w:cstheme="minorHAnsi"/>
          <w:sz w:val="36"/>
        </w:rPr>
        <w:t>,</w:t>
      </w:r>
      <w:r w:rsidR="006D6493" w:rsidRPr="00C8378F">
        <w:rPr>
          <w:rFonts w:asciiTheme="minorHAnsi" w:hAnsiTheme="minorHAnsi"/>
          <w:sz w:val="44"/>
          <w:szCs w:val="36"/>
        </w:rPr>
        <w:t xml:space="preserve"> </w:t>
      </w:r>
    </w:p>
    <w:p w:rsidR="006D6493" w:rsidRPr="00AF220A" w:rsidRDefault="007C7DCF" w:rsidP="00AF220A">
      <w:pPr>
        <w:pStyle w:val="BodyText2"/>
        <w:ind w:firstLine="709"/>
        <w:rPr>
          <w:rFonts w:asciiTheme="minorHAnsi" w:hAnsiTheme="minorHAnsi" w:cstheme="minorHAnsi"/>
          <w:b/>
          <w:sz w:val="36"/>
        </w:rPr>
      </w:pPr>
      <w:r w:rsidRPr="00AF220A">
        <w:rPr>
          <w:rFonts w:asciiTheme="minorHAnsi" w:hAnsiTheme="minorHAnsi" w:cstheme="minorHAnsi"/>
          <w:b/>
          <w:sz w:val="36"/>
        </w:rPr>
        <w:t>Roche Products Pty Ltd</w:t>
      </w:r>
    </w:p>
    <w:p w:rsidR="008A50F1" w:rsidRPr="00B70F42" w:rsidRDefault="00CE10C4" w:rsidP="00EB0B63">
      <w:pPr>
        <w:pStyle w:val="PBACHeading1"/>
        <w:spacing w:before="240" w:after="120"/>
        <w:ind w:left="709" w:hanging="709"/>
        <w:rPr>
          <w:rFonts w:asciiTheme="minorHAnsi" w:hAnsiTheme="minorHAnsi"/>
          <w:sz w:val="32"/>
          <w:szCs w:val="32"/>
        </w:rPr>
      </w:pPr>
      <w:r w:rsidRPr="00B70F42">
        <w:rPr>
          <w:rFonts w:asciiTheme="minorHAnsi" w:hAnsiTheme="minorHAnsi"/>
          <w:sz w:val="32"/>
          <w:szCs w:val="32"/>
        </w:rPr>
        <w:t xml:space="preserve">Purpose of </w:t>
      </w:r>
      <w:r w:rsidR="0004240E" w:rsidRPr="00B70F42">
        <w:rPr>
          <w:rFonts w:asciiTheme="minorHAnsi" w:hAnsiTheme="minorHAnsi"/>
          <w:sz w:val="32"/>
          <w:szCs w:val="32"/>
        </w:rPr>
        <w:t>Application</w:t>
      </w:r>
    </w:p>
    <w:p w:rsidR="004A4407" w:rsidRPr="00B70F42"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70F42">
        <w:rPr>
          <w:rFonts w:asciiTheme="minorHAnsi" w:eastAsiaTheme="minorHAnsi" w:hAnsiTheme="minorHAnsi" w:cstheme="minorBidi"/>
          <w:snapToGrid/>
          <w:sz w:val="24"/>
          <w:szCs w:val="22"/>
        </w:rPr>
        <w:t>The mi</w:t>
      </w:r>
      <w:r w:rsidR="00FF2801" w:rsidRPr="00B70F42">
        <w:rPr>
          <w:rFonts w:asciiTheme="minorHAnsi" w:eastAsiaTheme="minorHAnsi" w:hAnsiTheme="minorHAnsi" w:cstheme="minorBidi"/>
          <w:snapToGrid/>
          <w:sz w:val="24"/>
          <w:szCs w:val="22"/>
        </w:rPr>
        <w:t>nor submission requested</w:t>
      </w:r>
      <w:r w:rsidR="00E24BC2" w:rsidRPr="00B70F42">
        <w:rPr>
          <w:rFonts w:asciiTheme="minorHAnsi" w:eastAsiaTheme="minorHAnsi" w:hAnsiTheme="minorHAnsi" w:cstheme="minorBidi"/>
          <w:snapToGrid/>
          <w:sz w:val="24"/>
          <w:szCs w:val="22"/>
        </w:rPr>
        <w:t xml:space="preserve"> an</w:t>
      </w:r>
      <w:r w:rsidR="008865CA" w:rsidRPr="00B70F42">
        <w:rPr>
          <w:rFonts w:asciiTheme="minorHAnsi" w:eastAsiaTheme="minorHAnsi" w:hAnsiTheme="minorHAnsi" w:cstheme="minorBidi"/>
          <w:snapToGrid/>
          <w:sz w:val="24"/>
          <w:szCs w:val="22"/>
        </w:rPr>
        <w:t xml:space="preserve"> Authority Required </w:t>
      </w:r>
      <w:r w:rsidRPr="00B70F42">
        <w:rPr>
          <w:rFonts w:asciiTheme="minorHAnsi" w:eastAsiaTheme="minorHAnsi" w:hAnsiTheme="minorHAnsi" w:cstheme="minorBidi"/>
          <w:snapToGrid/>
          <w:sz w:val="24"/>
          <w:szCs w:val="22"/>
        </w:rPr>
        <w:t>listing</w:t>
      </w:r>
      <w:r w:rsidR="00A24D09" w:rsidRPr="00B70F42">
        <w:rPr>
          <w:rFonts w:asciiTheme="minorHAnsi" w:eastAsiaTheme="minorHAnsi" w:hAnsiTheme="minorHAnsi" w:cstheme="minorBidi"/>
          <w:snapToGrid/>
          <w:sz w:val="24"/>
          <w:szCs w:val="22"/>
        </w:rPr>
        <w:t xml:space="preserve"> for </w:t>
      </w:r>
      <w:r w:rsidR="008865CA" w:rsidRPr="00B70F42">
        <w:rPr>
          <w:rFonts w:asciiTheme="minorHAnsi" w:eastAsiaTheme="minorHAnsi" w:hAnsiTheme="minorHAnsi" w:cstheme="minorBidi"/>
          <w:snapToGrid/>
          <w:sz w:val="24"/>
          <w:szCs w:val="22"/>
        </w:rPr>
        <w:t>an auto-injector presentation for subcutaneously</w:t>
      </w:r>
      <w:r w:rsidR="004A4407" w:rsidRPr="00B70F42">
        <w:rPr>
          <w:rFonts w:asciiTheme="minorHAnsi" w:eastAsiaTheme="minorHAnsi" w:hAnsiTheme="minorHAnsi" w:cstheme="minorBidi"/>
          <w:snapToGrid/>
          <w:sz w:val="24"/>
          <w:szCs w:val="22"/>
        </w:rPr>
        <w:t xml:space="preserve"> (SC)</w:t>
      </w:r>
      <w:r w:rsidR="008865CA" w:rsidRPr="00B70F42">
        <w:rPr>
          <w:rFonts w:asciiTheme="minorHAnsi" w:eastAsiaTheme="minorHAnsi" w:hAnsiTheme="minorHAnsi" w:cstheme="minorBidi"/>
          <w:snapToGrid/>
          <w:sz w:val="24"/>
          <w:szCs w:val="22"/>
        </w:rPr>
        <w:t xml:space="preserve"> administered tocilizumab for </w:t>
      </w:r>
      <w:r w:rsidR="00A24D09" w:rsidRPr="00B70F42">
        <w:rPr>
          <w:rFonts w:asciiTheme="minorHAnsi" w:eastAsiaTheme="minorHAnsi" w:hAnsiTheme="minorHAnsi" w:cstheme="minorBidi"/>
          <w:snapToGrid/>
          <w:sz w:val="24"/>
          <w:szCs w:val="22"/>
        </w:rPr>
        <w:t>the treatment of severe active rheumatoid arthritis</w:t>
      </w:r>
      <w:r w:rsidR="0015229C" w:rsidRPr="00B70F42">
        <w:rPr>
          <w:rFonts w:asciiTheme="minorHAnsi" w:eastAsiaTheme="minorHAnsi" w:hAnsiTheme="minorHAnsi" w:cstheme="minorBidi"/>
          <w:snapToGrid/>
          <w:sz w:val="24"/>
          <w:szCs w:val="22"/>
        </w:rPr>
        <w:t xml:space="preserve"> (RA)</w:t>
      </w:r>
      <w:r w:rsidR="00A24D09" w:rsidRPr="00B70F42">
        <w:rPr>
          <w:rFonts w:asciiTheme="minorHAnsi" w:eastAsiaTheme="minorHAnsi" w:hAnsiTheme="minorHAnsi" w:cstheme="minorBidi"/>
          <w:snapToGrid/>
          <w:sz w:val="24"/>
          <w:szCs w:val="22"/>
        </w:rPr>
        <w:t xml:space="preserve"> in adult patients. </w:t>
      </w:r>
    </w:p>
    <w:p w:rsidR="006A12A5" w:rsidRPr="00B70F42" w:rsidRDefault="002339BE"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70F42">
        <w:rPr>
          <w:rFonts w:asciiTheme="minorHAnsi" w:eastAsiaTheme="minorHAnsi" w:hAnsiTheme="minorHAnsi" w:cstheme="minorBidi"/>
          <w:snapToGrid/>
          <w:sz w:val="24"/>
          <w:szCs w:val="22"/>
        </w:rPr>
        <w:t xml:space="preserve">The </w:t>
      </w:r>
      <w:r w:rsidR="00DB5403" w:rsidRPr="00B70F42">
        <w:rPr>
          <w:rFonts w:asciiTheme="minorHAnsi" w:eastAsiaTheme="minorHAnsi" w:hAnsiTheme="minorHAnsi" w:cstheme="minorBidi"/>
          <w:snapToGrid/>
          <w:sz w:val="24"/>
          <w:szCs w:val="22"/>
        </w:rPr>
        <w:t>submission intends for the auto-</w:t>
      </w:r>
      <w:r w:rsidRPr="00B70F42">
        <w:rPr>
          <w:rFonts w:asciiTheme="minorHAnsi" w:eastAsiaTheme="minorHAnsi" w:hAnsiTheme="minorHAnsi" w:cstheme="minorBidi"/>
          <w:snapToGrid/>
          <w:sz w:val="24"/>
          <w:szCs w:val="22"/>
        </w:rPr>
        <w:t>injector presentation to replace the currently</w:t>
      </w:r>
      <w:r w:rsidR="00E24BC2" w:rsidRPr="00B70F42">
        <w:rPr>
          <w:rFonts w:asciiTheme="minorHAnsi" w:eastAsiaTheme="minorHAnsi" w:hAnsiTheme="minorHAnsi" w:cstheme="minorBidi"/>
          <w:snapToGrid/>
          <w:sz w:val="24"/>
          <w:szCs w:val="22"/>
        </w:rPr>
        <w:t xml:space="preserve"> listed</w:t>
      </w:r>
      <w:r w:rsidRPr="00B70F42">
        <w:rPr>
          <w:rFonts w:asciiTheme="minorHAnsi" w:eastAsiaTheme="minorHAnsi" w:hAnsiTheme="minorHAnsi" w:cstheme="minorBidi"/>
          <w:snapToGrid/>
          <w:sz w:val="24"/>
          <w:szCs w:val="22"/>
        </w:rPr>
        <w:t xml:space="preserve"> pre-filled syringe presentation, particularly in those patients who have difficulty self-administering the pre-filled syringe.</w:t>
      </w:r>
    </w:p>
    <w:p w:rsidR="006A12A5" w:rsidRPr="00B70F42" w:rsidRDefault="006A12A5" w:rsidP="00EB0B63">
      <w:pPr>
        <w:pStyle w:val="PBACHeading1"/>
        <w:spacing w:before="240" w:after="120"/>
        <w:ind w:left="709" w:hanging="709"/>
        <w:rPr>
          <w:rFonts w:asciiTheme="minorHAnsi" w:hAnsiTheme="minorHAnsi"/>
          <w:sz w:val="32"/>
          <w:szCs w:val="32"/>
        </w:rPr>
      </w:pPr>
      <w:r w:rsidRPr="00B70F42">
        <w:rPr>
          <w:rFonts w:asciiTheme="minorHAnsi" w:hAnsiTheme="minorHAnsi"/>
          <w:sz w:val="32"/>
          <w:szCs w:val="32"/>
        </w:rPr>
        <w:t>Requested listing</w:t>
      </w:r>
    </w:p>
    <w:p w:rsidR="00826F6D"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B70F42">
        <w:rPr>
          <w:rFonts w:asciiTheme="minorHAnsi" w:eastAsiaTheme="minorHAnsi" w:hAnsiTheme="minorHAnsi" w:cstheme="minorBidi"/>
          <w:snapToGrid/>
          <w:sz w:val="24"/>
          <w:szCs w:val="22"/>
        </w:rPr>
        <w:t xml:space="preserve">The submission </w:t>
      </w:r>
      <w:r w:rsidR="00FF2801" w:rsidRPr="00B70F42">
        <w:rPr>
          <w:rFonts w:asciiTheme="minorHAnsi" w:eastAsiaTheme="minorHAnsi" w:hAnsiTheme="minorHAnsi" w:cstheme="minorBidi"/>
          <w:snapToGrid/>
          <w:sz w:val="24"/>
          <w:szCs w:val="22"/>
        </w:rPr>
        <w:t>requested</w:t>
      </w:r>
      <w:r w:rsidR="00E24BC2" w:rsidRPr="00B70F42">
        <w:rPr>
          <w:rFonts w:asciiTheme="minorHAnsi" w:eastAsiaTheme="minorHAnsi" w:hAnsiTheme="minorHAnsi" w:cstheme="minorBidi"/>
          <w:snapToGrid/>
          <w:sz w:val="24"/>
          <w:szCs w:val="22"/>
        </w:rPr>
        <w:t xml:space="preserve"> listing for</w:t>
      </w:r>
      <w:r w:rsidRPr="00B70F42">
        <w:rPr>
          <w:rFonts w:asciiTheme="minorHAnsi" w:eastAsiaTheme="minorHAnsi" w:hAnsiTheme="minorHAnsi" w:cstheme="minorBidi"/>
          <w:snapToGrid/>
          <w:sz w:val="24"/>
          <w:szCs w:val="22"/>
        </w:rPr>
        <w:t xml:space="preserve"> </w:t>
      </w:r>
      <w:r w:rsidR="00E638DF" w:rsidRPr="00B70F42">
        <w:rPr>
          <w:rFonts w:asciiTheme="minorHAnsi" w:eastAsiaTheme="minorHAnsi" w:hAnsiTheme="minorHAnsi" w:cstheme="minorBidi"/>
          <w:snapToGrid/>
          <w:sz w:val="24"/>
          <w:szCs w:val="22"/>
        </w:rPr>
        <w:t xml:space="preserve">the new </w:t>
      </w:r>
      <w:r w:rsidR="005B75DE" w:rsidRPr="00B70F42">
        <w:rPr>
          <w:rFonts w:asciiTheme="minorHAnsi" w:eastAsiaTheme="minorHAnsi" w:hAnsiTheme="minorHAnsi" w:cstheme="minorBidi"/>
          <w:snapToGrid/>
          <w:sz w:val="24"/>
          <w:szCs w:val="22"/>
        </w:rPr>
        <w:t xml:space="preserve">pre-filled pen </w:t>
      </w:r>
      <w:r w:rsidR="00E638DF" w:rsidRPr="00B70F42">
        <w:rPr>
          <w:rFonts w:asciiTheme="minorHAnsi" w:eastAsiaTheme="minorHAnsi" w:hAnsiTheme="minorHAnsi" w:cstheme="minorBidi"/>
          <w:snapToGrid/>
          <w:sz w:val="24"/>
          <w:szCs w:val="22"/>
        </w:rPr>
        <w:t xml:space="preserve">form </w:t>
      </w:r>
      <w:r w:rsidR="005B75DE" w:rsidRPr="00B70F42">
        <w:rPr>
          <w:rFonts w:asciiTheme="minorHAnsi" w:eastAsiaTheme="minorHAnsi" w:hAnsiTheme="minorHAnsi" w:cstheme="minorBidi"/>
          <w:snapToGrid/>
          <w:sz w:val="24"/>
          <w:szCs w:val="22"/>
        </w:rPr>
        <w:t xml:space="preserve">of tocilizumab </w:t>
      </w:r>
      <w:r w:rsidR="00E24BC2" w:rsidRPr="00B70F42">
        <w:rPr>
          <w:rFonts w:asciiTheme="minorHAnsi" w:eastAsiaTheme="minorHAnsi" w:hAnsiTheme="minorHAnsi" w:cstheme="minorBidi"/>
          <w:snapToGrid/>
          <w:sz w:val="24"/>
          <w:szCs w:val="22"/>
        </w:rPr>
        <w:t>with</w:t>
      </w:r>
      <w:r w:rsidR="00E638DF" w:rsidRPr="00B70F42">
        <w:rPr>
          <w:rFonts w:asciiTheme="minorHAnsi" w:eastAsiaTheme="minorHAnsi" w:hAnsiTheme="minorHAnsi" w:cstheme="minorBidi"/>
          <w:snapToGrid/>
          <w:sz w:val="24"/>
          <w:szCs w:val="22"/>
        </w:rPr>
        <w:t xml:space="preserve"> </w:t>
      </w:r>
      <w:r w:rsidRPr="00B70F42">
        <w:rPr>
          <w:rFonts w:asciiTheme="minorHAnsi" w:eastAsiaTheme="minorHAnsi" w:hAnsiTheme="minorHAnsi" w:cstheme="minorBidi"/>
          <w:snapToGrid/>
          <w:sz w:val="24"/>
          <w:szCs w:val="22"/>
        </w:rPr>
        <w:t xml:space="preserve">the </w:t>
      </w:r>
      <w:r w:rsidR="00E638DF" w:rsidRPr="00B70F42">
        <w:rPr>
          <w:rFonts w:asciiTheme="minorHAnsi" w:eastAsiaTheme="minorHAnsi" w:hAnsiTheme="minorHAnsi" w:cstheme="minorBidi"/>
          <w:snapToGrid/>
          <w:sz w:val="24"/>
          <w:szCs w:val="22"/>
        </w:rPr>
        <w:t xml:space="preserve">same </w:t>
      </w:r>
      <w:r w:rsidR="005B75DE" w:rsidRPr="00B70F42">
        <w:rPr>
          <w:rFonts w:asciiTheme="minorHAnsi" w:eastAsiaTheme="minorHAnsi" w:hAnsiTheme="minorHAnsi" w:cstheme="minorBidi"/>
          <w:snapToGrid/>
          <w:sz w:val="24"/>
          <w:szCs w:val="22"/>
        </w:rPr>
        <w:t>restriction as</w:t>
      </w:r>
      <w:r w:rsidRPr="00B70F42">
        <w:rPr>
          <w:rFonts w:asciiTheme="minorHAnsi" w:eastAsiaTheme="minorHAnsi" w:hAnsiTheme="minorHAnsi" w:cstheme="minorBidi"/>
          <w:snapToGrid/>
          <w:sz w:val="24"/>
          <w:szCs w:val="22"/>
        </w:rPr>
        <w:t xml:space="preserve"> the existing </w:t>
      </w:r>
      <w:r w:rsidR="005B75DE" w:rsidRPr="00B70F42">
        <w:rPr>
          <w:rFonts w:asciiTheme="minorHAnsi" w:eastAsiaTheme="minorHAnsi" w:hAnsiTheme="minorHAnsi" w:cstheme="minorBidi"/>
          <w:snapToGrid/>
          <w:sz w:val="24"/>
          <w:szCs w:val="22"/>
        </w:rPr>
        <w:t xml:space="preserve">pre-filled syringe for adults with severe active RA </w:t>
      </w:r>
      <w:r w:rsidR="00E24BC2" w:rsidRPr="00B70F42">
        <w:rPr>
          <w:rFonts w:asciiTheme="minorHAnsi" w:eastAsiaTheme="minorHAnsi" w:hAnsiTheme="minorHAnsi" w:cstheme="minorBidi"/>
          <w:snapToGrid/>
          <w:sz w:val="24"/>
          <w:szCs w:val="22"/>
        </w:rPr>
        <w:t>under the same conditions as the existing</w:t>
      </w:r>
      <w:r w:rsidR="00103F45" w:rsidRPr="00B70F42">
        <w:rPr>
          <w:rFonts w:asciiTheme="minorHAnsi" w:eastAsiaTheme="minorHAnsi" w:hAnsiTheme="minorHAnsi" w:cstheme="minorBidi"/>
          <w:snapToGrid/>
          <w:sz w:val="24"/>
          <w:szCs w:val="22"/>
        </w:rPr>
        <w:t xml:space="preserve"> pre-filled syringe</w:t>
      </w:r>
      <w:r w:rsidR="00E24BC2" w:rsidRPr="00B70F42">
        <w:rPr>
          <w:rFonts w:asciiTheme="minorHAnsi" w:eastAsiaTheme="minorHAnsi" w:hAnsiTheme="minorHAnsi" w:cstheme="minorBidi"/>
          <w:snapToGrid/>
          <w:sz w:val="24"/>
          <w:szCs w:val="22"/>
        </w:rPr>
        <w:t xml:space="preserve"> listings. Given the size and complexity of the restrictions, they have not been reproduced in full.</w:t>
      </w:r>
    </w:p>
    <w:p w:rsidR="00E637C8" w:rsidRPr="00B70F42" w:rsidRDefault="00E637C8" w:rsidP="00E637C8">
      <w:pPr>
        <w:pStyle w:val="ListParagraph"/>
        <w:widowControl/>
        <w:spacing w:after="120"/>
        <w:contextualSpacing w:val="0"/>
        <w:rPr>
          <w:rFonts w:asciiTheme="minorHAnsi" w:eastAsiaTheme="minorHAnsi" w:hAnsiTheme="minorHAnsi" w:cstheme="minorBidi"/>
          <w:snapToGrid/>
          <w:sz w:val="24"/>
          <w:szCs w:val="22"/>
        </w:rPr>
      </w:pPr>
    </w:p>
    <w:tbl>
      <w:tblPr>
        <w:tblW w:w="4915" w:type="pct"/>
        <w:tblLook w:val="0000" w:firstRow="0" w:lastRow="0" w:firstColumn="0" w:lastColumn="0" w:noHBand="0" w:noVBand="0"/>
      </w:tblPr>
      <w:tblGrid>
        <w:gridCol w:w="3154"/>
        <w:gridCol w:w="647"/>
        <w:gridCol w:w="1165"/>
        <w:gridCol w:w="1537"/>
        <w:gridCol w:w="1208"/>
        <w:gridCol w:w="1374"/>
      </w:tblGrid>
      <w:tr w:rsidR="005B75DE" w:rsidRPr="00B70F42" w:rsidTr="0031552C">
        <w:trPr>
          <w:cantSplit/>
          <w:trHeight w:val="465"/>
        </w:trPr>
        <w:tc>
          <w:tcPr>
            <w:tcW w:w="1736" w:type="pct"/>
            <w:tcBorders>
              <w:bottom w:val="single" w:sz="4" w:space="0" w:color="auto"/>
            </w:tcBorders>
          </w:tcPr>
          <w:p w:rsidR="00826F6D" w:rsidRPr="00B70F42" w:rsidRDefault="00826F6D" w:rsidP="00EB0B63">
            <w:pPr>
              <w:keepNext/>
              <w:spacing w:before="40" w:after="40"/>
              <w:jc w:val="both"/>
              <w:rPr>
                <w:rFonts w:ascii="Arial Narrow" w:hAnsi="Arial Narrow" w:cs="Arial"/>
                <w:b/>
                <w:sz w:val="20"/>
                <w:szCs w:val="20"/>
              </w:rPr>
            </w:pPr>
            <w:r w:rsidRPr="00B70F42">
              <w:rPr>
                <w:rFonts w:ascii="Arial Narrow" w:hAnsi="Arial Narrow" w:cs="Arial"/>
                <w:b/>
                <w:sz w:val="20"/>
                <w:szCs w:val="20"/>
              </w:rPr>
              <w:t>Name, Restriction,</w:t>
            </w:r>
          </w:p>
          <w:p w:rsidR="00826F6D" w:rsidRPr="00B70F42" w:rsidRDefault="00826F6D" w:rsidP="00EB0B63">
            <w:pPr>
              <w:keepNext/>
              <w:spacing w:before="40" w:after="40"/>
              <w:jc w:val="both"/>
              <w:rPr>
                <w:rFonts w:ascii="Arial Narrow" w:hAnsi="Arial Narrow" w:cs="Arial"/>
                <w:b/>
                <w:sz w:val="20"/>
                <w:szCs w:val="20"/>
              </w:rPr>
            </w:pPr>
            <w:r w:rsidRPr="00B70F42">
              <w:rPr>
                <w:rFonts w:ascii="Arial Narrow" w:hAnsi="Arial Narrow" w:cs="Arial"/>
                <w:b/>
                <w:sz w:val="20"/>
                <w:szCs w:val="20"/>
              </w:rPr>
              <w:t>Manner of administration and form</w:t>
            </w:r>
          </w:p>
        </w:tc>
        <w:tc>
          <w:tcPr>
            <w:tcW w:w="356" w:type="pct"/>
            <w:tcBorders>
              <w:bottom w:val="single" w:sz="4" w:space="0" w:color="auto"/>
            </w:tcBorders>
          </w:tcPr>
          <w:p w:rsidR="00826F6D" w:rsidRPr="00B70F42" w:rsidRDefault="00826F6D" w:rsidP="00EB0B63">
            <w:pPr>
              <w:keepNext/>
              <w:spacing w:before="40" w:after="40"/>
              <w:jc w:val="both"/>
              <w:rPr>
                <w:rFonts w:ascii="Arial Narrow" w:hAnsi="Arial Narrow" w:cs="Arial"/>
                <w:b/>
                <w:sz w:val="20"/>
                <w:szCs w:val="20"/>
              </w:rPr>
            </w:pPr>
            <w:r w:rsidRPr="00B70F42">
              <w:rPr>
                <w:rFonts w:ascii="Arial Narrow" w:hAnsi="Arial Narrow" w:cs="Arial"/>
                <w:b/>
                <w:sz w:val="20"/>
                <w:szCs w:val="20"/>
              </w:rPr>
              <w:t>Max.</w:t>
            </w:r>
          </w:p>
          <w:p w:rsidR="00826F6D" w:rsidRPr="00B70F42" w:rsidRDefault="00826F6D" w:rsidP="00EB0B63">
            <w:pPr>
              <w:keepNext/>
              <w:spacing w:before="40" w:after="40"/>
              <w:jc w:val="both"/>
              <w:rPr>
                <w:rFonts w:ascii="Arial Narrow" w:hAnsi="Arial Narrow" w:cs="Arial"/>
                <w:b/>
                <w:sz w:val="20"/>
                <w:szCs w:val="20"/>
              </w:rPr>
            </w:pPr>
            <w:r w:rsidRPr="00B70F42">
              <w:rPr>
                <w:rFonts w:ascii="Arial Narrow" w:hAnsi="Arial Narrow" w:cs="Arial"/>
                <w:b/>
                <w:sz w:val="20"/>
                <w:szCs w:val="20"/>
              </w:rPr>
              <w:t>Qty</w:t>
            </w:r>
          </w:p>
        </w:tc>
        <w:tc>
          <w:tcPr>
            <w:tcW w:w="641" w:type="pct"/>
            <w:tcBorders>
              <w:bottom w:val="single" w:sz="4" w:space="0" w:color="auto"/>
            </w:tcBorders>
          </w:tcPr>
          <w:p w:rsidR="00826F6D" w:rsidRPr="00B70F42" w:rsidRDefault="00826F6D" w:rsidP="00EB0B63">
            <w:pPr>
              <w:keepNext/>
              <w:spacing w:before="40" w:after="40"/>
              <w:jc w:val="both"/>
              <w:rPr>
                <w:rFonts w:ascii="Arial Narrow" w:hAnsi="Arial Narrow" w:cs="Arial"/>
                <w:b/>
                <w:sz w:val="20"/>
                <w:szCs w:val="20"/>
              </w:rPr>
            </w:pPr>
            <w:r w:rsidRPr="00B70F42">
              <w:rPr>
                <w:rFonts w:ascii="Arial Narrow" w:hAnsi="Arial Narrow" w:cs="Arial"/>
                <w:b/>
                <w:sz w:val="20"/>
                <w:szCs w:val="20"/>
              </w:rPr>
              <w:t>№.of</w:t>
            </w:r>
          </w:p>
          <w:p w:rsidR="00826F6D" w:rsidRPr="00B70F42" w:rsidRDefault="00826F6D" w:rsidP="00EB0B63">
            <w:pPr>
              <w:keepNext/>
              <w:spacing w:before="40" w:after="40"/>
              <w:jc w:val="both"/>
              <w:rPr>
                <w:rFonts w:ascii="Arial Narrow" w:hAnsi="Arial Narrow" w:cs="Arial"/>
                <w:b/>
                <w:sz w:val="20"/>
                <w:szCs w:val="20"/>
              </w:rPr>
            </w:pPr>
            <w:r w:rsidRPr="00B70F42">
              <w:rPr>
                <w:rFonts w:ascii="Arial Narrow" w:hAnsi="Arial Narrow" w:cs="Arial"/>
                <w:b/>
                <w:sz w:val="20"/>
                <w:szCs w:val="20"/>
              </w:rPr>
              <w:t>Rpts</w:t>
            </w:r>
          </w:p>
        </w:tc>
        <w:tc>
          <w:tcPr>
            <w:tcW w:w="846" w:type="pct"/>
            <w:tcBorders>
              <w:bottom w:val="single" w:sz="4" w:space="0" w:color="auto"/>
            </w:tcBorders>
          </w:tcPr>
          <w:p w:rsidR="00826F6D" w:rsidRPr="00B70F42" w:rsidRDefault="00826F6D" w:rsidP="00EB0B63">
            <w:pPr>
              <w:keepNext/>
              <w:spacing w:before="40" w:after="40"/>
              <w:jc w:val="both"/>
              <w:rPr>
                <w:rFonts w:ascii="Arial Narrow" w:hAnsi="Arial Narrow" w:cs="Arial"/>
                <w:b/>
                <w:sz w:val="20"/>
                <w:szCs w:val="20"/>
              </w:rPr>
            </w:pPr>
            <w:r w:rsidRPr="00B70F42">
              <w:rPr>
                <w:rFonts w:ascii="Arial Narrow" w:hAnsi="Arial Narrow" w:cs="Arial"/>
                <w:b/>
                <w:sz w:val="20"/>
                <w:szCs w:val="20"/>
              </w:rPr>
              <w:t>Dispensed Price for Max. Qty</w:t>
            </w:r>
          </w:p>
        </w:tc>
        <w:tc>
          <w:tcPr>
            <w:tcW w:w="1421" w:type="pct"/>
            <w:gridSpan w:val="2"/>
            <w:tcBorders>
              <w:bottom w:val="single" w:sz="4" w:space="0" w:color="auto"/>
            </w:tcBorders>
          </w:tcPr>
          <w:p w:rsidR="00826F6D" w:rsidRPr="00B70F42" w:rsidRDefault="00826F6D" w:rsidP="00EB0B63">
            <w:pPr>
              <w:keepNext/>
              <w:spacing w:before="40" w:after="40"/>
              <w:jc w:val="both"/>
              <w:rPr>
                <w:rFonts w:ascii="Arial Narrow" w:hAnsi="Arial Narrow" w:cs="Arial"/>
                <w:b/>
                <w:sz w:val="20"/>
                <w:szCs w:val="20"/>
              </w:rPr>
            </w:pPr>
            <w:r w:rsidRPr="00B70F42">
              <w:rPr>
                <w:rFonts w:ascii="Arial Narrow" w:hAnsi="Arial Narrow" w:cs="Arial"/>
                <w:b/>
                <w:sz w:val="20"/>
                <w:szCs w:val="20"/>
              </w:rPr>
              <w:t>Proprietary Name and Manufacturer</w:t>
            </w:r>
          </w:p>
        </w:tc>
      </w:tr>
      <w:tr w:rsidR="005C2E8C" w:rsidRPr="00B70F42" w:rsidTr="0031552C">
        <w:trPr>
          <w:cantSplit/>
          <w:trHeight w:val="404"/>
        </w:trPr>
        <w:tc>
          <w:tcPr>
            <w:tcW w:w="1736" w:type="pct"/>
          </w:tcPr>
          <w:p w:rsidR="00826F6D" w:rsidRPr="00B70F42" w:rsidRDefault="00113974" w:rsidP="00EB0B63">
            <w:pPr>
              <w:keepNext/>
              <w:spacing w:before="40" w:after="40"/>
              <w:jc w:val="both"/>
              <w:rPr>
                <w:rFonts w:ascii="Arial Narrow" w:hAnsi="Arial Narrow" w:cs="Arial"/>
                <w:sz w:val="20"/>
                <w:szCs w:val="20"/>
              </w:rPr>
            </w:pPr>
            <w:r w:rsidRPr="00B70F42">
              <w:rPr>
                <w:rFonts w:ascii="Arial Narrow" w:hAnsi="Arial Narrow" w:cs="Arial"/>
                <w:smallCaps/>
                <w:sz w:val="20"/>
                <w:szCs w:val="20"/>
              </w:rPr>
              <w:t>tocilizumab</w:t>
            </w:r>
          </w:p>
          <w:p w:rsidR="00826F6D" w:rsidRPr="00B70F42" w:rsidRDefault="00113974" w:rsidP="00CC4BC6">
            <w:pPr>
              <w:keepNext/>
              <w:spacing w:before="40" w:after="40"/>
              <w:jc w:val="both"/>
              <w:rPr>
                <w:rFonts w:ascii="Arial Narrow" w:hAnsi="Arial Narrow" w:cs="Arial"/>
                <w:sz w:val="20"/>
                <w:szCs w:val="20"/>
              </w:rPr>
            </w:pPr>
            <w:r w:rsidRPr="00B70F42">
              <w:rPr>
                <w:rFonts w:ascii="Arial Narrow" w:hAnsi="Arial Narrow" w:cs="Arial"/>
                <w:sz w:val="20"/>
                <w:szCs w:val="20"/>
              </w:rPr>
              <w:t>162 mg/0.9 mL injection</w:t>
            </w:r>
            <w:r w:rsidR="001F256A" w:rsidRPr="00B70F42">
              <w:rPr>
                <w:rFonts w:ascii="Arial Narrow" w:hAnsi="Arial Narrow" w:cs="Arial"/>
                <w:sz w:val="20"/>
                <w:szCs w:val="20"/>
              </w:rPr>
              <w:t xml:space="preserve">, 4 × 0.9 mL </w:t>
            </w:r>
            <w:r w:rsidR="00CC4BC6" w:rsidRPr="00B70F42">
              <w:rPr>
                <w:rFonts w:ascii="Arial Narrow" w:hAnsi="Arial Narrow" w:cs="Arial"/>
                <w:sz w:val="20"/>
                <w:szCs w:val="20"/>
              </w:rPr>
              <w:t>auto-injector</w:t>
            </w:r>
          </w:p>
        </w:tc>
        <w:tc>
          <w:tcPr>
            <w:tcW w:w="356" w:type="pct"/>
          </w:tcPr>
          <w:p w:rsidR="00826F6D" w:rsidRPr="00B70F42" w:rsidRDefault="00826F6D" w:rsidP="00EB0B63">
            <w:pPr>
              <w:keepNext/>
              <w:spacing w:before="40" w:after="40"/>
              <w:jc w:val="both"/>
              <w:rPr>
                <w:rFonts w:ascii="Arial Narrow" w:hAnsi="Arial Narrow" w:cs="Arial"/>
                <w:sz w:val="20"/>
                <w:szCs w:val="20"/>
              </w:rPr>
            </w:pPr>
          </w:p>
          <w:p w:rsidR="00826F6D" w:rsidRPr="00B70F42" w:rsidRDefault="005C2E8C" w:rsidP="00EB0B63">
            <w:pPr>
              <w:keepNext/>
              <w:spacing w:before="40" w:after="40"/>
              <w:jc w:val="both"/>
              <w:rPr>
                <w:rFonts w:ascii="Arial Narrow" w:hAnsi="Arial Narrow" w:cs="Arial"/>
                <w:sz w:val="20"/>
                <w:szCs w:val="20"/>
              </w:rPr>
            </w:pPr>
            <w:r w:rsidRPr="00B70F42">
              <w:rPr>
                <w:rFonts w:ascii="Arial Narrow" w:hAnsi="Arial Narrow" w:cs="Arial"/>
                <w:sz w:val="20"/>
                <w:szCs w:val="20"/>
              </w:rPr>
              <w:t>1</w:t>
            </w:r>
          </w:p>
        </w:tc>
        <w:tc>
          <w:tcPr>
            <w:tcW w:w="641" w:type="pct"/>
          </w:tcPr>
          <w:p w:rsidR="00826F6D" w:rsidRPr="00B70F42" w:rsidRDefault="00826F6D" w:rsidP="00EB0B63">
            <w:pPr>
              <w:keepNext/>
              <w:spacing w:before="40" w:after="40"/>
              <w:jc w:val="both"/>
              <w:rPr>
                <w:rFonts w:ascii="Arial Narrow" w:hAnsi="Arial Narrow" w:cs="Arial"/>
                <w:sz w:val="20"/>
                <w:szCs w:val="20"/>
              </w:rPr>
            </w:pPr>
          </w:p>
          <w:p w:rsidR="00826F6D" w:rsidRPr="00B70F42" w:rsidRDefault="005C2E8C" w:rsidP="00EB0B63">
            <w:pPr>
              <w:keepNext/>
              <w:spacing w:before="40" w:after="40"/>
              <w:jc w:val="both"/>
              <w:rPr>
                <w:rFonts w:ascii="Arial Narrow" w:hAnsi="Arial Narrow" w:cs="Arial"/>
                <w:sz w:val="20"/>
                <w:szCs w:val="20"/>
              </w:rPr>
            </w:pPr>
            <w:r w:rsidRPr="00B70F42">
              <w:rPr>
                <w:rFonts w:ascii="Arial Narrow" w:hAnsi="Arial Narrow" w:cs="Arial"/>
                <w:sz w:val="20"/>
                <w:szCs w:val="20"/>
              </w:rPr>
              <w:t>3(initial)</w:t>
            </w:r>
          </w:p>
          <w:p w:rsidR="005C2E8C" w:rsidRPr="00B70F42" w:rsidRDefault="005C2E8C" w:rsidP="00EB0B63">
            <w:pPr>
              <w:keepNext/>
              <w:spacing w:before="40" w:after="40"/>
              <w:jc w:val="both"/>
              <w:rPr>
                <w:rFonts w:ascii="Arial Narrow" w:hAnsi="Arial Narrow" w:cs="Arial"/>
                <w:sz w:val="20"/>
                <w:szCs w:val="20"/>
              </w:rPr>
            </w:pPr>
            <w:r w:rsidRPr="00B70F42">
              <w:rPr>
                <w:rFonts w:ascii="Arial Narrow" w:hAnsi="Arial Narrow" w:cs="Arial"/>
                <w:sz w:val="20"/>
                <w:szCs w:val="20"/>
              </w:rPr>
              <w:t>5(continuing)</w:t>
            </w:r>
          </w:p>
        </w:tc>
        <w:tc>
          <w:tcPr>
            <w:tcW w:w="846" w:type="pct"/>
          </w:tcPr>
          <w:p w:rsidR="00826F6D" w:rsidRPr="00B70F42" w:rsidRDefault="00826F6D" w:rsidP="00EB0B63">
            <w:pPr>
              <w:keepNext/>
              <w:spacing w:before="40" w:after="40"/>
              <w:jc w:val="both"/>
              <w:rPr>
                <w:rFonts w:ascii="Arial Narrow" w:hAnsi="Arial Narrow" w:cs="Arial"/>
                <w:sz w:val="20"/>
                <w:szCs w:val="20"/>
              </w:rPr>
            </w:pPr>
          </w:p>
          <w:p w:rsidR="00826F6D" w:rsidRPr="00B70F42" w:rsidRDefault="00826F6D" w:rsidP="00EB0B63">
            <w:pPr>
              <w:keepNext/>
              <w:spacing w:before="40" w:after="40"/>
              <w:jc w:val="both"/>
              <w:rPr>
                <w:rFonts w:ascii="Arial Narrow" w:hAnsi="Arial Narrow" w:cs="Arial"/>
                <w:sz w:val="20"/>
                <w:szCs w:val="20"/>
              </w:rPr>
            </w:pPr>
            <w:r w:rsidRPr="00B70F42">
              <w:rPr>
                <w:rFonts w:ascii="Arial Narrow" w:hAnsi="Arial Narrow" w:cs="Arial"/>
                <w:sz w:val="20"/>
                <w:szCs w:val="20"/>
              </w:rPr>
              <w:t>$</w:t>
            </w:r>
            <w:r w:rsidR="005C2E8C" w:rsidRPr="00B70F42">
              <w:rPr>
                <w:rFonts w:ascii="Arial Narrow" w:hAnsi="Arial Narrow" w:cs="Arial"/>
                <w:sz w:val="20"/>
                <w:szCs w:val="20"/>
              </w:rPr>
              <w:t>953.23</w:t>
            </w:r>
          </w:p>
        </w:tc>
        <w:tc>
          <w:tcPr>
            <w:tcW w:w="665" w:type="pct"/>
          </w:tcPr>
          <w:p w:rsidR="00826F6D" w:rsidRPr="00B70F42" w:rsidRDefault="005C2E8C" w:rsidP="00EB0B63">
            <w:pPr>
              <w:keepNext/>
              <w:spacing w:before="40" w:after="40"/>
              <w:jc w:val="both"/>
              <w:rPr>
                <w:rFonts w:ascii="Arial Narrow" w:hAnsi="Arial Narrow" w:cs="Arial"/>
                <w:sz w:val="20"/>
                <w:szCs w:val="20"/>
              </w:rPr>
            </w:pPr>
            <w:r w:rsidRPr="00B70F42">
              <w:rPr>
                <w:rFonts w:ascii="Arial Narrow" w:hAnsi="Arial Narrow" w:cs="Arial"/>
                <w:sz w:val="20"/>
                <w:szCs w:val="20"/>
              </w:rPr>
              <w:t>ACTEMERA</w:t>
            </w:r>
            <w:r w:rsidR="007B0D50" w:rsidRPr="00B70F42">
              <w:rPr>
                <w:rFonts w:ascii="Arial Narrow" w:hAnsi="Arial Narrow" w:cs="Arial"/>
                <w:sz w:val="20"/>
                <w:szCs w:val="20"/>
                <w:vertAlign w:val="superscript"/>
              </w:rPr>
              <w:t>®</w:t>
            </w:r>
            <w:r w:rsidRPr="00B70F42">
              <w:rPr>
                <w:rFonts w:ascii="Arial Narrow" w:hAnsi="Arial Narrow" w:cs="Arial"/>
                <w:sz w:val="20"/>
                <w:szCs w:val="20"/>
              </w:rPr>
              <w:t xml:space="preserve"> ACTPen</w:t>
            </w:r>
          </w:p>
        </w:tc>
        <w:tc>
          <w:tcPr>
            <w:tcW w:w="756" w:type="pct"/>
          </w:tcPr>
          <w:p w:rsidR="00C27B58" w:rsidRPr="00B70F42" w:rsidRDefault="00C27B58" w:rsidP="00EB0B63">
            <w:pPr>
              <w:keepNext/>
              <w:spacing w:before="40" w:after="40"/>
              <w:jc w:val="both"/>
              <w:rPr>
                <w:rFonts w:ascii="Arial Narrow" w:hAnsi="Arial Narrow" w:cs="Arial"/>
                <w:sz w:val="20"/>
                <w:szCs w:val="20"/>
              </w:rPr>
            </w:pPr>
          </w:p>
          <w:p w:rsidR="00B47063" w:rsidRDefault="005C2E8C" w:rsidP="005C2E8C">
            <w:pPr>
              <w:keepNext/>
              <w:spacing w:before="40" w:after="40"/>
              <w:jc w:val="both"/>
              <w:rPr>
                <w:rFonts w:ascii="Arial Narrow" w:hAnsi="Arial Narrow" w:cs="Arial"/>
                <w:sz w:val="20"/>
                <w:szCs w:val="20"/>
              </w:rPr>
            </w:pPr>
            <w:r w:rsidRPr="00B70F42">
              <w:rPr>
                <w:rFonts w:ascii="Arial Narrow" w:hAnsi="Arial Narrow" w:cs="Arial"/>
                <w:sz w:val="20"/>
                <w:szCs w:val="20"/>
              </w:rPr>
              <w:t xml:space="preserve">Roche Products </w:t>
            </w:r>
          </w:p>
          <w:p w:rsidR="00826F6D" w:rsidRPr="00B70F42" w:rsidRDefault="005C2E8C" w:rsidP="005C2E8C">
            <w:pPr>
              <w:keepNext/>
              <w:spacing w:before="40" w:after="40"/>
              <w:jc w:val="both"/>
              <w:rPr>
                <w:rFonts w:ascii="Arial Narrow" w:hAnsi="Arial Narrow" w:cs="Arial"/>
                <w:sz w:val="20"/>
                <w:szCs w:val="20"/>
              </w:rPr>
            </w:pPr>
            <w:r w:rsidRPr="00B70F42">
              <w:rPr>
                <w:rFonts w:ascii="Arial Narrow" w:hAnsi="Arial Narrow" w:cs="Arial"/>
                <w:sz w:val="20"/>
                <w:szCs w:val="20"/>
              </w:rPr>
              <w:t>Pty Ltd</w:t>
            </w:r>
          </w:p>
        </w:tc>
      </w:tr>
      <w:tr w:rsidR="00826F6D" w:rsidRPr="00B70F42" w:rsidTr="0031552C">
        <w:trPr>
          <w:cantSplit/>
          <w:trHeight w:val="360"/>
        </w:trPr>
        <w:tc>
          <w:tcPr>
            <w:tcW w:w="5000" w:type="pct"/>
            <w:gridSpan w:val="6"/>
          </w:tcPr>
          <w:p w:rsidR="00826F6D" w:rsidRPr="00B70F42" w:rsidRDefault="00826F6D" w:rsidP="00EB0B63">
            <w:pPr>
              <w:spacing w:before="40" w:after="40"/>
              <w:jc w:val="both"/>
              <w:rPr>
                <w:rFonts w:ascii="Arial Narrow" w:hAnsi="Arial Narrow" w:cs="Arial"/>
                <w:sz w:val="20"/>
                <w:szCs w:val="20"/>
              </w:rPr>
            </w:pPr>
          </w:p>
        </w:tc>
      </w:tr>
    </w:tbl>
    <w:p w:rsidR="00B3726C" w:rsidRPr="00B70F42" w:rsidRDefault="00B3726C" w:rsidP="00B3726C">
      <w:pPr>
        <w:pStyle w:val="ListParagraph"/>
        <w:ind w:left="709"/>
        <w:rPr>
          <w:rFonts w:asciiTheme="minorHAnsi" w:hAnsiTheme="minorHAnsi"/>
          <w:i/>
          <w:sz w:val="24"/>
          <w:szCs w:val="24"/>
        </w:rPr>
      </w:pPr>
      <w:r w:rsidRPr="00B70F42">
        <w:rPr>
          <w:rFonts w:asciiTheme="minorHAnsi" w:hAnsiTheme="minorHAnsi"/>
          <w:i/>
          <w:sz w:val="24"/>
          <w:szCs w:val="24"/>
        </w:rPr>
        <w:t xml:space="preserve">For more detail on PBAC’s view, see section </w:t>
      </w:r>
      <w:r w:rsidR="0035068A" w:rsidRPr="00B70F42">
        <w:rPr>
          <w:rFonts w:asciiTheme="minorHAnsi" w:hAnsiTheme="minorHAnsi"/>
          <w:i/>
          <w:sz w:val="24"/>
          <w:szCs w:val="24"/>
        </w:rPr>
        <w:t xml:space="preserve">5 </w:t>
      </w:r>
      <w:r w:rsidRPr="00B70F42">
        <w:rPr>
          <w:rFonts w:asciiTheme="minorHAnsi" w:hAnsiTheme="minorHAnsi"/>
          <w:i/>
          <w:sz w:val="24"/>
          <w:szCs w:val="24"/>
        </w:rPr>
        <w:t>PBAC outcome.</w:t>
      </w:r>
    </w:p>
    <w:p w:rsidR="00AC193C" w:rsidRPr="00B70F42" w:rsidRDefault="00AC193C" w:rsidP="00592C9A">
      <w:pPr>
        <w:pStyle w:val="ListParagraph"/>
        <w:widowControl/>
        <w:spacing w:after="120"/>
        <w:contextualSpacing w:val="0"/>
        <w:rPr>
          <w:rFonts w:asciiTheme="minorHAnsi" w:hAnsiTheme="minorHAnsi"/>
        </w:rPr>
      </w:pPr>
    </w:p>
    <w:p w:rsidR="00C603D4" w:rsidRPr="00B70F42" w:rsidRDefault="00CE10C4" w:rsidP="00696129">
      <w:pPr>
        <w:pStyle w:val="PBACHeading1"/>
        <w:spacing w:before="240" w:after="120"/>
        <w:ind w:left="709" w:hanging="709"/>
        <w:rPr>
          <w:rFonts w:asciiTheme="minorHAnsi" w:hAnsiTheme="minorHAnsi"/>
          <w:sz w:val="32"/>
          <w:szCs w:val="32"/>
        </w:rPr>
      </w:pPr>
      <w:r w:rsidRPr="00B70F42">
        <w:rPr>
          <w:rFonts w:asciiTheme="minorHAnsi" w:hAnsiTheme="minorHAnsi"/>
          <w:sz w:val="32"/>
          <w:szCs w:val="32"/>
        </w:rPr>
        <w:t>Background</w:t>
      </w:r>
    </w:p>
    <w:p w:rsidR="007C66CD" w:rsidRPr="00B70F42" w:rsidRDefault="007703BA" w:rsidP="007C66CD">
      <w:pPr>
        <w:pStyle w:val="ListParagraph"/>
        <w:widowControl/>
        <w:numPr>
          <w:ilvl w:val="1"/>
          <w:numId w:val="5"/>
        </w:numPr>
        <w:rPr>
          <w:rFonts w:asciiTheme="minorHAnsi" w:eastAsiaTheme="minorHAnsi" w:hAnsiTheme="minorHAnsi" w:cstheme="minorBidi"/>
          <w:snapToGrid/>
          <w:sz w:val="24"/>
          <w:szCs w:val="22"/>
        </w:rPr>
      </w:pPr>
      <w:r w:rsidRPr="00B70F42">
        <w:rPr>
          <w:rFonts w:asciiTheme="minorHAnsi" w:eastAsiaTheme="minorHAnsi" w:hAnsiTheme="minorHAnsi" w:cstheme="minorBidi"/>
          <w:snapToGrid/>
          <w:sz w:val="24"/>
          <w:szCs w:val="22"/>
        </w:rPr>
        <w:t xml:space="preserve">The auto-injector presentation of tocilizumab was TGA registered on </w:t>
      </w:r>
      <w:r w:rsidR="002C6F97" w:rsidRPr="00B70F42">
        <w:rPr>
          <w:rFonts w:asciiTheme="minorHAnsi" w:eastAsiaTheme="minorHAnsi" w:hAnsiTheme="minorHAnsi" w:cstheme="minorBidi"/>
          <w:snapToGrid/>
          <w:sz w:val="24"/>
          <w:szCs w:val="22"/>
        </w:rPr>
        <w:t>15 February 2018</w:t>
      </w:r>
      <w:r w:rsidRPr="00B70F42">
        <w:rPr>
          <w:rFonts w:asciiTheme="minorHAnsi" w:eastAsiaTheme="minorHAnsi" w:hAnsiTheme="minorHAnsi" w:cstheme="minorBidi"/>
          <w:snapToGrid/>
          <w:sz w:val="24"/>
          <w:szCs w:val="22"/>
        </w:rPr>
        <w:t xml:space="preserve"> for the same indications</w:t>
      </w:r>
      <w:r w:rsidR="007C66CD" w:rsidRPr="00B70F42">
        <w:rPr>
          <w:rFonts w:asciiTheme="minorHAnsi" w:eastAsiaTheme="minorHAnsi" w:hAnsiTheme="minorHAnsi" w:cstheme="minorBidi"/>
          <w:snapToGrid/>
          <w:sz w:val="24"/>
          <w:szCs w:val="22"/>
        </w:rPr>
        <w:t xml:space="preserve"> for</w:t>
      </w:r>
      <w:r w:rsidRPr="00B70F42">
        <w:rPr>
          <w:rFonts w:asciiTheme="minorHAnsi" w:eastAsiaTheme="minorHAnsi" w:hAnsiTheme="minorHAnsi" w:cstheme="minorBidi"/>
          <w:snapToGrid/>
          <w:sz w:val="24"/>
          <w:szCs w:val="22"/>
        </w:rPr>
        <w:t xml:space="preserve"> which other presentations of tocilizumab are currently registered for</w:t>
      </w:r>
      <w:r w:rsidR="007C66CD" w:rsidRPr="00B70F42">
        <w:rPr>
          <w:rFonts w:asciiTheme="minorHAnsi" w:eastAsiaTheme="minorHAnsi" w:hAnsiTheme="minorHAnsi" w:cstheme="minorBidi"/>
          <w:snapToGrid/>
          <w:sz w:val="24"/>
          <w:szCs w:val="22"/>
        </w:rPr>
        <w:t>:</w:t>
      </w:r>
    </w:p>
    <w:p w:rsidR="007C66CD" w:rsidRPr="00B70F42" w:rsidRDefault="007C66CD" w:rsidP="007C66CD">
      <w:pPr>
        <w:pStyle w:val="ListParagraph"/>
        <w:widowControl/>
        <w:numPr>
          <w:ilvl w:val="0"/>
          <w:numId w:val="16"/>
        </w:numPr>
        <w:rPr>
          <w:rFonts w:asciiTheme="minorHAnsi" w:eastAsiaTheme="minorHAnsi" w:hAnsiTheme="minorHAnsi" w:cstheme="minorBidi"/>
          <w:snapToGrid/>
          <w:sz w:val="24"/>
          <w:szCs w:val="22"/>
        </w:rPr>
      </w:pPr>
      <w:r w:rsidRPr="00B70F42">
        <w:rPr>
          <w:rFonts w:asciiTheme="minorHAnsi" w:eastAsiaTheme="minorHAnsi" w:hAnsiTheme="minorHAnsi" w:cstheme="minorBidi"/>
          <w:snapToGrid/>
          <w:sz w:val="24"/>
          <w:szCs w:val="22"/>
        </w:rPr>
        <w:t>The treatment of moderate to seve</w:t>
      </w:r>
      <w:r w:rsidR="00D92155" w:rsidRPr="00B70F42">
        <w:rPr>
          <w:rFonts w:asciiTheme="minorHAnsi" w:eastAsiaTheme="minorHAnsi" w:hAnsiTheme="minorHAnsi" w:cstheme="minorBidi"/>
          <w:snapToGrid/>
          <w:sz w:val="24"/>
          <w:szCs w:val="22"/>
        </w:rPr>
        <w:t xml:space="preserve">re active </w:t>
      </w:r>
      <w:r w:rsidRPr="00B70F42">
        <w:rPr>
          <w:rFonts w:asciiTheme="minorHAnsi" w:eastAsiaTheme="minorHAnsi" w:hAnsiTheme="minorHAnsi" w:cstheme="minorBidi"/>
          <w:snapToGrid/>
          <w:sz w:val="24"/>
          <w:szCs w:val="22"/>
        </w:rPr>
        <w:t>RA in adult patients in combination with methotrexate (MTX) or other non-biological disease-</w:t>
      </w:r>
      <w:r w:rsidRPr="00B70F42">
        <w:rPr>
          <w:rFonts w:asciiTheme="minorHAnsi" w:eastAsiaTheme="minorHAnsi" w:hAnsiTheme="minorHAnsi" w:cstheme="minorBidi"/>
          <w:snapToGrid/>
          <w:sz w:val="24"/>
          <w:szCs w:val="22"/>
        </w:rPr>
        <w:lastRenderedPageBreak/>
        <w:t>modifying anti-rheumatic drugs (DMARDs) in case of either an inadequate response or intolerance to previous therapy with one or more DMARDs.</w:t>
      </w:r>
    </w:p>
    <w:p w:rsidR="007C66CD" w:rsidRPr="00B70F42" w:rsidRDefault="007C66CD" w:rsidP="007C66CD">
      <w:pPr>
        <w:pStyle w:val="ListParagraph"/>
        <w:widowControl/>
        <w:numPr>
          <w:ilvl w:val="0"/>
          <w:numId w:val="16"/>
        </w:numPr>
        <w:rPr>
          <w:rFonts w:asciiTheme="minorHAnsi" w:eastAsiaTheme="minorHAnsi" w:hAnsiTheme="minorHAnsi" w:cstheme="minorBidi"/>
          <w:snapToGrid/>
          <w:sz w:val="24"/>
          <w:szCs w:val="22"/>
        </w:rPr>
      </w:pPr>
      <w:r w:rsidRPr="00B70F42">
        <w:rPr>
          <w:rFonts w:asciiTheme="minorHAnsi" w:eastAsiaTheme="minorHAnsi" w:hAnsiTheme="minorHAnsi" w:cstheme="minorBidi"/>
          <w:snapToGrid/>
          <w:sz w:val="24"/>
          <w:szCs w:val="22"/>
        </w:rPr>
        <w:t>Tocilizumab SC is indicated for the treatment of moderate to severe active rheumatoid arthritis in adult patients with poor prognostic factors in combination with MTX in those not previously treated with MTX.</w:t>
      </w:r>
    </w:p>
    <w:p w:rsidR="00933547" w:rsidRPr="00B70F42" w:rsidRDefault="007C66CD" w:rsidP="00933547">
      <w:pPr>
        <w:pStyle w:val="ListParagraph"/>
        <w:widowControl/>
        <w:numPr>
          <w:ilvl w:val="0"/>
          <w:numId w:val="16"/>
        </w:numPr>
        <w:rPr>
          <w:rFonts w:asciiTheme="minorHAnsi" w:eastAsiaTheme="minorHAnsi" w:hAnsiTheme="minorHAnsi" w:cstheme="minorBidi"/>
          <w:snapToGrid/>
          <w:sz w:val="24"/>
          <w:szCs w:val="22"/>
        </w:rPr>
      </w:pPr>
      <w:r w:rsidRPr="00B70F42">
        <w:rPr>
          <w:rFonts w:asciiTheme="minorHAnsi" w:eastAsiaTheme="minorHAnsi" w:hAnsiTheme="minorHAnsi" w:cstheme="minorBidi"/>
          <w:snapToGrid/>
          <w:sz w:val="24"/>
          <w:szCs w:val="22"/>
        </w:rPr>
        <w:t>In the two groups of patie</w:t>
      </w:r>
      <w:r w:rsidR="00FC480B">
        <w:rPr>
          <w:rFonts w:asciiTheme="minorHAnsi" w:eastAsiaTheme="minorHAnsi" w:hAnsiTheme="minorHAnsi" w:cstheme="minorBidi"/>
          <w:snapToGrid/>
          <w:sz w:val="24"/>
          <w:szCs w:val="22"/>
        </w:rPr>
        <w:t>nts above, t</w:t>
      </w:r>
      <w:r w:rsidRPr="00B70F42">
        <w:rPr>
          <w:rFonts w:asciiTheme="minorHAnsi" w:eastAsiaTheme="minorHAnsi" w:hAnsiTheme="minorHAnsi" w:cstheme="minorBidi"/>
          <w:snapToGrid/>
          <w:sz w:val="24"/>
          <w:szCs w:val="22"/>
        </w:rPr>
        <w:t>ocilizumab SC can be given as monotherapy in case of intolerance to MTX or where continued treatment with MTX is inappropriate.</w:t>
      </w:r>
    </w:p>
    <w:p w:rsidR="00B3726C" w:rsidRPr="00B70F42" w:rsidRDefault="007C66CD" w:rsidP="00B3726C">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B70F42">
        <w:rPr>
          <w:rFonts w:asciiTheme="minorHAnsi" w:eastAsiaTheme="minorHAnsi" w:hAnsiTheme="minorHAnsi" w:cstheme="minorBidi"/>
          <w:snapToGrid/>
          <w:sz w:val="24"/>
          <w:szCs w:val="22"/>
        </w:rPr>
        <w:t xml:space="preserve">The SC pre-filled syringe presentation was recommended for PBS listing as monotherapy or in </w:t>
      </w:r>
      <w:r w:rsidR="00351136" w:rsidRPr="00B70F42">
        <w:rPr>
          <w:rFonts w:asciiTheme="minorHAnsi" w:eastAsiaTheme="minorHAnsi" w:hAnsiTheme="minorHAnsi" w:cstheme="minorBidi"/>
          <w:snapToGrid/>
          <w:sz w:val="24"/>
          <w:szCs w:val="22"/>
        </w:rPr>
        <w:t>combination</w:t>
      </w:r>
      <w:r w:rsidRPr="00B70F42">
        <w:rPr>
          <w:rFonts w:asciiTheme="minorHAnsi" w:eastAsiaTheme="minorHAnsi" w:hAnsiTheme="minorHAnsi" w:cstheme="minorBidi"/>
          <w:snapToGrid/>
          <w:sz w:val="24"/>
          <w:szCs w:val="22"/>
        </w:rPr>
        <w:t xml:space="preserve"> with MTX, for patients with prior DMARD inadequate response, on a cost-minimisation basis</w:t>
      </w:r>
      <w:r w:rsidR="00B42DFA" w:rsidRPr="00B70F42">
        <w:rPr>
          <w:rFonts w:asciiTheme="minorHAnsi" w:eastAsiaTheme="minorHAnsi" w:hAnsiTheme="minorHAnsi" w:cstheme="minorBidi"/>
          <w:snapToGrid/>
          <w:sz w:val="24"/>
          <w:szCs w:val="22"/>
        </w:rPr>
        <w:t xml:space="preserve"> with other bDMARDs</w:t>
      </w:r>
      <w:r w:rsidRPr="00B70F42">
        <w:rPr>
          <w:rFonts w:asciiTheme="minorHAnsi" w:eastAsiaTheme="minorHAnsi" w:hAnsiTheme="minorHAnsi" w:cstheme="minorBidi"/>
          <w:snapToGrid/>
          <w:sz w:val="24"/>
          <w:szCs w:val="22"/>
        </w:rPr>
        <w:t xml:space="preserve"> by the PBAC in March 2016.</w:t>
      </w:r>
    </w:p>
    <w:p w:rsidR="00B3726C" w:rsidRPr="00AF220A" w:rsidRDefault="00B3726C" w:rsidP="00AF220A">
      <w:pPr>
        <w:pStyle w:val="ListParagraph"/>
        <w:ind w:left="709"/>
        <w:rPr>
          <w:rFonts w:asciiTheme="minorHAnsi" w:hAnsiTheme="minorHAnsi"/>
          <w:i/>
          <w:sz w:val="24"/>
          <w:szCs w:val="24"/>
        </w:rPr>
      </w:pPr>
      <w:r w:rsidRPr="00B70F42">
        <w:rPr>
          <w:rFonts w:asciiTheme="minorHAnsi" w:hAnsiTheme="minorHAnsi"/>
          <w:i/>
          <w:sz w:val="24"/>
          <w:szCs w:val="24"/>
        </w:rPr>
        <w:t xml:space="preserve">For more detail on PBAC’s view, see section </w:t>
      </w:r>
      <w:r w:rsidR="0035068A" w:rsidRPr="00B70F42">
        <w:rPr>
          <w:rFonts w:asciiTheme="minorHAnsi" w:hAnsiTheme="minorHAnsi"/>
          <w:i/>
          <w:sz w:val="24"/>
          <w:szCs w:val="24"/>
        </w:rPr>
        <w:t xml:space="preserve">5 </w:t>
      </w:r>
      <w:r w:rsidRPr="00B70F42">
        <w:rPr>
          <w:rFonts w:asciiTheme="minorHAnsi" w:hAnsiTheme="minorHAnsi"/>
          <w:i/>
          <w:sz w:val="24"/>
          <w:szCs w:val="24"/>
        </w:rPr>
        <w:t>PBAC outcome.</w:t>
      </w:r>
    </w:p>
    <w:p w:rsidR="000B558D" w:rsidRPr="00B70F42"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B70F42">
        <w:rPr>
          <w:rFonts w:asciiTheme="minorHAnsi" w:hAnsiTheme="minorHAnsi"/>
          <w:sz w:val="32"/>
          <w:szCs w:val="32"/>
        </w:rPr>
        <w:t>C</w:t>
      </w:r>
      <w:r w:rsidR="00D84934" w:rsidRPr="00B70F42">
        <w:rPr>
          <w:rFonts w:asciiTheme="minorHAnsi" w:hAnsiTheme="minorHAnsi"/>
          <w:sz w:val="32"/>
          <w:szCs w:val="32"/>
        </w:rPr>
        <w:t>onsideration of the evidence</w:t>
      </w:r>
    </w:p>
    <w:p w:rsidR="00B3726C" w:rsidRPr="00356175" w:rsidRDefault="00B3726C" w:rsidP="00356175">
      <w:pPr>
        <w:pStyle w:val="Heading2"/>
        <w:keepLines/>
        <w:spacing w:before="240" w:after="120"/>
        <w:rPr>
          <w:rFonts w:asciiTheme="minorHAnsi" w:eastAsiaTheme="majorEastAsia" w:hAnsiTheme="minorHAnsi" w:cstheme="majorBidi"/>
          <w:sz w:val="28"/>
          <w:szCs w:val="28"/>
          <w:lang w:eastAsia="en-US"/>
        </w:rPr>
      </w:pPr>
      <w:r w:rsidRPr="00356175">
        <w:rPr>
          <w:rFonts w:asciiTheme="minorHAnsi" w:eastAsiaTheme="majorEastAsia" w:hAnsiTheme="minorHAnsi" w:cstheme="majorBidi"/>
          <w:sz w:val="28"/>
          <w:szCs w:val="28"/>
          <w:lang w:eastAsia="en-US"/>
        </w:rPr>
        <w:t>Sponsor hearing</w:t>
      </w:r>
    </w:p>
    <w:p w:rsidR="00B3726C" w:rsidRPr="00B70F42" w:rsidRDefault="00B3726C" w:rsidP="00CD2742">
      <w:pPr>
        <w:widowControl w:val="0"/>
        <w:numPr>
          <w:ilvl w:val="1"/>
          <w:numId w:val="5"/>
        </w:numPr>
        <w:spacing w:after="120"/>
        <w:jc w:val="both"/>
        <w:rPr>
          <w:rFonts w:asciiTheme="minorHAnsi" w:hAnsiTheme="minorHAnsi" w:cs="Arial"/>
          <w:bCs/>
          <w:snapToGrid w:val="0"/>
        </w:rPr>
      </w:pPr>
      <w:r w:rsidRPr="00B70F42">
        <w:rPr>
          <w:rFonts w:asciiTheme="minorHAnsi" w:hAnsiTheme="minorHAnsi" w:cs="Arial"/>
          <w:bCs/>
          <w:snapToGrid w:val="0"/>
        </w:rPr>
        <w:t>There was no hearing for this item as it was a minor submission.</w:t>
      </w:r>
    </w:p>
    <w:p w:rsidR="00B3726C" w:rsidRPr="00356175" w:rsidRDefault="00B3726C" w:rsidP="00356175">
      <w:pPr>
        <w:pStyle w:val="Heading2"/>
        <w:keepLines/>
        <w:spacing w:before="240" w:after="120"/>
        <w:rPr>
          <w:rFonts w:asciiTheme="minorHAnsi" w:eastAsiaTheme="majorEastAsia" w:hAnsiTheme="minorHAnsi" w:cstheme="majorBidi"/>
          <w:sz w:val="28"/>
          <w:szCs w:val="28"/>
          <w:lang w:eastAsia="en-US"/>
        </w:rPr>
      </w:pPr>
      <w:r w:rsidRPr="00356175">
        <w:rPr>
          <w:rFonts w:asciiTheme="minorHAnsi" w:eastAsiaTheme="majorEastAsia" w:hAnsiTheme="minorHAnsi" w:cstheme="majorBidi"/>
          <w:sz w:val="28"/>
          <w:szCs w:val="28"/>
          <w:lang w:eastAsia="en-US"/>
        </w:rPr>
        <w:t>Consumer comments</w:t>
      </w:r>
    </w:p>
    <w:p w:rsidR="00CD2742" w:rsidRPr="00B70F42" w:rsidRDefault="00CD2742" w:rsidP="00CD2742">
      <w:pPr>
        <w:widowControl w:val="0"/>
        <w:numPr>
          <w:ilvl w:val="1"/>
          <w:numId w:val="5"/>
        </w:numPr>
        <w:spacing w:after="120"/>
        <w:jc w:val="both"/>
        <w:rPr>
          <w:rFonts w:asciiTheme="minorHAnsi" w:hAnsiTheme="minorHAnsi" w:cs="Arial"/>
          <w:bCs/>
          <w:snapToGrid w:val="0"/>
        </w:rPr>
      </w:pPr>
      <w:r w:rsidRPr="00B70F42">
        <w:rPr>
          <w:rFonts w:asciiTheme="minorHAnsi" w:hAnsiTheme="minorHAnsi" w:cs="Arial"/>
          <w:bCs/>
          <w:snapToGrid w:val="0"/>
        </w:rPr>
        <w:t>The PBAC noted that no consumer comments were received for this item.</w:t>
      </w:r>
    </w:p>
    <w:p w:rsidR="00787316" w:rsidRPr="00B70F42" w:rsidRDefault="00787316" w:rsidP="009D019F">
      <w:pPr>
        <w:pStyle w:val="Heading2"/>
        <w:keepLines/>
        <w:spacing w:before="240" w:after="120"/>
        <w:rPr>
          <w:rFonts w:asciiTheme="minorHAnsi" w:eastAsiaTheme="majorEastAsia" w:hAnsiTheme="minorHAnsi" w:cstheme="majorBidi"/>
          <w:sz w:val="28"/>
          <w:szCs w:val="28"/>
          <w:lang w:eastAsia="en-US"/>
        </w:rPr>
      </w:pPr>
      <w:r w:rsidRPr="00B70F42">
        <w:rPr>
          <w:rFonts w:asciiTheme="minorHAnsi" w:eastAsiaTheme="majorEastAsia" w:hAnsiTheme="minorHAnsi" w:cstheme="majorBidi"/>
          <w:sz w:val="28"/>
          <w:szCs w:val="28"/>
          <w:lang w:eastAsia="en-US"/>
        </w:rPr>
        <w:t>Clinical claim</w:t>
      </w:r>
    </w:p>
    <w:p w:rsidR="00351136" w:rsidRPr="00B70F42" w:rsidRDefault="00351136" w:rsidP="00F550CF">
      <w:pPr>
        <w:pStyle w:val="ListParagraph"/>
        <w:widowControl/>
        <w:numPr>
          <w:ilvl w:val="1"/>
          <w:numId w:val="14"/>
        </w:numPr>
        <w:spacing w:before="120" w:after="160"/>
        <w:contextualSpacing w:val="0"/>
        <w:rPr>
          <w:rFonts w:asciiTheme="minorHAnsi" w:eastAsiaTheme="minorHAnsi" w:hAnsiTheme="minorHAnsi" w:cstheme="minorBidi"/>
          <w:i/>
          <w:snapToGrid/>
          <w:sz w:val="24"/>
          <w:szCs w:val="22"/>
        </w:rPr>
      </w:pPr>
      <w:r w:rsidRPr="00B70F42">
        <w:rPr>
          <w:rFonts w:asciiTheme="minorHAnsi" w:eastAsiaTheme="minorHAnsi" w:hAnsiTheme="minorHAnsi" w:cstheme="minorBidi"/>
          <w:snapToGrid/>
          <w:sz w:val="24"/>
          <w:szCs w:val="22"/>
        </w:rPr>
        <w:t>The submission claimed that auto</w:t>
      </w:r>
      <w:r w:rsidR="00DB5403" w:rsidRPr="00B70F42">
        <w:rPr>
          <w:rFonts w:asciiTheme="minorHAnsi" w:eastAsiaTheme="minorHAnsi" w:hAnsiTheme="minorHAnsi" w:cstheme="minorBidi"/>
          <w:snapToGrid/>
          <w:sz w:val="24"/>
          <w:szCs w:val="22"/>
        </w:rPr>
        <w:t>-</w:t>
      </w:r>
      <w:r w:rsidRPr="00B70F42">
        <w:rPr>
          <w:rFonts w:asciiTheme="minorHAnsi" w:eastAsiaTheme="minorHAnsi" w:hAnsiTheme="minorHAnsi" w:cstheme="minorBidi"/>
          <w:snapToGrid/>
          <w:sz w:val="24"/>
          <w:szCs w:val="22"/>
        </w:rPr>
        <w:t>injector devices are widely preferred by clinicians and patients, and this new presentation of tocilizumab would provide a more convenient administration option over the pre-filled syringe presentation</w:t>
      </w:r>
      <w:r w:rsidR="00DB5403" w:rsidRPr="00B70F42">
        <w:rPr>
          <w:rFonts w:asciiTheme="minorHAnsi" w:eastAsiaTheme="minorHAnsi" w:hAnsiTheme="minorHAnsi" w:cstheme="minorBidi"/>
          <w:snapToGrid/>
          <w:sz w:val="24"/>
          <w:szCs w:val="22"/>
        </w:rPr>
        <w:t xml:space="preserve"> of tocilizumab</w:t>
      </w:r>
      <w:r w:rsidRPr="00B70F42">
        <w:rPr>
          <w:rFonts w:asciiTheme="minorHAnsi" w:eastAsiaTheme="minorHAnsi" w:hAnsiTheme="minorHAnsi" w:cstheme="minorBidi"/>
          <w:snapToGrid/>
          <w:sz w:val="24"/>
          <w:szCs w:val="22"/>
        </w:rPr>
        <w:t>.</w:t>
      </w:r>
      <w:r w:rsidR="001E15A1" w:rsidRPr="00B70F42">
        <w:rPr>
          <w:rFonts w:asciiTheme="minorHAnsi" w:eastAsiaTheme="minorHAnsi" w:hAnsiTheme="minorHAnsi" w:cstheme="minorBidi"/>
          <w:snapToGrid/>
          <w:sz w:val="24"/>
          <w:szCs w:val="22"/>
        </w:rPr>
        <w:t xml:space="preserve"> </w:t>
      </w:r>
      <w:r w:rsidR="008A77C4" w:rsidRPr="00FC480B">
        <w:rPr>
          <w:rFonts w:asciiTheme="minorHAnsi" w:eastAsiaTheme="minorHAnsi" w:hAnsiTheme="minorHAnsi" w:cstheme="minorBidi"/>
          <w:snapToGrid/>
          <w:sz w:val="24"/>
          <w:szCs w:val="22"/>
        </w:rPr>
        <w:t>The submission did not provide any evidence to support this claim.</w:t>
      </w:r>
    </w:p>
    <w:p w:rsidR="00103F45" w:rsidRPr="00B70F42" w:rsidRDefault="00351136" w:rsidP="006216A2">
      <w:pPr>
        <w:pStyle w:val="ListParagraph"/>
        <w:widowControl/>
        <w:numPr>
          <w:ilvl w:val="1"/>
          <w:numId w:val="14"/>
        </w:numPr>
        <w:spacing w:before="120" w:after="160"/>
        <w:contextualSpacing w:val="0"/>
        <w:rPr>
          <w:rFonts w:asciiTheme="minorHAnsi" w:eastAsiaTheme="minorHAnsi" w:hAnsiTheme="minorHAnsi" w:cstheme="minorBidi"/>
          <w:i/>
          <w:snapToGrid/>
          <w:sz w:val="24"/>
          <w:szCs w:val="22"/>
        </w:rPr>
      </w:pPr>
      <w:r w:rsidRPr="00B70F42">
        <w:rPr>
          <w:rFonts w:asciiTheme="minorHAnsi" w:eastAsiaTheme="minorHAnsi" w:hAnsiTheme="minorHAnsi" w:cstheme="minorBidi"/>
          <w:snapToGrid/>
          <w:sz w:val="24"/>
          <w:szCs w:val="22"/>
        </w:rPr>
        <w:t xml:space="preserve">Based on a </w:t>
      </w:r>
      <w:r w:rsidR="009D019F" w:rsidRPr="00B70F42">
        <w:rPr>
          <w:rFonts w:asciiTheme="minorHAnsi" w:eastAsiaTheme="minorHAnsi" w:hAnsiTheme="minorHAnsi" w:cstheme="minorBidi"/>
          <w:snapToGrid/>
          <w:sz w:val="24"/>
          <w:szCs w:val="22"/>
        </w:rPr>
        <w:t xml:space="preserve">market share analysis </w:t>
      </w:r>
      <w:r w:rsidR="00971DF5" w:rsidRPr="00B70F42">
        <w:rPr>
          <w:rFonts w:asciiTheme="minorHAnsi" w:eastAsiaTheme="minorHAnsi" w:hAnsiTheme="minorHAnsi" w:cstheme="minorBidi"/>
          <w:snapToGrid/>
          <w:sz w:val="24"/>
          <w:szCs w:val="22"/>
        </w:rPr>
        <w:t>of 10</w:t>
      </w:r>
      <w:r w:rsidRPr="00B70F42">
        <w:rPr>
          <w:rFonts w:asciiTheme="minorHAnsi" w:eastAsiaTheme="minorHAnsi" w:hAnsiTheme="minorHAnsi" w:cstheme="minorBidi"/>
          <w:snapToGrid/>
          <w:sz w:val="24"/>
          <w:szCs w:val="22"/>
        </w:rPr>
        <w:t xml:space="preserve">% </w:t>
      </w:r>
      <w:r w:rsidR="007703BA" w:rsidRPr="00B70F42">
        <w:rPr>
          <w:rFonts w:asciiTheme="minorHAnsi" w:eastAsiaTheme="minorHAnsi" w:hAnsiTheme="minorHAnsi" w:cstheme="minorBidi"/>
          <w:snapToGrid/>
          <w:sz w:val="24"/>
          <w:szCs w:val="22"/>
        </w:rPr>
        <w:t>Medicare Sample</w:t>
      </w:r>
      <w:r w:rsidRPr="00B70F42">
        <w:rPr>
          <w:rFonts w:asciiTheme="minorHAnsi" w:eastAsiaTheme="minorHAnsi" w:hAnsiTheme="minorHAnsi" w:cstheme="minorBidi"/>
          <w:snapToGrid/>
          <w:sz w:val="24"/>
          <w:szCs w:val="22"/>
        </w:rPr>
        <w:t xml:space="preserve"> data</w:t>
      </w:r>
      <w:r w:rsidR="00413520" w:rsidRPr="00B70F42">
        <w:rPr>
          <w:rFonts w:asciiTheme="minorHAnsi" w:eastAsiaTheme="minorHAnsi" w:hAnsiTheme="minorHAnsi" w:cstheme="minorBidi"/>
          <w:snapToGrid/>
          <w:sz w:val="24"/>
          <w:szCs w:val="22"/>
        </w:rPr>
        <w:t xml:space="preserve"> in 2016 and 2017</w:t>
      </w:r>
      <w:r w:rsidRPr="00B70F42">
        <w:rPr>
          <w:rFonts w:asciiTheme="minorHAnsi" w:eastAsiaTheme="minorHAnsi" w:hAnsiTheme="minorHAnsi" w:cstheme="minorBidi"/>
          <w:snapToGrid/>
          <w:sz w:val="24"/>
          <w:szCs w:val="22"/>
        </w:rPr>
        <w:t>, the sponsor</w:t>
      </w:r>
      <w:r w:rsidR="00413520" w:rsidRPr="00B70F42">
        <w:rPr>
          <w:rFonts w:asciiTheme="minorHAnsi" w:eastAsiaTheme="minorHAnsi" w:hAnsiTheme="minorHAnsi" w:cstheme="minorBidi"/>
          <w:snapToGrid/>
          <w:sz w:val="24"/>
          <w:szCs w:val="22"/>
        </w:rPr>
        <w:t xml:space="preserve"> claimed </w:t>
      </w:r>
      <w:r w:rsidRPr="00B70F42">
        <w:rPr>
          <w:rFonts w:asciiTheme="minorHAnsi" w:eastAsiaTheme="minorHAnsi" w:hAnsiTheme="minorHAnsi" w:cstheme="minorBidi"/>
          <w:snapToGrid/>
          <w:sz w:val="24"/>
          <w:szCs w:val="22"/>
        </w:rPr>
        <w:t>that more than half of patients who received SC</w:t>
      </w:r>
      <w:r w:rsidR="00B47063">
        <w:rPr>
          <w:rFonts w:asciiTheme="minorHAnsi" w:eastAsiaTheme="minorHAnsi" w:hAnsiTheme="minorHAnsi" w:cstheme="minorBidi"/>
          <w:snapToGrid/>
          <w:sz w:val="24"/>
          <w:szCs w:val="22"/>
        </w:rPr>
        <w:t xml:space="preserve"> bDMARD</w:t>
      </w:r>
      <w:r w:rsidRPr="00B70F42">
        <w:rPr>
          <w:rFonts w:asciiTheme="minorHAnsi" w:eastAsiaTheme="minorHAnsi" w:hAnsiTheme="minorHAnsi" w:cstheme="minorBidi"/>
          <w:snapToGrid/>
          <w:sz w:val="24"/>
          <w:szCs w:val="22"/>
        </w:rPr>
        <w:t xml:space="preserve"> </w:t>
      </w:r>
      <w:r w:rsidR="00413520" w:rsidRPr="00B70F42">
        <w:rPr>
          <w:rFonts w:asciiTheme="minorHAnsi" w:eastAsiaTheme="minorHAnsi" w:hAnsiTheme="minorHAnsi" w:cstheme="minorBidi"/>
          <w:snapToGrid/>
          <w:sz w:val="24"/>
          <w:szCs w:val="22"/>
        </w:rPr>
        <w:t>treatment</w:t>
      </w:r>
      <w:r w:rsidRPr="00B70F42">
        <w:rPr>
          <w:rFonts w:asciiTheme="minorHAnsi" w:eastAsiaTheme="minorHAnsi" w:hAnsiTheme="minorHAnsi" w:cstheme="minorBidi"/>
          <w:snapToGrid/>
          <w:sz w:val="24"/>
          <w:szCs w:val="22"/>
        </w:rPr>
        <w:t xml:space="preserve"> were administered with pre-filled pens compared to pre-filled syringe presentations. </w:t>
      </w:r>
    </w:p>
    <w:p w:rsidR="00351136" w:rsidRPr="00B70F42" w:rsidRDefault="006216A2" w:rsidP="006216A2">
      <w:pPr>
        <w:pStyle w:val="ListParagraph"/>
        <w:widowControl/>
        <w:numPr>
          <w:ilvl w:val="1"/>
          <w:numId w:val="14"/>
        </w:numPr>
        <w:spacing w:before="120" w:after="160"/>
        <w:contextualSpacing w:val="0"/>
        <w:rPr>
          <w:rFonts w:asciiTheme="minorHAnsi" w:eastAsiaTheme="minorHAnsi" w:hAnsiTheme="minorHAnsi" w:cstheme="minorBidi"/>
          <w:i/>
          <w:snapToGrid/>
          <w:sz w:val="24"/>
          <w:szCs w:val="22"/>
        </w:rPr>
      </w:pPr>
      <w:r w:rsidRPr="00B70F42">
        <w:rPr>
          <w:rFonts w:asciiTheme="minorHAnsi" w:eastAsiaTheme="minorHAnsi" w:hAnsiTheme="minorHAnsi" w:cstheme="minorBidi"/>
          <w:snapToGrid/>
          <w:sz w:val="24"/>
          <w:szCs w:val="22"/>
        </w:rPr>
        <w:t xml:space="preserve">The pre-PBAC response provided a similar market share analysis with data from March 2015 to March 2018. The result also indicated that the majority of patients were administered treatment with auto injector delivery devices. </w:t>
      </w:r>
      <w:r w:rsidR="00E637C8">
        <w:rPr>
          <w:rFonts w:asciiTheme="minorHAnsi" w:eastAsiaTheme="minorHAnsi" w:hAnsiTheme="minorHAnsi" w:cstheme="minorBidi"/>
          <w:snapToGrid/>
          <w:sz w:val="24"/>
          <w:szCs w:val="22"/>
        </w:rPr>
        <w:t>Neither a</w:t>
      </w:r>
      <w:r w:rsidR="00103F45" w:rsidRPr="00B70F42">
        <w:rPr>
          <w:rFonts w:asciiTheme="minorHAnsi" w:eastAsiaTheme="minorHAnsi" w:hAnsiTheme="minorHAnsi" w:cstheme="minorBidi"/>
          <w:snapToGrid/>
          <w:sz w:val="24"/>
          <w:szCs w:val="22"/>
        </w:rPr>
        <w:t>nalys</w:t>
      </w:r>
      <w:r w:rsidR="00E637C8">
        <w:rPr>
          <w:rFonts w:asciiTheme="minorHAnsi" w:eastAsiaTheme="minorHAnsi" w:hAnsiTheme="minorHAnsi" w:cstheme="minorBidi"/>
          <w:snapToGrid/>
          <w:sz w:val="24"/>
          <w:szCs w:val="22"/>
        </w:rPr>
        <w:t>i</w:t>
      </w:r>
      <w:r w:rsidR="00413520" w:rsidRPr="00B70F42">
        <w:rPr>
          <w:rFonts w:asciiTheme="minorHAnsi" w:eastAsiaTheme="minorHAnsi" w:hAnsiTheme="minorHAnsi" w:cstheme="minorBidi"/>
          <w:snapToGrid/>
          <w:sz w:val="24"/>
          <w:szCs w:val="22"/>
        </w:rPr>
        <w:t>s w</w:t>
      </w:r>
      <w:r w:rsidR="00E637C8">
        <w:rPr>
          <w:rFonts w:asciiTheme="minorHAnsi" w:eastAsiaTheme="minorHAnsi" w:hAnsiTheme="minorHAnsi" w:cstheme="minorBidi"/>
          <w:snapToGrid/>
          <w:sz w:val="24"/>
          <w:szCs w:val="22"/>
        </w:rPr>
        <w:t>as</w:t>
      </w:r>
      <w:r w:rsidR="00413520" w:rsidRPr="00B70F42">
        <w:rPr>
          <w:rFonts w:asciiTheme="minorHAnsi" w:eastAsiaTheme="minorHAnsi" w:hAnsiTheme="minorHAnsi" w:cstheme="minorBidi"/>
          <w:snapToGrid/>
          <w:sz w:val="24"/>
          <w:szCs w:val="22"/>
        </w:rPr>
        <w:t xml:space="preserve"> independently validated.  </w:t>
      </w:r>
    </w:p>
    <w:p w:rsidR="005A3173" w:rsidRPr="00356175" w:rsidRDefault="005A3173" w:rsidP="008306F3">
      <w:pPr>
        <w:pStyle w:val="Heading2"/>
        <w:keepLines/>
        <w:spacing w:before="240" w:after="120"/>
        <w:rPr>
          <w:rFonts w:asciiTheme="minorHAnsi" w:eastAsiaTheme="majorEastAsia" w:hAnsiTheme="minorHAnsi" w:cstheme="majorBidi"/>
          <w:sz w:val="28"/>
          <w:szCs w:val="28"/>
          <w:lang w:eastAsia="en-US"/>
        </w:rPr>
      </w:pPr>
      <w:r w:rsidRPr="00356175">
        <w:rPr>
          <w:rFonts w:asciiTheme="minorHAnsi" w:eastAsiaTheme="majorEastAsia" w:hAnsiTheme="minorHAnsi" w:cstheme="majorBidi"/>
          <w:sz w:val="28"/>
          <w:szCs w:val="28"/>
          <w:lang w:eastAsia="en-US"/>
        </w:rPr>
        <w:lastRenderedPageBreak/>
        <w:t>Estimated PBS usage &amp; financial implications</w:t>
      </w:r>
    </w:p>
    <w:p w:rsidR="00B3726C" w:rsidRPr="00B70F42" w:rsidRDefault="00FF2801" w:rsidP="00B3726C">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B70F42">
        <w:rPr>
          <w:rFonts w:asciiTheme="minorHAnsi" w:hAnsiTheme="minorHAnsi"/>
          <w:color w:val="000000" w:themeColor="text1"/>
          <w:sz w:val="24"/>
          <w:szCs w:val="24"/>
        </w:rPr>
        <w:t>The minor submission estimated</w:t>
      </w:r>
      <w:r w:rsidR="00C00DA7" w:rsidRPr="00B70F42">
        <w:rPr>
          <w:rFonts w:asciiTheme="minorHAnsi" w:hAnsiTheme="minorHAnsi"/>
          <w:color w:val="000000" w:themeColor="text1"/>
          <w:sz w:val="24"/>
          <w:szCs w:val="24"/>
        </w:rPr>
        <w:t xml:space="preserve"> there to be no financial implications to t</w:t>
      </w:r>
      <w:r w:rsidR="00E637C8">
        <w:rPr>
          <w:rFonts w:asciiTheme="minorHAnsi" w:hAnsiTheme="minorHAnsi"/>
          <w:color w:val="000000" w:themeColor="text1"/>
          <w:sz w:val="24"/>
          <w:szCs w:val="24"/>
        </w:rPr>
        <w:t>he PBS as the submission expected</w:t>
      </w:r>
      <w:r w:rsidR="00C00DA7" w:rsidRPr="00B70F42">
        <w:rPr>
          <w:rFonts w:asciiTheme="minorHAnsi" w:hAnsiTheme="minorHAnsi"/>
          <w:color w:val="000000" w:themeColor="text1"/>
          <w:sz w:val="24"/>
          <w:szCs w:val="24"/>
        </w:rPr>
        <w:t xml:space="preserve"> </w:t>
      </w:r>
      <w:r w:rsidR="008865CA" w:rsidRPr="00B70F42">
        <w:rPr>
          <w:rFonts w:asciiTheme="minorHAnsi" w:hAnsiTheme="minorHAnsi"/>
          <w:color w:val="000000" w:themeColor="text1"/>
          <w:sz w:val="24"/>
          <w:szCs w:val="24"/>
        </w:rPr>
        <w:t>the new presen</w:t>
      </w:r>
      <w:r w:rsidR="00DB5403" w:rsidRPr="00B70F42">
        <w:rPr>
          <w:rFonts w:asciiTheme="minorHAnsi" w:hAnsiTheme="minorHAnsi"/>
          <w:color w:val="000000" w:themeColor="text1"/>
          <w:sz w:val="24"/>
          <w:szCs w:val="24"/>
        </w:rPr>
        <w:t>t</w:t>
      </w:r>
      <w:r w:rsidR="008865CA" w:rsidRPr="00B70F42">
        <w:rPr>
          <w:rFonts w:asciiTheme="minorHAnsi" w:hAnsiTheme="minorHAnsi"/>
          <w:color w:val="000000" w:themeColor="text1"/>
          <w:sz w:val="24"/>
          <w:szCs w:val="24"/>
        </w:rPr>
        <w:t>ation</w:t>
      </w:r>
      <w:r w:rsidR="00E637C8">
        <w:rPr>
          <w:rFonts w:asciiTheme="minorHAnsi" w:hAnsiTheme="minorHAnsi"/>
          <w:color w:val="000000" w:themeColor="text1"/>
          <w:sz w:val="24"/>
          <w:szCs w:val="24"/>
        </w:rPr>
        <w:t xml:space="preserve"> would</w:t>
      </w:r>
      <w:r w:rsidR="00C00DA7" w:rsidRPr="00B70F42">
        <w:rPr>
          <w:rFonts w:asciiTheme="minorHAnsi" w:hAnsiTheme="minorHAnsi"/>
          <w:color w:val="000000" w:themeColor="text1"/>
          <w:sz w:val="24"/>
          <w:szCs w:val="24"/>
        </w:rPr>
        <w:t xml:space="preserve"> substitute for </w:t>
      </w:r>
      <w:r w:rsidR="009D019F" w:rsidRPr="00B70F42">
        <w:rPr>
          <w:rFonts w:asciiTheme="minorHAnsi" w:hAnsiTheme="minorHAnsi"/>
          <w:color w:val="000000" w:themeColor="text1"/>
          <w:sz w:val="24"/>
          <w:szCs w:val="24"/>
        </w:rPr>
        <w:t>the existing pre</w:t>
      </w:r>
      <w:r w:rsidR="009D019F" w:rsidRPr="00B70F42">
        <w:rPr>
          <w:rFonts w:asciiTheme="minorHAnsi" w:hAnsiTheme="minorHAnsi"/>
          <w:color w:val="000000" w:themeColor="text1"/>
          <w:sz w:val="24"/>
          <w:szCs w:val="24"/>
        </w:rPr>
        <w:noBreakHyphen/>
      </w:r>
      <w:r w:rsidR="008865CA" w:rsidRPr="00B70F42">
        <w:rPr>
          <w:rFonts w:asciiTheme="minorHAnsi" w:hAnsiTheme="minorHAnsi"/>
          <w:color w:val="000000" w:themeColor="text1"/>
          <w:sz w:val="24"/>
          <w:szCs w:val="24"/>
        </w:rPr>
        <w:t>filled syringe presentation</w:t>
      </w:r>
      <w:r w:rsidR="00B70F42">
        <w:rPr>
          <w:rFonts w:asciiTheme="minorHAnsi" w:hAnsiTheme="minorHAnsi"/>
          <w:color w:val="000000" w:themeColor="text1"/>
          <w:sz w:val="24"/>
          <w:szCs w:val="24"/>
        </w:rPr>
        <w:t xml:space="preserve"> only</w:t>
      </w:r>
      <w:r w:rsidR="00C00DA7" w:rsidRPr="00B70F42">
        <w:rPr>
          <w:rFonts w:asciiTheme="minorHAnsi" w:hAnsiTheme="minorHAnsi"/>
          <w:color w:val="000000" w:themeColor="text1"/>
          <w:sz w:val="24"/>
          <w:szCs w:val="24"/>
        </w:rPr>
        <w:t xml:space="preserve">. </w:t>
      </w:r>
    </w:p>
    <w:p w:rsidR="00B3726C" w:rsidRPr="00AF220A" w:rsidRDefault="00B3726C" w:rsidP="00AF220A">
      <w:pPr>
        <w:pStyle w:val="ListParagraph"/>
        <w:ind w:left="709"/>
        <w:rPr>
          <w:rFonts w:asciiTheme="minorHAnsi" w:hAnsiTheme="minorHAnsi"/>
          <w:i/>
          <w:sz w:val="24"/>
          <w:szCs w:val="24"/>
        </w:rPr>
      </w:pPr>
      <w:r w:rsidRPr="00B70F42">
        <w:rPr>
          <w:rFonts w:asciiTheme="minorHAnsi" w:hAnsiTheme="minorHAnsi"/>
          <w:i/>
          <w:sz w:val="24"/>
          <w:szCs w:val="24"/>
        </w:rPr>
        <w:t xml:space="preserve">For more detail on PBAC’s view, see section </w:t>
      </w:r>
      <w:r w:rsidR="0035068A" w:rsidRPr="00B70F42">
        <w:rPr>
          <w:rFonts w:asciiTheme="minorHAnsi" w:hAnsiTheme="minorHAnsi"/>
          <w:i/>
          <w:sz w:val="24"/>
          <w:szCs w:val="24"/>
        </w:rPr>
        <w:t xml:space="preserve">5 </w:t>
      </w:r>
      <w:r w:rsidRPr="00B70F42">
        <w:rPr>
          <w:rFonts w:asciiTheme="minorHAnsi" w:hAnsiTheme="minorHAnsi"/>
          <w:i/>
          <w:sz w:val="24"/>
          <w:szCs w:val="24"/>
        </w:rPr>
        <w:t>PBAC outcome.</w:t>
      </w:r>
    </w:p>
    <w:p w:rsidR="00B3726C" w:rsidRPr="00356175" w:rsidRDefault="00B3726C" w:rsidP="00356175">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56175">
        <w:rPr>
          <w:rFonts w:asciiTheme="minorHAnsi" w:hAnsiTheme="minorHAnsi"/>
          <w:sz w:val="32"/>
          <w:szCs w:val="32"/>
        </w:rPr>
        <w:t>PBAC Outcome</w:t>
      </w:r>
    </w:p>
    <w:p w:rsidR="0060695C" w:rsidRPr="00B70F42" w:rsidRDefault="0060695C" w:rsidP="00AC4597">
      <w:pPr>
        <w:widowControl w:val="0"/>
        <w:numPr>
          <w:ilvl w:val="1"/>
          <w:numId w:val="5"/>
        </w:numPr>
        <w:spacing w:after="120"/>
        <w:jc w:val="both"/>
        <w:rPr>
          <w:rFonts w:asciiTheme="minorHAnsi" w:hAnsiTheme="minorHAnsi" w:cs="Arial"/>
          <w:bCs/>
          <w:snapToGrid w:val="0"/>
        </w:rPr>
      </w:pPr>
      <w:r w:rsidRPr="00B70F42">
        <w:rPr>
          <w:rFonts w:asciiTheme="minorHAnsi" w:hAnsiTheme="minorHAnsi" w:cs="Arial"/>
          <w:bCs/>
          <w:snapToGrid w:val="0"/>
        </w:rPr>
        <w:t>The PBAC recommended the Authority Required listing of a new</w:t>
      </w:r>
      <w:r w:rsidR="00103F45" w:rsidRPr="00B70F42">
        <w:rPr>
          <w:rFonts w:asciiTheme="minorHAnsi" w:hAnsiTheme="minorHAnsi" w:cs="Arial"/>
          <w:bCs/>
          <w:snapToGrid w:val="0"/>
        </w:rPr>
        <w:t xml:space="preserve"> auto-injector</w:t>
      </w:r>
      <w:r w:rsidRPr="00B70F42">
        <w:rPr>
          <w:rFonts w:asciiTheme="minorHAnsi" w:hAnsiTheme="minorHAnsi" w:cs="Arial"/>
          <w:bCs/>
          <w:snapToGrid w:val="0"/>
        </w:rPr>
        <w:t xml:space="preserve"> form of</w:t>
      </w:r>
      <w:r w:rsidR="00C377F5" w:rsidRPr="00B70F42">
        <w:rPr>
          <w:rFonts w:asciiTheme="minorHAnsi" w:hAnsiTheme="minorHAnsi" w:cs="Arial"/>
          <w:bCs/>
          <w:snapToGrid w:val="0"/>
        </w:rPr>
        <w:t xml:space="preserve"> subcutaneous</w:t>
      </w:r>
      <w:r w:rsidR="005B47CF" w:rsidRPr="00B70F42">
        <w:rPr>
          <w:rFonts w:asciiTheme="minorHAnsi" w:hAnsiTheme="minorHAnsi" w:cs="Arial"/>
          <w:bCs/>
          <w:snapToGrid w:val="0"/>
        </w:rPr>
        <w:t xml:space="preserve"> (SC)</w:t>
      </w:r>
      <w:r w:rsidRPr="00B70F42">
        <w:rPr>
          <w:rFonts w:asciiTheme="minorHAnsi" w:hAnsiTheme="minorHAnsi" w:cs="Arial"/>
          <w:bCs/>
          <w:snapToGrid w:val="0"/>
        </w:rPr>
        <w:t xml:space="preserve"> tocilizumab (162 mg in 0.9 mL) for the treatment of severe active rheumatoid arthritis (RA) in adult patients</w:t>
      </w:r>
      <w:r w:rsidR="00103F45" w:rsidRPr="00B70F42">
        <w:rPr>
          <w:rFonts w:asciiTheme="minorHAnsi" w:hAnsiTheme="minorHAnsi" w:cs="Arial"/>
          <w:bCs/>
          <w:snapToGrid w:val="0"/>
        </w:rPr>
        <w:t xml:space="preserve"> under the same conditions as the currently listed pre-filled syringe</w:t>
      </w:r>
      <w:r w:rsidRPr="00B70F42">
        <w:rPr>
          <w:rFonts w:asciiTheme="minorHAnsi" w:hAnsiTheme="minorHAnsi" w:cs="Arial"/>
          <w:bCs/>
          <w:snapToGrid w:val="0"/>
        </w:rPr>
        <w:t xml:space="preserve">. </w:t>
      </w:r>
    </w:p>
    <w:p w:rsidR="00C377F5" w:rsidRPr="00B70F42" w:rsidRDefault="0060695C">
      <w:pPr>
        <w:widowControl w:val="0"/>
        <w:numPr>
          <w:ilvl w:val="1"/>
          <w:numId w:val="5"/>
        </w:numPr>
        <w:spacing w:after="120"/>
        <w:jc w:val="both"/>
        <w:rPr>
          <w:rFonts w:asciiTheme="minorHAnsi" w:hAnsiTheme="minorHAnsi" w:cs="Arial"/>
          <w:bCs/>
          <w:snapToGrid w:val="0"/>
        </w:rPr>
      </w:pPr>
      <w:r w:rsidRPr="00B70F42">
        <w:rPr>
          <w:rFonts w:asciiTheme="minorHAnsi" w:hAnsiTheme="minorHAnsi" w:cs="Arial"/>
          <w:bCs/>
          <w:snapToGrid w:val="0"/>
        </w:rPr>
        <w:t xml:space="preserve">The PBAC noted that </w:t>
      </w:r>
      <w:r w:rsidR="002A4296" w:rsidRPr="00B70F42">
        <w:rPr>
          <w:rFonts w:asciiTheme="minorHAnsi" w:hAnsiTheme="minorHAnsi" w:cs="Arial"/>
          <w:bCs/>
          <w:snapToGrid w:val="0"/>
        </w:rPr>
        <w:t xml:space="preserve">the sponsor indicated its commitment to mitigate the risk in consumer confusion due to </w:t>
      </w:r>
      <w:r w:rsidR="000A6676" w:rsidRPr="00B70F42">
        <w:rPr>
          <w:rFonts w:asciiTheme="minorHAnsi" w:hAnsiTheme="minorHAnsi" w:cs="Arial"/>
          <w:bCs/>
          <w:snapToGrid w:val="0"/>
        </w:rPr>
        <w:t xml:space="preserve">administration </w:t>
      </w:r>
      <w:r w:rsidR="002A4296" w:rsidRPr="00B70F42">
        <w:rPr>
          <w:rFonts w:asciiTheme="minorHAnsi" w:hAnsiTheme="minorHAnsi" w:cs="Arial"/>
          <w:bCs/>
          <w:snapToGrid w:val="0"/>
        </w:rPr>
        <w:t xml:space="preserve">differences with the device. </w:t>
      </w:r>
      <w:r w:rsidR="00C1059B" w:rsidRPr="00B70F42">
        <w:rPr>
          <w:rFonts w:asciiTheme="minorHAnsi" w:hAnsiTheme="minorHAnsi" w:cs="Arial"/>
          <w:bCs/>
          <w:snapToGrid w:val="0"/>
        </w:rPr>
        <w:t xml:space="preserve">The submission included a TGA </w:t>
      </w:r>
      <w:r w:rsidR="00B70F42" w:rsidRPr="00B70F42">
        <w:rPr>
          <w:rFonts w:asciiTheme="minorHAnsi" w:hAnsiTheme="minorHAnsi" w:cs="Arial"/>
          <w:bCs/>
          <w:snapToGrid w:val="0"/>
        </w:rPr>
        <w:t>letter that</w:t>
      </w:r>
      <w:r w:rsidR="00C1059B" w:rsidRPr="00B70F42">
        <w:rPr>
          <w:rFonts w:asciiTheme="minorHAnsi" w:hAnsiTheme="minorHAnsi" w:cs="Arial"/>
          <w:bCs/>
          <w:snapToGrid w:val="0"/>
        </w:rPr>
        <w:t xml:space="preserve"> confirms that the sponsor has agreed to insert instructions for use within the </w:t>
      </w:r>
      <w:r w:rsidR="00B70F42" w:rsidRPr="00B70F42">
        <w:rPr>
          <w:rFonts w:asciiTheme="minorHAnsi" w:hAnsiTheme="minorHAnsi" w:cs="Arial"/>
          <w:bCs/>
          <w:snapToGrid w:val="0"/>
        </w:rPr>
        <w:t>packaging that</w:t>
      </w:r>
      <w:r w:rsidR="00103F45" w:rsidRPr="00B70F42">
        <w:rPr>
          <w:rFonts w:asciiTheme="minorHAnsi" w:hAnsiTheme="minorHAnsi" w:cs="Arial"/>
          <w:bCs/>
          <w:snapToGrid w:val="0"/>
        </w:rPr>
        <w:t xml:space="preserve"> will help mitigate the risk of patient confusion and improper administration</w:t>
      </w:r>
      <w:r w:rsidR="00C1059B" w:rsidRPr="00B70F42">
        <w:rPr>
          <w:rFonts w:asciiTheme="minorHAnsi" w:hAnsiTheme="minorHAnsi" w:cs="Arial"/>
          <w:bCs/>
          <w:snapToGrid w:val="0"/>
        </w:rPr>
        <w:t xml:space="preserve">. </w:t>
      </w:r>
      <w:r w:rsidR="006216A2" w:rsidRPr="00B70F42">
        <w:rPr>
          <w:rFonts w:asciiTheme="minorHAnsi" w:hAnsiTheme="minorHAnsi" w:cs="Arial"/>
          <w:bCs/>
          <w:snapToGrid w:val="0"/>
        </w:rPr>
        <w:t xml:space="preserve">In the pre-PBAC response, the sponsor </w:t>
      </w:r>
      <w:r w:rsidR="00C1059B" w:rsidRPr="00B70F42">
        <w:rPr>
          <w:rFonts w:asciiTheme="minorHAnsi" w:hAnsiTheme="minorHAnsi" w:cs="Arial"/>
          <w:bCs/>
          <w:snapToGrid w:val="0"/>
        </w:rPr>
        <w:t xml:space="preserve">also </w:t>
      </w:r>
      <w:r w:rsidR="00883E43" w:rsidRPr="00B70F42">
        <w:rPr>
          <w:rFonts w:asciiTheme="minorHAnsi" w:hAnsiTheme="minorHAnsi" w:cs="Arial"/>
          <w:bCs/>
          <w:snapToGrid w:val="0"/>
        </w:rPr>
        <w:t>specified that</w:t>
      </w:r>
      <w:r w:rsidR="00103F45" w:rsidRPr="00B70F42">
        <w:rPr>
          <w:rFonts w:asciiTheme="minorHAnsi" w:hAnsiTheme="minorHAnsi" w:cs="Arial"/>
          <w:bCs/>
          <w:snapToGrid w:val="0"/>
        </w:rPr>
        <w:t xml:space="preserve"> a</w:t>
      </w:r>
      <w:r w:rsidR="00883E43" w:rsidRPr="00B70F42">
        <w:rPr>
          <w:rFonts w:asciiTheme="minorHAnsi" w:hAnsiTheme="minorHAnsi" w:cs="Arial"/>
          <w:bCs/>
          <w:snapToGrid w:val="0"/>
        </w:rPr>
        <w:t xml:space="preserve"> comprehensive home care package, patient training and customer support programs </w:t>
      </w:r>
      <w:r w:rsidR="00B70F42" w:rsidRPr="00B70F42">
        <w:rPr>
          <w:rFonts w:asciiTheme="minorHAnsi" w:hAnsiTheme="minorHAnsi" w:cs="Arial"/>
          <w:bCs/>
          <w:snapToGrid w:val="0"/>
        </w:rPr>
        <w:t>would</w:t>
      </w:r>
      <w:r w:rsidR="00883E43" w:rsidRPr="00B70F42">
        <w:rPr>
          <w:rFonts w:asciiTheme="minorHAnsi" w:hAnsiTheme="minorHAnsi" w:cs="Arial"/>
          <w:bCs/>
          <w:snapToGrid w:val="0"/>
        </w:rPr>
        <w:t xml:space="preserve"> be introduced alongside th</w:t>
      </w:r>
      <w:r w:rsidR="000A6676" w:rsidRPr="00B70F42">
        <w:rPr>
          <w:rFonts w:asciiTheme="minorHAnsi" w:hAnsiTheme="minorHAnsi" w:cs="Arial"/>
          <w:bCs/>
          <w:snapToGrid w:val="0"/>
        </w:rPr>
        <w:t>e</w:t>
      </w:r>
      <w:r w:rsidR="00883E43" w:rsidRPr="00B70F42">
        <w:rPr>
          <w:rFonts w:asciiTheme="minorHAnsi" w:hAnsiTheme="minorHAnsi" w:cs="Arial"/>
          <w:bCs/>
          <w:snapToGrid w:val="0"/>
        </w:rPr>
        <w:t xml:space="preserve"> launch of tocilizumab SC auto-injector in Australia. </w:t>
      </w:r>
    </w:p>
    <w:p w:rsidR="00E8029A" w:rsidRPr="00B70F42" w:rsidRDefault="00E8029A">
      <w:pPr>
        <w:widowControl w:val="0"/>
        <w:numPr>
          <w:ilvl w:val="1"/>
          <w:numId w:val="5"/>
        </w:numPr>
        <w:spacing w:after="120"/>
        <w:jc w:val="both"/>
        <w:rPr>
          <w:rFonts w:asciiTheme="minorHAnsi" w:hAnsiTheme="minorHAnsi" w:cs="Arial"/>
          <w:bCs/>
          <w:snapToGrid w:val="0"/>
        </w:rPr>
      </w:pPr>
      <w:r w:rsidRPr="00B70F42">
        <w:rPr>
          <w:rFonts w:asciiTheme="minorHAnsi" w:hAnsiTheme="minorHAnsi" w:cs="Arial"/>
          <w:bCs/>
          <w:snapToGrid w:val="0"/>
        </w:rPr>
        <w:t>The PBAC considered that the 162 mg in 0.9 mL</w:t>
      </w:r>
      <w:r w:rsidR="003E3CE4" w:rsidRPr="00B70F42">
        <w:rPr>
          <w:rFonts w:asciiTheme="minorHAnsi" w:hAnsiTheme="minorHAnsi" w:cs="Arial"/>
          <w:bCs/>
          <w:snapToGrid w:val="0"/>
        </w:rPr>
        <w:t xml:space="preserve"> pre-filled syringe and auto-injector forms</w:t>
      </w:r>
      <w:r w:rsidRPr="00B70F42">
        <w:rPr>
          <w:rFonts w:asciiTheme="minorHAnsi" w:hAnsiTheme="minorHAnsi" w:cs="Arial"/>
          <w:bCs/>
          <w:snapToGrid w:val="0"/>
        </w:rPr>
        <w:t xml:space="preserve"> of </w:t>
      </w:r>
      <w:r w:rsidR="000828B9" w:rsidRPr="00B70F42">
        <w:rPr>
          <w:rFonts w:asciiTheme="minorHAnsi" w:hAnsiTheme="minorHAnsi" w:cs="Arial"/>
          <w:bCs/>
          <w:snapToGrid w:val="0"/>
        </w:rPr>
        <w:t>tocilizumab</w:t>
      </w:r>
      <w:r w:rsidRPr="00B70F42">
        <w:rPr>
          <w:rFonts w:asciiTheme="minorHAnsi" w:hAnsiTheme="minorHAnsi" w:cs="Arial"/>
          <w:bCs/>
          <w:snapToGrid w:val="0"/>
        </w:rPr>
        <w:t xml:space="preserve"> should not be </w:t>
      </w:r>
      <w:r w:rsidR="00615367" w:rsidRPr="00B70F42">
        <w:rPr>
          <w:rFonts w:asciiTheme="minorHAnsi" w:hAnsiTheme="minorHAnsi" w:cs="Arial"/>
          <w:bCs/>
          <w:snapToGrid w:val="0"/>
        </w:rPr>
        <w:t xml:space="preserve">considered equivalent for the purposes of substitution (i.e., ‘a’ flagged in the Schedule) due to the differences in </w:t>
      </w:r>
      <w:r w:rsidR="000A6676" w:rsidRPr="00B70F42">
        <w:rPr>
          <w:rFonts w:asciiTheme="minorHAnsi" w:hAnsiTheme="minorHAnsi" w:cs="Arial"/>
          <w:bCs/>
          <w:snapToGrid w:val="0"/>
        </w:rPr>
        <w:t>the administr</w:t>
      </w:r>
      <w:r w:rsidR="00F3748B" w:rsidRPr="00B70F42">
        <w:rPr>
          <w:rFonts w:asciiTheme="minorHAnsi" w:hAnsiTheme="minorHAnsi" w:cs="Arial"/>
          <w:bCs/>
          <w:snapToGrid w:val="0"/>
        </w:rPr>
        <w:t>ation techniques between the devices</w:t>
      </w:r>
      <w:r w:rsidR="00615367" w:rsidRPr="00B70F42">
        <w:rPr>
          <w:rFonts w:asciiTheme="minorHAnsi" w:hAnsiTheme="minorHAnsi" w:cs="Arial"/>
          <w:bCs/>
          <w:snapToGrid w:val="0"/>
        </w:rPr>
        <w:t xml:space="preserve">. </w:t>
      </w:r>
    </w:p>
    <w:p w:rsidR="00EF321F" w:rsidRPr="00B70F42" w:rsidRDefault="00EF321F">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70F42">
        <w:rPr>
          <w:rFonts w:asciiTheme="minorHAnsi" w:eastAsiaTheme="minorHAnsi" w:hAnsiTheme="minorHAnsi" w:cstheme="minorBidi"/>
          <w:snapToGrid/>
          <w:sz w:val="24"/>
          <w:szCs w:val="22"/>
        </w:rPr>
        <w:t xml:space="preserve">The PBAC noted that the Early Supply Rule should apply to the continuing treatment phase listing as it currently applies to the existing pre-filled syringe presentation for tocilizumab, similar to other </w:t>
      </w:r>
      <w:r w:rsidR="00F3748B" w:rsidRPr="00B70F42">
        <w:rPr>
          <w:rFonts w:asciiTheme="minorHAnsi" w:eastAsiaTheme="minorHAnsi" w:hAnsiTheme="minorHAnsi" w:cstheme="minorBidi"/>
          <w:snapToGrid/>
          <w:sz w:val="24"/>
          <w:szCs w:val="22"/>
        </w:rPr>
        <w:t>subcutaneous</w:t>
      </w:r>
      <w:r w:rsidRPr="00B70F42">
        <w:rPr>
          <w:rFonts w:asciiTheme="minorHAnsi" w:eastAsiaTheme="minorHAnsi" w:hAnsiTheme="minorHAnsi" w:cstheme="minorBidi"/>
          <w:snapToGrid/>
          <w:sz w:val="24"/>
          <w:szCs w:val="22"/>
        </w:rPr>
        <w:t xml:space="preserve"> bDMARD presentations.</w:t>
      </w:r>
    </w:p>
    <w:p w:rsidR="00371977" w:rsidRPr="00B70F42" w:rsidRDefault="00371977">
      <w:pPr>
        <w:widowControl w:val="0"/>
        <w:numPr>
          <w:ilvl w:val="1"/>
          <w:numId w:val="5"/>
        </w:numPr>
        <w:spacing w:after="120"/>
        <w:jc w:val="both"/>
        <w:rPr>
          <w:rFonts w:asciiTheme="minorHAnsi" w:hAnsiTheme="minorHAnsi" w:cs="Arial"/>
          <w:bCs/>
          <w:snapToGrid w:val="0"/>
        </w:rPr>
      </w:pPr>
      <w:r w:rsidRPr="00B70F42">
        <w:rPr>
          <w:rFonts w:asciiTheme="minorHAnsi" w:hAnsiTheme="minorHAnsi" w:cs="Arial"/>
          <w:bCs/>
          <w:snapToGrid w:val="0"/>
        </w:rPr>
        <w:t>The PBAC noted that this submission is not eligible for an Independent Review as it received a positive recommendation.</w:t>
      </w:r>
    </w:p>
    <w:p w:rsidR="00B3726C" w:rsidRPr="00B70F42" w:rsidRDefault="00B3726C">
      <w:pPr>
        <w:spacing w:before="240"/>
        <w:jc w:val="both"/>
        <w:rPr>
          <w:rFonts w:asciiTheme="minorHAnsi" w:hAnsiTheme="minorHAnsi" w:cs="Arial"/>
          <w:b/>
          <w:bCs/>
          <w:snapToGrid w:val="0"/>
        </w:rPr>
      </w:pPr>
      <w:r w:rsidRPr="00B70F42">
        <w:rPr>
          <w:rFonts w:asciiTheme="minorHAnsi" w:hAnsiTheme="minorHAnsi" w:cs="Arial"/>
          <w:b/>
          <w:bCs/>
          <w:snapToGrid w:val="0"/>
        </w:rPr>
        <w:t>Outcome:</w:t>
      </w:r>
    </w:p>
    <w:p w:rsidR="00B3726C" w:rsidRPr="00B70F42" w:rsidRDefault="00B3726C">
      <w:pPr>
        <w:jc w:val="both"/>
        <w:rPr>
          <w:rFonts w:asciiTheme="minorHAnsi" w:hAnsiTheme="minorHAnsi" w:cs="Arial"/>
          <w:bCs/>
          <w:snapToGrid w:val="0"/>
        </w:rPr>
      </w:pPr>
      <w:r w:rsidRPr="00B70F42">
        <w:rPr>
          <w:rFonts w:asciiTheme="minorHAnsi" w:hAnsiTheme="minorHAnsi" w:cs="Arial"/>
          <w:bCs/>
          <w:snapToGrid w:val="0"/>
        </w:rPr>
        <w:t xml:space="preserve">Recommended </w:t>
      </w:r>
    </w:p>
    <w:p w:rsidR="00B3726C" w:rsidRPr="00B70F42" w:rsidRDefault="00B3726C" w:rsidP="00BE2EDB">
      <w:pPr>
        <w:widowControl w:val="0"/>
        <w:jc w:val="both"/>
        <w:rPr>
          <w:rFonts w:asciiTheme="minorHAnsi" w:hAnsiTheme="minorHAnsi" w:cs="Arial"/>
          <w:bCs/>
          <w:snapToGrid w:val="0"/>
        </w:rPr>
      </w:pPr>
    </w:p>
    <w:p w:rsidR="00AF220A" w:rsidRDefault="00AF220A">
      <w:pPr>
        <w:rPr>
          <w:rFonts w:asciiTheme="minorHAnsi" w:hAnsiTheme="minorHAnsi" w:cs="Arial"/>
          <w:b/>
          <w:snapToGrid w:val="0"/>
          <w:sz w:val="32"/>
          <w:szCs w:val="32"/>
          <w:lang w:eastAsia="en-US"/>
        </w:rPr>
      </w:pPr>
      <w:r>
        <w:rPr>
          <w:rFonts w:asciiTheme="minorHAnsi" w:hAnsiTheme="minorHAnsi"/>
          <w:sz w:val="32"/>
          <w:szCs w:val="32"/>
        </w:rPr>
        <w:br w:type="page"/>
      </w:r>
    </w:p>
    <w:p w:rsidR="00B3726C" w:rsidRPr="00356175" w:rsidRDefault="00B3726C" w:rsidP="00356175">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56175">
        <w:rPr>
          <w:rFonts w:asciiTheme="minorHAnsi" w:hAnsiTheme="minorHAnsi"/>
          <w:sz w:val="32"/>
          <w:szCs w:val="32"/>
        </w:rPr>
        <w:lastRenderedPageBreak/>
        <w:t>Recommended listing</w:t>
      </w:r>
    </w:p>
    <w:p w:rsidR="00B3726C" w:rsidRPr="00356175" w:rsidRDefault="00C1059B" w:rsidP="00356175">
      <w:pPr>
        <w:widowControl w:val="0"/>
        <w:numPr>
          <w:ilvl w:val="1"/>
          <w:numId w:val="5"/>
        </w:numPr>
        <w:spacing w:after="120"/>
        <w:jc w:val="both"/>
        <w:rPr>
          <w:rFonts w:asciiTheme="minorHAnsi" w:hAnsiTheme="minorHAnsi" w:cs="Arial"/>
          <w:b/>
          <w:bCs/>
          <w:snapToGrid w:val="0"/>
        </w:rPr>
      </w:pPr>
      <w:r w:rsidRPr="00356175">
        <w:rPr>
          <w:rFonts w:asciiTheme="minorHAnsi" w:hAnsiTheme="minorHAnsi" w:cs="Arial"/>
          <w:bCs/>
          <w:snapToGrid w:val="0"/>
        </w:rPr>
        <w:t xml:space="preserve">Add new item – </w:t>
      </w:r>
      <w:r w:rsidR="0000223A" w:rsidRPr="00356175">
        <w:rPr>
          <w:rFonts w:asciiTheme="minorHAnsi" w:hAnsiTheme="minorHAnsi" w:cs="Arial"/>
          <w:bCs/>
          <w:snapToGrid w:val="0"/>
        </w:rPr>
        <w:t>same restrictions for item 10951J (initial) and 10954M (continuing)</w:t>
      </w:r>
    </w:p>
    <w:p w:rsidR="0000223A" w:rsidRPr="00B70F42" w:rsidRDefault="0000223A">
      <w:pPr>
        <w:widowControl w:val="0"/>
        <w:ind w:firstLine="720"/>
        <w:jc w:val="both"/>
        <w:rPr>
          <w:rFonts w:asciiTheme="minorHAnsi" w:hAnsiTheme="minorHAnsi" w:cs="Arial"/>
          <w:bCs/>
          <w:snapToGrid w:val="0"/>
        </w:rPr>
      </w:pPr>
    </w:p>
    <w:tbl>
      <w:tblPr>
        <w:tblW w:w="4086" w:type="pct"/>
        <w:tblLook w:val="0000" w:firstRow="0" w:lastRow="0" w:firstColumn="0" w:lastColumn="0" w:noHBand="0" w:noVBand="0"/>
      </w:tblPr>
      <w:tblGrid>
        <w:gridCol w:w="3153"/>
        <w:gridCol w:w="642"/>
        <w:gridCol w:w="1165"/>
        <w:gridCol w:w="1206"/>
        <w:gridCol w:w="1387"/>
      </w:tblGrid>
      <w:tr w:rsidR="00C1059B" w:rsidRPr="00B70F42" w:rsidTr="00C1059B">
        <w:trPr>
          <w:cantSplit/>
          <w:trHeight w:val="465"/>
        </w:trPr>
        <w:tc>
          <w:tcPr>
            <w:tcW w:w="2088" w:type="pct"/>
            <w:tcBorders>
              <w:bottom w:val="single" w:sz="4" w:space="0" w:color="auto"/>
            </w:tcBorders>
          </w:tcPr>
          <w:p w:rsidR="00C1059B" w:rsidRPr="00B70F42" w:rsidRDefault="00C1059B" w:rsidP="000038D5">
            <w:pPr>
              <w:keepNext/>
              <w:spacing w:before="40" w:after="40"/>
              <w:jc w:val="both"/>
              <w:rPr>
                <w:rFonts w:ascii="Arial Narrow" w:hAnsi="Arial Narrow" w:cs="Arial"/>
                <w:b/>
                <w:sz w:val="20"/>
                <w:szCs w:val="20"/>
              </w:rPr>
            </w:pPr>
            <w:r w:rsidRPr="00B70F42">
              <w:rPr>
                <w:rFonts w:ascii="Arial Narrow" w:hAnsi="Arial Narrow" w:cs="Arial"/>
                <w:b/>
                <w:sz w:val="20"/>
                <w:szCs w:val="20"/>
              </w:rPr>
              <w:t>Name, Restriction,</w:t>
            </w:r>
          </w:p>
          <w:p w:rsidR="00C1059B" w:rsidRPr="00B70F42" w:rsidRDefault="00C1059B" w:rsidP="000038D5">
            <w:pPr>
              <w:keepNext/>
              <w:spacing w:before="40" w:after="40"/>
              <w:jc w:val="both"/>
              <w:rPr>
                <w:rFonts w:ascii="Arial Narrow" w:hAnsi="Arial Narrow" w:cs="Arial"/>
                <w:b/>
                <w:sz w:val="20"/>
                <w:szCs w:val="20"/>
              </w:rPr>
            </w:pPr>
            <w:r w:rsidRPr="00B70F42">
              <w:rPr>
                <w:rFonts w:ascii="Arial Narrow" w:hAnsi="Arial Narrow" w:cs="Arial"/>
                <w:b/>
                <w:sz w:val="20"/>
                <w:szCs w:val="20"/>
              </w:rPr>
              <w:t>Manner of administration and form</w:t>
            </w:r>
          </w:p>
        </w:tc>
        <w:tc>
          <w:tcPr>
            <w:tcW w:w="425" w:type="pct"/>
            <w:tcBorders>
              <w:bottom w:val="single" w:sz="4" w:space="0" w:color="auto"/>
            </w:tcBorders>
          </w:tcPr>
          <w:p w:rsidR="00C1059B" w:rsidRPr="00B70F42" w:rsidRDefault="00C1059B" w:rsidP="000038D5">
            <w:pPr>
              <w:keepNext/>
              <w:spacing w:before="40" w:after="40"/>
              <w:jc w:val="both"/>
              <w:rPr>
                <w:rFonts w:ascii="Arial Narrow" w:hAnsi="Arial Narrow" w:cs="Arial"/>
                <w:b/>
                <w:sz w:val="20"/>
                <w:szCs w:val="20"/>
              </w:rPr>
            </w:pPr>
            <w:r w:rsidRPr="00B70F42">
              <w:rPr>
                <w:rFonts w:ascii="Arial Narrow" w:hAnsi="Arial Narrow" w:cs="Arial"/>
                <w:b/>
                <w:sz w:val="20"/>
                <w:szCs w:val="20"/>
              </w:rPr>
              <w:t>Max.</w:t>
            </w:r>
          </w:p>
          <w:p w:rsidR="00C1059B" w:rsidRPr="00B70F42" w:rsidRDefault="00C1059B" w:rsidP="000038D5">
            <w:pPr>
              <w:keepNext/>
              <w:spacing w:before="40" w:after="40"/>
              <w:jc w:val="both"/>
              <w:rPr>
                <w:rFonts w:ascii="Arial Narrow" w:hAnsi="Arial Narrow" w:cs="Arial"/>
                <w:b/>
                <w:sz w:val="20"/>
                <w:szCs w:val="20"/>
              </w:rPr>
            </w:pPr>
            <w:r w:rsidRPr="00B70F42">
              <w:rPr>
                <w:rFonts w:ascii="Arial Narrow" w:hAnsi="Arial Narrow" w:cs="Arial"/>
                <w:b/>
                <w:sz w:val="20"/>
                <w:szCs w:val="20"/>
              </w:rPr>
              <w:t>Qty</w:t>
            </w:r>
          </w:p>
        </w:tc>
        <w:tc>
          <w:tcPr>
            <w:tcW w:w="771" w:type="pct"/>
            <w:tcBorders>
              <w:bottom w:val="single" w:sz="4" w:space="0" w:color="auto"/>
            </w:tcBorders>
          </w:tcPr>
          <w:p w:rsidR="00C1059B" w:rsidRPr="00B70F42" w:rsidRDefault="00C1059B" w:rsidP="000038D5">
            <w:pPr>
              <w:keepNext/>
              <w:spacing w:before="40" w:after="40"/>
              <w:jc w:val="both"/>
              <w:rPr>
                <w:rFonts w:ascii="Arial Narrow" w:hAnsi="Arial Narrow" w:cs="Arial"/>
                <w:b/>
                <w:sz w:val="20"/>
                <w:szCs w:val="20"/>
              </w:rPr>
            </w:pPr>
            <w:r w:rsidRPr="00B70F42">
              <w:rPr>
                <w:rFonts w:ascii="Arial Narrow" w:hAnsi="Arial Narrow" w:cs="Arial"/>
                <w:b/>
                <w:sz w:val="20"/>
                <w:szCs w:val="20"/>
              </w:rPr>
              <w:t>№.of</w:t>
            </w:r>
          </w:p>
          <w:p w:rsidR="00C1059B" w:rsidRPr="00B70F42" w:rsidRDefault="00C1059B" w:rsidP="000038D5">
            <w:pPr>
              <w:keepNext/>
              <w:spacing w:before="40" w:after="40"/>
              <w:jc w:val="both"/>
              <w:rPr>
                <w:rFonts w:ascii="Arial Narrow" w:hAnsi="Arial Narrow" w:cs="Arial"/>
                <w:b/>
                <w:sz w:val="20"/>
                <w:szCs w:val="20"/>
              </w:rPr>
            </w:pPr>
            <w:r w:rsidRPr="00B70F42">
              <w:rPr>
                <w:rFonts w:ascii="Arial Narrow" w:hAnsi="Arial Narrow" w:cs="Arial"/>
                <w:b/>
                <w:sz w:val="20"/>
                <w:szCs w:val="20"/>
              </w:rPr>
              <w:t>Rpts</w:t>
            </w:r>
          </w:p>
        </w:tc>
        <w:tc>
          <w:tcPr>
            <w:tcW w:w="1716" w:type="pct"/>
            <w:gridSpan w:val="2"/>
            <w:tcBorders>
              <w:bottom w:val="single" w:sz="4" w:space="0" w:color="auto"/>
            </w:tcBorders>
          </w:tcPr>
          <w:p w:rsidR="00C1059B" w:rsidRPr="00B70F42" w:rsidRDefault="00C1059B" w:rsidP="000038D5">
            <w:pPr>
              <w:keepNext/>
              <w:spacing w:before="40" w:after="40"/>
              <w:jc w:val="both"/>
              <w:rPr>
                <w:rFonts w:ascii="Arial Narrow" w:hAnsi="Arial Narrow" w:cs="Arial"/>
                <w:b/>
                <w:sz w:val="20"/>
                <w:szCs w:val="20"/>
              </w:rPr>
            </w:pPr>
            <w:r w:rsidRPr="00B70F42">
              <w:rPr>
                <w:rFonts w:ascii="Arial Narrow" w:hAnsi="Arial Narrow" w:cs="Arial"/>
                <w:b/>
                <w:sz w:val="20"/>
                <w:szCs w:val="20"/>
              </w:rPr>
              <w:t>Proprietary Name and Manufacturer</w:t>
            </w:r>
          </w:p>
        </w:tc>
      </w:tr>
      <w:tr w:rsidR="00C1059B" w:rsidRPr="00B70F42" w:rsidTr="00C1059B">
        <w:trPr>
          <w:cantSplit/>
          <w:trHeight w:val="404"/>
        </w:trPr>
        <w:tc>
          <w:tcPr>
            <w:tcW w:w="2088" w:type="pct"/>
          </w:tcPr>
          <w:p w:rsidR="00C1059B" w:rsidRPr="00B70F42" w:rsidRDefault="00C1059B" w:rsidP="000038D5">
            <w:pPr>
              <w:keepNext/>
              <w:spacing w:before="40" w:after="40"/>
              <w:jc w:val="both"/>
              <w:rPr>
                <w:rFonts w:ascii="Arial Narrow" w:hAnsi="Arial Narrow" w:cs="Arial"/>
                <w:sz w:val="20"/>
                <w:szCs w:val="20"/>
              </w:rPr>
            </w:pPr>
            <w:r w:rsidRPr="00B70F42">
              <w:rPr>
                <w:rFonts w:ascii="Arial Narrow" w:hAnsi="Arial Narrow" w:cs="Arial"/>
                <w:smallCaps/>
                <w:sz w:val="20"/>
                <w:szCs w:val="20"/>
              </w:rPr>
              <w:t>tocilizumab</w:t>
            </w:r>
          </w:p>
          <w:p w:rsidR="00C1059B" w:rsidRPr="00B70F42" w:rsidRDefault="00C1059B" w:rsidP="000038D5">
            <w:pPr>
              <w:keepNext/>
              <w:spacing w:before="40" w:after="40"/>
              <w:jc w:val="both"/>
              <w:rPr>
                <w:rFonts w:ascii="Arial Narrow" w:hAnsi="Arial Narrow" w:cs="Arial"/>
                <w:sz w:val="20"/>
                <w:szCs w:val="20"/>
              </w:rPr>
            </w:pPr>
            <w:r w:rsidRPr="00B70F42">
              <w:rPr>
                <w:rFonts w:ascii="Arial Narrow" w:hAnsi="Arial Narrow" w:cs="Arial"/>
                <w:sz w:val="20"/>
                <w:szCs w:val="20"/>
              </w:rPr>
              <w:t>162 mg/0.9 mL injection, 4 × 0.9 mL auto-injector</w:t>
            </w:r>
          </w:p>
        </w:tc>
        <w:tc>
          <w:tcPr>
            <w:tcW w:w="425" w:type="pct"/>
          </w:tcPr>
          <w:p w:rsidR="00C1059B" w:rsidRPr="00B70F42" w:rsidRDefault="00C1059B" w:rsidP="000038D5">
            <w:pPr>
              <w:keepNext/>
              <w:spacing w:before="40" w:after="40"/>
              <w:jc w:val="both"/>
              <w:rPr>
                <w:rFonts w:ascii="Arial Narrow" w:hAnsi="Arial Narrow" w:cs="Arial"/>
                <w:sz w:val="20"/>
                <w:szCs w:val="20"/>
              </w:rPr>
            </w:pPr>
          </w:p>
          <w:p w:rsidR="00C1059B" w:rsidRPr="00B70F42" w:rsidRDefault="00C1059B" w:rsidP="000038D5">
            <w:pPr>
              <w:keepNext/>
              <w:spacing w:before="40" w:after="40"/>
              <w:jc w:val="both"/>
              <w:rPr>
                <w:rFonts w:ascii="Arial Narrow" w:hAnsi="Arial Narrow" w:cs="Arial"/>
                <w:sz w:val="20"/>
                <w:szCs w:val="20"/>
              </w:rPr>
            </w:pPr>
            <w:r w:rsidRPr="00B70F42">
              <w:rPr>
                <w:rFonts w:ascii="Arial Narrow" w:hAnsi="Arial Narrow" w:cs="Arial"/>
                <w:sz w:val="20"/>
                <w:szCs w:val="20"/>
              </w:rPr>
              <w:t>1</w:t>
            </w:r>
          </w:p>
        </w:tc>
        <w:tc>
          <w:tcPr>
            <w:tcW w:w="771" w:type="pct"/>
          </w:tcPr>
          <w:p w:rsidR="00C1059B" w:rsidRPr="00B70F42" w:rsidRDefault="00C1059B" w:rsidP="000038D5">
            <w:pPr>
              <w:keepNext/>
              <w:spacing w:before="40" w:after="40"/>
              <w:jc w:val="both"/>
              <w:rPr>
                <w:rFonts w:ascii="Arial Narrow" w:hAnsi="Arial Narrow" w:cs="Arial"/>
                <w:sz w:val="20"/>
                <w:szCs w:val="20"/>
              </w:rPr>
            </w:pPr>
          </w:p>
          <w:p w:rsidR="00C1059B" w:rsidRPr="00B70F42" w:rsidRDefault="00C1059B" w:rsidP="000038D5">
            <w:pPr>
              <w:keepNext/>
              <w:spacing w:before="40" w:after="40"/>
              <w:jc w:val="both"/>
              <w:rPr>
                <w:rFonts w:ascii="Arial Narrow" w:hAnsi="Arial Narrow" w:cs="Arial"/>
                <w:sz w:val="20"/>
                <w:szCs w:val="20"/>
              </w:rPr>
            </w:pPr>
            <w:r w:rsidRPr="00B70F42">
              <w:rPr>
                <w:rFonts w:ascii="Arial Narrow" w:hAnsi="Arial Narrow" w:cs="Arial"/>
                <w:sz w:val="20"/>
                <w:szCs w:val="20"/>
              </w:rPr>
              <w:t>3(initial)</w:t>
            </w:r>
          </w:p>
          <w:p w:rsidR="00C1059B" w:rsidRPr="00B70F42" w:rsidRDefault="00C1059B" w:rsidP="000038D5">
            <w:pPr>
              <w:keepNext/>
              <w:spacing w:before="40" w:after="40"/>
              <w:jc w:val="both"/>
              <w:rPr>
                <w:rFonts w:ascii="Arial Narrow" w:hAnsi="Arial Narrow" w:cs="Arial"/>
                <w:sz w:val="20"/>
                <w:szCs w:val="20"/>
              </w:rPr>
            </w:pPr>
            <w:r w:rsidRPr="00B70F42">
              <w:rPr>
                <w:rFonts w:ascii="Arial Narrow" w:hAnsi="Arial Narrow" w:cs="Arial"/>
                <w:sz w:val="20"/>
                <w:szCs w:val="20"/>
              </w:rPr>
              <w:t>5(continuing)</w:t>
            </w:r>
          </w:p>
        </w:tc>
        <w:tc>
          <w:tcPr>
            <w:tcW w:w="798" w:type="pct"/>
          </w:tcPr>
          <w:p w:rsidR="00C1059B" w:rsidRPr="00B70F42" w:rsidRDefault="00C1059B" w:rsidP="000038D5">
            <w:pPr>
              <w:keepNext/>
              <w:spacing w:before="40" w:after="40"/>
              <w:jc w:val="both"/>
              <w:rPr>
                <w:rFonts w:ascii="Arial Narrow" w:hAnsi="Arial Narrow" w:cs="Arial"/>
                <w:sz w:val="20"/>
                <w:szCs w:val="20"/>
              </w:rPr>
            </w:pPr>
            <w:r w:rsidRPr="00B70F42">
              <w:rPr>
                <w:rFonts w:ascii="Arial Narrow" w:hAnsi="Arial Narrow" w:cs="Arial"/>
                <w:sz w:val="20"/>
                <w:szCs w:val="20"/>
              </w:rPr>
              <w:t>ACTEMERA</w:t>
            </w:r>
            <w:r w:rsidRPr="00B70F42">
              <w:rPr>
                <w:rFonts w:ascii="Arial Narrow" w:hAnsi="Arial Narrow" w:cs="Arial"/>
                <w:sz w:val="20"/>
                <w:szCs w:val="20"/>
                <w:vertAlign w:val="superscript"/>
              </w:rPr>
              <w:t>®</w:t>
            </w:r>
            <w:r w:rsidRPr="00B70F42">
              <w:rPr>
                <w:rFonts w:ascii="Arial Narrow" w:hAnsi="Arial Narrow" w:cs="Arial"/>
                <w:sz w:val="20"/>
                <w:szCs w:val="20"/>
              </w:rPr>
              <w:t xml:space="preserve"> ACTPen</w:t>
            </w:r>
          </w:p>
        </w:tc>
        <w:tc>
          <w:tcPr>
            <w:tcW w:w="918" w:type="pct"/>
          </w:tcPr>
          <w:p w:rsidR="00C1059B" w:rsidRPr="00B70F42" w:rsidRDefault="00C1059B" w:rsidP="000038D5">
            <w:pPr>
              <w:keepNext/>
              <w:spacing w:before="40" w:after="40"/>
              <w:jc w:val="both"/>
              <w:rPr>
                <w:rFonts w:ascii="Arial Narrow" w:hAnsi="Arial Narrow" w:cs="Arial"/>
                <w:sz w:val="20"/>
                <w:szCs w:val="20"/>
              </w:rPr>
            </w:pPr>
          </w:p>
          <w:p w:rsidR="00C1059B" w:rsidRPr="00B70F42" w:rsidRDefault="00C1059B" w:rsidP="000038D5">
            <w:pPr>
              <w:keepNext/>
              <w:spacing w:before="40" w:after="40"/>
              <w:jc w:val="both"/>
              <w:rPr>
                <w:rFonts w:ascii="Arial Narrow" w:hAnsi="Arial Narrow" w:cs="Arial"/>
                <w:sz w:val="20"/>
                <w:szCs w:val="20"/>
              </w:rPr>
            </w:pPr>
            <w:r w:rsidRPr="00B70F42">
              <w:rPr>
                <w:rFonts w:ascii="Arial Narrow" w:hAnsi="Arial Narrow" w:cs="Arial"/>
                <w:sz w:val="20"/>
                <w:szCs w:val="20"/>
              </w:rPr>
              <w:t>Roche Products Pty Ltd</w:t>
            </w:r>
          </w:p>
        </w:tc>
      </w:tr>
    </w:tbl>
    <w:p w:rsidR="00C1059B" w:rsidRPr="00B70F42" w:rsidRDefault="00C1059B">
      <w:pPr>
        <w:widowControl w:val="0"/>
        <w:ind w:firstLine="720"/>
        <w:jc w:val="both"/>
        <w:rPr>
          <w:rFonts w:asciiTheme="minorHAnsi" w:hAnsiTheme="minorHAnsi" w:cs="Arial"/>
          <w:bCs/>
          <w:snapToGrid w:val="0"/>
        </w:rPr>
      </w:pPr>
    </w:p>
    <w:p w:rsidR="0031552C" w:rsidRPr="00AF220A" w:rsidRDefault="0031552C" w:rsidP="00AF220A">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bCs/>
          <w:sz w:val="32"/>
        </w:rPr>
        <w:t xml:space="preserve">Context for Decision </w:t>
      </w:r>
    </w:p>
    <w:p w:rsidR="0031552C" w:rsidRPr="00C07617" w:rsidRDefault="0031552C" w:rsidP="0031552C">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3726C" w:rsidRPr="00B70F42" w:rsidRDefault="00B3726C" w:rsidP="00B3726C">
      <w:pPr>
        <w:pStyle w:val="NoSpacing"/>
      </w:pPr>
    </w:p>
    <w:p w:rsidR="0031552C" w:rsidRPr="00AF220A" w:rsidRDefault="0031552C" w:rsidP="00AF220A">
      <w:pPr>
        <w:pStyle w:val="Heading1"/>
        <w:keepNext/>
        <w:keepLines/>
        <w:widowControl/>
        <w:numPr>
          <w:ilvl w:val="0"/>
          <w:numId w:val="14"/>
        </w:numPr>
        <w:spacing w:before="240" w:after="120"/>
        <w:ind w:left="709" w:hanging="709"/>
        <w:contextualSpacing w:val="0"/>
        <w:jc w:val="left"/>
        <w:rPr>
          <w:rFonts w:asciiTheme="minorHAnsi" w:hAnsiTheme="minorHAnsi"/>
          <w:bCs/>
          <w:sz w:val="32"/>
        </w:rPr>
      </w:pPr>
      <w:r>
        <w:rPr>
          <w:rFonts w:asciiTheme="minorHAnsi" w:hAnsiTheme="minorHAnsi"/>
          <w:bCs/>
          <w:sz w:val="32"/>
        </w:rPr>
        <w:t xml:space="preserve">Sponsor’s Comment </w:t>
      </w:r>
    </w:p>
    <w:p w:rsidR="0031552C" w:rsidRPr="0031552C" w:rsidRDefault="0031552C" w:rsidP="0031552C">
      <w:pPr>
        <w:spacing w:after="120" w:line="276" w:lineRule="auto"/>
        <w:jc w:val="both"/>
        <w:rPr>
          <w:rFonts w:asciiTheme="minorHAnsi" w:eastAsiaTheme="minorHAnsi" w:hAnsiTheme="minorHAnsi" w:cs="Arial"/>
          <w:bCs/>
          <w:szCs w:val="22"/>
          <w:lang w:eastAsia="en-US"/>
        </w:rPr>
      </w:pPr>
      <w:r w:rsidRPr="0031552C">
        <w:rPr>
          <w:rFonts w:asciiTheme="minorHAnsi" w:eastAsiaTheme="minorHAnsi" w:hAnsiTheme="minorHAnsi" w:cs="Arial"/>
          <w:bCs/>
          <w:szCs w:val="22"/>
          <w:lang w:eastAsia="en-US"/>
        </w:rPr>
        <w:t>The sponsor had no comment.</w:t>
      </w:r>
    </w:p>
    <w:p w:rsidR="00F64CC1" w:rsidRPr="00B70F42" w:rsidRDefault="00F64CC1" w:rsidP="00F64CC1">
      <w:pPr>
        <w:jc w:val="both"/>
        <w:rPr>
          <w:rFonts w:asciiTheme="minorHAnsi" w:hAnsiTheme="minorHAnsi"/>
          <w:sz w:val="22"/>
          <w:szCs w:val="22"/>
        </w:rPr>
      </w:pPr>
    </w:p>
    <w:sectPr w:rsidR="00F64CC1" w:rsidRPr="00B70F42"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475" w:rsidRDefault="00F80475">
      <w:r>
        <w:separator/>
      </w:r>
    </w:p>
    <w:p w:rsidR="00F80475" w:rsidRDefault="00F80475"/>
  </w:endnote>
  <w:endnote w:type="continuationSeparator" w:id="0">
    <w:p w:rsidR="00F80475" w:rsidRDefault="00F80475">
      <w:r>
        <w:continuationSeparator/>
      </w:r>
    </w:p>
    <w:p w:rsidR="00F80475" w:rsidRDefault="00F80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475" w:rsidRDefault="00F80475" w:rsidP="00EF44A0">
    <w:pPr>
      <w:pStyle w:val="Footer"/>
      <w:jc w:val="center"/>
      <w:rPr>
        <w:rFonts w:ascii="Arial" w:hAnsi="Arial" w:cs="Arial"/>
        <w:b/>
        <w:sz w:val="20"/>
        <w:szCs w:val="20"/>
      </w:rPr>
    </w:pPr>
  </w:p>
  <w:p w:rsidR="00B3726C" w:rsidRPr="00F90A91" w:rsidRDefault="00B3726C" w:rsidP="00B3726C">
    <w:pPr>
      <w:pStyle w:val="Footer"/>
      <w:ind w:left="360"/>
      <w:jc w:val="center"/>
      <w:rPr>
        <w:rFonts w:ascii="Calibri" w:hAnsi="Calibri" w:cs="Arial"/>
        <w:b/>
        <w:sz w:val="20"/>
      </w:rP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C8378F">
      <w:rPr>
        <w:rFonts w:ascii="Calibri" w:hAnsi="Calibri" w:cs="Arial"/>
        <w:b/>
        <w:noProof/>
        <w:sz w:val="20"/>
      </w:rPr>
      <w:t>1</w:t>
    </w:r>
    <w:r w:rsidRPr="00F90A91">
      <w:rPr>
        <w:rFonts w:ascii="Calibri" w:hAnsi="Calibri" w:cs="Arial"/>
        <w:b/>
        <w:noProof/>
        <w:sz w:val="20"/>
      </w:rPr>
      <w:fldChar w:fldCharType="end"/>
    </w:r>
  </w:p>
  <w:p w:rsidR="00F80475" w:rsidRPr="005E1333" w:rsidRDefault="00F80475" w:rsidP="00B3726C">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475" w:rsidRDefault="00F80475">
      <w:r>
        <w:separator/>
      </w:r>
    </w:p>
    <w:p w:rsidR="00F80475" w:rsidRDefault="00F80475"/>
  </w:footnote>
  <w:footnote w:type="continuationSeparator" w:id="0">
    <w:p w:rsidR="00F80475" w:rsidRDefault="00F80475">
      <w:r>
        <w:continuationSeparator/>
      </w:r>
    </w:p>
    <w:p w:rsidR="00F80475" w:rsidRDefault="00F804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52C" w:rsidRPr="0031552C" w:rsidRDefault="0031552C" w:rsidP="0031552C">
    <w:pPr>
      <w:tabs>
        <w:tab w:val="center" w:pos="4513"/>
        <w:tab w:val="right" w:pos="9026"/>
      </w:tabs>
      <w:jc w:val="center"/>
      <w:rPr>
        <w:rFonts w:asciiTheme="minorHAnsi" w:eastAsiaTheme="minorHAnsi" w:hAnsiTheme="minorHAnsi" w:cstheme="minorHAnsi"/>
        <w:i/>
        <w:color w:val="808080"/>
        <w:sz w:val="22"/>
        <w:szCs w:val="22"/>
        <w:lang w:eastAsia="en-US"/>
      </w:rPr>
    </w:pPr>
    <w:r w:rsidRPr="0031552C">
      <w:rPr>
        <w:rFonts w:asciiTheme="minorHAnsi" w:eastAsiaTheme="minorHAnsi" w:hAnsiTheme="minorHAnsi" w:cstheme="minorHAnsi"/>
        <w:i/>
        <w:color w:val="808080"/>
        <w:sz w:val="22"/>
        <w:szCs w:val="22"/>
        <w:lang w:eastAsia="en-US"/>
      </w:rPr>
      <w:t xml:space="preserve">Public Summary Document – </w:t>
    </w:r>
    <w:r>
      <w:rPr>
        <w:rFonts w:asciiTheme="minorHAnsi" w:eastAsiaTheme="minorHAnsi" w:hAnsiTheme="minorHAnsi" w:cstheme="minorHAnsi"/>
        <w:i/>
        <w:color w:val="808080"/>
        <w:sz w:val="22"/>
        <w:szCs w:val="22"/>
        <w:lang w:eastAsia="en-US"/>
      </w:rPr>
      <w:t>July 2018</w:t>
    </w:r>
    <w:r w:rsidRPr="0031552C">
      <w:rPr>
        <w:rFonts w:asciiTheme="minorHAnsi" w:eastAsiaTheme="minorHAnsi" w:hAnsiTheme="minorHAnsi" w:cstheme="minorHAnsi"/>
        <w:i/>
        <w:color w:val="808080"/>
        <w:sz w:val="22"/>
        <w:szCs w:val="22"/>
        <w:lang w:eastAsia="en-US"/>
      </w:rPr>
      <w:t xml:space="preserve"> PBAC Meeting</w:t>
    </w:r>
  </w:p>
  <w:p w:rsidR="00B3726C" w:rsidRDefault="00B3726C" w:rsidP="00B3726C">
    <w:pPr>
      <w:pStyle w:val="NoSpacing"/>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C36CDD"/>
    <w:multiLevelType w:val="hybridMultilevel"/>
    <w:tmpl w:val="687CDA58"/>
    <w:lvl w:ilvl="0" w:tplc="16FC322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5D74508"/>
    <w:multiLevelType w:val="hybridMultilevel"/>
    <w:tmpl w:val="7924D7AA"/>
    <w:lvl w:ilvl="0" w:tplc="67C68074">
      <w:start w:val="415"/>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E84451"/>
    <w:multiLevelType w:val="hybridMultilevel"/>
    <w:tmpl w:val="484C1C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4D033C"/>
    <w:multiLevelType w:val="multilevel"/>
    <w:tmpl w:val="17C8C4E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6"/>
  </w:num>
  <w:num w:numId="4">
    <w:abstractNumId w:val="17"/>
  </w:num>
  <w:num w:numId="5">
    <w:abstractNumId w:val="19"/>
  </w:num>
  <w:num w:numId="6">
    <w:abstractNumId w:val="7"/>
  </w:num>
  <w:num w:numId="7">
    <w:abstractNumId w:val="15"/>
  </w:num>
  <w:num w:numId="8">
    <w:abstractNumId w:val="4"/>
  </w:num>
  <w:num w:numId="9">
    <w:abstractNumId w:val="13"/>
  </w:num>
  <w:num w:numId="10">
    <w:abstractNumId w:val="12"/>
  </w:num>
  <w:num w:numId="11">
    <w:abstractNumId w:val="11"/>
  </w:num>
  <w:num w:numId="12">
    <w:abstractNumId w:val="1"/>
  </w:num>
  <w:num w:numId="13">
    <w:abstractNumId w:val="0"/>
  </w:num>
  <w:num w:numId="14">
    <w:abstractNumId w:val="19"/>
  </w:num>
  <w:num w:numId="15">
    <w:abstractNumId w:val="8"/>
  </w:num>
  <w:num w:numId="16">
    <w:abstractNumId w:val="16"/>
  </w:num>
  <w:num w:numId="17">
    <w:abstractNumId w:val="18"/>
  </w:num>
  <w:num w:numId="18">
    <w:abstractNumId w:val="5"/>
  </w:num>
  <w:num w:numId="19">
    <w:abstractNumId w:val="2"/>
  </w:num>
  <w:num w:numId="20">
    <w:abstractNumId w:val="10"/>
  </w:num>
  <w:num w:numId="21">
    <w:abstractNumId w:val="14"/>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23A"/>
    <w:rsid w:val="000025AD"/>
    <w:rsid w:val="00002704"/>
    <w:rsid w:val="0000335D"/>
    <w:rsid w:val="0002464A"/>
    <w:rsid w:val="0003106B"/>
    <w:rsid w:val="000421A1"/>
    <w:rsid w:val="0004240E"/>
    <w:rsid w:val="00045E26"/>
    <w:rsid w:val="000514B5"/>
    <w:rsid w:val="00060E64"/>
    <w:rsid w:val="00066755"/>
    <w:rsid w:val="00077143"/>
    <w:rsid w:val="00082169"/>
    <w:rsid w:val="000828B9"/>
    <w:rsid w:val="000969AD"/>
    <w:rsid w:val="000A6676"/>
    <w:rsid w:val="000B558D"/>
    <w:rsid w:val="000C6996"/>
    <w:rsid w:val="000D23BA"/>
    <w:rsid w:val="000D3E44"/>
    <w:rsid w:val="000E681E"/>
    <w:rsid w:val="000F0003"/>
    <w:rsid w:val="000F4E6A"/>
    <w:rsid w:val="00103F45"/>
    <w:rsid w:val="00104227"/>
    <w:rsid w:val="001107BF"/>
    <w:rsid w:val="00113974"/>
    <w:rsid w:val="0012417C"/>
    <w:rsid w:val="001264F3"/>
    <w:rsid w:val="00142395"/>
    <w:rsid w:val="00142714"/>
    <w:rsid w:val="001452ED"/>
    <w:rsid w:val="0015229C"/>
    <w:rsid w:val="00163329"/>
    <w:rsid w:val="00164623"/>
    <w:rsid w:val="00165B64"/>
    <w:rsid w:val="00175C2D"/>
    <w:rsid w:val="00180713"/>
    <w:rsid w:val="001830CE"/>
    <w:rsid w:val="0018643B"/>
    <w:rsid w:val="00196307"/>
    <w:rsid w:val="001A33EA"/>
    <w:rsid w:val="001B017F"/>
    <w:rsid w:val="001B2BBC"/>
    <w:rsid w:val="001B5129"/>
    <w:rsid w:val="001C1195"/>
    <w:rsid w:val="001D0013"/>
    <w:rsid w:val="001E15A1"/>
    <w:rsid w:val="001F1850"/>
    <w:rsid w:val="001F256A"/>
    <w:rsid w:val="00203FAC"/>
    <w:rsid w:val="00213CFB"/>
    <w:rsid w:val="00217BE1"/>
    <w:rsid w:val="002339BE"/>
    <w:rsid w:val="002515DE"/>
    <w:rsid w:val="00271BA1"/>
    <w:rsid w:val="002762FA"/>
    <w:rsid w:val="00277505"/>
    <w:rsid w:val="0027771B"/>
    <w:rsid w:val="00293927"/>
    <w:rsid w:val="0029458F"/>
    <w:rsid w:val="002A104C"/>
    <w:rsid w:val="002A4296"/>
    <w:rsid w:val="002A4960"/>
    <w:rsid w:val="002B1AE6"/>
    <w:rsid w:val="002B2DE8"/>
    <w:rsid w:val="002B30F8"/>
    <w:rsid w:val="002B5596"/>
    <w:rsid w:val="002C212F"/>
    <w:rsid w:val="002C6F97"/>
    <w:rsid w:val="002D4543"/>
    <w:rsid w:val="002E3153"/>
    <w:rsid w:val="002E72CA"/>
    <w:rsid w:val="002F2B7E"/>
    <w:rsid w:val="002F600D"/>
    <w:rsid w:val="00300AD6"/>
    <w:rsid w:val="00310132"/>
    <w:rsid w:val="0031552C"/>
    <w:rsid w:val="00317C6C"/>
    <w:rsid w:val="00326E79"/>
    <w:rsid w:val="0033518A"/>
    <w:rsid w:val="003362F8"/>
    <w:rsid w:val="003367EF"/>
    <w:rsid w:val="00341AE4"/>
    <w:rsid w:val="0035068A"/>
    <w:rsid w:val="00351136"/>
    <w:rsid w:val="00354F11"/>
    <w:rsid w:val="00356175"/>
    <w:rsid w:val="00371977"/>
    <w:rsid w:val="003747F2"/>
    <w:rsid w:val="003872CF"/>
    <w:rsid w:val="003908B6"/>
    <w:rsid w:val="0039782C"/>
    <w:rsid w:val="003A5B4A"/>
    <w:rsid w:val="003B23C5"/>
    <w:rsid w:val="003B2A75"/>
    <w:rsid w:val="003B6124"/>
    <w:rsid w:val="003B7455"/>
    <w:rsid w:val="003C2FB5"/>
    <w:rsid w:val="003D4AC4"/>
    <w:rsid w:val="003D63B7"/>
    <w:rsid w:val="003E1BF3"/>
    <w:rsid w:val="003E3CE4"/>
    <w:rsid w:val="003E468B"/>
    <w:rsid w:val="003F3228"/>
    <w:rsid w:val="003F5C8C"/>
    <w:rsid w:val="00413520"/>
    <w:rsid w:val="004252EC"/>
    <w:rsid w:val="004465BD"/>
    <w:rsid w:val="00450B2F"/>
    <w:rsid w:val="00454974"/>
    <w:rsid w:val="00466ADA"/>
    <w:rsid w:val="00476245"/>
    <w:rsid w:val="00483035"/>
    <w:rsid w:val="00485940"/>
    <w:rsid w:val="004A2484"/>
    <w:rsid w:val="004A4407"/>
    <w:rsid w:val="004A5A85"/>
    <w:rsid w:val="004A71D1"/>
    <w:rsid w:val="004B5640"/>
    <w:rsid w:val="004C1BD7"/>
    <w:rsid w:val="004C31FE"/>
    <w:rsid w:val="004C691D"/>
    <w:rsid w:val="004C6C07"/>
    <w:rsid w:val="004E692D"/>
    <w:rsid w:val="00501554"/>
    <w:rsid w:val="00514CD7"/>
    <w:rsid w:val="005319B2"/>
    <w:rsid w:val="00532402"/>
    <w:rsid w:val="00532C74"/>
    <w:rsid w:val="00534E2E"/>
    <w:rsid w:val="00544552"/>
    <w:rsid w:val="00576636"/>
    <w:rsid w:val="00577C4D"/>
    <w:rsid w:val="00581932"/>
    <w:rsid w:val="00592C9A"/>
    <w:rsid w:val="005963BB"/>
    <w:rsid w:val="005A3173"/>
    <w:rsid w:val="005A3223"/>
    <w:rsid w:val="005A3DA3"/>
    <w:rsid w:val="005A52C4"/>
    <w:rsid w:val="005B47CF"/>
    <w:rsid w:val="005B75DE"/>
    <w:rsid w:val="005C2E8C"/>
    <w:rsid w:val="005D03AB"/>
    <w:rsid w:val="005D5017"/>
    <w:rsid w:val="005E01F1"/>
    <w:rsid w:val="005E1333"/>
    <w:rsid w:val="00601A91"/>
    <w:rsid w:val="00602BA3"/>
    <w:rsid w:val="0060695C"/>
    <w:rsid w:val="00612E34"/>
    <w:rsid w:val="00614159"/>
    <w:rsid w:val="00615367"/>
    <w:rsid w:val="00617C00"/>
    <w:rsid w:val="006216A2"/>
    <w:rsid w:val="00621E77"/>
    <w:rsid w:val="006263BF"/>
    <w:rsid w:val="0062748A"/>
    <w:rsid w:val="00630A2C"/>
    <w:rsid w:val="0063682E"/>
    <w:rsid w:val="006436CD"/>
    <w:rsid w:val="00651169"/>
    <w:rsid w:val="00653D69"/>
    <w:rsid w:val="006670BE"/>
    <w:rsid w:val="00670A76"/>
    <w:rsid w:val="006711AA"/>
    <w:rsid w:val="00672B57"/>
    <w:rsid w:val="00675622"/>
    <w:rsid w:val="00676485"/>
    <w:rsid w:val="0067747D"/>
    <w:rsid w:val="006906DB"/>
    <w:rsid w:val="00691E6C"/>
    <w:rsid w:val="00696129"/>
    <w:rsid w:val="00697CF2"/>
    <w:rsid w:val="006A12A5"/>
    <w:rsid w:val="006B0D94"/>
    <w:rsid w:val="006B485D"/>
    <w:rsid w:val="006C708E"/>
    <w:rsid w:val="006D14E7"/>
    <w:rsid w:val="006D6493"/>
    <w:rsid w:val="006D6EC7"/>
    <w:rsid w:val="006F34F3"/>
    <w:rsid w:val="006F5125"/>
    <w:rsid w:val="006F6BCE"/>
    <w:rsid w:val="00702B6F"/>
    <w:rsid w:val="00704871"/>
    <w:rsid w:val="00711C3E"/>
    <w:rsid w:val="0071340B"/>
    <w:rsid w:val="00714D25"/>
    <w:rsid w:val="007174BB"/>
    <w:rsid w:val="0072025D"/>
    <w:rsid w:val="007353D3"/>
    <w:rsid w:val="00752098"/>
    <w:rsid w:val="0076420C"/>
    <w:rsid w:val="007703BA"/>
    <w:rsid w:val="007753C2"/>
    <w:rsid w:val="007838B8"/>
    <w:rsid w:val="00787316"/>
    <w:rsid w:val="00794D0D"/>
    <w:rsid w:val="007B0D50"/>
    <w:rsid w:val="007C0F57"/>
    <w:rsid w:val="007C40B6"/>
    <w:rsid w:val="007C66CD"/>
    <w:rsid w:val="007C729F"/>
    <w:rsid w:val="007C7DCF"/>
    <w:rsid w:val="007E1D28"/>
    <w:rsid w:val="007F2641"/>
    <w:rsid w:val="007F7C36"/>
    <w:rsid w:val="00806796"/>
    <w:rsid w:val="008151D6"/>
    <w:rsid w:val="00826F6D"/>
    <w:rsid w:val="008306F3"/>
    <w:rsid w:val="00856DDD"/>
    <w:rsid w:val="00863E68"/>
    <w:rsid w:val="00882085"/>
    <w:rsid w:val="00883188"/>
    <w:rsid w:val="00883E43"/>
    <w:rsid w:val="008865CA"/>
    <w:rsid w:val="00897D58"/>
    <w:rsid w:val="00897F22"/>
    <w:rsid w:val="008A1956"/>
    <w:rsid w:val="008A4937"/>
    <w:rsid w:val="008A50F1"/>
    <w:rsid w:val="008A77C4"/>
    <w:rsid w:val="008C5443"/>
    <w:rsid w:val="008D1B5C"/>
    <w:rsid w:val="008D3C82"/>
    <w:rsid w:val="008D447E"/>
    <w:rsid w:val="008D7A41"/>
    <w:rsid w:val="008E3680"/>
    <w:rsid w:val="008E5870"/>
    <w:rsid w:val="008F1434"/>
    <w:rsid w:val="008F7355"/>
    <w:rsid w:val="009067B7"/>
    <w:rsid w:val="00930937"/>
    <w:rsid w:val="00933547"/>
    <w:rsid w:val="00933E6C"/>
    <w:rsid w:val="00937958"/>
    <w:rsid w:val="00942160"/>
    <w:rsid w:val="0095146F"/>
    <w:rsid w:val="009602C5"/>
    <w:rsid w:val="00962223"/>
    <w:rsid w:val="00966D0D"/>
    <w:rsid w:val="00971DF5"/>
    <w:rsid w:val="00974C21"/>
    <w:rsid w:val="009832B9"/>
    <w:rsid w:val="009B0F67"/>
    <w:rsid w:val="009C3C66"/>
    <w:rsid w:val="009C703C"/>
    <w:rsid w:val="009D019F"/>
    <w:rsid w:val="009D3CAA"/>
    <w:rsid w:val="009E40E1"/>
    <w:rsid w:val="009F4E46"/>
    <w:rsid w:val="009F5B65"/>
    <w:rsid w:val="009F5F2E"/>
    <w:rsid w:val="00A06225"/>
    <w:rsid w:val="00A128E6"/>
    <w:rsid w:val="00A24D09"/>
    <w:rsid w:val="00A34E6C"/>
    <w:rsid w:val="00A37C8D"/>
    <w:rsid w:val="00A5273B"/>
    <w:rsid w:val="00A53A9D"/>
    <w:rsid w:val="00A55FEE"/>
    <w:rsid w:val="00A62C1A"/>
    <w:rsid w:val="00A6426D"/>
    <w:rsid w:val="00A665C1"/>
    <w:rsid w:val="00A70622"/>
    <w:rsid w:val="00A70977"/>
    <w:rsid w:val="00A74C2C"/>
    <w:rsid w:val="00A77613"/>
    <w:rsid w:val="00A8390C"/>
    <w:rsid w:val="00A928BD"/>
    <w:rsid w:val="00AA4D1C"/>
    <w:rsid w:val="00AB2E6E"/>
    <w:rsid w:val="00AC193C"/>
    <w:rsid w:val="00AC4597"/>
    <w:rsid w:val="00AC5206"/>
    <w:rsid w:val="00AE11A5"/>
    <w:rsid w:val="00AE13E2"/>
    <w:rsid w:val="00AE22D3"/>
    <w:rsid w:val="00AF220A"/>
    <w:rsid w:val="00AF62DF"/>
    <w:rsid w:val="00AF68CC"/>
    <w:rsid w:val="00B02360"/>
    <w:rsid w:val="00B1059E"/>
    <w:rsid w:val="00B176C8"/>
    <w:rsid w:val="00B205AA"/>
    <w:rsid w:val="00B22968"/>
    <w:rsid w:val="00B22E84"/>
    <w:rsid w:val="00B25F75"/>
    <w:rsid w:val="00B26B3F"/>
    <w:rsid w:val="00B3726C"/>
    <w:rsid w:val="00B42DFA"/>
    <w:rsid w:val="00B43E90"/>
    <w:rsid w:val="00B467DC"/>
    <w:rsid w:val="00B47063"/>
    <w:rsid w:val="00B56118"/>
    <w:rsid w:val="00B6773F"/>
    <w:rsid w:val="00B70F42"/>
    <w:rsid w:val="00B801BA"/>
    <w:rsid w:val="00B84D5C"/>
    <w:rsid w:val="00BB69F5"/>
    <w:rsid w:val="00BB7EC3"/>
    <w:rsid w:val="00BC4B9A"/>
    <w:rsid w:val="00BD678B"/>
    <w:rsid w:val="00BD784C"/>
    <w:rsid w:val="00BE2EDB"/>
    <w:rsid w:val="00BF4CB6"/>
    <w:rsid w:val="00C00DA7"/>
    <w:rsid w:val="00C1059B"/>
    <w:rsid w:val="00C12768"/>
    <w:rsid w:val="00C27B58"/>
    <w:rsid w:val="00C35996"/>
    <w:rsid w:val="00C377F5"/>
    <w:rsid w:val="00C4747E"/>
    <w:rsid w:val="00C5342C"/>
    <w:rsid w:val="00C603D4"/>
    <w:rsid w:val="00C6256A"/>
    <w:rsid w:val="00C77891"/>
    <w:rsid w:val="00C8378F"/>
    <w:rsid w:val="00C91449"/>
    <w:rsid w:val="00C92D10"/>
    <w:rsid w:val="00C94BF9"/>
    <w:rsid w:val="00CC4BC6"/>
    <w:rsid w:val="00CD2742"/>
    <w:rsid w:val="00CE10C4"/>
    <w:rsid w:val="00CE27B5"/>
    <w:rsid w:val="00D0321E"/>
    <w:rsid w:val="00D11467"/>
    <w:rsid w:val="00D13297"/>
    <w:rsid w:val="00D1455A"/>
    <w:rsid w:val="00D31150"/>
    <w:rsid w:val="00D3138B"/>
    <w:rsid w:val="00D318C5"/>
    <w:rsid w:val="00D3280C"/>
    <w:rsid w:val="00D3406A"/>
    <w:rsid w:val="00D403A6"/>
    <w:rsid w:val="00D4572C"/>
    <w:rsid w:val="00D469B2"/>
    <w:rsid w:val="00D741EB"/>
    <w:rsid w:val="00D83605"/>
    <w:rsid w:val="00D84934"/>
    <w:rsid w:val="00D91271"/>
    <w:rsid w:val="00D919F5"/>
    <w:rsid w:val="00D92155"/>
    <w:rsid w:val="00D94F03"/>
    <w:rsid w:val="00DA2CB5"/>
    <w:rsid w:val="00DA4BAC"/>
    <w:rsid w:val="00DB5403"/>
    <w:rsid w:val="00DE6D27"/>
    <w:rsid w:val="00DF217D"/>
    <w:rsid w:val="00DF26A7"/>
    <w:rsid w:val="00E14573"/>
    <w:rsid w:val="00E14626"/>
    <w:rsid w:val="00E15627"/>
    <w:rsid w:val="00E164B3"/>
    <w:rsid w:val="00E16910"/>
    <w:rsid w:val="00E24BC2"/>
    <w:rsid w:val="00E42BDB"/>
    <w:rsid w:val="00E57EEB"/>
    <w:rsid w:val="00E62609"/>
    <w:rsid w:val="00E62D94"/>
    <w:rsid w:val="00E637C8"/>
    <w:rsid w:val="00E638DF"/>
    <w:rsid w:val="00E65E54"/>
    <w:rsid w:val="00E80155"/>
    <w:rsid w:val="00E8029A"/>
    <w:rsid w:val="00E81F28"/>
    <w:rsid w:val="00E848C0"/>
    <w:rsid w:val="00E91B96"/>
    <w:rsid w:val="00E941A1"/>
    <w:rsid w:val="00E94EE8"/>
    <w:rsid w:val="00E95CE3"/>
    <w:rsid w:val="00EA2825"/>
    <w:rsid w:val="00EB0B63"/>
    <w:rsid w:val="00EB1936"/>
    <w:rsid w:val="00EB5088"/>
    <w:rsid w:val="00EC2671"/>
    <w:rsid w:val="00ED1644"/>
    <w:rsid w:val="00ED2593"/>
    <w:rsid w:val="00ED7D9C"/>
    <w:rsid w:val="00EF321F"/>
    <w:rsid w:val="00EF44A0"/>
    <w:rsid w:val="00EF4FED"/>
    <w:rsid w:val="00F050BD"/>
    <w:rsid w:val="00F05657"/>
    <w:rsid w:val="00F25578"/>
    <w:rsid w:val="00F258E5"/>
    <w:rsid w:val="00F300BC"/>
    <w:rsid w:val="00F3334E"/>
    <w:rsid w:val="00F36CCB"/>
    <w:rsid w:val="00F3748B"/>
    <w:rsid w:val="00F374E5"/>
    <w:rsid w:val="00F43AF2"/>
    <w:rsid w:val="00F50EC4"/>
    <w:rsid w:val="00F550CF"/>
    <w:rsid w:val="00F57A6D"/>
    <w:rsid w:val="00F638CC"/>
    <w:rsid w:val="00F64CC1"/>
    <w:rsid w:val="00F72317"/>
    <w:rsid w:val="00F80475"/>
    <w:rsid w:val="00F8247A"/>
    <w:rsid w:val="00F9629A"/>
    <w:rsid w:val="00F97EFC"/>
    <w:rsid w:val="00FA5883"/>
    <w:rsid w:val="00FA6055"/>
    <w:rsid w:val="00FB2A99"/>
    <w:rsid w:val="00FB322F"/>
    <w:rsid w:val="00FB442F"/>
    <w:rsid w:val="00FC1929"/>
    <w:rsid w:val="00FC480B"/>
    <w:rsid w:val="00FC5B46"/>
    <w:rsid w:val="00FD6D8E"/>
    <w:rsid w:val="00FE0E94"/>
    <w:rsid w:val="00FF00BD"/>
    <w:rsid w:val="00FF1A88"/>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Revision">
    <w:name w:val="Revision"/>
    <w:hidden/>
    <w:uiPriority w:val="71"/>
    <w:rsid w:val="002A429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Revision">
    <w:name w:val="Revision"/>
    <w:hidden/>
    <w:uiPriority w:val="71"/>
    <w:rsid w:val="002A42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37057059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55271-CA30-4D46-9339-D50A2FFE0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5200</Characters>
  <Application>Microsoft Office Word</Application>
  <DocSecurity>2</DocSecurity>
  <Lines>43</Lines>
  <Paragraphs>12</Paragraphs>
  <ScaleCrop>false</ScaleCrop>
  <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2018-07-26T05:32:00Z</dcterms:created>
  <dcterms:modified xsi:type="dcterms:W3CDTF">2018-09-21T06:26:00Z</dcterms:modified>
</cp:coreProperties>
</file>