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E39" w:rsidRPr="00D34003" w:rsidRDefault="000B55B6" w:rsidP="008B6DBD">
      <w:pPr>
        <w:ind w:left="993" w:hanging="993"/>
        <w:jc w:val="left"/>
        <w:rPr>
          <w:b/>
          <w:sz w:val="36"/>
          <w:szCs w:val="36"/>
        </w:rPr>
      </w:pPr>
      <w:bookmarkStart w:id="0" w:name="_Toc380746578"/>
      <w:bookmarkStart w:id="1" w:name="_Toc380746294"/>
      <w:bookmarkStart w:id="2" w:name="_Toc380746171"/>
      <w:bookmarkStart w:id="3" w:name="_Toc380742604"/>
      <w:bookmarkStart w:id="4" w:name="_Toc380679747"/>
      <w:r w:rsidRPr="00D34003">
        <w:rPr>
          <w:b/>
          <w:sz w:val="36"/>
          <w:szCs w:val="36"/>
        </w:rPr>
        <w:t>7.07</w:t>
      </w:r>
      <w:r w:rsidRPr="00D34003">
        <w:rPr>
          <w:b/>
          <w:sz w:val="36"/>
          <w:szCs w:val="36"/>
        </w:rPr>
        <w:tab/>
      </w:r>
      <w:r w:rsidR="00706810" w:rsidRPr="00D34003">
        <w:rPr>
          <w:b/>
          <w:sz w:val="36"/>
          <w:szCs w:val="36"/>
        </w:rPr>
        <w:t xml:space="preserve">PEMBROLIZUMAB, </w:t>
      </w:r>
    </w:p>
    <w:p w:rsidR="008B6DBD" w:rsidRDefault="00E37E39" w:rsidP="008B6DBD">
      <w:pPr>
        <w:ind w:left="993"/>
        <w:jc w:val="left"/>
        <w:rPr>
          <w:b/>
          <w:sz w:val="36"/>
          <w:szCs w:val="36"/>
        </w:rPr>
      </w:pPr>
      <w:proofErr w:type="gramStart"/>
      <w:r w:rsidRPr="00D34003">
        <w:rPr>
          <w:b/>
          <w:sz w:val="36"/>
          <w:szCs w:val="36"/>
        </w:rPr>
        <w:t>S</w:t>
      </w:r>
      <w:r w:rsidR="00616E53" w:rsidRPr="00D34003">
        <w:rPr>
          <w:b/>
          <w:sz w:val="36"/>
          <w:szCs w:val="36"/>
        </w:rPr>
        <w:t>olution concentrate</w:t>
      </w:r>
      <w:proofErr w:type="gramEnd"/>
      <w:r w:rsidR="00616E53" w:rsidRPr="00D34003">
        <w:rPr>
          <w:b/>
          <w:sz w:val="36"/>
          <w:szCs w:val="36"/>
        </w:rPr>
        <w:t xml:space="preserve"> for I.V. infusion 100</w:t>
      </w:r>
      <w:r w:rsidR="009831FF" w:rsidRPr="00D34003">
        <w:rPr>
          <w:b/>
          <w:sz w:val="36"/>
          <w:szCs w:val="36"/>
        </w:rPr>
        <w:t xml:space="preserve"> </w:t>
      </w:r>
      <w:r w:rsidR="00616E53" w:rsidRPr="00D34003">
        <w:rPr>
          <w:b/>
          <w:sz w:val="36"/>
          <w:szCs w:val="36"/>
        </w:rPr>
        <w:t>mg in 4</w:t>
      </w:r>
      <w:r w:rsidR="009831FF" w:rsidRPr="00D34003">
        <w:rPr>
          <w:b/>
          <w:sz w:val="36"/>
          <w:szCs w:val="36"/>
        </w:rPr>
        <w:t> </w:t>
      </w:r>
      <w:r w:rsidR="00616E53" w:rsidRPr="00D34003">
        <w:rPr>
          <w:b/>
          <w:sz w:val="36"/>
          <w:szCs w:val="36"/>
        </w:rPr>
        <w:t>mL</w:t>
      </w:r>
      <w:r w:rsidR="00706810" w:rsidRPr="00D34003">
        <w:rPr>
          <w:b/>
          <w:sz w:val="36"/>
          <w:szCs w:val="36"/>
        </w:rPr>
        <w:t>,</w:t>
      </w:r>
    </w:p>
    <w:p w:rsidR="000B55B6" w:rsidRPr="00D34003" w:rsidRDefault="00706810" w:rsidP="008B6DBD">
      <w:pPr>
        <w:ind w:left="993"/>
        <w:jc w:val="left"/>
        <w:rPr>
          <w:b/>
          <w:sz w:val="36"/>
          <w:szCs w:val="36"/>
        </w:rPr>
      </w:pPr>
      <w:proofErr w:type="spellStart"/>
      <w:r w:rsidRPr="00D34003">
        <w:rPr>
          <w:b/>
          <w:sz w:val="36"/>
          <w:szCs w:val="36"/>
        </w:rPr>
        <w:t>Keytruda</w:t>
      </w:r>
      <w:proofErr w:type="spellEnd"/>
      <w:r w:rsidRPr="00D34003">
        <w:rPr>
          <w:b/>
          <w:sz w:val="36"/>
          <w:szCs w:val="36"/>
          <w:vertAlign w:val="superscript"/>
        </w:rPr>
        <w:t>®</w:t>
      </w:r>
      <w:r w:rsidRPr="00D34003">
        <w:rPr>
          <w:b/>
          <w:sz w:val="36"/>
          <w:szCs w:val="36"/>
        </w:rPr>
        <w:t xml:space="preserve">, </w:t>
      </w:r>
    </w:p>
    <w:p w:rsidR="00706810" w:rsidRPr="00D34003" w:rsidRDefault="00706810" w:rsidP="008B6DBD">
      <w:pPr>
        <w:ind w:left="993"/>
        <w:jc w:val="left"/>
        <w:rPr>
          <w:b/>
          <w:sz w:val="36"/>
          <w:szCs w:val="36"/>
        </w:rPr>
      </w:pPr>
      <w:r w:rsidRPr="00D34003">
        <w:rPr>
          <w:b/>
          <w:sz w:val="36"/>
          <w:szCs w:val="36"/>
        </w:rPr>
        <w:t>M</w:t>
      </w:r>
      <w:r w:rsidR="00E37E39" w:rsidRPr="00D34003">
        <w:rPr>
          <w:b/>
          <w:sz w:val="36"/>
          <w:szCs w:val="36"/>
        </w:rPr>
        <w:t xml:space="preserve">erck </w:t>
      </w:r>
      <w:r w:rsidRPr="00D34003">
        <w:rPr>
          <w:b/>
          <w:sz w:val="36"/>
          <w:szCs w:val="36"/>
        </w:rPr>
        <w:t>S</w:t>
      </w:r>
      <w:r w:rsidR="00E37E39" w:rsidRPr="00D34003">
        <w:rPr>
          <w:b/>
          <w:sz w:val="36"/>
          <w:szCs w:val="36"/>
        </w:rPr>
        <w:t xml:space="preserve">harp &amp; </w:t>
      </w:r>
      <w:r w:rsidRPr="00D34003">
        <w:rPr>
          <w:b/>
          <w:sz w:val="36"/>
          <w:szCs w:val="36"/>
        </w:rPr>
        <w:t>D</w:t>
      </w:r>
      <w:r w:rsidR="00E37E39" w:rsidRPr="00D34003">
        <w:rPr>
          <w:b/>
          <w:sz w:val="36"/>
          <w:szCs w:val="36"/>
        </w:rPr>
        <w:t>ohme</w:t>
      </w:r>
      <w:r w:rsidRPr="00D34003">
        <w:rPr>
          <w:b/>
          <w:sz w:val="36"/>
          <w:szCs w:val="36"/>
        </w:rPr>
        <w:t xml:space="preserve"> </w:t>
      </w:r>
      <w:r w:rsidR="00E37E39" w:rsidRPr="00D34003">
        <w:rPr>
          <w:b/>
          <w:sz w:val="36"/>
          <w:szCs w:val="36"/>
        </w:rPr>
        <w:t>(</w:t>
      </w:r>
      <w:r w:rsidRPr="00D34003">
        <w:rPr>
          <w:b/>
          <w:sz w:val="36"/>
          <w:szCs w:val="36"/>
        </w:rPr>
        <w:t>Australia</w:t>
      </w:r>
      <w:r w:rsidR="00E37E39" w:rsidRPr="00D34003">
        <w:rPr>
          <w:b/>
          <w:sz w:val="36"/>
          <w:szCs w:val="36"/>
        </w:rPr>
        <w:t>) Pty Ltd</w:t>
      </w:r>
    </w:p>
    <w:p w:rsidR="00706810" w:rsidRPr="00D34003" w:rsidRDefault="00706810" w:rsidP="008A23A2">
      <w:pPr>
        <w:pStyle w:val="PBACHeading1"/>
        <w:spacing w:before="240" w:after="120"/>
        <w:outlineLvl w:val="0"/>
      </w:pPr>
      <w:bookmarkStart w:id="5" w:name="_Toc514243663"/>
      <w:r w:rsidRPr="00D34003">
        <w:t>Purpose of Application</w:t>
      </w:r>
      <w:bookmarkEnd w:id="5"/>
    </w:p>
    <w:p w:rsidR="00706810" w:rsidRPr="00D34003" w:rsidRDefault="00706810" w:rsidP="008A23A2">
      <w:pPr>
        <w:pStyle w:val="ListParagraph"/>
        <w:widowControl/>
        <w:numPr>
          <w:ilvl w:val="1"/>
          <w:numId w:val="1"/>
        </w:numPr>
        <w:spacing w:after="120"/>
      </w:pPr>
      <w:r w:rsidRPr="00D34003">
        <w:t xml:space="preserve">The resubmission requested a Section 100 (Efficient Funding of Chemotherapy – Public and Private Hospital), Authority </w:t>
      </w:r>
      <w:proofErr w:type="gramStart"/>
      <w:r w:rsidRPr="00D34003">
        <w:t>Required</w:t>
      </w:r>
      <w:proofErr w:type="gramEnd"/>
      <w:r w:rsidRPr="00D34003">
        <w:t xml:space="preserve"> listing for pembrolizumab for </w:t>
      </w:r>
      <w:r w:rsidR="007C2554" w:rsidRPr="00D34003">
        <w:t xml:space="preserve">the </w:t>
      </w:r>
      <w:r w:rsidRPr="00D34003">
        <w:t xml:space="preserve">treatment of </w:t>
      </w:r>
      <w:r w:rsidR="001C7C4B" w:rsidRPr="00D34003">
        <w:t>locally advanced (LA) or metastatic urothelial cancer (</w:t>
      </w:r>
      <w:proofErr w:type="spellStart"/>
      <w:r w:rsidR="001C7C4B" w:rsidRPr="00D34003">
        <w:t>mUC</w:t>
      </w:r>
      <w:proofErr w:type="spellEnd"/>
      <w:r w:rsidR="001C7C4B" w:rsidRPr="00D34003">
        <w:t xml:space="preserve">) </w:t>
      </w:r>
      <w:r w:rsidRPr="00D34003">
        <w:t>patients after failure of a platinum-based therapy.</w:t>
      </w:r>
      <w:r w:rsidRPr="00D34003">
        <w:rPr>
          <w:color w:val="3366FF"/>
        </w:rPr>
        <w:t xml:space="preserve"> </w:t>
      </w:r>
      <w:r w:rsidR="007C2554" w:rsidRPr="00D34003">
        <w:t xml:space="preserve">An application seeking listing in the same indication was considered and rejected at the </w:t>
      </w:r>
      <w:r w:rsidRPr="00D34003">
        <w:t>November 2017</w:t>
      </w:r>
      <w:r w:rsidR="007C2554" w:rsidRPr="00D34003">
        <w:t xml:space="preserve"> PBAC meeting</w:t>
      </w:r>
      <w:r w:rsidR="00FF1AB1" w:rsidRPr="00D34003">
        <w:t>.</w:t>
      </w:r>
    </w:p>
    <w:p w:rsidR="00706810" w:rsidRPr="00D34003" w:rsidRDefault="00706810" w:rsidP="008A23A2">
      <w:pPr>
        <w:pStyle w:val="ListParagraph"/>
        <w:widowControl/>
        <w:numPr>
          <w:ilvl w:val="1"/>
          <w:numId w:val="1"/>
        </w:numPr>
        <w:spacing w:after="120"/>
      </w:pPr>
      <w:r w:rsidRPr="00D34003">
        <w:t>The resubmission presented one head</w:t>
      </w:r>
      <w:r w:rsidR="008D47BF" w:rsidRPr="00D34003">
        <w:t>-</w:t>
      </w:r>
      <w:r w:rsidRPr="00D34003">
        <w:t>to</w:t>
      </w:r>
      <w:r w:rsidR="008D47BF" w:rsidRPr="00D34003">
        <w:t>-</w:t>
      </w:r>
      <w:r w:rsidRPr="00D34003">
        <w:t xml:space="preserve">head clinical trial (KEY-NOTE 045, KN045) which formed the basis of a cost-effectiveness/utility analysis against standard of care (SOC). </w:t>
      </w:r>
      <w:r w:rsidR="007C2554" w:rsidRPr="00D34003">
        <w:t xml:space="preserve">The key components of the </w:t>
      </w:r>
      <w:r w:rsidR="003E34AF" w:rsidRPr="00D34003">
        <w:t>re</w:t>
      </w:r>
      <w:r w:rsidR="007C2554" w:rsidRPr="00D34003">
        <w:t>submission are summarised in Table 1.</w:t>
      </w:r>
    </w:p>
    <w:p w:rsidR="00706810" w:rsidRPr="00D34003" w:rsidRDefault="00706810" w:rsidP="004F06A0">
      <w:pPr>
        <w:keepNext/>
        <w:keepLines/>
        <w:rPr>
          <w:rStyle w:val="CommentReference"/>
        </w:rPr>
      </w:pPr>
      <w:r w:rsidRPr="00D34003">
        <w:rPr>
          <w:rStyle w:val="CommentReference"/>
        </w:rPr>
        <w:t>Table 1</w:t>
      </w:r>
      <w:r w:rsidR="00D9757E" w:rsidRPr="00D34003">
        <w:rPr>
          <w:rStyle w:val="CommentReference"/>
        </w:rPr>
        <w:t>:</w:t>
      </w:r>
      <w:r w:rsidRPr="00D34003">
        <w:rPr>
          <w:rStyle w:val="CommentReference"/>
        </w:rPr>
        <w:t xml:space="preserve"> Key components of the clinical issue addressed by the </w:t>
      </w:r>
      <w:r w:rsidR="003E34AF" w:rsidRPr="00D34003">
        <w:rPr>
          <w:rStyle w:val="CommentReference"/>
        </w:rPr>
        <w:t>re</w:t>
      </w:r>
      <w:r w:rsidRPr="00D34003">
        <w:rPr>
          <w:rStyle w:val="CommentReference"/>
        </w:rPr>
        <w:t>submission</w:t>
      </w:r>
    </w:p>
    <w:tbl>
      <w:tblPr>
        <w:tblStyle w:val="TableGrid"/>
        <w:tblW w:w="5000" w:type="pct"/>
        <w:tblLook w:val="04A0" w:firstRow="1" w:lastRow="0" w:firstColumn="1" w:lastColumn="0" w:noHBand="0" w:noVBand="1"/>
        <w:tblCaption w:val="Table 1: Key components of the clinical issue addressed by the resubmission"/>
      </w:tblPr>
      <w:tblGrid>
        <w:gridCol w:w="1740"/>
        <w:gridCol w:w="7503"/>
      </w:tblGrid>
      <w:tr w:rsidR="00706810" w:rsidRPr="00D34003" w:rsidTr="003576BA">
        <w:trPr>
          <w:cantSplit/>
          <w:trHeight w:val="333"/>
          <w:tblHeader/>
        </w:trPr>
        <w:tc>
          <w:tcPr>
            <w:tcW w:w="941" w:type="pct"/>
            <w:shd w:val="clear" w:color="auto" w:fill="auto"/>
          </w:tcPr>
          <w:p w:rsidR="00706810" w:rsidRPr="00D34003" w:rsidRDefault="00706810" w:rsidP="004F06A0">
            <w:pPr>
              <w:pStyle w:val="TableText0"/>
              <w:keepLines/>
              <w:widowControl w:val="0"/>
              <w:jc w:val="both"/>
              <w:rPr>
                <w:b/>
              </w:rPr>
            </w:pPr>
            <w:r w:rsidRPr="00D34003">
              <w:rPr>
                <w:b/>
              </w:rPr>
              <w:t>Component</w:t>
            </w:r>
          </w:p>
        </w:tc>
        <w:tc>
          <w:tcPr>
            <w:tcW w:w="4059" w:type="pct"/>
            <w:shd w:val="clear" w:color="auto" w:fill="auto"/>
          </w:tcPr>
          <w:p w:rsidR="00706810" w:rsidRPr="00D34003" w:rsidRDefault="00706810" w:rsidP="004F06A0">
            <w:pPr>
              <w:pStyle w:val="TableText0"/>
              <w:keepLines/>
              <w:widowControl w:val="0"/>
              <w:jc w:val="both"/>
              <w:rPr>
                <w:b/>
              </w:rPr>
            </w:pPr>
            <w:r w:rsidRPr="00D34003">
              <w:rPr>
                <w:b/>
              </w:rPr>
              <w:t>Description</w:t>
            </w:r>
          </w:p>
        </w:tc>
      </w:tr>
      <w:tr w:rsidR="00706810" w:rsidRPr="00D34003" w:rsidTr="003576BA">
        <w:trPr>
          <w:cantSplit/>
          <w:trHeight w:val="475"/>
        </w:trPr>
        <w:tc>
          <w:tcPr>
            <w:tcW w:w="941" w:type="pct"/>
          </w:tcPr>
          <w:p w:rsidR="00706810" w:rsidRPr="00D34003" w:rsidRDefault="00706810" w:rsidP="004F06A0">
            <w:pPr>
              <w:pStyle w:val="TableText0"/>
              <w:keepLines/>
              <w:widowControl w:val="0"/>
              <w:jc w:val="both"/>
            </w:pPr>
            <w:r w:rsidRPr="00D34003">
              <w:t>Population</w:t>
            </w:r>
          </w:p>
        </w:tc>
        <w:tc>
          <w:tcPr>
            <w:tcW w:w="4059" w:type="pct"/>
          </w:tcPr>
          <w:p w:rsidR="00706810" w:rsidRPr="00D34003" w:rsidRDefault="00706810" w:rsidP="004F06A0">
            <w:pPr>
              <w:pStyle w:val="TableText0"/>
              <w:keepLines/>
              <w:widowControl w:val="0"/>
              <w:jc w:val="both"/>
              <w:rPr>
                <w:rFonts w:ascii="Times" w:eastAsia="Times New Roman" w:hAnsi="Times"/>
              </w:rPr>
            </w:pPr>
            <w:r w:rsidRPr="00D34003">
              <w:t>Patients with locally advanced or metastatic urothelial cancer after failure of a platinum-containing regimen.</w:t>
            </w:r>
          </w:p>
        </w:tc>
      </w:tr>
      <w:tr w:rsidR="00706810" w:rsidRPr="00D34003" w:rsidTr="003576BA">
        <w:trPr>
          <w:cantSplit/>
          <w:trHeight w:val="333"/>
        </w:trPr>
        <w:tc>
          <w:tcPr>
            <w:tcW w:w="941" w:type="pct"/>
          </w:tcPr>
          <w:p w:rsidR="00706810" w:rsidRPr="00D34003" w:rsidRDefault="00706810" w:rsidP="004F06A0">
            <w:pPr>
              <w:pStyle w:val="TableText0"/>
              <w:keepLines/>
              <w:widowControl w:val="0"/>
              <w:jc w:val="both"/>
              <w:rPr>
                <w:rFonts w:ascii="Times" w:eastAsia="Times New Roman" w:hAnsi="Times"/>
              </w:rPr>
            </w:pPr>
            <w:r w:rsidRPr="00D34003">
              <w:t>Intervention</w:t>
            </w:r>
          </w:p>
        </w:tc>
        <w:tc>
          <w:tcPr>
            <w:tcW w:w="4059" w:type="pct"/>
          </w:tcPr>
          <w:p w:rsidR="00706810" w:rsidRPr="00D34003" w:rsidRDefault="00706810" w:rsidP="004F06A0">
            <w:pPr>
              <w:pStyle w:val="TableText0"/>
              <w:keepLines/>
              <w:widowControl w:val="0"/>
              <w:jc w:val="both"/>
              <w:rPr>
                <w:rFonts w:ascii="Times" w:eastAsia="Times New Roman" w:hAnsi="Times"/>
              </w:rPr>
            </w:pPr>
            <w:r w:rsidRPr="00D34003">
              <w:t>Pembrolizumab fixed dose 200 mg IV, once every 3 weeks.</w:t>
            </w:r>
          </w:p>
        </w:tc>
      </w:tr>
      <w:tr w:rsidR="00706810" w:rsidRPr="00D34003" w:rsidTr="003576BA">
        <w:trPr>
          <w:cantSplit/>
          <w:trHeight w:val="333"/>
        </w:trPr>
        <w:tc>
          <w:tcPr>
            <w:tcW w:w="941" w:type="pct"/>
          </w:tcPr>
          <w:p w:rsidR="00706810" w:rsidRPr="00D34003" w:rsidRDefault="00706810" w:rsidP="004F06A0">
            <w:pPr>
              <w:pStyle w:val="TableText0"/>
              <w:keepLines/>
              <w:widowControl w:val="0"/>
              <w:jc w:val="both"/>
              <w:rPr>
                <w:rFonts w:ascii="Times" w:eastAsia="Times New Roman" w:hAnsi="Times"/>
              </w:rPr>
            </w:pPr>
            <w:r w:rsidRPr="00D34003">
              <w:t>Comparator</w:t>
            </w:r>
          </w:p>
        </w:tc>
        <w:tc>
          <w:tcPr>
            <w:tcW w:w="4059" w:type="pct"/>
          </w:tcPr>
          <w:p w:rsidR="00706810" w:rsidRPr="00D34003" w:rsidRDefault="00706810" w:rsidP="004F06A0">
            <w:pPr>
              <w:pStyle w:val="TableText0"/>
              <w:keepLines/>
              <w:widowControl w:val="0"/>
              <w:jc w:val="both"/>
            </w:pPr>
            <w:r w:rsidRPr="00D34003">
              <w:t>SOC; paclitaxel 175 mg/m</w:t>
            </w:r>
            <w:r w:rsidRPr="00D34003">
              <w:rPr>
                <w:vertAlign w:val="superscript"/>
              </w:rPr>
              <w:t>2</w:t>
            </w:r>
            <w:r w:rsidRPr="00D34003">
              <w:t xml:space="preserve"> IV, once every 3 weeks, or docetaxel 75 mg/m</w:t>
            </w:r>
            <w:r w:rsidRPr="00D34003">
              <w:rPr>
                <w:vertAlign w:val="superscript"/>
              </w:rPr>
              <w:t xml:space="preserve">2, </w:t>
            </w:r>
            <w:r w:rsidRPr="00D34003">
              <w:t>IV once every 3 weeks.</w:t>
            </w:r>
          </w:p>
        </w:tc>
      </w:tr>
      <w:tr w:rsidR="00706810" w:rsidRPr="00D34003" w:rsidTr="003576BA">
        <w:trPr>
          <w:cantSplit/>
          <w:trHeight w:val="630"/>
        </w:trPr>
        <w:tc>
          <w:tcPr>
            <w:tcW w:w="941" w:type="pct"/>
          </w:tcPr>
          <w:p w:rsidR="00706810" w:rsidRPr="00D34003" w:rsidRDefault="00706810" w:rsidP="004F06A0">
            <w:pPr>
              <w:pStyle w:val="TableText0"/>
              <w:keepLines/>
              <w:widowControl w:val="0"/>
              <w:jc w:val="both"/>
              <w:rPr>
                <w:rFonts w:ascii="Times" w:eastAsia="Times New Roman" w:hAnsi="Times"/>
              </w:rPr>
            </w:pPr>
            <w:r w:rsidRPr="00D34003">
              <w:t>Outcomes</w:t>
            </w:r>
          </w:p>
        </w:tc>
        <w:tc>
          <w:tcPr>
            <w:tcW w:w="4059" w:type="pct"/>
          </w:tcPr>
          <w:p w:rsidR="00706810" w:rsidRPr="00D34003" w:rsidRDefault="00706810" w:rsidP="004F06A0">
            <w:pPr>
              <w:pStyle w:val="TableText0"/>
              <w:keepLines/>
              <w:widowControl w:val="0"/>
              <w:jc w:val="both"/>
            </w:pPr>
            <w:r w:rsidRPr="00D34003">
              <w:t>Primary: Progression free survival (PFS); overall survival (OS)</w:t>
            </w:r>
          </w:p>
          <w:p w:rsidR="00706810" w:rsidRPr="00D34003" w:rsidRDefault="00706810" w:rsidP="004F06A0">
            <w:pPr>
              <w:pStyle w:val="TableText0"/>
              <w:keepLines/>
              <w:widowControl w:val="0"/>
              <w:jc w:val="both"/>
              <w:rPr>
                <w:rFonts w:ascii="Times" w:eastAsia="Times New Roman" w:hAnsi="Times"/>
              </w:rPr>
            </w:pPr>
            <w:r w:rsidRPr="00D34003">
              <w:t xml:space="preserve">Secondary: ORR, duration of response, </w:t>
            </w:r>
            <w:proofErr w:type="spellStart"/>
            <w:r w:rsidRPr="00D34003">
              <w:t>HRQoL</w:t>
            </w:r>
            <w:proofErr w:type="spellEnd"/>
            <w:r w:rsidRPr="00D34003">
              <w:t>, safety.</w:t>
            </w:r>
          </w:p>
        </w:tc>
      </w:tr>
      <w:tr w:rsidR="00706810" w:rsidRPr="00D34003" w:rsidTr="003576BA">
        <w:trPr>
          <w:cantSplit/>
          <w:trHeight w:val="1083"/>
        </w:trPr>
        <w:tc>
          <w:tcPr>
            <w:tcW w:w="941" w:type="pct"/>
          </w:tcPr>
          <w:p w:rsidR="00706810" w:rsidRPr="00D34003" w:rsidRDefault="00706810" w:rsidP="004F06A0">
            <w:pPr>
              <w:pStyle w:val="TableText0"/>
              <w:keepLines/>
              <w:widowControl w:val="0"/>
              <w:jc w:val="both"/>
              <w:rPr>
                <w:rFonts w:ascii="Times" w:eastAsia="Times New Roman" w:hAnsi="Times"/>
              </w:rPr>
            </w:pPr>
            <w:r w:rsidRPr="00D34003">
              <w:t>Clinical claim</w:t>
            </w:r>
          </w:p>
        </w:tc>
        <w:tc>
          <w:tcPr>
            <w:tcW w:w="4059" w:type="pct"/>
          </w:tcPr>
          <w:p w:rsidR="00706810" w:rsidRPr="00D34003" w:rsidRDefault="00706810" w:rsidP="004F06A0">
            <w:pPr>
              <w:pStyle w:val="BodyText"/>
              <w:keepNext/>
              <w:keepLines/>
              <w:rPr>
                <w:rFonts w:ascii="Arial Narrow" w:hAnsi="Arial Narrow"/>
                <w:sz w:val="20"/>
                <w:szCs w:val="20"/>
              </w:rPr>
            </w:pPr>
            <w:bookmarkStart w:id="6" w:name="_Toc511305026"/>
            <w:r w:rsidRPr="00D34003">
              <w:rPr>
                <w:rFonts w:ascii="Arial Narrow" w:hAnsi="Arial Narrow"/>
                <w:sz w:val="20"/>
                <w:szCs w:val="20"/>
              </w:rPr>
              <w:t xml:space="preserve">Pembrolizumab is superior to SOC in efficacy, providing statistically significant and clinically significant increase in OS (the primary outcome), increasing response rates, providing more durable responses and improved </w:t>
            </w:r>
            <w:proofErr w:type="spellStart"/>
            <w:r w:rsidRPr="00D34003">
              <w:rPr>
                <w:rFonts w:ascii="Arial Narrow" w:hAnsi="Arial Narrow"/>
                <w:sz w:val="20"/>
                <w:szCs w:val="20"/>
              </w:rPr>
              <w:t>HRQoL</w:t>
            </w:r>
            <w:proofErr w:type="spellEnd"/>
            <w:r w:rsidRPr="00D34003">
              <w:rPr>
                <w:rFonts w:ascii="Arial Narrow" w:hAnsi="Arial Narrow"/>
                <w:sz w:val="20"/>
                <w:szCs w:val="20"/>
              </w:rPr>
              <w:t>. Pembrolizumab was non-inferior to SOC with respect to PFS but was associated with superior safety. These claims were supported by the data presented. At its November 2017 meeting, the PBAC noted that the claim of superior effectiveness was adequately supported by the OS data which showed a modest but statistically significant OS gain. It also noted that the claim of superior safety was reasonable (</w:t>
            </w:r>
            <w:r w:rsidR="00513D54" w:rsidRPr="00D34003">
              <w:rPr>
                <w:rFonts w:ascii="Arial Narrow" w:hAnsi="Arial Narrow"/>
                <w:sz w:val="20"/>
                <w:szCs w:val="20"/>
              </w:rPr>
              <w:t>pembrolizumab Public Summary Document</w:t>
            </w:r>
            <w:r w:rsidR="00563FCD" w:rsidRPr="00D34003">
              <w:rPr>
                <w:rFonts w:ascii="Arial Narrow" w:hAnsi="Arial Narrow"/>
                <w:sz w:val="20"/>
                <w:szCs w:val="20"/>
              </w:rPr>
              <w:t>,</w:t>
            </w:r>
            <w:r w:rsidRPr="00D34003">
              <w:rPr>
                <w:rFonts w:ascii="Arial Narrow" w:hAnsi="Arial Narrow"/>
                <w:sz w:val="20"/>
                <w:szCs w:val="20"/>
              </w:rPr>
              <w:t xml:space="preserve"> Nov</w:t>
            </w:r>
            <w:r w:rsidR="006B07C3" w:rsidRPr="00D34003">
              <w:rPr>
                <w:rFonts w:ascii="Arial Narrow" w:hAnsi="Arial Narrow"/>
                <w:sz w:val="20"/>
                <w:szCs w:val="20"/>
              </w:rPr>
              <w:t>ember</w:t>
            </w:r>
            <w:r w:rsidRPr="00D34003">
              <w:rPr>
                <w:rFonts w:ascii="Arial Narrow" w:hAnsi="Arial Narrow"/>
                <w:sz w:val="20"/>
                <w:szCs w:val="20"/>
              </w:rPr>
              <w:t xml:space="preserve"> 2017, point 7.4 and 7.7).</w:t>
            </w:r>
            <w:bookmarkEnd w:id="6"/>
            <w:r w:rsidRPr="00D34003">
              <w:rPr>
                <w:rFonts w:ascii="Arial Narrow" w:hAnsi="Arial Narrow"/>
                <w:sz w:val="20"/>
                <w:szCs w:val="20"/>
              </w:rPr>
              <w:t xml:space="preserve"> </w:t>
            </w:r>
          </w:p>
        </w:tc>
      </w:tr>
    </w:tbl>
    <w:p w:rsidR="00706810" w:rsidRPr="00D34003" w:rsidRDefault="00706810" w:rsidP="004F06A0">
      <w:pPr>
        <w:pStyle w:val="TableFooter"/>
        <w:keepNext/>
        <w:keepLines/>
        <w:rPr>
          <w:rFonts w:eastAsia="Calibri"/>
        </w:rPr>
      </w:pPr>
      <w:r w:rsidRPr="00D34003">
        <w:rPr>
          <w:rFonts w:eastAsia="Calibri"/>
        </w:rPr>
        <w:t xml:space="preserve">Abbreviations: IV= intravenous; </w:t>
      </w:r>
      <w:proofErr w:type="spellStart"/>
      <w:r w:rsidRPr="00D34003">
        <w:rPr>
          <w:rFonts w:eastAsia="Calibri"/>
        </w:rPr>
        <w:t>HRQoL</w:t>
      </w:r>
      <w:proofErr w:type="spellEnd"/>
      <w:r w:rsidRPr="00D34003">
        <w:rPr>
          <w:rFonts w:eastAsia="Calibri"/>
        </w:rPr>
        <w:t>= health related quality of life; ITT= Intention to treat; mg/m</w:t>
      </w:r>
      <w:r w:rsidRPr="00D34003">
        <w:rPr>
          <w:rFonts w:eastAsia="Calibri"/>
          <w:vertAlign w:val="superscript"/>
        </w:rPr>
        <w:t>2</w:t>
      </w:r>
      <w:r w:rsidRPr="00D34003">
        <w:rPr>
          <w:rFonts w:eastAsia="Calibri"/>
        </w:rPr>
        <w:t xml:space="preserve"> = milligram per square metre; Nov = November; ORR= objective response rate; OS= overall survival; PBAC = Pharmaceutical Benefits Advisory Committee; PFS= progression free survival; SOC= standard o</w:t>
      </w:r>
      <w:r w:rsidR="00DE480B" w:rsidRPr="00D34003">
        <w:rPr>
          <w:rFonts w:eastAsia="Calibri"/>
        </w:rPr>
        <w:t>f</w:t>
      </w:r>
      <w:r w:rsidRPr="00D34003">
        <w:rPr>
          <w:rFonts w:eastAsia="Calibri"/>
        </w:rPr>
        <w:t xml:space="preserve"> care.</w:t>
      </w:r>
    </w:p>
    <w:p w:rsidR="00706810" w:rsidRPr="00D34003" w:rsidRDefault="00706810" w:rsidP="004F06A0">
      <w:pPr>
        <w:pStyle w:val="TableFooter"/>
        <w:keepNext/>
        <w:keepLines/>
      </w:pPr>
      <w:r w:rsidRPr="00D34003">
        <w:t>Source: Table 1-2, p. 5 of resubmission.</w:t>
      </w:r>
    </w:p>
    <w:p w:rsidR="00706810" w:rsidRPr="00D34003" w:rsidRDefault="00706810" w:rsidP="008A23A2">
      <w:pPr>
        <w:pStyle w:val="PBACHeading1"/>
        <w:spacing w:before="240" w:after="120"/>
        <w:outlineLvl w:val="0"/>
      </w:pPr>
      <w:bookmarkStart w:id="7" w:name="_Toc514243664"/>
      <w:r w:rsidRPr="00D34003">
        <w:t>Requested listing</w:t>
      </w:r>
      <w:bookmarkEnd w:id="7"/>
    </w:p>
    <w:p w:rsidR="001609D0" w:rsidRDefault="00706810" w:rsidP="008B6DBD">
      <w:pPr>
        <w:pStyle w:val="ListParagraph"/>
        <w:widowControl/>
        <w:numPr>
          <w:ilvl w:val="1"/>
          <w:numId w:val="1"/>
        </w:numPr>
        <w:spacing w:after="120"/>
        <w:jc w:val="left"/>
        <w:rPr>
          <w:rStyle w:val="CommentReference"/>
        </w:rPr>
      </w:pPr>
      <w:r w:rsidRPr="00D34003">
        <w:t xml:space="preserve">The requested </w:t>
      </w:r>
      <w:r w:rsidR="007C2554" w:rsidRPr="00D34003">
        <w:t xml:space="preserve">listing </w:t>
      </w:r>
      <w:r w:rsidRPr="00D34003">
        <w:t xml:space="preserve">is summarised </w:t>
      </w:r>
      <w:r w:rsidR="007C2554" w:rsidRPr="00D34003">
        <w:t xml:space="preserve">in Table 2 </w:t>
      </w:r>
      <w:r w:rsidRPr="00D34003">
        <w:t>and is largely consistent with KN045</w:t>
      </w:r>
      <w:r w:rsidR="007C2554" w:rsidRPr="00D34003">
        <w:t xml:space="preserve"> (see point 2.4 below)</w:t>
      </w:r>
      <w:r w:rsidRPr="00D34003">
        <w:t>.</w:t>
      </w:r>
      <w:r w:rsidR="00D533E2" w:rsidRPr="00D34003">
        <w:t xml:space="preserve"> Suggestions and additions proposed by the Secretariat to the requested listing are added in italics and suggested deletions are crossed out with strikethrough.</w:t>
      </w:r>
      <w:r w:rsidR="001609D0">
        <w:rPr>
          <w:rStyle w:val="CommentReference"/>
        </w:rPr>
        <w:br w:type="page"/>
      </w:r>
    </w:p>
    <w:p w:rsidR="002864EC" w:rsidRPr="008A23A2" w:rsidRDefault="00EF2A6B" w:rsidP="00EF2A6B">
      <w:pPr>
        <w:widowControl/>
        <w:rPr>
          <w:rStyle w:val="CommentReference"/>
        </w:rPr>
      </w:pPr>
      <w:r w:rsidRPr="00D34003">
        <w:rPr>
          <w:rStyle w:val="CommentReference"/>
        </w:rPr>
        <w:lastRenderedPageBreak/>
        <w:t>Table 2: Summary of the proposed PBS listing</w:t>
      </w:r>
    </w:p>
    <w:tbl>
      <w:tblPr>
        <w:tblW w:w="5000" w:type="pct"/>
        <w:tblLook w:val="0000" w:firstRow="0" w:lastRow="0" w:firstColumn="0" w:lastColumn="0" w:noHBand="0" w:noVBand="0"/>
      </w:tblPr>
      <w:tblGrid>
        <w:gridCol w:w="1786"/>
        <w:gridCol w:w="1423"/>
        <w:gridCol w:w="885"/>
        <w:gridCol w:w="625"/>
        <w:gridCol w:w="1736"/>
        <w:gridCol w:w="1226"/>
        <w:gridCol w:w="1562"/>
      </w:tblGrid>
      <w:tr w:rsidR="00D533E2" w:rsidRPr="00D34003" w:rsidTr="00EB3077">
        <w:trPr>
          <w:cantSplit/>
          <w:trHeight w:val="471"/>
        </w:trPr>
        <w:tc>
          <w:tcPr>
            <w:tcW w:w="1736" w:type="pct"/>
            <w:gridSpan w:val="2"/>
            <w:tcBorders>
              <w:bottom w:val="single" w:sz="4" w:space="0" w:color="auto"/>
            </w:tcBorders>
          </w:tcPr>
          <w:p w:rsidR="00D533E2" w:rsidRPr="00D34003" w:rsidRDefault="00D533E2" w:rsidP="00D533E2">
            <w:pPr>
              <w:rPr>
                <w:rFonts w:ascii="Arial Narrow" w:hAnsi="Arial Narrow"/>
                <w:b/>
                <w:sz w:val="20"/>
                <w:szCs w:val="20"/>
              </w:rPr>
            </w:pPr>
            <w:r w:rsidRPr="00D34003">
              <w:rPr>
                <w:rFonts w:ascii="Arial Narrow" w:hAnsi="Arial Narrow"/>
                <w:b/>
                <w:sz w:val="20"/>
                <w:szCs w:val="20"/>
              </w:rPr>
              <w:t>Name, Restriction,</w:t>
            </w:r>
          </w:p>
          <w:p w:rsidR="00D533E2" w:rsidRPr="00D34003" w:rsidRDefault="00D533E2" w:rsidP="00D533E2">
            <w:pPr>
              <w:rPr>
                <w:b/>
              </w:rPr>
            </w:pPr>
            <w:r w:rsidRPr="00D34003">
              <w:rPr>
                <w:rFonts w:ascii="Arial Narrow" w:hAnsi="Arial Narrow"/>
                <w:b/>
                <w:sz w:val="20"/>
                <w:szCs w:val="20"/>
              </w:rPr>
              <w:t>Manner of administration and form</w:t>
            </w:r>
          </w:p>
        </w:tc>
        <w:tc>
          <w:tcPr>
            <w:tcW w:w="479" w:type="pct"/>
            <w:tcBorders>
              <w:bottom w:val="single" w:sz="4" w:space="0" w:color="auto"/>
            </w:tcBorders>
          </w:tcPr>
          <w:p w:rsidR="00D533E2" w:rsidRPr="00D34003" w:rsidRDefault="00D533E2" w:rsidP="00EB3077">
            <w:pPr>
              <w:rPr>
                <w:rFonts w:ascii="Arial Narrow" w:hAnsi="Arial Narrow"/>
                <w:b/>
                <w:sz w:val="20"/>
                <w:szCs w:val="20"/>
              </w:rPr>
            </w:pPr>
            <w:r w:rsidRPr="00D34003">
              <w:rPr>
                <w:rFonts w:ascii="Arial Narrow" w:hAnsi="Arial Narrow"/>
                <w:b/>
                <w:sz w:val="20"/>
                <w:szCs w:val="20"/>
              </w:rPr>
              <w:t>Max.</w:t>
            </w:r>
          </w:p>
          <w:p w:rsidR="00D533E2" w:rsidRPr="00D34003" w:rsidRDefault="00D533E2" w:rsidP="00EB3077">
            <w:pPr>
              <w:rPr>
                <w:rFonts w:ascii="Arial Narrow" w:hAnsi="Arial Narrow"/>
                <w:b/>
                <w:sz w:val="20"/>
                <w:szCs w:val="20"/>
              </w:rPr>
            </w:pPr>
            <w:r w:rsidRPr="00D34003">
              <w:rPr>
                <w:rFonts w:ascii="Arial Narrow" w:hAnsi="Arial Narrow"/>
                <w:b/>
                <w:sz w:val="20"/>
                <w:szCs w:val="20"/>
              </w:rPr>
              <w:t>Amount</w:t>
            </w:r>
          </w:p>
        </w:tc>
        <w:tc>
          <w:tcPr>
            <w:tcW w:w="338" w:type="pct"/>
            <w:tcBorders>
              <w:bottom w:val="single" w:sz="4" w:space="0" w:color="auto"/>
            </w:tcBorders>
          </w:tcPr>
          <w:p w:rsidR="00D533E2" w:rsidRPr="00D34003" w:rsidRDefault="00D533E2" w:rsidP="00EB3077">
            <w:pPr>
              <w:rPr>
                <w:rFonts w:ascii="Arial Narrow" w:hAnsi="Arial Narrow"/>
                <w:b/>
                <w:sz w:val="20"/>
                <w:szCs w:val="20"/>
              </w:rPr>
            </w:pPr>
            <w:r w:rsidRPr="00D34003">
              <w:rPr>
                <w:rFonts w:ascii="Arial Narrow" w:hAnsi="Arial Narrow"/>
                <w:b/>
                <w:sz w:val="20"/>
                <w:szCs w:val="20"/>
              </w:rPr>
              <w:t>№.of</w:t>
            </w:r>
          </w:p>
          <w:p w:rsidR="00D533E2" w:rsidRPr="00D34003" w:rsidRDefault="00D533E2" w:rsidP="00EB3077">
            <w:pPr>
              <w:rPr>
                <w:rFonts w:ascii="Arial Narrow" w:hAnsi="Arial Narrow"/>
                <w:b/>
                <w:sz w:val="20"/>
                <w:szCs w:val="20"/>
              </w:rPr>
            </w:pPr>
            <w:r w:rsidRPr="00D34003">
              <w:rPr>
                <w:rFonts w:ascii="Arial Narrow" w:hAnsi="Arial Narrow"/>
                <w:b/>
                <w:sz w:val="20"/>
                <w:szCs w:val="20"/>
              </w:rPr>
              <w:t>Rpts</w:t>
            </w:r>
          </w:p>
        </w:tc>
        <w:tc>
          <w:tcPr>
            <w:tcW w:w="939" w:type="pct"/>
            <w:tcBorders>
              <w:bottom w:val="single" w:sz="4" w:space="0" w:color="auto"/>
            </w:tcBorders>
          </w:tcPr>
          <w:p w:rsidR="00D533E2" w:rsidRPr="00D34003" w:rsidRDefault="00D533E2" w:rsidP="00EB3077">
            <w:pPr>
              <w:rPr>
                <w:rFonts w:ascii="Arial Narrow" w:hAnsi="Arial Narrow"/>
                <w:b/>
                <w:sz w:val="20"/>
                <w:szCs w:val="20"/>
              </w:rPr>
            </w:pPr>
            <w:r w:rsidRPr="00D34003">
              <w:rPr>
                <w:rFonts w:ascii="Arial Narrow" w:hAnsi="Arial Narrow"/>
                <w:b/>
                <w:sz w:val="20"/>
                <w:szCs w:val="20"/>
              </w:rPr>
              <w:t>Dispensed Price for Max. Amount</w:t>
            </w:r>
          </w:p>
        </w:tc>
        <w:tc>
          <w:tcPr>
            <w:tcW w:w="1508" w:type="pct"/>
            <w:gridSpan w:val="2"/>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Proprietary Name and Manufacturer</w:t>
            </w:r>
          </w:p>
        </w:tc>
      </w:tr>
      <w:tr w:rsidR="00D533E2" w:rsidRPr="00D34003" w:rsidTr="00EB3077">
        <w:trPr>
          <w:cantSplit/>
          <w:trHeight w:val="577"/>
        </w:trPr>
        <w:tc>
          <w:tcPr>
            <w:tcW w:w="1736" w:type="pct"/>
            <w:gridSpan w:val="2"/>
          </w:tcPr>
          <w:p w:rsidR="00D533E2" w:rsidRPr="00D34003" w:rsidRDefault="00D34003" w:rsidP="00EB3077">
            <w:pPr>
              <w:jc w:val="left"/>
              <w:rPr>
                <w:rFonts w:ascii="Arial Narrow" w:hAnsi="Arial Narrow"/>
                <w:sz w:val="20"/>
                <w:szCs w:val="20"/>
              </w:rPr>
            </w:pPr>
            <w:r w:rsidRPr="00D34003">
              <w:rPr>
                <w:rFonts w:ascii="Arial Narrow" w:hAnsi="Arial Narrow"/>
                <w:sz w:val="20"/>
                <w:szCs w:val="20"/>
              </w:rPr>
              <w:t>PEMBROLIZUMAB</w:t>
            </w:r>
            <w:r w:rsidR="00D533E2" w:rsidRPr="00D34003">
              <w:rPr>
                <w:rFonts w:ascii="Arial Narrow" w:hAnsi="Arial Narrow"/>
                <w:sz w:val="20"/>
                <w:szCs w:val="20"/>
              </w:rPr>
              <w:t xml:space="preserve"> </w:t>
            </w: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100mg vial for infusion; 1 x 100mg vial</w:t>
            </w:r>
          </w:p>
        </w:tc>
        <w:tc>
          <w:tcPr>
            <w:tcW w:w="479" w:type="pct"/>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200 mg</w:t>
            </w:r>
          </w:p>
        </w:tc>
        <w:tc>
          <w:tcPr>
            <w:tcW w:w="338"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6</w:t>
            </w:r>
          </w:p>
        </w:tc>
        <w:tc>
          <w:tcPr>
            <w:tcW w:w="939" w:type="pct"/>
            <w:tcBorders>
              <w:top w:val="single" w:sz="4" w:space="0" w:color="auto"/>
            </w:tcBorders>
          </w:tcPr>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Published</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Public: $9,023.22</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Private: $9,187.35</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Effective</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Public: $</w:t>
            </w:r>
            <w:r w:rsidR="00504C28">
              <w:rPr>
                <w:rFonts w:ascii="Arial Narrow" w:hAnsi="Arial Narrow"/>
                <w:noProof/>
                <w:color w:val="000000"/>
                <w:sz w:val="20"/>
                <w:szCs w:val="20"/>
                <w:highlight w:val="black"/>
              </w:rPr>
              <w:t>'''''''''''''''''''''''</w:t>
            </w: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Private: $</w:t>
            </w:r>
            <w:r w:rsidR="00504C28">
              <w:rPr>
                <w:rFonts w:ascii="Arial Narrow" w:hAnsi="Arial Narrow"/>
                <w:noProof/>
                <w:color w:val="000000"/>
                <w:sz w:val="20"/>
                <w:szCs w:val="20"/>
                <w:highlight w:val="black"/>
              </w:rPr>
              <w:t>''''''''''''''''''''''</w:t>
            </w:r>
          </w:p>
        </w:tc>
        <w:tc>
          <w:tcPr>
            <w:tcW w:w="663"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proofErr w:type="spellStart"/>
            <w:r w:rsidRPr="00D34003">
              <w:rPr>
                <w:rFonts w:ascii="Arial Narrow" w:hAnsi="Arial Narrow"/>
                <w:sz w:val="20"/>
                <w:szCs w:val="20"/>
              </w:rPr>
              <w:t>Keytruda</w:t>
            </w:r>
            <w:proofErr w:type="spellEnd"/>
            <w:r w:rsidRPr="00D34003">
              <w:rPr>
                <w:rFonts w:ascii="Arial Narrow" w:hAnsi="Arial Narrow"/>
                <w:sz w:val="20"/>
                <w:szCs w:val="20"/>
              </w:rPr>
              <w:t>®</w:t>
            </w:r>
          </w:p>
        </w:tc>
        <w:tc>
          <w:tcPr>
            <w:tcW w:w="845"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Merck Sharp &amp; Dohme (Australia) Pty Ltd</w:t>
            </w:r>
          </w:p>
        </w:tc>
      </w:tr>
      <w:tr w:rsidR="00D533E2" w:rsidRPr="00D34003" w:rsidTr="00EB3077">
        <w:trPr>
          <w:cantSplit/>
          <w:trHeight w:val="360"/>
        </w:trPr>
        <w:tc>
          <w:tcPr>
            <w:tcW w:w="5000" w:type="pct"/>
            <w:gridSpan w:val="7"/>
            <w:tcBorders>
              <w:bottom w:val="single" w:sz="4" w:space="0" w:color="auto"/>
            </w:tcBorders>
          </w:tcPr>
          <w:p w:rsidR="00D533E2" w:rsidRPr="00D34003" w:rsidRDefault="00D533E2" w:rsidP="00EB3077">
            <w:pPr>
              <w:rPr>
                <w:rFonts w:ascii="Arial Narrow" w:hAnsi="Arial Narrow"/>
                <w:sz w:val="20"/>
                <w:szCs w:val="20"/>
              </w:rPr>
            </w:pP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proofErr w:type="spellStart"/>
            <w:r w:rsidRPr="00D34003">
              <w:rPr>
                <w:rFonts w:ascii="Arial Narrow" w:hAnsi="Arial Narrow"/>
                <w:sz w:val="20"/>
                <w:szCs w:val="20"/>
              </w:rPr>
              <w:t>Episodicity</w:t>
            </w:r>
            <w:proofErr w:type="spellEnd"/>
            <w:r w:rsidRPr="00D34003">
              <w:rPr>
                <w:rFonts w:ascii="Arial Narrow" w:hAnsi="Arial Narrow"/>
                <w:sz w:val="20"/>
                <w:szCs w:val="20"/>
              </w:rPr>
              <w:t>:</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N/A</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Category/program:</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Section 100 (Public/Private), Efficient Funding of Chemotherapy</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Severity:</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Locally advanced (Stage III) or metastatic (Stage IV)</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Condition:</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Urothelial cancer</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PBS Indication:</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Locally advanced (Stage III) or metastatic (Stage IV) urothelial cancer</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Treatment phase: </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Initial</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Restriction:</w:t>
            </w:r>
          </w:p>
          <w:p w:rsidR="00D533E2" w:rsidRPr="00D34003" w:rsidRDefault="00D533E2" w:rsidP="00EB3077">
            <w:pPr>
              <w:rPr>
                <w:rFonts w:ascii="Arial Narrow" w:hAnsi="Arial Narrow"/>
                <w:sz w:val="20"/>
                <w:szCs w:val="20"/>
              </w:rPr>
            </w:pP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1"/>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Restricted benefit</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1"/>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In Writing</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3"/>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Telephone</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Emergency</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5"/>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Electronic</w:t>
            </w:r>
          </w:p>
          <w:p w:rsidR="00D533E2" w:rsidRPr="00D34003" w:rsidRDefault="00D533E2" w:rsidP="00EB3077">
            <w:pPr>
              <w:rPr>
                <w:rFonts w:ascii="Arial Narrow" w:hAnsi="Arial Narrow"/>
                <w:sz w:val="20"/>
                <w:szCs w:val="20"/>
              </w:rPr>
            </w:pPr>
            <w:r w:rsidRPr="00D34003">
              <w:rPr>
                <w:rFonts w:ascii="Arial Narrow" w:hAnsi="Arial Narrow"/>
                <w:sz w:val="20"/>
                <w:szCs w:val="20"/>
              </w:rPr>
              <w:sym w:font="Wingdings" w:char="F0FC"/>
            </w:r>
            <w:r w:rsidRPr="00D34003">
              <w:rPr>
                <w:rFonts w:ascii="Arial Narrow" w:hAnsi="Arial Narrow"/>
                <w:sz w:val="20"/>
                <w:szCs w:val="20"/>
              </w:rPr>
              <w:t xml:space="preserve"> Streamlined</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Clinical criteria:</w:t>
            </w:r>
          </w:p>
          <w:p w:rsidR="00D533E2" w:rsidRPr="00D34003" w:rsidRDefault="00D533E2" w:rsidP="00EB3077">
            <w:pPr>
              <w:rPr>
                <w:rFonts w:ascii="Arial Narrow" w:hAnsi="Arial Narrow"/>
                <w:sz w:val="20"/>
                <w:szCs w:val="20"/>
              </w:rPr>
            </w:pPr>
          </w:p>
          <w:p w:rsidR="00D533E2" w:rsidRPr="00D34003" w:rsidRDefault="00D533E2" w:rsidP="00EB3077">
            <w:pPr>
              <w:rPr>
                <w:rFonts w:ascii="Arial Narrow" w:hAnsi="Arial Narrow"/>
                <w:sz w:val="20"/>
                <w:szCs w:val="20"/>
              </w:rPr>
            </w:pP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pStyle w:val="NoSpacing"/>
              <w:rPr>
                <w:rFonts w:ascii="Arial Narrow" w:hAnsi="Arial Narrow"/>
                <w:sz w:val="20"/>
              </w:rPr>
            </w:pPr>
            <w:r w:rsidRPr="00D34003">
              <w:rPr>
                <w:rFonts w:ascii="Arial Narrow" w:hAnsi="Arial Narrow"/>
                <w:sz w:val="20"/>
              </w:rPr>
              <w:t xml:space="preserve">Treatment must be the sole PBS-subsidised therapy for this condition, </w:t>
            </w:r>
          </w:p>
          <w:p w:rsidR="00D533E2" w:rsidRPr="00D34003" w:rsidRDefault="00D533E2" w:rsidP="00EB3077">
            <w:pPr>
              <w:pStyle w:val="NoSpacing"/>
              <w:rPr>
                <w:rFonts w:ascii="Arial Narrow" w:hAnsi="Arial Narrow"/>
                <w:sz w:val="20"/>
              </w:rPr>
            </w:pPr>
            <w:r w:rsidRPr="00D34003">
              <w:rPr>
                <w:rFonts w:ascii="Arial Narrow" w:hAnsi="Arial Narrow"/>
                <w:sz w:val="20"/>
              </w:rPr>
              <w:t>AND</w:t>
            </w:r>
          </w:p>
          <w:p w:rsidR="00D533E2" w:rsidRPr="00D34003" w:rsidRDefault="00D533E2" w:rsidP="00EB3077">
            <w:pPr>
              <w:pStyle w:val="NoSpacing"/>
              <w:rPr>
                <w:rFonts w:ascii="Arial Narrow" w:hAnsi="Arial Narrow"/>
                <w:sz w:val="20"/>
              </w:rPr>
            </w:pPr>
            <w:r w:rsidRPr="00D34003">
              <w:rPr>
                <w:rFonts w:ascii="Arial Narrow" w:hAnsi="Arial Narrow"/>
                <w:sz w:val="20"/>
              </w:rPr>
              <w:t xml:space="preserve">Patient must have failed a platinum-containing regimen for this condition in the metastatic setting or for inoperable locally advanced disease </w:t>
            </w:r>
          </w:p>
          <w:p w:rsidR="00D533E2" w:rsidRPr="00D34003" w:rsidRDefault="00D533E2" w:rsidP="00EB3077">
            <w:pPr>
              <w:pStyle w:val="NoSpacing"/>
              <w:rPr>
                <w:rFonts w:ascii="Arial Narrow" w:hAnsi="Arial Narrow"/>
                <w:sz w:val="20"/>
              </w:rPr>
            </w:pPr>
            <w:r w:rsidRPr="00D34003">
              <w:rPr>
                <w:rFonts w:ascii="Arial Narrow" w:hAnsi="Arial Narrow"/>
                <w:sz w:val="20"/>
              </w:rPr>
              <w:t>OR</w:t>
            </w:r>
          </w:p>
          <w:p w:rsidR="00D533E2" w:rsidRPr="00D34003" w:rsidRDefault="00D533E2" w:rsidP="00EB3077">
            <w:pPr>
              <w:pStyle w:val="NoSpacing"/>
              <w:rPr>
                <w:rFonts w:ascii="Arial Narrow" w:hAnsi="Arial Narrow"/>
                <w:sz w:val="20"/>
              </w:rPr>
            </w:pPr>
            <w:r w:rsidRPr="00D34003">
              <w:rPr>
                <w:rFonts w:ascii="Arial Narrow" w:hAnsi="Arial Narrow"/>
                <w:sz w:val="20"/>
              </w:rPr>
              <w:t>Patient must have received adjuvant platinum-containing therapy following cystectomy for localised muscle-invasive urothelial cancer, with recurrence or progression ≤12 months following completion of therapy</w:t>
            </w:r>
          </w:p>
          <w:p w:rsidR="00D533E2" w:rsidRPr="00D34003" w:rsidRDefault="00D533E2" w:rsidP="00EB3077">
            <w:pPr>
              <w:pStyle w:val="NoSpacing"/>
              <w:rPr>
                <w:rFonts w:ascii="Arial Narrow" w:hAnsi="Arial Narrow"/>
                <w:sz w:val="20"/>
              </w:rPr>
            </w:pPr>
            <w:r w:rsidRPr="00D34003">
              <w:rPr>
                <w:rFonts w:ascii="Arial Narrow" w:hAnsi="Arial Narrow"/>
                <w:sz w:val="20"/>
              </w:rPr>
              <w:t>OR</w:t>
            </w:r>
          </w:p>
          <w:p w:rsidR="00D533E2" w:rsidRPr="00D34003" w:rsidRDefault="00D533E2" w:rsidP="00EB3077">
            <w:pPr>
              <w:pStyle w:val="NoSpacing"/>
              <w:rPr>
                <w:rFonts w:ascii="Arial Narrow" w:hAnsi="Arial Narrow"/>
                <w:sz w:val="20"/>
              </w:rPr>
            </w:pPr>
            <w:r w:rsidRPr="00D34003">
              <w:rPr>
                <w:rFonts w:ascii="Arial Narrow" w:hAnsi="Arial Narrow"/>
                <w:sz w:val="20"/>
              </w:rPr>
              <w:t xml:space="preserve">Patient must have received neoadjuvant platinum-containing therapy prior to cystectomy for localised muscle-invasive urothelial cancer, with recurrence ≤12 months following completion of therapy; </w:t>
            </w:r>
          </w:p>
          <w:p w:rsidR="00D533E2" w:rsidRPr="00D34003" w:rsidRDefault="00D533E2" w:rsidP="00EB3077">
            <w:pPr>
              <w:rPr>
                <w:rFonts w:ascii="Arial Narrow" w:hAnsi="Arial Narrow"/>
                <w:sz w:val="20"/>
                <w:szCs w:val="20"/>
              </w:rPr>
            </w:pPr>
            <w:r w:rsidRPr="00D34003">
              <w:rPr>
                <w:rFonts w:ascii="Arial Narrow" w:hAnsi="Arial Narrow"/>
                <w:sz w:val="20"/>
                <w:szCs w:val="20"/>
              </w:rPr>
              <w:t>AND</w:t>
            </w:r>
          </w:p>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Patient must have </w:t>
            </w:r>
            <w:r w:rsidRPr="00D34003">
              <w:rPr>
                <w:rFonts w:ascii="Arial Narrow" w:hAnsi="Arial Narrow"/>
                <w:i/>
                <w:sz w:val="20"/>
                <w:szCs w:val="20"/>
              </w:rPr>
              <w:t xml:space="preserve">WHO </w:t>
            </w:r>
            <w:r w:rsidRPr="00D34003">
              <w:rPr>
                <w:rFonts w:ascii="Arial Narrow" w:hAnsi="Arial Narrow"/>
                <w:sz w:val="20"/>
                <w:szCs w:val="20"/>
              </w:rPr>
              <w:t>performance status</w:t>
            </w:r>
            <w:r w:rsidRPr="00D34003">
              <w:rPr>
                <w:rFonts w:ascii="Arial Narrow" w:hAnsi="Arial Narrow"/>
                <w:strike/>
                <w:sz w:val="20"/>
                <w:szCs w:val="20"/>
              </w:rPr>
              <w:t xml:space="preserve"> score</w:t>
            </w:r>
            <w:r w:rsidRPr="00D34003">
              <w:rPr>
                <w:rFonts w:ascii="Arial Narrow" w:hAnsi="Arial Narrow"/>
                <w:sz w:val="20"/>
                <w:szCs w:val="20"/>
              </w:rPr>
              <w:t xml:space="preserve"> of 2 or less </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Administrative Advice</w:t>
            </w:r>
          </w:p>
          <w:p w:rsidR="00D533E2" w:rsidRPr="00D34003" w:rsidRDefault="00D533E2" w:rsidP="00EB3077">
            <w:pPr>
              <w:rPr>
                <w:rFonts w:ascii="Arial Narrow" w:hAnsi="Arial Narrow"/>
                <w:sz w:val="20"/>
                <w:szCs w:val="20"/>
              </w:rPr>
            </w:pP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No increase in the </w:t>
            </w:r>
            <w:r w:rsidRPr="00D34003">
              <w:rPr>
                <w:rFonts w:ascii="Arial Narrow" w:hAnsi="Arial Narrow"/>
                <w:color w:val="000000"/>
                <w:sz w:val="20"/>
                <w:szCs w:val="20"/>
              </w:rPr>
              <w:t>maximum quantity or number of units</w:t>
            </w:r>
            <w:r w:rsidRPr="00D34003">
              <w:rPr>
                <w:rFonts w:ascii="Arial Narrow" w:hAnsi="Arial Narrow"/>
                <w:sz w:val="20"/>
                <w:szCs w:val="20"/>
              </w:rPr>
              <w:t xml:space="preserve"> or number of repeats will be authorised.</w:t>
            </w:r>
          </w:p>
          <w:p w:rsidR="00D533E2" w:rsidRPr="00D34003" w:rsidRDefault="00D533E2" w:rsidP="00EB3077">
            <w:pPr>
              <w:rPr>
                <w:rFonts w:ascii="Arial Narrow" w:hAnsi="Arial Narrow"/>
                <w:sz w:val="20"/>
                <w:szCs w:val="20"/>
              </w:rPr>
            </w:pPr>
            <w:r w:rsidRPr="00D34003">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D533E2" w:rsidRPr="00D34003" w:rsidRDefault="00D533E2" w:rsidP="00EB3077">
            <w:pPr>
              <w:rPr>
                <w:rFonts w:ascii="Arial Narrow" w:hAnsi="Arial Narrow"/>
                <w:i/>
                <w:color w:val="000000"/>
                <w:sz w:val="20"/>
                <w:szCs w:val="20"/>
              </w:rPr>
            </w:pPr>
            <w:r w:rsidRPr="00D34003">
              <w:rPr>
                <w:rFonts w:ascii="Arial Narrow" w:hAnsi="Arial Narrow"/>
                <w:i/>
                <w:color w:val="000000"/>
                <w:sz w:val="20"/>
                <w:szCs w:val="20"/>
              </w:rPr>
              <w:t>Special Pricing Arrangements apply.</w:t>
            </w:r>
          </w:p>
        </w:tc>
      </w:tr>
    </w:tbl>
    <w:p w:rsidR="00D533E2" w:rsidRPr="00D34003" w:rsidRDefault="00D533E2" w:rsidP="00D533E2">
      <w:pPr>
        <w:pStyle w:val="Caption"/>
        <w:rPr>
          <w:rFonts w:ascii="Arial Narrow" w:hAnsi="Arial Narrow"/>
          <w:sz w:val="20"/>
          <w:szCs w:val="20"/>
        </w:rPr>
      </w:pPr>
    </w:p>
    <w:tbl>
      <w:tblPr>
        <w:tblW w:w="5000" w:type="pct"/>
        <w:tblLook w:val="0000" w:firstRow="0" w:lastRow="0" w:firstColumn="0" w:lastColumn="0" w:noHBand="0" w:noVBand="0"/>
      </w:tblPr>
      <w:tblGrid>
        <w:gridCol w:w="1785"/>
        <w:gridCol w:w="1409"/>
        <w:gridCol w:w="878"/>
        <w:gridCol w:w="625"/>
        <w:gridCol w:w="1721"/>
        <w:gridCol w:w="1154"/>
        <w:gridCol w:w="1671"/>
      </w:tblGrid>
      <w:tr w:rsidR="00D533E2" w:rsidRPr="00D34003" w:rsidTr="00EB3077">
        <w:trPr>
          <w:cantSplit/>
          <w:trHeight w:val="471"/>
        </w:trPr>
        <w:tc>
          <w:tcPr>
            <w:tcW w:w="1728" w:type="pct"/>
            <w:gridSpan w:val="2"/>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Name, Restriction,</w:t>
            </w:r>
          </w:p>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Manner of administration and form</w:t>
            </w:r>
          </w:p>
        </w:tc>
        <w:tc>
          <w:tcPr>
            <w:tcW w:w="475" w:type="pct"/>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Max.</w:t>
            </w:r>
          </w:p>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Amount</w:t>
            </w:r>
          </w:p>
        </w:tc>
        <w:tc>
          <w:tcPr>
            <w:tcW w:w="338" w:type="pct"/>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№.of</w:t>
            </w:r>
          </w:p>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Rpts</w:t>
            </w:r>
          </w:p>
        </w:tc>
        <w:tc>
          <w:tcPr>
            <w:tcW w:w="931" w:type="pct"/>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Dispensed Price for Max. Amount</w:t>
            </w:r>
          </w:p>
        </w:tc>
        <w:tc>
          <w:tcPr>
            <w:tcW w:w="1529" w:type="pct"/>
            <w:gridSpan w:val="2"/>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Proprietary Name and Manufacturer</w:t>
            </w:r>
          </w:p>
        </w:tc>
      </w:tr>
      <w:tr w:rsidR="00D533E2" w:rsidRPr="00D34003" w:rsidTr="00EB3077">
        <w:trPr>
          <w:cantSplit/>
          <w:trHeight w:val="577"/>
        </w:trPr>
        <w:tc>
          <w:tcPr>
            <w:tcW w:w="1728" w:type="pct"/>
            <w:gridSpan w:val="2"/>
          </w:tcPr>
          <w:p w:rsidR="00D533E2" w:rsidRPr="00D34003" w:rsidRDefault="00D34003" w:rsidP="00EB3077">
            <w:pPr>
              <w:jc w:val="left"/>
              <w:rPr>
                <w:rFonts w:ascii="Arial Narrow" w:hAnsi="Arial Narrow"/>
                <w:sz w:val="20"/>
                <w:szCs w:val="20"/>
              </w:rPr>
            </w:pPr>
            <w:r w:rsidRPr="00D34003">
              <w:rPr>
                <w:rFonts w:ascii="Arial Narrow" w:hAnsi="Arial Narrow"/>
                <w:sz w:val="20"/>
                <w:szCs w:val="20"/>
              </w:rPr>
              <w:t>PEMBROLIZUMAB</w:t>
            </w:r>
            <w:r w:rsidR="00D533E2" w:rsidRPr="00D34003">
              <w:rPr>
                <w:rFonts w:ascii="Arial Narrow" w:hAnsi="Arial Narrow"/>
                <w:sz w:val="20"/>
                <w:szCs w:val="20"/>
              </w:rPr>
              <w:t xml:space="preserve"> </w:t>
            </w: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100mg vial for infusion; 1 x 100mg vial</w:t>
            </w:r>
          </w:p>
        </w:tc>
        <w:tc>
          <w:tcPr>
            <w:tcW w:w="475" w:type="pct"/>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200 mg</w:t>
            </w:r>
          </w:p>
        </w:tc>
        <w:tc>
          <w:tcPr>
            <w:tcW w:w="338"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6</w:t>
            </w:r>
          </w:p>
        </w:tc>
        <w:tc>
          <w:tcPr>
            <w:tcW w:w="931" w:type="pct"/>
            <w:tcBorders>
              <w:top w:val="single" w:sz="4" w:space="0" w:color="auto"/>
            </w:tcBorders>
          </w:tcPr>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Published</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Public: $9,023.22</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Private: $9,187.35</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Effective</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Public: $</w:t>
            </w:r>
            <w:r w:rsidR="00504C28">
              <w:rPr>
                <w:rFonts w:ascii="Arial Narrow" w:hAnsi="Arial Narrow"/>
                <w:noProof/>
                <w:color w:val="000000"/>
                <w:sz w:val="20"/>
                <w:szCs w:val="20"/>
                <w:highlight w:val="black"/>
              </w:rPr>
              <w:t>'''''''''''''''''''''</w:t>
            </w: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Private: $</w:t>
            </w:r>
            <w:r w:rsidR="00504C28">
              <w:rPr>
                <w:rFonts w:ascii="Arial Narrow" w:hAnsi="Arial Narrow"/>
                <w:noProof/>
                <w:color w:val="000000"/>
                <w:sz w:val="20"/>
                <w:szCs w:val="20"/>
                <w:highlight w:val="black"/>
              </w:rPr>
              <w:t>'''''''''''''''''''</w:t>
            </w:r>
          </w:p>
        </w:tc>
        <w:tc>
          <w:tcPr>
            <w:tcW w:w="624"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proofErr w:type="spellStart"/>
            <w:r w:rsidRPr="00D34003">
              <w:rPr>
                <w:rFonts w:ascii="Arial Narrow" w:hAnsi="Arial Narrow"/>
                <w:sz w:val="20"/>
                <w:szCs w:val="20"/>
              </w:rPr>
              <w:t>Keytruda</w:t>
            </w:r>
            <w:proofErr w:type="spellEnd"/>
            <w:r w:rsidRPr="00D34003">
              <w:rPr>
                <w:rFonts w:ascii="Arial Narrow" w:hAnsi="Arial Narrow"/>
                <w:sz w:val="20"/>
                <w:szCs w:val="20"/>
              </w:rPr>
              <w:t>®</w:t>
            </w:r>
          </w:p>
        </w:tc>
        <w:tc>
          <w:tcPr>
            <w:tcW w:w="905"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Merck Sharp &amp; Dohme (Australia) Pty Ltd</w:t>
            </w:r>
          </w:p>
        </w:tc>
      </w:tr>
      <w:tr w:rsidR="00D533E2" w:rsidRPr="00D34003" w:rsidTr="00EB3077">
        <w:trPr>
          <w:cantSplit/>
          <w:trHeight w:val="360"/>
        </w:trPr>
        <w:tc>
          <w:tcPr>
            <w:tcW w:w="5000" w:type="pct"/>
            <w:gridSpan w:val="7"/>
            <w:tcBorders>
              <w:bottom w:val="single" w:sz="4" w:space="0" w:color="auto"/>
            </w:tcBorders>
          </w:tcPr>
          <w:p w:rsidR="00D533E2" w:rsidRPr="00D34003" w:rsidRDefault="00D533E2" w:rsidP="00EB3077">
            <w:pPr>
              <w:rPr>
                <w:rFonts w:ascii="Arial Narrow" w:hAnsi="Arial Narrow"/>
                <w:sz w:val="20"/>
                <w:szCs w:val="20"/>
              </w:rPr>
            </w:pP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proofErr w:type="spellStart"/>
            <w:r w:rsidRPr="00D34003">
              <w:rPr>
                <w:rFonts w:ascii="Arial Narrow" w:hAnsi="Arial Narrow"/>
                <w:sz w:val="20"/>
                <w:szCs w:val="20"/>
              </w:rPr>
              <w:t>Episodicity</w:t>
            </w:r>
            <w:proofErr w:type="spellEnd"/>
            <w:r w:rsidRPr="00D34003">
              <w:rPr>
                <w:rFonts w:ascii="Arial Narrow" w:hAnsi="Arial Narrow"/>
                <w:sz w:val="20"/>
                <w:szCs w:val="20"/>
              </w:rPr>
              <w:t>:</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N/A</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Category/program:</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Section 100 (Public/Private), Efficient Funding of Chemotherapy</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Severity:</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Advanced (Stage III) or metastatic (Stage IV)</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Condition:</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Urothelial cancer</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PBS Indication:</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Advanced (Stage III) or metastatic (Stage IV) urothelial cancer</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Treatment phase:</w:t>
            </w: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Continuing</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Restriction:</w:t>
            </w:r>
          </w:p>
          <w:p w:rsidR="00D533E2" w:rsidRPr="00D34003" w:rsidRDefault="00D533E2" w:rsidP="00EB3077">
            <w:pPr>
              <w:rPr>
                <w:rFonts w:ascii="Arial Narrow" w:hAnsi="Arial Narrow"/>
                <w:sz w:val="20"/>
                <w:szCs w:val="20"/>
              </w:rPr>
            </w:pP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1"/>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Restricted benefit</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1"/>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In Writing</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3"/>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Telephone</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Emergency</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5"/>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Electronic</w:t>
            </w:r>
          </w:p>
          <w:p w:rsidR="00D533E2" w:rsidRPr="00D34003" w:rsidRDefault="00D533E2" w:rsidP="00EB3077">
            <w:pPr>
              <w:rPr>
                <w:rFonts w:ascii="Arial Narrow" w:hAnsi="Arial Narrow"/>
                <w:sz w:val="20"/>
                <w:szCs w:val="20"/>
              </w:rPr>
            </w:pPr>
            <w:r w:rsidRPr="00D34003">
              <w:rPr>
                <w:rFonts w:ascii="Arial Narrow" w:hAnsi="Arial Narrow"/>
                <w:sz w:val="20"/>
                <w:szCs w:val="20"/>
              </w:rPr>
              <w:sym w:font="Wingdings" w:char="F0FC"/>
            </w:r>
            <w:r w:rsidRPr="00D34003">
              <w:rPr>
                <w:rFonts w:ascii="Arial Narrow" w:hAnsi="Arial Narrow"/>
                <w:sz w:val="20"/>
                <w:szCs w:val="20"/>
              </w:rPr>
              <w:t xml:space="preserve"> Streamlined</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Clinical criteria:</w:t>
            </w:r>
          </w:p>
          <w:p w:rsidR="00D533E2" w:rsidRPr="00D34003" w:rsidRDefault="00D533E2" w:rsidP="00EB3077">
            <w:pPr>
              <w:rPr>
                <w:rFonts w:ascii="Arial Narrow" w:hAnsi="Arial Narrow"/>
                <w:sz w:val="20"/>
                <w:szCs w:val="20"/>
              </w:rPr>
            </w:pP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Patient must have previously been issued with an authority prescription for this drug for this condition, </w:t>
            </w:r>
          </w:p>
          <w:p w:rsidR="00D533E2" w:rsidRPr="00D34003" w:rsidRDefault="00D533E2" w:rsidP="00EB3077">
            <w:pPr>
              <w:rPr>
                <w:rFonts w:ascii="Arial Narrow" w:hAnsi="Arial Narrow"/>
                <w:sz w:val="20"/>
                <w:szCs w:val="20"/>
              </w:rPr>
            </w:pPr>
            <w:r w:rsidRPr="00D34003">
              <w:rPr>
                <w:rFonts w:ascii="Arial Narrow" w:hAnsi="Arial Narrow"/>
                <w:sz w:val="20"/>
                <w:szCs w:val="20"/>
              </w:rPr>
              <w:t>AND</w:t>
            </w:r>
          </w:p>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Treatment must be the sole PBS-subsidised therapy for this condition, </w:t>
            </w:r>
          </w:p>
          <w:p w:rsidR="00D533E2" w:rsidRPr="00D34003" w:rsidRDefault="00D533E2" w:rsidP="00EB3077">
            <w:pPr>
              <w:rPr>
                <w:rFonts w:ascii="Arial Narrow" w:hAnsi="Arial Narrow"/>
                <w:sz w:val="20"/>
                <w:szCs w:val="20"/>
              </w:rPr>
            </w:pPr>
            <w:r w:rsidRPr="00D34003">
              <w:rPr>
                <w:rFonts w:ascii="Arial Narrow" w:hAnsi="Arial Narrow"/>
                <w:sz w:val="20"/>
                <w:szCs w:val="20"/>
              </w:rPr>
              <w:t>AND</w:t>
            </w:r>
          </w:p>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Patient must have stable or responding disease, </w:t>
            </w:r>
          </w:p>
          <w:p w:rsidR="00D533E2" w:rsidRPr="00D34003" w:rsidRDefault="00D533E2" w:rsidP="00EB3077">
            <w:pPr>
              <w:rPr>
                <w:rFonts w:ascii="Arial Narrow" w:hAnsi="Arial Narrow"/>
                <w:sz w:val="20"/>
                <w:szCs w:val="20"/>
              </w:rPr>
            </w:pPr>
            <w:r w:rsidRPr="00D34003">
              <w:rPr>
                <w:rFonts w:ascii="Arial Narrow" w:hAnsi="Arial Narrow"/>
                <w:sz w:val="20"/>
                <w:szCs w:val="20"/>
              </w:rPr>
              <w:t>AND</w:t>
            </w:r>
          </w:p>
          <w:p w:rsidR="00D533E2" w:rsidRPr="00D34003" w:rsidRDefault="00D533E2" w:rsidP="00EB3077">
            <w:pPr>
              <w:rPr>
                <w:rFonts w:ascii="Arial Narrow" w:hAnsi="Arial Narrow"/>
                <w:sz w:val="20"/>
                <w:szCs w:val="20"/>
              </w:rPr>
            </w:pPr>
            <w:r w:rsidRPr="00D34003">
              <w:rPr>
                <w:rFonts w:ascii="Arial Narrow" w:hAnsi="Arial Narrow"/>
                <w:sz w:val="20"/>
                <w:szCs w:val="20"/>
              </w:rPr>
              <w:t>The total treatment received, inclusive of initial treatment, must not exceed 35 cycles at a dose of 200 mg every 3 weeks</w:t>
            </w:r>
          </w:p>
        </w:tc>
      </w:tr>
      <w:tr w:rsidR="00D533E2" w:rsidRPr="00D34003" w:rsidTr="00EB3077">
        <w:trPr>
          <w:cantSplit/>
          <w:trHeight w:val="360"/>
        </w:trPr>
        <w:tc>
          <w:tcPr>
            <w:tcW w:w="966"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Administrative Advice</w:t>
            </w:r>
          </w:p>
          <w:p w:rsidR="00D533E2" w:rsidRPr="00D34003" w:rsidRDefault="00D533E2" w:rsidP="00EB3077">
            <w:pPr>
              <w:rPr>
                <w:rFonts w:ascii="Arial Narrow" w:hAnsi="Arial Narrow"/>
                <w:sz w:val="20"/>
                <w:szCs w:val="20"/>
              </w:rPr>
            </w:pPr>
          </w:p>
        </w:tc>
        <w:tc>
          <w:tcPr>
            <w:tcW w:w="4034"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No increase in the </w:t>
            </w:r>
            <w:r w:rsidRPr="00D34003">
              <w:rPr>
                <w:rFonts w:ascii="Arial Narrow" w:hAnsi="Arial Narrow"/>
                <w:color w:val="000000"/>
                <w:sz w:val="20"/>
                <w:szCs w:val="20"/>
              </w:rPr>
              <w:t>maximum quantity or number of units or number</w:t>
            </w:r>
            <w:r w:rsidRPr="00D34003">
              <w:rPr>
                <w:rFonts w:ascii="Arial Narrow" w:hAnsi="Arial Narrow"/>
                <w:sz w:val="20"/>
                <w:szCs w:val="20"/>
              </w:rPr>
              <w:t xml:space="preserve"> of repeats will be authorised.</w:t>
            </w:r>
          </w:p>
          <w:p w:rsidR="00D533E2" w:rsidRPr="00D34003" w:rsidRDefault="00D533E2" w:rsidP="00EB3077">
            <w:pPr>
              <w:rPr>
                <w:rFonts w:ascii="Arial Narrow" w:hAnsi="Arial Narrow"/>
                <w:i/>
                <w:color w:val="000000"/>
                <w:sz w:val="20"/>
                <w:szCs w:val="20"/>
              </w:rPr>
            </w:pPr>
            <w:r w:rsidRPr="00D34003">
              <w:rPr>
                <w:rFonts w:ascii="Arial Narrow" w:hAnsi="Arial Narrow"/>
                <w:i/>
                <w:color w:val="000000"/>
                <w:sz w:val="20"/>
                <w:szCs w:val="20"/>
              </w:rPr>
              <w:t>Special Pricing Arrangements apply.</w:t>
            </w:r>
          </w:p>
        </w:tc>
      </w:tr>
    </w:tbl>
    <w:p w:rsidR="00D533E2" w:rsidRPr="00D34003" w:rsidRDefault="00D533E2" w:rsidP="00D533E2">
      <w:pPr>
        <w:pStyle w:val="Caption"/>
        <w:rPr>
          <w:rFonts w:ascii="Arial Narrow" w:hAnsi="Arial Narrow"/>
          <w:sz w:val="20"/>
          <w:szCs w:val="20"/>
        </w:rPr>
      </w:pPr>
    </w:p>
    <w:tbl>
      <w:tblPr>
        <w:tblW w:w="5000" w:type="pct"/>
        <w:tblLook w:val="0000" w:firstRow="0" w:lastRow="0" w:firstColumn="0" w:lastColumn="0" w:noHBand="0" w:noVBand="0"/>
      </w:tblPr>
      <w:tblGrid>
        <w:gridCol w:w="1778"/>
        <w:gridCol w:w="1414"/>
        <w:gridCol w:w="878"/>
        <w:gridCol w:w="625"/>
        <w:gridCol w:w="1723"/>
        <w:gridCol w:w="1154"/>
        <w:gridCol w:w="1671"/>
      </w:tblGrid>
      <w:tr w:rsidR="00D533E2" w:rsidRPr="00D34003" w:rsidTr="00EB3077">
        <w:trPr>
          <w:cantSplit/>
          <w:trHeight w:val="471"/>
        </w:trPr>
        <w:tc>
          <w:tcPr>
            <w:tcW w:w="1727" w:type="pct"/>
            <w:gridSpan w:val="2"/>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Name, Restriction,</w:t>
            </w:r>
          </w:p>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Manner of administration and form</w:t>
            </w:r>
          </w:p>
        </w:tc>
        <w:tc>
          <w:tcPr>
            <w:tcW w:w="475" w:type="pct"/>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Max.</w:t>
            </w:r>
          </w:p>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Amount</w:t>
            </w:r>
          </w:p>
        </w:tc>
        <w:tc>
          <w:tcPr>
            <w:tcW w:w="338" w:type="pct"/>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№.of</w:t>
            </w:r>
          </w:p>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Rpts</w:t>
            </w:r>
          </w:p>
        </w:tc>
        <w:tc>
          <w:tcPr>
            <w:tcW w:w="932" w:type="pct"/>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Dispensed Price for Max. Amount</w:t>
            </w:r>
          </w:p>
        </w:tc>
        <w:tc>
          <w:tcPr>
            <w:tcW w:w="1528" w:type="pct"/>
            <w:gridSpan w:val="2"/>
            <w:tcBorders>
              <w:bottom w:val="single" w:sz="4" w:space="0" w:color="auto"/>
            </w:tcBorders>
          </w:tcPr>
          <w:p w:rsidR="00D533E2" w:rsidRPr="00D34003" w:rsidRDefault="00D533E2" w:rsidP="00EB3077">
            <w:pPr>
              <w:jc w:val="left"/>
              <w:rPr>
                <w:rFonts w:ascii="Arial Narrow" w:hAnsi="Arial Narrow"/>
                <w:b/>
                <w:sz w:val="20"/>
                <w:szCs w:val="20"/>
              </w:rPr>
            </w:pPr>
            <w:r w:rsidRPr="00D34003">
              <w:rPr>
                <w:rFonts w:ascii="Arial Narrow" w:hAnsi="Arial Narrow"/>
                <w:b/>
                <w:sz w:val="20"/>
                <w:szCs w:val="20"/>
              </w:rPr>
              <w:t>Proprietary Name and Manufacturer</w:t>
            </w:r>
          </w:p>
        </w:tc>
      </w:tr>
      <w:tr w:rsidR="00D533E2" w:rsidRPr="00D34003" w:rsidTr="00EB3077">
        <w:trPr>
          <w:cantSplit/>
          <w:trHeight w:val="577"/>
        </w:trPr>
        <w:tc>
          <w:tcPr>
            <w:tcW w:w="1727" w:type="pct"/>
            <w:gridSpan w:val="2"/>
          </w:tcPr>
          <w:p w:rsidR="00D533E2" w:rsidRPr="00D34003" w:rsidRDefault="00D34003" w:rsidP="00EB3077">
            <w:pPr>
              <w:jc w:val="left"/>
              <w:rPr>
                <w:rFonts w:ascii="Arial Narrow" w:hAnsi="Arial Narrow"/>
                <w:sz w:val="20"/>
                <w:szCs w:val="20"/>
              </w:rPr>
            </w:pPr>
            <w:r w:rsidRPr="00D34003">
              <w:rPr>
                <w:rFonts w:ascii="Arial Narrow" w:hAnsi="Arial Narrow"/>
                <w:sz w:val="20"/>
                <w:szCs w:val="20"/>
              </w:rPr>
              <w:t>PEMBROLIZUMAB</w:t>
            </w:r>
            <w:r w:rsidR="00D533E2" w:rsidRPr="00D34003">
              <w:rPr>
                <w:rFonts w:ascii="Arial Narrow" w:hAnsi="Arial Narrow"/>
                <w:sz w:val="20"/>
                <w:szCs w:val="20"/>
              </w:rPr>
              <w:t xml:space="preserve"> </w:t>
            </w: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100mg vial for infusion; 1 x 100mg vial</w:t>
            </w:r>
          </w:p>
        </w:tc>
        <w:tc>
          <w:tcPr>
            <w:tcW w:w="475" w:type="pct"/>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200 mg</w:t>
            </w:r>
          </w:p>
        </w:tc>
        <w:tc>
          <w:tcPr>
            <w:tcW w:w="338"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5</w:t>
            </w:r>
          </w:p>
        </w:tc>
        <w:tc>
          <w:tcPr>
            <w:tcW w:w="932" w:type="pct"/>
            <w:tcBorders>
              <w:top w:val="single" w:sz="4" w:space="0" w:color="auto"/>
            </w:tcBorders>
          </w:tcPr>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Published</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Public: $9,023.22</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Private: $9,187.35</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Effective</w:t>
            </w:r>
          </w:p>
          <w:p w:rsidR="00D533E2" w:rsidRPr="00D34003" w:rsidRDefault="00D533E2" w:rsidP="00EB3077">
            <w:pPr>
              <w:keepNext/>
              <w:jc w:val="left"/>
              <w:rPr>
                <w:rFonts w:ascii="Arial Narrow" w:hAnsi="Arial Narrow"/>
                <w:sz w:val="20"/>
                <w:szCs w:val="20"/>
              </w:rPr>
            </w:pPr>
            <w:r w:rsidRPr="00D34003">
              <w:rPr>
                <w:rFonts w:ascii="Arial Narrow" w:hAnsi="Arial Narrow"/>
                <w:sz w:val="20"/>
                <w:szCs w:val="20"/>
              </w:rPr>
              <w:t>Public: $</w:t>
            </w:r>
            <w:r w:rsidR="00504C28">
              <w:rPr>
                <w:rFonts w:ascii="Arial Narrow" w:hAnsi="Arial Narrow"/>
                <w:noProof/>
                <w:color w:val="000000"/>
                <w:sz w:val="20"/>
                <w:szCs w:val="20"/>
                <w:highlight w:val="black"/>
              </w:rPr>
              <w:t>''''''''''''''''''''</w:t>
            </w: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Private: $</w:t>
            </w:r>
            <w:r w:rsidR="00504C28">
              <w:rPr>
                <w:rFonts w:ascii="Arial Narrow" w:hAnsi="Arial Narrow"/>
                <w:noProof/>
                <w:color w:val="000000"/>
                <w:sz w:val="20"/>
                <w:szCs w:val="20"/>
                <w:highlight w:val="black"/>
              </w:rPr>
              <w:t>'''''''''''''''''''</w:t>
            </w:r>
          </w:p>
        </w:tc>
        <w:tc>
          <w:tcPr>
            <w:tcW w:w="624"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proofErr w:type="spellStart"/>
            <w:r w:rsidRPr="00D34003">
              <w:rPr>
                <w:rFonts w:ascii="Arial Narrow" w:hAnsi="Arial Narrow"/>
                <w:sz w:val="20"/>
                <w:szCs w:val="20"/>
              </w:rPr>
              <w:t>Keytruda</w:t>
            </w:r>
            <w:proofErr w:type="spellEnd"/>
            <w:r w:rsidRPr="00D34003">
              <w:rPr>
                <w:rFonts w:ascii="Arial Narrow" w:hAnsi="Arial Narrow"/>
                <w:sz w:val="20"/>
                <w:szCs w:val="20"/>
              </w:rPr>
              <w:t>®</w:t>
            </w:r>
          </w:p>
        </w:tc>
        <w:tc>
          <w:tcPr>
            <w:tcW w:w="904" w:type="pct"/>
            <w:tcBorders>
              <w:top w:val="single" w:sz="4" w:space="0" w:color="auto"/>
            </w:tcBorders>
          </w:tcPr>
          <w:p w:rsidR="00D533E2" w:rsidRPr="00D34003" w:rsidRDefault="00D533E2" w:rsidP="00EB3077">
            <w:pPr>
              <w:jc w:val="left"/>
              <w:rPr>
                <w:rFonts w:ascii="Arial Narrow" w:hAnsi="Arial Narrow"/>
                <w:sz w:val="20"/>
                <w:szCs w:val="20"/>
              </w:rPr>
            </w:pPr>
          </w:p>
          <w:p w:rsidR="00D533E2" w:rsidRPr="00D34003" w:rsidRDefault="00D533E2" w:rsidP="00EB3077">
            <w:pPr>
              <w:jc w:val="left"/>
              <w:rPr>
                <w:rFonts w:ascii="Arial Narrow" w:hAnsi="Arial Narrow"/>
                <w:sz w:val="20"/>
                <w:szCs w:val="20"/>
              </w:rPr>
            </w:pPr>
            <w:r w:rsidRPr="00D34003">
              <w:rPr>
                <w:rFonts w:ascii="Arial Narrow" w:hAnsi="Arial Narrow"/>
                <w:sz w:val="20"/>
                <w:szCs w:val="20"/>
              </w:rPr>
              <w:t>Merck Sharp &amp; Dohme (Australia) Pty Ltd</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proofErr w:type="spellStart"/>
            <w:r w:rsidRPr="00D34003">
              <w:rPr>
                <w:rFonts w:ascii="Arial Narrow" w:hAnsi="Arial Narrow"/>
                <w:sz w:val="20"/>
                <w:szCs w:val="20"/>
              </w:rPr>
              <w:t>Episodicity</w:t>
            </w:r>
            <w:proofErr w:type="spellEnd"/>
            <w:r w:rsidRPr="00D34003">
              <w:rPr>
                <w:rFonts w:ascii="Arial Narrow" w:hAnsi="Arial Narrow"/>
                <w:sz w:val="20"/>
                <w:szCs w:val="20"/>
              </w:rPr>
              <w:t>:</w:t>
            </w: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N/A</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Category/program:</w:t>
            </w: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Section 100 (Public/Private), Efficient Funding of Chemotherapy</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Severity:</w:t>
            </w: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Advanced (</w:t>
            </w:r>
            <w:proofErr w:type="spellStart"/>
            <w:r w:rsidRPr="00D34003">
              <w:rPr>
                <w:rFonts w:ascii="Arial Narrow" w:hAnsi="Arial Narrow"/>
                <w:sz w:val="20"/>
                <w:szCs w:val="20"/>
              </w:rPr>
              <w:t>unresectable</w:t>
            </w:r>
            <w:proofErr w:type="spellEnd"/>
            <w:r w:rsidRPr="00D34003">
              <w:rPr>
                <w:rFonts w:ascii="Arial Narrow" w:hAnsi="Arial Narrow"/>
                <w:sz w:val="20"/>
                <w:szCs w:val="20"/>
              </w:rPr>
              <w:t xml:space="preserve"> Stage III) or metastatic (Stage IV)</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Condition:</w:t>
            </w: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Urothelial cancer</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PBS Indication:</w:t>
            </w: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Advanced (</w:t>
            </w:r>
            <w:proofErr w:type="spellStart"/>
            <w:r w:rsidRPr="00D34003">
              <w:rPr>
                <w:rFonts w:ascii="Arial Narrow" w:hAnsi="Arial Narrow"/>
                <w:sz w:val="20"/>
                <w:szCs w:val="20"/>
              </w:rPr>
              <w:t>unresectable</w:t>
            </w:r>
            <w:proofErr w:type="spellEnd"/>
            <w:r w:rsidRPr="00D34003">
              <w:rPr>
                <w:rFonts w:ascii="Arial Narrow" w:hAnsi="Arial Narrow"/>
                <w:sz w:val="20"/>
                <w:szCs w:val="20"/>
              </w:rPr>
              <w:t xml:space="preserve"> Stage III) or metastatic (Stage IV) urothelial cancer</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Treatment phase:</w:t>
            </w: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Grandfathering treatment</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Restriction:</w:t>
            </w:r>
          </w:p>
          <w:p w:rsidR="00D533E2" w:rsidRPr="00D34003" w:rsidRDefault="00D533E2" w:rsidP="00EB3077">
            <w:pPr>
              <w:rPr>
                <w:rFonts w:ascii="Arial Narrow" w:hAnsi="Arial Narrow"/>
                <w:sz w:val="20"/>
                <w:szCs w:val="20"/>
              </w:rPr>
            </w:pP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1"/>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Restricted benefit</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1"/>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In Writing</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3"/>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Telephone</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Emergency</w:t>
            </w:r>
          </w:p>
          <w:p w:rsidR="00D533E2" w:rsidRPr="00D34003" w:rsidRDefault="00D533E2" w:rsidP="00EB3077">
            <w:pPr>
              <w:rPr>
                <w:rFonts w:ascii="Arial Narrow" w:hAnsi="Arial Narrow"/>
                <w:sz w:val="20"/>
                <w:szCs w:val="20"/>
              </w:rPr>
            </w:pPr>
            <w:r w:rsidRPr="00D34003">
              <w:rPr>
                <w:rFonts w:ascii="Arial Narrow" w:hAnsi="Arial Narrow"/>
                <w:sz w:val="20"/>
                <w:szCs w:val="20"/>
              </w:rPr>
              <w:fldChar w:fldCharType="begin">
                <w:ffData>
                  <w:name w:val="Check5"/>
                  <w:enabled/>
                  <w:calcOnExit w:val="0"/>
                  <w:checkBox>
                    <w:sizeAuto/>
                    <w:default w:val="0"/>
                  </w:checkBox>
                </w:ffData>
              </w:fldChar>
            </w:r>
            <w:r w:rsidRPr="00D34003">
              <w:rPr>
                <w:rFonts w:ascii="Arial Narrow" w:hAnsi="Arial Narrow"/>
                <w:sz w:val="20"/>
                <w:szCs w:val="20"/>
              </w:rPr>
              <w:instrText xml:space="preserve"> FORMCHECKBOX </w:instrText>
            </w:r>
            <w:r w:rsidR="00680B5F">
              <w:rPr>
                <w:rFonts w:ascii="Arial Narrow" w:hAnsi="Arial Narrow"/>
                <w:sz w:val="20"/>
                <w:szCs w:val="20"/>
              </w:rPr>
            </w:r>
            <w:r w:rsidR="00680B5F">
              <w:rPr>
                <w:rFonts w:ascii="Arial Narrow" w:hAnsi="Arial Narrow"/>
                <w:sz w:val="20"/>
                <w:szCs w:val="20"/>
              </w:rPr>
              <w:fldChar w:fldCharType="separate"/>
            </w:r>
            <w:r w:rsidRPr="00D34003">
              <w:rPr>
                <w:rFonts w:ascii="Arial Narrow" w:hAnsi="Arial Narrow"/>
                <w:sz w:val="20"/>
                <w:szCs w:val="20"/>
              </w:rPr>
              <w:fldChar w:fldCharType="end"/>
            </w:r>
            <w:r w:rsidRPr="00D34003">
              <w:rPr>
                <w:rFonts w:ascii="Arial Narrow" w:hAnsi="Arial Narrow"/>
                <w:sz w:val="20"/>
                <w:szCs w:val="20"/>
              </w:rPr>
              <w:t>Authority Required - Electronic</w:t>
            </w:r>
          </w:p>
          <w:p w:rsidR="00D533E2" w:rsidRPr="00D34003" w:rsidRDefault="00D533E2" w:rsidP="00EB3077">
            <w:pPr>
              <w:rPr>
                <w:rFonts w:ascii="Arial Narrow" w:hAnsi="Arial Narrow"/>
                <w:sz w:val="20"/>
                <w:szCs w:val="20"/>
              </w:rPr>
            </w:pPr>
            <w:r w:rsidRPr="00D34003">
              <w:rPr>
                <w:rFonts w:ascii="Arial Narrow" w:hAnsi="Arial Narrow"/>
                <w:sz w:val="20"/>
                <w:szCs w:val="20"/>
              </w:rPr>
              <w:sym w:font="Wingdings" w:char="F0FC"/>
            </w:r>
            <w:r w:rsidRPr="00D34003">
              <w:rPr>
                <w:rFonts w:ascii="Arial Narrow" w:hAnsi="Arial Narrow"/>
                <w:sz w:val="20"/>
                <w:szCs w:val="20"/>
              </w:rPr>
              <w:t xml:space="preserve"> Streamlined</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lastRenderedPageBreak/>
              <w:t>Clinical criteria:</w:t>
            </w:r>
          </w:p>
          <w:p w:rsidR="00D533E2" w:rsidRPr="00D34003" w:rsidRDefault="00D533E2" w:rsidP="00EB3077">
            <w:pPr>
              <w:rPr>
                <w:rFonts w:ascii="Arial Narrow" w:hAnsi="Arial Narrow"/>
                <w:sz w:val="20"/>
                <w:szCs w:val="20"/>
              </w:rPr>
            </w:pPr>
          </w:p>
          <w:p w:rsidR="00D533E2" w:rsidRPr="00D34003" w:rsidRDefault="00D533E2" w:rsidP="00EB3077">
            <w:pPr>
              <w:rPr>
                <w:rFonts w:ascii="Arial Narrow" w:hAnsi="Arial Narrow"/>
                <w:sz w:val="20"/>
                <w:szCs w:val="20"/>
              </w:rPr>
            </w:pP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Patient must have received non-PBS treatment with this drug for this condition prior to [date of PBS listing], </w:t>
            </w:r>
          </w:p>
          <w:p w:rsidR="00D533E2" w:rsidRPr="00D34003" w:rsidRDefault="00D533E2" w:rsidP="00EB3077">
            <w:pPr>
              <w:rPr>
                <w:rFonts w:ascii="Arial Narrow" w:hAnsi="Arial Narrow"/>
                <w:sz w:val="20"/>
                <w:szCs w:val="20"/>
              </w:rPr>
            </w:pPr>
            <w:r w:rsidRPr="00D34003">
              <w:rPr>
                <w:rFonts w:ascii="Arial Narrow" w:hAnsi="Arial Narrow"/>
                <w:sz w:val="20"/>
                <w:szCs w:val="20"/>
              </w:rPr>
              <w:t>AND</w:t>
            </w:r>
          </w:p>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Treatment must be the sole PBS-subsidised therapy for this condition, </w:t>
            </w:r>
          </w:p>
          <w:p w:rsidR="00D533E2" w:rsidRPr="00D34003" w:rsidRDefault="00D533E2" w:rsidP="00EB3077">
            <w:pPr>
              <w:rPr>
                <w:rFonts w:ascii="Arial Narrow" w:hAnsi="Arial Narrow"/>
                <w:sz w:val="20"/>
                <w:szCs w:val="20"/>
              </w:rPr>
            </w:pPr>
            <w:r w:rsidRPr="00D34003">
              <w:rPr>
                <w:rFonts w:ascii="Arial Narrow" w:hAnsi="Arial Narrow"/>
                <w:sz w:val="20"/>
                <w:szCs w:val="20"/>
              </w:rPr>
              <w:t>AND</w:t>
            </w:r>
          </w:p>
          <w:p w:rsidR="00D533E2" w:rsidRPr="00D34003" w:rsidRDefault="00D533E2" w:rsidP="000D491F">
            <w:pPr>
              <w:rPr>
                <w:rFonts w:ascii="Arial Narrow" w:hAnsi="Arial Narrow"/>
                <w:i/>
                <w:sz w:val="20"/>
                <w:szCs w:val="20"/>
              </w:rPr>
            </w:pPr>
            <w:r w:rsidRPr="00D34003">
              <w:rPr>
                <w:rFonts w:ascii="Arial Narrow" w:hAnsi="Arial Narrow"/>
                <w:sz w:val="20"/>
                <w:szCs w:val="20"/>
              </w:rPr>
              <w:t xml:space="preserve">Patient must have failed a platinum-containing regimen for this condition in the metastatic setting or for inoperable locally advanced disease </w:t>
            </w:r>
          </w:p>
          <w:p w:rsidR="00D533E2" w:rsidRPr="00D34003" w:rsidRDefault="00D533E2" w:rsidP="000D491F">
            <w:pPr>
              <w:rPr>
                <w:rFonts w:ascii="Arial Narrow" w:hAnsi="Arial Narrow"/>
                <w:sz w:val="20"/>
                <w:szCs w:val="20"/>
              </w:rPr>
            </w:pPr>
            <w:r w:rsidRPr="00D34003">
              <w:rPr>
                <w:rFonts w:ascii="Arial Narrow" w:hAnsi="Arial Narrow"/>
                <w:sz w:val="20"/>
                <w:szCs w:val="20"/>
              </w:rPr>
              <w:t>OR</w:t>
            </w:r>
          </w:p>
          <w:p w:rsidR="00D533E2" w:rsidRPr="00D34003" w:rsidRDefault="00D533E2" w:rsidP="000D491F">
            <w:pPr>
              <w:rPr>
                <w:rFonts w:ascii="Arial Narrow" w:hAnsi="Arial Narrow"/>
                <w:sz w:val="20"/>
                <w:szCs w:val="20"/>
              </w:rPr>
            </w:pPr>
            <w:r w:rsidRPr="00D34003">
              <w:rPr>
                <w:rFonts w:ascii="Arial Narrow" w:hAnsi="Arial Narrow"/>
                <w:sz w:val="20"/>
                <w:szCs w:val="20"/>
              </w:rPr>
              <w:t>Patient must have received adjuvant platinum-containing therapy following cystectomy for localised muscle-invasive urothelial cancer, with recurrence/progression ≤12 months following completion of therapy</w:t>
            </w:r>
          </w:p>
          <w:p w:rsidR="00D533E2" w:rsidRPr="00D34003" w:rsidRDefault="00D533E2" w:rsidP="000D491F">
            <w:pPr>
              <w:rPr>
                <w:rFonts w:ascii="Arial Narrow" w:hAnsi="Arial Narrow"/>
                <w:sz w:val="20"/>
                <w:szCs w:val="20"/>
              </w:rPr>
            </w:pPr>
            <w:r w:rsidRPr="00D34003">
              <w:rPr>
                <w:rFonts w:ascii="Arial Narrow" w:hAnsi="Arial Narrow"/>
                <w:sz w:val="20"/>
                <w:szCs w:val="20"/>
              </w:rPr>
              <w:t>OR</w:t>
            </w:r>
          </w:p>
          <w:p w:rsidR="00D533E2" w:rsidRPr="00D34003" w:rsidRDefault="00D533E2" w:rsidP="000D491F">
            <w:pPr>
              <w:rPr>
                <w:rFonts w:ascii="Arial Narrow" w:hAnsi="Arial Narrow"/>
                <w:sz w:val="20"/>
                <w:szCs w:val="20"/>
              </w:rPr>
            </w:pPr>
            <w:r w:rsidRPr="00D34003">
              <w:rPr>
                <w:rFonts w:ascii="Arial Narrow" w:hAnsi="Arial Narrow"/>
                <w:sz w:val="20"/>
                <w:szCs w:val="20"/>
              </w:rPr>
              <w:t xml:space="preserve">Patient must have received neoadjuvant platinum-containing therapy prior to cystectomy for localised muscle-invasive urothelial cancer, with recurrence ≤12 months following completion of therapy; </w:t>
            </w:r>
          </w:p>
          <w:p w:rsidR="00D533E2" w:rsidRPr="00D34003" w:rsidRDefault="00D533E2" w:rsidP="000D491F">
            <w:pPr>
              <w:rPr>
                <w:rFonts w:ascii="Arial Narrow" w:hAnsi="Arial Narrow"/>
                <w:sz w:val="20"/>
                <w:szCs w:val="20"/>
              </w:rPr>
            </w:pPr>
            <w:r w:rsidRPr="00D34003">
              <w:rPr>
                <w:rFonts w:ascii="Arial Narrow" w:hAnsi="Arial Narrow"/>
                <w:sz w:val="20"/>
                <w:szCs w:val="20"/>
              </w:rPr>
              <w:t>AND</w:t>
            </w:r>
          </w:p>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Patient must have stable or responding disease, </w:t>
            </w:r>
          </w:p>
          <w:p w:rsidR="00D533E2" w:rsidRPr="00D34003" w:rsidRDefault="00D533E2" w:rsidP="00EB3077">
            <w:pPr>
              <w:rPr>
                <w:rFonts w:ascii="Arial Narrow" w:hAnsi="Arial Narrow"/>
                <w:sz w:val="20"/>
                <w:szCs w:val="20"/>
              </w:rPr>
            </w:pPr>
            <w:r w:rsidRPr="00D34003">
              <w:rPr>
                <w:rFonts w:ascii="Arial Narrow" w:hAnsi="Arial Narrow"/>
                <w:sz w:val="20"/>
                <w:szCs w:val="20"/>
              </w:rPr>
              <w:t>AND</w:t>
            </w:r>
          </w:p>
          <w:p w:rsidR="00D533E2" w:rsidRPr="00D34003" w:rsidRDefault="00D533E2" w:rsidP="00EB3077">
            <w:pPr>
              <w:rPr>
                <w:rFonts w:ascii="Arial Narrow" w:hAnsi="Arial Narrow"/>
                <w:sz w:val="20"/>
                <w:szCs w:val="20"/>
              </w:rPr>
            </w:pPr>
            <w:r w:rsidRPr="00D34003">
              <w:rPr>
                <w:rFonts w:ascii="Arial Narrow" w:hAnsi="Arial Narrow"/>
                <w:sz w:val="20"/>
                <w:szCs w:val="20"/>
              </w:rPr>
              <w:t>The total treatment received must not exceed 35 cycles at a dose of 200 mg every 3 weeks</w:t>
            </w:r>
          </w:p>
        </w:tc>
      </w:tr>
      <w:tr w:rsidR="00D533E2" w:rsidRPr="00D34003" w:rsidTr="00EB3077">
        <w:trPr>
          <w:cantSplit/>
          <w:trHeight w:val="360"/>
        </w:trPr>
        <w:tc>
          <w:tcPr>
            <w:tcW w:w="962" w:type="pct"/>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Administrative Advice</w:t>
            </w:r>
          </w:p>
        </w:tc>
        <w:tc>
          <w:tcPr>
            <w:tcW w:w="4038" w:type="pct"/>
            <w:gridSpan w:val="6"/>
            <w:tcBorders>
              <w:top w:val="single" w:sz="4" w:space="0" w:color="auto"/>
              <w:left w:val="single" w:sz="4" w:space="0" w:color="auto"/>
              <w:bottom w:val="single" w:sz="4" w:space="0" w:color="auto"/>
              <w:right w:val="single" w:sz="4" w:space="0" w:color="auto"/>
            </w:tcBorders>
          </w:tcPr>
          <w:p w:rsidR="00D533E2" w:rsidRPr="00D34003" w:rsidRDefault="00D533E2" w:rsidP="00EB3077">
            <w:pPr>
              <w:rPr>
                <w:rFonts w:ascii="Arial Narrow" w:hAnsi="Arial Narrow"/>
                <w:sz w:val="20"/>
                <w:szCs w:val="20"/>
              </w:rPr>
            </w:pPr>
            <w:r w:rsidRPr="00D34003">
              <w:rPr>
                <w:rFonts w:ascii="Arial Narrow" w:hAnsi="Arial Narrow"/>
                <w:sz w:val="20"/>
                <w:szCs w:val="20"/>
              </w:rPr>
              <w:t xml:space="preserve">No increase in the </w:t>
            </w:r>
            <w:r w:rsidRPr="00D34003">
              <w:rPr>
                <w:rFonts w:ascii="Arial Narrow" w:hAnsi="Arial Narrow"/>
                <w:color w:val="000000"/>
                <w:sz w:val="20"/>
                <w:szCs w:val="20"/>
              </w:rPr>
              <w:t>maximum quantity or number of units or number</w:t>
            </w:r>
            <w:r w:rsidRPr="00D34003">
              <w:rPr>
                <w:rFonts w:ascii="Arial Narrow" w:hAnsi="Arial Narrow"/>
                <w:sz w:val="20"/>
                <w:szCs w:val="20"/>
              </w:rPr>
              <w:t xml:space="preserve"> of repeats will be authorised.</w:t>
            </w:r>
          </w:p>
          <w:p w:rsidR="00D533E2" w:rsidRPr="00D34003" w:rsidRDefault="00D533E2" w:rsidP="00EB3077">
            <w:pPr>
              <w:rPr>
                <w:rFonts w:ascii="Arial Narrow" w:hAnsi="Arial Narrow"/>
                <w:sz w:val="20"/>
                <w:szCs w:val="20"/>
              </w:rPr>
            </w:pPr>
            <w:r w:rsidRPr="00D34003">
              <w:rPr>
                <w:rFonts w:ascii="Arial Narrow" w:hAnsi="Arial Narrow"/>
                <w:i/>
                <w:color w:val="000000"/>
                <w:sz w:val="20"/>
                <w:szCs w:val="20"/>
              </w:rPr>
              <w:t>Special Pricing Arrangements apply.</w:t>
            </w:r>
          </w:p>
        </w:tc>
      </w:tr>
    </w:tbl>
    <w:p w:rsidR="002D70ED" w:rsidRPr="00D34003" w:rsidRDefault="002D70ED" w:rsidP="00265CD0"/>
    <w:p w:rsidR="00706810" w:rsidRPr="00D34003" w:rsidRDefault="00706810" w:rsidP="008A23A2">
      <w:pPr>
        <w:pStyle w:val="ListParagraph"/>
        <w:widowControl/>
        <w:numPr>
          <w:ilvl w:val="1"/>
          <w:numId w:val="1"/>
        </w:numPr>
        <w:spacing w:after="120"/>
      </w:pPr>
      <w:r w:rsidRPr="00D34003">
        <w:t xml:space="preserve">The resubmission proposed a special pricing arrangement (SPA). </w:t>
      </w:r>
      <w:r w:rsidR="00E51EF0" w:rsidRPr="00D34003">
        <w:t>The p</w:t>
      </w:r>
      <w:r w:rsidRPr="00D34003">
        <w:t>rice was reduced from $</w:t>
      </w:r>
      <w:r w:rsidR="00504C28">
        <w:rPr>
          <w:noProof/>
          <w:color w:val="000000"/>
          <w:highlight w:val="black"/>
        </w:rPr>
        <w:t>'''''''''''</w:t>
      </w:r>
      <w:r w:rsidRPr="00D34003">
        <w:t xml:space="preserve"> </w:t>
      </w:r>
      <w:r w:rsidR="007C2554" w:rsidRPr="00D34003">
        <w:t xml:space="preserve">in the November 2017 submission </w:t>
      </w:r>
      <w:r w:rsidRPr="00D34003">
        <w:t>to $</w:t>
      </w:r>
      <w:r w:rsidR="00504C28">
        <w:rPr>
          <w:noProof/>
          <w:color w:val="000000"/>
          <w:highlight w:val="black"/>
        </w:rPr>
        <w:t>'''''''''''</w:t>
      </w:r>
      <w:r w:rsidR="007C2554" w:rsidRPr="00D34003">
        <w:t>,</w:t>
      </w:r>
      <w:r w:rsidRPr="00D34003">
        <w:t xml:space="preserve"> </w:t>
      </w:r>
      <w:r w:rsidR="007C2554" w:rsidRPr="00D34003">
        <w:t xml:space="preserve">with </w:t>
      </w:r>
      <w:r w:rsidRPr="00D34003">
        <w:t xml:space="preserve">a </w:t>
      </w:r>
      <w:r w:rsidR="007C2554" w:rsidRPr="00D34003">
        <w:t xml:space="preserve">proposed </w:t>
      </w:r>
      <w:r w:rsidR="00504C28">
        <w:rPr>
          <w:noProof/>
          <w:color w:val="000000"/>
          <w:highlight w:val="black"/>
        </w:rPr>
        <w:t>'''''</w:t>
      </w:r>
      <w:r w:rsidRPr="00D34003">
        <w:t xml:space="preserve">% rebate </w:t>
      </w:r>
      <w:r w:rsidR="007C2554" w:rsidRPr="00D34003">
        <w:t xml:space="preserve">for </w:t>
      </w:r>
      <w:r w:rsidRPr="00D34003">
        <w:t xml:space="preserve">treatment </w:t>
      </w:r>
      <w:r w:rsidR="007C2554" w:rsidRPr="00D34003">
        <w:t xml:space="preserve">beyond </w:t>
      </w:r>
      <w:r w:rsidR="00504C28">
        <w:rPr>
          <w:noProof/>
          <w:color w:val="000000"/>
          <w:highlight w:val="black"/>
        </w:rPr>
        <w:t>''''''''' '''''</w:t>
      </w:r>
      <w:r w:rsidRPr="00D34003">
        <w:t xml:space="preserve">. </w:t>
      </w:r>
      <w:r w:rsidR="006176D4" w:rsidRPr="00D34003">
        <w:t xml:space="preserve">Due to changes </w:t>
      </w:r>
      <w:r w:rsidR="002C69B2" w:rsidRPr="00D34003">
        <w:t>to</w:t>
      </w:r>
      <w:r w:rsidR="006176D4" w:rsidRPr="00D34003">
        <w:t xml:space="preserve"> the </w:t>
      </w:r>
      <w:r w:rsidR="000E478A" w:rsidRPr="00D34003">
        <w:t xml:space="preserve">sponsor’s proposed </w:t>
      </w:r>
      <w:r w:rsidR="006176D4" w:rsidRPr="00D34003">
        <w:t>base case, t</w:t>
      </w:r>
      <w:r w:rsidR="00FD5FC3" w:rsidRPr="00D34003">
        <w:t xml:space="preserve">he </w:t>
      </w:r>
      <w:r w:rsidR="00A15128" w:rsidRPr="00D34003">
        <w:t>Pre-Sub-Committee Response (</w:t>
      </w:r>
      <w:r w:rsidR="00FD5FC3" w:rsidRPr="00D34003">
        <w:t xml:space="preserve">PSCR) </w:t>
      </w:r>
      <w:r w:rsidR="00EF5D5B" w:rsidRPr="00D34003">
        <w:t xml:space="preserve">presented a further </w:t>
      </w:r>
      <w:r w:rsidR="00FD5FC3" w:rsidRPr="00D34003">
        <w:t>reduce</w:t>
      </w:r>
      <w:r w:rsidR="00EF5D5B" w:rsidRPr="00D34003">
        <w:t>d</w:t>
      </w:r>
      <w:r w:rsidR="00FD5FC3" w:rsidRPr="00D34003">
        <w:t xml:space="preserve"> price of pembrolizumab </w:t>
      </w:r>
      <w:r w:rsidR="00FB21FF" w:rsidRPr="00D34003">
        <w:t>of</w:t>
      </w:r>
      <w:r w:rsidR="006176D4" w:rsidRPr="00D34003">
        <w:t xml:space="preserve"> </w:t>
      </w:r>
      <w:r w:rsidR="00FD5FC3" w:rsidRPr="00D34003">
        <w:t>$</w:t>
      </w:r>
      <w:r w:rsidR="00504C28">
        <w:rPr>
          <w:noProof/>
          <w:color w:val="000000"/>
          <w:highlight w:val="black"/>
        </w:rPr>
        <w:t>''''''''''</w:t>
      </w:r>
      <w:r w:rsidR="00FD5FC3" w:rsidRPr="00D34003">
        <w:t xml:space="preserve"> per vial.</w:t>
      </w:r>
    </w:p>
    <w:p w:rsidR="00706810" w:rsidRPr="00D34003" w:rsidRDefault="00706810" w:rsidP="008A23A2">
      <w:pPr>
        <w:pStyle w:val="ListParagraph"/>
        <w:widowControl/>
        <w:numPr>
          <w:ilvl w:val="1"/>
          <w:numId w:val="1"/>
        </w:numPr>
        <w:spacing w:after="120"/>
      </w:pPr>
      <w:r w:rsidRPr="00D34003">
        <w:t xml:space="preserve">The restriction proposed in the resubmission does not reflect the eligible population as stated in the TGA </w:t>
      </w:r>
      <w:r w:rsidR="00A15128" w:rsidRPr="00D34003">
        <w:t xml:space="preserve">approved </w:t>
      </w:r>
      <w:r w:rsidRPr="00D34003">
        <w:t>P</w:t>
      </w:r>
      <w:r w:rsidR="00A15128" w:rsidRPr="00D34003">
        <w:t xml:space="preserve">roduct </w:t>
      </w:r>
      <w:r w:rsidRPr="00D34003">
        <w:t>I</w:t>
      </w:r>
      <w:r w:rsidR="00A15128" w:rsidRPr="00D34003">
        <w:t>nformation (PI)</w:t>
      </w:r>
      <w:r w:rsidR="00E51EF0" w:rsidRPr="00D34003">
        <w:t>; t</w:t>
      </w:r>
      <w:r w:rsidRPr="00D34003">
        <w:t xml:space="preserve">he approved TGA restriction is broader than the proposed PBS </w:t>
      </w:r>
      <w:r w:rsidR="00F91AE3" w:rsidRPr="00D34003">
        <w:t xml:space="preserve">restriction </w:t>
      </w:r>
      <w:r w:rsidR="00A957AB" w:rsidRPr="00D34003">
        <w:t xml:space="preserve">as it </w:t>
      </w:r>
      <w:r w:rsidR="00504A50" w:rsidRPr="00D34003">
        <w:t xml:space="preserve">also </w:t>
      </w:r>
      <w:r w:rsidR="00A957AB" w:rsidRPr="00D34003">
        <w:t>include</w:t>
      </w:r>
      <w:r w:rsidR="00E37655" w:rsidRPr="00D34003">
        <w:t>s treatment for</w:t>
      </w:r>
      <w:r w:rsidR="00A957AB" w:rsidRPr="00D34003">
        <w:t xml:space="preserve"> </w:t>
      </w:r>
      <w:r w:rsidR="00504A50" w:rsidRPr="00D34003">
        <w:t xml:space="preserve">cisplatin ineligible </w:t>
      </w:r>
      <w:proofErr w:type="gramStart"/>
      <w:r w:rsidR="00A957AB" w:rsidRPr="00D34003">
        <w:t>patients</w:t>
      </w:r>
      <w:proofErr w:type="gramEnd"/>
      <w:r w:rsidR="00A957AB" w:rsidRPr="00D34003">
        <w:t xml:space="preserve"> first line. There</w:t>
      </w:r>
      <w:r w:rsidR="00504A50" w:rsidRPr="00D34003">
        <w:t>fore, there is</w:t>
      </w:r>
      <w:r w:rsidR="00A957AB" w:rsidRPr="00D34003">
        <w:t xml:space="preserve"> the potential for use of pembrolizumab beyond the </w:t>
      </w:r>
      <w:r w:rsidR="00504A50" w:rsidRPr="00D34003">
        <w:t xml:space="preserve">requested </w:t>
      </w:r>
      <w:r w:rsidR="00A957AB" w:rsidRPr="00D34003">
        <w:t>PBS indication (and outside of the clinical and cost-effectiveness evidence presented in the resubmission).</w:t>
      </w:r>
      <w:r w:rsidRPr="00D34003">
        <w:t xml:space="preserve"> </w:t>
      </w:r>
      <w:r w:rsidR="00E1603E" w:rsidRPr="00D34003">
        <w:t xml:space="preserve">The ESC noted </w:t>
      </w:r>
      <w:r w:rsidR="00DD0697" w:rsidRPr="00D34003">
        <w:t xml:space="preserve">that pembrolizumab use outside of the restriction would likely be by patients </w:t>
      </w:r>
      <w:r w:rsidR="00F00942" w:rsidRPr="00D34003">
        <w:t xml:space="preserve">who were </w:t>
      </w:r>
      <w:r w:rsidR="00E1603E" w:rsidRPr="00D34003">
        <w:t>ineligible for chemotherapy, rather than</w:t>
      </w:r>
      <w:r w:rsidR="008B6914" w:rsidRPr="00D34003">
        <w:t xml:space="preserve"> specifically</w:t>
      </w:r>
      <w:r w:rsidR="00E1603E" w:rsidRPr="00D34003">
        <w:t xml:space="preserve"> </w:t>
      </w:r>
      <w:r w:rsidR="002A4047" w:rsidRPr="00D34003">
        <w:t xml:space="preserve">patients who were </w:t>
      </w:r>
      <w:r w:rsidR="00DD0697" w:rsidRPr="00D34003">
        <w:t>in</w:t>
      </w:r>
      <w:r w:rsidR="002A4047" w:rsidRPr="00D34003">
        <w:t xml:space="preserve">eligible for </w:t>
      </w:r>
      <w:r w:rsidR="00E1603E" w:rsidRPr="00D34003">
        <w:t>first line cisplatin</w:t>
      </w:r>
      <w:r w:rsidR="002A6949" w:rsidRPr="00D34003">
        <w:t>.</w:t>
      </w:r>
      <w:r w:rsidR="00EB3077" w:rsidRPr="00D34003">
        <w:t xml:space="preserve"> The ESC noted that if a patient was not able to use cisplatin, then carboplatin would be the alternative therapy</w:t>
      </w:r>
      <w:r w:rsidR="00504A50" w:rsidRPr="00D34003">
        <w:t xml:space="preserve">, and it was </w:t>
      </w:r>
      <w:r w:rsidR="00AD45C2" w:rsidRPr="00D34003">
        <w:t xml:space="preserve">therefore </w:t>
      </w:r>
      <w:r w:rsidR="00504A50" w:rsidRPr="00D34003">
        <w:t xml:space="preserve">likely </w:t>
      </w:r>
      <w:r w:rsidR="00AD45C2" w:rsidRPr="00D34003">
        <w:t>that the risk of use outside the requested indication was mostly in</w:t>
      </w:r>
      <w:r w:rsidR="00504A50" w:rsidRPr="00D34003">
        <w:t xml:space="preserve"> patients who were </w:t>
      </w:r>
      <w:r w:rsidR="00AD45C2" w:rsidRPr="00D34003">
        <w:t>i</w:t>
      </w:r>
      <w:r w:rsidR="00504A50" w:rsidRPr="00D34003">
        <w:t xml:space="preserve">neligible for </w:t>
      </w:r>
      <w:r w:rsidR="00AD45C2" w:rsidRPr="00D34003">
        <w:t>any chemotherapy</w:t>
      </w:r>
      <w:r w:rsidR="00EB3077" w:rsidRPr="00D34003">
        <w:t xml:space="preserve">. </w:t>
      </w:r>
      <w:r w:rsidR="00273D83" w:rsidRPr="00D34003">
        <w:t>The PBAC noted there was emerging data suggesting that there was decreased survival when PD-1 inhibitors are used first line</w:t>
      </w:r>
      <w:r w:rsidR="00A15128" w:rsidRPr="00D34003">
        <w:t xml:space="preserve"> in PD-L1-low expressing urothelial cancer</w:t>
      </w:r>
      <w:r w:rsidR="007C7350" w:rsidRPr="00AF6E07">
        <w:rPr>
          <w:rStyle w:val="FootnoteReference"/>
        </w:rPr>
        <w:footnoteReference w:id="1"/>
      </w:r>
      <w:proofErr w:type="gramStart"/>
      <w:r w:rsidR="00AF6E07" w:rsidRPr="00AF6E07">
        <w:rPr>
          <w:vertAlign w:val="superscript"/>
        </w:rPr>
        <w:t>,</w:t>
      </w:r>
      <w:r w:rsidR="007C7350" w:rsidRPr="00AF6E07">
        <w:rPr>
          <w:rStyle w:val="FootnoteReference"/>
        </w:rPr>
        <w:footnoteReference w:id="2"/>
      </w:r>
      <w:r w:rsidR="00AF6E07" w:rsidRPr="00AF6E07">
        <w:rPr>
          <w:vertAlign w:val="superscript"/>
        </w:rPr>
        <w:t>,</w:t>
      </w:r>
      <w:r w:rsidR="007C7350" w:rsidRPr="00AF6E07">
        <w:rPr>
          <w:rStyle w:val="FootnoteReference"/>
        </w:rPr>
        <w:footnoteReference w:id="3"/>
      </w:r>
      <w:r w:rsidR="00273D83" w:rsidRPr="00D34003">
        <w:t>.</w:t>
      </w:r>
      <w:proofErr w:type="gramEnd"/>
      <w:r w:rsidR="00DD10E1" w:rsidRPr="00D34003">
        <w:t xml:space="preserve"> Therefore, the PBAC considered it was </w:t>
      </w:r>
      <w:r w:rsidR="00C3164F" w:rsidRPr="00D34003">
        <w:t>less</w:t>
      </w:r>
      <w:r w:rsidR="00DD10E1" w:rsidRPr="00D34003">
        <w:t xml:space="preserve"> likely that there would be </w:t>
      </w:r>
      <w:r w:rsidR="0000639E" w:rsidRPr="00D34003">
        <w:t>use outside the proposed restriction</w:t>
      </w:r>
      <w:r w:rsidR="00DD10E1" w:rsidRPr="00D34003">
        <w:t xml:space="preserve"> into the first line</w:t>
      </w:r>
      <w:r w:rsidR="00A15128" w:rsidRPr="00D34003">
        <w:t xml:space="preserve"> setting</w:t>
      </w:r>
      <w:r w:rsidR="00DD10E1" w:rsidRPr="00D34003">
        <w:t>.</w:t>
      </w:r>
      <w:r w:rsidR="00273D83" w:rsidRPr="00D34003">
        <w:t xml:space="preserve"> </w:t>
      </w:r>
    </w:p>
    <w:p w:rsidR="00706810" w:rsidRPr="00D34003" w:rsidRDefault="00706810" w:rsidP="008A23A2">
      <w:pPr>
        <w:pStyle w:val="ListParagraph"/>
        <w:widowControl/>
        <w:numPr>
          <w:ilvl w:val="1"/>
          <w:numId w:val="1"/>
        </w:numPr>
        <w:spacing w:after="120"/>
      </w:pPr>
      <w:r w:rsidRPr="00D34003">
        <w:lastRenderedPageBreak/>
        <w:t xml:space="preserve">The </w:t>
      </w:r>
      <w:r w:rsidR="007C2554" w:rsidRPr="00D34003">
        <w:t xml:space="preserve">proposed </w:t>
      </w:r>
      <w:r w:rsidRPr="00D34003">
        <w:t xml:space="preserve">restriction also stated </w:t>
      </w:r>
      <w:r w:rsidR="007C2554" w:rsidRPr="00D34003">
        <w:t xml:space="preserve">that </w:t>
      </w:r>
      <w:r w:rsidRPr="00D34003">
        <w:t>patients must have stable or responding disease</w:t>
      </w:r>
      <w:r w:rsidR="00681575" w:rsidRPr="00D34003">
        <w:t xml:space="preserve"> in order to be eligible for access to continuing treatment with pembrolizumab</w:t>
      </w:r>
      <w:r w:rsidRPr="00D34003">
        <w:t xml:space="preserve">. </w:t>
      </w:r>
      <w:r w:rsidR="00815E61" w:rsidRPr="00D34003">
        <w:t xml:space="preserve">The pre-PBAC response disagreed with the need to stipulate treatment response according to RECIST v1.1 stating that given other indications for anti-PD1 therapies do not include detailed assessment response criteria (melanoma, classic Hodgkin’s lymphoma, 2L NSCLC), there would be inequity across indications by including this for LA or </w:t>
      </w:r>
      <w:proofErr w:type="spellStart"/>
      <w:r w:rsidR="00815E61" w:rsidRPr="00D34003">
        <w:t>mUC</w:t>
      </w:r>
      <w:proofErr w:type="spellEnd"/>
      <w:r w:rsidR="00815E61" w:rsidRPr="00D34003">
        <w:t xml:space="preserve">. It would also lead to confusion with clinicians who treat across multiple indications if some indications have response criteria and others do not. The PBAC considered this was acceptable and noted that the RECIST criteria should not be included in the restrictions. </w:t>
      </w:r>
    </w:p>
    <w:p w:rsidR="001A5948" w:rsidRDefault="000056CF" w:rsidP="008A23A2">
      <w:pPr>
        <w:pStyle w:val="ListParagraph"/>
        <w:numPr>
          <w:ilvl w:val="1"/>
          <w:numId w:val="1"/>
        </w:numPr>
        <w:spacing w:after="120"/>
      </w:pPr>
      <w:r w:rsidRPr="00D34003">
        <w:t xml:space="preserve">The proposed restriction also included a grandfather </w:t>
      </w:r>
      <w:r w:rsidR="00AD45C2" w:rsidRPr="00D34003">
        <w:t>restriction for</w:t>
      </w:r>
      <w:r w:rsidR="00681575" w:rsidRPr="00D34003">
        <w:t xml:space="preserve"> </w:t>
      </w:r>
      <w:r w:rsidR="00715174" w:rsidRPr="00D34003">
        <w:t xml:space="preserve">patients with LA or </w:t>
      </w:r>
      <w:proofErr w:type="spellStart"/>
      <w:r w:rsidR="00715174" w:rsidRPr="00D34003">
        <w:t>mUC</w:t>
      </w:r>
      <w:proofErr w:type="spellEnd"/>
      <w:r w:rsidR="00715174" w:rsidRPr="00D34003">
        <w:t xml:space="preserve"> who are </w:t>
      </w:r>
      <w:r w:rsidR="001F2010" w:rsidRPr="00D34003">
        <w:t xml:space="preserve">currently </w:t>
      </w:r>
      <w:r w:rsidR="00715174" w:rsidRPr="00D34003">
        <w:t>receiving pembrolizumab</w:t>
      </w:r>
      <w:r w:rsidR="00AD45C2" w:rsidRPr="00D34003">
        <w:t xml:space="preserve"> outside the PBS and met the initiation criteria</w:t>
      </w:r>
      <w:r w:rsidRPr="00D34003">
        <w:t xml:space="preserve">. However, it remained unclear what mechanisms would ensure that the combined (pre and post PBS listing) use in such </w:t>
      </w:r>
      <w:r w:rsidR="004D1F65" w:rsidRPr="00D34003">
        <w:t>patients</w:t>
      </w:r>
      <w:r w:rsidRPr="00D34003">
        <w:t xml:space="preserve"> would not exceed 35 treatment cycles. </w:t>
      </w:r>
      <w:r w:rsidR="007C7466" w:rsidRPr="00D34003">
        <w:t>The PSCR proposed a clarification to the restriction wording for grandfathering and continuation to be</w:t>
      </w:r>
      <w:r w:rsidR="00D34003">
        <w:t>,</w:t>
      </w:r>
      <w:r w:rsidR="00D34003" w:rsidRPr="00D34003">
        <w:t xml:space="preserve"> </w:t>
      </w:r>
      <w:r w:rsidR="007C7466" w:rsidRPr="00D34003">
        <w:t>“The total treatment received must not exceed a total of 35 cycles (pre and post PBS listing) at a dose of 200 mg every 3 weeks”.</w:t>
      </w:r>
      <w:r w:rsidR="00212C6D" w:rsidRPr="00D34003">
        <w:t xml:space="preserve"> The PBAC consider</w:t>
      </w:r>
      <w:r w:rsidR="009E5334" w:rsidRPr="00D34003">
        <w:t>ed</w:t>
      </w:r>
      <w:r w:rsidR="00212C6D" w:rsidRPr="00D34003">
        <w:t xml:space="preserve"> </w:t>
      </w:r>
      <w:r w:rsidR="009E5334" w:rsidRPr="00D34003">
        <w:t xml:space="preserve">that this </w:t>
      </w:r>
      <w:r w:rsidR="00212C6D" w:rsidRPr="00D34003">
        <w:t>amendment would be appropriate to include in the restriction.</w:t>
      </w:r>
      <w:r w:rsidR="00212C6D" w:rsidRPr="00B51672">
        <w:rPr>
          <w:i/>
        </w:rPr>
        <w:t xml:space="preserve"> </w:t>
      </w:r>
      <w:r w:rsidR="006705FC" w:rsidRPr="00D34003">
        <w:t xml:space="preserve">The PBAC considered the request for a grandfather restriction was acceptable. </w:t>
      </w:r>
      <w:r w:rsidR="003D429D" w:rsidRPr="00D34003">
        <w:t>The PBAC considered it w</w:t>
      </w:r>
      <w:r w:rsidR="00E61CD3" w:rsidRPr="00D34003">
        <w:t>ould be appropriate to include the</w:t>
      </w:r>
      <w:r w:rsidR="003D429D" w:rsidRPr="00D34003">
        <w:t xml:space="preserve"> </w:t>
      </w:r>
      <w:r w:rsidR="00E61CD3" w:rsidRPr="00D34003">
        <w:t xml:space="preserve">following </w:t>
      </w:r>
      <w:r w:rsidR="003D429D" w:rsidRPr="00D34003">
        <w:t xml:space="preserve">clinical criterion </w:t>
      </w:r>
      <w:r w:rsidR="00E61CD3" w:rsidRPr="00D34003">
        <w:t>“</w:t>
      </w:r>
      <w:r w:rsidR="00ED7FAB" w:rsidRPr="00ED7FAB">
        <w:t>Patient must have WHO performance status of 2 or less prior to initiating treatment with this drug for this condition</w:t>
      </w:r>
      <w:r w:rsidR="003D429D" w:rsidRPr="00D34003">
        <w:t>” to be align</w:t>
      </w:r>
      <w:r w:rsidR="00E61CD3" w:rsidRPr="00D34003">
        <w:t>ed</w:t>
      </w:r>
      <w:r w:rsidR="003D429D" w:rsidRPr="00D34003">
        <w:t xml:space="preserve"> with the Committee’s consideration of the grandfather restriction for pembrolizumab for non-small cell lung cancer at its March 2018 meeting.</w:t>
      </w:r>
      <w:r w:rsidR="00A34626" w:rsidRPr="00D34003">
        <w:t xml:space="preserve"> The PBAC also considered that it would be appropriate for the grandfather restriction to have </w:t>
      </w:r>
      <w:r w:rsidR="00440F87">
        <w:t>6</w:t>
      </w:r>
      <w:r w:rsidR="00440F87" w:rsidRPr="00D34003">
        <w:t xml:space="preserve"> </w:t>
      </w:r>
      <w:r w:rsidR="00A34626" w:rsidRPr="00D34003">
        <w:t xml:space="preserve">repeats </w:t>
      </w:r>
      <w:r w:rsidR="00440F87">
        <w:t>so that it is aligned with the</w:t>
      </w:r>
      <w:r w:rsidR="00561A6C">
        <w:t xml:space="preserve"> </w:t>
      </w:r>
      <w:r w:rsidR="00440F87">
        <w:t>continuing restriction</w:t>
      </w:r>
      <w:r w:rsidR="00A34626" w:rsidRPr="00D34003">
        <w:t xml:space="preserve">. </w:t>
      </w:r>
    </w:p>
    <w:p w:rsidR="0067710B" w:rsidRPr="00D34003" w:rsidRDefault="0067710B" w:rsidP="008A23A2">
      <w:pPr>
        <w:pStyle w:val="ListParagraph"/>
        <w:numPr>
          <w:ilvl w:val="1"/>
          <w:numId w:val="1"/>
        </w:numPr>
        <w:spacing w:after="120"/>
      </w:pPr>
      <w:r>
        <w:t xml:space="preserve">The PBAC noted that </w:t>
      </w:r>
      <w:r w:rsidR="00A01057">
        <w:t xml:space="preserve">the </w:t>
      </w:r>
      <w:r>
        <w:t>wording of the clinical</w:t>
      </w:r>
      <w:r w:rsidR="00A01057">
        <w:t xml:space="preserve"> criteria</w:t>
      </w:r>
      <w:r>
        <w:t xml:space="preserve"> and administrative advice would</w:t>
      </w:r>
      <w:r w:rsidR="00A01057">
        <w:t xml:space="preserve"> need to be updated</w:t>
      </w:r>
      <w:r>
        <w:t xml:space="preserve"> to conform to the electronic requirements for listings. </w:t>
      </w:r>
    </w:p>
    <w:p w:rsidR="00841483" w:rsidRPr="00D34003" w:rsidRDefault="00841483" w:rsidP="008A23A2">
      <w:pPr>
        <w:pStyle w:val="ListParagraph"/>
        <w:widowControl/>
        <w:numPr>
          <w:ilvl w:val="1"/>
          <w:numId w:val="1"/>
        </w:numPr>
        <w:spacing w:after="120"/>
      </w:pPr>
      <w:r w:rsidRPr="00D34003">
        <w:rPr>
          <w:color w:val="000000"/>
        </w:rPr>
        <w:t xml:space="preserve">The PBAC noted that the resubmission only requested to list the 100 mg vial presentation. In the November 2017 major submission, the 100 mg and 50 mg vial presentations were requested. The resubmission stated that the </w:t>
      </w:r>
      <w:r w:rsidR="00504C28">
        <w:rPr>
          <w:noProof/>
          <w:color w:val="000000"/>
          <w:highlight w:val="black"/>
        </w:rPr>
        <w:t>''''' '''''' '''''''' '''''''''''''''''''''' ''''''''''' '''''' ''''''''''''''''' '''''''' '''''' '''''''' ''' '''''''''' '''''''' '''''''''''' '''''''''''' '''' ''''''' ''''' '''''' '''''''' '''''''' '''''' '''''''''''''''''''''</w:t>
      </w:r>
      <w:r w:rsidRPr="00D34003">
        <w:rPr>
          <w:color w:val="000000"/>
        </w:rPr>
        <w:t xml:space="preserve"> </w:t>
      </w:r>
    </w:p>
    <w:p w:rsidR="000056CF" w:rsidRPr="00D34003" w:rsidRDefault="00643B89" w:rsidP="00937F3D">
      <w:pPr>
        <w:pStyle w:val="BodyText"/>
      </w:pPr>
      <w:r w:rsidRPr="00D34003">
        <w:rPr>
          <w:i/>
        </w:rPr>
        <w:t>For more detail on PBAC’s view, see section 7 PBAC outcome.</w:t>
      </w:r>
    </w:p>
    <w:p w:rsidR="00706810" w:rsidRPr="00D34003" w:rsidRDefault="00706810" w:rsidP="008A23A2">
      <w:pPr>
        <w:pStyle w:val="PBACHeading1"/>
        <w:keepNext/>
        <w:spacing w:before="240" w:after="120"/>
        <w:outlineLvl w:val="0"/>
      </w:pPr>
      <w:bookmarkStart w:id="8" w:name="_Toc514243665"/>
      <w:r w:rsidRPr="00D34003">
        <w:lastRenderedPageBreak/>
        <w:t>Background</w:t>
      </w:r>
      <w:bookmarkEnd w:id="8"/>
    </w:p>
    <w:p w:rsidR="00706810" w:rsidRPr="00D34003" w:rsidRDefault="00706810" w:rsidP="008A23A2">
      <w:pPr>
        <w:spacing w:after="120"/>
        <w:rPr>
          <w:b/>
          <w:sz w:val="28"/>
          <w:szCs w:val="28"/>
        </w:rPr>
      </w:pPr>
      <w:r w:rsidRPr="00D34003">
        <w:rPr>
          <w:b/>
          <w:sz w:val="28"/>
          <w:szCs w:val="28"/>
        </w:rPr>
        <w:t>Registration status</w:t>
      </w:r>
    </w:p>
    <w:p w:rsidR="00706810" w:rsidRPr="00D34003" w:rsidRDefault="00706810" w:rsidP="007A7E9A">
      <w:pPr>
        <w:pStyle w:val="ListParagraph"/>
        <w:widowControl/>
        <w:numPr>
          <w:ilvl w:val="1"/>
          <w:numId w:val="1"/>
        </w:numPr>
      </w:pPr>
      <w:r w:rsidRPr="00D34003">
        <w:t xml:space="preserve">Pembrolizumab was TGA registered on January 2018 for patients with LA or </w:t>
      </w:r>
      <w:proofErr w:type="spellStart"/>
      <w:r w:rsidRPr="00D34003">
        <w:t>mUC</w:t>
      </w:r>
      <w:proofErr w:type="spellEnd"/>
      <w:r w:rsidRPr="00D34003">
        <w:t xml:space="preserve"> in patients: (1) who are not eligible for cisplatin containing therapy, </w:t>
      </w:r>
      <w:r w:rsidR="007C2554" w:rsidRPr="00D34003">
        <w:t xml:space="preserve">and </w:t>
      </w:r>
      <w:r w:rsidRPr="00D34003">
        <w:t xml:space="preserve">(2) who have received platinum-containing chemotherapy. </w:t>
      </w:r>
    </w:p>
    <w:p w:rsidR="003058D7" w:rsidRPr="00D34003" w:rsidRDefault="003058D7" w:rsidP="007A7E9A">
      <w:pPr>
        <w:pStyle w:val="ListParagraph"/>
        <w:widowControl/>
        <w:numPr>
          <w:ilvl w:val="1"/>
          <w:numId w:val="1"/>
        </w:numPr>
      </w:pPr>
      <w:r w:rsidRPr="00D34003">
        <w:t xml:space="preserve">Overall, the TGA Delegate reported a positive risk-benefit assessment for pembrolizumab. </w:t>
      </w:r>
      <w:r w:rsidR="00681575" w:rsidRPr="00D34003">
        <w:t>However, t</w:t>
      </w:r>
      <w:r w:rsidRPr="00D34003">
        <w:t xml:space="preserve">he </w:t>
      </w:r>
      <w:r w:rsidR="00681575" w:rsidRPr="00D34003">
        <w:t xml:space="preserve">Delegate’s </w:t>
      </w:r>
      <w:r w:rsidRPr="00D34003">
        <w:t>report</w:t>
      </w:r>
      <w:r w:rsidR="00681575" w:rsidRPr="00D34003">
        <w:t xml:space="preserve"> </w:t>
      </w:r>
      <w:r w:rsidRPr="00D34003">
        <w:t>noted that a warning be included for a higher risk of death in the pembrolizumab arm than the chemotherapy arm</w:t>
      </w:r>
      <w:r w:rsidR="000735FA" w:rsidRPr="00D34003">
        <w:t>; this warning has been included in the pembrolizumab PI</w:t>
      </w:r>
      <w:r w:rsidRPr="00D34003">
        <w:t>.</w:t>
      </w:r>
    </w:p>
    <w:p w:rsidR="00706810" w:rsidRPr="00D34003" w:rsidRDefault="00706810" w:rsidP="008A23A2">
      <w:pPr>
        <w:widowControl/>
        <w:spacing w:after="120"/>
        <w:rPr>
          <w:b/>
          <w:sz w:val="28"/>
          <w:szCs w:val="28"/>
        </w:rPr>
      </w:pPr>
      <w:r w:rsidRPr="00D34003">
        <w:rPr>
          <w:b/>
          <w:sz w:val="28"/>
          <w:szCs w:val="28"/>
        </w:rPr>
        <w:t>Previous PBAC consideration</w:t>
      </w:r>
      <w:r w:rsidR="007C2554" w:rsidRPr="00D34003">
        <w:rPr>
          <w:b/>
          <w:sz w:val="28"/>
          <w:szCs w:val="28"/>
        </w:rPr>
        <w:t>s</w:t>
      </w:r>
    </w:p>
    <w:p w:rsidR="00706810" w:rsidRPr="00D34003" w:rsidRDefault="00706810" w:rsidP="007A7E9A">
      <w:pPr>
        <w:pStyle w:val="ListParagraph"/>
        <w:widowControl/>
        <w:numPr>
          <w:ilvl w:val="1"/>
          <w:numId w:val="1"/>
        </w:numPr>
        <w:tabs>
          <w:tab w:val="left" w:pos="4111"/>
        </w:tabs>
      </w:pPr>
      <w:r w:rsidRPr="00D34003">
        <w:t xml:space="preserve">At </w:t>
      </w:r>
      <w:r w:rsidR="004D1F65" w:rsidRPr="00D34003">
        <w:t>the</w:t>
      </w:r>
      <w:r w:rsidRPr="00D34003">
        <w:t xml:space="preserve"> </w:t>
      </w:r>
      <w:r w:rsidR="007C2554" w:rsidRPr="00D34003">
        <w:t>November 2017</w:t>
      </w:r>
      <w:r w:rsidRPr="00D34003">
        <w:t xml:space="preserve"> meeting, the PBAC did not recommend the PBS listing for pembrolizumab for the treatment of LA or </w:t>
      </w:r>
      <w:proofErr w:type="spellStart"/>
      <w:r w:rsidRPr="00D34003">
        <w:t>mUC</w:t>
      </w:r>
      <w:proofErr w:type="spellEnd"/>
      <w:r w:rsidRPr="00D34003">
        <w:t xml:space="preserve"> based on </w:t>
      </w:r>
      <w:r w:rsidR="00F91AE3" w:rsidRPr="00D34003">
        <w:t xml:space="preserve">a </w:t>
      </w:r>
      <w:r w:rsidRPr="00D34003">
        <w:t xml:space="preserve">highly uncertain and likely underestimated </w:t>
      </w:r>
      <w:r w:rsidR="00F91AE3" w:rsidRPr="00D34003">
        <w:t>incremental cost-effectiveness ratio (</w:t>
      </w:r>
      <w:r w:rsidRPr="00D34003">
        <w:t>ICER</w:t>
      </w:r>
      <w:r w:rsidR="00F91AE3" w:rsidRPr="00D34003">
        <w:t>)</w:t>
      </w:r>
      <w:r w:rsidRPr="00D34003">
        <w:t xml:space="preserve"> and financial estimates (</w:t>
      </w:r>
      <w:r w:rsidR="008E4943" w:rsidRPr="00D34003">
        <w:t>pembrolizumab PSD</w:t>
      </w:r>
      <w:r w:rsidRPr="00D34003">
        <w:t>, November 2017, point 7.1).</w:t>
      </w:r>
    </w:p>
    <w:p w:rsidR="00356E51" w:rsidRPr="00D34003" w:rsidRDefault="00FD1830" w:rsidP="007A7E9A">
      <w:pPr>
        <w:pStyle w:val="ListParagraph"/>
        <w:widowControl/>
        <w:numPr>
          <w:ilvl w:val="1"/>
          <w:numId w:val="1"/>
        </w:numPr>
      </w:pPr>
      <w:r w:rsidRPr="00D34003">
        <w:t xml:space="preserve">The </w:t>
      </w:r>
      <w:r w:rsidR="00DF48FB" w:rsidRPr="00D34003">
        <w:t xml:space="preserve">summary of the </w:t>
      </w:r>
      <w:r w:rsidR="00681575" w:rsidRPr="00D34003">
        <w:t xml:space="preserve">main </w:t>
      </w:r>
      <w:r w:rsidR="00DF48FB" w:rsidRPr="00D34003">
        <w:t>issue</w:t>
      </w:r>
      <w:r w:rsidR="00681575" w:rsidRPr="00D34003">
        <w:t>s</w:t>
      </w:r>
      <w:r w:rsidR="00DF48FB" w:rsidRPr="00D34003">
        <w:t xml:space="preserve"> </w:t>
      </w:r>
      <w:r w:rsidR="00681575" w:rsidRPr="00D34003">
        <w:t>of c</w:t>
      </w:r>
      <w:r w:rsidR="00DF48FB" w:rsidRPr="00D34003">
        <w:t>oncern</w:t>
      </w:r>
      <w:r w:rsidR="00681575" w:rsidRPr="00D34003">
        <w:t xml:space="preserve"> to the PBAC </w:t>
      </w:r>
      <w:r w:rsidR="00791779" w:rsidRPr="00D34003">
        <w:t xml:space="preserve">in November 2017 </w:t>
      </w:r>
      <w:r w:rsidR="00FD6790" w:rsidRPr="00D34003">
        <w:t xml:space="preserve">and </w:t>
      </w:r>
      <w:r w:rsidR="00DF48FB" w:rsidRPr="00D34003">
        <w:t>how the resubmission address</w:t>
      </w:r>
      <w:r w:rsidR="00681575" w:rsidRPr="00D34003">
        <w:t>ed</w:t>
      </w:r>
      <w:r w:rsidR="00DF48FB" w:rsidRPr="00D34003">
        <w:t xml:space="preserve"> those issues is present</w:t>
      </w:r>
      <w:r w:rsidR="00681575" w:rsidRPr="00D34003">
        <w:t>ed</w:t>
      </w:r>
      <w:r w:rsidR="00DF48FB" w:rsidRPr="00D34003">
        <w:t xml:space="preserve"> </w:t>
      </w:r>
      <w:r w:rsidR="00356E51" w:rsidRPr="00D34003">
        <w:t xml:space="preserve">in Table </w:t>
      </w:r>
      <w:r w:rsidR="00DF48FB" w:rsidRPr="00D34003">
        <w:t>3</w:t>
      </w:r>
      <w:r w:rsidRPr="00D34003">
        <w:t>.</w:t>
      </w:r>
    </w:p>
    <w:p w:rsidR="005A3E35" w:rsidRPr="00D34003" w:rsidRDefault="00155AAF" w:rsidP="00356E51">
      <w:pPr>
        <w:widowControl/>
        <w:rPr>
          <w:rFonts w:ascii="Arial Narrow" w:hAnsi="Arial Narrow"/>
          <w:b/>
          <w:sz w:val="20"/>
          <w:szCs w:val="20"/>
        </w:rPr>
      </w:pPr>
      <w:r w:rsidRPr="00D34003">
        <w:rPr>
          <w:rFonts w:ascii="Arial Narrow" w:hAnsi="Arial Narrow"/>
          <w:b/>
          <w:sz w:val="20"/>
          <w:szCs w:val="20"/>
        </w:rPr>
        <w:t xml:space="preserve">Table </w:t>
      </w:r>
      <w:r w:rsidR="00DF48FB" w:rsidRPr="00D34003">
        <w:rPr>
          <w:rFonts w:ascii="Arial Narrow" w:hAnsi="Arial Narrow"/>
          <w:b/>
          <w:sz w:val="20"/>
          <w:szCs w:val="20"/>
        </w:rPr>
        <w:t>3</w:t>
      </w:r>
      <w:r w:rsidRPr="00D34003">
        <w:rPr>
          <w:rFonts w:ascii="Arial Narrow" w:hAnsi="Arial Narrow"/>
          <w:b/>
          <w:sz w:val="20"/>
          <w:szCs w:val="20"/>
        </w:rPr>
        <w:t xml:space="preserve">: </w:t>
      </w:r>
      <w:r w:rsidR="00E62BB0" w:rsidRPr="00D34003">
        <w:rPr>
          <w:rFonts w:ascii="Arial Narrow" w:hAnsi="Arial Narrow"/>
          <w:b/>
          <w:sz w:val="20"/>
          <w:szCs w:val="20"/>
        </w:rPr>
        <w:t>Summary of outstanding matter of concern</w:t>
      </w:r>
    </w:p>
    <w:tbl>
      <w:tblPr>
        <w:tblStyle w:val="TableGrid"/>
        <w:tblW w:w="5000" w:type="pct"/>
        <w:tblLook w:val="04A0" w:firstRow="1" w:lastRow="0" w:firstColumn="1" w:lastColumn="0" w:noHBand="0" w:noVBand="1"/>
        <w:tblCaption w:val="Table 3: Summary of outstanding matter of concern"/>
      </w:tblPr>
      <w:tblGrid>
        <w:gridCol w:w="1668"/>
        <w:gridCol w:w="3674"/>
        <w:gridCol w:w="3901"/>
      </w:tblGrid>
      <w:tr w:rsidR="00FD6790" w:rsidRPr="00D34003" w:rsidTr="004E6A3A">
        <w:trPr>
          <w:tblHeader/>
        </w:trPr>
        <w:tc>
          <w:tcPr>
            <w:tcW w:w="902" w:type="pct"/>
          </w:tcPr>
          <w:p w:rsidR="005A3E35" w:rsidRPr="00D34003" w:rsidRDefault="005A3E35" w:rsidP="0046186B">
            <w:pPr>
              <w:widowControl/>
              <w:jc w:val="left"/>
              <w:rPr>
                <w:rFonts w:ascii="Arial Narrow" w:hAnsi="Arial Narrow"/>
                <w:b/>
                <w:sz w:val="20"/>
                <w:szCs w:val="20"/>
              </w:rPr>
            </w:pPr>
            <w:r w:rsidRPr="00D34003">
              <w:rPr>
                <w:rFonts w:ascii="Arial Narrow" w:hAnsi="Arial Narrow"/>
                <w:b/>
                <w:sz w:val="20"/>
                <w:szCs w:val="20"/>
              </w:rPr>
              <w:t>Component</w:t>
            </w:r>
          </w:p>
        </w:tc>
        <w:tc>
          <w:tcPr>
            <w:tcW w:w="1987" w:type="pct"/>
          </w:tcPr>
          <w:p w:rsidR="005A3E35" w:rsidRPr="00D34003" w:rsidRDefault="005A3E35" w:rsidP="0046186B">
            <w:pPr>
              <w:widowControl/>
              <w:jc w:val="left"/>
              <w:rPr>
                <w:rFonts w:ascii="Arial Narrow" w:hAnsi="Arial Narrow"/>
                <w:b/>
                <w:sz w:val="20"/>
                <w:szCs w:val="20"/>
              </w:rPr>
            </w:pPr>
            <w:r w:rsidRPr="00D34003">
              <w:rPr>
                <w:rFonts w:ascii="Arial Narrow" w:hAnsi="Arial Narrow"/>
                <w:b/>
                <w:sz w:val="20"/>
                <w:szCs w:val="20"/>
              </w:rPr>
              <w:t>Matter of concern</w:t>
            </w:r>
            <w:r w:rsidR="0046186B" w:rsidRPr="00D34003">
              <w:rPr>
                <w:rFonts w:ascii="Arial Narrow" w:hAnsi="Arial Narrow"/>
                <w:b/>
                <w:sz w:val="20"/>
                <w:szCs w:val="20"/>
              </w:rPr>
              <w:t xml:space="preserve"> November 2017</w:t>
            </w:r>
          </w:p>
        </w:tc>
        <w:tc>
          <w:tcPr>
            <w:tcW w:w="2110" w:type="pct"/>
          </w:tcPr>
          <w:p w:rsidR="005A3E35" w:rsidRPr="00D34003" w:rsidRDefault="0046186B" w:rsidP="0046186B">
            <w:pPr>
              <w:widowControl/>
              <w:jc w:val="left"/>
              <w:rPr>
                <w:rFonts w:ascii="Arial Narrow" w:hAnsi="Arial Narrow"/>
                <w:b/>
                <w:sz w:val="20"/>
                <w:szCs w:val="20"/>
              </w:rPr>
            </w:pPr>
            <w:r w:rsidRPr="00D34003">
              <w:rPr>
                <w:rFonts w:ascii="Arial Narrow" w:hAnsi="Arial Narrow"/>
                <w:b/>
                <w:sz w:val="20"/>
                <w:szCs w:val="20"/>
              </w:rPr>
              <w:t>Approach in the July 2018 Resubmission</w:t>
            </w:r>
          </w:p>
        </w:tc>
      </w:tr>
      <w:tr w:rsidR="0040569D" w:rsidRPr="00D34003" w:rsidTr="004E6A3A">
        <w:tc>
          <w:tcPr>
            <w:tcW w:w="902" w:type="pct"/>
          </w:tcPr>
          <w:p w:rsidR="0040569D" w:rsidRPr="00D34003" w:rsidRDefault="0040569D" w:rsidP="0046186B">
            <w:pPr>
              <w:widowControl/>
              <w:jc w:val="left"/>
              <w:rPr>
                <w:rFonts w:ascii="Arial Narrow" w:hAnsi="Arial Narrow"/>
                <w:b/>
                <w:sz w:val="20"/>
                <w:szCs w:val="20"/>
              </w:rPr>
            </w:pPr>
            <w:r w:rsidRPr="00D34003">
              <w:rPr>
                <w:rFonts w:ascii="Arial Narrow" w:hAnsi="Arial Narrow"/>
                <w:b/>
                <w:sz w:val="20"/>
                <w:szCs w:val="20"/>
              </w:rPr>
              <w:t>Clinical Issues</w:t>
            </w:r>
          </w:p>
        </w:tc>
        <w:tc>
          <w:tcPr>
            <w:tcW w:w="1987" w:type="pct"/>
          </w:tcPr>
          <w:p w:rsidR="0040569D" w:rsidRPr="00D34003" w:rsidRDefault="0040569D" w:rsidP="0046186B">
            <w:pPr>
              <w:widowControl/>
              <w:jc w:val="left"/>
              <w:rPr>
                <w:rFonts w:ascii="Arial Narrow" w:hAnsi="Arial Narrow"/>
                <w:b/>
                <w:sz w:val="20"/>
                <w:szCs w:val="20"/>
              </w:rPr>
            </w:pPr>
          </w:p>
        </w:tc>
        <w:tc>
          <w:tcPr>
            <w:tcW w:w="2110" w:type="pct"/>
          </w:tcPr>
          <w:p w:rsidR="0040569D" w:rsidRPr="00D34003" w:rsidDel="0046186B" w:rsidRDefault="0040569D" w:rsidP="0046186B">
            <w:pPr>
              <w:widowControl/>
              <w:jc w:val="left"/>
              <w:rPr>
                <w:rFonts w:ascii="Arial Narrow" w:hAnsi="Arial Narrow"/>
                <w:b/>
                <w:sz w:val="20"/>
                <w:szCs w:val="20"/>
              </w:rPr>
            </w:pPr>
          </w:p>
        </w:tc>
      </w:tr>
      <w:tr w:rsidR="00B11AAF" w:rsidRPr="00D34003" w:rsidTr="004E6A3A">
        <w:tc>
          <w:tcPr>
            <w:tcW w:w="902" w:type="pct"/>
          </w:tcPr>
          <w:p w:rsidR="00B11AAF" w:rsidRPr="00D34003" w:rsidRDefault="00B11AAF" w:rsidP="00B52E4E">
            <w:pPr>
              <w:widowControl/>
              <w:jc w:val="left"/>
              <w:rPr>
                <w:rFonts w:ascii="Arial Narrow" w:hAnsi="Arial Narrow"/>
                <w:sz w:val="20"/>
                <w:szCs w:val="20"/>
              </w:rPr>
            </w:pPr>
            <w:r w:rsidRPr="00D34003">
              <w:rPr>
                <w:rFonts w:ascii="Arial Narrow" w:hAnsi="Arial Narrow"/>
                <w:sz w:val="20"/>
                <w:szCs w:val="20"/>
              </w:rPr>
              <w:t>PBS listed restriction</w:t>
            </w:r>
          </w:p>
        </w:tc>
        <w:tc>
          <w:tcPr>
            <w:tcW w:w="1987" w:type="pct"/>
          </w:tcPr>
          <w:p w:rsidR="00B11AAF" w:rsidRPr="00D34003" w:rsidRDefault="00B11AAF" w:rsidP="00B52E4E">
            <w:pPr>
              <w:widowControl/>
              <w:jc w:val="left"/>
              <w:rPr>
                <w:rFonts w:ascii="Arial Narrow" w:hAnsi="Arial Narrow"/>
                <w:sz w:val="20"/>
                <w:szCs w:val="20"/>
              </w:rPr>
            </w:pPr>
            <w:r w:rsidRPr="00D34003">
              <w:rPr>
                <w:rFonts w:ascii="Arial Narrow" w:hAnsi="Arial Narrow"/>
                <w:sz w:val="20"/>
                <w:szCs w:val="20"/>
              </w:rPr>
              <w:t>The PBAC considered that there was a risk that pembrolizumab would be used outside the requested restriction (into first-line treatment for cisplatin-ineligible patients) (pembrolizumab PSD, Nov 2017 point 7.11)</w:t>
            </w:r>
          </w:p>
          <w:p w:rsidR="00B11AAF" w:rsidRPr="00D34003" w:rsidRDefault="00B11AAF" w:rsidP="00B52E4E">
            <w:pPr>
              <w:widowControl/>
              <w:jc w:val="left"/>
              <w:rPr>
                <w:rFonts w:ascii="Arial Narrow" w:hAnsi="Arial Narrow"/>
                <w:sz w:val="20"/>
                <w:szCs w:val="20"/>
              </w:rPr>
            </w:pPr>
          </w:p>
        </w:tc>
        <w:tc>
          <w:tcPr>
            <w:tcW w:w="2110" w:type="pct"/>
          </w:tcPr>
          <w:p w:rsidR="00B11AAF" w:rsidRPr="00D34003" w:rsidRDefault="00B11AAF" w:rsidP="00B52E4E">
            <w:pPr>
              <w:widowControl/>
              <w:jc w:val="left"/>
              <w:rPr>
                <w:rFonts w:ascii="Arial Narrow" w:hAnsi="Arial Narrow"/>
                <w:sz w:val="20"/>
                <w:szCs w:val="20"/>
              </w:rPr>
            </w:pPr>
            <w:r w:rsidRPr="00D34003">
              <w:rPr>
                <w:rFonts w:ascii="Arial Narrow" w:hAnsi="Arial Narrow"/>
                <w:sz w:val="20"/>
                <w:szCs w:val="20"/>
              </w:rPr>
              <w:t>The resubmission</w:t>
            </w:r>
            <w:r w:rsidR="009E7EE9" w:rsidRPr="00D34003">
              <w:rPr>
                <w:rFonts w:ascii="Arial Narrow" w:hAnsi="Arial Narrow"/>
                <w:sz w:val="20"/>
                <w:szCs w:val="20"/>
              </w:rPr>
              <w:t xml:space="preserve"> proposed that the risk of use</w:t>
            </w:r>
            <w:r w:rsidRPr="00D34003">
              <w:rPr>
                <w:rFonts w:ascii="Arial Narrow" w:hAnsi="Arial Narrow"/>
                <w:sz w:val="20"/>
                <w:szCs w:val="20"/>
              </w:rPr>
              <w:t xml:space="preserve"> outside the requested restriction will be addressed through the RSA.</w:t>
            </w:r>
          </w:p>
          <w:p w:rsidR="00B11AAF" w:rsidRPr="00D34003" w:rsidRDefault="00B11AAF" w:rsidP="00B52E4E">
            <w:pPr>
              <w:widowControl/>
              <w:jc w:val="left"/>
              <w:rPr>
                <w:rFonts w:ascii="Arial Narrow" w:hAnsi="Arial Narrow"/>
                <w:sz w:val="20"/>
                <w:szCs w:val="20"/>
              </w:rPr>
            </w:pPr>
          </w:p>
          <w:p w:rsidR="00B11AAF" w:rsidRPr="00D34003" w:rsidRDefault="00B11AAF" w:rsidP="00B52E4E">
            <w:pPr>
              <w:widowControl/>
              <w:jc w:val="left"/>
              <w:rPr>
                <w:rFonts w:ascii="Arial Narrow" w:hAnsi="Arial Narrow"/>
                <w:sz w:val="20"/>
                <w:szCs w:val="20"/>
              </w:rPr>
            </w:pPr>
            <w:r w:rsidRPr="00D34003">
              <w:rPr>
                <w:rFonts w:ascii="Arial Narrow" w:hAnsi="Arial Narrow"/>
                <w:sz w:val="20"/>
                <w:szCs w:val="20"/>
              </w:rPr>
              <w:t xml:space="preserve">The RSA proposed does not fully address these issues, as the budget impact estimates utilise </w:t>
            </w:r>
            <w:r w:rsidR="00096DF9" w:rsidRPr="00D34003">
              <w:rPr>
                <w:rFonts w:ascii="Arial Narrow" w:hAnsi="Arial Narrow"/>
                <w:sz w:val="20"/>
                <w:szCs w:val="20"/>
              </w:rPr>
              <w:t>time on treatment (</w:t>
            </w:r>
            <w:r w:rsidRPr="00D34003">
              <w:rPr>
                <w:rFonts w:ascii="Arial Narrow" w:hAnsi="Arial Narrow"/>
                <w:sz w:val="20"/>
                <w:szCs w:val="20"/>
              </w:rPr>
              <w:t>TOT</w:t>
            </w:r>
            <w:r w:rsidR="00096DF9" w:rsidRPr="00D34003">
              <w:rPr>
                <w:rFonts w:ascii="Arial Narrow" w:hAnsi="Arial Narrow"/>
                <w:sz w:val="20"/>
                <w:szCs w:val="20"/>
              </w:rPr>
              <w:t>)</w:t>
            </w:r>
            <w:r w:rsidRPr="00D34003">
              <w:rPr>
                <w:rFonts w:ascii="Arial Narrow" w:hAnsi="Arial Narrow"/>
                <w:sz w:val="20"/>
                <w:szCs w:val="20"/>
              </w:rPr>
              <w:t xml:space="preserve"> to estimate the average number of administrations per person, and do not account directly for potential uncertainty in the number of eligible patients.</w:t>
            </w:r>
          </w:p>
          <w:p w:rsidR="00DB108A" w:rsidRPr="00D34003" w:rsidRDefault="00DB108A" w:rsidP="00B52E4E">
            <w:pPr>
              <w:widowControl/>
              <w:jc w:val="left"/>
              <w:rPr>
                <w:rFonts w:ascii="Arial Narrow" w:hAnsi="Arial Narrow"/>
                <w:sz w:val="20"/>
                <w:szCs w:val="20"/>
              </w:rPr>
            </w:pPr>
          </w:p>
          <w:p w:rsidR="00DB108A" w:rsidRPr="00D34003" w:rsidRDefault="00DB108A" w:rsidP="00E6585F">
            <w:pPr>
              <w:widowControl/>
              <w:jc w:val="left"/>
              <w:rPr>
                <w:rFonts w:ascii="Arial Narrow" w:hAnsi="Arial Narrow"/>
                <w:i/>
                <w:sz w:val="20"/>
                <w:szCs w:val="20"/>
              </w:rPr>
            </w:pPr>
            <w:r w:rsidRPr="00D34003">
              <w:rPr>
                <w:rFonts w:ascii="Arial Narrow" w:hAnsi="Arial Narrow"/>
                <w:sz w:val="20"/>
                <w:szCs w:val="20"/>
              </w:rPr>
              <w:t xml:space="preserve">The PSCR proposed a rebate rate of </w:t>
            </w:r>
            <w:r w:rsidR="00504C28">
              <w:rPr>
                <w:rFonts w:ascii="Arial Narrow" w:hAnsi="Arial Narrow"/>
                <w:noProof/>
                <w:color w:val="000000"/>
                <w:sz w:val="20"/>
                <w:szCs w:val="20"/>
                <w:highlight w:val="black"/>
              </w:rPr>
              <w:t>'''''''</w:t>
            </w:r>
            <w:r w:rsidRPr="00D34003">
              <w:rPr>
                <w:rFonts w:ascii="Arial Narrow" w:hAnsi="Arial Narrow"/>
                <w:sz w:val="20"/>
                <w:szCs w:val="20"/>
              </w:rPr>
              <w:t>%</w:t>
            </w:r>
            <w:r w:rsidR="00ED4263" w:rsidRPr="00D34003">
              <w:rPr>
                <w:rFonts w:ascii="Arial Narrow" w:hAnsi="Arial Narrow"/>
                <w:sz w:val="20"/>
                <w:szCs w:val="20"/>
              </w:rPr>
              <w:t xml:space="preserve"> of treatment costs exceeding the agreed cap in each year</w:t>
            </w:r>
            <w:r w:rsidRPr="00D34003">
              <w:rPr>
                <w:rFonts w:ascii="Arial Narrow" w:hAnsi="Arial Narrow"/>
                <w:sz w:val="20"/>
                <w:szCs w:val="20"/>
              </w:rPr>
              <w:t>.</w:t>
            </w:r>
          </w:p>
        </w:tc>
      </w:tr>
      <w:tr w:rsidR="00B11AAF" w:rsidRPr="00D34003" w:rsidTr="004E6A3A">
        <w:tc>
          <w:tcPr>
            <w:tcW w:w="902" w:type="pct"/>
          </w:tcPr>
          <w:p w:rsidR="00B11AAF" w:rsidRPr="00D34003" w:rsidRDefault="00B11AAF" w:rsidP="00B52E4E">
            <w:pPr>
              <w:widowControl/>
              <w:jc w:val="left"/>
              <w:rPr>
                <w:rFonts w:ascii="Arial Narrow" w:hAnsi="Arial Narrow"/>
                <w:sz w:val="20"/>
                <w:szCs w:val="20"/>
              </w:rPr>
            </w:pPr>
            <w:r w:rsidRPr="00D34003">
              <w:rPr>
                <w:rFonts w:ascii="Arial Narrow" w:hAnsi="Arial Narrow"/>
                <w:sz w:val="20"/>
                <w:szCs w:val="20"/>
              </w:rPr>
              <w:t>Fixed dosing regimen vs weight-based dosing regimen</w:t>
            </w:r>
          </w:p>
        </w:tc>
        <w:tc>
          <w:tcPr>
            <w:tcW w:w="1987" w:type="pct"/>
          </w:tcPr>
          <w:p w:rsidR="00B11AAF" w:rsidRPr="00D34003" w:rsidRDefault="00B11AAF" w:rsidP="006C27BC">
            <w:pPr>
              <w:widowControl/>
              <w:jc w:val="left"/>
              <w:rPr>
                <w:rFonts w:ascii="Arial Narrow" w:hAnsi="Arial Narrow"/>
                <w:sz w:val="20"/>
                <w:szCs w:val="20"/>
              </w:rPr>
            </w:pPr>
            <w:r w:rsidRPr="00D34003">
              <w:rPr>
                <w:rFonts w:ascii="Arial Narrow" w:hAnsi="Arial Narrow"/>
                <w:sz w:val="20"/>
                <w:szCs w:val="20"/>
              </w:rPr>
              <w:t>The PBAC noted that the November 2017 submission proposed pembrolizumab as a fixed dosing regimen for locally advanced or metastatic urothelial cancer, whereas pembrolizumab treatment for other PBS-listed indications has used a weight-based dosing regimen. The PBAC suggested that the price be reduced to account for what could effectively be wastage from the fixed dose regimen. (pembrolizumab PSD, Nov 2017 point 7.12)</w:t>
            </w:r>
          </w:p>
        </w:tc>
        <w:tc>
          <w:tcPr>
            <w:tcW w:w="2110" w:type="pct"/>
          </w:tcPr>
          <w:p w:rsidR="00B11AAF" w:rsidRPr="00D34003" w:rsidRDefault="00B11AAF" w:rsidP="00647E9A">
            <w:pPr>
              <w:widowControl/>
              <w:jc w:val="left"/>
              <w:rPr>
                <w:rFonts w:ascii="Arial Narrow" w:hAnsi="Arial Narrow"/>
                <w:sz w:val="20"/>
                <w:szCs w:val="20"/>
              </w:rPr>
            </w:pPr>
            <w:r w:rsidRPr="00D34003">
              <w:rPr>
                <w:rFonts w:ascii="Arial Narrow" w:hAnsi="Arial Narrow"/>
                <w:sz w:val="20"/>
                <w:szCs w:val="20"/>
              </w:rPr>
              <w:t xml:space="preserve">While the resubmission included a price reduction this was not specifically to account for the fixed dose regimen used in the model. The resubmission justified that there is no evidence supporting weight-based dosing in this patient population and the approved TGA indication is based on a fixed dosing regimen. </w:t>
            </w:r>
          </w:p>
        </w:tc>
      </w:tr>
      <w:tr w:rsidR="0040569D" w:rsidRPr="00D34003" w:rsidTr="004E6A3A">
        <w:tc>
          <w:tcPr>
            <w:tcW w:w="902" w:type="pct"/>
          </w:tcPr>
          <w:p w:rsidR="0040569D" w:rsidRPr="00D34003" w:rsidRDefault="00B11AAF" w:rsidP="0046186B">
            <w:pPr>
              <w:widowControl/>
              <w:jc w:val="left"/>
              <w:rPr>
                <w:rFonts w:ascii="Arial Narrow" w:hAnsi="Arial Narrow"/>
                <w:b/>
                <w:sz w:val="20"/>
                <w:szCs w:val="20"/>
              </w:rPr>
            </w:pPr>
            <w:r w:rsidRPr="00D34003">
              <w:rPr>
                <w:rFonts w:ascii="Arial Narrow" w:hAnsi="Arial Narrow"/>
                <w:b/>
                <w:sz w:val="20"/>
                <w:szCs w:val="20"/>
              </w:rPr>
              <w:t>Economic Issues</w:t>
            </w:r>
          </w:p>
        </w:tc>
        <w:tc>
          <w:tcPr>
            <w:tcW w:w="1987" w:type="pct"/>
          </w:tcPr>
          <w:p w:rsidR="0040569D" w:rsidRPr="00D34003" w:rsidRDefault="0040569D" w:rsidP="0046186B">
            <w:pPr>
              <w:widowControl/>
              <w:jc w:val="left"/>
              <w:rPr>
                <w:rFonts w:ascii="Arial Narrow" w:hAnsi="Arial Narrow"/>
                <w:b/>
                <w:sz w:val="20"/>
                <w:szCs w:val="20"/>
              </w:rPr>
            </w:pPr>
          </w:p>
        </w:tc>
        <w:tc>
          <w:tcPr>
            <w:tcW w:w="2110" w:type="pct"/>
          </w:tcPr>
          <w:p w:rsidR="0040569D" w:rsidRPr="00D34003" w:rsidDel="0046186B" w:rsidRDefault="0040569D" w:rsidP="0046186B">
            <w:pPr>
              <w:widowControl/>
              <w:jc w:val="left"/>
              <w:rPr>
                <w:rFonts w:ascii="Arial Narrow" w:hAnsi="Arial Narrow"/>
                <w:b/>
                <w:sz w:val="20"/>
                <w:szCs w:val="20"/>
              </w:rPr>
            </w:pPr>
          </w:p>
        </w:tc>
      </w:tr>
      <w:tr w:rsidR="0040569D" w:rsidRPr="00D34003" w:rsidTr="004E6A3A">
        <w:tc>
          <w:tcPr>
            <w:tcW w:w="902" w:type="pct"/>
          </w:tcPr>
          <w:p w:rsidR="005A3E35" w:rsidRPr="00D34003" w:rsidRDefault="009731F4" w:rsidP="0046186B">
            <w:pPr>
              <w:widowControl/>
              <w:jc w:val="left"/>
              <w:rPr>
                <w:rFonts w:ascii="Arial Narrow" w:hAnsi="Arial Narrow"/>
                <w:sz w:val="20"/>
                <w:szCs w:val="20"/>
              </w:rPr>
            </w:pPr>
            <w:r w:rsidRPr="00D34003">
              <w:rPr>
                <w:rFonts w:ascii="Arial Narrow" w:hAnsi="Arial Narrow"/>
                <w:sz w:val="20"/>
                <w:szCs w:val="20"/>
              </w:rPr>
              <w:lastRenderedPageBreak/>
              <w:t>Treatment duration</w:t>
            </w:r>
          </w:p>
        </w:tc>
        <w:tc>
          <w:tcPr>
            <w:tcW w:w="1987" w:type="pct"/>
          </w:tcPr>
          <w:p w:rsidR="00600271" w:rsidRPr="00D34003" w:rsidRDefault="00092B3E" w:rsidP="0046186B">
            <w:pPr>
              <w:widowControl/>
              <w:jc w:val="left"/>
              <w:rPr>
                <w:rFonts w:ascii="Arial Narrow" w:hAnsi="Arial Narrow"/>
                <w:sz w:val="20"/>
                <w:szCs w:val="20"/>
              </w:rPr>
            </w:pPr>
            <w:r w:rsidRPr="00D34003">
              <w:rPr>
                <w:rFonts w:ascii="Arial Narrow" w:hAnsi="Arial Narrow"/>
                <w:sz w:val="20"/>
                <w:szCs w:val="20"/>
              </w:rPr>
              <w:t>PFS was use</w:t>
            </w:r>
            <w:r w:rsidR="0046186B" w:rsidRPr="00D34003">
              <w:rPr>
                <w:rFonts w:ascii="Arial Narrow" w:hAnsi="Arial Narrow"/>
                <w:sz w:val="20"/>
                <w:szCs w:val="20"/>
              </w:rPr>
              <w:t>d</w:t>
            </w:r>
            <w:r w:rsidRPr="00D34003">
              <w:rPr>
                <w:rFonts w:ascii="Arial Narrow" w:hAnsi="Arial Narrow"/>
                <w:sz w:val="20"/>
                <w:szCs w:val="20"/>
              </w:rPr>
              <w:t xml:space="preserve"> to estimate the duration of treatment. However, patients in the trial received treatment beyond progression.</w:t>
            </w:r>
            <w:r w:rsidR="0046186B" w:rsidRPr="00D34003">
              <w:rPr>
                <w:rFonts w:ascii="Arial Narrow" w:hAnsi="Arial Narrow"/>
                <w:sz w:val="20"/>
                <w:szCs w:val="20"/>
              </w:rPr>
              <w:t xml:space="preserve"> T</w:t>
            </w:r>
            <w:r w:rsidR="00F471F5" w:rsidRPr="00D34003">
              <w:rPr>
                <w:rFonts w:ascii="Arial Narrow" w:hAnsi="Arial Narrow"/>
                <w:sz w:val="20"/>
                <w:szCs w:val="20"/>
              </w:rPr>
              <w:t xml:space="preserve">he </w:t>
            </w:r>
            <w:r w:rsidRPr="00D34003">
              <w:rPr>
                <w:rFonts w:ascii="Arial Narrow" w:hAnsi="Arial Narrow"/>
                <w:sz w:val="20"/>
                <w:szCs w:val="20"/>
              </w:rPr>
              <w:t xml:space="preserve">PBAC </w:t>
            </w:r>
            <w:r w:rsidR="0046186B" w:rsidRPr="00D34003">
              <w:rPr>
                <w:rFonts w:ascii="Arial Narrow" w:hAnsi="Arial Narrow"/>
                <w:sz w:val="20"/>
                <w:szCs w:val="20"/>
              </w:rPr>
              <w:t xml:space="preserve">requested the </w:t>
            </w:r>
            <w:r w:rsidR="00BC157F" w:rsidRPr="00D34003">
              <w:rPr>
                <w:rFonts w:ascii="Arial Narrow" w:hAnsi="Arial Narrow"/>
                <w:sz w:val="20"/>
                <w:szCs w:val="20"/>
              </w:rPr>
              <w:t xml:space="preserve">use </w:t>
            </w:r>
            <w:r w:rsidR="0046186B" w:rsidRPr="00D34003">
              <w:rPr>
                <w:rFonts w:ascii="Arial Narrow" w:hAnsi="Arial Narrow"/>
                <w:sz w:val="20"/>
                <w:szCs w:val="20"/>
              </w:rPr>
              <w:t xml:space="preserve">of </w:t>
            </w:r>
            <w:r w:rsidR="00BC157F" w:rsidRPr="00D34003">
              <w:rPr>
                <w:rFonts w:ascii="Arial Narrow" w:hAnsi="Arial Narrow"/>
                <w:sz w:val="20"/>
                <w:szCs w:val="20"/>
              </w:rPr>
              <w:t>TOT rather than PFS</w:t>
            </w:r>
            <w:r w:rsidR="009731F4" w:rsidRPr="00D34003">
              <w:rPr>
                <w:rFonts w:ascii="Arial Narrow" w:hAnsi="Arial Narrow"/>
                <w:sz w:val="20"/>
                <w:szCs w:val="20"/>
              </w:rPr>
              <w:t xml:space="preserve"> to estimate cost of treatment</w:t>
            </w:r>
            <w:r w:rsidR="00BC157F" w:rsidRPr="00D34003">
              <w:rPr>
                <w:rFonts w:ascii="Arial Narrow" w:hAnsi="Arial Narrow"/>
                <w:sz w:val="20"/>
                <w:szCs w:val="20"/>
              </w:rPr>
              <w:t>. (</w:t>
            </w:r>
            <w:proofErr w:type="gramStart"/>
            <w:r w:rsidR="00BC157F" w:rsidRPr="00D34003">
              <w:rPr>
                <w:rFonts w:ascii="Arial Narrow" w:hAnsi="Arial Narrow"/>
                <w:sz w:val="20"/>
                <w:szCs w:val="20"/>
              </w:rPr>
              <w:t>pembrolizumab</w:t>
            </w:r>
            <w:proofErr w:type="gramEnd"/>
            <w:r w:rsidR="00BC157F" w:rsidRPr="00D34003">
              <w:rPr>
                <w:rFonts w:ascii="Arial Narrow" w:hAnsi="Arial Narrow"/>
                <w:sz w:val="20"/>
                <w:szCs w:val="20"/>
              </w:rPr>
              <w:t xml:space="preserve"> PSD, Nov 2017 point 7.10</w:t>
            </w:r>
            <w:r w:rsidR="008167A8" w:rsidRPr="00D34003">
              <w:rPr>
                <w:rFonts w:ascii="Arial Narrow" w:hAnsi="Arial Narrow"/>
                <w:sz w:val="20"/>
                <w:szCs w:val="20"/>
              </w:rPr>
              <w:t xml:space="preserve"> and 7.11</w:t>
            </w:r>
            <w:r w:rsidR="00BC157F" w:rsidRPr="00D34003">
              <w:rPr>
                <w:rFonts w:ascii="Arial Narrow" w:hAnsi="Arial Narrow"/>
                <w:sz w:val="20"/>
                <w:szCs w:val="20"/>
              </w:rPr>
              <w:t>)</w:t>
            </w:r>
            <w:r w:rsidR="0046186B" w:rsidRPr="00D34003">
              <w:rPr>
                <w:rFonts w:ascii="Arial Narrow" w:hAnsi="Arial Narrow"/>
                <w:sz w:val="20"/>
                <w:szCs w:val="20"/>
              </w:rPr>
              <w:t>.</w:t>
            </w:r>
          </w:p>
        </w:tc>
        <w:tc>
          <w:tcPr>
            <w:tcW w:w="2110" w:type="pct"/>
          </w:tcPr>
          <w:p w:rsidR="00577AB3" w:rsidRPr="00D34003" w:rsidRDefault="00BC157F" w:rsidP="0046186B">
            <w:pPr>
              <w:widowControl/>
              <w:jc w:val="left"/>
              <w:rPr>
                <w:rFonts w:ascii="Arial Narrow" w:hAnsi="Arial Narrow"/>
                <w:sz w:val="20"/>
                <w:szCs w:val="20"/>
              </w:rPr>
            </w:pPr>
            <w:r w:rsidRPr="00D34003">
              <w:rPr>
                <w:rFonts w:ascii="Arial Narrow" w:hAnsi="Arial Narrow"/>
                <w:sz w:val="20"/>
                <w:szCs w:val="20"/>
              </w:rPr>
              <w:t>Addressed by using TOT to estimate cost of treatment</w:t>
            </w:r>
            <w:r w:rsidR="00462625" w:rsidRPr="00D34003">
              <w:rPr>
                <w:rFonts w:ascii="Arial Narrow" w:hAnsi="Arial Narrow"/>
                <w:sz w:val="20"/>
                <w:szCs w:val="20"/>
              </w:rPr>
              <w:t xml:space="preserve"> in the resubmission</w:t>
            </w:r>
            <w:r w:rsidR="00092B3E" w:rsidRPr="00D34003">
              <w:rPr>
                <w:rFonts w:ascii="Arial Narrow" w:hAnsi="Arial Narrow"/>
                <w:sz w:val="20"/>
                <w:szCs w:val="20"/>
              </w:rPr>
              <w:t xml:space="preserve">. </w:t>
            </w:r>
            <w:r w:rsidR="00462625" w:rsidRPr="00D34003">
              <w:rPr>
                <w:rFonts w:ascii="Arial Narrow" w:hAnsi="Arial Narrow"/>
                <w:sz w:val="20"/>
                <w:szCs w:val="20"/>
              </w:rPr>
              <w:t>The mean number of cycles of pembrolizumab estimated in the base-case in the resubmission</w:t>
            </w:r>
            <w:r w:rsidR="000B3280" w:rsidRPr="00D34003">
              <w:rPr>
                <w:rFonts w:ascii="Arial Narrow" w:hAnsi="Arial Narrow"/>
                <w:sz w:val="20"/>
                <w:szCs w:val="20"/>
              </w:rPr>
              <w:t xml:space="preserve"> increased to </w:t>
            </w:r>
            <w:r w:rsidR="00504C28">
              <w:rPr>
                <w:rFonts w:ascii="Arial Narrow" w:hAnsi="Arial Narrow"/>
                <w:noProof/>
                <w:color w:val="000000"/>
                <w:sz w:val="20"/>
                <w:szCs w:val="20"/>
                <w:highlight w:val="black"/>
              </w:rPr>
              <w:t>''''''''</w:t>
            </w:r>
            <w:r w:rsidR="000B3280" w:rsidRPr="00D34003">
              <w:rPr>
                <w:rFonts w:ascii="Arial Narrow" w:hAnsi="Arial Narrow"/>
                <w:sz w:val="20"/>
                <w:szCs w:val="20"/>
              </w:rPr>
              <w:t xml:space="preserve"> from</w:t>
            </w:r>
            <w:r w:rsidR="00462625" w:rsidRPr="00D34003">
              <w:rPr>
                <w:rFonts w:ascii="Arial Narrow" w:hAnsi="Arial Narrow"/>
                <w:sz w:val="20"/>
                <w:szCs w:val="20"/>
              </w:rPr>
              <w:t xml:space="preserve"> </w:t>
            </w:r>
            <w:r w:rsidR="00504C28">
              <w:rPr>
                <w:rFonts w:ascii="Arial Narrow" w:hAnsi="Arial Narrow"/>
                <w:noProof/>
                <w:color w:val="000000"/>
                <w:sz w:val="20"/>
                <w:szCs w:val="20"/>
                <w:highlight w:val="black"/>
              </w:rPr>
              <w:t>'''''''''''</w:t>
            </w:r>
            <w:r w:rsidR="00462625" w:rsidRPr="00D34003">
              <w:rPr>
                <w:rFonts w:ascii="Arial Narrow" w:hAnsi="Arial Narrow"/>
                <w:sz w:val="20"/>
                <w:szCs w:val="20"/>
              </w:rPr>
              <w:t xml:space="preserve"> </w:t>
            </w:r>
            <w:r w:rsidR="000B3280" w:rsidRPr="00D34003">
              <w:rPr>
                <w:rFonts w:ascii="Arial Narrow" w:hAnsi="Arial Narrow"/>
                <w:sz w:val="20"/>
                <w:szCs w:val="20"/>
              </w:rPr>
              <w:t>in</w:t>
            </w:r>
            <w:r w:rsidR="00462625" w:rsidRPr="00D34003">
              <w:rPr>
                <w:rFonts w:ascii="Arial Narrow" w:hAnsi="Arial Narrow"/>
                <w:sz w:val="20"/>
                <w:szCs w:val="20"/>
              </w:rPr>
              <w:t xml:space="preserve"> the November 2017 submission.</w:t>
            </w:r>
          </w:p>
        </w:tc>
      </w:tr>
      <w:tr w:rsidR="0040569D" w:rsidRPr="00D34003" w:rsidTr="004E6A3A">
        <w:tc>
          <w:tcPr>
            <w:tcW w:w="902" w:type="pct"/>
          </w:tcPr>
          <w:p w:rsidR="005A3E35" w:rsidRPr="00D34003" w:rsidRDefault="00092B3E" w:rsidP="0046186B">
            <w:pPr>
              <w:widowControl/>
              <w:jc w:val="left"/>
              <w:rPr>
                <w:rFonts w:ascii="Arial Narrow" w:hAnsi="Arial Narrow"/>
                <w:sz w:val="20"/>
                <w:szCs w:val="20"/>
              </w:rPr>
            </w:pPr>
            <w:r w:rsidRPr="00D34003">
              <w:rPr>
                <w:rFonts w:ascii="Arial Narrow" w:hAnsi="Arial Narrow"/>
                <w:sz w:val="20"/>
                <w:szCs w:val="20"/>
              </w:rPr>
              <w:t>Use of KM data in the model</w:t>
            </w:r>
          </w:p>
        </w:tc>
        <w:tc>
          <w:tcPr>
            <w:tcW w:w="1987" w:type="pct"/>
          </w:tcPr>
          <w:p w:rsidR="005A3E35" w:rsidRPr="00D34003" w:rsidRDefault="006E0528" w:rsidP="0046186B">
            <w:pPr>
              <w:widowControl/>
              <w:jc w:val="left"/>
              <w:rPr>
                <w:rFonts w:ascii="Arial Narrow" w:hAnsi="Arial Narrow"/>
                <w:sz w:val="20"/>
                <w:szCs w:val="20"/>
              </w:rPr>
            </w:pPr>
            <w:r w:rsidRPr="00D34003">
              <w:rPr>
                <w:rFonts w:ascii="Arial Narrow" w:hAnsi="Arial Narrow"/>
                <w:sz w:val="20"/>
                <w:szCs w:val="20"/>
              </w:rPr>
              <w:t>The start point for using data from extrapolation</w:t>
            </w:r>
            <w:r w:rsidR="006E3316" w:rsidRPr="00D34003">
              <w:rPr>
                <w:rFonts w:ascii="Arial Narrow" w:hAnsi="Arial Narrow"/>
                <w:sz w:val="20"/>
                <w:szCs w:val="20"/>
              </w:rPr>
              <w:t xml:space="preserve"> for both OS and PFS in the model</w:t>
            </w:r>
            <w:r w:rsidRPr="00D34003">
              <w:rPr>
                <w:rFonts w:ascii="Arial Narrow" w:hAnsi="Arial Narrow"/>
                <w:sz w:val="20"/>
                <w:szCs w:val="20"/>
              </w:rPr>
              <w:t xml:space="preserve"> was very early. </w:t>
            </w:r>
            <w:r w:rsidR="00F471F5" w:rsidRPr="00D34003">
              <w:rPr>
                <w:rFonts w:ascii="Arial Narrow" w:hAnsi="Arial Narrow"/>
                <w:sz w:val="20"/>
                <w:szCs w:val="20"/>
              </w:rPr>
              <w:t xml:space="preserve">The </w:t>
            </w:r>
            <w:r w:rsidRPr="00D34003">
              <w:rPr>
                <w:rFonts w:ascii="Arial Narrow" w:hAnsi="Arial Narrow"/>
                <w:sz w:val="20"/>
                <w:szCs w:val="20"/>
              </w:rPr>
              <w:t xml:space="preserve">PBAC </w:t>
            </w:r>
            <w:r w:rsidR="00817A17" w:rsidRPr="00D34003">
              <w:rPr>
                <w:rFonts w:ascii="Arial Narrow" w:hAnsi="Arial Narrow"/>
                <w:sz w:val="20"/>
                <w:szCs w:val="20"/>
              </w:rPr>
              <w:t xml:space="preserve">requested the </w:t>
            </w:r>
            <w:r w:rsidR="00092B3E" w:rsidRPr="00D34003">
              <w:rPr>
                <w:rFonts w:ascii="Arial Narrow" w:hAnsi="Arial Narrow"/>
                <w:sz w:val="20"/>
                <w:szCs w:val="20"/>
              </w:rPr>
              <w:t xml:space="preserve">use </w:t>
            </w:r>
            <w:r w:rsidR="00817A17" w:rsidRPr="00D34003">
              <w:rPr>
                <w:rFonts w:ascii="Arial Narrow" w:hAnsi="Arial Narrow"/>
                <w:sz w:val="20"/>
                <w:szCs w:val="20"/>
              </w:rPr>
              <w:t xml:space="preserve">of </w:t>
            </w:r>
            <w:r w:rsidR="00092B3E" w:rsidRPr="00D34003">
              <w:rPr>
                <w:rFonts w:ascii="Arial Narrow" w:hAnsi="Arial Narrow"/>
                <w:sz w:val="20"/>
                <w:szCs w:val="20"/>
              </w:rPr>
              <w:t>observed K</w:t>
            </w:r>
            <w:r w:rsidR="00817A17" w:rsidRPr="00D34003">
              <w:rPr>
                <w:rFonts w:ascii="Arial Narrow" w:hAnsi="Arial Narrow"/>
                <w:sz w:val="20"/>
                <w:szCs w:val="20"/>
              </w:rPr>
              <w:t>aplan-</w:t>
            </w:r>
            <w:r w:rsidR="00092B3E" w:rsidRPr="00D34003">
              <w:rPr>
                <w:rFonts w:ascii="Arial Narrow" w:hAnsi="Arial Narrow"/>
                <w:sz w:val="20"/>
                <w:szCs w:val="20"/>
              </w:rPr>
              <w:t>M</w:t>
            </w:r>
            <w:r w:rsidR="00817A17" w:rsidRPr="00D34003">
              <w:rPr>
                <w:rFonts w:ascii="Arial Narrow" w:hAnsi="Arial Narrow"/>
                <w:sz w:val="20"/>
                <w:szCs w:val="20"/>
              </w:rPr>
              <w:t>eier</w:t>
            </w:r>
            <w:r w:rsidR="00092B3E" w:rsidRPr="00D34003">
              <w:rPr>
                <w:rFonts w:ascii="Arial Narrow" w:hAnsi="Arial Narrow"/>
                <w:sz w:val="20"/>
                <w:szCs w:val="20"/>
              </w:rPr>
              <w:t xml:space="preserve"> data in the model up to the median duration of follow-up</w:t>
            </w:r>
            <w:r w:rsidRPr="00D34003">
              <w:rPr>
                <w:rFonts w:ascii="Arial Narrow" w:hAnsi="Arial Narrow"/>
                <w:sz w:val="20"/>
                <w:szCs w:val="20"/>
              </w:rPr>
              <w:t>. (pembrolizumab PSD, Nov 2017 point 7.10)</w:t>
            </w:r>
          </w:p>
        </w:tc>
        <w:tc>
          <w:tcPr>
            <w:tcW w:w="2110" w:type="pct"/>
          </w:tcPr>
          <w:p w:rsidR="005A3E35" w:rsidRPr="00D34003" w:rsidRDefault="00F27029" w:rsidP="0046186B">
            <w:pPr>
              <w:widowControl/>
              <w:jc w:val="left"/>
              <w:rPr>
                <w:rFonts w:ascii="Arial Narrow" w:hAnsi="Arial Narrow"/>
                <w:sz w:val="20"/>
                <w:szCs w:val="20"/>
              </w:rPr>
            </w:pPr>
            <w:r w:rsidRPr="00D34003">
              <w:rPr>
                <w:rFonts w:ascii="Arial Narrow" w:hAnsi="Arial Narrow"/>
                <w:sz w:val="20"/>
                <w:szCs w:val="20"/>
              </w:rPr>
              <w:t xml:space="preserve">Addressed by using the observed Kaplan-Meier results in the model up to the median duration of follow-up (27.7 months) for both OS and PFS. </w:t>
            </w:r>
          </w:p>
        </w:tc>
      </w:tr>
      <w:tr w:rsidR="0040569D" w:rsidRPr="00D34003" w:rsidTr="004E6A3A">
        <w:tc>
          <w:tcPr>
            <w:tcW w:w="902" w:type="pct"/>
          </w:tcPr>
          <w:p w:rsidR="005A3E35" w:rsidRPr="00D34003" w:rsidRDefault="00884D96" w:rsidP="0046186B">
            <w:pPr>
              <w:widowControl/>
              <w:jc w:val="left"/>
              <w:rPr>
                <w:rFonts w:ascii="Arial Narrow" w:hAnsi="Arial Narrow"/>
                <w:sz w:val="20"/>
                <w:szCs w:val="20"/>
              </w:rPr>
            </w:pPr>
            <w:r w:rsidRPr="00D34003">
              <w:rPr>
                <w:rFonts w:ascii="Arial Narrow" w:hAnsi="Arial Narrow"/>
                <w:sz w:val="20"/>
                <w:szCs w:val="20"/>
              </w:rPr>
              <w:t>Use of KM data for extrapolation</w:t>
            </w:r>
          </w:p>
        </w:tc>
        <w:tc>
          <w:tcPr>
            <w:tcW w:w="1987" w:type="pct"/>
          </w:tcPr>
          <w:p w:rsidR="005A3E35" w:rsidRPr="00D34003" w:rsidRDefault="006E3316" w:rsidP="0046186B">
            <w:pPr>
              <w:widowControl/>
              <w:jc w:val="left"/>
              <w:rPr>
                <w:rFonts w:ascii="Arial Narrow" w:hAnsi="Arial Narrow"/>
                <w:sz w:val="20"/>
                <w:szCs w:val="20"/>
              </w:rPr>
            </w:pPr>
            <w:r w:rsidRPr="00D34003">
              <w:rPr>
                <w:rFonts w:ascii="Arial Narrow" w:hAnsi="Arial Narrow"/>
                <w:sz w:val="20"/>
                <w:szCs w:val="20"/>
              </w:rPr>
              <w:t>The approach</w:t>
            </w:r>
            <w:r w:rsidR="00742C98" w:rsidRPr="00D34003">
              <w:rPr>
                <w:rFonts w:ascii="Arial Narrow" w:hAnsi="Arial Narrow"/>
                <w:sz w:val="20"/>
                <w:szCs w:val="20"/>
              </w:rPr>
              <w:t xml:space="preserve"> of excluding early K</w:t>
            </w:r>
            <w:r w:rsidR="00817A17" w:rsidRPr="00D34003">
              <w:rPr>
                <w:rFonts w:ascii="Arial Narrow" w:hAnsi="Arial Narrow"/>
                <w:sz w:val="20"/>
                <w:szCs w:val="20"/>
              </w:rPr>
              <w:t>aplan-</w:t>
            </w:r>
            <w:r w:rsidR="00742C98" w:rsidRPr="00D34003">
              <w:rPr>
                <w:rFonts w:ascii="Arial Narrow" w:hAnsi="Arial Narrow"/>
                <w:sz w:val="20"/>
                <w:szCs w:val="20"/>
              </w:rPr>
              <w:t>M</w:t>
            </w:r>
            <w:r w:rsidR="00817A17" w:rsidRPr="00D34003">
              <w:rPr>
                <w:rFonts w:ascii="Arial Narrow" w:hAnsi="Arial Narrow"/>
                <w:sz w:val="20"/>
                <w:szCs w:val="20"/>
              </w:rPr>
              <w:t>eier data from</w:t>
            </w:r>
            <w:r w:rsidRPr="00D34003">
              <w:rPr>
                <w:rFonts w:ascii="Arial Narrow" w:hAnsi="Arial Narrow"/>
                <w:sz w:val="20"/>
                <w:szCs w:val="20"/>
              </w:rPr>
              <w:t xml:space="preserve"> </w:t>
            </w:r>
            <w:r w:rsidR="00817A17" w:rsidRPr="00D34003">
              <w:rPr>
                <w:rFonts w:ascii="Arial Narrow" w:hAnsi="Arial Narrow"/>
                <w:sz w:val="20"/>
                <w:szCs w:val="20"/>
              </w:rPr>
              <w:t>the estimation of</w:t>
            </w:r>
            <w:r w:rsidRPr="00D34003">
              <w:rPr>
                <w:rFonts w:ascii="Arial Narrow" w:hAnsi="Arial Narrow"/>
                <w:sz w:val="20"/>
                <w:szCs w:val="20"/>
              </w:rPr>
              <w:t xml:space="preserve"> the extrapolation functions from the assessment of the goodness of fit was inappropriate. The PBAC </w:t>
            </w:r>
            <w:r w:rsidR="00817A17" w:rsidRPr="00D34003">
              <w:rPr>
                <w:rFonts w:ascii="Arial Narrow" w:hAnsi="Arial Narrow"/>
                <w:sz w:val="20"/>
                <w:szCs w:val="20"/>
              </w:rPr>
              <w:t>requested</w:t>
            </w:r>
            <w:r w:rsidRPr="00D34003">
              <w:rPr>
                <w:rFonts w:ascii="Arial Narrow" w:hAnsi="Arial Narrow"/>
                <w:sz w:val="20"/>
                <w:szCs w:val="20"/>
              </w:rPr>
              <w:t xml:space="preserve"> that the model</w:t>
            </w:r>
            <w:r w:rsidR="00742C98" w:rsidRPr="00D34003">
              <w:rPr>
                <w:rFonts w:ascii="Arial Narrow" w:hAnsi="Arial Narrow"/>
                <w:sz w:val="20"/>
                <w:szCs w:val="20"/>
              </w:rPr>
              <w:t xml:space="preserve"> </w:t>
            </w:r>
            <w:r w:rsidR="00817A17" w:rsidRPr="00D34003">
              <w:rPr>
                <w:rFonts w:ascii="Arial Narrow" w:hAnsi="Arial Narrow"/>
                <w:sz w:val="20"/>
                <w:szCs w:val="20"/>
              </w:rPr>
              <w:t xml:space="preserve">development </w:t>
            </w:r>
            <w:r w:rsidR="00742C98" w:rsidRPr="00D34003">
              <w:rPr>
                <w:rFonts w:ascii="Arial Narrow" w:hAnsi="Arial Narrow"/>
                <w:sz w:val="20"/>
                <w:szCs w:val="20"/>
              </w:rPr>
              <w:t>use all the K</w:t>
            </w:r>
            <w:r w:rsidR="00817A17" w:rsidRPr="00D34003">
              <w:rPr>
                <w:rFonts w:ascii="Arial Narrow" w:hAnsi="Arial Narrow"/>
                <w:sz w:val="20"/>
                <w:szCs w:val="20"/>
              </w:rPr>
              <w:t>aplan-</w:t>
            </w:r>
            <w:r w:rsidR="00742C98" w:rsidRPr="00D34003">
              <w:rPr>
                <w:rFonts w:ascii="Arial Narrow" w:hAnsi="Arial Narrow"/>
                <w:sz w:val="20"/>
                <w:szCs w:val="20"/>
              </w:rPr>
              <w:t>M</w:t>
            </w:r>
            <w:r w:rsidR="00817A17" w:rsidRPr="00D34003">
              <w:rPr>
                <w:rFonts w:ascii="Arial Narrow" w:hAnsi="Arial Narrow"/>
                <w:sz w:val="20"/>
                <w:szCs w:val="20"/>
              </w:rPr>
              <w:t>eier</w:t>
            </w:r>
            <w:r w:rsidRPr="00D34003">
              <w:rPr>
                <w:rFonts w:ascii="Arial Narrow" w:hAnsi="Arial Narrow"/>
                <w:sz w:val="20"/>
                <w:szCs w:val="20"/>
              </w:rPr>
              <w:t xml:space="preserve"> </w:t>
            </w:r>
            <w:r w:rsidR="00817A17" w:rsidRPr="00D34003">
              <w:rPr>
                <w:rFonts w:ascii="Arial Narrow" w:hAnsi="Arial Narrow"/>
                <w:sz w:val="20"/>
                <w:szCs w:val="20"/>
              </w:rPr>
              <w:t>data</w:t>
            </w:r>
            <w:r w:rsidRPr="00D34003">
              <w:rPr>
                <w:rFonts w:ascii="Arial Narrow" w:hAnsi="Arial Narrow"/>
                <w:sz w:val="20"/>
                <w:szCs w:val="20"/>
              </w:rPr>
              <w:t xml:space="preserve"> at least up to the median follow-up </w:t>
            </w:r>
            <w:r w:rsidR="0001533C" w:rsidRPr="00D34003">
              <w:rPr>
                <w:rFonts w:ascii="Arial Narrow" w:hAnsi="Arial Narrow"/>
                <w:sz w:val="20"/>
                <w:szCs w:val="20"/>
              </w:rPr>
              <w:t xml:space="preserve">to inform the extrapolation </w:t>
            </w:r>
            <w:r w:rsidRPr="00D34003">
              <w:rPr>
                <w:rFonts w:ascii="Arial Narrow" w:hAnsi="Arial Narrow"/>
                <w:sz w:val="20"/>
                <w:szCs w:val="20"/>
              </w:rPr>
              <w:t>functions.</w:t>
            </w:r>
            <w:r w:rsidR="0001533C" w:rsidRPr="00D34003">
              <w:rPr>
                <w:rFonts w:ascii="Arial Narrow" w:hAnsi="Arial Narrow"/>
                <w:sz w:val="20"/>
                <w:szCs w:val="20"/>
              </w:rPr>
              <w:t xml:space="preserve"> (pembrolizumab PSD, Nov 2017 point 7.10)</w:t>
            </w:r>
          </w:p>
        </w:tc>
        <w:tc>
          <w:tcPr>
            <w:tcW w:w="2110" w:type="pct"/>
          </w:tcPr>
          <w:p w:rsidR="005A3E35" w:rsidRPr="00D34003" w:rsidRDefault="00817A17" w:rsidP="0046186B">
            <w:pPr>
              <w:widowControl/>
              <w:jc w:val="left"/>
              <w:rPr>
                <w:rFonts w:ascii="Arial Narrow" w:hAnsi="Arial Narrow"/>
                <w:sz w:val="20"/>
                <w:szCs w:val="20"/>
              </w:rPr>
            </w:pPr>
            <w:r w:rsidRPr="00D34003">
              <w:rPr>
                <w:rFonts w:ascii="Arial Narrow" w:hAnsi="Arial Narrow"/>
                <w:sz w:val="20"/>
                <w:szCs w:val="20"/>
              </w:rPr>
              <w:t xml:space="preserve">Partially </w:t>
            </w:r>
            <w:r w:rsidR="004E2B9D" w:rsidRPr="00D34003">
              <w:rPr>
                <w:rFonts w:ascii="Arial Narrow" w:hAnsi="Arial Narrow"/>
                <w:sz w:val="20"/>
                <w:szCs w:val="20"/>
              </w:rPr>
              <w:t>addressed. While the resubmission use</w:t>
            </w:r>
            <w:r w:rsidR="00626F4C" w:rsidRPr="00D34003">
              <w:rPr>
                <w:rFonts w:ascii="Arial Narrow" w:hAnsi="Arial Narrow"/>
                <w:sz w:val="20"/>
                <w:szCs w:val="20"/>
              </w:rPr>
              <w:t>d</w:t>
            </w:r>
            <w:r w:rsidR="004E2B9D" w:rsidRPr="00D34003">
              <w:rPr>
                <w:rFonts w:ascii="Arial Narrow" w:hAnsi="Arial Narrow"/>
                <w:sz w:val="20"/>
                <w:szCs w:val="20"/>
              </w:rPr>
              <w:t xml:space="preserve"> </w:t>
            </w:r>
            <w:r w:rsidRPr="00D34003">
              <w:rPr>
                <w:rFonts w:ascii="Arial Narrow" w:hAnsi="Arial Narrow"/>
                <w:sz w:val="20"/>
                <w:szCs w:val="20"/>
              </w:rPr>
              <w:t xml:space="preserve">all the Kaplan-Meier </w:t>
            </w:r>
            <w:r w:rsidR="004E2B9D" w:rsidRPr="00D34003">
              <w:rPr>
                <w:rFonts w:ascii="Arial Narrow" w:hAnsi="Arial Narrow"/>
                <w:sz w:val="20"/>
                <w:szCs w:val="20"/>
              </w:rPr>
              <w:t xml:space="preserve">data to inform </w:t>
            </w:r>
            <w:r w:rsidRPr="00D34003">
              <w:rPr>
                <w:rFonts w:ascii="Arial Narrow" w:hAnsi="Arial Narrow"/>
                <w:sz w:val="20"/>
                <w:szCs w:val="20"/>
              </w:rPr>
              <w:t xml:space="preserve">the </w:t>
            </w:r>
            <w:r w:rsidR="004E2B9D" w:rsidRPr="00D34003">
              <w:rPr>
                <w:rFonts w:ascii="Arial Narrow" w:hAnsi="Arial Narrow"/>
                <w:sz w:val="20"/>
                <w:szCs w:val="20"/>
              </w:rPr>
              <w:t xml:space="preserve">extrapolation function for OS, it excluded </w:t>
            </w:r>
            <w:r w:rsidRPr="00D34003">
              <w:rPr>
                <w:rFonts w:ascii="Arial Narrow" w:hAnsi="Arial Narrow"/>
                <w:sz w:val="20"/>
                <w:szCs w:val="20"/>
              </w:rPr>
              <w:t xml:space="preserve">the </w:t>
            </w:r>
            <w:r w:rsidR="004E2B9D" w:rsidRPr="00D34003">
              <w:rPr>
                <w:rFonts w:ascii="Arial Narrow" w:hAnsi="Arial Narrow"/>
                <w:sz w:val="20"/>
                <w:szCs w:val="20"/>
              </w:rPr>
              <w:t xml:space="preserve">first 9 weeks </w:t>
            </w:r>
            <w:r w:rsidRPr="00D34003">
              <w:rPr>
                <w:rFonts w:ascii="Arial Narrow" w:hAnsi="Arial Narrow"/>
                <w:sz w:val="20"/>
                <w:szCs w:val="20"/>
              </w:rPr>
              <w:t xml:space="preserve">of </w:t>
            </w:r>
            <w:r w:rsidR="004E2B9D" w:rsidRPr="00D34003">
              <w:rPr>
                <w:rFonts w:ascii="Arial Narrow" w:hAnsi="Arial Narrow"/>
                <w:sz w:val="20"/>
                <w:szCs w:val="20"/>
              </w:rPr>
              <w:t xml:space="preserve">data from </w:t>
            </w:r>
            <w:r w:rsidRPr="00D34003">
              <w:rPr>
                <w:rFonts w:ascii="Arial Narrow" w:hAnsi="Arial Narrow"/>
                <w:sz w:val="20"/>
                <w:szCs w:val="20"/>
              </w:rPr>
              <w:t>the development of the</w:t>
            </w:r>
            <w:r w:rsidR="004E2B9D" w:rsidRPr="00D34003">
              <w:rPr>
                <w:rFonts w:ascii="Arial Narrow" w:hAnsi="Arial Narrow"/>
                <w:sz w:val="20"/>
                <w:szCs w:val="20"/>
              </w:rPr>
              <w:t xml:space="preserve"> extrapolat</w:t>
            </w:r>
            <w:r w:rsidRPr="00D34003">
              <w:rPr>
                <w:rFonts w:ascii="Arial Narrow" w:hAnsi="Arial Narrow"/>
                <w:sz w:val="20"/>
                <w:szCs w:val="20"/>
              </w:rPr>
              <w:t xml:space="preserve">ion curves for </w:t>
            </w:r>
            <w:r w:rsidR="004E2B9D" w:rsidRPr="00D34003">
              <w:rPr>
                <w:rFonts w:ascii="Arial Narrow" w:hAnsi="Arial Narrow"/>
                <w:sz w:val="20"/>
                <w:szCs w:val="20"/>
              </w:rPr>
              <w:t>PFS</w:t>
            </w:r>
            <w:r w:rsidRPr="00D34003">
              <w:rPr>
                <w:rFonts w:ascii="Arial Narrow" w:hAnsi="Arial Narrow"/>
                <w:sz w:val="20"/>
                <w:szCs w:val="20"/>
              </w:rPr>
              <w:t>.</w:t>
            </w:r>
            <w:r w:rsidR="004E2B9D" w:rsidRPr="00D34003">
              <w:rPr>
                <w:rFonts w:ascii="Arial Narrow" w:hAnsi="Arial Narrow"/>
                <w:sz w:val="20"/>
                <w:szCs w:val="20"/>
              </w:rPr>
              <w:t xml:space="preserve"> </w:t>
            </w:r>
            <w:r w:rsidR="00746225" w:rsidRPr="00D34003">
              <w:rPr>
                <w:rFonts w:ascii="Arial Narrow" w:hAnsi="Arial Narrow"/>
                <w:sz w:val="20"/>
                <w:szCs w:val="20"/>
              </w:rPr>
              <w:t>The</w:t>
            </w:r>
            <w:r w:rsidRPr="00D34003">
              <w:rPr>
                <w:rFonts w:ascii="Arial Narrow" w:hAnsi="Arial Narrow"/>
                <w:sz w:val="20"/>
                <w:szCs w:val="20"/>
              </w:rPr>
              <w:t xml:space="preserve"> resubmission does not justify its approach. The resulting ICER was not sensitive to variations in PFS. </w:t>
            </w:r>
          </w:p>
        </w:tc>
      </w:tr>
      <w:tr w:rsidR="0040569D" w:rsidRPr="00D34003" w:rsidTr="004E6A3A">
        <w:tc>
          <w:tcPr>
            <w:tcW w:w="902" w:type="pct"/>
          </w:tcPr>
          <w:p w:rsidR="005A3E35" w:rsidRPr="00D34003" w:rsidRDefault="00F471F5" w:rsidP="0046186B">
            <w:pPr>
              <w:widowControl/>
              <w:jc w:val="left"/>
              <w:rPr>
                <w:rFonts w:ascii="Arial Narrow" w:hAnsi="Arial Narrow"/>
                <w:sz w:val="20"/>
                <w:szCs w:val="20"/>
              </w:rPr>
            </w:pPr>
            <w:r w:rsidRPr="00D34003">
              <w:rPr>
                <w:rFonts w:ascii="Arial Narrow" w:hAnsi="Arial Narrow"/>
                <w:sz w:val="20"/>
                <w:szCs w:val="20"/>
              </w:rPr>
              <w:t xml:space="preserve">Different extrapolation </w:t>
            </w:r>
            <w:r w:rsidR="00D41BAC" w:rsidRPr="00D34003">
              <w:rPr>
                <w:rFonts w:ascii="Arial Narrow" w:hAnsi="Arial Narrow"/>
                <w:sz w:val="20"/>
                <w:szCs w:val="20"/>
              </w:rPr>
              <w:t xml:space="preserve">distribution, and </w:t>
            </w:r>
            <w:r w:rsidR="00EA2A6D" w:rsidRPr="00D34003">
              <w:rPr>
                <w:rFonts w:ascii="Arial Narrow" w:hAnsi="Arial Narrow"/>
                <w:sz w:val="20"/>
                <w:szCs w:val="20"/>
              </w:rPr>
              <w:t>conservative extrapolation</w:t>
            </w:r>
          </w:p>
        </w:tc>
        <w:tc>
          <w:tcPr>
            <w:tcW w:w="1987" w:type="pct"/>
          </w:tcPr>
          <w:p w:rsidR="005A3E35" w:rsidRPr="00D34003" w:rsidRDefault="00817A17" w:rsidP="0046186B">
            <w:pPr>
              <w:widowControl/>
              <w:jc w:val="left"/>
              <w:rPr>
                <w:rFonts w:ascii="Arial Narrow" w:hAnsi="Arial Narrow"/>
                <w:sz w:val="20"/>
                <w:szCs w:val="20"/>
              </w:rPr>
            </w:pPr>
            <w:r w:rsidRPr="00D34003">
              <w:rPr>
                <w:rFonts w:ascii="Arial Narrow" w:hAnsi="Arial Narrow"/>
                <w:sz w:val="20"/>
                <w:szCs w:val="20"/>
              </w:rPr>
              <w:t>The model applied d</w:t>
            </w:r>
            <w:r w:rsidR="00F471F5" w:rsidRPr="00D34003">
              <w:rPr>
                <w:rFonts w:ascii="Arial Narrow" w:hAnsi="Arial Narrow"/>
                <w:sz w:val="20"/>
                <w:szCs w:val="20"/>
              </w:rPr>
              <w:t>ifferent parametric distributions betwe</w:t>
            </w:r>
            <w:r w:rsidR="00EA2A6D" w:rsidRPr="00D34003">
              <w:rPr>
                <w:rFonts w:ascii="Arial Narrow" w:hAnsi="Arial Narrow"/>
                <w:sz w:val="20"/>
                <w:szCs w:val="20"/>
              </w:rPr>
              <w:t xml:space="preserve">en arms </w:t>
            </w:r>
            <w:r w:rsidRPr="00D34003">
              <w:rPr>
                <w:rFonts w:ascii="Arial Narrow" w:hAnsi="Arial Narrow"/>
                <w:sz w:val="20"/>
                <w:szCs w:val="20"/>
              </w:rPr>
              <w:t xml:space="preserve">to the same outcomes. </w:t>
            </w:r>
            <w:r w:rsidR="00F471F5" w:rsidRPr="00D34003">
              <w:rPr>
                <w:rFonts w:ascii="Arial Narrow" w:hAnsi="Arial Narrow"/>
                <w:sz w:val="20"/>
                <w:szCs w:val="20"/>
              </w:rPr>
              <w:t xml:space="preserve">The PBAC </w:t>
            </w:r>
            <w:r w:rsidRPr="00D34003">
              <w:rPr>
                <w:rFonts w:ascii="Arial Narrow" w:hAnsi="Arial Narrow"/>
                <w:sz w:val="20"/>
                <w:szCs w:val="20"/>
              </w:rPr>
              <w:t>requested</w:t>
            </w:r>
            <w:r w:rsidR="00F471F5" w:rsidRPr="00D34003">
              <w:rPr>
                <w:rFonts w:ascii="Arial Narrow" w:hAnsi="Arial Narrow"/>
                <w:sz w:val="20"/>
                <w:szCs w:val="20"/>
              </w:rPr>
              <w:t xml:space="preserve"> </w:t>
            </w:r>
            <w:r w:rsidRPr="00D34003">
              <w:rPr>
                <w:rFonts w:ascii="Arial Narrow" w:hAnsi="Arial Narrow"/>
                <w:sz w:val="20"/>
                <w:szCs w:val="20"/>
              </w:rPr>
              <w:t xml:space="preserve">that </w:t>
            </w:r>
            <w:r w:rsidR="00F471F5" w:rsidRPr="00D34003">
              <w:rPr>
                <w:rFonts w:ascii="Arial Narrow" w:hAnsi="Arial Narrow"/>
                <w:sz w:val="20"/>
                <w:szCs w:val="20"/>
              </w:rPr>
              <w:t>the same extrapolation distribution be</w:t>
            </w:r>
            <w:r w:rsidRPr="00D34003">
              <w:rPr>
                <w:rFonts w:ascii="Arial Narrow" w:hAnsi="Arial Narrow"/>
                <w:sz w:val="20"/>
                <w:szCs w:val="20"/>
              </w:rPr>
              <w:t xml:space="preserve"> applied across </w:t>
            </w:r>
            <w:r w:rsidR="00F471F5" w:rsidRPr="00D34003">
              <w:rPr>
                <w:rFonts w:ascii="Arial Narrow" w:hAnsi="Arial Narrow"/>
                <w:sz w:val="20"/>
                <w:szCs w:val="20"/>
              </w:rPr>
              <w:t>treatment arms for both PFS and OS.</w:t>
            </w:r>
          </w:p>
          <w:p w:rsidR="00323BFA" w:rsidRPr="00D34003" w:rsidRDefault="00323BFA" w:rsidP="0046186B">
            <w:pPr>
              <w:widowControl/>
              <w:jc w:val="left"/>
              <w:rPr>
                <w:rFonts w:ascii="Arial Narrow" w:hAnsi="Arial Narrow"/>
                <w:sz w:val="20"/>
                <w:szCs w:val="20"/>
              </w:rPr>
            </w:pPr>
          </w:p>
          <w:p w:rsidR="00323BFA" w:rsidRPr="00D34003" w:rsidRDefault="00817A17" w:rsidP="0046186B">
            <w:pPr>
              <w:widowControl/>
              <w:jc w:val="left"/>
              <w:rPr>
                <w:rFonts w:ascii="Arial Narrow" w:hAnsi="Arial Narrow"/>
                <w:sz w:val="20"/>
                <w:szCs w:val="20"/>
              </w:rPr>
            </w:pPr>
            <w:r w:rsidRPr="00D34003">
              <w:rPr>
                <w:rFonts w:ascii="Arial Narrow" w:hAnsi="Arial Narrow"/>
                <w:sz w:val="20"/>
                <w:szCs w:val="20"/>
              </w:rPr>
              <w:t>The PBAC a</w:t>
            </w:r>
            <w:r w:rsidR="00EA2A6D" w:rsidRPr="00D34003">
              <w:rPr>
                <w:rFonts w:ascii="Arial Narrow" w:hAnsi="Arial Narrow"/>
                <w:sz w:val="20"/>
                <w:szCs w:val="20"/>
              </w:rPr>
              <w:t>lso</w:t>
            </w:r>
            <w:r w:rsidRPr="00D34003">
              <w:rPr>
                <w:rFonts w:ascii="Arial Narrow" w:hAnsi="Arial Narrow"/>
                <w:sz w:val="20"/>
                <w:szCs w:val="20"/>
              </w:rPr>
              <w:t xml:space="preserve"> requested that </w:t>
            </w:r>
            <w:r w:rsidR="00323BFA" w:rsidRPr="00D34003">
              <w:rPr>
                <w:rFonts w:ascii="Arial Narrow" w:hAnsi="Arial Narrow"/>
                <w:sz w:val="20"/>
                <w:szCs w:val="20"/>
              </w:rPr>
              <w:t xml:space="preserve">a conservative set of extrapolation curves </w:t>
            </w:r>
            <w:r w:rsidRPr="00D34003">
              <w:rPr>
                <w:rFonts w:ascii="Arial Narrow" w:hAnsi="Arial Narrow"/>
                <w:sz w:val="20"/>
                <w:szCs w:val="20"/>
              </w:rPr>
              <w:t xml:space="preserve">be applied due to modest follow-up post </w:t>
            </w:r>
            <w:r w:rsidR="00323BFA" w:rsidRPr="00D34003">
              <w:rPr>
                <w:rFonts w:ascii="Arial Narrow" w:hAnsi="Arial Narrow"/>
                <w:sz w:val="20"/>
                <w:szCs w:val="20"/>
              </w:rPr>
              <w:t>median duration of follow-up (that take into account the remaining uncertainty in the magnitude of PFS and OS benefit)</w:t>
            </w:r>
            <w:r w:rsidRPr="00D34003">
              <w:rPr>
                <w:rFonts w:ascii="Arial Narrow" w:hAnsi="Arial Narrow"/>
                <w:sz w:val="20"/>
                <w:szCs w:val="20"/>
              </w:rPr>
              <w:t xml:space="preserve"> </w:t>
            </w:r>
            <w:r w:rsidR="00323BFA" w:rsidRPr="00D34003">
              <w:rPr>
                <w:rFonts w:ascii="Arial Narrow" w:hAnsi="Arial Narrow"/>
                <w:sz w:val="20"/>
                <w:szCs w:val="20"/>
              </w:rPr>
              <w:t>(pembrolizumab PSD, Nov 2017 point 7.10)</w:t>
            </w:r>
            <w:r w:rsidRPr="00D34003">
              <w:rPr>
                <w:rFonts w:ascii="Arial Narrow" w:hAnsi="Arial Narrow"/>
                <w:sz w:val="20"/>
                <w:szCs w:val="20"/>
              </w:rPr>
              <w:t xml:space="preserve">. </w:t>
            </w:r>
          </w:p>
        </w:tc>
        <w:tc>
          <w:tcPr>
            <w:tcW w:w="2110" w:type="pct"/>
          </w:tcPr>
          <w:p w:rsidR="005A3E35" w:rsidRPr="00D34003" w:rsidRDefault="003E2E18" w:rsidP="0046186B">
            <w:pPr>
              <w:widowControl/>
              <w:jc w:val="left"/>
              <w:rPr>
                <w:rFonts w:ascii="Arial Narrow" w:hAnsi="Arial Narrow"/>
                <w:sz w:val="20"/>
                <w:szCs w:val="20"/>
              </w:rPr>
            </w:pPr>
            <w:r w:rsidRPr="00D34003">
              <w:rPr>
                <w:rFonts w:ascii="Arial Narrow" w:hAnsi="Arial Narrow"/>
                <w:sz w:val="20"/>
                <w:szCs w:val="20"/>
              </w:rPr>
              <w:t xml:space="preserve">Not addressed. </w:t>
            </w:r>
            <w:r w:rsidR="00A77C4E" w:rsidRPr="00D34003">
              <w:rPr>
                <w:rFonts w:ascii="Arial Narrow" w:hAnsi="Arial Narrow"/>
                <w:sz w:val="20"/>
                <w:szCs w:val="20"/>
              </w:rPr>
              <w:t xml:space="preserve">The resubmission </w:t>
            </w:r>
            <w:r w:rsidR="00817A17" w:rsidRPr="00D34003">
              <w:rPr>
                <w:rFonts w:ascii="Arial Narrow" w:hAnsi="Arial Narrow"/>
                <w:sz w:val="20"/>
                <w:szCs w:val="20"/>
              </w:rPr>
              <w:t xml:space="preserve">applied </w:t>
            </w:r>
            <w:r w:rsidR="00A77C4E" w:rsidRPr="00D34003">
              <w:rPr>
                <w:rFonts w:ascii="Arial Narrow" w:hAnsi="Arial Narrow"/>
                <w:sz w:val="20"/>
                <w:szCs w:val="20"/>
              </w:rPr>
              <w:t>different extrapolation distribution</w:t>
            </w:r>
            <w:r w:rsidR="00817A17" w:rsidRPr="00D34003">
              <w:rPr>
                <w:rFonts w:ascii="Arial Narrow" w:hAnsi="Arial Narrow"/>
                <w:sz w:val="20"/>
                <w:szCs w:val="20"/>
              </w:rPr>
              <w:t>s</w:t>
            </w:r>
            <w:r w:rsidR="00A77C4E" w:rsidRPr="00D34003">
              <w:rPr>
                <w:rFonts w:ascii="Arial Narrow" w:hAnsi="Arial Narrow"/>
                <w:sz w:val="20"/>
                <w:szCs w:val="20"/>
              </w:rPr>
              <w:t xml:space="preserve"> </w:t>
            </w:r>
            <w:r w:rsidR="00817A17" w:rsidRPr="00D34003">
              <w:rPr>
                <w:rFonts w:ascii="Arial Narrow" w:hAnsi="Arial Narrow"/>
                <w:sz w:val="20"/>
                <w:szCs w:val="20"/>
              </w:rPr>
              <w:t>across outcomes on the basis of information criteria (</w:t>
            </w:r>
            <w:r w:rsidR="00A77C4E" w:rsidRPr="00D34003">
              <w:rPr>
                <w:rFonts w:ascii="Arial Narrow" w:hAnsi="Arial Narrow"/>
                <w:sz w:val="20"/>
                <w:szCs w:val="20"/>
              </w:rPr>
              <w:t>AIC/BI</w:t>
            </w:r>
            <w:r w:rsidR="00817A17" w:rsidRPr="00D34003">
              <w:rPr>
                <w:rFonts w:ascii="Arial Narrow" w:hAnsi="Arial Narrow"/>
                <w:sz w:val="20"/>
                <w:szCs w:val="20"/>
              </w:rPr>
              <w:t>C)</w:t>
            </w:r>
            <w:r w:rsidR="00A77C4E" w:rsidRPr="00D34003">
              <w:rPr>
                <w:rFonts w:ascii="Arial Narrow" w:hAnsi="Arial Narrow"/>
                <w:sz w:val="20"/>
                <w:szCs w:val="20"/>
              </w:rPr>
              <w:t xml:space="preserve"> and face valid</w:t>
            </w:r>
            <w:r w:rsidR="00817A17" w:rsidRPr="00D34003">
              <w:rPr>
                <w:rFonts w:ascii="Arial Narrow" w:hAnsi="Arial Narrow"/>
                <w:sz w:val="20"/>
                <w:szCs w:val="20"/>
              </w:rPr>
              <w:t>ity.</w:t>
            </w:r>
            <w:r w:rsidR="00A77C4E" w:rsidRPr="00D34003">
              <w:rPr>
                <w:rFonts w:ascii="Arial Narrow" w:hAnsi="Arial Narrow"/>
                <w:sz w:val="20"/>
                <w:szCs w:val="20"/>
              </w:rPr>
              <w:t xml:space="preserve"> The resubmission </w:t>
            </w:r>
            <w:r w:rsidR="00817A17" w:rsidRPr="00D34003">
              <w:rPr>
                <w:rFonts w:ascii="Arial Narrow" w:hAnsi="Arial Narrow"/>
                <w:sz w:val="20"/>
                <w:szCs w:val="20"/>
              </w:rPr>
              <w:t xml:space="preserve">included a </w:t>
            </w:r>
            <w:r w:rsidR="00A77C4E" w:rsidRPr="00D34003">
              <w:rPr>
                <w:rFonts w:ascii="Arial Narrow" w:hAnsi="Arial Narrow"/>
                <w:sz w:val="20"/>
                <w:szCs w:val="20"/>
              </w:rPr>
              <w:t xml:space="preserve">sensitivity analysis that </w:t>
            </w:r>
            <w:r w:rsidR="00817A17" w:rsidRPr="00D34003">
              <w:rPr>
                <w:rFonts w:ascii="Arial Narrow" w:hAnsi="Arial Narrow"/>
                <w:sz w:val="20"/>
                <w:szCs w:val="20"/>
              </w:rPr>
              <w:t xml:space="preserve">showed the result was robust to this approach: </w:t>
            </w:r>
            <w:r w:rsidR="00A77C4E" w:rsidRPr="00D34003">
              <w:rPr>
                <w:rFonts w:ascii="Arial Narrow" w:hAnsi="Arial Narrow"/>
                <w:sz w:val="20"/>
                <w:szCs w:val="20"/>
              </w:rPr>
              <w:t>applying the same distribution result</w:t>
            </w:r>
            <w:r w:rsidR="00817A17" w:rsidRPr="00D34003">
              <w:rPr>
                <w:rFonts w:ascii="Arial Narrow" w:hAnsi="Arial Narrow"/>
                <w:sz w:val="20"/>
                <w:szCs w:val="20"/>
              </w:rPr>
              <w:t xml:space="preserve">ed </w:t>
            </w:r>
            <w:r w:rsidR="00A77C4E" w:rsidRPr="00D34003">
              <w:rPr>
                <w:rFonts w:ascii="Arial Narrow" w:hAnsi="Arial Narrow"/>
                <w:sz w:val="20"/>
                <w:szCs w:val="20"/>
              </w:rPr>
              <w:t xml:space="preserve">in the ICER </w:t>
            </w:r>
            <w:r w:rsidR="00817A17" w:rsidRPr="00D34003">
              <w:rPr>
                <w:rFonts w:ascii="Arial Narrow" w:hAnsi="Arial Narrow"/>
                <w:sz w:val="20"/>
                <w:szCs w:val="20"/>
              </w:rPr>
              <w:t xml:space="preserve">increasing </w:t>
            </w:r>
            <w:r w:rsidR="00A77C4E" w:rsidRPr="00D34003">
              <w:rPr>
                <w:rFonts w:ascii="Arial Narrow" w:hAnsi="Arial Narrow"/>
                <w:sz w:val="20"/>
                <w:szCs w:val="20"/>
              </w:rPr>
              <w:t>by 0.3%.</w:t>
            </w:r>
          </w:p>
        </w:tc>
      </w:tr>
      <w:tr w:rsidR="0040569D" w:rsidRPr="00D34003" w:rsidTr="004E6A3A">
        <w:tc>
          <w:tcPr>
            <w:tcW w:w="902" w:type="pct"/>
          </w:tcPr>
          <w:p w:rsidR="00D13C5C" w:rsidRPr="00D34003" w:rsidRDefault="00D41BAC" w:rsidP="0046186B">
            <w:pPr>
              <w:widowControl/>
              <w:jc w:val="left"/>
              <w:rPr>
                <w:rFonts w:ascii="Arial Narrow" w:hAnsi="Arial Narrow"/>
                <w:sz w:val="20"/>
                <w:szCs w:val="20"/>
              </w:rPr>
            </w:pPr>
            <w:r w:rsidRPr="00D34003">
              <w:rPr>
                <w:rFonts w:ascii="Arial Narrow" w:hAnsi="Arial Narrow"/>
                <w:sz w:val="20"/>
                <w:szCs w:val="20"/>
              </w:rPr>
              <w:t>C</w:t>
            </w:r>
            <w:r w:rsidR="00EF2223" w:rsidRPr="00D34003">
              <w:rPr>
                <w:rFonts w:ascii="Arial Narrow" w:hAnsi="Arial Narrow"/>
                <w:sz w:val="20"/>
                <w:szCs w:val="20"/>
              </w:rPr>
              <w:t>onverg</w:t>
            </w:r>
            <w:r w:rsidR="00FA1E58" w:rsidRPr="00D34003">
              <w:rPr>
                <w:rFonts w:ascii="Arial Narrow" w:hAnsi="Arial Narrow"/>
                <w:sz w:val="20"/>
                <w:szCs w:val="20"/>
              </w:rPr>
              <w:t>ing</w:t>
            </w:r>
            <w:r w:rsidR="00EF2223" w:rsidRPr="00D34003">
              <w:rPr>
                <w:rFonts w:ascii="Arial Narrow" w:hAnsi="Arial Narrow"/>
                <w:sz w:val="20"/>
                <w:szCs w:val="20"/>
              </w:rPr>
              <w:t xml:space="preserve"> the extrapolation curves</w:t>
            </w:r>
          </w:p>
        </w:tc>
        <w:tc>
          <w:tcPr>
            <w:tcW w:w="1987" w:type="pct"/>
          </w:tcPr>
          <w:p w:rsidR="00D13C5C" w:rsidRPr="00D34003" w:rsidRDefault="00323BFA" w:rsidP="0046186B">
            <w:pPr>
              <w:widowControl/>
              <w:jc w:val="left"/>
              <w:rPr>
                <w:rFonts w:ascii="Arial Narrow" w:hAnsi="Arial Narrow"/>
                <w:sz w:val="20"/>
                <w:szCs w:val="20"/>
              </w:rPr>
            </w:pPr>
            <w:r w:rsidRPr="00D34003">
              <w:rPr>
                <w:rFonts w:ascii="Arial Narrow" w:hAnsi="Arial Narrow"/>
                <w:sz w:val="20"/>
                <w:szCs w:val="20"/>
              </w:rPr>
              <w:t xml:space="preserve">The PBAC </w:t>
            </w:r>
            <w:r w:rsidR="00FD6790" w:rsidRPr="00D34003">
              <w:rPr>
                <w:rFonts w:ascii="Arial Narrow" w:hAnsi="Arial Narrow"/>
                <w:sz w:val="20"/>
                <w:szCs w:val="20"/>
              </w:rPr>
              <w:t xml:space="preserve">requested that survival curves be </w:t>
            </w:r>
            <w:r w:rsidR="00EF2223" w:rsidRPr="00D34003">
              <w:rPr>
                <w:rFonts w:ascii="Arial Narrow" w:hAnsi="Arial Narrow"/>
                <w:sz w:val="20"/>
                <w:szCs w:val="20"/>
              </w:rPr>
              <w:t>converge</w:t>
            </w:r>
            <w:r w:rsidR="00FD6790" w:rsidRPr="00D34003">
              <w:rPr>
                <w:rFonts w:ascii="Arial Narrow" w:hAnsi="Arial Narrow"/>
                <w:sz w:val="20"/>
                <w:szCs w:val="20"/>
              </w:rPr>
              <w:t>d</w:t>
            </w:r>
            <w:r w:rsidR="00EF2223" w:rsidRPr="00D34003">
              <w:rPr>
                <w:rFonts w:ascii="Arial Narrow" w:hAnsi="Arial Narrow"/>
                <w:sz w:val="20"/>
                <w:szCs w:val="20"/>
              </w:rPr>
              <w:t xml:space="preserve"> </w:t>
            </w:r>
            <w:r w:rsidR="00FD6790" w:rsidRPr="00D34003">
              <w:rPr>
                <w:rFonts w:ascii="Arial Narrow" w:hAnsi="Arial Narrow"/>
                <w:sz w:val="20"/>
                <w:szCs w:val="20"/>
              </w:rPr>
              <w:t xml:space="preserve">at </w:t>
            </w:r>
            <w:r w:rsidR="00EF2223" w:rsidRPr="00D34003">
              <w:rPr>
                <w:rFonts w:ascii="Arial Narrow" w:hAnsi="Arial Narrow"/>
                <w:sz w:val="20"/>
                <w:szCs w:val="20"/>
              </w:rPr>
              <w:t>a base case time horizon of 5 years</w:t>
            </w:r>
            <w:r w:rsidR="008167A8" w:rsidRPr="00D34003">
              <w:rPr>
                <w:rFonts w:ascii="Arial Narrow" w:hAnsi="Arial Narrow"/>
                <w:sz w:val="20"/>
                <w:szCs w:val="20"/>
              </w:rPr>
              <w:t xml:space="preserve"> (pembrolizumab PSD, Nov 2017 point 7.10)</w:t>
            </w:r>
            <w:r w:rsidR="00FD6790" w:rsidRPr="00D34003">
              <w:rPr>
                <w:rFonts w:ascii="Arial Narrow" w:hAnsi="Arial Narrow"/>
                <w:sz w:val="20"/>
                <w:szCs w:val="20"/>
              </w:rPr>
              <w:t>.</w:t>
            </w:r>
          </w:p>
        </w:tc>
        <w:tc>
          <w:tcPr>
            <w:tcW w:w="2110" w:type="pct"/>
          </w:tcPr>
          <w:p w:rsidR="00D13C5C" w:rsidRPr="00D34003" w:rsidRDefault="00FD6790" w:rsidP="0046186B">
            <w:pPr>
              <w:widowControl/>
              <w:jc w:val="left"/>
              <w:rPr>
                <w:rFonts w:ascii="Arial Narrow" w:hAnsi="Arial Narrow"/>
                <w:sz w:val="20"/>
                <w:szCs w:val="20"/>
              </w:rPr>
            </w:pPr>
            <w:r w:rsidRPr="00D34003">
              <w:rPr>
                <w:rFonts w:ascii="Arial Narrow" w:hAnsi="Arial Narrow"/>
                <w:sz w:val="20"/>
                <w:szCs w:val="20"/>
              </w:rPr>
              <w:t>Partially</w:t>
            </w:r>
            <w:r w:rsidR="00DE3240" w:rsidRPr="00D34003">
              <w:rPr>
                <w:rFonts w:ascii="Arial Narrow" w:hAnsi="Arial Narrow"/>
                <w:sz w:val="20"/>
                <w:szCs w:val="20"/>
              </w:rPr>
              <w:t xml:space="preserve"> addressed.</w:t>
            </w:r>
            <w:r w:rsidR="00D41BAC" w:rsidRPr="00D34003">
              <w:rPr>
                <w:rFonts w:ascii="Arial Narrow" w:hAnsi="Arial Narrow"/>
                <w:sz w:val="20"/>
                <w:szCs w:val="20"/>
              </w:rPr>
              <w:t xml:space="preserve"> </w:t>
            </w:r>
            <w:r w:rsidR="00DE3240" w:rsidRPr="00D34003">
              <w:rPr>
                <w:rFonts w:ascii="Arial Narrow" w:hAnsi="Arial Narrow"/>
                <w:sz w:val="20"/>
                <w:szCs w:val="20"/>
              </w:rPr>
              <w:t>The resubmission</w:t>
            </w:r>
            <w:r w:rsidR="00323BFA" w:rsidRPr="00D34003">
              <w:rPr>
                <w:rFonts w:ascii="Arial Narrow" w:hAnsi="Arial Narrow"/>
                <w:sz w:val="20"/>
                <w:szCs w:val="20"/>
              </w:rPr>
              <w:t xml:space="preserve"> increased </w:t>
            </w:r>
            <w:r w:rsidRPr="00D34003">
              <w:rPr>
                <w:rFonts w:ascii="Arial Narrow" w:hAnsi="Arial Narrow"/>
                <w:sz w:val="20"/>
                <w:szCs w:val="20"/>
              </w:rPr>
              <w:t xml:space="preserve">the </w:t>
            </w:r>
            <w:r w:rsidR="00323BFA" w:rsidRPr="00D34003">
              <w:rPr>
                <w:rFonts w:ascii="Arial Narrow" w:hAnsi="Arial Narrow"/>
                <w:sz w:val="20"/>
                <w:szCs w:val="20"/>
              </w:rPr>
              <w:t>time horizon from 5 year</w:t>
            </w:r>
            <w:r w:rsidRPr="00D34003">
              <w:rPr>
                <w:rFonts w:ascii="Arial Narrow" w:hAnsi="Arial Narrow"/>
                <w:sz w:val="20"/>
                <w:szCs w:val="20"/>
              </w:rPr>
              <w:t>s</w:t>
            </w:r>
            <w:r w:rsidR="00323BFA" w:rsidRPr="00D34003">
              <w:rPr>
                <w:rFonts w:ascii="Arial Narrow" w:hAnsi="Arial Narrow"/>
                <w:sz w:val="20"/>
                <w:szCs w:val="20"/>
              </w:rPr>
              <w:t xml:space="preserve"> to 7</w:t>
            </w:r>
            <w:r w:rsidR="00F13442" w:rsidRPr="00D34003">
              <w:rPr>
                <w:rFonts w:ascii="Arial Narrow" w:hAnsi="Arial Narrow"/>
                <w:sz w:val="20"/>
                <w:szCs w:val="20"/>
              </w:rPr>
              <w:t>.5</w:t>
            </w:r>
            <w:r w:rsidR="00323BFA" w:rsidRPr="00D34003">
              <w:rPr>
                <w:rFonts w:ascii="Arial Narrow" w:hAnsi="Arial Narrow"/>
                <w:sz w:val="20"/>
                <w:szCs w:val="20"/>
              </w:rPr>
              <w:t xml:space="preserve"> years</w:t>
            </w:r>
            <w:r w:rsidRPr="00D34003">
              <w:rPr>
                <w:rFonts w:ascii="Arial Narrow" w:hAnsi="Arial Narrow"/>
                <w:sz w:val="20"/>
                <w:szCs w:val="20"/>
              </w:rPr>
              <w:t>, applying convergence at that latter time</w:t>
            </w:r>
            <w:r w:rsidR="00A57E03" w:rsidRPr="00D34003">
              <w:rPr>
                <w:rFonts w:ascii="Arial Narrow" w:hAnsi="Arial Narrow"/>
                <w:sz w:val="20"/>
                <w:szCs w:val="20"/>
              </w:rPr>
              <w:t xml:space="preserve"> </w:t>
            </w:r>
            <w:r w:rsidRPr="00D34003">
              <w:rPr>
                <w:rFonts w:ascii="Arial Narrow" w:hAnsi="Arial Narrow"/>
                <w:sz w:val="20"/>
                <w:szCs w:val="20"/>
              </w:rPr>
              <w:t xml:space="preserve">point. </w:t>
            </w:r>
            <w:r w:rsidR="00323BFA" w:rsidRPr="00D34003">
              <w:rPr>
                <w:rFonts w:ascii="Arial Narrow" w:hAnsi="Arial Narrow"/>
                <w:sz w:val="20"/>
                <w:szCs w:val="20"/>
              </w:rPr>
              <w:t xml:space="preserve"> </w:t>
            </w:r>
          </w:p>
          <w:p w:rsidR="004166B1" w:rsidRPr="00D34003" w:rsidRDefault="00FD6790" w:rsidP="0046186B">
            <w:pPr>
              <w:widowControl/>
              <w:jc w:val="left"/>
              <w:rPr>
                <w:rFonts w:ascii="Arial Narrow" w:hAnsi="Arial Narrow"/>
                <w:sz w:val="20"/>
                <w:szCs w:val="20"/>
              </w:rPr>
            </w:pPr>
            <w:r w:rsidRPr="00D34003">
              <w:rPr>
                <w:rFonts w:ascii="Arial Narrow" w:hAnsi="Arial Narrow"/>
                <w:sz w:val="20"/>
                <w:szCs w:val="20"/>
              </w:rPr>
              <w:t>Increasing the time horizon to 7</w:t>
            </w:r>
            <w:r w:rsidR="00F13442" w:rsidRPr="00D34003">
              <w:rPr>
                <w:rFonts w:ascii="Arial Narrow" w:hAnsi="Arial Narrow"/>
                <w:sz w:val="20"/>
                <w:szCs w:val="20"/>
              </w:rPr>
              <w:t>.5</w:t>
            </w:r>
            <w:r w:rsidRPr="00D34003">
              <w:rPr>
                <w:rFonts w:ascii="Arial Narrow" w:hAnsi="Arial Narrow"/>
                <w:sz w:val="20"/>
                <w:szCs w:val="20"/>
              </w:rPr>
              <w:t xml:space="preserve"> years was not well justified and is subject to heavy censoring and few patients at risk in the </w:t>
            </w:r>
            <w:r w:rsidR="00FB49BA" w:rsidRPr="00D34003">
              <w:rPr>
                <w:rFonts w:ascii="Arial Narrow" w:hAnsi="Arial Narrow"/>
                <w:sz w:val="20"/>
                <w:szCs w:val="20"/>
              </w:rPr>
              <w:t xml:space="preserve">latter </w:t>
            </w:r>
            <w:r w:rsidRPr="00D34003">
              <w:rPr>
                <w:rFonts w:ascii="Arial Narrow" w:hAnsi="Arial Narrow"/>
                <w:sz w:val="20"/>
                <w:szCs w:val="20"/>
              </w:rPr>
              <w:t xml:space="preserve">stages </w:t>
            </w:r>
            <w:r w:rsidR="00FB49BA" w:rsidRPr="00D34003">
              <w:rPr>
                <w:rFonts w:ascii="Arial Narrow" w:hAnsi="Arial Narrow"/>
                <w:sz w:val="20"/>
                <w:szCs w:val="20"/>
              </w:rPr>
              <w:t>of follow-up</w:t>
            </w:r>
            <w:r w:rsidRPr="00D34003">
              <w:rPr>
                <w:rFonts w:ascii="Arial Narrow" w:hAnsi="Arial Narrow"/>
                <w:sz w:val="20"/>
                <w:szCs w:val="20"/>
              </w:rPr>
              <w:t>.</w:t>
            </w:r>
          </w:p>
          <w:p w:rsidR="00F47746" w:rsidRPr="00D34003" w:rsidRDefault="00F47746" w:rsidP="0046186B">
            <w:pPr>
              <w:widowControl/>
              <w:jc w:val="left"/>
              <w:rPr>
                <w:rFonts w:ascii="Arial Narrow" w:hAnsi="Arial Narrow"/>
                <w:i/>
                <w:sz w:val="20"/>
                <w:szCs w:val="20"/>
              </w:rPr>
            </w:pPr>
          </w:p>
          <w:p w:rsidR="000721B9" w:rsidRPr="00D34003" w:rsidRDefault="00C9483B" w:rsidP="00E6585F">
            <w:pPr>
              <w:widowControl/>
              <w:jc w:val="left"/>
              <w:rPr>
                <w:rFonts w:ascii="Arial Narrow" w:hAnsi="Arial Narrow"/>
                <w:sz w:val="20"/>
                <w:szCs w:val="20"/>
              </w:rPr>
            </w:pPr>
            <w:r w:rsidRPr="00D34003">
              <w:rPr>
                <w:rFonts w:ascii="Arial Narrow" w:hAnsi="Arial Narrow"/>
                <w:sz w:val="20"/>
                <w:szCs w:val="20"/>
              </w:rPr>
              <w:t>The PSCR stated that the sponsor would be willing to accept a 6.5-year time horizon with convergence from 5 years as the base-case</w:t>
            </w:r>
            <w:r w:rsidR="004E3CA7" w:rsidRPr="00D34003">
              <w:rPr>
                <w:rFonts w:ascii="Arial Narrow" w:hAnsi="Arial Narrow"/>
                <w:sz w:val="20"/>
                <w:szCs w:val="20"/>
              </w:rPr>
              <w:t>.</w:t>
            </w:r>
          </w:p>
        </w:tc>
      </w:tr>
      <w:tr w:rsidR="0040569D" w:rsidRPr="00D34003" w:rsidTr="004E6A3A">
        <w:tc>
          <w:tcPr>
            <w:tcW w:w="902" w:type="pct"/>
          </w:tcPr>
          <w:p w:rsidR="00D13C5C" w:rsidRPr="00D34003" w:rsidRDefault="00492AA3" w:rsidP="0046186B">
            <w:pPr>
              <w:widowControl/>
              <w:jc w:val="left"/>
              <w:rPr>
                <w:rFonts w:ascii="Arial Narrow" w:hAnsi="Arial Narrow"/>
                <w:sz w:val="20"/>
                <w:szCs w:val="20"/>
              </w:rPr>
            </w:pPr>
            <w:r w:rsidRPr="00D34003">
              <w:rPr>
                <w:rFonts w:ascii="Arial Narrow" w:hAnsi="Arial Narrow"/>
                <w:sz w:val="20"/>
                <w:szCs w:val="20"/>
              </w:rPr>
              <w:t>Maintaining the ICER</w:t>
            </w:r>
            <w:r w:rsidR="00EB18D5" w:rsidRPr="00D34003">
              <w:rPr>
                <w:rFonts w:ascii="Arial Narrow" w:hAnsi="Arial Narrow"/>
                <w:sz w:val="20"/>
                <w:szCs w:val="20"/>
              </w:rPr>
              <w:t xml:space="preserve"> </w:t>
            </w:r>
          </w:p>
        </w:tc>
        <w:tc>
          <w:tcPr>
            <w:tcW w:w="1987" w:type="pct"/>
          </w:tcPr>
          <w:p w:rsidR="00D13C5C" w:rsidRPr="00D34003" w:rsidRDefault="00492AA3" w:rsidP="0046186B">
            <w:pPr>
              <w:widowControl/>
              <w:jc w:val="left"/>
              <w:rPr>
                <w:rFonts w:ascii="Arial Narrow" w:hAnsi="Arial Narrow"/>
                <w:sz w:val="20"/>
                <w:szCs w:val="20"/>
              </w:rPr>
            </w:pPr>
            <w:r w:rsidRPr="00D34003">
              <w:rPr>
                <w:rFonts w:ascii="Arial Narrow" w:hAnsi="Arial Narrow"/>
                <w:sz w:val="20"/>
                <w:szCs w:val="20"/>
              </w:rPr>
              <w:t>The PBAC advised that the requested price of pembrolizumab should be adjusted to maintain the ICER at or below the ICER presented at the November 2017 submission</w:t>
            </w:r>
            <w:r w:rsidR="002B5E2B" w:rsidRPr="00D34003">
              <w:rPr>
                <w:rFonts w:ascii="Arial Narrow" w:hAnsi="Arial Narrow"/>
                <w:sz w:val="20"/>
                <w:szCs w:val="20"/>
              </w:rPr>
              <w:t xml:space="preserve"> </w:t>
            </w:r>
            <w:r w:rsidR="008167A8" w:rsidRPr="00D34003">
              <w:rPr>
                <w:rFonts w:ascii="Arial Narrow" w:hAnsi="Arial Narrow"/>
                <w:sz w:val="20"/>
                <w:szCs w:val="20"/>
              </w:rPr>
              <w:t>(pembrolizumab PSD, Nov 2017 point 7.10)</w:t>
            </w:r>
            <w:r w:rsidR="00FD6790" w:rsidRPr="00D34003">
              <w:rPr>
                <w:rFonts w:ascii="Arial Narrow" w:hAnsi="Arial Narrow"/>
                <w:sz w:val="20"/>
                <w:szCs w:val="20"/>
              </w:rPr>
              <w:t>.</w:t>
            </w:r>
          </w:p>
          <w:p w:rsidR="002B5E2B" w:rsidRPr="00D34003" w:rsidRDefault="002B5E2B" w:rsidP="0046186B">
            <w:pPr>
              <w:widowControl/>
              <w:jc w:val="left"/>
              <w:rPr>
                <w:rFonts w:ascii="Arial Narrow" w:hAnsi="Arial Narrow"/>
                <w:sz w:val="20"/>
                <w:szCs w:val="20"/>
              </w:rPr>
            </w:pPr>
          </w:p>
          <w:p w:rsidR="002B5E2B" w:rsidRPr="00D34003" w:rsidRDefault="008167A8" w:rsidP="0046186B">
            <w:pPr>
              <w:widowControl/>
              <w:jc w:val="left"/>
              <w:rPr>
                <w:rFonts w:ascii="Arial Narrow" w:hAnsi="Arial Narrow"/>
                <w:sz w:val="20"/>
                <w:szCs w:val="20"/>
              </w:rPr>
            </w:pPr>
            <w:r w:rsidRPr="00D34003">
              <w:rPr>
                <w:rFonts w:ascii="Arial Narrow" w:hAnsi="Arial Narrow"/>
                <w:sz w:val="20"/>
                <w:szCs w:val="20"/>
              </w:rPr>
              <w:t>(</w:t>
            </w:r>
            <w:r w:rsidR="002B5E2B" w:rsidRPr="00D34003">
              <w:rPr>
                <w:rFonts w:ascii="Arial Narrow" w:hAnsi="Arial Narrow"/>
                <w:sz w:val="20"/>
                <w:szCs w:val="20"/>
              </w:rPr>
              <w:t>The list price of pembrolizumab in the November 2017 submission was $</w:t>
            </w:r>
            <w:r w:rsidR="00504C28">
              <w:rPr>
                <w:rFonts w:ascii="Arial Narrow" w:hAnsi="Arial Narrow"/>
                <w:noProof/>
                <w:color w:val="000000"/>
                <w:sz w:val="20"/>
                <w:szCs w:val="20"/>
                <w:highlight w:val="black"/>
              </w:rPr>
              <w:t>'''''''''''''</w:t>
            </w:r>
            <w:r w:rsidR="002B5E2B" w:rsidRPr="00D34003">
              <w:rPr>
                <w:rFonts w:ascii="Arial Narrow" w:hAnsi="Arial Narrow"/>
                <w:sz w:val="20"/>
                <w:szCs w:val="20"/>
              </w:rPr>
              <w:t xml:space="preserve"> (DPMA) for 100 mg vial.</w:t>
            </w:r>
            <w:r w:rsidRPr="00D34003">
              <w:rPr>
                <w:rFonts w:ascii="Arial Narrow" w:hAnsi="Arial Narrow"/>
                <w:sz w:val="20"/>
                <w:szCs w:val="20"/>
              </w:rPr>
              <w:t>)</w:t>
            </w:r>
          </w:p>
        </w:tc>
        <w:tc>
          <w:tcPr>
            <w:tcW w:w="2110" w:type="pct"/>
          </w:tcPr>
          <w:p w:rsidR="00D13C5C" w:rsidRPr="00D34003" w:rsidRDefault="002B5E2B" w:rsidP="0046186B">
            <w:pPr>
              <w:widowControl/>
              <w:jc w:val="left"/>
              <w:rPr>
                <w:rFonts w:ascii="Arial Narrow" w:hAnsi="Arial Narrow"/>
                <w:sz w:val="20"/>
                <w:szCs w:val="20"/>
              </w:rPr>
            </w:pPr>
            <w:r w:rsidRPr="00D34003">
              <w:rPr>
                <w:rFonts w:ascii="Arial Narrow" w:hAnsi="Arial Narrow"/>
                <w:sz w:val="20"/>
                <w:szCs w:val="20"/>
              </w:rPr>
              <w:t>Addressed. The list price of pembrolizumab was reduced to $</w:t>
            </w:r>
            <w:r w:rsidR="00504C28">
              <w:rPr>
                <w:rFonts w:ascii="Arial Narrow" w:hAnsi="Arial Narrow"/>
                <w:noProof/>
                <w:color w:val="000000"/>
                <w:sz w:val="20"/>
                <w:szCs w:val="20"/>
                <w:highlight w:val="black"/>
              </w:rPr>
              <w:t>''''''''''''''</w:t>
            </w:r>
            <w:r w:rsidRPr="00D34003">
              <w:rPr>
                <w:rFonts w:ascii="Arial Narrow" w:hAnsi="Arial Narrow"/>
                <w:sz w:val="20"/>
                <w:szCs w:val="20"/>
              </w:rPr>
              <w:t xml:space="preserve"> (DPMA) for 100 mg vial (plus a </w:t>
            </w:r>
            <w:r w:rsidR="00504C28">
              <w:rPr>
                <w:rFonts w:ascii="Arial Narrow" w:hAnsi="Arial Narrow"/>
                <w:noProof/>
                <w:color w:val="000000"/>
                <w:sz w:val="20"/>
                <w:szCs w:val="20"/>
                <w:highlight w:val="black"/>
              </w:rPr>
              <w:t>'''''''</w:t>
            </w:r>
            <w:r w:rsidRPr="00D34003">
              <w:rPr>
                <w:rFonts w:ascii="Arial Narrow" w:hAnsi="Arial Narrow"/>
                <w:sz w:val="20"/>
                <w:szCs w:val="20"/>
              </w:rPr>
              <w:t>% rebate from week 79)</w:t>
            </w:r>
            <w:r w:rsidR="00961838" w:rsidRPr="00D34003">
              <w:rPr>
                <w:rFonts w:ascii="Arial Narrow" w:hAnsi="Arial Narrow"/>
                <w:sz w:val="20"/>
                <w:szCs w:val="20"/>
              </w:rPr>
              <w:t>. The</w:t>
            </w:r>
            <w:r w:rsidR="002A7835" w:rsidRPr="00D34003">
              <w:rPr>
                <w:rFonts w:ascii="Arial Narrow" w:hAnsi="Arial Narrow"/>
                <w:sz w:val="20"/>
                <w:szCs w:val="20"/>
              </w:rPr>
              <w:t xml:space="preserve"> resubmission maintained the</w:t>
            </w:r>
            <w:r w:rsidR="00961838" w:rsidRPr="00D34003">
              <w:rPr>
                <w:rFonts w:ascii="Arial Narrow" w:hAnsi="Arial Narrow"/>
                <w:sz w:val="20"/>
                <w:szCs w:val="20"/>
              </w:rPr>
              <w:t xml:space="preserve"> ICER at $</w:t>
            </w:r>
            <w:r w:rsidR="00504C28">
              <w:rPr>
                <w:rFonts w:ascii="Arial Narrow" w:hAnsi="Arial Narrow"/>
                <w:noProof/>
                <w:color w:val="000000"/>
                <w:sz w:val="20"/>
                <w:szCs w:val="20"/>
                <w:highlight w:val="black"/>
              </w:rPr>
              <w:t>'''''''''''''''</w:t>
            </w:r>
            <w:r w:rsidR="00961838" w:rsidRPr="00D34003">
              <w:rPr>
                <w:rFonts w:ascii="Arial Narrow" w:hAnsi="Arial Narrow"/>
                <w:sz w:val="20"/>
                <w:szCs w:val="20"/>
              </w:rPr>
              <w:t>/QALY.</w:t>
            </w:r>
          </w:p>
          <w:p w:rsidR="004E3CA7" w:rsidRPr="00D34003" w:rsidRDefault="004E3CA7" w:rsidP="0046186B">
            <w:pPr>
              <w:widowControl/>
              <w:jc w:val="left"/>
              <w:rPr>
                <w:rFonts w:ascii="Arial Narrow" w:hAnsi="Arial Narrow"/>
                <w:i/>
                <w:sz w:val="20"/>
                <w:szCs w:val="20"/>
              </w:rPr>
            </w:pPr>
          </w:p>
          <w:p w:rsidR="00754636" w:rsidRPr="00D34003" w:rsidRDefault="003D7475" w:rsidP="00E6585F">
            <w:pPr>
              <w:widowControl/>
              <w:jc w:val="left"/>
              <w:rPr>
                <w:rFonts w:ascii="Arial Narrow" w:hAnsi="Arial Narrow"/>
                <w:sz w:val="20"/>
                <w:szCs w:val="20"/>
              </w:rPr>
            </w:pPr>
            <w:r w:rsidRPr="00D34003">
              <w:rPr>
                <w:rFonts w:ascii="Arial Narrow" w:hAnsi="Arial Narrow"/>
                <w:sz w:val="20"/>
                <w:szCs w:val="20"/>
              </w:rPr>
              <w:t xml:space="preserve">The PSCR proposed changes to the </w:t>
            </w:r>
            <w:r w:rsidR="004E3CA7" w:rsidRPr="00D34003">
              <w:rPr>
                <w:rFonts w:ascii="Arial Narrow" w:hAnsi="Arial Narrow"/>
                <w:sz w:val="20"/>
                <w:szCs w:val="20"/>
              </w:rPr>
              <w:t xml:space="preserve">base case </w:t>
            </w:r>
            <w:r w:rsidRPr="00D34003">
              <w:rPr>
                <w:rFonts w:ascii="Arial Narrow" w:hAnsi="Arial Narrow"/>
                <w:sz w:val="20"/>
                <w:szCs w:val="20"/>
              </w:rPr>
              <w:t>to 6.5-year time horizo</w:t>
            </w:r>
            <w:r w:rsidR="00035230" w:rsidRPr="00D34003">
              <w:rPr>
                <w:rFonts w:ascii="Arial Narrow" w:hAnsi="Arial Narrow"/>
                <w:sz w:val="20"/>
                <w:szCs w:val="20"/>
              </w:rPr>
              <w:t xml:space="preserve">n with convergence from 5 years </w:t>
            </w:r>
            <w:r w:rsidRPr="00D34003">
              <w:rPr>
                <w:rFonts w:ascii="Arial Narrow" w:hAnsi="Arial Narrow"/>
                <w:sz w:val="20"/>
                <w:szCs w:val="20"/>
              </w:rPr>
              <w:t>and</w:t>
            </w:r>
            <w:r w:rsidR="00D01797" w:rsidRPr="00D34003">
              <w:rPr>
                <w:rFonts w:ascii="Arial Narrow" w:hAnsi="Arial Narrow"/>
                <w:sz w:val="20"/>
                <w:szCs w:val="20"/>
              </w:rPr>
              <w:t xml:space="preserve"> </w:t>
            </w:r>
            <w:r w:rsidR="00A370BD" w:rsidRPr="00D34003">
              <w:rPr>
                <w:rFonts w:ascii="Arial Narrow" w:hAnsi="Arial Narrow"/>
                <w:sz w:val="20"/>
                <w:szCs w:val="20"/>
              </w:rPr>
              <w:t xml:space="preserve">reduced </w:t>
            </w:r>
            <w:r w:rsidR="00754636" w:rsidRPr="00D34003">
              <w:rPr>
                <w:rFonts w:ascii="Arial Narrow" w:hAnsi="Arial Narrow"/>
                <w:sz w:val="20"/>
                <w:szCs w:val="20"/>
              </w:rPr>
              <w:t xml:space="preserve">the </w:t>
            </w:r>
            <w:r w:rsidR="00035230" w:rsidRPr="00D34003">
              <w:rPr>
                <w:rFonts w:ascii="Arial Narrow" w:hAnsi="Arial Narrow"/>
                <w:sz w:val="20"/>
                <w:szCs w:val="20"/>
              </w:rPr>
              <w:t xml:space="preserve">effective </w:t>
            </w:r>
            <w:r w:rsidR="00754636" w:rsidRPr="00D34003">
              <w:rPr>
                <w:rFonts w:ascii="Arial Narrow" w:hAnsi="Arial Narrow"/>
                <w:sz w:val="20"/>
                <w:szCs w:val="20"/>
              </w:rPr>
              <w:t>price of pembrolizumab to $</w:t>
            </w:r>
            <w:r w:rsidR="00504C28">
              <w:rPr>
                <w:rFonts w:ascii="Arial Narrow" w:hAnsi="Arial Narrow"/>
                <w:noProof/>
                <w:color w:val="000000"/>
                <w:sz w:val="20"/>
                <w:szCs w:val="20"/>
                <w:highlight w:val="black"/>
              </w:rPr>
              <w:t>'''''''''''''</w:t>
            </w:r>
            <w:r w:rsidR="00754636" w:rsidRPr="00D34003">
              <w:rPr>
                <w:rFonts w:ascii="Arial Narrow" w:hAnsi="Arial Narrow"/>
                <w:sz w:val="20"/>
                <w:szCs w:val="20"/>
              </w:rPr>
              <w:t xml:space="preserve"> per vial</w:t>
            </w:r>
            <w:r w:rsidR="00AD45C2" w:rsidRPr="00D34003">
              <w:rPr>
                <w:rFonts w:ascii="Arial Narrow" w:hAnsi="Arial Narrow"/>
                <w:sz w:val="20"/>
                <w:szCs w:val="20"/>
              </w:rPr>
              <w:t xml:space="preserve"> to maintain a similar ICER</w:t>
            </w:r>
            <w:r w:rsidR="006C2206" w:rsidRPr="00D34003">
              <w:rPr>
                <w:rFonts w:ascii="Arial Narrow" w:hAnsi="Arial Narrow"/>
                <w:sz w:val="20"/>
                <w:szCs w:val="20"/>
              </w:rPr>
              <w:t xml:space="preserve">. </w:t>
            </w:r>
          </w:p>
        </w:tc>
      </w:tr>
      <w:tr w:rsidR="00B11AAF" w:rsidRPr="00D34003" w:rsidTr="004E6A3A">
        <w:tc>
          <w:tcPr>
            <w:tcW w:w="902" w:type="pct"/>
          </w:tcPr>
          <w:p w:rsidR="00B11AAF" w:rsidRPr="00D34003" w:rsidRDefault="00B11AAF" w:rsidP="0046186B">
            <w:pPr>
              <w:widowControl/>
              <w:jc w:val="left"/>
              <w:rPr>
                <w:rFonts w:ascii="Arial Narrow" w:hAnsi="Arial Narrow"/>
                <w:b/>
                <w:sz w:val="20"/>
                <w:szCs w:val="20"/>
              </w:rPr>
            </w:pPr>
            <w:r w:rsidRPr="00D34003">
              <w:rPr>
                <w:rFonts w:ascii="Arial Narrow" w:hAnsi="Arial Narrow"/>
                <w:b/>
                <w:sz w:val="20"/>
                <w:szCs w:val="20"/>
              </w:rPr>
              <w:lastRenderedPageBreak/>
              <w:t>Financial Issues</w:t>
            </w:r>
          </w:p>
        </w:tc>
        <w:tc>
          <w:tcPr>
            <w:tcW w:w="1987" w:type="pct"/>
          </w:tcPr>
          <w:p w:rsidR="00B11AAF" w:rsidRPr="00D34003" w:rsidRDefault="00B11AAF" w:rsidP="0046186B">
            <w:pPr>
              <w:widowControl/>
              <w:jc w:val="left"/>
              <w:rPr>
                <w:rFonts w:ascii="Arial Narrow" w:hAnsi="Arial Narrow"/>
                <w:b/>
                <w:sz w:val="20"/>
                <w:szCs w:val="20"/>
              </w:rPr>
            </w:pPr>
          </w:p>
        </w:tc>
        <w:tc>
          <w:tcPr>
            <w:tcW w:w="2110" w:type="pct"/>
          </w:tcPr>
          <w:p w:rsidR="00B11AAF" w:rsidRPr="00D34003" w:rsidRDefault="00B11AAF" w:rsidP="0046186B">
            <w:pPr>
              <w:widowControl/>
              <w:jc w:val="left"/>
              <w:rPr>
                <w:rFonts w:ascii="Arial Narrow" w:hAnsi="Arial Narrow"/>
                <w:b/>
                <w:sz w:val="20"/>
                <w:szCs w:val="20"/>
              </w:rPr>
            </w:pPr>
          </w:p>
        </w:tc>
      </w:tr>
      <w:tr w:rsidR="0040569D" w:rsidRPr="00D34003" w:rsidTr="004E6A3A">
        <w:tc>
          <w:tcPr>
            <w:tcW w:w="902" w:type="pct"/>
          </w:tcPr>
          <w:p w:rsidR="002A7835" w:rsidRPr="00D34003" w:rsidRDefault="00714BA0" w:rsidP="0046186B">
            <w:pPr>
              <w:widowControl/>
              <w:jc w:val="left"/>
              <w:rPr>
                <w:rFonts w:ascii="Arial Narrow" w:hAnsi="Arial Narrow"/>
                <w:sz w:val="20"/>
                <w:szCs w:val="20"/>
              </w:rPr>
            </w:pPr>
            <w:r w:rsidRPr="00D34003">
              <w:rPr>
                <w:rFonts w:ascii="Arial Narrow" w:hAnsi="Arial Narrow"/>
                <w:sz w:val="20"/>
                <w:szCs w:val="20"/>
              </w:rPr>
              <w:t>Number of patients estimated</w:t>
            </w:r>
          </w:p>
        </w:tc>
        <w:tc>
          <w:tcPr>
            <w:tcW w:w="1987" w:type="pct"/>
          </w:tcPr>
          <w:p w:rsidR="002A7835" w:rsidRPr="00D34003" w:rsidRDefault="00714BA0" w:rsidP="0046186B">
            <w:pPr>
              <w:widowControl/>
              <w:jc w:val="left"/>
              <w:rPr>
                <w:rFonts w:ascii="Arial Narrow" w:hAnsi="Arial Narrow"/>
                <w:sz w:val="20"/>
                <w:szCs w:val="20"/>
              </w:rPr>
            </w:pPr>
            <w:r w:rsidRPr="00D34003">
              <w:rPr>
                <w:rFonts w:ascii="Arial Narrow" w:hAnsi="Arial Narrow"/>
                <w:sz w:val="20"/>
                <w:szCs w:val="20"/>
              </w:rPr>
              <w:t xml:space="preserve">The PBAC considered that the numbers of patients were likely underestimated. </w:t>
            </w:r>
            <w:r w:rsidR="008167A8" w:rsidRPr="00D34003">
              <w:rPr>
                <w:rFonts w:ascii="Arial Narrow" w:hAnsi="Arial Narrow"/>
                <w:sz w:val="20"/>
                <w:szCs w:val="20"/>
              </w:rPr>
              <w:t>(pembrolizumab PSD, Nov 2017 point 7.11)</w:t>
            </w:r>
          </w:p>
          <w:p w:rsidR="00600271" w:rsidRPr="00D34003" w:rsidRDefault="00600271" w:rsidP="0046186B">
            <w:pPr>
              <w:widowControl/>
              <w:jc w:val="left"/>
              <w:rPr>
                <w:rFonts w:ascii="Arial Narrow" w:hAnsi="Arial Narrow"/>
                <w:sz w:val="20"/>
                <w:szCs w:val="20"/>
              </w:rPr>
            </w:pPr>
          </w:p>
          <w:p w:rsidR="00600271" w:rsidRPr="00D34003" w:rsidRDefault="00600271" w:rsidP="0046186B">
            <w:pPr>
              <w:widowControl/>
              <w:jc w:val="left"/>
              <w:rPr>
                <w:rFonts w:ascii="Arial Narrow" w:hAnsi="Arial Narrow"/>
                <w:sz w:val="20"/>
                <w:szCs w:val="20"/>
              </w:rPr>
            </w:pPr>
          </w:p>
        </w:tc>
        <w:tc>
          <w:tcPr>
            <w:tcW w:w="2110" w:type="pct"/>
          </w:tcPr>
          <w:p w:rsidR="002A7835" w:rsidRPr="00D34003" w:rsidRDefault="001567D2" w:rsidP="0046186B">
            <w:pPr>
              <w:widowControl/>
              <w:jc w:val="left"/>
              <w:rPr>
                <w:rFonts w:ascii="Arial Narrow" w:hAnsi="Arial Narrow"/>
                <w:sz w:val="20"/>
                <w:szCs w:val="20"/>
              </w:rPr>
            </w:pPr>
            <w:r w:rsidRPr="00D34003">
              <w:rPr>
                <w:rFonts w:ascii="Arial Narrow" w:hAnsi="Arial Narrow"/>
                <w:sz w:val="20"/>
                <w:szCs w:val="20"/>
              </w:rPr>
              <w:t xml:space="preserve">The resubmission maintained the same number of patients estimated in the November 2017 submission. </w:t>
            </w:r>
            <w:r w:rsidR="00BC706B" w:rsidRPr="00D34003">
              <w:rPr>
                <w:rFonts w:ascii="Arial Narrow" w:hAnsi="Arial Narrow"/>
                <w:sz w:val="20"/>
                <w:szCs w:val="20"/>
              </w:rPr>
              <w:t xml:space="preserve">The resubmission </w:t>
            </w:r>
            <w:r w:rsidR="00EB18D5" w:rsidRPr="00D34003">
              <w:rPr>
                <w:rFonts w:ascii="Arial Narrow" w:hAnsi="Arial Narrow"/>
                <w:sz w:val="20"/>
                <w:szCs w:val="20"/>
              </w:rPr>
              <w:t>argued</w:t>
            </w:r>
            <w:r w:rsidR="00BC706B" w:rsidRPr="00D34003">
              <w:rPr>
                <w:rFonts w:ascii="Arial Narrow" w:hAnsi="Arial Narrow"/>
                <w:sz w:val="20"/>
                <w:szCs w:val="20"/>
              </w:rPr>
              <w:t xml:space="preserve"> that there was no recent epidemiological data to support a change in the approached used to determine the patient popu</w:t>
            </w:r>
            <w:r w:rsidRPr="00D34003">
              <w:rPr>
                <w:rFonts w:ascii="Arial Narrow" w:hAnsi="Arial Narrow"/>
                <w:sz w:val="20"/>
                <w:szCs w:val="20"/>
              </w:rPr>
              <w:t>lation or to update the patient</w:t>
            </w:r>
            <w:r w:rsidR="00BC706B" w:rsidRPr="00D34003">
              <w:rPr>
                <w:rFonts w:ascii="Arial Narrow" w:hAnsi="Arial Narrow"/>
                <w:sz w:val="20"/>
                <w:szCs w:val="20"/>
              </w:rPr>
              <w:t xml:space="preserve"> numbers. </w:t>
            </w:r>
          </w:p>
        </w:tc>
      </w:tr>
      <w:tr w:rsidR="00FD6790" w:rsidRPr="00D34003" w:rsidTr="004E6A3A">
        <w:tc>
          <w:tcPr>
            <w:tcW w:w="902" w:type="pct"/>
          </w:tcPr>
          <w:p w:rsidR="00FD6790" w:rsidRPr="00D34003" w:rsidRDefault="00FD6790" w:rsidP="0046186B">
            <w:pPr>
              <w:widowControl/>
              <w:jc w:val="left"/>
              <w:rPr>
                <w:rFonts w:ascii="Arial Narrow" w:hAnsi="Arial Narrow"/>
                <w:sz w:val="20"/>
                <w:szCs w:val="20"/>
              </w:rPr>
            </w:pPr>
            <w:r w:rsidRPr="00D34003">
              <w:rPr>
                <w:rFonts w:ascii="Arial Narrow" w:hAnsi="Arial Narrow"/>
                <w:sz w:val="20"/>
                <w:szCs w:val="20"/>
              </w:rPr>
              <w:t>Risk-sharing arrangements</w:t>
            </w:r>
          </w:p>
        </w:tc>
        <w:tc>
          <w:tcPr>
            <w:tcW w:w="1987" w:type="pct"/>
          </w:tcPr>
          <w:p w:rsidR="00FD6790" w:rsidRPr="00D34003" w:rsidRDefault="00FD6790" w:rsidP="0046186B">
            <w:pPr>
              <w:widowControl/>
              <w:jc w:val="left"/>
              <w:rPr>
                <w:rFonts w:ascii="Arial Narrow" w:hAnsi="Arial Narrow"/>
                <w:sz w:val="20"/>
                <w:szCs w:val="20"/>
              </w:rPr>
            </w:pPr>
            <w:r w:rsidRPr="00D34003">
              <w:rPr>
                <w:rFonts w:ascii="Arial Narrow" w:hAnsi="Arial Narrow"/>
                <w:sz w:val="20"/>
                <w:szCs w:val="20"/>
              </w:rPr>
              <w:t>The PBAC was unclear as to how the RSA would fully address the uncertainties related to treatment duration, particularly given that the magnitude of the proposed rebate was not specified for expenditure over the caps (pembrolizumab PSD, Nov 2017, point 7.13).</w:t>
            </w:r>
          </w:p>
        </w:tc>
        <w:tc>
          <w:tcPr>
            <w:tcW w:w="2110" w:type="pct"/>
          </w:tcPr>
          <w:p w:rsidR="00FD6790" w:rsidRPr="00D34003" w:rsidRDefault="00FD6790" w:rsidP="0046186B">
            <w:pPr>
              <w:widowControl/>
              <w:jc w:val="left"/>
              <w:rPr>
                <w:rFonts w:ascii="Arial Narrow" w:hAnsi="Arial Narrow"/>
                <w:sz w:val="20"/>
                <w:szCs w:val="20"/>
              </w:rPr>
            </w:pPr>
            <w:r w:rsidRPr="00D34003">
              <w:rPr>
                <w:rFonts w:ascii="Arial Narrow" w:hAnsi="Arial Narrow"/>
                <w:sz w:val="20"/>
                <w:szCs w:val="20"/>
              </w:rPr>
              <w:t>Not addressed. While the resubmission reiterated the proposed RSA it did not clarify the propose</w:t>
            </w:r>
            <w:r w:rsidR="008033A5" w:rsidRPr="00D34003">
              <w:rPr>
                <w:rFonts w:ascii="Arial Narrow" w:hAnsi="Arial Narrow"/>
                <w:sz w:val="20"/>
                <w:szCs w:val="20"/>
              </w:rPr>
              <w:t>d</w:t>
            </w:r>
            <w:r w:rsidRPr="00D34003">
              <w:rPr>
                <w:rFonts w:ascii="Arial Narrow" w:hAnsi="Arial Narrow"/>
                <w:sz w:val="20"/>
                <w:szCs w:val="20"/>
              </w:rPr>
              <w:t xml:space="preserve"> rebate proportions, noting only that the rebate proportion would be considerable.</w:t>
            </w:r>
          </w:p>
          <w:p w:rsidR="00F03151" w:rsidRPr="00D34003" w:rsidRDefault="00F03151" w:rsidP="0046186B">
            <w:pPr>
              <w:widowControl/>
              <w:jc w:val="left"/>
              <w:rPr>
                <w:rFonts w:ascii="Arial Narrow" w:hAnsi="Arial Narrow"/>
                <w:sz w:val="20"/>
                <w:szCs w:val="20"/>
              </w:rPr>
            </w:pPr>
          </w:p>
          <w:p w:rsidR="00366F30" w:rsidRPr="00D34003" w:rsidRDefault="007D4C86" w:rsidP="00E6585F">
            <w:pPr>
              <w:widowControl/>
              <w:jc w:val="left"/>
              <w:rPr>
                <w:rFonts w:ascii="Arial Narrow" w:hAnsi="Arial Narrow"/>
                <w:i/>
                <w:sz w:val="20"/>
                <w:szCs w:val="20"/>
              </w:rPr>
            </w:pPr>
            <w:r>
              <w:rPr>
                <w:rFonts w:ascii="Arial Narrow" w:hAnsi="Arial Narrow"/>
                <w:sz w:val="20"/>
                <w:szCs w:val="20"/>
              </w:rPr>
              <w:t xml:space="preserve">The PSCR </w:t>
            </w:r>
            <w:r w:rsidR="00366F30" w:rsidRPr="00D34003">
              <w:rPr>
                <w:rFonts w:ascii="Arial Narrow" w:hAnsi="Arial Narrow"/>
                <w:sz w:val="20"/>
                <w:szCs w:val="20"/>
              </w:rPr>
              <w:t xml:space="preserve">proposed a rebate rate of </w:t>
            </w:r>
            <w:r w:rsidR="00504C28">
              <w:rPr>
                <w:rFonts w:ascii="Arial Narrow" w:hAnsi="Arial Narrow"/>
                <w:noProof/>
                <w:color w:val="000000"/>
                <w:sz w:val="20"/>
                <w:szCs w:val="20"/>
                <w:highlight w:val="black"/>
              </w:rPr>
              <w:t>''''''</w:t>
            </w:r>
            <w:r w:rsidR="00366F30" w:rsidRPr="00D34003">
              <w:rPr>
                <w:rFonts w:ascii="Arial Narrow" w:hAnsi="Arial Narrow"/>
                <w:sz w:val="20"/>
                <w:szCs w:val="20"/>
              </w:rPr>
              <w:t>%</w:t>
            </w:r>
            <w:r w:rsidR="00F13442" w:rsidRPr="00D34003">
              <w:rPr>
                <w:rFonts w:ascii="Arial Narrow" w:hAnsi="Arial Narrow"/>
                <w:sz w:val="20"/>
                <w:szCs w:val="20"/>
              </w:rPr>
              <w:t xml:space="preserve"> above agreed caps</w:t>
            </w:r>
            <w:r w:rsidR="00366F30" w:rsidRPr="00D34003">
              <w:rPr>
                <w:rFonts w:ascii="Arial Narrow" w:hAnsi="Arial Narrow"/>
                <w:sz w:val="20"/>
                <w:szCs w:val="20"/>
              </w:rPr>
              <w:t>.</w:t>
            </w:r>
            <w:r w:rsidR="00B11280" w:rsidRPr="00D34003">
              <w:rPr>
                <w:rFonts w:ascii="Arial Narrow" w:hAnsi="Arial Narrow"/>
                <w:sz w:val="20"/>
                <w:szCs w:val="20"/>
              </w:rPr>
              <w:t xml:space="preserve"> </w:t>
            </w:r>
            <w:r w:rsidR="00D10F15" w:rsidRPr="00D34003">
              <w:rPr>
                <w:rFonts w:ascii="Arial Narrow" w:hAnsi="Arial Narrow"/>
                <w:sz w:val="20"/>
                <w:szCs w:val="20"/>
              </w:rPr>
              <w:t xml:space="preserve">The pre-PBAC response clarified that this was in </w:t>
            </w:r>
            <w:r w:rsidR="00B11280" w:rsidRPr="00D34003">
              <w:rPr>
                <w:rFonts w:ascii="Arial Narrow" w:hAnsi="Arial Narrow"/>
                <w:sz w:val="20"/>
                <w:szCs w:val="20"/>
              </w:rPr>
              <w:t xml:space="preserve">addition to the rebate of </w:t>
            </w:r>
            <w:r w:rsidR="00504C28">
              <w:rPr>
                <w:rFonts w:ascii="Arial Narrow" w:hAnsi="Arial Narrow"/>
                <w:noProof/>
                <w:color w:val="000000"/>
                <w:sz w:val="20"/>
                <w:szCs w:val="20"/>
                <w:highlight w:val="black"/>
              </w:rPr>
              <w:t>'''''</w:t>
            </w:r>
            <w:r w:rsidR="00B11280" w:rsidRPr="00D34003">
              <w:rPr>
                <w:rFonts w:ascii="Arial Narrow" w:hAnsi="Arial Narrow"/>
                <w:sz w:val="20"/>
                <w:szCs w:val="20"/>
              </w:rPr>
              <w:t>% after week 79.</w:t>
            </w:r>
          </w:p>
        </w:tc>
      </w:tr>
    </w:tbl>
    <w:p w:rsidR="00F34CB9" w:rsidRPr="00D34003" w:rsidRDefault="00F34CB9" w:rsidP="00F34CB9">
      <w:pPr>
        <w:pStyle w:val="TableFooter"/>
        <w:jc w:val="left"/>
      </w:pPr>
      <w:r w:rsidRPr="00D34003">
        <w:t xml:space="preserve">Abbreviations: </w:t>
      </w:r>
      <w:r w:rsidR="001D720D" w:rsidRPr="00D34003">
        <w:t xml:space="preserve">AIC = </w:t>
      </w:r>
      <w:proofErr w:type="spellStart"/>
      <w:r w:rsidR="001D720D" w:rsidRPr="00D34003">
        <w:t>Akaike</w:t>
      </w:r>
      <w:proofErr w:type="spellEnd"/>
      <w:r w:rsidR="001D720D" w:rsidRPr="00D34003">
        <w:t xml:space="preserve"> information criterion; BIC = Bayesian information criterion; </w:t>
      </w:r>
      <w:r w:rsidRPr="00D34003">
        <w:t>DPMA</w:t>
      </w:r>
      <w:r w:rsidR="001D720D" w:rsidRPr="00D34003">
        <w:t xml:space="preserve"> </w:t>
      </w:r>
      <w:r w:rsidRPr="00D34003">
        <w:t xml:space="preserve">= </w:t>
      </w:r>
      <w:r w:rsidR="001D720D" w:rsidRPr="00D34003">
        <w:t>D</w:t>
      </w:r>
      <w:r w:rsidRPr="00D34003">
        <w:t>ispensed price for maximum amount;</w:t>
      </w:r>
      <w:r w:rsidR="00742C98" w:rsidRPr="00D34003">
        <w:t xml:space="preserve"> </w:t>
      </w:r>
      <w:r w:rsidR="001D720D" w:rsidRPr="00D34003">
        <w:t xml:space="preserve">ICER = Incremental cost effectiveness ratio; </w:t>
      </w:r>
      <w:r w:rsidR="00742C98" w:rsidRPr="00D34003">
        <w:t>KM = Kaplan-Meier curve;</w:t>
      </w:r>
      <w:r w:rsidRPr="00D34003">
        <w:t xml:space="preserve"> Nov = November; </w:t>
      </w:r>
      <w:r w:rsidR="00742C98" w:rsidRPr="00D34003">
        <w:t>PBAC = Pharmaceutical Benefits Advisory Committee;</w:t>
      </w:r>
      <w:r w:rsidRPr="00D34003">
        <w:t xml:space="preserve"> </w:t>
      </w:r>
      <w:r w:rsidR="001D720D" w:rsidRPr="00D34003">
        <w:t>PFS = P</w:t>
      </w:r>
      <w:r w:rsidRPr="00D34003">
        <w:t xml:space="preserve">rogression free survival; </w:t>
      </w:r>
      <w:r w:rsidR="00742C98" w:rsidRPr="00D34003">
        <w:t xml:space="preserve">PSD = </w:t>
      </w:r>
      <w:r w:rsidR="001D720D" w:rsidRPr="00D34003">
        <w:t>P</w:t>
      </w:r>
      <w:r w:rsidR="00742C98" w:rsidRPr="00D34003">
        <w:t xml:space="preserve">ublic summary document; </w:t>
      </w:r>
      <w:r w:rsidRPr="00D34003">
        <w:t xml:space="preserve">OS = </w:t>
      </w:r>
      <w:r w:rsidR="001D720D" w:rsidRPr="00D34003">
        <w:t>O</w:t>
      </w:r>
      <w:r w:rsidRPr="00D34003">
        <w:t xml:space="preserve">verall survival; RSA = Risk-Sharing Arrangement; SOC = </w:t>
      </w:r>
      <w:r w:rsidR="001D720D" w:rsidRPr="00D34003">
        <w:t>S</w:t>
      </w:r>
      <w:r w:rsidRPr="00D34003">
        <w:t>tandard of care; TGA = Therapeutics Goods Administration</w:t>
      </w:r>
      <w:r w:rsidR="001D720D" w:rsidRPr="00D34003">
        <w:t>; TOT = T</w:t>
      </w:r>
      <w:r w:rsidRPr="00D34003">
        <w:t>ime on treatment</w:t>
      </w:r>
    </w:p>
    <w:p w:rsidR="005A3E35" w:rsidRPr="00D34003" w:rsidRDefault="00F34CB9" w:rsidP="00F34CB9">
      <w:pPr>
        <w:widowControl/>
        <w:rPr>
          <w:rFonts w:ascii="Arial Narrow" w:hAnsi="Arial Narrow"/>
          <w:sz w:val="18"/>
        </w:rPr>
      </w:pPr>
      <w:r w:rsidRPr="00D34003">
        <w:rPr>
          <w:rFonts w:ascii="Arial Narrow" w:hAnsi="Arial Narrow"/>
          <w:sz w:val="18"/>
        </w:rPr>
        <w:t>Source: Developed as part of the evaluation.</w:t>
      </w:r>
    </w:p>
    <w:p w:rsidR="00FD1830" w:rsidRPr="00D34003" w:rsidRDefault="00E92E9C" w:rsidP="00E92E9C">
      <w:pPr>
        <w:widowControl/>
        <w:tabs>
          <w:tab w:val="left" w:pos="981"/>
        </w:tabs>
        <w:rPr>
          <w:rFonts w:ascii="Arial Narrow" w:hAnsi="Arial Narrow"/>
          <w:sz w:val="18"/>
        </w:rPr>
      </w:pPr>
      <w:r w:rsidRPr="00D34003">
        <w:tab/>
      </w:r>
    </w:p>
    <w:p w:rsidR="00E910F4" w:rsidRPr="00D34003" w:rsidRDefault="00E910F4" w:rsidP="007A7E9A">
      <w:pPr>
        <w:pStyle w:val="ListParagraph"/>
        <w:widowControl/>
        <w:numPr>
          <w:ilvl w:val="1"/>
          <w:numId w:val="1"/>
        </w:numPr>
        <w:tabs>
          <w:tab w:val="left" w:pos="4111"/>
        </w:tabs>
      </w:pPr>
      <w:r w:rsidRPr="00D34003">
        <w:t xml:space="preserve">SOC in </w:t>
      </w:r>
      <w:r w:rsidR="002F65F5" w:rsidRPr="00D34003">
        <w:t xml:space="preserve">KN045 </w:t>
      </w:r>
      <w:r w:rsidRPr="00D34003">
        <w:t xml:space="preserve">included </w:t>
      </w:r>
      <w:proofErr w:type="spellStart"/>
      <w:r w:rsidRPr="00D34003">
        <w:t>vinflunine</w:t>
      </w:r>
      <w:proofErr w:type="spellEnd"/>
      <w:r w:rsidRPr="00D34003">
        <w:t xml:space="preserve">. At its July 2017 meeting, the PBAC did not recommend the PBS listing for </w:t>
      </w:r>
      <w:proofErr w:type="spellStart"/>
      <w:r w:rsidRPr="00D34003">
        <w:t>vinflunine</w:t>
      </w:r>
      <w:proofErr w:type="spellEnd"/>
      <w:r w:rsidRPr="00D34003">
        <w:t xml:space="preserve"> for the treatment of LA or metastatic transitional cell carcinoma of the urothelial tract (TCCU), on the basis of a lack of evidence of an incremental gain in OS versus currently available alternative active chemotherapy (</w:t>
      </w:r>
      <w:proofErr w:type="spellStart"/>
      <w:r w:rsidRPr="00D34003">
        <w:t>vinflunine</w:t>
      </w:r>
      <w:proofErr w:type="spellEnd"/>
      <w:r w:rsidRPr="00D34003">
        <w:t xml:space="preserve"> PSD, July 2017, p17). </w:t>
      </w:r>
      <w:proofErr w:type="spellStart"/>
      <w:r w:rsidRPr="00D34003">
        <w:t>Vinflunine</w:t>
      </w:r>
      <w:proofErr w:type="spellEnd"/>
      <w:r w:rsidRPr="00D34003">
        <w:t xml:space="preserve"> was rejected for the third time by the PBAC in July 2017. </w:t>
      </w:r>
    </w:p>
    <w:p w:rsidR="00643B89" w:rsidRPr="00D34003" w:rsidRDefault="00643B89" w:rsidP="004312BE">
      <w:pPr>
        <w:pStyle w:val="BodyText"/>
        <w:rPr>
          <w:i/>
        </w:rPr>
      </w:pPr>
      <w:r w:rsidRPr="00D34003">
        <w:rPr>
          <w:i/>
        </w:rPr>
        <w:t>For more detail on PBAC’s view, see section 7 PBAC outcome.</w:t>
      </w:r>
    </w:p>
    <w:p w:rsidR="00706810" w:rsidRPr="00D34003" w:rsidRDefault="00706810" w:rsidP="008A23A2">
      <w:pPr>
        <w:pStyle w:val="PBACHeading1"/>
        <w:spacing w:before="240" w:after="120"/>
        <w:outlineLvl w:val="0"/>
      </w:pPr>
      <w:bookmarkStart w:id="9" w:name="_Toc514243666"/>
      <w:r w:rsidRPr="00D34003">
        <w:t>Population and disease</w:t>
      </w:r>
      <w:bookmarkEnd w:id="9"/>
    </w:p>
    <w:p w:rsidR="00706810" w:rsidRPr="00D34003" w:rsidRDefault="00706810" w:rsidP="007A7E9A">
      <w:pPr>
        <w:pStyle w:val="ListParagraph"/>
        <w:widowControl/>
        <w:numPr>
          <w:ilvl w:val="1"/>
          <w:numId w:val="1"/>
        </w:numPr>
      </w:pPr>
      <w:r w:rsidRPr="00D34003">
        <w:t>The vast majority of urothelial carcinomas originate in the bladder and the vast majority of bladder cancers (BC) are of urothelial (transitional cell) histology. BC is the 10</w:t>
      </w:r>
      <w:r w:rsidRPr="00D34003">
        <w:rPr>
          <w:vertAlign w:val="superscript"/>
        </w:rPr>
        <w:t>th</w:t>
      </w:r>
      <w:r w:rsidR="00E910F4" w:rsidRPr="00D34003">
        <w:t xml:space="preserve"> </w:t>
      </w:r>
      <w:r w:rsidRPr="00D34003">
        <w:t xml:space="preserve">most commonly diagnosed cancer in Australia. The majority of patients are male (77%) and the average age </w:t>
      </w:r>
      <w:r w:rsidR="00E910F4" w:rsidRPr="00D34003">
        <w:t xml:space="preserve">at diagnosis </w:t>
      </w:r>
      <w:r w:rsidRPr="00D34003">
        <w:t xml:space="preserve">is 74.7 years. OS from </w:t>
      </w:r>
      <w:r w:rsidR="00A72FB4" w:rsidRPr="00D34003">
        <w:t>BC</w:t>
      </w:r>
      <w:r w:rsidRPr="00D34003">
        <w:t xml:space="preserve"> has declined over the last 30 years (around 1,196 Australians </w:t>
      </w:r>
      <w:r w:rsidR="00D84E02" w:rsidRPr="00D34003">
        <w:t xml:space="preserve">will </w:t>
      </w:r>
      <w:r w:rsidRPr="00D34003">
        <w:t xml:space="preserve">die of BC in 2018). </w:t>
      </w:r>
      <w:r w:rsidR="00B11AAF" w:rsidRPr="00D34003">
        <w:t>The resubmission noted that the reason for this decline is unclear.</w:t>
      </w:r>
    </w:p>
    <w:p w:rsidR="00706810" w:rsidRPr="00D34003" w:rsidRDefault="00706810" w:rsidP="007A7E9A">
      <w:pPr>
        <w:pStyle w:val="ListParagraph"/>
        <w:widowControl/>
        <w:numPr>
          <w:ilvl w:val="1"/>
          <w:numId w:val="1"/>
        </w:numPr>
      </w:pPr>
      <w:r w:rsidRPr="00D34003">
        <w:t xml:space="preserve">Pembrolizumab is proposed as a second line treatment </w:t>
      </w:r>
      <w:r w:rsidR="00F91AE3" w:rsidRPr="00D34003">
        <w:t xml:space="preserve">in </w:t>
      </w:r>
      <w:r w:rsidRPr="00D34003">
        <w:t>patients who progress following treatment with platinum-based therapy.</w:t>
      </w:r>
    </w:p>
    <w:p w:rsidR="001609D0" w:rsidRDefault="004312BE" w:rsidP="004312BE">
      <w:pPr>
        <w:pStyle w:val="BodyText"/>
        <w:rPr>
          <w:i/>
        </w:rPr>
      </w:pPr>
      <w:r w:rsidRPr="00D34003">
        <w:rPr>
          <w:i/>
        </w:rPr>
        <w:t>For more detail on PBAC’s view, see section 7 PBAC outcome.</w:t>
      </w:r>
    </w:p>
    <w:p w:rsidR="001609D0" w:rsidRDefault="001609D0">
      <w:pPr>
        <w:widowControl/>
        <w:jc w:val="left"/>
        <w:rPr>
          <w:i/>
        </w:rPr>
      </w:pPr>
      <w:r>
        <w:rPr>
          <w:i/>
        </w:rPr>
        <w:br w:type="page"/>
      </w:r>
    </w:p>
    <w:p w:rsidR="00706810" w:rsidRPr="00D34003" w:rsidRDefault="00706810" w:rsidP="008A23A2">
      <w:pPr>
        <w:pStyle w:val="PBACHeading1"/>
        <w:spacing w:before="240" w:after="120"/>
        <w:outlineLvl w:val="0"/>
      </w:pPr>
      <w:bookmarkStart w:id="10" w:name="_Toc514243667"/>
      <w:r w:rsidRPr="00D34003">
        <w:lastRenderedPageBreak/>
        <w:t>Comparator</w:t>
      </w:r>
      <w:bookmarkEnd w:id="10"/>
    </w:p>
    <w:p w:rsidR="00706810" w:rsidRPr="00D34003" w:rsidRDefault="00706810" w:rsidP="007A7E9A">
      <w:pPr>
        <w:pStyle w:val="ListParagraph"/>
        <w:widowControl/>
        <w:numPr>
          <w:ilvl w:val="1"/>
          <w:numId w:val="1"/>
        </w:numPr>
      </w:pPr>
      <w:r w:rsidRPr="00D34003">
        <w:rPr>
          <w:rFonts w:cs="Calibri"/>
          <w:snapToGrid/>
          <w:szCs w:val="24"/>
          <w:lang w:eastAsia="en-AU"/>
        </w:rPr>
        <w:t>The resubmission nominated SOC (</w:t>
      </w:r>
      <w:r w:rsidR="00E910F4" w:rsidRPr="00D34003">
        <w:rPr>
          <w:rFonts w:cs="Calibri"/>
          <w:snapToGrid/>
          <w:szCs w:val="24"/>
          <w:lang w:eastAsia="en-AU"/>
        </w:rPr>
        <w:t>as in the November 2017 submission</w:t>
      </w:r>
      <w:r w:rsidRPr="00D34003">
        <w:rPr>
          <w:rFonts w:cs="Calibri"/>
          <w:snapToGrid/>
          <w:szCs w:val="24"/>
          <w:lang w:eastAsia="en-AU"/>
        </w:rPr>
        <w:t xml:space="preserve">) as the main comparator (paclitaxel, docetaxel). </w:t>
      </w:r>
      <w:r w:rsidR="00E910F4" w:rsidRPr="00D34003">
        <w:rPr>
          <w:rFonts w:cs="Calibri"/>
          <w:snapToGrid/>
          <w:szCs w:val="24"/>
          <w:lang w:eastAsia="en-AU"/>
        </w:rPr>
        <w:t xml:space="preserve">The </w:t>
      </w:r>
      <w:r w:rsidRPr="00D34003">
        <w:rPr>
          <w:rFonts w:cs="Calibri"/>
          <w:snapToGrid/>
          <w:szCs w:val="24"/>
          <w:lang w:eastAsia="en-AU"/>
        </w:rPr>
        <w:t>PBAC considered this was appropriate (</w:t>
      </w:r>
      <w:r w:rsidR="005E7BD4" w:rsidRPr="00D34003">
        <w:rPr>
          <w:rFonts w:cs="Calibri"/>
          <w:snapToGrid/>
          <w:szCs w:val="24"/>
          <w:lang w:eastAsia="en-AU"/>
        </w:rPr>
        <w:t>pembrolizumab PSD</w:t>
      </w:r>
      <w:r w:rsidRPr="00D34003">
        <w:rPr>
          <w:rFonts w:cs="Calibri"/>
          <w:snapToGrid/>
          <w:szCs w:val="24"/>
          <w:lang w:eastAsia="en-AU"/>
        </w:rPr>
        <w:t xml:space="preserve">, November 2017, point 7.3). </w:t>
      </w:r>
    </w:p>
    <w:p w:rsidR="009831FF" w:rsidRPr="00D34003" w:rsidRDefault="004312BE" w:rsidP="00B44E28">
      <w:pPr>
        <w:pStyle w:val="BodyText"/>
        <w:rPr>
          <w:i/>
        </w:rPr>
      </w:pPr>
      <w:r w:rsidRPr="00D34003">
        <w:rPr>
          <w:i/>
        </w:rPr>
        <w:t>For more detail on PBAC’s view, see section 7 PBAC outcome.</w:t>
      </w:r>
      <w:bookmarkStart w:id="11" w:name="_Toc514243668"/>
    </w:p>
    <w:p w:rsidR="00706810" w:rsidRPr="00D34003" w:rsidRDefault="00706810" w:rsidP="008A23A2">
      <w:pPr>
        <w:pStyle w:val="PBACHeading1"/>
        <w:spacing w:before="240" w:after="120"/>
        <w:outlineLvl w:val="0"/>
      </w:pPr>
      <w:r w:rsidRPr="00D34003">
        <w:t>Consideration of the evidence</w:t>
      </w:r>
      <w:bookmarkEnd w:id="11"/>
    </w:p>
    <w:p w:rsidR="004312BE" w:rsidRPr="00D34003" w:rsidRDefault="004312BE" w:rsidP="008A23A2">
      <w:pPr>
        <w:spacing w:before="240" w:after="120" w:line="276" w:lineRule="auto"/>
        <w:outlineLvl w:val="1"/>
        <w:rPr>
          <w:rFonts w:asciiTheme="minorHAnsi" w:hAnsiTheme="minorHAnsi"/>
          <w:b/>
          <w:bCs/>
          <w:i/>
          <w:sz w:val="28"/>
          <w:szCs w:val="28"/>
        </w:rPr>
      </w:pPr>
      <w:bookmarkStart w:id="12" w:name="_Toc511305027"/>
      <w:bookmarkStart w:id="13" w:name="_Toc514243669"/>
      <w:r w:rsidRPr="00D34003">
        <w:rPr>
          <w:rFonts w:asciiTheme="minorHAnsi" w:hAnsiTheme="minorHAnsi"/>
          <w:b/>
          <w:bCs/>
          <w:i/>
          <w:sz w:val="28"/>
          <w:szCs w:val="28"/>
        </w:rPr>
        <w:t>Sponsor hearing</w:t>
      </w:r>
    </w:p>
    <w:p w:rsidR="004312BE" w:rsidRPr="00D34003" w:rsidRDefault="004312BE" w:rsidP="004312BE">
      <w:pPr>
        <w:numPr>
          <w:ilvl w:val="1"/>
          <w:numId w:val="1"/>
        </w:numPr>
        <w:spacing w:after="120"/>
        <w:rPr>
          <w:rFonts w:asciiTheme="minorHAnsi" w:hAnsiTheme="minorHAnsi"/>
          <w:bCs/>
        </w:rPr>
      </w:pPr>
      <w:r w:rsidRPr="00D34003">
        <w:rPr>
          <w:rFonts w:asciiTheme="minorHAnsi" w:hAnsiTheme="minorHAnsi"/>
          <w:bCs/>
        </w:rPr>
        <w:t xml:space="preserve">The sponsor requested a hearing for this item. The </w:t>
      </w:r>
      <w:r w:rsidR="00AB2732">
        <w:rPr>
          <w:rFonts w:asciiTheme="minorHAnsi" w:hAnsiTheme="minorHAnsi"/>
          <w:bCs/>
        </w:rPr>
        <w:t xml:space="preserve">sponsor’s medical director of oncology </w:t>
      </w:r>
      <w:r w:rsidR="00E73991" w:rsidRPr="00D34003">
        <w:rPr>
          <w:rFonts w:asciiTheme="minorHAnsi" w:hAnsiTheme="minorHAnsi"/>
          <w:bCs/>
        </w:rPr>
        <w:t xml:space="preserve">presented a patient’s experience </w:t>
      </w:r>
      <w:r w:rsidR="00B44E28" w:rsidRPr="00D34003">
        <w:rPr>
          <w:rFonts w:asciiTheme="minorHAnsi" w:hAnsiTheme="minorHAnsi"/>
          <w:bCs/>
        </w:rPr>
        <w:t xml:space="preserve">of </w:t>
      </w:r>
      <w:r w:rsidR="00E73991" w:rsidRPr="00D34003">
        <w:rPr>
          <w:rFonts w:asciiTheme="minorHAnsi" w:hAnsiTheme="minorHAnsi"/>
          <w:bCs/>
        </w:rPr>
        <w:t xml:space="preserve">treatment with </w:t>
      </w:r>
      <w:proofErr w:type="gramStart"/>
      <w:r w:rsidR="00E73991" w:rsidRPr="00D34003">
        <w:rPr>
          <w:rFonts w:asciiTheme="minorHAnsi" w:hAnsiTheme="minorHAnsi"/>
          <w:bCs/>
        </w:rPr>
        <w:t>pembrolizumab</w:t>
      </w:r>
      <w:r w:rsidR="00B44E28" w:rsidRPr="00D34003">
        <w:rPr>
          <w:rFonts w:asciiTheme="minorHAnsi" w:hAnsiTheme="minorHAnsi"/>
          <w:bCs/>
        </w:rPr>
        <w:t>,</w:t>
      </w:r>
      <w:proofErr w:type="gramEnd"/>
      <w:r w:rsidR="00B44E28" w:rsidRPr="00D34003">
        <w:rPr>
          <w:rFonts w:asciiTheme="minorHAnsi" w:hAnsiTheme="minorHAnsi"/>
          <w:bCs/>
        </w:rPr>
        <w:t xml:space="preserve"> it’s efficacy</w:t>
      </w:r>
      <w:r w:rsidR="00E73991" w:rsidRPr="00D34003">
        <w:rPr>
          <w:rFonts w:asciiTheme="minorHAnsi" w:hAnsiTheme="minorHAnsi"/>
          <w:bCs/>
        </w:rPr>
        <w:t xml:space="preserve"> in treating </w:t>
      </w:r>
      <w:r w:rsidR="00B44E28" w:rsidRPr="00D34003">
        <w:rPr>
          <w:rFonts w:asciiTheme="minorHAnsi" w:hAnsiTheme="minorHAnsi"/>
          <w:bCs/>
        </w:rPr>
        <w:t>the patient’s</w:t>
      </w:r>
      <w:r w:rsidR="00E73991" w:rsidRPr="00D34003">
        <w:rPr>
          <w:rFonts w:asciiTheme="minorHAnsi" w:hAnsiTheme="minorHAnsi"/>
          <w:bCs/>
        </w:rPr>
        <w:t xml:space="preserve"> urothelial cancer</w:t>
      </w:r>
      <w:r w:rsidR="00523239" w:rsidRPr="00D34003">
        <w:rPr>
          <w:rFonts w:asciiTheme="minorHAnsi" w:hAnsiTheme="minorHAnsi"/>
          <w:bCs/>
        </w:rPr>
        <w:t xml:space="preserve"> and </w:t>
      </w:r>
      <w:r w:rsidR="00B44E28" w:rsidRPr="00D34003">
        <w:rPr>
          <w:rFonts w:asciiTheme="minorHAnsi" w:hAnsiTheme="minorHAnsi"/>
          <w:bCs/>
        </w:rPr>
        <w:t>noted the current</w:t>
      </w:r>
      <w:r w:rsidR="00523239" w:rsidRPr="00D34003">
        <w:rPr>
          <w:rFonts w:asciiTheme="minorHAnsi" w:hAnsiTheme="minorHAnsi"/>
          <w:bCs/>
        </w:rPr>
        <w:t xml:space="preserve"> inequitable access to this medicine</w:t>
      </w:r>
      <w:r w:rsidR="00E73991" w:rsidRPr="00D34003">
        <w:rPr>
          <w:rFonts w:asciiTheme="minorHAnsi" w:hAnsiTheme="minorHAnsi"/>
          <w:bCs/>
        </w:rPr>
        <w:t xml:space="preserve">. The clinician also </w:t>
      </w:r>
      <w:r w:rsidR="00523239" w:rsidRPr="00D34003">
        <w:rPr>
          <w:rFonts w:asciiTheme="minorHAnsi" w:hAnsiTheme="minorHAnsi"/>
          <w:bCs/>
        </w:rPr>
        <w:t>presented</w:t>
      </w:r>
      <w:r w:rsidR="00A72FB4" w:rsidRPr="00D34003">
        <w:rPr>
          <w:rFonts w:asciiTheme="minorHAnsi" w:hAnsiTheme="minorHAnsi"/>
          <w:bCs/>
        </w:rPr>
        <w:t xml:space="preserve"> on</w:t>
      </w:r>
      <w:r w:rsidR="00523239" w:rsidRPr="00D34003">
        <w:rPr>
          <w:rFonts w:asciiTheme="minorHAnsi" w:hAnsiTheme="minorHAnsi"/>
          <w:bCs/>
        </w:rPr>
        <w:t xml:space="preserve"> </w:t>
      </w:r>
      <w:r w:rsidR="00E73991" w:rsidRPr="00D34003">
        <w:rPr>
          <w:rFonts w:asciiTheme="minorHAnsi" w:hAnsiTheme="minorHAnsi"/>
          <w:bCs/>
        </w:rPr>
        <w:t xml:space="preserve">the effectiveness and tolerability of pembrolizumab using the pivotal trial data provided in the submission. </w:t>
      </w:r>
      <w:r w:rsidRPr="00D34003">
        <w:rPr>
          <w:rFonts w:asciiTheme="minorHAnsi" w:hAnsiTheme="minorHAnsi"/>
          <w:bCs/>
        </w:rPr>
        <w:t>The PBAC considered that the hearing was not informative as it did not add substantively to the evidence presented in the submission</w:t>
      </w:r>
      <w:r w:rsidR="00523239" w:rsidRPr="00D34003">
        <w:rPr>
          <w:rFonts w:asciiTheme="minorHAnsi" w:hAnsiTheme="minorHAnsi"/>
          <w:bCs/>
        </w:rPr>
        <w:t xml:space="preserve"> and the consumer information was </w:t>
      </w:r>
      <w:r w:rsidR="006430CC" w:rsidRPr="00D34003">
        <w:rPr>
          <w:rFonts w:asciiTheme="minorHAnsi" w:hAnsiTheme="minorHAnsi"/>
          <w:bCs/>
        </w:rPr>
        <w:t xml:space="preserve">already </w:t>
      </w:r>
      <w:r w:rsidR="00523239" w:rsidRPr="00D34003">
        <w:rPr>
          <w:rFonts w:asciiTheme="minorHAnsi" w:hAnsiTheme="minorHAnsi"/>
          <w:bCs/>
        </w:rPr>
        <w:t>provided through the Consumer Comments facility</w:t>
      </w:r>
      <w:r w:rsidR="00E73991" w:rsidRPr="00D34003">
        <w:rPr>
          <w:rFonts w:asciiTheme="minorHAnsi" w:hAnsiTheme="minorHAnsi"/>
          <w:bCs/>
        </w:rPr>
        <w:t>.</w:t>
      </w:r>
    </w:p>
    <w:p w:rsidR="004312BE" w:rsidRPr="00D34003" w:rsidRDefault="004312BE" w:rsidP="008A23A2">
      <w:pPr>
        <w:spacing w:before="240" w:after="120" w:line="276" w:lineRule="auto"/>
        <w:outlineLvl w:val="1"/>
        <w:rPr>
          <w:rFonts w:asciiTheme="minorHAnsi" w:hAnsiTheme="minorHAnsi"/>
          <w:b/>
          <w:bCs/>
          <w:i/>
          <w:sz w:val="28"/>
          <w:szCs w:val="28"/>
        </w:rPr>
      </w:pPr>
      <w:r w:rsidRPr="00D34003">
        <w:rPr>
          <w:rFonts w:asciiTheme="minorHAnsi" w:hAnsiTheme="minorHAnsi"/>
          <w:b/>
          <w:bCs/>
          <w:i/>
          <w:sz w:val="28"/>
          <w:szCs w:val="28"/>
        </w:rPr>
        <w:t>Consumer comments</w:t>
      </w:r>
    </w:p>
    <w:p w:rsidR="004312BE" w:rsidRPr="00D34003" w:rsidRDefault="004312BE" w:rsidP="004312BE">
      <w:pPr>
        <w:numPr>
          <w:ilvl w:val="1"/>
          <w:numId w:val="1"/>
        </w:numPr>
        <w:spacing w:after="120"/>
        <w:rPr>
          <w:rFonts w:asciiTheme="minorHAnsi" w:hAnsiTheme="minorHAnsi"/>
          <w:bCs/>
        </w:rPr>
      </w:pPr>
      <w:r w:rsidRPr="00D34003">
        <w:rPr>
          <w:rFonts w:asciiTheme="minorHAnsi" w:hAnsiTheme="minorHAnsi"/>
          <w:bCs/>
        </w:rPr>
        <w:t>The PBAC noted and welcomed the input from individuals (</w:t>
      </w:r>
      <w:r w:rsidR="00131CC0" w:rsidRPr="00D34003">
        <w:rPr>
          <w:rFonts w:asciiTheme="minorHAnsi" w:hAnsiTheme="minorHAnsi"/>
          <w:bCs/>
        </w:rPr>
        <w:t>10</w:t>
      </w:r>
      <w:r w:rsidRPr="00D34003">
        <w:rPr>
          <w:rFonts w:asciiTheme="minorHAnsi" w:hAnsiTheme="minorHAnsi"/>
          <w:bCs/>
        </w:rPr>
        <w:t>)</w:t>
      </w:r>
      <w:r w:rsidR="00131CC0" w:rsidRPr="00D34003">
        <w:rPr>
          <w:rFonts w:asciiTheme="minorHAnsi" w:hAnsiTheme="minorHAnsi"/>
          <w:bCs/>
        </w:rPr>
        <w:t xml:space="preserve"> and </w:t>
      </w:r>
      <w:r w:rsidRPr="00D34003">
        <w:rPr>
          <w:rFonts w:asciiTheme="minorHAnsi" w:hAnsiTheme="minorHAnsi"/>
          <w:bCs/>
        </w:rPr>
        <w:t>health care professionals (</w:t>
      </w:r>
      <w:r w:rsidR="00131CC0" w:rsidRPr="00D34003">
        <w:rPr>
          <w:rFonts w:asciiTheme="minorHAnsi" w:hAnsiTheme="minorHAnsi"/>
          <w:bCs/>
        </w:rPr>
        <w:t>9</w:t>
      </w:r>
      <w:r w:rsidRPr="00D34003">
        <w:rPr>
          <w:rFonts w:asciiTheme="minorHAnsi" w:hAnsiTheme="minorHAnsi"/>
          <w:bCs/>
        </w:rPr>
        <w:t xml:space="preserve">) via the Consumer Comments facility on the PBS website.  </w:t>
      </w:r>
      <w:r w:rsidR="00131CC0" w:rsidRPr="00D34003">
        <w:rPr>
          <w:rFonts w:asciiTheme="minorHAnsi" w:hAnsiTheme="minorHAnsi"/>
          <w:bCs/>
        </w:rPr>
        <w:t>Similar to the comments received for the previ</w:t>
      </w:r>
      <w:bookmarkStart w:id="14" w:name="_GoBack"/>
      <w:bookmarkEnd w:id="14"/>
      <w:r w:rsidR="00131CC0" w:rsidRPr="00D34003">
        <w:rPr>
          <w:rFonts w:asciiTheme="minorHAnsi" w:hAnsiTheme="minorHAnsi"/>
          <w:bCs/>
        </w:rPr>
        <w:t xml:space="preserve">ous submission, </w:t>
      </w:r>
      <w:r w:rsidR="002465F1" w:rsidRPr="00D34003">
        <w:rPr>
          <w:rFonts w:asciiTheme="minorHAnsi" w:hAnsiTheme="minorHAnsi"/>
          <w:bCs/>
        </w:rPr>
        <w:t xml:space="preserve">the comments described that pembrolizumab was effective in treating urothelial cancer where symptoms were improved and the medicine was well tolerated compared to chemotherapy. </w:t>
      </w:r>
      <w:r w:rsidR="006C4D30" w:rsidRPr="00D34003">
        <w:rPr>
          <w:rFonts w:asciiTheme="minorHAnsi" w:hAnsiTheme="minorHAnsi"/>
          <w:bCs/>
        </w:rPr>
        <w:t>The b</w:t>
      </w:r>
      <w:r w:rsidR="002465F1" w:rsidRPr="00D34003">
        <w:rPr>
          <w:rFonts w:asciiTheme="minorHAnsi" w:hAnsiTheme="minorHAnsi"/>
          <w:bCs/>
        </w:rPr>
        <w:t>enefits</w:t>
      </w:r>
      <w:r w:rsidR="006C4D30" w:rsidRPr="00D34003">
        <w:rPr>
          <w:rFonts w:asciiTheme="minorHAnsi" w:hAnsiTheme="minorHAnsi"/>
          <w:bCs/>
        </w:rPr>
        <w:t xml:space="preserve"> of </w:t>
      </w:r>
      <w:r w:rsidR="002465F1" w:rsidRPr="00D34003">
        <w:rPr>
          <w:rFonts w:asciiTheme="minorHAnsi" w:hAnsiTheme="minorHAnsi"/>
          <w:bCs/>
        </w:rPr>
        <w:t>using pembrolizumab over chemotherapy included having more energy and improved quality of life because it was painless and allowed patients to resume their normal lives.</w:t>
      </w:r>
      <w:r w:rsidR="006C4D30" w:rsidRPr="00D34003">
        <w:rPr>
          <w:rFonts w:asciiTheme="minorHAnsi" w:hAnsiTheme="minorHAnsi"/>
          <w:bCs/>
        </w:rPr>
        <w:t xml:space="preserve"> The comments also emphasized </w:t>
      </w:r>
      <w:r w:rsidR="0000639E" w:rsidRPr="00D34003">
        <w:rPr>
          <w:rFonts w:asciiTheme="minorHAnsi" w:hAnsiTheme="minorHAnsi"/>
          <w:bCs/>
        </w:rPr>
        <w:t xml:space="preserve">that </w:t>
      </w:r>
      <w:r w:rsidR="006C4D30" w:rsidRPr="00D34003">
        <w:rPr>
          <w:rFonts w:asciiTheme="minorHAnsi" w:hAnsiTheme="minorHAnsi"/>
          <w:bCs/>
        </w:rPr>
        <w:t>there w</w:t>
      </w:r>
      <w:r w:rsidR="0000639E" w:rsidRPr="00D34003">
        <w:rPr>
          <w:rFonts w:asciiTheme="minorHAnsi" w:hAnsiTheme="minorHAnsi"/>
          <w:bCs/>
        </w:rPr>
        <w:t xml:space="preserve">ere </w:t>
      </w:r>
      <w:r w:rsidR="006C4D30" w:rsidRPr="00D34003">
        <w:rPr>
          <w:rFonts w:asciiTheme="minorHAnsi" w:hAnsiTheme="minorHAnsi"/>
          <w:bCs/>
        </w:rPr>
        <w:t>l</w:t>
      </w:r>
      <w:r w:rsidR="0000639E" w:rsidRPr="00D34003">
        <w:rPr>
          <w:rFonts w:asciiTheme="minorHAnsi" w:hAnsiTheme="minorHAnsi"/>
          <w:bCs/>
        </w:rPr>
        <w:t>imited</w:t>
      </w:r>
      <w:r w:rsidR="006C4D30" w:rsidRPr="00D34003">
        <w:rPr>
          <w:rFonts w:asciiTheme="minorHAnsi" w:hAnsiTheme="minorHAnsi"/>
          <w:bCs/>
        </w:rPr>
        <w:t xml:space="preserve"> </w:t>
      </w:r>
      <w:r w:rsidR="0000639E" w:rsidRPr="00D34003">
        <w:rPr>
          <w:rFonts w:asciiTheme="minorHAnsi" w:hAnsiTheme="minorHAnsi"/>
          <w:bCs/>
        </w:rPr>
        <w:t xml:space="preserve">treatment options for </w:t>
      </w:r>
      <w:r w:rsidR="006C4D30" w:rsidRPr="00D34003">
        <w:rPr>
          <w:rFonts w:asciiTheme="minorHAnsi" w:hAnsiTheme="minorHAnsi"/>
          <w:bCs/>
        </w:rPr>
        <w:t>this type of cancer.</w:t>
      </w:r>
    </w:p>
    <w:p w:rsidR="004312BE" w:rsidRPr="00D34003" w:rsidRDefault="004312BE" w:rsidP="004312BE">
      <w:pPr>
        <w:numPr>
          <w:ilvl w:val="1"/>
          <w:numId w:val="1"/>
        </w:numPr>
        <w:spacing w:after="120"/>
        <w:rPr>
          <w:rFonts w:asciiTheme="minorHAnsi" w:hAnsiTheme="minorHAnsi"/>
          <w:bCs/>
        </w:rPr>
      </w:pPr>
      <w:r w:rsidRPr="00D34003">
        <w:rPr>
          <w:rFonts w:asciiTheme="minorHAnsi" w:hAnsiTheme="minorHAnsi"/>
          <w:bCs/>
        </w:rPr>
        <w:t xml:space="preserve">The Medical Oncology Group of Australia (MOGA) </w:t>
      </w:r>
      <w:r w:rsidR="00E27927" w:rsidRPr="00D34003">
        <w:rPr>
          <w:rFonts w:asciiTheme="minorHAnsi" w:hAnsiTheme="minorHAnsi"/>
          <w:bCs/>
        </w:rPr>
        <w:t xml:space="preserve">maintained </w:t>
      </w:r>
      <w:r w:rsidRPr="00D34003">
        <w:rPr>
          <w:rFonts w:asciiTheme="minorHAnsi" w:hAnsiTheme="minorHAnsi"/>
          <w:bCs/>
        </w:rPr>
        <w:t>its</w:t>
      </w:r>
      <w:r w:rsidR="00E27927" w:rsidRPr="00D34003">
        <w:rPr>
          <w:rFonts w:asciiTheme="minorHAnsi" w:hAnsiTheme="minorHAnsi"/>
          <w:bCs/>
        </w:rPr>
        <w:t xml:space="preserve"> strong</w:t>
      </w:r>
      <w:r w:rsidRPr="00D34003">
        <w:rPr>
          <w:rFonts w:asciiTheme="minorHAnsi" w:hAnsiTheme="minorHAnsi"/>
          <w:bCs/>
        </w:rPr>
        <w:t xml:space="preserve"> support for the </w:t>
      </w:r>
      <w:r w:rsidR="00974E06" w:rsidRPr="00D34003">
        <w:rPr>
          <w:rFonts w:asciiTheme="minorHAnsi" w:hAnsiTheme="minorHAnsi"/>
          <w:bCs/>
        </w:rPr>
        <w:t>pembrolizumab</w:t>
      </w:r>
      <w:r w:rsidRPr="00D34003">
        <w:rPr>
          <w:rFonts w:asciiTheme="minorHAnsi" w:hAnsiTheme="minorHAnsi"/>
          <w:bCs/>
        </w:rPr>
        <w:t xml:space="preserve"> submission</w:t>
      </w:r>
      <w:r w:rsidR="000358B1" w:rsidRPr="00D34003">
        <w:rPr>
          <w:rFonts w:asciiTheme="minorHAnsi" w:hAnsiTheme="minorHAnsi"/>
          <w:bCs/>
        </w:rPr>
        <w:t xml:space="preserve"> for urothelial cancer</w:t>
      </w:r>
      <w:r w:rsidRPr="00D34003">
        <w:rPr>
          <w:rFonts w:asciiTheme="minorHAnsi" w:hAnsiTheme="minorHAnsi"/>
          <w:bCs/>
        </w:rPr>
        <w:t xml:space="preserve">. The PBAC noted that the MOGA presented the European Society for Medical Oncology Magnitude of Clinical Benefit Scale (ESMO-MCBS) for </w:t>
      </w:r>
      <w:r w:rsidR="000358B1" w:rsidRPr="00D34003">
        <w:rPr>
          <w:rFonts w:asciiTheme="minorHAnsi" w:hAnsiTheme="minorHAnsi"/>
          <w:bCs/>
        </w:rPr>
        <w:t>pembrolizumab</w:t>
      </w:r>
      <w:r w:rsidR="00D34003" w:rsidRPr="00D34003">
        <w:rPr>
          <w:rFonts w:asciiTheme="minorHAnsi" w:hAnsiTheme="minorHAnsi"/>
          <w:bCs/>
        </w:rPr>
        <w:t>, which</w:t>
      </w:r>
      <w:r w:rsidR="003A56FE" w:rsidRPr="00D34003">
        <w:rPr>
          <w:rFonts w:asciiTheme="minorHAnsi" w:hAnsiTheme="minorHAnsi"/>
          <w:bCs/>
        </w:rPr>
        <w:t xml:space="preserve"> was</w:t>
      </w:r>
      <w:r w:rsidRPr="00D34003">
        <w:rPr>
          <w:rFonts w:asciiTheme="minorHAnsi" w:hAnsiTheme="minorHAnsi"/>
          <w:bCs/>
        </w:rPr>
        <w:t xml:space="preserve"> </w:t>
      </w:r>
      <w:r w:rsidR="00E27927" w:rsidRPr="00D34003">
        <w:rPr>
          <w:rFonts w:asciiTheme="minorHAnsi" w:hAnsiTheme="minorHAnsi"/>
          <w:bCs/>
        </w:rPr>
        <w:t>5</w:t>
      </w:r>
      <w:r w:rsidRPr="00D34003">
        <w:rPr>
          <w:rFonts w:asciiTheme="minorHAnsi" w:hAnsiTheme="minorHAnsi"/>
          <w:bCs/>
        </w:rPr>
        <w:t xml:space="preserve"> (out of a maximum of 5, where 5 and 4 represent the grades with substantial improvement)</w:t>
      </w:r>
      <w:r w:rsidR="000358B1" w:rsidRPr="00D34003">
        <w:rPr>
          <w:rStyle w:val="FootnoteReference"/>
          <w:rFonts w:asciiTheme="minorHAnsi" w:hAnsiTheme="minorHAnsi"/>
          <w:bCs/>
        </w:rPr>
        <w:footnoteReference w:id="4"/>
      </w:r>
      <w:r w:rsidRPr="00D34003">
        <w:rPr>
          <w:rFonts w:asciiTheme="minorHAnsi" w:hAnsiTheme="minorHAnsi"/>
          <w:bCs/>
        </w:rPr>
        <w:t>, ba</w:t>
      </w:r>
      <w:r w:rsidR="000358B1" w:rsidRPr="00D34003">
        <w:rPr>
          <w:rFonts w:asciiTheme="minorHAnsi" w:hAnsiTheme="minorHAnsi"/>
          <w:bCs/>
        </w:rPr>
        <w:t xml:space="preserve">sed on a comparison with </w:t>
      </w:r>
      <w:r w:rsidR="00E27927" w:rsidRPr="00D34003">
        <w:rPr>
          <w:rFonts w:asciiTheme="minorHAnsi" w:hAnsiTheme="minorHAnsi"/>
          <w:bCs/>
        </w:rPr>
        <w:t>chemotherapy</w:t>
      </w:r>
      <w:r w:rsidR="000358B1" w:rsidRPr="00D34003">
        <w:rPr>
          <w:rFonts w:asciiTheme="minorHAnsi" w:hAnsiTheme="minorHAnsi"/>
          <w:bCs/>
        </w:rPr>
        <w:t>.</w:t>
      </w:r>
      <w:r w:rsidR="00B44E28" w:rsidRPr="00D34003">
        <w:rPr>
          <w:rFonts w:asciiTheme="minorHAnsi" w:hAnsiTheme="minorHAnsi"/>
          <w:bCs/>
        </w:rPr>
        <w:t xml:space="preserve"> </w:t>
      </w:r>
      <w:r w:rsidR="000A31CB" w:rsidRPr="00D34003">
        <w:rPr>
          <w:rFonts w:asciiTheme="minorHAnsi" w:hAnsiTheme="minorHAnsi"/>
          <w:bCs/>
        </w:rPr>
        <w:t xml:space="preserve">In </w:t>
      </w:r>
      <w:r w:rsidR="00B44E28" w:rsidRPr="00D34003">
        <w:rPr>
          <w:rFonts w:asciiTheme="minorHAnsi" w:hAnsiTheme="minorHAnsi"/>
          <w:bCs/>
        </w:rPr>
        <w:t>the PBAC’s November</w:t>
      </w:r>
      <w:r w:rsidR="000A31CB" w:rsidRPr="00D34003">
        <w:rPr>
          <w:rFonts w:asciiTheme="minorHAnsi" w:hAnsiTheme="minorHAnsi"/>
          <w:bCs/>
        </w:rPr>
        <w:t xml:space="preserve"> 2017</w:t>
      </w:r>
      <w:r w:rsidR="00E76874" w:rsidRPr="00D34003">
        <w:rPr>
          <w:rFonts w:asciiTheme="minorHAnsi" w:hAnsiTheme="minorHAnsi"/>
          <w:bCs/>
        </w:rPr>
        <w:t xml:space="preserve"> consideration of pembrolizumab</w:t>
      </w:r>
      <w:r w:rsidR="003F5A4A" w:rsidRPr="00D34003">
        <w:rPr>
          <w:rFonts w:asciiTheme="minorHAnsi" w:hAnsiTheme="minorHAnsi"/>
          <w:bCs/>
        </w:rPr>
        <w:t>, MOGA presented a</w:t>
      </w:r>
      <w:r w:rsidR="0017097A">
        <w:rPr>
          <w:rFonts w:asciiTheme="minorHAnsi" w:hAnsiTheme="minorHAnsi"/>
          <w:bCs/>
        </w:rPr>
        <w:t>n</w:t>
      </w:r>
      <w:r w:rsidR="003F5A4A" w:rsidRPr="00D34003">
        <w:rPr>
          <w:rFonts w:asciiTheme="minorHAnsi" w:hAnsiTheme="minorHAnsi"/>
          <w:bCs/>
        </w:rPr>
        <w:t xml:space="preserve"> ESMO-MCBS score of 4 out of 5 and noted that the score would increase to 5 when the overall survival data matured for </w:t>
      </w:r>
      <w:r w:rsidR="003F5A4A" w:rsidRPr="00D34003">
        <w:rPr>
          <w:rFonts w:asciiTheme="minorHAnsi" w:hAnsiTheme="minorHAnsi"/>
          <w:bCs/>
        </w:rPr>
        <w:lastRenderedPageBreak/>
        <w:t>pembrolizumab.</w:t>
      </w:r>
    </w:p>
    <w:p w:rsidR="00706810" w:rsidRPr="00683C6F" w:rsidRDefault="00706810" w:rsidP="008A23A2">
      <w:pPr>
        <w:pStyle w:val="Heading2"/>
        <w:keepNext/>
        <w:keepLines/>
        <w:spacing w:after="120"/>
      </w:pPr>
      <w:r w:rsidRPr="00683C6F">
        <w:t>Clinical trials</w:t>
      </w:r>
      <w:bookmarkEnd w:id="12"/>
      <w:bookmarkEnd w:id="13"/>
    </w:p>
    <w:p w:rsidR="00706810" w:rsidRPr="00D34003" w:rsidRDefault="00706810" w:rsidP="00B44E28">
      <w:pPr>
        <w:pStyle w:val="ListParagraph"/>
        <w:keepNext/>
        <w:keepLines/>
        <w:widowControl/>
        <w:numPr>
          <w:ilvl w:val="1"/>
          <w:numId w:val="1"/>
        </w:numPr>
      </w:pPr>
      <w:r w:rsidRPr="00D34003">
        <w:rPr>
          <w:rFonts w:cs="Calibri"/>
          <w:snapToGrid/>
          <w:szCs w:val="24"/>
          <w:lang w:eastAsia="en-AU"/>
        </w:rPr>
        <w:t xml:space="preserve">The resubmission was based on one head-to-head trial comparing pembrolizumab with SOC, KN045 (n=542). Details of the trial presented in the submission are provided in </w:t>
      </w:r>
      <w:r w:rsidR="00E910F4" w:rsidRPr="00D34003">
        <w:rPr>
          <w:rFonts w:cs="Calibri"/>
          <w:snapToGrid/>
          <w:szCs w:val="24"/>
          <w:lang w:eastAsia="en-AU"/>
        </w:rPr>
        <w:t xml:space="preserve">Table </w:t>
      </w:r>
      <w:r w:rsidR="00884669" w:rsidRPr="00D34003">
        <w:rPr>
          <w:rFonts w:cs="Calibri"/>
          <w:snapToGrid/>
          <w:szCs w:val="24"/>
          <w:lang w:eastAsia="en-AU"/>
        </w:rPr>
        <w:t>4</w:t>
      </w:r>
      <w:r w:rsidR="0044234B" w:rsidRPr="00D34003">
        <w:rPr>
          <w:rFonts w:cs="Calibri"/>
          <w:snapToGrid/>
          <w:szCs w:val="24"/>
          <w:lang w:eastAsia="en-AU"/>
        </w:rPr>
        <w:t>.</w:t>
      </w:r>
    </w:p>
    <w:p w:rsidR="00706810" w:rsidRPr="00D34003" w:rsidRDefault="00706810" w:rsidP="00265CD0">
      <w:pPr>
        <w:rPr>
          <w:rStyle w:val="CommentReference"/>
        </w:rPr>
      </w:pPr>
      <w:r w:rsidRPr="00D34003">
        <w:rPr>
          <w:rStyle w:val="CommentReference"/>
        </w:rPr>
        <w:t xml:space="preserve">Table </w:t>
      </w:r>
      <w:r w:rsidR="00884669" w:rsidRPr="00D34003">
        <w:rPr>
          <w:rStyle w:val="CommentReference"/>
        </w:rPr>
        <w:t>4</w:t>
      </w:r>
      <w:r w:rsidRPr="00D34003">
        <w:rPr>
          <w:rStyle w:val="CommentReference"/>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3564"/>
        <w:gridCol w:w="3786"/>
      </w:tblGrid>
      <w:tr w:rsidR="00706810" w:rsidRPr="00D34003" w:rsidTr="003364CF">
        <w:trPr>
          <w:tblHeader/>
        </w:trPr>
        <w:tc>
          <w:tcPr>
            <w:tcW w:w="954" w:type="pct"/>
          </w:tcPr>
          <w:p w:rsidR="00706810" w:rsidRPr="00D34003" w:rsidRDefault="00706810" w:rsidP="00265CD0">
            <w:pPr>
              <w:pStyle w:val="TableText0"/>
              <w:keepNext w:val="0"/>
              <w:rPr>
                <w:b/>
                <w:sz w:val="18"/>
                <w:szCs w:val="18"/>
              </w:rPr>
            </w:pPr>
            <w:r w:rsidRPr="00D34003">
              <w:rPr>
                <w:b/>
                <w:sz w:val="18"/>
                <w:szCs w:val="18"/>
              </w:rPr>
              <w:t>Trial ID</w:t>
            </w:r>
          </w:p>
        </w:tc>
        <w:tc>
          <w:tcPr>
            <w:tcW w:w="1962" w:type="pct"/>
          </w:tcPr>
          <w:p w:rsidR="00706810" w:rsidRPr="00D34003" w:rsidRDefault="00706810" w:rsidP="00265CD0">
            <w:pPr>
              <w:pStyle w:val="TableText0"/>
              <w:keepNext w:val="0"/>
              <w:rPr>
                <w:b/>
                <w:sz w:val="18"/>
                <w:szCs w:val="18"/>
              </w:rPr>
            </w:pPr>
            <w:r w:rsidRPr="00D34003">
              <w:rPr>
                <w:b/>
                <w:sz w:val="18"/>
                <w:szCs w:val="18"/>
              </w:rPr>
              <w:t>Protocol title/ Publication title</w:t>
            </w:r>
          </w:p>
        </w:tc>
        <w:tc>
          <w:tcPr>
            <w:tcW w:w="2084" w:type="pct"/>
          </w:tcPr>
          <w:p w:rsidR="00706810" w:rsidRPr="00D34003" w:rsidRDefault="00706810" w:rsidP="00265CD0">
            <w:pPr>
              <w:pStyle w:val="TableText0"/>
              <w:keepNext w:val="0"/>
              <w:rPr>
                <w:b/>
                <w:sz w:val="18"/>
                <w:szCs w:val="18"/>
              </w:rPr>
            </w:pPr>
            <w:r w:rsidRPr="00D34003">
              <w:rPr>
                <w:b/>
                <w:sz w:val="18"/>
                <w:szCs w:val="18"/>
              </w:rPr>
              <w:t>Publication citation</w:t>
            </w:r>
          </w:p>
        </w:tc>
      </w:tr>
      <w:tr w:rsidR="00706810" w:rsidRPr="00D34003" w:rsidTr="003364CF">
        <w:tc>
          <w:tcPr>
            <w:tcW w:w="5000" w:type="pct"/>
            <w:gridSpan w:val="3"/>
          </w:tcPr>
          <w:p w:rsidR="00706810" w:rsidRPr="00D34003" w:rsidRDefault="00706810" w:rsidP="00265CD0">
            <w:pPr>
              <w:pStyle w:val="TableText0"/>
              <w:keepNext w:val="0"/>
              <w:rPr>
                <w:b/>
                <w:sz w:val="18"/>
                <w:szCs w:val="18"/>
              </w:rPr>
            </w:pPr>
            <w:r w:rsidRPr="00D34003">
              <w:rPr>
                <w:b/>
                <w:sz w:val="18"/>
                <w:szCs w:val="18"/>
              </w:rPr>
              <w:t xml:space="preserve">KN045 </w:t>
            </w:r>
          </w:p>
        </w:tc>
      </w:tr>
      <w:tr w:rsidR="00706810" w:rsidRPr="00D34003" w:rsidTr="003364CF">
        <w:tc>
          <w:tcPr>
            <w:tcW w:w="954" w:type="pct"/>
          </w:tcPr>
          <w:p w:rsidR="00706810" w:rsidRPr="00D34003" w:rsidRDefault="00706810" w:rsidP="00E16B66">
            <w:pPr>
              <w:pStyle w:val="TableText0"/>
              <w:keepNext w:val="0"/>
              <w:rPr>
                <w:sz w:val="18"/>
                <w:szCs w:val="18"/>
              </w:rPr>
            </w:pPr>
            <w:r w:rsidRPr="00D34003">
              <w:rPr>
                <w:sz w:val="18"/>
                <w:szCs w:val="18"/>
              </w:rPr>
              <w:t>CSR</w:t>
            </w:r>
          </w:p>
        </w:tc>
        <w:tc>
          <w:tcPr>
            <w:tcW w:w="1962" w:type="pct"/>
          </w:tcPr>
          <w:p w:rsidR="00706810" w:rsidRPr="00D34003" w:rsidRDefault="00706810" w:rsidP="00E16B66">
            <w:pPr>
              <w:pStyle w:val="TableText0"/>
              <w:keepNext w:val="0"/>
              <w:rPr>
                <w:sz w:val="18"/>
                <w:szCs w:val="18"/>
              </w:rPr>
            </w:pPr>
            <w:r w:rsidRPr="00D34003">
              <w:rPr>
                <w:sz w:val="18"/>
                <w:szCs w:val="18"/>
              </w:rPr>
              <w:t xml:space="preserve">A Phase III Randomized Clinical Trial of Pembrolizumab (MK-3475) versus Paclitaxel, Docetaxel or </w:t>
            </w:r>
            <w:proofErr w:type="spellStart"/>
            <w:r w:rsidRPr="00D34003">
              <w:rPr>
                <w:sz w:val="18"/>
                <w:szCs w:val="18"/>
              </w:rPr>
              <w:t>Vinflunine</w:t>
            </w:r>
            <w:proofErr w:type="spellEnd"/>
            <w:r w:rsidRPr="00D34003">
              <w:rPr>
                <w:sz w:val="18"/>
                <w:szCs w:val="18"/>
              </w:rPr>
              <w:t xml:space="preserve"> in Patients with Recurrent or Progressive Metastatic Urothelial Cancer </w:t>
            </w:r>
          </w:p>
        </w:tc>
        <w:tc>
          <w:tcPr>
            <w:tcW w:w="2084" w:type="pct"/>
          </w:tcPr>
          <w:p w:rsidR="00706810" w:rsidRPr="00D34003" w:rsidRDefault="00706810" w:rsidP="00E16B66">
            <w:pPr>
              <w:pStyle w:val="TableText0"/>
              <w:keepNext w:val="0"/>
              <w:rPr>
                <w:sz w:val="18"/>
                <w:szCs w:val="18"/>
              </w:rPr>
            </w:pPr>
            <w:r w:rsidRPr="00D34003">
              <w:rPr>
                <w:sz w:val="18"/>
                <w:szCs w:val="18"/>
              </w:rPr>
              <w:t>Dec 2016.</w:t>
            </w:r>
          </w:p>
        </w:tc>
      </w:tr>
      <w:tr w:rsidR="00706810" w:rsidRPr="00D34003" w:rsidTr="003364CF">
        <w:tc>
          <w:tcPr>
            <w:tcW w:w="954" w:type="pct"/>
          </w:tcPr>
          <w:p w:rsidR="00706810" w:rsidRPr="00D34003" w:rsidRDefault="00706810" w:rsidP="00E16B66">
            <w:pPr>
              <w:pStyle w:val="TableText0"/>
              <w:keepNext w:val="0"/>
              <w:rPr>
                <w:sz w:val="18"/>
                <w:szCs w:val="18"/>
              </w:rPr>
            </w:pPr>
            <w:r w:rsidRPr="00D34003">
              <w:rPr>
                <w:sz w:val="18"/>
                <w:szCs w:val="18"/>
              </w:rPr>
              <w:t>Extended follow-up report 1</w:t>
            </w:r>
          </w:p>
        </w:tc>
        <w:tc>
          <w:tcPr>
            <w:tcW w:w="1962" w:type="pct"/>
          </w:tcPr>
          <w:p w:rsidR="00706810" w:rsidRPr="00D34003" w:rsidRDefault="00706810" w:rsidP="00E16B66">
            <w:pPr>
              <w:pStyle w:val="TableText0"/>
              <w:keepNext w:val="0"/>
              <w:rPr>
                <w:sz w:val="18"/>
                <w:szCs w:val="18"/>
              </w:rPr>
            </w:pPr>
            <w:r w:rsidRPr="00D34003">
              <w:rPr>
                <w:sz w:val="18"/>
                <w:szCs w:val="18"/>
              </w:rPr>
              <w:t>Extended follow-up data for KN045, data cut-off 18 Jan 2017</w:t>
            </w:r>
          </w:p>
        </w:tc>
        <w:tc>
          <w:tcPr>
            <w:tcW w:w="2084" w:type="pct"/>
          </w:tcPr>
          <w:p w:rsidR="00706810" w:rsidRPr="00D34003" w:rsidRDefault="00706810" w:rsidP="00E16B66">
            <w:pPr>
              <w:pStyle w:val="TableText0"/>
              <w:keepNext w:val="0"/>
              <w:rPr>
                <w:sz w:val="18"/>
                <w:szCs w:val="18"/>
              </w:rPr>
            </w:pPr>
            <w:r w:rsidRPr="00D34003">
              <w:rPr>
                <w:sz w:val="18"/>
                <w:szCs w:val="18"/>
              </w:rPr>
              <w:t>18 Jan 2017</w:t>
            </w:r>
          </w:p>
        </w:tc>
      </w:tr>
      <w:tr w:rsidR="00706810" w:rsidRPr="00D34003" w:rsidTr="003364CF">
        <w:tc>
          <w:tcPr>
            <w:tcW w:w="954" w:type="pct"/>
          </w:tcPr>
          <w:p w:rsidR="00706810" w:rsidRPr="00D34003" w:rsidRDefault="00706810" w:rsidP="00E16B66">
            <w:pPr>
              <w:pStyle w:val="TableText0"/>
              <w:keepNext w:val="0"/>
              <w:rPr>
                <w:sz w:val="18"/>
                <w:szCs w:val="18"/>
              </w:rPr>
            </w:pPr>
            <w:r w:rsidRPr="00D34003">
              <w:rPr>
                <w:sz w:val="18"/>
                <w:szCs w:val="18"/>
              </w:rPr>
              <w:t>Extended follow-up report 2</w:t>
            </w:r>
          </w:p>
        </w:tc>
        <w:tc>
          <w:tcPr>
            <w:tcW w:w="1962" w:type="pct"/>
          </w:tcPr>
          <w:p w:rsidR="00706810" w:rsidRPr="00D34003" w:rsidRDefault="00706810" w:rsidP="00E16B66">
            <w:pPr>
              <w:pStyle w:val="TableText0"/>
              <w:keepNext w:val="0"/>
              <w:rPr>
                <w:sz w:val="18"/>
                <w:szCs w:val="18"/>
              </w:rPr>
            </w:pPr>
            <w:r w:rsidRPr="00D34003">
              <w:rPr>
                <w:sz w:val="18"/>
                <w:szCs w:val="18"/>
              </w:rPr>
              <w:t>Extended follow-up data for KN045, data cut-off 26 Oct 2017</w:t>
            </w:r>
          </w:p>
        </w:tc>
        <w:tc>
          <w:tcPr>
            <w:tcW w:w="2084" w:type="pct"/>
          </w:tcPr>
          <w:p w:rsidR="00706810" w:rsidRPr="00D34003" w:rsidRDefault="00706810" w:rsidP="00E16B66">
            <w:pPr>
              <w:pStyle w:val="TableText0"/>
              <w:keepNext w:val="0"/>
              <w:rPr>
                <w:sz w:val="18"/>
                <w:szCs w:val="18"/>
              </w:rPr>
            </w:pPr>
            <w:r w:rsidRPr="00D34003">
              <w:rPr>
                <w:sz w:val="18"/>
                <w:szCs w:val="18"/>
              </w:rPr>
              <w:t>26 Oct 2017</w:t>
            </w:r>
          </w:p>
        </w:tc>
      </w:tr>
      <w:tr w:rsidR="00657173" w:rsidRPr="00D34003" w:rsidTr="003364CF">
        <w:tc>
          <w:tcPr>
            <w:tcW w:w="954" w:type="pct"/>
            <w:vMerge w:val="restart"/>
          </w:tcPr>
          <w:p w:rsidR="00657173" w:rsidRPr="00D34003" w:rsidRDefault="00657173" w:rsidP="00E16B66">
            <w:pPr>
              <w:pStyle w:val="TableText0"/>
              <w:keepNext w:val="0"/>
              <w:rPr>
                <w:sz w:val="18"/>
                <w:szCs w:val="18"/>
              </w:rPr>
            </w:pPr>
            <w:r w:rsidRPr="00D34003">
              <w:rPr>
                <w:sz w:val="18"/>
                <w:szCs w:val="18"/>
              </w:rPr>
              <w:t>Key Publication</w:t>
            </w:r>
          </w:p>
        </w:tc>
        <w:tc>
          <w:tcPr>
            <w:tcW w:w="1962" w:type="pct"/>
          </w:tcPr>
          <w:p w:rsidR="00657173" w:rsidRPr="00D34003" w:rsidRDefault="00657173" w:rsidP="00E16B66">
            <w:pPr>
              <w:pStyle w:val="TableText0"/>
              <w:keepNext w:val="0"/>
              <w:rPr>
                <w:sz w:val="18"/>
                <w:szCs w:val="18"/>
              </w:rPr>
            </w:pPr>
            <w:proofErr w:type="spellStart"/>
            <w:r w:rsidRPr="00D34003">
              <w:rPr>
                <w:sz w:val="18"/>
                <w:szCs w:val="18"/>
              </w:rPr>
              <w:t>Bellmunt</w:t>
            </w:r>
            <w:proofErr w:type="spellEnd"/>
            <w:r w:rsidRPr="00D34003">
              <w:rPr>
                <w:sz w:val="18"/>
                <w:szCs w:val="18"/>
              </w:rPr>
              <w:t xml:space="preserve"> J, de Wit R, Vaughn DJ, et al. Pembrolizumab as Second-Line Therapy for Advanced Urothelial Carcinoma. </w:t>
            </w:r>
          </w:p>
        </w:tc>
        <w:tc>
          <w:tcPr>
            <w:tcW w:w="2084" w:type="pct"/>
          </w:tcPr>
          <w:p w:rsidR="00657173" w:rsidRPr="00D34003" w:rsidRDefault="00657173" w:rsidP="00E16B66">
            <w:pPr>
              <w:pStyle w:val="TableText0"/>
              <w:keepNext w:val="0"/>
              <w:rPr>
                <w:sz w:val="18"/>
                <w:szCs w:val="18"/>
              </w:rPr>
            </w:pPr>
            <w:r w:rsidRPr="00D34003">
              <w:rPr>
                <w:sz w:val="18"/>
                <w:szCs w:val="18"/>
              </w:rPr>
              <w:t xml:space="preserve">N </w:t>
            </w:r>
            <w:proofErr w:type="spellStart"/>
            <w:r w:rsidRPr="00D34003">
              <w:rPr>
                <w:sz w:val="18"/>
                <w:szCs w:val="18"/>
              </w:rPr>
              <w:t>Engl</w:t>
            </w:r>
            <w:proofErr w:type="spellEnd"/>
            <w:r w:rsidRPr="00D34003">
              <w:rPr>
                <w:sz w:val="18"/>
                <w:szCs w:val="18"/>
              </w:rPr>
              <w:t xml:space="preserve"> J Med. 2017 Feb 17. </w:t>
            </w:r>
            <w:proofErr w:type="spellStart"/>
            <w:proofErr w:type="gramStart"/>
            <w:r w:rsidRPr="00D34003">
              <w:rPr>
                <w:sz w:val="18"/>
                <w:szCs w:val="18"/>
              </w:rPr>
              <w:t>doi</w:t>
            </w:r>
            <w:proofErr w:type="spellEnd"/>
            <w:proofErr w:type="gramEnd"/>
            <w:r w:rsidRPr="00D34003">
              <w:rPr>
                <w:sz w:val="18"/>
                <w:szCs w:val="18"/>
              </w:rPr>
              <w:t>: 10.1056/NEJMoa1613683. [</w:t>
            </w:r>
            <w:proofErr w:type="spellStart"/>
            <w:r w:rsidRPr="00D34003">
              <w:rPr>
                <w:sz w:val="18"/>
                <w:szCs w:val="18"/>
              </w:rPr>
              <w:t>Epub</w:t>
            </w:r>
            <w:proofErr w:type="spellEnd"/>
            <w:r w:rsidRPr="00D34003">
              <w:rPr>
                <w:sz w:val="18"/>
                <w:szCs w:val="18"/>
              </w:rPr>
              <w:t xml:space="preserve"> ahead of print]</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jc w:val="left"/>
              <w:rPr>
                <w:rFonts w:ascii="Arial Narrow" w:hAnsi="Arial Narrow"/>
                <w:sz w:val="18"/>
                <w:szCs w:val="18"/>
              </w:rPr>
            </w:pPr>
            <w:r w:rsidRPr="00D34003">
              <w:rPr>
                <w:rFonts w:ascii="Arial Narrow" w:hAnsi="Arial Narrow"/>
                <w:sz w:val="18"/>
                <w:szCs w:val="18"/>
              </w:rPr>
              <w:t xml:space="preserve">De Wit R., Vaughn D.J., </w:t>
            </w:r>
            <w:proofErr w:type="spellStart"/>
            <w:r w:rsidRPr="00D34003">
              <w:rPr>
                <w:rFonts w:ascii="Arial Narrow" w:hAnsi="Arial Narrow"/>
                <w:sz w:val="18"/>
                <w:szCs w:val="18"/>
              </w:rPr>
              <w:t>Fradet</w:t>
            </w:r>
            <w:proofErr w:type="spellEnd"/>
            <w:r w:rsidRPr="00D34003">
              <w:rPr>
                <w:rFonts w:ascii="Arial Narrow" w:hAnsi="Arial Narrow"/>
                <w:sz w:val="18"/>
                <w:szCs w:val="18"/>
              </w:rPr>
              <w:t xml:space="preserve"> Y., et al, Pembrolizumab (</w:t>
            </w:r>
            <w:proofErr w:type="spellStart"/>
            <w:r w:rsidRPr="00D34003">
              <w:rPr>
                <w:rFonts w:ascii="Arial Narrow" w:hAnsi="Arial Narrow"/>
                <w:sz w:val="18"/>
                <w:szCs w:val="18"/>
              </w:rPr>
              <w:t>pembro</w:t>
            </w:r>
            <w:proofErr w:type="spellEnd"/>
            <w:r w:rsidRPr="00D34003">
              <w:rPr>
                <w:rFonts w:ascii="Arial Narrow" w:hAnsi="Arial Narrow"/>
                <w:sz w:val="18"/>
                <w:szCs w:val="18"/>
              </w:rPr>
              <w:t xml:space="preserve">) versus paclitaxel, docetaxel, or </w:t>
            </w:r>
            <w:proofErr w:type="spellStart"/>
            <w:r w:rsidRPr="00D34003">
              <w:rPr>
                <w:rFonts w:ascii="Arial Narrow" w:hAnsi="Arial Narrow"/>
                <w:sz w:val="18"/>
                <w:szCs w:val="18"/>
              </w:rPr>
              <w:t>vinflunine</w:t>
            </w:r>
            <w:proofErr w:type="spellEnd"/>
            <w:r w:rsidRPr="00D34003">
              <w:rPr>
                <w:rFonts w:ascii="Arial Narrow" w:hAnsi="Arial Narrow"/>
                <w:sz w:val="18"/>
                <w:szCs w:val="18"/>
              </w:rPr>
              <w:t xml:space="preserve"> for recurrent, advanced urothelial cancer (UC): Mature results from the phase 3 KEYNOTE-045 trial.</w:t>
            </w:r>
          </w:p>
        </w:tc>
        <w:tc>
          <w:tcPr>
            <w:tcW w:w="2084" w:type="pct"/>
          </w:tcPr>
          <w:p w:rsidR="00657173" w:rsidRPr="00D34003" w:rsidRDefault="00657173" w:rsidP="00E16B66">
            <w:pPr>
              <w:pStyle w:val="TableText0"/>
              <w:keepNext w:val="0"/>
              <w:rPr>
                <w:sz w:val="18"/>
                <w:szCs w:val="18"/>
              </w:rPr>
            </w:pPr>
            <w:r w:rsidRPr="00D34003">
              <w:rPr>
                <w:sz w:val="18"/>
                <w:szCs w:val="18"/>
              </w:rPr>
              <w:t>Annals of Oncology (2017) 28 Supplement 5 (v623). Date of Publication: 1 Sep 2017, conf. date 2017-09-08 to 2017-09-12</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jc w:val="left"/>
              <w:rPr>
                <w:rFonts w:ascii="Arial Narrow" w:hAnsi="Arial Narrow"/>
                <w:sz w:val="18"/>
                <w:szCs w:val="18"/>
              </w:rPr>
            </w:pPr>
            <w:proofErr w:type="spellStart"/>
            <w:r w:rsidRPr="00D34003">
              <w:rPr>
                <w:rFonts w:ascii="Arial Narrow" w:hAnsi="Arial Narrow"/>
                <w:sz w:val="18"/>
                <w:szCs w:val="18"/>
              </w:rPr>
              <w:t>Petrylak</w:t>
            </w:r>
            <w:proofErr w:type="spellEnd"/>
            <w:r w:rsidRPr="00D34003">
              <w:rPr>
                <w:rFonts w:ascii="Arial Narrow" w:hAnsi="Arial Narrow"/>
                <w:sz w:val="18"/>
                <w:szCs w:val="18"/>
              </w:rPr>
              <w:t xml:space="preserve"> D., </w:t>
            </w:r>
            <w:proofErr w:type="spellStart"/>
            <w:r w:rsidRPr="00D34003">
              <w:rPr>
                <w:rFonts w:ascii="Arial Narrow" w:hAnsi="Arial Narrow"/>
                <w:sz w:val="18"/>
                <w:szCs w:val="18"/>
              </w:rPr>
              <w:t>Vogelzang</w:t>
            </w:r>
            <w:proofErr w:type="spellEnd"/>
            <w:r w:rsidRPr="00D34003">
              <w:rPr>
                <w:rFonts w:ascii="Arial Narrow" w:hAnsi="Arial Narrow"/>
                <w:sz w:val="18"/>
                <w:szCs w:val="18"/>
              </w:rPr>
              <w:t xml:space="preserve"> N.J., </w:t>
            </w:r>
            <w:proofErr w:type="spellStart"/>
            <w:r w:rsidRPr="00D34003">
              <w:rPr>
                <w:rFonts w:ascii="Arial Narrow" w:hAnsi="Arial Narrow"/>
                <w:sz w:val="18"/>
                <w:szCs w:val="18"/>
              </w:rPr>
              <w:t>Fradet</w:t>
            </w:r>
            <w:proofErr w:type="spellEnd"/>
            <w:r w:rsidRPr="00D34003">
              <w:rPr>
                <w:rFonts w:ascii="Arial Narrow" w:hAnsi="Arial Narrow"/>
                <w:sz w:val="18"/>
                <w:szCs w:val="18"/>
              </w:rPr>
              <w:t xml:space="preserve"> Y., et al, Subgroup analyses from KEYNOTE-045: Pembrolizumab (</w:t>
            </w:r>
            <w:proofErr w:type="spellStart"/>
            <w:r w:rsidRPr="00D34003">
              <w:rPr>
                <w:rFonts w:ascii="Arial Narrow" w:hAnsi="Arial Narrow"/>
                <w:sz w:val="18"/>
                <w:szCs w:val="18"/>
              </w:rPr>
              <w:t>pembro</w:t>
            </w:r>
            <w:proofErr w:type="spellEnd"/>
            <w:r w:rsidRPr="00D34003">
              <w:rPr>
                <w:rFonts w:ascii="Arial Narrow" w:hAnsi="Arial Narrow"/>
                <w:sz w:val="18"/>
                <w:szCs w:val="18"/>
              </w:rPr>
              <w:t xml:space="preserve">) versus individual investigator's choice of chemotherapy (paclitaxel, docetaxel, or </w:t>
            </w:r>
            <w:proofErr w:type="spellStart"/>
            <w:r w:rsidRPr="00D34003">
              <w:rPr>
                <w:rFonts w:ascii="Arial Narrow" w:hAnsi="Arial Narrow"/>
                <w:sz w:val="18"/>
                <w:szCs w:val="18"/>
              </w:rPr>
              <w:t>vinflunine</w:t>
            </w:r>
            <w:proofErr w:type="spellEnd"/>
            <w:r w:rsidRPr="00D34003">
              <w:rPr>
                <w:rFonts w:ascii="Arial Narrow" w:hAnsi="Arial Narrow"/>
                <w:sz w:val="18"/>
                <w:szCs w:val="18"/>
              </w:rPr>
              <w:t>) in recurrent, advanced urothelial cancer (</w:t>
            </w:r>
            <w:proofErr w:type="spellStart"/>
            <w:r w:rsidRPr="00D34003">
              <w:rPr>
                <w:rFonts w:ascii="Arial Narrow" w:hAnsi="Arial Narrow"/>
                <w:sz w:val="18"/>
                <w:szCs w:val="18"/>
              </w:rPr>
              <w:t>uc</w:t>
            </w:r>
            <w:proofErr w:type="spellEnd"/>
            <w:r w:rsidRPr="00D34003">
              <w:rPr>
                <w:rFonts w:ascii="Arial Narrow" w:hAnsi="Arial Narrow"/>
                <w:sz w:val="18"/>
                <w:szCs w:val="18"/>
              </w:rPr>
              <w:t>).</w:t>
            </w:r>
          </w:p>
        </w:tc>
        <w:tc>
          <w:tcPr>
            <w:tcW w:w="2084" w:type="pct"/>
          </w:tcPr>
          <w:p w:rsidR="00657173" w:rsidRPr="00D34003" w:rsidRDefault="00657173" w:rsidP="00E16B66">
            <w:pPr>
              <w:pStyle w:val="TableText0"/>
              <w:keepNext w:val="0"/>
              <w:rPr>
                <w:sz w:val="18"/>
                <w:szCs w:val="18"/>
              </w:rPr>
            </w:pPr>
            <w:r w:rsidRPr="00D34003">
              <w:rPr>
                <w:sz w:val="18"/>
                <w:szCs w:val="18"/>
              </w:rPr>
              <w:t>Annals of Oncology (2017) 28 Supplement 5 (v298). Date of Publication: 1 Sep 2017, conf. date 2017-09-08 to 2017-09-12</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jc w:val="left"/>
              <w:rPr>
                <w:rFonts w:ascii="Arial Narrow" w:hAnsi="Arial Narrow"/>
                <w:sz w:val="18"/>
                <w:szCs w:val="18"/>
              </w:rPr>
            </w:pPr>
            <w:r w:rsidRPr="00D34003">
              <w:rPr>
                <w:rFonts w:ascii="Arial Narrow" w:hAnsi="Arial Narrow"/>
                <w:sz w:val="18"/>
                <w:szCs w:val="18"/>
              </w:rPr>
              <w:t xml:space="preserve">Quinn D., Vaughn D.J., </w:t>
            </w:r>
            <w:proofErr w:type="spellStart"/>
            <w:r w:rsidRPr="00D34003">
              <w:rPr>
                <w:rFonts w:ascii="Arial Narrow" w:hAnsi="Arial Narrow"/>
                <w:sz w:val="18"/>
                <w:szCs w:val="18"/>
              </w:rPr>
              <w:t>Bellmunt</w:t>
            </w:r>
            <w:proofErr w:type="spellEnd"/>
            <w:r w:rsidRPr="00D34003">
              <w:rPr>
                <w:rFonts w:ascii="Arial Narrow" w:hAnsi="Arial Narrow"/>
                <w:sz w:val="18"/>
                <w:szCs w:val="18"/>
              </w:rPr>
              <w:t xml:space="preserve"> J., et al, Health-related quality of life (HRQOL) of pembrolizumab vs chemotherapy for previously treated advanced urothelial cancer (UC) in keynote-045.</w:t>
            </w:r>
          </w:p>
        </w:tc>
        <w:tc>
          <w:tcPr>
            <w:tcW w:w="2084" w:type="pct"/>
          </w:tcPr>
          <w:p w:rsidR="00657173" w:rsidRPr="00D34003" w:rsidRDefault="00657173" w:rsidP="00E16B66">
            <w:pPr>
              <w:pStyle w:val="TableText0"/>
              <w:keepNext w:val="0"/>
              <w:rPr>
                <w:sz w:val="18"/>
                <w:szCs w:val="18"/>
              </w:rPr>
            </w:pPr>
            <w:r w:rsidRPr="00D34003">
              <w:rPr>
                <w:sz w:val="18"/>
                <w:szCs w:val="18"/>
              </w:rPr>
              <w:t>Asia-Pacific Journal of Clinical Oncology (2017) 13 Supplement 1 (56). Date of Publication: 1 Jul 2017, conf. date 2017-07-16 to 2017-07-18</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jc w:val="left"/>
              <w:rPr>
                <w:rFonts w:ascii="Arial Narrow" w:hAnsi="Arial Narrow"/>
                <w:sz w:val="18"/>
                <w:szCs w:val="18"/>
              </w:rPr>
            </w:pPr>
            <w:r w:rsidRPr="00D34003">
              <w:rPr>
                <w:rFonts w:ascii="Arial Narrow" w:hAnsi="Arial Narrow"/>
                <w:sz w:val="18"/>
                <w:szCs w:val="18"/>
              </w:rPr>
              <w:t xml:space="preserve">Quinn D., </w:t>
            </w:r>
            <w:proofErr w:type="spellStart"/>
            <w:r w:rsidRPr="00D34003">
              <w:rPr>
                <w:rFonts w:ascii="Arial Narrow" w:hAnsi="Arial Narrow"/>
                <w:sz w:val="18"/>
                <w:szCs w:val="18"/>
              </w:rPr>
              <w:t>Bellmunt</w:t>
            </w:r>
            <w:proofErr w:type="spellEnd"/>
            <w:r w:rsidRPr="00D34003">
              <w:rPr>
                <w:rFonts w:ascii="Arial Narrow" w:hAnsi="Arial Narrow"/>
                <w:sz w:val="18"/>
                <w:szCs w:val="18"/>
              </w:rPr>
              <w:t xml:space="preserve"> J., De Wit R., et al, Keynote-045: Open-label, phase 3 study of pembrolizumab versus investigator's choice of paclitaxel, docetaxel, or </w:t>
            </w:r>
            <w:proofErr w:type="spellStart"/>
            <w:r w:rsidRPr="00D34003">
              <w:rPr>
                <w:rFonts w:ascii="Arial Narrow" w:hAnsi="Arial Narrow"/>
                <w:sz w:val="18"/>
                <w:szCs w:val="18"/>
              </w:rPr>
              <w:t>vinflunine</w:t>
            </w:r>
            <w:proofErr w:type="spellEnd"/>
            <w:r w:rsidRPr="00D34003">
              <w:rPr>
                <w:rFonts w:ascii="Arial Narrow" w:hAnsi="Arial Narrow"/>
                <w:sz w:val="18"/>
                <w:szCs w:val="18"/>
              </w:rPr>
              <w:t xml:space="preserve"> for previously treated advanced urothelial cancer.</w:t>
            </w:r>
          </w:p>
        </w:tc>
        <w:tc>
          <w:tcPr>
            <w:tcW w:w="2084" w:type="pct"/>
          </w:tcPr>
          <w:p w:rsidR="00657173" w:rsidRPr="00D34003" w:rsidRDefault="00657173" w:rsidP="00E16B66">
            <w:pPr>
              <w:pStyle w:val="TableText0"/>
              <w:keepNext w:val="0"/>
              <w:rPr>
                <w:sz w:val="18"/>
                <w:szCs w:val="18"/>
              </w:rPr>
            </w:pPr>
            <w:r w:rsidRPr="00D34003">
              <w:rPr>
                <w:sz w:val="18"/>
                <w:szCs w:val="18"/>
              </w:rPr>
              <w:t>Asia-Pacific Journal of Clinical Oncology (2017) 13 Supplement 1 (35). Date of Publication: 1 Jul 2017, conf. date 2017-07-16 to 2017-07-18</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jc w:val="left"/>
              <w:rPr>
                <w:rFonts w:ascii="Arial Narrow" w:hAnsi="Arial Narrow"/>
                <w:sz w:val="18"/>
                <w:szCs w:val="18"/>
              </w:rPr>
            </w:pPr>
            <w:r w:rsidRPr="00D34003">
              <w:rPr>
                <w:rFonts w:ascii="Arial Narrow" w:hAnsi="Arial Narrow"/>
                <w:sz w:val="18"/>
                <w:szCs w:val="18"/>
              </w:rPr>
              <w:t xml:space="preserve">De Wit R., </w:t>
            </w:r>
            <w:proofErr w:type="spellStart"/>
            <w:r w:rsidRPr="00D34003">
              <w:rPr>
                <w:rFonts w:ascii="Arial Narrow" w:hAnsi="Arial Narrow"/>
                <w:sz w:val="18"/>
                <w:szCs w:val="18"/>
              </w:rPr>
              <w:t>Bajorin</w:t>
            </w:r>
            <w:proofErr w:type="spellEnd"/>
            <w:r w:rsidRPr="00D34003">
              <w:rPr>
                <w:rFonts w:ascii="Arial Narrow" w:hAnsi="Arial Narrow"/>
                <w:sz w:val="18"/>
                <w:szCs w:val="18"/>
              </w:rPr>
              <w:t xml:space="preserve"> D.F., </w:t>
            </w:r>
            <w:proofErr w:type="spellStart"/>
            <w:r w:rsidRPr="00D34003">
              <w:rPr>
                <w:rFonts w:ascii="Arial Narrow" w:hAnsi="Arial Narrow"/>
                <w:sz w:val="18"/>
                <w:szCs w:val="18"/>
              </w:rPr>
              <w:t>Bellmunt</w:t>
            </w:r>
            <w:proofErr w:type="spellEnd"/>
            <w:r w:rsidRPr="00D34003">
              <w:rPr>
                <w:rFonts w:ascii="Arial Narrow" w:hAnsi="Arial Narrow"/>
                <w:sz w:val="18"/>
                <w:szCs w:val="18"/>
              </w:rPr>
              <w:t xml:space="preserve"> J., et al, Health-related quality of life (</w:t>
            </w:r>
            <w:proofErr w:type="spellStart"/>
            <w:r w:rsidRPr="00D34003">
              <w:rPr>
                <w:rFonts w:ascii="Arial Narrow" w:hAnsi="Arial Narrow"/>
                <w:sz w:val="18"/>
                <w:szCs w:val="18"/>
              </w:rPr>
              <w:t>HRQoL</w:t>
            </w:r>
            <w:proofErr w:type="spellEnd"/>
            <w:r w:rsidRPr="00D34003">
              <w:rPr>
                <w:rFonts w:ascii="Arial Narrow" w:hAnsi="Arial Narrow"/>
                <w:sz w:val="18"/>
                <w:szCs w:val="18"/>
              </w:rPr>
              <w:t>) of pembrolizumab (</w:t>
            </w:r>
            <w:proofErr w:type="spellStart"/>
            <w:r w:rsidRPr="00D34003">
              <w:rPr>
                <w:rFonts w:ascii="Arial Narrow" w:hAnsi="Arial Narrow"/>
                <w:sz w:val="18"/>
                <w:szCs w:val="18"/>
              </w:rPr>
              <w:t>pembro</w:t>
            </w:r>
            <w:proofErr w:type="spellEnd"/>
            <w:r w:rsidRPr="00D34003">
              <w:rPr>
                <w:rFonts w:ascii="Arial Narrow" w:hAnsi="Arial Narrow"/>
                <w:sz w:val="18"/>
                <w:szCs w:val="18"/>
              </w:rPr>
              <w:t>) vs chemotherapy (chemo) for previously treated advanced urothelial cancer (UC) in KEYNOTE-045.</w:t>
            </w:r>
          </w:p>
        </w:tc>
        <w:tc>
          <w:tcPr>
            <w:tcW w:w="2084" w:type="pct"/>
          </w:tcPr>
          <w:p w:rsidR="00657173" w:rsidRPr="00D34003" w:rsidRDefault="00657173" w:rsidP="00E16B66">
            <w:pPr>
              <w:pStyle w:val="TableText0"/>
              <w:keepNext w:val="0"/>
              <w:rPr>
                <w:sz w:val="18"/>
                <w:szCs w:val="18"/>
              </w:rPr>
            </w:pPr>
            <w:r w:rsidRPr="00D34003">
              <w:rPr>
                <w:sz w:val="18"/>
                <w:szCs w:val="18"/>
              </w:rPr>
              <w:t>Journal of Clinical Oncology (2017) 35:15 Supplement 1. Date of Publication: 20 Jun 2017, conf. date 2017-06-02 to 2017-06-06</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jc w:val="left"/>
              <w:rPr>
                <w:rFonts w:ascii="Arial Narrow" w:hAnsi="Arial Narrow"/>
                <w:sz w:val="18"/>
                <w:szCs w:val="18"/>
              </w:rPr>
            </w:pPr>
            <w:proofErr w:type="spellStart"/>
            <w:r w:rsidRPr="00D34003">
              <w:rPr>
                <w:rFonts w:ascii="Arial Narrow" w:hAnsi="Arial Narrow"/>
                <w:sz w:val="18"/>
                <w:szCs w:val="18"/>
              </w:rPr>
              <w:t>Bajorin</w:t>
            </w:r>
            <w:proofErr w:type="spellEnd"/>
            <w:r w:rsidRPr="00D34003">
              <w:rPr>
                <w:rFonts w:ascii="Arial Narrow" w:hAnsi="Arial Narrow"/>
                <w:sz w:val="18"/>
                <w:szCs w:val="18"/>
              </w:rPr>
              <w:t xml:space="preserve"> D.F., De Wit R., Vaughn D.J., et al, Planned survival analysis from KEYNOTE-045: Phase 3, open-label study of pembrolizumab (</w:t>
            </w:r>
            <w:proofErr w:type="spellStart"/>
            <w:r w:rsidRPr="00D34003">
              <w:rPr>
                <w:rFonts w:ascii="Arial Narrow" w:hAnsi="Arial Narrow"/>
                <w:sz w:val="18"/>
                <w:szCs w:val="18"/>
              </w:rPr>
              <w:t>pembro</w:t>
            </w:r>
            <w:proofErr w:type="spellEnd"/>
            <w:r w:rsidRPr="00D34003">
              <w:rPr>
                <w:rFonts w:ascii="Arial Narrow" w:hAnsi="Arial Narrow"/>
                <w:sz w:val="18"/>
                <w:szCs w:val="18"/>
              </w:rPr>
              <w:t xml:space="preserve">) versus paclitaxel, docetaxel, or </w:t>
            </w:r>
            <w:proofErr w:type="spellStart"/>
            <w:r w:rsidRPr="00D34003">
              <w:rPr>
                <w:rFonts w:ascii="Arial Narrow" w:hAnsi="Arial Narrow"/>
                <w:sz w:val="18"/>
                <w:szCs w:val="18"/>
              </w:rPr>
              <w:t>vinflunine</w:t>
            </w:r>
            <w:proofErr w:type="spellEnd"/>
            <w:r w:rsidRPr="00D34003">
              <w:rPr>
                <w:rFonts w:ascii="Arial Narrow" w:hAnsi="Arial Narrow"/>
                <w:sz w:val="18"/>
                <w:szCs w:val="18"/>
              </w:rPr>
              <w:t xml:space="preserve"> in recurrent, advanced urothelial cancer (UC). </w:t>
            </w:r>
          </w:p>
        </w:tc>
        <w:tc>
          <w:tcPr>
            <w:tcW w:w="2084" w:type="pct"/>
          </w:tcPr>
          <w:p w:rsidR="00657173" w:rsidRPr="00D34003" w:rsidRDefault="00657173" w:rsidP="00E16B66">
            <w:pPr>
              <w:pStyle w:val="TableText0"/>
              <w:keepNext w:val="0"/>
              <w:rPr>
                <w:sz w:val="18"/>
                <w:szCs w:val="18"/>
              </w:rPr>
            </w:pPr>
            <w:r w:rsidRPr="00D34003">
              <w:rPr>
                <w:sz w:val="18"/>
                <w:szCs w:val="18"/>
              </w:rPr>
              <w:t>Journal of Clinical Oncology (2017) 35:15 Supplement 1. Date of Publication: 20 Jun 2017, conf. date 2017-06-02 to 2017-06-06</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jc w:val="left"/>
              <w:rPr>
                <w:rFonts w:ascii="Arial Narrow" w:hAnsi="Arial Narrow"/>
                <w:sz w:val="18"/>
                <w:szCs w:val="18"/>
              </w:rPr>
            </w:pPr>
            <w:proofErr w:type="spellStart"/>
            <w:r w:rsidRPr="00D34003">
              <w:rPr>
                <w:rFonts w:ascii="Arial Narrow" w:hAnsi="Arial Narrow"/>
                <w:sz w:val="18"/>
                <w:szCs w:val="18"/>
              </w:rPr>
              <w:t>Bellmunt</w:t>
            </w:r>
            <w:proofErr w:type="spellEnd"/>
            <w:r w:rsidRPr="00D34003">
              <w:rPr>
                <w:rFonts w:ascii="Arial Narrow" w:hAnsi="Arial Narrow"/>
                <w:sz w:val="18"/>
                <w:szCs w:val="18"/>
              </w:rPr>
              <w:t xml:space="preserve"> J., Vaughn D.J., De Wit R., et al, Two-year follow-up from the phase 3 KEYNOTE-045 trial of pembrolizumab (</w:t>
            </w:r>
            <w:proofErr w:type="spellStart"/>
            <w:r w:rsidRPr="00D34003">
              <w:rPr>
                <w:rFonts w:ascii="Arial Narrow" w:hAnsi="Arial Narrow"/>
                <w:sz w:val="18"/>
                <w:szCs w:val="18"/>
              </w:rPr>
              <w:t>pembro</w:t>
            </w:r>
            <w:proofErr w:type="spellEnd"/>
            <w:r w:rsidRPr="00D34003">
              <w:rPr>
                <w:rFonts w:ascii="Arial Narrow" w:hAnsi="Arial Narrow"/>
                <w:sz w:val="18"/>
                <w:szCs w:val="18"/>
              </w:rPr>
              <w:t xml:space="preserve">) vs investigator’s choice (paclitaxel, docetaxel, or </w:t>
            </w:r>
            <w:proofErr w:type="spellStart"/>
            <w:r w:rsidRPr="00D34003">
              <w:rPr>
                <w:rFonts w:ascii="Arial Narrow" w:hAnsi="Arial Narrow"/>
                <w:sz w:val="18"/>
                <w:szCs w:val="18"/>
              </w:rPr>
              <w:t>vinflunine</w:t>
            </w:r>
            <w:proofErr w:type="spellEnd"/>
            <w:r w:rsidRPr="00D34003">
              <w:rPr>
                <w:rFonts w:ascii="Arial Narrow" w:hAnsi="Arial Narrow"/>
                <w:sz w:val="18"/>
                <w:szCs w:val="18"/>
              </w:rPr>
              <w:t>) in recurrent, advanced urothelial cancer (UC).</w:t>
            </w:r>
          </w:p>
        </w:tc>
        <w:tc>
          <w:tcPr>
            <w:tcW w:w="2084" w:type="pct"/>
          </w:tcPr>
          <w:p w:rsidR="00657173" w:rsidRPr="00D34003" w:rsidRDefault="00657173" w:rsidP="00E16B66">
            <w:pPr>
              <w:pStyle w:val="TableText0"/>
              <w:keepNext w:val="0"/>
              <w:rPr>
                <w:sz w:val="18"/>
                <w:szCs w:val="18"/>
              </w:rPr>
            </w:pPr>
            <w:r w:rsidRPr="00D34003">
              <w:rPr>
                <w:sz w:val="18"/>
                <w:szCs w:val="18"/>
              </w:rPr>
              <w:t xml:space="preserve">J </w:t>
            </w:r>
            <w:proofErr w:type="spellStart"/>
            <w:r w:rsidRPr="00D34003">
              <w:rPr>
                <w:sz w:val="18"/>
                <w:szCs w:val="18"/>
              </w:rPr>
              <w:t>Clin</w:t>
            </w:r>
            <w:proofErr w:type="spellEnd"/>
            <w:r w:rsidRPr="00D34003">
              <w:rPr>
                <w:sz w:val="18"/>
                <w:szCs w:val="18"/>
              </w:rPr>
              <w:t xml:space="preserve"> </w:t>
            </w:r>
            <w:proofErr w:type="spellStart"/>
            <w:r w:rsidRPr="00D34003">
              <w:rPr>
                <w:sz w:val="18"/>
                <w:szCs w:val="18"/>
              </w:rPr>
              <w:t>Oncol</w:t>
            </w:r>
            <w:proofErr w:type="spellEnd"/>
            <w:r w:rsidRPr="00D34003">
              <w:rPr>
                <w:sz w:val="18"/>
                <w:szCs w:val="18"/>
              </w:rPr>
              <w:t xml:space="preserve"> 36, 2018 (</w:t>
            </w:r>
            <w:proofErr w:type="spellStart"/>
            <w:r w:rsidRPr="00D34003">
              <w:rPr>
                <w:sz w:val="18"/>
                <w:szCs w:val="18"/>
              </w:rPr>
              <w:t>suppl</w:t>
            </w:r>
            <w:proofErr w:type="spellEnd"/>
            <w:r w:rsidRPr="00D34003">
              <w:rPr>
                <w:sz w:val="18"/>
                <w:szCs w:val="18"/>
              </w:rPr>
              <w:t xml:space="preserve"> 6S; </w:t>
            </w:r>
            <w:proofErr w:type="spellStart"/>
            <w:r w:rsidRPr="00D34003">
              <w:rPr>
                <w:sz w:val="18"/>
                <w:szCs w:val="18"/>
              </w:rPr>
              <w:t>abstr</w:t>
            </w:r>
            <w:proofErr w:type="spellEnd"/>
            <w:r w:rsidRPr="00D34003">
              <w:rPr>
                <w:sz w:val="18"/>
                <w:szCs w:val="18"/>
              </w:rPr>
              <w:t xml:space="preserve"> 410), conf. date 2018-10-02</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pStyle w:val="TableText0"/>
              <w:keepNext w:val="0"/>
              <w:rPr>
                <w:sz w:val="18"/>
                <w:szCs w:val="18"/>
              </w:rPr>
            </w:pPr>
            <w:r w:rsidRPr="00D34003">
              <w:rPr>
                <w:sz w:val="18"/>
                <w:szCs w:val="18"/>
              </w:rPr>
              <w:t xml:space="preserve">Vaughn D.J., </w:t>
            </w:r>
            <w:proofErr w:type="spellStart"/>
            <w:r w:rsidRPr="00D34003">
              <w:rPr>
                <w:sz w:val="18"/>
                <w:szCs w:val="18"/>
              </w:rPr>
              <w:t>Bellmunt</w:t>
            </w:r>
            <w:proofErr w:type="spellEnd"/>
            <w:r w:rsidRPr="00D34003">
              <w:rPr>
                <w:sz w:val="18"/>
                <w:szCs w:val="18"/>
              </w:rPr>
              <w:t xml:space="preserve"> J., </w:t>
            </w:r>
            <w:proofErr w:type="spellStart"/>
            <w:r w:rsidRPr="00D34003">
              <w:rPr>
                <w:sz w:val="18"/>
                <w:szCs w:val="18"/>
              </w:rPr>
              <w:t>Fradet</w:t>
            </w:r>
            <w:proofErr w:type="spellEnd"/>
            <w:r w:rsidRPr="00D34003">
              <w:rPr>
                <w:sz w:val="18"/>
                <w:szCs w:val="18"/>
              </w:rPr>
              <w:t xml:space="preserve"> Y., et al, Quality-of-Life Analysis from Keynote-045: A Phase 3 Study of Pembrolizumab Versus Chemotherapy for Previously Treated Advanced Urothelial Cancer.  </w:t>
            </w:r>
          </w:p>
        </w:tc>
        <w:tc>
          <w:tcPr>
            <w:tcW w:w="2084" w:type="pct"/>
          </w:tcPr>
          <w:p w:rsidR="00657173" w:rsidRPr="00D34003" w:rsidRDefault="00657173" w:rsidP="00E16B66">
            <w:pPr>
              <w:pStyle w:val="TableText0"/>
              <w:keepNext w:val="0"/>
              <w:rPr>
                <w:sz w:val="18"/>
                <w:szCs w:val="18"/>
              </w:rPr>
            </w:pPr>
            <w:r w:rsidRPr="00D34003">
              <w:rPr>
                <w:sz w:val="18"/>
                <w:szCs w:val="18"/>
              </w:rPr>
              <w:t xml:space="preserve">Accepted by J </w:t>
            </w:r>
            <w:proofErr w:type="spellStart"/>
            <w:r w:rsidRPr="00D34003">
              <w:rPr>
                <w:sz w:val="18"/>
                <w:szCs w:val="18"/>
              </w:rPr>
              <w:t>Clin</w:t>
            </w:r>
            <w:proofErr w:type="spellEnd"/>
            <w:r w:rsidRPr="00D34003">
              <w:rPr>
                <w:sz w:val="18"/>
                <w:szCs w:val="18"/>
              </w:rPr>
              <w:t xml:space="preserve"> </w:t>
            </w:r>
            <w:proofErr w:type="spellStart"/>
            <w:r w:rsidRPr="00D34003">
              <w:rPr>
                <w:sz w:val="18"/>
                <w:szCs w:val="18"/>
              </w:rPr>
              <w:t>Oncol</w:t>
            </w:r>
            <w:proofErr w:type="spellEnd"/>
            <w:r w:rsidRPr="00D34003">
              <w:rPr>
                <w:sz w:val="18"/>
                <w:szCs w:val="18"/>
              </w:rPr>
              <w:t>, but not yet published- Confidential</w:t>
            </w:r>
          </w:p>
        </w:tc>
      </w:tr>
      <w:tr w:rsidR="00657173" w:rsidRPr="00D34003" w:rsidTr="003364CF">
        <w:tc>
          <w:tcPr>
            <w:tcW w:w="954" w:type="pct"/>
            <w:vMerge w:val="restart"/>
          </w:tcPr>
          <w:p w:rsidR="00657173" w:rsidRPr="00D34003" w:rsidRDefault="00657173" w:rsidP="00E16B66">
            <w:pPr>
              <w:pStyle w:val="TableText0"/>
              <w:keepNext w:val="0"/>
              <w:rPr>
                <w:sz w:val="18"/>
                <w:szCs w:val="18"/>
              </w:rPr>
            </w:pPr>
            <w:r w:rsidRPr="00D34003">
              <w:rPr>
                <w:sz w:val="18"/>
                <w:szCs w:val="18"/>
              </w:rPr>
              <w:t>Abstracts</w:t>
            </w:r>
          </w:p>
        </w:tc>
        <w:tc>
          <w:tcPr>
            <w:tcW w:w="1962" w:type="pct"/>
          </w:tcPr>
          <w:p w:rsidR="00657173" w:rsidRPr="00D34003" w:rsidRDefault="00657173" w:rsidP="00E16B66">
            <w:pPr>
              <w:pStyle w:val="TableText0"/>
              <w:keepNext w:val="0"/>
              <w:rPr>
                <w:sz w:val="18"/>
                <w:szCs w:val="18"/>
              </w:rPr>
            </w:pPr>
            <w:r w:rsidRPr="00D34003">
              <w:rPr>
                <w:sz w:val="18"/>
                <w:szCs w:val="18"/>
              </w:rPr>
              <w:t xml:space="preserve">Vaughn DJ; </w:t>
            </w:r>
            <w:proofErr w:type="spellStart"/>
            <w:r w:rsidRPr="00D34003">
              <w:rPr>
                <w:sz w:val="18"/>
                <w:szCs w:val="18"/>
              </w:rPr>
              <w:t>Bellmunt</w:t>
            </w:r>
            <w:proofErr w:type="spellEnd"/>
            <w:r w:rsidRPr="00D34003">
              <w:rPr>
                <w:sz w:val="18"/>
                <w:szCs w:val="18"/>
              </w:rPr>
              <w:t xml:space="preserve"> J; de Wit R; et al. Health-Related Quality of Life of Pembrolizumab vs Chemotherapy for Previously Treated Advanced Urothelial Cancer in KEYNOTE-045 2017 </w:t>
            </w:r>
          </w:p>
        </w:tc>
        <w:tc>
          <w:tcPr>
            <w:tcW w:w="2084" w:type="pct"/>
          </w:tcPr>
          <w:p w:rsidR="00657173" w:rsidRPr="00D34003" w:rsidRDefault="00657173" w:rsidP="00E16B66">
            <w:pPr>
              <w:pStyle w:val="TableText0"/>
              <w:keepNext w:val="0"/>
              <w:rPr>
                <w:sz w:val="18"/>
                <w:szCs w:val="18"/>
              </w:rPr>
            </w:pPr>
            <w:r w:rsidRPr="00D34003">
              <w:rPr>
                <w:sz w:val="18"/>
                <w:szCs w:val="18"/>
              </w:rPr>
              <w:t>Genitourinary Cancers Symposium Orlando, FL February 16-18, 2017</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pStyle w:val="TableText0"/>
              <w:keepNext w:val="0"/>
              <w:rPr>
                <w:sz w:val="18"/>
                <w:szCs w:val="18"/>
              </w:rPr>
            </w:pPr>
            <w:proofErr w:type="spellStart"/>
            <w:r w:rsidRPr="00D34003">
              <w:rPr>
                <w:sz w:val="18"/>
                <w:szCs w:val="18"/>
              </w:rPr>
              <w:t>Bajorin</w:t>
            </w:r>
            <w:proofErr w:type="spellEnd"/>
            <w:r w:rsidRPr="00D34003">
              <w:rPr>
                <w:sz w:val="18"/>
                <w:szCs w:val="18"/>
              </w:rPr>
              <w:t xml:space="preserve"> DF; de Wit R; et al. Planned survival analysis from KEYNOTE-045: Phase 3, Open-Label Study of Pembrolizumab versus Paclitaxel, </w:t>
            </w:r>
            <w:proofErr w:type="spellStart"/>
            <w:r w:rsidRPr="00D34003">
              <w:rPr>
                <w:sz w:val="18"/>
                <w:szCs w:val="18"/>
              </w:rPr>
              <w:t>Docetexel</w:t>
            </w:r>
            <w:proofErr w:type="spellEnd"/>
            <w:r w:rsidRPr="00D34003">
              <w:rPr>
                <w:sz w:val="18"/>
                <w:szCs w:val="18"/>
              </w:rPr>
              <w:t xml:space="preserve">, or </w:t>
            </w:r>
            <w:proofErr w:type="spellStart"/>
            <w:r w:rsidRPr="00D34003">
              <w:rPr>
                <w:sz w:val="18"/>
                <w:szCs w:val="18"/>
              </w:rPr>
              <w:t>Vinflunine</w:t>
            </w:r>
            <w:proofErr w:type="spellEnd"/>
            <w:r w:rsidRPr="00D34003">
              <w:rPr>
                <w:sz w:val="18"/>
                <w:szCs w:val="18"/>
              </w:rPr>
              <w:t xml:space="preserve"> in Recurrent, Advanced Urothelial Cancer. 2017 </w:t>
            </w:r>
          </w:p>
        </w:tc>
        <w:tc>
          <w:tcPr>
            <w:tcW w:w="2084" w:type="pct"/>
          </w:tcPr>
          <w:p w:rsidR="00657173" w:rsidRPr="00D34003" w:rsidRDefault="00657173" w:rsidP="00E16B66">
            <w:pPr>
              <w:pStyle w:val="TableText0"/>
              <w:keepNext w:val="0"/>
              <w:rPr>
                <w:sz w:val="18"/>
                <w:szCs w:val="18"/>
              </w:rPr>
            </w:pPr>
            <w:r w:rsidRPr="00D34003">
              <w:rPr>
                <w:sz w:val="18"/>
                <w:szCs w:val="18"/>
              </w:rPr>
              <w:t>American Society for Clinical Oncology (ASCO) Annual Meeting Chicago, IL (oral presentation)</w:t>
            </w:r>
          </w:p>
        </w:tc>
      </w:tr>
      <w:tr w:rsidR="00657173" w:rsidRPr="00D34003" w:rsidTr="003364CF">
        <w:tc>
          <w:tcPr>
            <w:tcW w:w="954" w:type="pct"/>
            <w:vMerge/>
          </w:tcPr>
          <w:p w:rsidR="00657173" w:rsidRPr="00D34003" w:rsidRDefault="00657173" w:rsidP="00E16B66">
            <w:pPr>
              <w:pStyle w:val="TableText0"/>
              <w:keepNext w:val="0"/>
              <w:rPr>
                <w:sz w:val="18"/>
                <w:szCs w:val="18"/>
              </w:rPr>
            </w:pPr>
          </w:p>
        </w:tc>
        <w:tc>
          <w:tcPr>
            <w:tcW w:w="1962" w:type="pct"/>
          </w:tcPr>
          <w:p w:rsidR="00657173" w:rsidRPr="00D34003" w:rsidRDefault="00657173" w:rsidP="00E16B66">
            <w:pPr>
              <w:pStyle w:val="TableText0"/>
              <w:keepNext w:val="0"/>
              <w:rPr>
                <w:sz w:val="18"/>
                <w:szCs w:val="18"/>
              </w:rPr>
            </w:pPr>
            <w:proofErr w:type="gramStart"/>
            <w:r w:rsidRPr="00D34003">
              <w:rPr>
                <w:sz w:val="18"/>
                <w:szCs w:val="18"/>
              </w:rPr>
              <w:t>de</w:t>
            </w:r>
            <w:proofErr w:type="gramEnd"/>
            <w:r w:rsidRPr="00D34003">
              <w:rPr>
                <w:sz w:val="18"/>
                <w:szCs w:val="18"/>
              </w:rPr>
              <w:t xml:space="preserve"> Wit R; </w:t>
            </w:r>
            <w:proofErr w:type="spellStart"/>
            <w:r w:rsidRPr="00D34003">
              <w:rPr>
                <w:sz w:val="18"/>
                <w:szCs w:val="18"/>
              </w:rPr>
              <w:t>Bajorin</w:t>
            </w:r>
            <w:proofErr w:type="spellEnd"/>
            <w:r w:rsidRPr="00D34003">
              <w:rPr>
                <w:sz w:val="18"/>
                <w:szCs w:val="18"/>
              </w:rPr>
              <w:t xml:space="preserve">, D; </w:t>
            </w:r>
            <w:proofErr w:type="spellStart"/>
            <w:r w:rsidRPr="00D34003">
              <w:rPr>
                <w:sz w:val="18"/>
                <w:szCs w:val="18"/>
              </w:rPr>
              <w:t>Bellmunt</w:t>
            </w:r>
            <w:proofErr w:type="spellEnd"/>
            <w:r w:rsidRPr="00D34003">
              <w:rPr>
                <w:sz w:val="18"/>
                <w:szCs w:val="18"/>
              </w:rPr>
              <w:t xml:space="preserve">, J. Health-Related Quality of Life of Pembrolizumab vs Chemotherapy for Previously Treated Advanced Urothelial Cancer in KEYNOTE-045. 2017 </w:t>
            </w:r>
          </w:p>
        </w:tc>
        <w:tc>
          <w:tcPr>
            <w:tcW w:w="2084" w:type="pct"/>
          </w:tcPr>
          <w:p w:rsidR="00657173" w:rsidRPr="00D34003" w:rsidRDefault="00657173" w:rsidP="00E16B66">
            <w:pPr>
              <w:pStyle w:val="TableText0"/>
              <w:keepNext w:val="0"/>
              <w:rPr>
                <w:sz w:val="18"/>
                <w:szCs w:val="18"/>
              </w:rPr>
            </w:pPr>
            <w:r w:rsidRPr="00D34003">
              <w:rPr>
                <w:sz w:val="18"/>
                <w:szCs w:val="18"/>
              </w:rPr>
              <w:t>ASCO Annual Meeting Chicago, IL (poster)</w:t>
            </w:r>
          </w:p>
        </w:tc>
      </w:tr>
    </w:tbl>
    <w:p w:rsidR="00706810" w:rsidRPr="00D34003" w:rsidRDefault="00706810" w:rsidP="00265CD0">
      <w:pPr>
        <w:pStyle w:val="TableFooter"/>
        <w:rPr>
          <w:sz w:val="20"/>
        </w:rPr>
      </w:pPr>
      <w:r w:rsidRPr="00D34003">
        <w:t>Source: Table 2-2, p. 28 of the resubmission.</w:t>
      </w:r>
    </w:p>
    <w:p w:rsidR="00706810" w:rsidRPr="00D34003" w:rsidRDefault="00706810" w:rsidP="00265CD0">
      <w:pPr>
        <w:widowControl/>
      </w:pPr>
    </w:p>
    <w:p w:rsidR="00706810" w:rsidRPr="00D34003" w:rsidRDefault="00706810" w:rsidP="007A7E9A">
      <w:pPr>
        <w:pStyle w:val="ListParagraph"/>
        <w:widowControl/>
        <w:numPr>
          <w:ilvl w:val="1"/>
          <w:numId w:val="1"/>
        </w:numPr>
      </w:pPr>
      <w:r w:rsidRPr="00D34003">
        <w:t xml:space="preserve">The key features of the direct randomised trial are summarised in </w:t>
      </w:r>
      <w:r w:rsidR="00E910F4" w:rsidRPr="00D34003">
        <w:t xml:space="preserve">Table </w:t>
      </w:r>
      <w:r w:rsidR="00884669" w:rsidRPr="00D34003">
        <w:t>5</w:t>
      </w:r>
      <w:r w:rsidR="001609D0">
        <w:t>.</w:t>
      </w:r>
    </w:p>
    <w:p w:rsidR="00706810" w:rsidRPr="00D34003" w:rsidRDefault="00706810" w:rsidP="00265CD0">
      <w:pPr>
        <w:rPr>
          <w:rStyle w:val="CommentReference"/>
        </w:rPr>
      </w:pPr>
      <w:r w:rsidRPr="00D34003">
        <w:rPr>
          <w:rStyle w:val="CommentReference"/>
        </w:rPr>
        <w:t xml:space="preserve">Table </w:t>
      </w:r>
      <w:r w:rsidR="00884669" w:rsidRPr="00D34003">
        <w:rPr>
          <w:rStyle w:val="CommentReference"/>
        </w:rPr>
        <w:t>5</w:t>
      </w:r>
      <w:r w:rsidRPr="00D34003">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4"/>
        <w:gridCol w:w="847"/>
        <w:gridCol w:w="1421"/>
        <w:gridCol w:w="1128"/>
        <w:gridCol w:w="1557"/>
        <w:gridCol w:w="1130"/>
        <w:gridCol w:w="1706"/>
      </w:tblGrid>
      <w:tr w:rsidR="00706810" w:rsidRPr="00D34003" w:rsidTr="00F74783">
        <w:tc>
          <w:tcPr>
            <w:tcW w:w="713" w:type="pct"/>
            <w:shd w:val="clear" w:color="auto" w:fill="auto"/>
          </w:tcPr>
          <w:p w:rsidR="00706810" w:rsidRPr="00D34003" w:rsidRDefault="00706810" w:rsidP="00265CD0">
            <w:pPr>
              <w:pStyle w:val="Tabletext"/>
              <w:rPr>
                <w:b/>
              </w:rPr>
            </w:pPr>
            <w:r w:rsidRPr="00D34003">
              <w:rPr>
                <w:b/>
              </w:rPr>
              <w:t>Trial</w:t>
            </w:r>
          </w:p>
        </w:tc>
        <w:tc>
          <w:tcPr>
            <w:tcW w:w="466" w:type="pct"/>
            <w:shd w:val="clear" w:color="auto" w:fill="auto"/>
          </w:tcPr>
          <w:p w:rsidR="00706810" w:rsidRPr="00D34003" w:rsidRDefault="00706810" w:rsidP="00B11AAF">
            <w:pPr>
              <w:pStyle w:val="Tabletext"/>
              <w:rPr>
                <w:b/>
              </w:rPr>
            </w:pPr>
            <w:r w:rsidRPr="00D34003">
              <w:rPr>
                <w:b/>
              </w:rPr>
              <w:t>N</w:t>
            </w:r>
          </w:p>
        </w:tc>
        <w:tc>
          <w:tcPr>
            <w:tcW w:w="782" w:type="pct"/>
            <w:shd w:val="clear" w:color="auto" w:fill="auto"/>
          </w:tcPr>
          <w:p w:rsidR="00706810" w:rsidRPr="00D34003" w:rsidRDefault="00706810" w:rsidP="00B11AAF">
            <w:pPr>
              <w:pStyle w:val="Tabletext"/>
              <w:rPr>
                <w:b/>
              </w:rPr>
            </w:pPr>
            <w:r w:rsidRPr="00D34003">
              <w:rPr>
                <w:b/>
              </w:rPr>
              <w:t>Design/ duration</w:t>
            </w:r>
          </w:p>
        </w:tc>
        <w:tc>
          <w:tcPr>
            <w:tcW w:w="621" w:type="pct"/>
            <w:shd w:val="clear" w:color="auto" w:fill="auto"/>
          </w:tcPr>
          <w:p w:rsidR="00706810" w:rsidRPr="00D34003" w:rsidRDefault="00706810" w:rsidP="00B11AAF">
            <w:pPr>
              <w:pStyle w:val="Tabletext"/>
              <w:rPr>
                <w:b/>
              </w:rPr>
            </w:pPr>
            <w:r w:rsidRPr="00D34003">
              <w:rPr>
                <w:b/>
              </w:rPr>
              <w:t>Risk of bias</w:t>
            </w:r>
          </w:p>
        </w:tc>
        <w:tc>
          <w:tcPr>
            <w:tcW w:w="857" w:type="pct"/>
            <w:shd w:val="clear" w:color="auto" w:fill="auto"/>
          </w:tcPr>
          <w:p w:rsidR="00706810" w:rsidRPr="00D34003" w:rsidRDefault="00706810" w:rsidP="00B11AAF">
            <w:pPr>
              <w:pStyle w:val="Tabletext"/>
              <w:rPr>
                <w:b/>
              </w:rPr>
            </w:pPr>
            <w:r w:rsidRPr="00D34003">
              <w:rPr>
                <w:b/>
              </w:rPr>
              <w:t>Patient population</w:t>
            </w:r>
          </w:p>
        </w:tc>
        <w:tc>
          <w:tcPr>
            <w:tcW w:w="622" w:type="pct"/>
            <w:shd w:val="clear" w:color="auto" w:fill="auto"/>
          </w:tcPr>
          <w:p w:rsidR="00706810" w:rsidRPr="00D34003" w:rsidRDefault="00706810" w:rsidP="00B11AAF">
            <w:pPr>
              <w:pStyle w:val="Tabletext"/>
              <w:rPr>
                <w:b/>
              </w:rPr>
            </w:pPr>
            <w:r w:rsidRPr="00D34003">
              <w:rPr>
                <w:b/>
              </w:rPr>
              <w:t>Outcomes</w:t>
            </w:r>
          </w:p>
        </w:tc>
        <w:tc>
          <w:tcPr>
            <w:tcW w:w="939" w:type="pct"/>
            <w:shd w:val="clear" w:color="auto" w:fill="auto"/>
          </w:tcPr>
          <w:p w:rsidR="00706810" w:rsidRPr="00D34003" w:rsidRDefault="00706810" w:rsidP="00B11AAF">
            <w:pPr>
              <w:pStyle w:val="Tabletext"/>
              <w:rPr>
                <w:b/>
              </w:rPr>
            </w:pPr>
            <w:r w:rsidRPr="00D34003">
              <w:rPr>
                <w:b/>
              </w:rPr>
              <w:t>Use in modelled evaluation</w:t>
            </w:r>
          </w:p>
        </w:tc>
      </w:tr>
      <w:tr w:rsidR="00706810" w:rsidRPr="00D34003" w:rsidTr="003364CF">
        <w:tc>
          <w:tcPr>
            <w:tcW w:w="5000" w:type="pct"/>
            <w:gridSpan w:val="7"/>
            <w:shd w:val="clear" w:color="auto" w:fill="auto"/>
            <w:vAlign w:val="center"/>
          </w:tcPr>
          <w:p w:rsidR="00706810" w:rsidRPr="00D34003" w:rsidRDefault="00706810" w:rsidP="00B11AAF">
            <w:pPr>
              <w:pStyle w:val="Tabletext"/>
              <w:rPr>
                <w:b/>
              </w:rPr>
            </w:pPr>
            <w:r w:rsidRPr="00D34003">
              <w:rPr>
                <w:b/>
              </w:rPr>
              <w:t>Pembrolizumab vs. SOC</w:t>
            </w:r>
          </w:p>
        </w:tc>
      </w:tr>
      <w:tr w:rsidR="00706810" w:rsidRPr="00D34003" w:rsidTr="00F74783">
        <w:tc>
          <w:tcPr>
            <w:tcW w:w="713" w:type="pct"/>
            <w:shd w:val="clear" w:color="auto" w:fill="auto"/>
          </w:tcPr>
          <w:p w:rsidR="00706810" w:rsidRPr="00D34003" w:rsidRDefault="00706810" w:rsidP="00265CD0">
            <w:pPr>
              <w:pStyle w:val="Tabletext"/>
            </w:pPr>
            <w:r w:rsidRPr="00D34003">
              <w:t>KN045</w:t>
            </w:r>
          </w:p>
        </w:tc>
        <w:tc>
          <w:tcPr>
            <w:tcW w:w="466" w:type="pct"/>
            <w:shd w:val="clear" w:color="auto" w:fill="auto"/>
          </w:tcPr>
          <w:p w:rsidR="00706810" w:rsidRPr="00D34003" w:rsidRDefault="00706810" w:rsidP="00B11AAF">
            <w:pPr>
              <w:pStyle w:val="Tabletext"/>
            </w:pPr>
            <w:r w:rsidRPr="00D34003">
              <w:t>542</w:t>
            </w:r>
          </w:p>
        </w:tc>
        <w:tc>
          <w:tcPr>
            <w:tcW w:w="782" w:type="pct"/>
            <w:shd w:val="clear" w:color="auto" w:fill="auto"/>
          </w:tcPr>
          <w:p w:rsidR="00706810" w:rsidRPr="00D34003" w:rsidRDefault="00706810" w:rsidP="00B11AAF">
            <w:pPr>
              <w:pStyle w:val="Tabletext"/>
            </w:pPr>
            <w:r w:rsidRPr="00D34003">
              <w:t>R, OL, MC</w:t>
            </w:r>
          </w:p>
          <w:p w:rsidR="00706810" w:rsidRPr="00D34003" w:rsidRDefault="00706810" w:rsidP="00B11AAF">
            <w:pPr>
              <w:pStyle w:val="Tabletext"/>
            </w:pPr>
            <w:r w:rsidRPr="00D34003">
              <w:t xml:space="preserve">Interim analysis: 1. September 2016:  Median OS 14.1 months </w:t>
            </w:r>
          </w:p>
          <w:p w:rsidR="00706810" w:rsidRPr="00D34003" w:rsidRDefault="00706810" w:rsidP="00B11AAF">
            <w:pPr>
              <w:pStyle w:val="Tabletext"/>
            </w:pPr>
            <w:r w:rsidRPr="00D34003">
              <w:t>2. January 2017 Median OS 18.5 months</w:t>
            </w:r>
          </w:p>
          <w:p w:rsidR="00706810" w:rsidRPr="00D34003" w:rsidRDefault="00706810" w:rsidP="00B11AAF">
            <w:pPr>
              <w:pStyle w:val="Tabletext"/>
            </w:pPr>
            <w:r w:rsidRPr="00D34003">
              <w:t>3. 26th October 2017 Median OS 27.7 months</w:t>
            </w:r>
          </w:p>
        </w:tc>
        <w:tc>
          <w:tcPr>
            <w:tcW w:w="621" w:type="pct"/>
            <w:shd w:val="clear" w:color="auto" w:fill="auto"/>
          </w:tcPr>
          <w:p w:rsidR="00706810" w:rsidRPr="00D34003" w:rsidRDefault="00706810" w:rsidP="00B11AAF">
            <w:pPr>
              <w:pStyle w:val="Tabletext"/>
            </w:pPr>
            <w:r w:rsidRPr="00D34003">
              <w:t>Moderate</w:t>
            </w:r>
          </w:p>
        </w:tc>
        <w:tc>
          <w:tcPr>
            <w:tcW w:w="857" w:type="pct"/>
            <w:shd w:val="clear" w:color="auto" w:fill="auto"/>
          </w:tcPr>
          <w:p w:rsidR="00706810" w:rsidRPr="00D34003" w:rsidRDefault="00706810" w:rsidP="00B11AAF">
            <w:pPr>
              <w:pStyle w:val="Tabletext"/>
            </w:pPr>
            <w:r w:rsidRPr="00D34003">
              <w:t>Failed platinum-based chemotherapy.</w:t>
            </w:r>
          </w:p>
        </w:tc>
        <w:tc>
          <w:tcPr>
            <w:tcW w:w="622" w:type="pct"/>
            <w:shd w:val="clear" w:color="auto" w:fill="auto"/>
          </w:tcPr>
          <w:p w:rsidR="00706810" w:rsidRPr="00D34003" w:rsidRDefault="00706810" w:rsidP="00B11AAF">
            <w:pPr>
              <w:pStyle w:val="Tabletext"/>
            </w:pPr>
            <w:r w:rsidRPr="00D34003">
              <w:t>OS, PFS, ORR</w:t>
            </w:r>
          </w:p>
        </w:tc>
        <w:tc>
          <w:tcPr>
            <w:tcW w:w="939" w:type="pct"/>
            <w:shd w:val="clear" w:color="auto" w:fill="auto"/>
          </w:tcPr>
          <w:p w:rsidR="00706810" w:rsidRPr="00D34003" w:rsidRDefault="00706810" w:rsidP="00B11AAF">
            <w:pPr>
              <w:pStyle w:val="Tabletext"/>
            </w:pPr>
            <w:r w:rsidRPr="00D34003">
              <w:t>Survival and progression free gain.</w:t>
            </w:r>
          </w:p>
        </w:tc>
      </w:tr>
    </w:tbl>
    <w:p w:rsidR="00706810" w:rsidRPr="00D34003" w:rsidRDefault="00706810" w:rsidP="00265CD0">
      <w:pPr>
        <w:pStyle w:val="TableFooter"/>
      </w:pPr>
      <w:r w:rsidRPr="00D34003">
        <w:t>Abbreviations: MC=multi-centre; N = total participants in group; OL=open label; ORR = objective response rate; OS=overall survival; PFS=progression-free survival; R=randomised, SOC= standard of care.</w:t>
      </w:r>
    </w:p>
    <w:p w:rsidR="00706810" w:rsidRPr="00D34003" w:rsidRDefault="00706810" w:rsidP="00265CD0">
      <w:pPr>
        <w:pStyle w:val="TableFooter"/>
      </w:pPr>
      <w:r w:rsidRPr="00D34003">
        <w:t>Source: compiled during the evaluation</w:t>
      </w:r>
    </w:p>
    <w:p w:rsidR="00706810" w:rsidRPr="00D34003" w:rsidRDefault="00706810" w:rsidP="00265CD0">
      <w:pPr>
        <w:pStyle w:val="TableFooter"/>
      </w:pPr>
    </w:p>
    <w:p w:rsidR="00706810" w:rsidRPr="00D34003" w:rsidRDefault="006E0FDA" w:rsidP="007A7E9A">
      <w:pPr>
        <w:pStyle w:val="ListParagraph"/>
        <w:widowControl/>
        <w:numPr>
          <w:ilvl w:val="1"/>
          <w:numId w:val="1"/>
        </w:numPr>
        <w:rPr>
          <w:b/>
        </w:rPr>
      </w:pPr>
      <w:r w:rsidRPr="00D34003">
        <w:t xml:space="preserve">KN045 </w:t>
      </w:r>
      <w:r w:rsidR="00706810" w:rsidRPr="00D34003">
        <w:t>had high performance bias and low/unclear selection, detection, attrition, reporting and misclassification bias. The main source of bias was due to the trial being ‘open label’, whereby participants and personnel were not blinded to treatment allocation.</w:t>
      </w:r>
    </w:p>
    <w:p w:rsidR="001609D0" w:rsidRDefault="00706810" w:rsidP="008A23A2">
      <w:pPr>
        <w:pStyle w:val="ListParagraph"/>
        <w:widowControl/>
        <w:numPr>
          <w:ilvl w:val="1"/>
          <w:numId w:val="1"/>
        </w:numPr>
        <w:spacing w:after="120"/>
        <w:rPr>
          <w:color w:val="000000" w:themeColor="text1"/>
        </w:rPr>
      </w:pPr>
      <w:r w:rsidRPr="00D34003">
        <w:t>Patients in KN045 could continue treatment beyond progression, provided there was clinical benefit, or up to 24 months</w:t>
      </w:r>
      <w:r w:rsidR="00864114" w:rsidRPr="00D34003">
        <w:t xml:space="preserve"> of treatment</w:t>
      </w:r>
      <w:r w:rsidRPr="00D34003">
        <w:t xml:space="preserve"> (35 cycles). </w:t>
      </w:r>
      <w:r w:rsidR="00E910F4" w:rsidRPr="00D34003">
        <w:t xml:space="preserve">Continuing treatment </w:t>
      </w:r>
      <w:r w:rsidRPr="00D34003">
        <w:rPr>
          <w:color w:val="000000" w:themeColor="text1"/>
        </w:rPr>
        <w:t>was available to patients who had achieved a CR</w:t>
      </w:r>
      <w:r w:rsidR="004C0092" w:rsidRPr="00D34003">
        <w:rPr>
          <w:color w:val="000000" w:themeColor="text1"/>
        </w:rPr>
        <w:t xml:space="preserve"> </w:t>
      </w:r>
      <w:r w:rsidR="00B11AAF" w:rsidRPr="00D34003">
        <w:rPr>
          <w:color w:val="000000" w:themeColor="text1"/>
        </w:rPr>
        <w:t>(</w:t>
      </w:r>
      <w:r w:rsidR="004C0092" w:rsidRPr="00D34003">
        <w:rPr>
          <w:color w:val="000000" w:themeColor="text1"/>
        </w:rPr>
        <w:t>complete response</w:t>
      </w:r>
      <w:r w:rsidR="00B11AAF" w:rsidRPr="00D34003">
        <w:rPr>
          <w:color w:val="000000" w:themeColor="text1"/>
        </w:rPr>
        <w:t>)</w:t>
      </w:r>
      <w:r w:rsidRPr="00D34003">
        <w:rPr>
          <w:color w:val="000000" w:themeColor="text1"/>
        </w:rPr>
        <w:t xml:space="preserve"> prior to the end of 24 months, or who at reaching 24 months, had at least stable disease, and subsequently experience</w:t>
      </w:r>
      <w:r w:rsidR="00E910F4" w:rsidRPr="00D34003">
        <w:rPr>
          <w:color w:val="000000" w:themeColor="text1"/>
        </w:rPr>
        <w:t>d</w:t>
      </w:r>
      <w:r w:rsidRPr="00D34003">
        <w:rPr>
          <w:color w:val="000000" w:themeColor="text1"/>
        </w:rPr>
        <w:t xml:space="preserve"> disease progression (Clinical trial protocol, p 111).</w:t>
      </w:r>
      <w:bookmarkStart w:id="15" w:name="_Toc511305028"/>
      <w:bookmarkStart w:id="16" w:name="_Toc514243670"/>
    </w:p>
    <w:p w:rsidR="001609D0" w:rsidRDefault="001609D0">
      <w:pPr>
        <w:widowControl/>
        <w:jc w:val="left"/>
        <w:rPr>
          <w:color w:val="000000" w:themeColor="text1"/>
        </w:rPr>
      </w:pPr>
      <w:r>
        <w:rPr>
          <w:color w:val="000000" w:themeColor="text1"/>
        </w:rPr>
        <w:br w:type="page"/>
      </w:r>
    </w:p>
    <w:p w:rsidR="00706810" w:rsidRPr="00683C6F" w:rsidRDefault="00706810" w:rsidP="008A23A2">
      <w:pPr>
        <w:pStyle w:val="Heading2"/>
        <w:spacing w:after="120"/>
      </w:pPr>
      <w:r w:rsidRPr="00683C6F">
        <w:lastRenderedPageBreak/>
        <w:t>Comparative effectiveness</w:t>
      </w:r>
      <w:bookmarkEnd w:id="15"/>
      <w:bookmarkEnd w:id="16"/>
    </w:p>
    <w:p w:rsidR="00706810" w:rsidRPr="00D34003" w:rsidRDefault="00706810" w:rsidP="007A7E9A">
      <w:pPr>
        <w:pStyle w:val="ListParagraph"/>
        <w:widowControl/>
        <w:numPr>
          <w:ilvl w:val="1"/>
          <w:numId w:val="1"/>
        </w:numPr>
        <w:rPr>
          <w:color w:val="3366FF"/>
        </w:rPr>
      </w:pPr>
      <w:r w:rsidRPr="00D34003">
        <w:t xml:space="preserve">The resubmission presented an extended follow-up </w:t>
      </w:r>
      <w:r w:rsidR="00D34003" w:rsidRPr="00D34003">
        <w:t>analysis that</w:t>
      </w:r>
      <w:r w:rsidRPr="00D34003">
        <w:t xml:space="preserve"> provided an additional 13.6 months of follow-up compared with that in the November 2017 submission. These data showed a higher rate of crossover in the SOC arm (</w:t>
      </w:r>
      <w:r w:rsidR="00504C28">
        <w:rPr>
          <w:noProof/>
          <w:color w:val="000000"/>
          <w:highlight w:val="black"/>
        </w:rPr>
        <w:t>'''''</w:t>
      </w:r>
      <w:r w:rsidRPr="00D34003">
        <w:t xml:space="preserve">% receiving immunotherapies post-progression vs. 12.9% in the November 2017 submission). </w:t>
      </w:r>
    </w:p>
    <w:p w:rsidR="00706810" w:rsidRPr="00D34003" w:rsidRDefault="00706810" w:rsidP="007A7E9A">
      <w:pPr>
        <w:pStyle w:val="ListParagraph"/>
        <w:widowControl/>
        <w:numPr>
          <w:ilvl w:val="1"/>
          <w:numId w:val="1"/>
        </w:numPr>
        <w:rPr>
          <w:color w:val="3366FF"/>
        </w:rPr>
      </w:pPr>
      <w:r w:rsidRPr="00D34003">
        <w:t xml:space="preserve">The updated </w:t>
      </w:r>
      <w:r w:rsidR="00276EC7" w:rsidRPr="00D34003">
        <w:t>overall survival (</w:t>
      </w:r>
      <w:r w:rsidRPr="00D34003">
        <w:t>OS</w:t>
      </w:r>
      <w:r w:rsidR="00276EC7" w:rsidRPr="00D34003">
        <w:t>)</w:t>
      </w:r>
      <w:r w:rsidRPr="00D34003">
        <w:t xml:space="preserve"> and </w:t>
      </w:r>
      <w:r w:rsidR="00E910F4" w:rsidRPr="00D34003">
        <w:t>progression free survival (</w:t>
      </w:r>
      <w:r w:rsidRPr="00D34003">
        <w:t>PFS</w:t>
      </w:r>
      <w:r w:rsidR="00E910F4" w:rsidRPr="00D34003">
        <w:t>)</w:t>
      </w:r>
      <w:r w:rsidRPr="00D34003">
        <w:t xml:space="preserve"> results</w:t>
      </w:r>
      <w:r w:rsidRPr="00D34003">
        <w:rPr>
          <w:color w:val="000000" w:themeColor="text1"/>
        </w:rPr>
        <w:t xml:space="preserve"> showed</w:t>
      </w:r>
      <w:r w:rsidRPr="00D34003">
        <w:rPr>
          <w:rFonts w:cs="Calibri"/>
          <w:color w:val="000000" w:themeColor="text1"/>
        </w:rPr>
        <w:t xml:space="preserve"> a continued survival benefit for pembrolizumab compared to SOC (OS HR= 0.70 (95% CI; 0.57, 0.85)</w:t>
      </w:r>
      <w:r w:rsidR="00E910F4" w:rsidRPr="00D34003">
        <w:rPr>
          <w:rFonts w:cs="Calibri"/>
          <w:color w:val="000000" w:themeColor="text1"/>
        </w:rPr>
        <w:t xml:space="preserve">, but no difference in PFS (see Table </w:t>
      </w:r>
      <w:r w:rsidR="00AF6004" w:rsidRPr="00D34003">
        <w:rPr>
          <w:rFonts w:cs="Calibri"/>
          <w:color w:val="000000" w:themeColor="text1"/>
        </w:rPr>
        <w:t>6</w:t>
      </w:r>
      <w:r w:rsidR="0037779F" w:rsidRPr="00D34003">
        <w:rPr>
          <w:rFonts w:cs="Calibri"/>
          <w:color w:val="000000" w:themeColor="text1"/>
        </w:rPr>
        <w:t xml:space="preserve"> and Figure 2</w:t>
      </w:r>
      <w:r w:rsidR="00E910F4" w:rsidRPr="00D34003">
        <w:rPr>
          <w:rFonts w:cs="Calibri"/>
          <w:color w:val="000000" w:themeColor="text1"/>
        </w:rPr>
        <w:t>)</w:t>
      </w:r>
      <w:r w:rsidRPr="00D34003">
        <w:rPr>
          <w:rFonts w:cs="Calibri"/>
          <w:color w:val="000000" w:themeColor="text1"/>
        </w:rPr>
        <w:t xml:space="preserve">. </w:t>
      </w:r>
      <w:r w:rsidR="00D34003">
        <w:rPr>
          <w:rFonts w:cs="Calibri"/>
          <w:color w:val="000000" w:themeColor="text1"/>
        </w:rPr>
        <w:t xml:space="preserve">Figure 1 presents </w:t>
      </w:r>
      <w:r w:rsidR="00D34003">
        <w:t>t</w:t>
      </w:r>
      <w:r w:rsidR="00D34003" w:rsidRPr="00D34003">
        <w:t xml:space="preserve">he </w:t>
      </w:r>
      <w:r w:rsidR="00E910F4" w:rsidRPr="00D34003">
        <w:t xml:space="preserve">updated </w:t>
      </w:r>
      <w:r w:rsidRPr="00D34003">
        <w:t>Kaplan-Meier (KM) analysis of OS.</w:t>
      </w:r>
    </w:p>
    <w:p w:rsidR="00706810" w:rsidRPr="00D34003" w:rsidRDefault="00706810" w:rsidP="00265CD0">
      <w:pPr>
        <w:pStyle w:val="Caption"/>
        <w:keepNext/>
        <w:keepLines/>
        <w:rPr>
          <w:rStyle w:val="CommentReference"/>
          <w:b/>
          <w:bCs w:val="0"/>
          <w:color w:val="auto"/>
        </w:rPr>
      </w:pPr>
      <w:r w:rsidRPr="00D34003">
        <w:rPr>
          <w:rStyle w:val="CommentReference"/>
          <w:b/>
          <w:bCs w:val="0"/>
          <w:color w:val="auto"/>
        </w:rPr>
        <w:t>Figure 1: Kaplan-Meier estimate of Overall Survival (ITT population)</w:t>
      </w:r>
    </w:p>
    <w:p w:rsidR="00706810" w:rsidRPr="00D34003" w:rsidRDefault="00504C28" w:rsidP="00265CD0">
      <w:r>
        <w:rPr>
          <w:noProof/>
          <w:snapToGrid/>
          <w:lang w:eastAsia="en-AU"/>
        </w:rPr>
        <w:drawing>
          <wp:inline distT="0" distB="0" distL="0" distR="0">
            <wp:extent cx="5495290" cy="3914140"/>
            <wp:effectExtent l="0" t="0" r="0" b="0"/>
            <wp:docPr id="7" name="Picture 7" title="Figure 1: Kaplan-Meier estimate of Overall Survival (ITT popul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95290" cy="3914140"/>
                    </a:xfrm>
                    <a:prstGeom prst="rect">
                      <a:avLst/>
                    </a:prstGeom>
                  </pic:spPr>
                </pic:pic>
              </a:graphicData>
            </a:graphic>
          </wp:inline>
        </w:drawing>
      </w:r>
    </w:p>
    <w:p w:rsidR="00706810" w:rsidRPr="00D34003" w:rsidRDefault="00706810" w:rsidP="00265CD0">
      <w:pPr>
        <w:pStyle w:val="TableFooter"/>
      </w:pPr>
      <w:r w:rsidRPr="00D34003">
        <w:t>Abbreviations: ITT = intention to treat.</w:t>
      </w:r>
    </w:p>
    <w:p w:rsidR="00706810" w:rsidRPr="00D34003" w:rsidRDefault="00706810" w:rsidP="00265CD0">
      <w:pPr>
        <w:pStyle w:val="TableFooter"/>
      </w:pPr>
      <w:r w:rsidRPr="00D34003">
        <w:t xml:space="preserve">Source: Figure 2.2, p. 56 of the resubmission. </w:t>
      </w:r>
    </w:p>
    <w:p w:rsidR="00706810" w:rsidRPr="00D34003" w:rsidRDefault="00706810" w:rsidP="00265CD0"/>
    <w:p w:rsidR="00706810" w:rsidRPr="00D34003" w:rsidRDefault="00706810" w:rsidP="007A7E9A">
      <w:pPr>
        <w:pStyle w:val="ListParagraph"/>
        <w:widowControl/>
        <w:numPr>
          <w:ilvl w:val="1"/>
          <w:numId w:val="1"/>
        </w:numPr>
      </w:pPr>
      <w:r w:rsidRPr="00D34003">
        <w:t xml:space="preserve">The </w:t>
      </w:r>
      <w:r w:rsidR="00BE6B26" w:rsidRPr="00D34003">
        <w:t>KM</w:t>
      </w:r>
      <w:r w:rsidRPr="00D34003">
        <w:t xml:space="preserve"> analysis for PFS is presented in Figure 2. A total of 486 PFS events were reported at the time of the updated analysis. The median PFS was 2.1 months (95% CI: 2.0, 2.2) in the pembrolizumab arm compared with 3.3 months (95% CI: 2.4, 3.5) in the SOC arm with an estimated HR=0.96 (95% CI; 0.79-1.16). This did not differ from the outcome for PFS reported in the November 2017 submission. At the November 2017 PBAC meeting, the PBAC considered that PFS may not be a meaningful surrogate for clinical benefit in this indication (</w:t>
      </w:r>
      <w:r w:rsidR="00BE6B26" w:rsidRPr="00D34003">
        <w:t>pembrolizumab PSD</w:t>
      </w:r>
      <w:r w:rsidRPr="00D34003">
        <w:t xml:space="preserve">, </w:t>
      </w:r>
      <w:r w:rsidRPr="00D34003">
        <w:lastRenderedPageBreak/>
        <w:t>Nov</w:t>
      </w:r>
      <w:r w:rsidR="00BE6B26" w:rsidRPr="00D34003">
        <w:t>ember</w:t>
      </w:r>
      <w:r w:rsidRPr="00D34003">
        <w:t xml:space="preserve"> 2017, point 7.6).</w:t>
      </w:r>
      <w:r w:rsidR="0001365D" w:rsidRPr="00D34003">
        <w:t xml:space="preserve"> The PBAC </w:t>
      </w:r>
      <w:r w:rsidR="00B359C0" w:rsidRPr="00D34003">
        <w:t>considered</w:t>
      </w:r>
      <w:r w:rsidR="0001365D" w:rsidRPr="00D34003">
        <w:t xml:space="preserve"> that </w:t>
      </w:r>
      <w:r w:rsidR="006D3E1F" w:rsidRPr="00D34003">
        <w:t xml:space="preserve">having a difference in OS but no difference in </w:t>
      </w:r>
      <w:r w:rsidR="0001365D" w:rsidRPr="00D34003">
        <w:t xml:space="preserve">PFS suggested that pembrolizumab may </w:t>
      </w:r>
      <w:r w:rsidR="0000639E" w:rsidRPr="00D34003">
        <w:t>be effective</w:t>
      </w:r>
      <w:r w:rsidR="0001365D" w:rsidRPr="00D34003">
        <w:t xml:space="preserve"> in some patients</w:t>
      </w:r>
      <w:r w:rsidR="009440C1" w:rsidRPr="00D34003">
        <w:t xml:space="preserve"> and not others, indicating that better targeting of </w:t>
      </w:r>
      <w:r w:rsidR="0000639E" w:rsidRPr="00D34003">
        <w:t xml:space="preserve">this </w:t>
      </w:r>
      <w:r w:rsidR="009440C1" w:rsidRPr="00D34003">
        <w:t>treatment</w:t>
      </w:r>
      <w:r w:rsidR="0000639E" w:rsidRPr="00D34003">
        <w:t xml:space="preserve"> may</w:t>
      </w:r>
      <w:r w:rsidR="009440C1" w:rsidRPr="00D34003">
        <w:t xml:space="preserve"> be useful</w:t>
      </w:r>
      <w:r w:rsidR="006D3E1F" w:rsidRPr="00D34003">
        <w:t xml:space="preserve">. The PBAC </w:t>
      </w:r>
      <w:r w:rsidR="00B359C0" w:rsidRPr="00D34003">
        <w:t>noted</w:t>
      </w:r>
      <w:r w:rsidR="007A52DB" w:rsidRPr="00D34003">
        <w:t xml:space="preserve"> </w:t>
      </w:r>
      <w:r w:rsidR="00F5459C" w:rsidRPr="00D34003">
        <w:t xml:space="preserve">that </w:t>
      </w:r>
      <w:r w:rsidR="0000639E" w:rsidRPr="00D34003">
        <w:t>a</w:t>
      </w:r>
      <w:r w:rsidR="00F5459C" w:rsidRPr="00D34003">
        <w:t xml:space="preserve"> stratified analysis did not identify any clinically </w:t>
      </w:r>
      <w:r w:rsidR="006D3E1F" w:rsidRPr="00D34003">
        <w:t>significant interaction</w:t>
      </w:r>
      <w:r w:rsidR="008E1E5F" w:rsidRPr="00D34003">
        <w:t>s within the subgroups identified</w:t>
      </w:r>
      <w:r w:rsidR="00EF05EA" w:rsidRPr="00D34003">
        <w:t xml:space="preserve"> but </w:t>
      </w:r>
      <w:r w:rsidR="00F5459C" w:rsidRPr="00D34003">
        <w:t>considered</w:t>
      </w:r>
      <w:r w:rsidR="00EF05EA" w:rsidRPr="00D34003">
        <w:t xml:space="preserve"> that a positive interaction may be</w:t>
      </w:r>
      <w:r w:rsidR="00DA1B51" w:rsidRPr="00D34003">
        <w:t>come</w:t>
      </w:r>
      <w:r w:rsidR="00EF05EA" w:rsidRPr="00D34003">
        <w:t xml:space="preserve"> more apparent with more data</w:t>
      </w:r>
      <w:r w:rsidR="008E1E5F" w:rsidRPr="00D34003">
        <w:t>.</w:t>
      </w:r>
      <w:r w:rsidR="006D3E1F" w:rsidRPr="00D34003">
        <w:t xml:space="preserve"> </w:t>
      </w:r>
    </w:p>
    <w:p w:rsidR="00706810" w:rsidRPr="00D34003" w:rsidRDefault="00706810" w:rsidP="00265CD0">
      <w:pPr>
        <w:pStyle w:val="Caption"/>
        <w:keepNext/>
        <w:keepLines/>
        <w:rPr>
          <w:rStyle w:val="CommentReference"/>
          <w:b/>
          <w:bCs w:val="0"/>
          <w:color w:val="auto"/>
        </w:rPr>
      </w:pPr>
      <w:r w:rsidRPr="00D34003">
        <w:rPr>
          <w:rStyle w:val="CommentReference"/>
          <w:b/>
          <w:bCs w:val="0"/>
          <w:color w:val="auto"/>
        </w:rPr>
        <w:t>Figure 2: Kaplan-Meier estimate of PFS (ITT population)</w:t>
      </w:r>
    </w:p>
    <w:p w:rsidR="00706810" w:rsidRPr="00D34003" w:rsidRDefault="00504C28" w:rsidP="00265CD0">
      <w:pPr>
        <w:pStyle w:val="PBACHeading1"/>
        <w:numPr>
          <w:ilvl w:val="0"/>
          <w:numId w:val="0"/>
        </w:numPr>
        <w:ind w:left="720" w:hanging="720"/>
      </w:pPr>
      <w:r>
        <w:rPr>
          <w:noProof/>
          <w:snapToGrid/>
          <w:lang w:eastAsia="en-AU"/>
        </w:rPr>
        <w:drawing>
          <wp:inline distT="0" distB="0" distL="0" distR="0">
            <wp:extent cx="5495290" cy="3914140"/>
            <wp:effectExtent l="0" t="0" r="0" b="0"/>
            <wp:docPr id="6" name="Picture 6" title="Figure 2: Kaplan-Meier estimate of PFS (ITT popul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95290" cy="3914140"/>
                    </a:xfrm>
                    <a:prstGeom prst="rect">
                      <a:avLst/>
                    </a:prstGeom>
                  </pic:spPr>
                </pic:pic>
              </a:graphicData>
            </a:graphic>
          </wp:inline>
        </w:drawing>
      </w:r>
    </w:p>
    <w:p w:rsidR="00706810" w:rsidRPr="00D34003" w:rsidRDefault="00706810" w:rsidP="00265CD0">
      <w:pPr>
        <w:pStyle w:val="TableFooter"/>
      </w:pPr>
      <w:r w:rsidRPr="00D34003">
        <w:t>Abbreviations: ITT = intention to treat; PFS = progression free survival.</w:t>
      </w:r>
    </w:p>
    <w:p w:rsidR="00706810" w:rsidRPr="00D34003" w:rsidRDefault="00706810" w:rsidP="00265CD0">
      <w:pPr>
        <w:pStyle w:val="TableFooter"/>
      </w:pPr>
      <w:r w:rsidRPr="00D34003">
        <w:t xml:space="preserve">Source: Figure 2.3, p. 58 of the resubmission. </w:t>
      </w:r>
    </w:p>
    <w:p w:rsidR="00706810" w:rsidRPr="00D34003" w:rsidRDefault="00706810" w:rsidP="00265CD0">
      <w:pPr>
        <w:pStyle w:val="PBACHeading1"/>
        <w:numPr>
          <w:ilvl w:val="0"/>
          <w:numId w:val="0"/>
        </w:numPr>
        <w:ind w:left="720" w:hanging="720"/>
        <w:rPr>
          <w:sz w:val="24"/>
          <w:szCs w:val="24"/>
        </w:rPr>
      </w:pPr>
    </w:p>
    <w:p w:rsidR="00154B70" w:rsidRPr="00D34003" w:rsidRDefault="00154B70">
      <w:pPr>
        <w:widowControl/>
        <w:jc w:val="left"/>
        <w:rPr>
          <w:rFonts w:cs="Calibri"/>
          <w:snapToGrid/>
          <w:szCs w:val="24"/>
          <w:lang w:eastAsia="en-AU"/>
        </w:rPr>
      </w:pPr>
      <w:r w:rsidRPr="00D34003">
        <w:rPr>
          <w:rFonts w:cs="Calibri"/>
          <w:snapToGrid/>
          <w:szCs w:val="24"/>
          <w:lang w:eastAsia="en-AU"/>
        </w:rPr>
        <w:br w:type="page"/>
      </w:r>
    </w:p>
    <w:p w:rsidR="00706810" w:rsidRPr="00D34003" w:rsidRDefault="00706810" w:rsidP="007A7E9A">
      <w:pPr>
        <w:pStyle w:val="ListParagraph"/>
        <w:widowControl/>
        <w:numPr>
          <w:ilvl w:val="1"/>
          <w:numId w:val="1"/>
        </w:numPr>
        <w:rPr>
          <w:color w:val="3366FF"/>
        </w:rPr>
      </w:pPr>
      <w:r w:rsidRPr="00D34003">
        <w:rPr>
          <w:rFonts w:cs="Calibri"/>
          <w:snapToGrid/>
          <w:szCs w:val="24"/>
          <w:lang w:eastAsia="en-AU"/>
        </w:rPr>
        <w:lastRenderedPageBreak/>
        <w:t xml:space="preserve">A summary of </w:t>
      </w:r>
      <w:r w:rsidR="00E910F4" w:rsidRPr="00D34003">
        <w:rPr>
          <w:rFonts w:cs="Calibri"/>
          <w:snapToGrid/>
          <w:szCs w:val="24"/>
          <w:lang w:eastAsia="en-AU"/>
        </w:rPr>
        <w:t xml:space="preserve">the </w:t>
      </w:r>
      <w:r w:rsidRPr="00D34003">
        <w:rPr>
          <w:rFonts w:cs="Calibri"/>
          <w:snapToGrid/>
          <w:szCs w:val="24"/>
          <w:lang w:eastAsia="en-AU"/>
        </w:rPr>
        <w:t xml:space="preserve">clinical outcomes is presented in Table </w:t>
      </w:r>
      <w:r w:rsidR="00884669" w:rsidRPr="00D34003">
        <w:rPr>
          <w:rFonts w:cs="Calibri"/>
          <w:snapToGrid/>
          <w:szCs w:val="24"/>
          <w:lang w:eastAsia="en-AU"/>
        </w:rPr>
        <w:t>6</w:t>
      </w:r>
      <w:r w:rsidR="00F91AE3" w:rsidRPr="00D34003">
        <w:rPr>
          <w:rFonts w:cs="Calibri"/>
          <w:snapToGrid/>
          <w:szCs w:val="24"/>
          <w:lang w:eastAsia="en-AU"/>
        </w:rPr>
        <w:t>.</w:t>
      </w:r>
    </w:p>
    <w:p w:rsidR="00706810" w:rsidRPr="00D34003" w:rsidRDefault="00706810" w:rsidP="00680C1E">
      <w:pPr>
        <w:pStyle w:val="Caption"/>
        <w:keepNext/>
        <w:keepLines/>
        <w:spacing w:after="0"/>
        <w:rPr>
          <w:rStyle w:val="CommentReference"/>
          <w:color w:val="auto"/>
        </w:rPr>
      </w:pPr>
      <w:r w:rsidRPr="00D34003">
        <w:rPr>
          <w:rStyle w:val="CommentReference"/>
          <w:b/>
          <w:bCs w:val="0"/>
          <w:color w:val="auto"/>
        </w:rPr>
        <w:t xml:space="preserve">Table </w:t>
      </w:r>
      <w:r w:rsidR="00884669" w:rsidRPr="00D34003">
        <w:rPr>
          <w:rStyle w:val="CommentReference"/>
          <w:b/>
          <w:bCs w:val="0"/>
          <w:color w:val="auto"/>
        </w:rPr>
        <w:t>6</w:t>
      </w:r>
      <w:r w:rsidRPr="00D34003">
        <w:rPr>
          <w:rStyle w:val="CommentReference"/>
          <w:b/>
          <w:bCs w:val="0"/>
          <w:color w:val="auto"/>
        </w:rPr>
        <w:t xml:space="preserve">: Summary of survival outcomes (PFS and OS) in KN045 (all three interim </w:t>
      </w:r>
      <w:r w:rsidR="00F91AE3" w:rsidRPr="00D34003">
        <w:rPr>
          <w:rStyle w:val="CommentReference"/>
          <w:b/>
          <w:bCs w:val="0"/>
          <w:color w:val="auto"/>
        </w:rPr>
        <w:t>analyses</w:t>
      </w:r>
      <w:r w:rsidRPr="00D34003">
        <w:rPr>
          <w:rStyle w:val="CommentReference"/>
          <w:b/>
          <w:bCs w:val="0"/>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823"/>
        <w:gridCol w:w="1784"/>
        <w:gridCol w:w="1797"/>
        <w:gridCol w:w="1828"/>
      </w:tblGrid>
      <w:tr w:rsidR="00706810" w:rsidRPr="00D34003" w:rsidTr="00F74783">
        <w:trPr>
          <w:tblHeader/>
        </w:trPr>
        <w:tc>
          <w:tcPr>
            <w:tcW w:w="1784" w:type="dxa"/>
            <w:vAlign w:val="center"/>
          </w:tcPr>
          <w:p w:rsidR="00706810" w:rsidRPr="00D34003" w:rsidRDefault="00706810" w:rsidP="00265CD0">
            <w:pPr>
              <w:pStyle w:val="Tabletext"/>
              <w:rPr>
                <w:b/>
              </w:rPr>
            </w:pPr>
          </w:p>
        </w:tc>
        <w:tc>
          <w:tcPr>
            <w:tcW w:w="1823" w:type="dxa"/>
          </w:tcPr>
          <w:p w:rsidR="00706810" w:rsidRPr="00D34003" w:rsidRDefault="00706810" w:rsidP="00265CD0">
            <w:pPr>
              <w:pStyle w:val="Tabletext"/>
              <w:jc w:val="center"/>
              <w:rPr>
                <w:b/>
              </w:rPr>
            </w:pPr>
            <w:r w:rsidRPr="00D34003">
              <w:rPr>
                <w:b/>
              </w:rPr>
              <w:t>Pembrolizumab n/N (%)</w:t>
            </w:r>
          </w:p>
        </w:tc>
        <w:tc>
          <w:tcPr>
            <w:tcW w:w="1784" w:type="dxa"/>
          </w:tcPr>
          <w:p w:rsidR="00706810" w:rsidRPr="00D34003" w:rsidRDefault="00706810" w:rsidP="00265CD0">
            <w:pPr>
              <w:pStyle w:val="Tabletext"/>
              <w:jc w:val="center"/>
              <w:rPr>
                <w:b/>
              </w:rPr>
            </w:pPr>
            <w:r w:rsidRPr="00D34003">
              <w:rPr>
                <w:b/>
              </w:rPr>
              <w:t>SOC n/N (%)</w:t>
            </w:r>
          </w:p>
        </w:tc>
        <w:tc>
          <w:tcPr>
            <w:tcW w:w="1797" w:type="dxa"/>
          </w:tcPr>
          <w:p w:rsidR="00706810" w:rsidRPr="00D34003" w:rsidRDefault="00706810" w:rsidP="00265CD0">
            <w:pPr>
              <w:pStyle w:val="Tabletext"/>
              <w:jc w:val="center"/>
              <w:rPr>
                <w:b/>
              </w:rPr>
            </w:pPr>
            <w:r w:rsidRPr="00D34003">
              <w:rPr>
                <w:b/>
              </w:rPr>
              <w:t>Absolute difference</w:t>
            </w:r>
          </w:p>
        </w:tc>
        <w:tc>
          <w:tcPr>
            <w:tcW w:w="1828" w:type="dxa"/>
          </w:tcPr>
          <w:p w:rsidR="00706810" w:rsidRPr="00D34003" w:rsidRDefault="00706810" w:rsidP="00265CD0">
            <w:pPr>
              <w:pStyle w:val="Tabletext"/>
              <w:jc w:val="center"/>
              <w:rPr>
                <w:b/>
              </w:rPr>
            </w:pPr>
            <w:r w:rsidRPr="00D34003">
              <w:rPr>
                <w:b/>
              </w:rPr>
              <w:t>HR (95% CI)</w:t>
            </w:r>
          </w:p>
        </w:tc>
      </w:tr>
      <w:tr w:rsidR="00706810" w:rsidRPr="00D34003" w:rsidTr="003E777D">
        <w:tc>
          <w:tcPr>
            <w:tcW w:w="9016" w:type="dxa"/>
            <w:gridSpan w:val="5"/>
            <w:vAlign w:val="center"/>
          </w:tcPr>
          <w:p w:rsidR="00706810" w:rsidRPr="00D34003" w:rsidRDefault="00706810" w:rsidP="00265CD0">
            <w:pPr>
              <w:pStyle w:val="Tabletext"/>
              <w:rPr>
                <w:b/>
              </w:rPr>
            </w:pPr>
            <w:r w:rsidRPr="00D34003">
              <w:rPr>
                <w:b/>
              </w:rPr>
              <w:t>PFS</w:t>
            </w:r>
          </w:p>
        </w:tc>
      </w:tr>
      <w:tr w:rsidR="00706810" w:rsidRPr="00D34003" w:rsidTr="003E777D">
        <w:tc>
          <w:tcPr>
            <w:tcW w:w="9016" w:type="dxa"/>
            <w:gridSpan w:val="5"/>
            <w:vAlign w:val="center"/>
          </w:tcPr>
          <w:p w:rsidR="00706810" w:rsidRPr="00D34003" w:rsidRDefault="00706810" w:rsidP="00265CD0">
            <w:pPr>
              <w:pStyle w:val="Tabletext"/>
              <w:rPr>
                <w:b/>
              </w:rPr>
            </w:pPr>
            <w:r w:rsidRPr="00D34003">
              <w:rPr>
                <w:b/>
              </w:rPr>
              <w:t>Database cut-off: 18</w:t>
            </w:r>
            <w:r w:rsidRPr="00D34003">
              <w:rPr>
                <w:b/>
                <w:vertAlign w:val="superscript"/>
              </w:rPr>
              <w:t>th</w:t>
            </w:r>
            <w:r w:rsidRPr="00D34003">
              <w:rPr>
                <w:b/>
              </w:rPr>
              <w:t xml:space="preserve"> January 2017</w:t>
            </w:r>
          </w:p>
        </w:tc>
      </w:tr>
      <w:tr w:rsidR="00706810" w:rsidRPr="00D34003" w:rsidTr="00F74783">
        <w:tc>
          <w:tcPr>
            <w:tcW w:w="1784" w:type="dxa"/>
            <w:vAlign w:val="center"/>
          </w:tcPr>
          <w:p w:rsidR="00706810" w:rsidRPr="00D34003" w:rsidRDefault="00706810" w:rsidP="00265CD0">
            <w:pPr>
              <w:pStyle w:val="Tabletext"/>
            </w:pPr>
            <w:r w:rsidRPr="00D34003">
              <w:t>Patients with event</w:t>
            </w:r>
          </w:p>
        </w:tc>
        <w:tc>
          <w:tcPr>
            <w:tcW w:w="1823" w:type="dxa"/>
          </w:tcPr>
          <w:p w:rsidR="00706810" w:rsidRPr="00D34003" w:rsidRDefault="00504C28" w:rsidP="00F74783">
            <w:pPr>
              <w:pStyle w:val="Tabletext"/>
              <w:jc w:val="center"/>
            </w:pPr>
            <w:r>
              <w:rPr>
                <w:noProof/>
                <w:color w:val="000000"/>
                <w:highlight w:val="black"/>
              </w:rPr>
              <w:t>'''''''''</w:t>
            </w:r>
            <w:r w:rsidR="00706810" w:rsidRPr="00D34003">
              <w:t>/</w:t>
            </w:r>
            <w:r>
              <w:rPr>
                <w:noProof/>
                <w:color w:val="000000"/>
                <w:highlight w:val="black"/>
              </w:rPr>
              <w:t>''''''''</w:t>
            </w:r>
            <w:r w:rsidR="00706810" w:rsidRPr="00D34003">
              <w:t xml:space="preserve"> (</w:t>
            </w:r>
            <w:r>
              <w:rPr>
                <w:noProof/>
                <w:color w:val="000000"/>
                <w:highlight w:val="black"/>
              </w:rPr>
              <w:t>''''''''''</w:t>
            </w:r>
            <w:r w:rsidR="00706810" w:rsidRPr="00D34003">
              <w:t>)</w:t>
            </w:r>
          </w:p>
        </w:tc>
        <w:tc>
          <w:tcPr>
            <w:tcW w:w="1784" w:type="dxa"/>
          </w:tcPr>
          <w:p w:rsidR="00706810" w:rsidRPr="00D34003" w:rsidRDefault="00504C28" w:rsidP="00F74783">
            <w:pPr>
              <w:pStyle w:val="Tabletext"/>
              <w:jc w:val="center"/>
            </w:pPr>
            <w:r>
              <w:rPr>
                <w:noProof/>
                <w:color w:val="000000"/>
                <w:highlight w:val="black"/>
              </w:rPr>
              <w:t>'''''''''</w:t>
            </w:r>
            <w:r w:rsidR="00706810" w:rsidRPr="00D34003">
              <w:t>/</w:t>
            </w:r>
            <w:r>
              <w:rPr>
                <w:noProof/>
                <w:color w:val="000000"/>
                <w:highlight w:val="black"/>
              </w:rPr>
              <w:t>'''''''''</w:t>
            </w:r>
            <w:r w:rsidR="00706810" w:rsidRPr="00D34003">
              <w:t xml:space="preserve"> (</w:t>
            </w:r>
            <w:r>
              <w:rPr>
                <w:noProof/>
                <w:color w:val="000000"/>
                <w:highlight w:val="black"/>
              </w:rPr>
              <w:t>''''''''''</w:t>
            </w:r>
            <w:r w:rsidR="00706810" w:rsidRPr="00D34003">
              <w:t>)</w:t>
            </w:r>
          </w:p>
        </w:tc>
        <w:tc>
          <w:tcPr>
            <w:tcW w:w="1797" w:type="dxa"/>
          </w:tcPr>
          <w:p w:rsidR="00706810" w:rsidRPr="00D34003" w:rsidRDefault="00706810" w:rsidP="00F74783">
            <w:pPr>
              <w:pStyle w:val="Tabletext"/>
              <w:jc w:val="center"/>
            </w:pPr>
            <w:r w:rsidRPr="00D34003">
              <w:t>-</w:t>
            </w:r>
          </w:p>
        </w:tc>
        <w:tc>
          <w:tcPr>
            <w:tcW w:w="1828" w:type="dxa"/>
          </w:tcPr>
          <w:p w:rsidR="00706810" w:rsidRPr="00D34003" w:rsidRDefault="00706810" w:rsidP="00F74783">
            <w:pPr>
              <w:pStyle w:val="Tabletext"/>
              <w:jc w:val="center"/>
            </w:pPr>
            <w:r w:rsidRPr="00D34003">
              <w:t>-</w:t>
            </w:r>
          </w:p>
        </w:tc>
      </w:tr>
      <w:tr w:rsidR="00706810" w:rsidRPr="00D34003" w:rsidTr="00F74783">
        <w:tc>
          <w:tcPr>
            <w:tcW w:w="1784" w:type="dxa"/>
            <w:vAlign w:val="center"/>
          </w:tcPr>
          <w:p w:rsidR="00706810" w:rsidRPr="00D34003" w:rsidRDefault="00706810" w:rsidP="00265CD0">
            <w:pPr>
              <w:pStyle w:val="Tabletext"/>
            </w:pPr>
            <w:r w:rsidRPr="00D34003">
              <w:t>Median PFS months (95% CI)</w:t>
            </w:r>
          </w:p>
        </w:tc>
        <w:tc>
          <w:tcPr>
            <w:tcW w:w="1823" w:type="dxa"/>
          </w:tcPr>
          <w:p w:rsidR="00706810" w:rsidRPr="00D34003" w:rsidRDefault="00706810" w:rsidP="00F74783">
            <w:pPr>
              <w:pStyle w:val="Tabletext"/>
              <w:jc w:val="center"/>
            </w:pPr>
            <w:r w:rsidRPr="00D34003">
              <w:t>2.1 (2.0, 2.2)</w:t>
            </w:r>
          </w:p>
        </w:tc>
        <w:tc>
          <w:tcPr>
            <w:tcW w:w="1784" w:type="dxa"/>
          </w:tcPr>
          <w:p w:rsidR="00706810" w:rsidRPr="00D34003" w:rsidRDefault="00706810" w:rsidP="00F74783">
            <w:pPr>
              <w:pStyle w:val="Tabletext"/>
              <w:jc w:val="center"/>
            </w:pPr>
            <w:r w:rsidRPr="00D34003">
              <w:t>3.3 (2.3, 3.5)</w:t>
            </w:r>
          </w:p>
        </w:tc>
        <w:tc>
          <w:tcPr>
            <w:tcW w:w="1797" w:type="dxa"/>
          </w:tcPr>
          <w:p w:rsidR="00706810" w:rsidRPr="00D34003" w:rsidRDefault="00706810" w:rsidP="00F74783">
            <w:pPr>
              <w:pStyle w:val="Tabletext"/>
              <w:jc w:val="center"/>
            </w:pPr>
            <w:r w:rsidRPr="00D34003">
              <w:t>-1.2 months</w:t>
            </w:r>
          </w:p>
        </w:tc>
        <w:tc>
          <w:tcPr>
            <w:tcW w:w="1828" w:type="dxa"/>
          </w:tcPr>
          <w:p w:rsidR="00706810" w:rsidRPr="00D34003" w:rsidRDefault="00706810" w:rsidP="00F74783">
            <w:pPr>
              <w:pStyle w:val="Tabletext"/>
              <w:jc w:val="center"/>
            </w:pPr>
            <w:r w:rsidRPr="00D34003">
              <w:t>0.96 (0.79, 1.16)</w:t>
            </w:r>
          </w:p>
        </w:tc>
      </w:tr>
      <w:tr w:rsidR="00706810" w:rsidRPr="00D34003" w:rsidTr="003E777D">
        <w:tc>
          <w:tcPr>
            <w:tcW w:w="9016" w:type="dxa"/>
            <w:gridSpan w:val="5"/>
            <w:vAlign w:val="center"/>
          </w:tcPr>
          <w:p w:rsidR="00706810" w:rsidRPr="00D34003" w:rsidRDefault="00706810" w:rsidP="00265CD0">
            <w:pPr>
              <w:pStyle w:val="Tabletext"/>
              <w:rPr>
                <w:b/>
              </w:rPr>
            </w:pPr>
            <w:r w:rsidRPr="00D34003">
              <w:rPr>
                <w:b/>
              </w:rPr>
              <w:t>Database cut-off: 26</w:t>
            </w:r>
            <w:r w:rsidRPr="00D34003">
              <w:rPr>
                <w:b/>
                <w:vertAlign w:val="superscript"/>
              </w:rPr>
              <w:t>th</w:t>
            </w:r>
            <w:r w:rsidRPr="00D34003">
              <w:rPr>
                <w:b/>
              </w:rPr>
              <w:t xml:space="preserve"> October 2017</w:t>
            </w:r>
          </w:p>
        </w:tc>
      </w:tr>
      <w:tr w:rsidR="00706810" w:rsidRPr="00D34003" w:rsidTr="00F74783">
        <w:tc>
          <w:tcPr>
            <w:tcW w:w="1784" w:type="dxa"/>
            <w:vAlign w:val="center"/>
          </w:tcPr>
          <w:p w:rsidR="00706810" w:rsidRPr="00D34003" w:rsidRDefault="00706810" w:rsidP="00265CD0">
            <w:pPr>
              <w:pStyle w:val="Tabletext"/>
            </w:pPr>
            <w:r w:rsidRPr="00D34003">
              <w:t>Patients with event</w:t>
            </w:r>
          </w:p>
        </w:tc>
        <w:tc>
          <w:tcPr>
            <w:tcW w:w="1823" w:type="dxa"/>
          </w:tcPr>
          <w:p w:rsidR="00706810" w:rsidRPr="00D34003" w:rsidRDefault="00504C28" w:rsidP="00F74783">
            <w:pPr>
              <w:pStyle w:val="Tabletext"/>
              <w:jc w:val="center"/>
            </w:pPr>
            <w:r>
              <w:rPr>
                <w:noProof/>
                <w:color w:val="000000"/>
                <w:highlight w:val="black"/>
              </w:rPr>
              <w:t>'''''''''</w:t>
            </w:r>
            <w:r w:rsidR="00706810" w:rsidRPr="00D34003">
              <w:t>/</w:t>
            </w:r>
            <w:r>
              <w:rPr>
                <w:noProof/>
                <w:color w:val="000000"/>
                <w:highlight w:val="black"/>
              </w:rPr>
              <w:t>''''''''''</w:t>
            </w:r>
            <w:r w:rsidR="00706810" w:rsidRPr="00D34003">
              <w:t xml:space="preserve"> (</w:t>
            </w:r>
            <w:r>
              <w:rPr>
                <w:noProof/>
                <w:color w:val="000000"/>
                <w:highlight w:val="black"/>
              </w:rPr>
              <w:t>'''''''''''</w:t>
            </w:r>
            <w:r w:rsidR="00706810" w:rsidRPr="00D34003">
              <w:t>%)</w:t>
            </w:r>
          </w:p>
        </w:tc>
        <w:tc>
          <w:tcPr>
            <w:tcW w:w="1784" w:type="dxa"/>
          </w:tcPr>
          <w:p w:rsidR="00706810" w:rsidRPr="00D34003" w:rsidRDefault="00504C28" w:rsidP="00F74783">
            <w:pPr>
              <w:pStyle w:val="Tabletext"/>
              <w:jc w:val="center"/>
            </w:pPr>
            <w:r>
              <w:rPr>
                <w:noProof/>
                <w:color w:val="000000"/>
                <w:highlight w:val="black"/>
              </w:rPr>
              <w:t>''''''''''</w:t>
            </w:r>
            <w:r w:rsidR="00706810" w:rsidRPr="00D34003">
              <w:t>/</w:t>
            </w:r>
            <w:r>
              <w:rPr>
                <w:noProof/>
                <w:color w:val="000000"/>
                <w:highlight w:val="black"/>
              </w:rPr>
              <w:t>''''''''''</w:t>
            </w:r>
            <w:r w:rsidR="00706810" w:rsidRPr="00D34003">
              <w:t xml:space="preserve"> (</w:t>
            </w:r>
            <w:r>
              <w:rPr>
                <w:noProof/>
                <w:color w:val="000000"/>
                <w:highlight w:val="black"/>
              </w:rPr>
              <w:t>'''''''''''</w:t>
            </w:r>
            <w:r w:rsidR="00706810" w:rsidRPr="00D34003">
              <w:t>%)</w:t>
            </w:r>
          </w:p>
        </w:tc>
        <w:tc>
          <w:tcPr>
            <w:tcW w:w="1797" w:type="dxa"/>
          </w:tcPr>
          <w:p w:rsidR="00706810" w:rsidRPr="00D34003" w:rsidRDefault="00706810" w:rsidP="00F74783">
            <w:pPr>
              <w:pStyle w:val="Tabletext"/>
              <w:jc w:val="center"/>
            </w:pPr>
            <w:r w:rsidRPr="00D34003">
              <w:t>-</w:t>
            </w:r>
          </w:p>
        </w:tc>
        <w:tc>
          <w:tcPr>
            <w:tcW w:w="1828" w:type="dxa"/>
          </w:tcPr>
          <w:p w:rsidR="00706810" w:rsidRPr="00D34003" w:rsidRDefault="00706810" w:rsidP="00F74783">
            <w:pPr>
              <w:pStyle w:val="Tabletext"/>
              <w:jc w:val="center"/>
            </w:pPr>
            <w:r w:rsidRPr="00D34003">
              <w:t>-</w:t>
            </w:r>
          </w:p>
        </w:tc>
      </w:tr>
      <w:tr w:rsidR="00706810" w:rsidRPr="00D34003" w:rsidTr="00F74783">
        <w:tc>
          <w:tcPr>
            <w:tcW w:w="1784" w:type="dxa"/>
            <w:vAlign w:val="center"/>
          </w:tcPr>
          <w:p w:rsidR="00706810" w:rsidRPr="00D34003" w:rsidRDefault="00706810" w:rsidP="00265CD0">
            <w:pPr>
              <w:pStyle w:val="Tabletext"/>
            </w:pPr>
            <w:r w:rsidRPr="00D34003">
              <w:t>Median PFS months (95% CI)</w:t>
            </w:r>
          </w:p>
        </w:tc>
        <w:tc>
          <w:tcPr>
            <w:tcW w:w="1823" w:type="dxa"/>
          </w:tcPr>
          <w:p w:rsidR="00706810" w:rsidRPr="00D34003" w:rsidRDefault="00706810" w:rsidP="00F74783">
            <w:pPr>
              <w:pStyle w:val="Tabletext"/>
              <w:jc w:val="center"/>
            </w:pPr>
            <w:r w:rsidRPr="00D34003">
              <w:t>2.1 (2.0, 2.2)</w:t>
            </w:r>
          </w:p>
        </w:tc>
        <w:tc>
          <w:tcPr>
            <w:tcW w:w="1784" w:type="dxa"/>
          </w:tcPr>
          <w:p w:rsidR="00706810" w:rsidRPr="00D34003" w:rsidRDefault="00706810" w:rsidP="00F74783">
            <w:pPr>
              <w:pStyle w:val="Tabletext"/>
              <w:jc w:val="center"/>
            </w:pPr>
            <w:r w:rsidRPr="00D34003">
              <w:t>3.3 (2.4, 3.5)</w:t>
            </w:r>
          </w:p>
        </w:tc>
        <w:tc>
          <w:tcPr>
            <w:tcW w:w="1797" w:type="dxa"/>
          </w:tcPr>
          <w:p w:rsidR="00706810" w:rsidRPr="00D34003" w:rsidRDefault="00B5122B" w:rsidP="00F74783">
            <w:pPr>
              <w:pStyle w:val="Tabletext"/>
              <w:jc w:val="center"/>
            </w:pPr>
            <w:r w:rsidRPr="00D34003">
              <w:t>-</w:t>
            </w:r>
            <w:r w:rsidR="00706810" w:rsidRPr="00D34003">
              <w:t>1.2 months</w:t>
            </w:r>
          </w:p>
        </w:tc>
        <w:tc>
          <w:tcPr>
            <w:tcW w:w="1828" w:type="dxa"/>
          </w:tcPr>
          <w:p w:rsidR="00706810" w:rsidRPr="00D34003" w:rsidRDefault="00706810" w:rsidP="00F74783">
            <w:pPr>
              <w:pStyle w:val="Tabletext"/>
              <w:jc w:val="center"/>
            </w:pPr>
            <w:r w:rsidRPr="00D34003">
              <w:t>0.96 (0.79</w:t>
            </w:r>
            <w:r w:rsidR="00D84E02" w:rsidRPr="00D34003">
              <w:t xml:space="preserve">, </w:t>
            </w:r>
            <w:r w:rsidRPr="00D34003">
              <w:t>1.16)</w:t>
            </w:r>
          </w:p>
        </w:tc>
      </w:tr>
      <w:tr w:rsidR="00706810" w:rsidRPr="00D34003" w:rsidTr="003E777D">
        <w:tc>
          <w:tcPr>
            <w:tcW w:w="9016" w:type="dxa"/>
            <w:gridSpan w:val="5"/>
            <w:vAlign w:val="center"/>
          </w:tcPr>
          <w:p w:rsidR="00706810" w:rsidRPr="00D34003" w:rsidRDefault="00706810" w:rsidP="00265CD0">
            <w:pPr>
              <w:pStyle w:val="Tabletext"/>
              <w:rPr>
                <w:b/>
              </w:rPr>
            </w:pPr>
            <w:r w:rsidRPr="00D34003">
              <w:rPr>
                <w:b/>
              </w:rPr>
              <w:t>OS</w:t>
            </w:r>
          </w:p>
        </w:tc>
      </w:tr>
      <w:tr w:rsidR="00706810" w:rsidRPr="00D34003" w:rsidTr="003E777D">
        <w:tc>
          <w:tcPr>
            <w:tcW w:w="9016" w:type="dxa"/>
            <w:gridSpan w:val="5"/>
            <w:vAlign w:val="center"/>
          </w:tcPr>
          <w:p w:rsidR="00706810" w:rsidRPr="00D34003" w:rsidRDefault="00706810" w:rsidP="00265CD0">
            <w:pPr>
              <w:pStyle w:val="Tabletext"/>
              <w:rPr>
                <w:b/>
              </w:rPr>
            </w:pPr>
            <w:r w:rsidRPr="00D34003">
              <w:rPr>
                <w:b/>
              </w:rPr>
              <w:t>Clinical study report (included in the November 2017 submission)</w:t>
            </w:r>
          </w:p>
        </w:tc>
      </w:tr>
      <w:tr w:rsidR="00706810" w:rsidRPr="00D34003" w:rsidTr="00F74783">
        <w:tc>
          <w:tcPr>
            <w:tcW w:w="1784" w:type="dxa"/>
            <w:vAlign w:val="center"/>
          </w:tcPr>
          <w:p w:rsidR="00706810" w:rsidRPr="00D34003" w:rsidRDefault="00706810" w:rsidP="00265CD0">
            <w:pPr>
              <w:pStyle w:val="Tabletext"/>
            </w:pPr>
            <w:r w:rsidRPr="00D34003">
              <w:t>Patients with event</w:t>
            </w:r>
          </w:p>
        </w:tc>
        <w:tc>
          <w:tcPr>
            <w:tcW w:w="1823" w:type="dxa"/>
          </w:tcPr>
          <w:p w:rsidR="00706810" w:rsidRPr="00D34003" w:rsidRDefault="00706810" w:rsidP="00F74783">
            <w:pPr>
              <w:pStyle w:val="Tabletext"/>
              <w:jc w:val="center"/>
            </w:pPr>
            <w:r w:rsidRPr="00D34003">
              <w:rPr>
                <w:lang w:eastAsia="en-AU"/>
              </w:rPr>
              <w:t>155/270 (57.4)</w:t>
            </w:r>
          </w:p>
        </w:tc>
        <w:tc>
          <w:tcPr>
            <w:tcW w:w="1784" w:type="dxa"/>
          </w:tcPr>
          <w:p w:rsidR="00706810" w:rsidRPr="00D34003" w:rsidRDefault="00706810" w:rsidP="00F74783">
            <w:pPr>
              <w:pStyle w:val="Tabletext"/>
              <w:jc w:val="center"/>
            </w:pPr>
            <w:r w:rsidRPr="00D34003">
              <w:rPr>
                <w:lang w:eastAsia="en-AU"/>
              </w:rPr>
              <w:t>179/272 (52)</w:t>
            </w:r>
          </w:p>
        </w:tc>
        <w:tc>
          <w:tcPr>
            <w:tcW w:w="1797" w:type="dxa"/>
          </w:tcPr>
          <w:p w:rsidR="00706810" w:rsidRPr="00D34003" w:rsidRDefault="00706810" w:rsidP="00F74783">
            <w:pPr>
              <w:pStyle w:val="Tabletext"/>
              <w:jc w:val="center"/>
            </w:pPr>
          </w:p>
        </w:tc>
        <w:tc>
          <w:tcPr>
            <w:tcW w:w="1828" w:type="dxa"/>
          </w:tcPr>
          <w:p w:rsidR="00706810" w:rsidRPr="00D34003" w:rsidRDefault="00706810" w:rsidP="00F74783">
            <w:pPr>
              <w:pStyle w:val="Tabletext"/>
              <w:jc w:val="center"/>
            </w:pPr>
          </w:p>
        </w:tc>
      </w:tr>
      <w:tr w:rsidR="00706810" w:rsidRPr="00D34003" w:rsidTr="00F74783">
        <w:tc>
          <w:tcPr>
            <w:tcW w:w="1784" w:type="dxa"/>
            <w:vAlign w:val="center"/>
          </w:tcPr>
          <w:p w:rsidR="00706810" w:rsidRPr="00D34003" w:rsidRDefault="00706810" w:rsidP="00265CD0">
            <w:pPr>
              <w:pStyle w:val="Tabletext"/>
            </w:pPr>
            <w:r w:rsidRPr="00D34003">
              <w:t>Median months OS (95% CI)</w:t>
            </w:r>
          </w:p>
        </w:tc>
        <w:tc>
          <w:tcPr>
            <w:tcW w:w="1823" w:type="dxa"/>
          </w:tcPr>
          <w:p w:rsidR="00706810" w:rsidRPr="00D34003" w:rsidRDefault="00706810" w:rsidP="00F74783">
            <w:pPr>
              <w:pStyle w:val="Tabletext"/>
              <w:jc w:val="center"/>
            </w:pPr>
            <w:r w:rsidRPr="00D34003">
              <w:rPr>
                <w:szCs w:val="20"/>
              </w:rPr>
              <w:t>10.3 (8.0, 11.8)</w:t>
            </w:r>
          </w:p>
        </w:tc>
        <w:tc>
          <w:tcPr>
            <w:tcW w:w="1784" w:type="dxa"/>
          </w:tcPr>
          <w:p w:rsidR="00706810" w:rsidRPr="00D34003" w:rsidRDefault="00706810" w:rsidP="00F74783">
            <w:pPr>
              <w:pStyle w:val="Tabletext"/>
              <w:jc w:val="center"/>
            </w:pPr>
            <w:r w:rsidRPr="00D34003">
              <w:rPr>
                <w:szCs w:val="20"/>
              </w:rPr>
              <w:t>7.4 (6.1, 8.3)</w:t>
            </w:r>
          </w:p>
        </w:tc>
        <w:tc>
          <w:tcPr>
            <w:tcW w:w="1797" w:type="dxa"/>
          </w:tcPr>
          <w:p w:rsidR="00706810" w:rsidRPr="00D34003" w:rsidRDefault="00706810" w:rsidP="00F74783">
            <w:pPr>
              <w:pStyle w:val="Tabletext"/>
              <w:jc w:val="center"/>
              <w:rPr>
                <w:b/>
              </w:rPr>
            </w:pPr>
            <w:r w:rsidRPr="00D34003">
              <w:rPr>
                <w:b/>
                <w:szCs w:val="20"/>
              </w:rPr>
              <w:t>+2.9 months</w:t>
            </w:r>
          </w:p>
        </w:tc>
        <w:tc>
          <w:tcPr>
            <w:tcW w:w="1828" w:type="dxa"/>
          </w:tcPr>
          <w:p w:rsidR="00706810" w:rsidRPr="00D34003" w:rsidRDefault="00706810" w:rsidP="00F74783">
            <w:pPr>
              <w:jc w:val="center"/>
              <w:rPr>
                <w:rFonts w:ascii="Arial Narrow" w:hAnsi="Arial Narrow"/>
                <w:b/>
                <w:sz w:val="20"/>
                <w:szCs w:val="20"/>
              </w:rPr>
            </w:pPr>
            <w:r w:rsidRPr="00D34003">
              <w:rPr>
                <w:rFonts w:ascii="Arial Narrow" w:hAnsi="Arial Narrow"/>
                <w:b/>
                <w:sz w:val="20"/>
                <w:szCs w:val="20"/>
              </w:rPr>
              <w:t>0.73 (0.59, 0.91)</w:t>
            </w:r>
          </w:p>
          <w:p w:rsidR="00706810" w:rsidRPr="00D34003" w:rsidRDefault="00706810" w:rsidP="00F74783">
            <w:pPr>
              <w:pStyle w:val="Tabletext"/>
              <w:jc w:val="center"/>
            </w:pPr>
            <w:r w:rsidRPr="00D34003">
              <w:rPr>
                <w:b/>
                <w:szCs w:val="20"/>
              </w:rPr>
              <w:t>p=0.00224</w:t>
            </w:r>
          </w:p>
        </w:tc>
      </w:tr>
      <w:tr w:rsidR="00706810" w:rsidRPr="00D34003" w:rsidTr="003E777D">
        <w:tc>
          <w:tcPr>
            <w:tcW w:w="9016" w:type="dxa"/>
            <w:gridSpan w:val="5"/>
            <w:vAlign w:val="center"/>
          </w:tcPr>
          <w:p w:rsidR="00706810" w:rsidRPr="00D34003" w:rsidRDefault="00706810" w:rsidP="00265CD0">
            <w:pPr>
              <w:pStyle w:val="Tabletext"/>
              <w:rPr>
                <w:b/>
              </w:rPr>
            </w:pPr>
            <w:r w:rsidRPr="00D34003">
              <w:rPr>
                <w:b/>
              </w:rPr>
              <w:t>Database cut-off: 18</w:t>
            </w:r>
            <w:r w:rsidRPr="00D34003">
              <w:rPr>
                <w:b/>
                <w:vertAlign w:val="superscript"/>
              </w:rPr>
              <w:t>th</w:t>
            </w:r>
            <w:r w:rsidRPr="00D34003">
              <w:rPr>
                <w:b/>
              </w:rPr>
              <w:t xml:space="preserve"> January 2017</w:t>
            </w:r>
          </w:p>
        </w:tc>
      </w:tr>
      <w:tr w:rsidR="00706810" w:rsidRPr="00D34003" w:rsidTr="00F74783">
        <w:tc>
          <w:tcPr>
            <w:tcW w:w="1784" w:type="dxa"/>
            <w:vAlign w:val="center"/>
          </w:tcPr>
          <w:p w:rsidR="00706810" w:rsidRPr="00D34003" w:rsidRDefault="00706810" w:rsidP="00265CD0">
            <w:pPr>
              <w:pStyle w:val="Tabletext"/>
            </w:pPr>
            <w:r w:rsidRPr="00D34003">
              <w:t>Patients with event</w:t>
            </w:r>
          </w:p>
        </w:tc>
        <w:tc>
          <w:tcPr>
            <w:tcW w:w="1823" w:type="dxa"/>
          </w:tcPr>
          <w:p w:rsidR="00706810" w:rsidRPr="00D34003" w:rsidRDefault="00504C28" w:rsidP="00F74783">
            <w:pPr>
              <w:pStyle w:val="Tabletext"/>
              <w:jc w:val="center"/>
            </w:pPr>
            <w:r>
              <w:rPr>
                <w:noProof/>
                <w:color w:val="000000"/>
                <w:highlight w:val="black"/>
              </w:rPr>
              <w:t>''''''''''</w:t>
            </w:r>
            <w:r w:rsidR="00706810" w:rsidRPr="00D34003">
              <w:t>/</w:t>
            </w:r>
            <w:r>
              <w:rPr>
                <w:noProof/>
                <w:color w:val="000000"/>
                <w:highlight w:val="black"/>
              </w:rPr>
              <w:t>''''''''</w:t>
            </w:r>
            <w:r w:rsidR="00706810" w:rsidRPr="00D34003">
              <w:t xml:space="preserve"> (</w:t>
            </w:r>
            <w:r>
              <w:rPr>
                <w:noProof/>
                <w:color w:val="000000"/>
                <w:highlight w:val="black"/>
              </w:rPr>
              <w:t>''''''''''''</w:t>
            </w:r>
            <w:r w:rsidR="00706810" w:rsidRPr="00D34003">
              <w:t>)</w:t>
            </w:r>
          </w:p>
        </w:tc>
        <w:tc>
          <w:tcPr>
            <w:tcW w:w="1784" w:type="dxa"/>
          </w:tcPr>
          <w:p w:rsidR="00706810" w:rsidRPr="00D34003" w:rsidRDefault="00504C28" w:rsidP="00F74783">
            <w:pPr>
              <w:pStyle w:val="Tabletext"/>
              <w:jc w:val="center"/>
            </w:pPr>
            <w:r>
              <w:rPr>
                <w:noProof/>
                <w:color w:val="000000"/>
                <w:highlight w:val="black"/>
              </w:rPr>
              <w:t>'''''''''</w:t>
            </w:r>
            <w:r w:rsidR="00706810" w:rsidRPr="00D34003">
              <w:t>/</w:t>
            </w:r>
            <w:r>
              <w:rPr>
                <w:noProof/>
                <w:color w:val="000000"/>
                <w:highlight w:val="black"/>
              </w:rPr>
              <w:t>''''''''</w:t>
            </w:r>
            <w:r w:rsidR="00706810" w:rsidRPr="00D34003">
              <w:t xml:space="preserve"> (</w:t>
            </w:r>
            <w:r>
              <w:rPr>
                <w:noProof/>
                <w:color w:val="000000"/>
                <w:highlight w:val="black"/>
              </w:rPr>
              <w:t>''''''''''</w:t>
            </w:r>
            <w:r w:rsidR="00706810" w:rsidRPr="00D34003">
              <w:t>)</w:t>
            </w:r>
          </w:p>
        </w:tc>
        <w:tc>
          <w:tcPr>
            <w:tcW w:w="1797" w:type="dxa"/>
          </w:tcPr>
          <w:p w:rsidR="00706810" w:rsidRPr="00D34003" w:rsidRDefault="00706810" w:rsidP="00F74783">
            <w:pPr>
              <w:pStyle w:val="Tabletext"/>
              <w:jc w:val="center"/>
            </w:pPr>
            <w:r w:rsidRPr="00D34003">
              <w:t>-</w:t>
            </w:r>
          </w:p>
        </w:tc>
        <w:tc>
          <w:tcPr>
            <w:tcW w:w="1828" w:type="dxa"/>
          </w:tcPr>
          <w:p w:rsidR="00706810" w:rsidRPr="00D34003" w:rsidRDefault="00706810" w:rsidP="00F74783">
            <w:pPr>
              <w:pStyle w:val="Tabletext"/>
              <w:jc w:val="center"/>
            </w:pPr>
            <w:r w:rsidRPr="00D34003">
              <w:t>-</w:t>
            </w:r>
          </w:p>
        </w:tc>
      </w:tr>
      <w:tr w:rsidR="00706810" w:rsidRPr="00D34003" w:rsidTr="00F74783">
        <w:tc>
          <w:tcPr>
            <w:tcW w:w="1784" w:type="dxa"/>
            <w:vAlign w:val="center"/>
          </w:tcPr>
          <w:p w:rsidR="00706810" w:rsidRPr="00D34003" w:rsidRDefault="00706810" w:rsidP="00265CD0">
            <w:pPr>
              <w:pStyle w:val="Tabletext"/>
            </w:pPr>
            <w:r w:rsidRPr="00D34003">
              <w:t>Median months OS (95% CI)</w:t>
            </w:r>
          </w:p>
        </w:tc>
        <w:tc>
          <w:tcPr>
            <w:tcW w:w="1823" w:type="dxa"/>
          </w:tcPr>
          <w:p w:rsidR="00706810" w:rsidRPr="00D34003" w:rsidRDefault="00706810" w:rsidP="00F74783">
            <w:pPr>
              <w:pStyle w:val="Tabletext"/>
              <w:jc w:val="center"/>
            </w:pPr>
            <w:r w:rsidRPr="00D34003">
              <w:t>10.3 (8.0, 11.8)</w:t>
            </w:r>
          </w:p>
        </w:tc>
        <w:tc>
          <w:tcPr>
            <w:tcW w:w="1784" w:type="dxa"/>
          </w:tcPr>
          <w:p w:rsidR="00706810" w:rsidRPr="00D34003" w:rsidRDefault="00706810" w:rsidP="00F74783">
            <w:pPr>
              <w:pStyle w:val="Tabletext"/>
              <w:jc w:val="center"/>
            </w:pPr>
            <w:r w:rsidRPr="00D34003">
              <w:t>7.4 (6.1, 8.3)</w:t>
            </w:r>
          </w:p>
        </w:tc>
        <w:tc>
          <w:tcPr>
            <w:tcW w:w="1797" w:type="dxa"/>
          </w:tcPr>
          <w:p w:rsidR="00706810" w:rsidRPr="00D34003" w:rsidRDefault="00B5122B" w:rsidP="00F74783">
            <w:pPr>
              <w:pStyle w:val="Tabletext"/>
              <w:jc w:val="center"/>
              <w:rPr>
                <w:b/>
              </w:rPr>
            </w:pPr>
            <w:r w:rsidRPr="00D34003">
              <w:rPr>
                <w:b/>
                <w:szCs w:val="20"/>
              </w:rPr>
              <w:t>+</w:t>
            </w:r>
            <w:r w:rsidR="00706810" w:rsidRPr="00D34003">
              <w:rPr>
                <w:b/>
              </w:rPr>
              <w:t>2.9 months</w:t>
            </w:r>
          </w:p>
        </w:tc>
        <w:tc>
          <w:tcPr>
            <w:tcW w:w="1828" w:type="dxa"/>
          </w:tcPr>
          <w:p w:rsidR="00706810" w:rsidRPr="00D34003" w:rsidRDefault="00706810" w:rsidP="00F74783">
            <w:pPr>
              <w:pStyle w:val="Tabletext"/>
              <w:jc w:val="center"/>
              <w:rPr>
                <w:b/>
              </w:rPr>
            </w:pPr>
            <w:r w:rsidRPr="00D34003">
              <w:rPr>
                <w:b/>
              </w:rPr>
              <w:t>0.70 (0.57, 0.86)</w:t>
            </w:r>
          </w:p>
          <w:p w:rsidR="00706810" w:rsidRPr="00D34003" w:rsidRDefault="00706810" w:rsidP="00F74783">
            <w:pPr>
              <w:pStyle w:val="Tabletext"/>
              <w:jc w:val="center"/>
              <w:rPr>
                <w:b/>
              </w:rPr>
            </w:pPr>
            <w:r w:rsidRPr="00D34003">
              <w:rPr>
                <w:b/>
              </w:rPr>
              <w:t>p-value = 0.0004</w:t>
            </w:r>
          </w:p>
        </w:tc>
      </w:tr>
      <w:tr w:rsidR="00706810" w:rsidRPr="00D34003" w:rsidTr="003E777D">
        <w:tc>
          <w:tcPr>
            <w:tcW w:w="9016" w:type="dxa"/>
            <w:gridSpan w:val="5"/>
            <w:vAlign w:val="center"/>
          </w:tcPr>
          <w:p w:rsidR="00706810" w:rsidRPr="00D34003" w:rsidRDefault="00706810" w:rsidP="00265CD0">
            <w:pPr>
              <w:pStyle w:val="Tabletext"/>
              <w:rPr>
                <w:b/>
              </w:rPr>
            </w:pPr>
            <w:r w:rsidRPr="00D34003">
              <w:rPr>
                <w:b/>
              </w:rPr>
              <w:t>Database cut-off: 26</w:t>
            </w:r>
            <w:r w:rsidRPr="00D34003">
              <w:rPr>
                <w:b/>
                <w:vertAlign w:val="superscript"/>
              </w:rPr>
              <w:t>th</w:t>
            </w:r>
            <w:r w:rsidRPr="00D34003">
              <w:rPr>
                <w:b/>
              </w:rPr>
              <w:t xml:space="preserve"> October 2017</w:t>
            </w:r>
          </w:p>
        </w:tc>
      </w:tr>
      <w:tr w:rsidR="00706810" w:rsidRPr="00D34003" w:rsidTr="00F74783">
        <w:tc>
          <w:tcPr>
            <w:tcW w:w="1784" w:type="dxa"/>
            <w:vAlign w:val="center"/>
          </w:tcPr>
          <w:p w:rsidR="00706810" w:rsidRPr="00D34003" w:rsidRDefault="00706810" w:rsidP="00265CD0">
            <w:pPr>
              <w:pStyle w:val="Tabletext"/>
            </w:pPr>
            <w:r w:rsidRPr="00D34003">
              <w:t>Patients with event</w:t>
            </w:r>
          </w:p>
        </w:tc>
        <w:tc>
          <w:tcPr>
            <w:tcW w:w="1823" w:type="dxa"/>
          </w:tcPr>
          <w:p w:rsidR="00706810" w:rsidRPr="00D34003" w:rsidRDefault="00504C28" w:rsidP="00F74783">
            <w:pPr>
              <w:pStyle w:val="Tabletext"/>
              <w:jc w:val="center"/>
            </w:pPr>
            <w:r>
              <w:rPr>
                <w:noProof/>
                <w:color w:val="000000"/>
                <w:highlight w:val="black"/>
              </w:rPr>
              <w:t>''''''''''</w:t>
            </w:r>
            <w:r w:rsidR="00706810" w:rsidRPr="00D34003">
              <w:t>/</w:t>
            </w:r>
            <w:r>
              <w:rPr>
                <w:noProof/>
                <w:color w:val="000000"/>
                <w:highlight w:val="black"/>
              </w:rPr>
              <w:t>''''''''''</w:t>
            </w:r>
            <w:r w:rsidR="00706810" w:rsidRPr="00D34003">
              <w:t xml:space="preserve"> (</w:t>
            </w:r>
            <w:r>
              <w:rPr>
                <w:noProof/>
                <w:color w:val="000000"/>
                <w:highlight w:val="black"/>
              </w:rPr>
              <w:t>'''''''''''</w:t>
            </w:r>
            <w:r w:rsidR="00706810" w:rsidRPr="00D34003">
              <w:t>%)</w:t>
            </w:r>
          </w:p>
        </w:tc>
        <w:tc>
          <w:tcPr>
            <w:tcW w:w="1784" w:type="dxa"/>
          </w:tcPr>
          <w:p w:rsidR="00706810" w:rsidRPr="00D34003" w:rsidRDefault="00504C28" w:rsidP="00F74783">
            <w:pPr>
              <w:pStyle w:val="Tabletext"/>
              <w:jc w:val="center"/>
            </w:pPr>
            <w:r>
              <w:rPr>
                <w:noProof/>
                <w:color w:val="000000"/>
                <w:highlight w:val="black"/>
              </w:rPr>
              <w:t>'''''''''</w:t>
            </w:r>
            <w:r w:rsidR="00706810" w:rsidRPr="00D34003">
              <w:t>/</w:t>
            </w:r>
            <w:r>
              <w:rPr>
                <w:noProof/>
                <w:color w:val="000000"/>
                <w:highlight w:val="black"/>
              </w:rPr>
              <w:t>''''''''''</w:t>
            </w:r>
            <w:r w:rsidR="00706810" w:rsidRPr="00D34003">
              <w:t xml:space="preserve"> (</w:t>
            </w:r>
            <w:r>
              <w:rPr>
                <w:noProof/>
                <w:color w:val="000000"/>
                <w:highlight w:val="black"/>
              </w:rPr>
              <w:t>'''''''''''</w:t>
            </w:r>
            <w:r w:rsidR="00706810" w:rsidRPr="00D34003">
              <w:t>%)</w:t>
            </w:r>
          </w:p>
        </w:tc>
        <w:tc>
          <w:tcPr>
            <w:tcW w:w="1797" w:type="dxa"/>
          </w:tcPr>
          <w:p w:rsidR="00706810" w:rsidRPr="00D34003" w:rsidRDefault="00706810" w:rsidP="00F74783">
            <w:pPr>
              <w:pStyle w:val="Tabletext"/>
              <w:jc w:val="center"/>
            </w:pPr>
          </w:p>
        </w:tc>
        <w:tc>
          <w:tcPr>
            <w:tcW w:w="1828" w:type="dxa"/>
          </w:tcPr>
          <w:p w:rsidR="00706810" w:rsidRPr="00D34003" w:rsidRDefault="00706810" w:rsidP="00F74783">
            <w:pPr>
              <w:pStyle w:val="Tabletext"/>
              <w:jc w:val="center"/>
            </w:pPr>
          </w:p>
        </w:tc>
      </w:tr>
      <w:tr w:rsidR="00706810" w:rsidRPr="00D34003" w:rsidTr="00F74783">
        <w:tc>
          <w:tcPr>
            <w:tcW w:w="1784" w:type="dxa"/>
            <w:vAlign w:val="center"/>
          </w:tcPr>
          <w:p w:rsidR="00706810" w:rsidRPr="00D34003" w:rsidRDefault="00706810" w:rsidP="00265CD0">
            <w:pPr>
              <w:pStyle w:val="Tabletext"/>
            </w:pPr>
            <w:r w:rsidRPr="00D34003">
              <w:t>Median months OS (95% CI)</w:t>
            </w:r>
          </w:p>
        </w:tc>
        <w:tc>
          <w:tcPr>
            <w:tcW w:w="1823" w:type="dxa"/>
          </w:tcPr>
          <w:p w:rsidR="00706810" w:rsidRPr="00D34003" w:rsidRDefault="00706810" w:rsidP="00F74783">
            <w:pPr>
              <w:pStyle w:val="Tabletext"/>
              <w:jc w:val="center"/>
            </w:pPr>
            <w:r w:rsidRPr="00D34003">
              <w:t>10.3 (8.0, 12.3)</w:t>
            </w:r>
          </w:p>
        </w:tc>
        <w:tc>
          <w:tcPr>
            <w:tcW w:w="1784" w:type="dxa"/>
          </w:tcPr>
          <w:p w:rsidR="00706810" w:rsidRPr="00D34003" w:rsidRDefault="00706810" w:rsidP="00F74783">
            <w:pPr>
              <w:pStyle w:val="Tabletext"/>
              <w:jc w:val="center"/>
            </w:pPr>
            <w:r w:rsidRPr="00D34003">
              <w:t>7.3 (6.1, 8.1)</w:t>
            </w:r>
          </w:p>
        </w:tc>
        <w:tc>
          <w:tcPr>
            <w:tcW w:w="1797" w:type="dxa"/>
          </w:tcPr>
          <w:p w:rsidR="00706810" w:rsidRPr="00D34003" w:rsidRDefault="00B5122B" w:rsidP="00F74783">
            <w:pPr>
              <w:pStyle w:val="Tabletext"/>
              <w:jc w:val="center"/>
              <w:rPr>
                <w:b/>
              </w:rPr>
            </w:pPr>
            <w:r w:rsidRPr="00D34003">
              <w:rPr>
                <w:b/>
                <w:szCs w:val="20"/>
              </w:rPr>
              <w:t>+</w:t>
            </w:r>
            <w:r w:rsidR="00706810" w:rsidRPr="00D34003">
              <w:rPr>
                <w:b/>
              </w:rPr>
              <w:t>3.0 months</w:t>
            </w:r>
          </w:p>
        </w:tc>
        <w:tc>
          <w:tcPr>
            <w:tcW w:w="1828" w:type="dxa"/>
          </w:tcPr>
          <w:p w:rsidR="00706810" w:rsidRPr="00D34003" w:rsidRDefault="00706810" w:rsidP="00F74783">
            <w:pPr>
              <w:pStyle w:val="Tabletext"/>
              <w:jc w:val="center"/>
              <w:rPr>
                <w:b/>
              </w:rPr>
            </w:pPr>
            <w:r w:rsidRPr="00D34003">
              <w:rPr>
                <w:b/>
              </w:rPr>
              <w:t>0.70 (0.57, 0.85)</w:t>
            </w:r>
          </w:p>
          <w:p w:rsidR="00706810" w:rsidRPr="00D34003" w:rsidRDefault="00706810" w:rsidP="00F74783">
            <w:pPr>
              <w:pStyle w:val="Tabletext"/>
              <w:jc w:val="center"/>
              <w:rPr>
                <w:b/>
              </w:rPr>
            </w:pPr>
            <w:r w:rsidRPr="00D34003">
              <w:rPr>
                <w:b/>
              </w:rPr>
              <w:t>p-value = 0.00017</w:t>
            </w:r>
          </w:p>
        </w:tc>
      </w:tr>
    </w:tbl>
    <w:p w:rsidR="00706810" w:rsidRPr="00D34003" w:rsidRDefault="00706810" w:rsidP="00265CD0">
      <w:pPr>
        <w:pStyle w:val="PBACHeading1"/>
        <w:numPr>
          <w:ilvl w:val="0"/>
          <w:numId w:val="0"/>
        </w:numPr>
        <w:rPr>
          <w:rFonts w:ascii="Arial Narrow" w:hAnsi="Arial Narrow"/>
          <w:b w:val="0"/>
          <w:sz w:val="18"/>
          <w:szCs w:val="18"/>
        </w:rPr>
      </w:pPr>
      <w:r w:rsidRPr="00D34003">
        <w:rPr>
          <w:rFonts w:ascii="Arial Narrow" w:hAnsi="Arial Narrow"/>
          <w:b w:val="0"/>
          <w:sz w:val="18"/>
          <w:szCs w:val="18"/>
        </w:rPr>
        <w:t>Abbreviations: CI = confidence interval; HR = hazard ratio; ITT, intention to treat; n = number of participants with event; N = total participants in group; NR = not reported; PFS = progression free survival; OS = overall survival; SOC= active chemotherapy.</w:t>
      </w:r>
    </w:p>
    <w:p w:rsidR="00706810" w:rsidRPr="00D34003" w:rsidRDefault="00706810" w:rsidP="00265CD0">
      <w:pPr>
        <w:pStyle w:val="PBACHeading1"/>
        <w:numPr>
          <w:ilvl w:val="0"/>
          <w:numId w:val="0"/>
        </w:numPr>
        <w:rPr>
          <w:rFonts w:ascii="Arial Narrow" w:hAnsi="Arial Narrow"/>
          <w:b w:val="0"/>
          <w:sz w:val="18"/>
          <w:szCs w:val="18"/>
        </w:rPr>
      </w:pPr>
      <w:r w:rsidRPr="00D34003">
        <w:rPr>
          <w:rFonts w:ascii="Arial Narrow" w:hAnsi="Arial Narrow"/>
          <w:b w:val="0"/>
          <w:sz w:val="18"/>
          <w:szCs w:val="18"/>
        </w:rPr>
        <w:t xml:space="preserve">Source: Table 2-14, p. 46 of </w:t>
      </w:r>
      <w:r w:rsidR="002D70ED" w:rsidRPr="00D34003">
        <w:rPr>
          <w:rFonts w:ascii="Arial Narrow" w:hAnsi="Arial Narrow"/>
          <w:b w:val="0"/>
          <w:sz w:val="18"/>
          <w:szCs w:val="18"/>
        </w:rPr>
        <w:t>re</w:t>
      </w:r>
      <w:r w:rsidRPr="00D34003">
        <w:rPr>
          <w:rFonts w:ascii="Arial Narrow" w:hAnsi="Arial Narrow"/>
          <w:b w:val="0"/>
          <w:sz w:val="18"/>
          <w:szCs w:val="18"/>
        </w:rPr>
        <w:t xml:space="preserve">submission. Table 2-15, p. 51 of </w:t>
      </w:r>
      <w:r w:rsidR="002D70ED" w:rsidRPr="00D34003">
        <w:rPr>
          <w:rFonts w:ascii="Arial Narrow" w:hAnsi="Arial Narrow"/>
          <w:b w:val="0"/>
          <w:sz w:val="18"/>
          <w:szCs w:val="18"/>
        </w:rPr>
        <w:t>re</w:t>
      </w:r>
      <w:r w:rsidRPr="00D34003">
        <w:rPr>
          <w:rFonts w:ascii="Arial Narrow" w:hAnsi="Arial Narrow"/>
          <w:b w:val="0"/>
          <w:sz w:val="18"/>
          <w:szCs w:val="18"/>
        </w:rPr>
        <w:t>submission.</w:t>
      </w:r>
    </w:p>
    <w:p w:rsidR="00706810" w:rsidRPr="00D34003" w:rsidRDefault="00706810" w:rsidP="00265CD0">
      <w:pPr>
        <w:pStyle w:val="PBACHeading1"/>
        <w:numPr>
          <w:ilvl w:val="0"/>
          <w:numId w:val="0"/>
        </w:numPr>
        <w:rPr>
          <w:rFonts w:ascii="Arial Narrow" w:hAnsi="Arial Narrow"/>
          <w:b w:val="0"/>
          <w:sz w:val="18"/>
          <w:szCs w:val="18"/>
        </w:rPr>
      </w:pPr>
    </w:p>
    <w:p w:rsidR="0001365D" w:rsidRPr="00D34003" w:rsidRDefault="00BA2CD0" w:rsidP="0001365D">
      <w:pPr>
        <w:pStyle w:val="ListParagraph"/>
        <w:widowControl/>
        <w:numPr>
          <w:ilvl w:val="1"/>
          <w:numId w:val="1"/>
        </w:numPr>
      </w:pPr>
      <w:r w:rsidRPr="00D34003">
        <w:t>The resubmission showed that treatment with pembrolizumab was associated with a higher response rate when compared with SOC (the absolute difference in response rate was 10.0</w:t>
      </w:r>
      <w:r w:rsidR="003037B2" w:rsidRPr="00D34003">
        <w:t xml:space="preserve"> percentage points </w:t>
      </w:r>
      <w:r w:rsidRPr="00D34003">
        <w:t xml:space="preserve">95% CI: 3.9, 16.2 p=0.00068). </w:t>
      </w:r>
      <w:r w:rsidR="001B52D8" w:rsidRPr="00D34003">
        <w:t>Pembrolizumab-</w:t>
      </w:r>
      <w:r w:rsidRPr="00D34003">
        <w:t>treated patients also exhibited more durable responses; approximately twice as many pembrolizumab patients had responses ≥ 6 months (84% vs 47%) and ≥12 months (68% vs 35%) compared with SOC.</w:t>
      </w:r>
    </w:p>
    <w:p w:rsidR="00E910F4" w:rsidRPr="00D34003" w:rsidRDefault="00E910F4" w:rsidP="007A7E9A">
      <w:pPr>
        <w:pStyle w:val="ListParagraph"/>
        <w:widowControl/>
        <w:numPr>
          <w:ilvl w:val="1"/>
          <w:numId w:val="1"/>
        </w:numPr>
      </w:pPr>
      <w:r w:rsidRPr="00D34003">
        <w:t>Two subgroup analyses were presented in the resubmission containing updated results from KN045 (using the database cut-off 26</w:t>
      </w:r>
      <w:r w:rsidRPr="00D34003">
        <w:rPr>
          <w:vertAlign w:val="superscript"/>
        </w:rPr>
        <w:t>th</w:t>
      </w:r>
      <w:r w:rsidR="00F91AE3" w:rsidRPr="00D34003">
        <w:t xml:space="preserve"> </w:t>
      </w:r>
      <w:r w:rsidRPr="00D34003">
        <w:t>October 2017):</w:t>
      </w:r>
    </w:p>
    <w:p w:rsidR="00E910F4" w:rsidRPr="00D34003" w:rsidRDefault="00E910F4" w:rsidP="007A7E9A">
      <w:pPr>
        <w:pStyle w:val="ListParagraph"/>
        <w:widowControl/>
        <w:numPr>
          <w:ilvl w:val="0"/>
          <w:numId w:val="11"/>
        </w:numPr>
      </w:pPr>
      <w:r w:rsidRPr="00D34003">
        <w:t xml:space="preserve">An analysis excluding </w:t>
      </w:r>
      <w:proofErr w:type="spellStart"/>
      <w:r w:rsidRPr="00D34003">
        <w:t>vinflunine</w:t>
      </w:r>
      <w:proofErr w:type="spellEnd"/>
      <w:r w:rsidRPr="00D34003">
        <w:t xml:space="preserve"> as a possible comparator: The updated data showed no significant differences in PFS </w:t>
      </w:r>
      <w:r w:rsidR="0029694B" w:rsidRPr="00D34003">
        <w:t xml:space="preserve">with </w:t>
      </w:r>
      <w:proofErr w:type="spellStart"/>
      <w:r w:rsidR="0029694B" w:rsidRPr="00D34003">
        <w:t>vinflunine</w:t>
      </w:r>
      <w:proofErr w:type="spellEnd"/>
      <w:r w:rsidR="0029694B" w:rsidRPr="00D34003">
        <w:t xml:space="preserve"> vs PFS without </w:t>
      </w:r>
      <w:proofErr w:type="spellStart"/>
      <w:r w:rsidR="0029694B" w:rsidRPr="00D34003">
        <w:t>vinflunine</w:t>
      </w:r>
      <w:proofErr w:type="spellEnd"/>
      <w:r w:rsidR="0029694B" w:rsidRPr="00D34003">
        <w:t xml:space="preserve"> </w:t>
      </w:r>
      <w:r w:rsidRPr="00D34003">
        <w:t>or OS</w:t>
      </w:r>
      <w:r w:rsidR="0029694B" w:rsidRPr="00D34003">
        <w:t xml:space="preserve"> with </w:t>
      </w:r>
      <w:proofErr w:type="spellStart"/>
      <w:r w:rsidR="0029694B" w:rsidRPr="00D34003">
        <w:t>vinflunine</w:t>
      </w:r>
      <w:proofErr w:type="spellEnd"/>
      <w:r w:rsidR="0029694B" w:rsidRPr="00D34003">
        <w:t xml:space="preserve"> vs OS without </w:t>
      </w:r>
      <w:proofErr w:type="spellStart"/>
      <w:r w:rsidR="0029694B" w:rsidRPr="00D34003">
        <w:t>vinflunine</w:t>
      </w:r>
      <w:proofErr w:type="spellEnd"/>
      <w:r w:rsidR="0029694B" w:rsidRPr="00D34003">
        <w:t>.</w:t>
      </w:r>
      <w:r w:rsidRPr="00D34003">
        <w:t xml:space="preserve"> At the November 2017 meeting, the PBAC noted that excluding </w:t>
      </w:r>
      <w:proofErr w:type="spellStart"/>
      <w:r w:rsidRPr="00D34003">
        <w:t>vinflunine</w:t>
      </w:r>
      <w:proofErr w:type="spellEnd"/>
      <w:r w:rsidRPr="00D34003">
        <w:t xml:space="preserve"> as a comparator was unlikely to affect the overall results (</w:t>
      </w:r>
      <w:r w:rsidR="001B52D8" w:rsidRPr="00D34003">
        <w:t xml:space="preserve">pembrolizumab PSD, </w:t>
      </w:r>
      <w:r w:rsidRPr="00D34003">
        <w:t>Nov</w:t>
      </w:r>
      <w:r w:rsidR="001B52D8" w:rsidRPr="00D34003">
        <w:t>ember</w:t>
      </w:r>
      <w:r w:rsidRPr="00D34003">
        <w:t xml:space="preserve"> 2017, point 7.3). </w:t>
      </w:r>
    </w:p>
    <w:p w:rsidR="00E910F4" w:rsidRPr="00D34003" w:rsidRDefault="00E910F4" w:rsidP="007A7E9A">
      <w:pPr>
        <w:pStyle w:val="ListParagraph"/>
        <w:widowControl/>
        <w:numPr>
          <w:ilvl w:val="4"/>
          <w:numId w:val="1"/>
        </w:numPr>
        <w:ind w:left="1418"/>
      </w:pPr>
      <w:r w:rsidRPr="00D34003">
        <w:t>An analysis presenting results stratified by PD-L1 status</w:t>
      </w:r>
      <w:r w:rsidR="00C37258" w:rsidRPr="00D34003">
        <w:t xml:space="preserve">. </w:t>
      </w:r>
      <w:r w:rsidRPr="00D34003">
        <w:t xml:space="preserve">In November 2017, the PBAC </w:t>
      </w:r>
      <w:r w:rsidR="003F1E61" w:rsidRPr="00D34003">
        <w:t xml:space="preserve">concluded that, based on results stratified by PD-L1 status, </w:t>
      </w:r>
      <w:r w:rsidRPr="00D34003">
        <w:t xml:space="preserve">there </w:t>
      </w:r>
      <w:r w:rsidRPr="00D34003">
        <w:lastRenderedPageBreak/>
        <w:t xml:space="preserve">was no strong signal to consider selecting patients </w:t>
      </w:r>
      <w:r w:rsidR="0017097A">
        <w:t xml:space="preserve">based on </w:t>
      </w:r>
      <w:r w:rsidRPr="00D34003">
        <w:t>PD-1 expression (</w:t>
      </w:r>
      <w:r w:rsidR="00AF6691" w:rsidRPr="00D34003">
        <w:t xml:space="preserve">pembrolizumab PSD, </w:t>
      </w:r>
      <w:r w:rsidRPr="00D34003">
        <w:t>Nov</w:t>
      </w:r>
      <w:r w:rsidR="00AF6691" w:rsidRPr="00D34003">
        <w:t>ember</w:t>
      </w:r>
      <w:r w:rsidRPr="00D34003">
        <w:t xml:space="preserve"> 2017, point 6.20).</w:t>
      </w:r>
      <w:r w:rsidR="003F1E61" w:rsidRPr="00D34003">
        <w:t xml:space="preserve"> </w:t>
      </w:r>
    </w:p>
    <w:p w:rsidR="00A671CD" w:rsidRPr="00D34003" w:rsidRDefault="00706810" w:rsidP="007A7E9A">
      <w:pPr>
        <w:pStyle w:val="ListParagraph"/>
        <w:widowControl/>
        <w:numPr>
          <w:ilvl w:val="1"/>
          <w:numId w:val="1"/>
        </w:numPr>
      </w:pPr>
      <w:r w:rsidRPr="00D34003">
        <w:t xml:space="preserve">The resubmission included additional </w:t>
      </w:r>
      <w:r w:rsidR="00E910F4" w:rsidRPr="00D34003">
        <w:t xml:space="preserve">results for </w:t>
      </w:r>
      <w:r w:rsidR="008B522E" w:rsidRPr="00D34003">
        <w:t>change in health related quality of life</w:t>
      </w:r>
      <w:r w:rsidR="00E910F4" w:rsidRPr="00D34003">
        <w:t xml:space="preserve"> (</w:t>
      </w:r>
      <w:proofErr w:type="spellStart"/>
      <w:r w:rsidR="008B522E" w:rsidRPr="00D34003">
        <w:t>HRQoL</w:t>
      </w:r>
      <w:proofErr w:type="spellEnd"/>
      <w:r w:rsidR="008B522E" w:rsidRPr="00D34003">
        <w:t>) as assessed using the EORTC QLQ-C30 (</w:t>
      </w:r>
      <w:r w:rsidR="00E910F4" w:rsidRPr="00D34003">
        <w:t>database cut-off of 18</w:t>
      </w:r>
      <w:r w:rsidR="00E910F4" w:rsidRPr="00D34003">
        <w:rPr>
          <w:vertAlign w:val="superscript"/>
        </w:rPr>
        <w:t>th</w:t>
      </w:r>
      <w:r w:rsidR="00E910F4" w:rsidRPr="00D34003">
        <w:t xml:space="preserve"> January 2017 not included in the November 2017 submission).</w:t>
      </w:r>
      <w:r w:rsidRPr="00D34003">
        <w:t xml:space="preserve"> The results of the change from baseline to Week 15 in the EORTC QLQ-C30 are presented in Table </w:t>
      </w:r>
      <w:r w:rsidR="00884669" w:rsidRPr="00D34003">
        <w:t>7</w:t>
      </w:r>
      <w:r w:rsidRPr="00D34003">
        <w:t xml:space="preserve">. </w:t>
      </w:r>
    </w:p>
    <w:p w:rsidR="00706810" w:rsidRPr="00D34003" w:rsidRDefault="00706810" w:rsidP="00265CD0">
      <w:pPr>
        <w:keepNext/>
        <w:widowControl/>
        <w:rPr>
          <w:rStyle w:val="CommentReference"/>
        </w:rPr>
      </w:pPr>
      <w:r w:rsidRPr="00D34003">
        <w:rPr>
          <w:rStyle w:val="CommentReference"/>
        </w:rPr>
        <w:t xml:space="preserve">Table </w:t>
      </w:r>
      <w:r w:rsidR="00884669" w:rsidRPr="00D34003">
        <w:rPr>
          <w:rStyle w:val="CommentReference"/>
        </w:rPr>
        <w:t>7</w:t>
      </w:r>
      <w:r w:rsidRPr="00D34003">
        <w:rPr>
          <w:rStyle w:val="CommentReference"/>
        </w:rPr>
        <w:t>: Results from the EORTC QLQ-C30</w:t>
      </w:r>
    </w:p>
    <w:tbl>
      <w:tblPr>
        <w:tblStyle w:val="TableGrid"/>
        <w:tblW w:w="4985" w:type="pct"/>
        <w:tblLayout w:type="fixed"/>
        <w:tblCellMar>
          <w:left w:w="57" w:type="dxa"/>
          <w:right w:w="57" w:type="dxa"/>
        </w:tblCellMar>
        <w:tblLook w:val="04A0" w:firstRow="1" w:lastRow="0" w:firstColumn="1" w:lastColumn="0" w:noHBand="0" w:noVBand="1"/>
        <w:tblCaption w:val="Table 7: Results from the EORTC QLQ-C30"/>
      </w:tblPr>
      <w:tblGrid>
        <w:gridCol w:w="1271"/>
        <w:gridCol w:w="994"/>
        <w:gridCol w:w="994"/>
        <w:gridCol w:w="1137"/>
        <w:gridCol w:w="972"/>
        <w:gridCol w:w="904"/>
        <w:gridCol w:w="1125"/>
        <w:gridCol w:w="713"/>
        <w:gridCol w:w="1004"/>
      </w:tblGrid>
      <w:tr w:rsidR="00D85E4D" w:rsidRPr="00D34003" w:rsidTr="009475FD">
        <w:trPr>
          <w:tblHeader/>
        </w:trPr>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706810" w:rsidRPr="00D34003" w:rsidRDefault="00706810" w:rsidP="00265CD0">
            <w:pPr>
              <w:pStyle w:val="Tablebold"/>
              <w:rPr>
                <w:rFonts w:ascii="Arial Narrow" w:hAnsi="Arial Narrow"/>
                <w:b w:val="0"/>
                <w:sz w:val="20"/>
                <w:szCs w:val="20"/>
                <w:lang w:eastAsia="en-AU"/>
              </w:rPr>
            </w:pPr>
            <w:r w:rsidRPr="00D34003">
              <w:rPr>
                <w:rFonts w:ascii="Arial Narrow" w:hAnsi="Arial Narrow"/>
                <w:sz w:val="20"/>
                <w:szCs w:val="20"/>
                <w:lang w:eastAsia="en-AU"/>
              </w:rPr>
              <w:t>Trial ID</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706810" w:rsidRPr="00D34003" w:rsidRDefault="00706810" w:rsidP="00B11AAF">
            <w:pPr>
              <w:pStyle w:val="Tablebold"/>
              <w:spacing w:before="0" w:after="0"/>
              <w:jc w:val="center"/>
              <w:rPr>
                <w:rFonts w:ascii="Arial Narrow" w:hAnsi="Arial Narrow"/>
                <w:b w:val="0"/>
                <w:sz w:val="20"/>
                <w:szCs w:val="20"/>
                <w:lang w:eastAsia="en-AU"/>
              </w:rPr>
            </w:pPr>
            <w:r w:rsidRPr="00D34003">
              <w:rPr>
                <w:rFonts w:ascii="Arial Narrow" w:hAnsi="Arial Narrow"/>
                <w:sz w:val="20"/>
                <w:szCs w:val="20"/>
                <w:lang w:eastAsia="en-AU"/>
              </w:rPr>
              <w:t>Pembrolizumab</w:t>
            </w:r>
          </w:p>
          <w:p w:rsidR="00706810" w:rsidRPr="00D34003" w:rsidRDefault="00706810" w:rsidP="00B11AAF">
            <w:pPr>
              <w:pStyle w:val="Tablebold"/>
              <w:spacing w:before="0" w:after="0"/>
              <w:jc w:val="center"/>
              <w:rPr>
                <w:rFonts w:ascii="Arial Narrow" w:hAnsi="Arial Narrow"/>
                <w:b w:val="0"/>
                <w:sz w:val="20"/>
                <w:szCs w:val="20"/>
                <w:lang w:eastAsia="en-AU"/>
              </w:rPr>
            </w:pPr>
            <w:r w:rsidRPr="00D34003">
              <w:rPr>
                <w:rFonts w:ascii="Arial Narrow" w:hAnsi="Arial Narrow"/>
                <w:sz w:val="20"/>
                <w:szCs w:val="20"/>
                <w:lang w:eastAsia="en-AU"/>
              </w:rPr>
              <w:t>(200 mg)</w:t>
            </w:r>
          </w:p>
          <w:p w:rsidR="00706810" w:rsidRPr="00D34003" w:rsidRDefault="00706810" w:rsidP="00B11AAF">
            <w:pPr>
              <w:pStyle w:val="Tablebold"/>
              <w:jc w:val="center"/>
              <w:rPr>
                <w:rFonts w:ascii="Arial Narrow" w:hAnsi="Arial Narrow"/>
                <w:b w:val="0"/>
                <w:sz w:val="20"/>
                <w:szCs w:val="20"/>
                <w:lang w:eastAsia="en-AU"/>
              </w:rPr>
            </w:pPr>
            <w:r w:rsidRPr="00D34003">
              <w:rPr>
                <w:rFonts w:ascii="Arial Narrow" w:hAnsi="Arial Narrow"/>
                <w:sz w:val="20"/>
                <w:szCs w:val="20"/>
                <w:lang w:eastAsia="en-AU"/>
              </w:rPr>
              <w:t>Baseline mean score</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706810" w:rsidRPr="00D34003" w:rsidRDefault="00706810" w:rsidP="00B11AAF">
            <w:pPr>
              <w:pStyle w:val="Tablebold"/>
              <w:spacing w:before="0" w:after="0"/>
              <w:jc w:val="center"/>
              <w:rPr>
                <w:rFonts w:ascii="Arial Narrow" w:hAnsi="Arial Narrow"/>
                <w:b w:val="0"/>
                <w:sz w:val="20"/>
                <w:szCs w:val="20"/>
                <w:lang w:eastAsia="en-AU"/>
              </w:rPr>
            </w:pPr>
            <w:r w:rsidRPr="00D34003">
              <w:rPr>
                <w:rFonts w:ascii="Arial Narrow" w:hAnsi="Arial Narrow"/>
                <w:sz w:val="20"/>
                <w:szCs w:val="20"/>
                <w:lang w:eastAsia="en-AU"/>
              </w:rPr>
              <w:t>Pembrolizumab</w:t>
            </w:r>
          </w:p>
          <w:p w:rsidR="00706810" w:rsidRPr="00D34003" w:rsidRDefault="00706810" w:rsidP="00B11AAF">
            <w:pPr>
              <w:pStyle w:val="Tablebold"/>
              <w:spacing w:before="0" w:after="0"/>
              <w:jc w:val="center"/>
              <w:rPr>
                <w:rFonts w:ascii="Arial Narrow" w:hAnsi="Arial Narrow"/>
                <w:b w:val="0"/>
                <w:sz w:val="20"/>
                <w:szCs w:val="20"/>
                <w:lang w:eastAsia="en-AU"/>
              </w:rPr>
            </w:pPr>
            <w:r w:rsidRPr="00D34003">
              <w:rPr>
                <w:rFonts w:ascii="Arial Narrow" w:hAnsi="Arial Narrow"/>
                <w:sz w:val="20"/>
                <w:szCs w:val="20"/>
                <w:lang w:eastAsia="en-AU"/>
              </w:rPr>
              <w:t>(200 mg)</w:t>
            </w:r>
          </w:p>
          <w:p w:rsidR="00706810" w:rsidRPr="00D34003" w:rsidRDefault="00706810" w:rsidP="00B11AAF">
            <w:pPr>
              <w:pStyle w:val="Tablebold"/>
              <w:spacing w:before="0" w:after="0"/>
              <w:jc w:val="center"/>
              <w:rPr>
                <w:rFonts w:ascii="Arial Narrow" w:hAnsi="Arial Narrow"/>
                <w:b w:val="0"/>
                <w:sz w:val="20"/>
                <w:szCs w:val="20"/>
                <w:lang w:eastAsia="en-AU"/>
              </w:rPr>
            </w:pPr>
          </w:p>
          <w:p w:rsidR="00706810" w:rsidRPr="00D34003" w:rsidRDefault="00563A08" w:rsidP="00B11AAF">
            <w:pPr>
              <w:pStyle w:val="Tablebold"/>
              <w:jc w:val="center"/>
              <w:rPr>
                <w:rFonts w:ascii="Arial Narrow" w:hAnsi="Arial Narrow"/>
                <w:b w:val="0"/>
                <w:sz w:val="20"/>
                <w:szCs w:val="20"/>
                <w:lang w:eastAsia="en-AU"/>
              </w:rPr>
            </w:pPr>
            <w:r w:rsidRPr="00D34003">
              <w:rPr>
                <w:rFonts w:ascii="Arial Narrow" w:hAnsi="Arial Narrow"/>
                <w:sz w:val="20"/>
                <w:szCs w:val="20"/>
                <w:lang w:eastAsia="en-AU"/>
              </w:rPr>
              <w:t>Week 15 score</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706810" w:rsidRPr="00D34003" w:rsidRDefault="00706810" w:rsidP="00B11AAF">
            <w:pPr>
              <w:pStyle w:val="Tablebold"/>
              <w:spacing w:before="0" w:after="0"/>
              <w:jc w:val="center"/>
              <w:rPr>
                <w:rFonts w:ascii="Arial Narrow" w:hAnsi="Arial Narrow"/>
                <w:b w:val="0"/>
                <w:sz w:val="20"/>
                <w:szCs w:val="20"/>
                <w:lang w:eastAsia="en-AU"/>
              </w:rPr>
            </w:pPr>
            <w:r w:rsidRPr="00D34003">
              <w:rPr>
                <w:rFonts w:ascii="Arial Narrow" w:hAnsi="Arial Narrow"/>
                <w:sz w:val="20"/>
                <w:szCs w:val="20"/>
              </w:rPr>
              <w:t xml:space="preserve">Change from baseline to </w:t>
            </w:r>
            <w:r w:rsidR="00BA2CD0" w:rsidRPr="00D34003">
              <w:rPr>
                <w:rFonts w:ascii="Arial Narrow" w:hAnsi="Arial Narrow"/>
                <w:sz w:val="20"/>
                <w:szCs w:val="20"/>
              </w:rPr>
              <w:t>Week 15</w:t>
            </w:r>
            <w:r w:rsidRPr="00D34003">
              <w:rPr>
                <w:rFonts w:ascii="Arial Narrow" w:hAnsi="Arial Narrow"/>
                <w:sz w:val="20"/>
                <w:szCs w:val="20"/>
              </w:rPr>
              <w:t>, LS Mean (95% CI)</w:t>
            </w: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706810" w:rsidRPr="00D34003" w:rsidRDefault="00706810" w:rsidP="00B11AAF">
            <w:pPr>
              <w:pStyle w:val="Tablebold"/>
              <w:spacing w:before="0" w:after="0"/>
              <w:jc w:val="center"/>
              <w:rPr>
                <w:rFonts w:ascii="Arial Narrow" w:hAnsi="Arial Narrow"/>
                <w:b w:val="0"/>
                <w:sz w:val="20"/>
                <w:szCs w:val="20"/>
                <w:lang w:eastAsia="en-AU"/>
              </w:rPr>
            </w:pPr>
            <w:r w:rsidRPr="00D34003">
              <w:rPr>
                <w:rFonts w:ascii="Arial Narrow" w:hAnsi="Arial Narrow"/>
                <w:sz w:val="20"/>
                <w:szCs w:val="20"/>
                <w:lang w:eastAsia="en-AU"/>
              </w:rPr>
              <w:t>SOC</w:t>
            </w:r>
          </w:p>
          <w:p w:rsidR="00706810" w:rsidRPr="00D34003" w:rsidRDefault="00706810" w:rsidP="00B11AAF">
            <w:pPr>
              <w:pStyle w:val="Tablebold"/>
              <w:spacing w:before="0" w:after="0"/>
              <w:jc w:val="center"/>
              <w:rPr>
                <w:rFonts w:ascii="Arial Narrow" w:hAnsi="Arial Narrow"/>
                <w:b w:val="0"/>
                <w:sz w:val="20"/>
                <w:szCs w:val="20"/>
                <w:lang w:eastAsia="en-AU"/>
              </w:rPr>
            </w:pPr>
          </w:p>
          <w:p w:rsidR="00706810" w:rsidRPr="00D34003" w:rsidRDefault="00706810" w:rsidP="00B11AAF">
            <w:pPr>
              <w:pStyle w:val="Tablebold"/>
              <w:jc w:val="center"/>
              <w:rPr>
                <w:rFonts w:ascii="Arial Narrow" w:hAnsi="Arial Narrow"/>
                <w:b w:val="0"/>
                <w:sz w:val="20"/>
                <w:szCs w:val="20"/>
                <w:lang w:eastAsia="en-AU"/>
              </w:rPr>
            </w:pPr>
            <w:r w:rsidRPr="00D34003">
              <w:rPr>
                <w:rFonts w:ascii="Arial Narrow" w:hAnsi="Arial Narrow"/>
                <w:sz w:val="20"/>
                <w:szCs w:val="20"/>
                <w:lang w:eastAsia="en-AU"/>
              </w:rPr>
              <w:t>Baseline mean score</w:t>
            </w:r>
          </w:p>
          <w:p w:rsidR="00706810" w:rsidRPr="00D34003" w:rsidRDefault="00706810" w:rsidP="00B11AAF">
            <w:pPr>
              <w:pStyle w:val="Tablebold"/>
              <w:jc w:val="center"/>
              <w:rPr>
                <w:rFonts w:ascii="Arial Narrow" w:hAnsi="Arial Narrow"/>
                <w:b w:val="0"/>
                <w:sz w:val="20"/>
                <w:szCs w:val="2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706810" w:rsidRPr="00D34003" w:rsidRDefault="00706810" w:rsidP="00B11AAF">
            <w:pPr>
              <w:pStyle w:val="Tablebold"/>
              <w:spacing w:before="0" w:after="0"/>
              <w:jc w:val="center"/>
              <w:rPr>
                <w:rFonts w:ascii="Arial Narrow" w:hAnsi="Arial Narrow"/>
                <w:b w:val="0"/>
                <w:sz w:val="20"/>
                <w:szCs w:val="20"/>
                <w:lang w:eastAsia="en-AU"/>
              </w:rPr>
            </w:pPr>
            <w:r w:rsidRPr="00D34003">
              <w:rPr>
                <w:rFonts w:ascii="Arial Narrow" w:hAnsi="Arial Narrow"/>
                <w:sz w:val="20"/>
                <w:szCs w:val="20"/>
                <w:lang w:eastAsia="en-AU"/>
              </w:rPr>
              <w:t>SOC</w:t>
            </w:r>
          </w:p>
          <w:p w:rsidR="00706810" w:rsidRPr="00D34003" w:rsidRDefault="00706810" w:rsidP="00B11AAF">
            <w:pPr>
              <w:pStyle w:val="Tablebold"/>
              <w:spacing w:before="0" w:after="0"/>
              <w:jc w:val="center"/>
              <w:rPr>
                <w:rFonts w:ascii="Arial Narrow" w:hAnsi="Arial Narrow"/>
                <w:b w:val="0"/>
                <w:sz w:val="20"/>
                <w:szCs w:val="20"/>
                <w:lang w:eastAsia="en-AU"/>
              </w:rPr>
            </w:pPr>
          </w:p>
          <w:p w:rsidR="00706810" w:rsidRPr="00D34003" w:rsidRDefault="00706810" w:rsidP="00B11AAF">
            <w:pPr>
              <w:pStyle w:val="Tablebold"/>
              <w:jc w:val="center"/>
              <w:rPr>
                <w:rFonts w:ascii="Arial Narrow" w:hAnsi="Arial Narrow"/>
                <w:b w:val="0"/>
                <w:sz w:val="20"/>
                <w:szCs w:val="20"/>
                <w:lang w:eastAsia="en-AU"/>
              </w:rPr>
            </w:pPr>
            <w:r w:rsidRPr="00D34003">
              <w:rPr>
                <w:rFonts w:ascii="Arial Narrow" w:hAnsi="Arial Narrow"/>
                <w:sz w:val="20"/>
                <w:szCs w:val="20"/>
                <w:lang w:eastAsia="en-AU"/>
              </w:rPr>
              <w:t>Week 15 score</w:t>
            </w:r>
          </w:p>
          <w:p w:rsidR="00706810" w:rsidRPr="00D34003" w:rsidRDefault="00706810" w:rsidP="00B11AAF">
            <w:pPr>
              <w:pStyle w:val="Tablebold"/>
              <w:jc w:val="center"/>
              <w:rPr>
                <w:rFonts w:ascii="Arial Narrow" w:hAnsi="Arial Narrow"/>
                <w:b w:val="0"/>
                <w:sz w:val="20"/>
                <w:szCs w:val="20"/>
                <w:lang w:eastAsia="en-AU"/>
              </w:rPr>
            </w:pPr>
          </w:p>
        </w:tc>
        <w:tc>
          <w:tcPr>
            <w:tcW w:w="617" w:type="pct"/>
            <w:tcBorders>
              <w:top w:val="single" w:sz="4" w:space="0" w:color="auto"/>
              <w:left w:val="single" w:sz="4" w:space="0" w:color="auto"/>
              <w:bottom w:val="single" w:sz="4" w:space="0" w:color="auto"/>
              <w:right w:val="single" w:sz="4" w:space="0" w:color="auto"/>
            </w:tcBorders>
            <w:shd w:val="clear" w:color="auto" w:fill="auto"/>
            <w:hideMark/>
          </w:tcPr>
          <w:p w:rsidR="00706810" w:rsidRPr="00D34003" w:rsidRDefault="00706810" w:rsidP="009475FD">
            <w:pPr>
              <w:pStyle w:val="Tablebold"/>
              <w:jc w:val="center"/>
              <w:rPr>
                <w:rFonts w:ascii="Arial Narrow" w:hAnsi="Arial Narrow"/>
                <w:b w:val="0"/>
                <w:sz w:val="20"/>
                <w:szCs w:val="20"/>
                <w:lang w:eastAsia="en-AU"/>
              </w:rPr>
            </w:pPr>
            <w:r w:rsidRPr="00D34003">
              <w:rPr>
                <w:rFonts w:ascii="Arial Narrow" w:hAnsi="Arial Narrow"/>
                <w:sz w:val="20"/>
                <w:szCs w:val="20"/>
                <w:lang w:eastAsia="en-AU"/>
              </w:rPr>
              <w:t xml:space="preserve">Change from baseline to </w:t>
            </w:r>
            <w:r w:rsidR="00BA2CD0" w:rsidRPr="00D34003">
              <w:rPr>
                <w:rFonts w:ascii="Arial Narrow" w:hAnsi="Arial Narrow"/>
                <w:sz w:val="20"/>
                <w:szCs w:val="20"/>
                <w:lang w:eastAsia="en-AU"/>
              </w:rPr>
              <w:t>Week 15</w:t>
            </w:r>
            <w:r w:rsidRPr="00D34003">
              <w:rPr>
                <w:rFonts w:ascii="Arial Narrow" w:hAnsi="Arial Narrow"/>
                <w:sz w:val="20"/>
                <w:szCs w:val="20"/>
                <w:lang w:eastAsia="en-AU"/>
              </w:rPr>
              <w:t>, LS Mean (95% CI)</w:t>
            </w:r>
          </w:p>
        </w:tc>
        <w:tc>
          <w:tcPr>
            <w:tcW w:w="391" w:type="pct"/>
            <w:tcBorders>
              <w:top w:val="single" w:sz="4" w:space="0" w:color="auto"/>
              <w:left w:val="single" w:sz="4" w:space="0" w:color="auto"/>
              <w:bottom w:val="single" w:sz="4" w:space="0" w:color="auto"/>
              <w:right w:val="single" w:sz="4" w:space="0" w:color="auto"/>
            </w:tcBorders>
            <w:shd w:val="clear" w:color="auto" w:fill="auto"/>
            <w:hideMark/>
          </w:tcPr>
          <w:p w:rsidR="00706810" w:rsidRPr="00D34003" w:rsidRDefault="00706810" w:rsidP="009475FD">
            <w:pPr>
              <w:pStyle w:val="Tablebold"/>
              <w:jc w:val="center"/>
              <w:rPr>
                <w:rFonts w:ascii="Arial Narrow" w:hAnsi="Arial Narrow"/>
                <w:b w:val="0"/>
                <w:sz w:val="20"/>
                <w:szCs w:val="20"/>
                <w:lang w:eastAsia="en-AU"/>
              </w:rPr>
            </w:pPr>
            <w:r w:rsidRPr="00D34003">
              <w:rPr>
                <w:rFonts w:ascii="Arial Narrow" w:hAnsi="Arial Narrow"/>
                <w:sz w:val="20"/>
                <w:szCs w:val="20"/>
                <w:lang w:eastAsia="en-AU"/>
              </w:rPr>
              <w:t>P-value</w:t>
            </w:r>
          </w:p>
        </w:tc>
        <w:tc>
          <w:tcPr>
            <w:tcW w:w="551" w:type="pct"/>
            <w:tcBorders>
              <w:top w:val="single" w:sz="4" w:space="0" w:color="auto"/>
              <w:left w:val="single" w:sz="4" w:space="0" w:color="auto"/>
              <w:bottom w:val="single" w:sz="4" w:space="0" w:color="auto"/>
              <w:right w:val="single" w:sz="4" w:space="0" w:color="auto"/>
            </w:tcBorders>
            <w:shd w:val="clear" w:color="auto" w:fill="auto"/>
            <w:hideMark/>
          </w:tcPr>
          <w:p w:rsidR="00706810" w:rsidRPr="00D34003" w:rsidRDefault="00706810" w:rsidP="009475FD">
            <w:pPr>
              <w:pStyle w:val="Tablebold"/>
              <w:jc w:val="center"/>
              <w:rPr>
                <w:rFonts w:ascii="Arial Narrow" w:hAnsi="Arial Narrow"/>
                <w:b w:val="0"/>
                <w:sz w:val="20"/>
                <w:szCs w:val="20"/>
                <w:lang w:eastAsia="en-AU"/>
              </w:rPr>
            </w:pPr>
            <w:r w:rsidRPr="00D34003">
              <w:rPr>
                <w:rFonts w:ascii="Arial Narrow" w:hAnsi="Arial Narrow"/>
                <w:sz w:val="20"/>
                <w:szCs w:val="20"/>
                <w:lang w:eastAsia="en-AU"/>
              </w:rPr>
              <w:t>Difference in LS means (95% CI)</w:t>
            </w:r>
          </w:p>
        </w:tc>
      </w:tr>
      <w:tr w:rsidR="00D85E4D" w:rsidRPr="00D34003" w:rsidTr="00D85E4D">
        <w:tc>
          <w:tcPr>
            <w:tcW w:w="697" w:type="pct"/>
            <w:tcBorders>
              <w:top w:val="single" w:sz="4" w:space="0" w:color="auto"/>
              <w:left w:val="single" w:sz="4" w:space="0" w:color="auto"/>
              <w:bottom w:val="single" w:sz="4" w:space="0" w:color="auto"/>
              <w:right w:val="single" w:sz="4" w:space="0" w:color="auto"/>
            </w:tcBorders>
            <w:vAlign w:val="center"/>
            <w:hideMark/>
          </w:tcPr>
          <w:p w:rsidR="00706810" w:rsidRPr="00D34003" w:rsidRDefault="00706810" w:rsidP="00B11AAF">
            <w:pPr>
              <w:pStyle w:val="Tabletext"/>
              <w:rPr>
                <w:lang w:eastAsia="en-AU"/>
              </w:rPr>
            </w:pPr>
            <w:r w:rsidRPr="00D34003">
              <w:t>Clinical study report (November 2017 submission)</w:t>
            </w:r>
          </w:p>
        </w:tc>
        <w:tc>
          <w:tcPr>
            <w:tcW w:w="545" w:type="pct"/>
            <w:tcBorders>
              <w:top w:val="single" w:sz="4" w:space="0" w:color="auto"/>
              <w:left w:val="single" w:sz="4" w:space="0" w:color="auto"/>
              <w:bottom w:val="single" w:sz="4" w:space="0" w:color="auto"/>
              <w:right w:val="single" w:sz="4" w:space="0" w:color="auto"/>
            </w:tcBorders>
            <w:hideMark/>
          </w:tcPr>
          <w:p w:rsidR="00706810" w:rsidRPr="00D34003" w:rsidRDefault="00706810" w:rsidP="00B11AAF">
            <w:pPr>
              <w:pStyle w:val="Tabletext"/>
              <w:jc w:val="center"/>
            </w:pPr>
            <w:r w:rsidRPr="00D34003">
              <w:t>61.1 (23.1)</w:t>
            </w:r>
          </w:p>
          <w:p w:rsidR="00706810" w:rsidRPr="00D34003" w:rsidRDefault="00706810" w:rsidP="00B11AAF">
            <w:pPr>
              <w:pStyle w:val="Tabletext"/>
              <w:jc w:val="center"/>
              <w:rPr>
                <w:lang w:eastAsia="en-AU"/>
              </w:rPr>
            </w:pPr>
            <w:r w:rsidRPr="00D34003">
              <w:rPr>
                <w:lang w:eastAsia="en-AU"/>
              </w:rPr>
              <w:t>N=260</w:t>
            </w:r>
          </w:p>
        </w:tc>
        <w:tc>
          <w:tcPr>
            <w:tcW w:w="545" w:type="pct"/>
            <w:tcBorders>
              <w:top w:val="single" w:sz="4" w:space="0" w:color="auto"/>
              <w:left w:val="single" w:sz="4" w:space="0" w:color="auto"/>
              <w:bottom w:val="single" w:sz="4" w:space="0" w:color="auto"/>
              <w:right w:val="single" w:sz="4" w:space="0" w:color="auto"/>
            </w:tcBorders>
            <w:hideMark/>
          </w:tcPr>
          <w:p w:rsidR="00706810" w:rsidRPr="00D34003" w:rsidRDefault="00706810" w:rsidP="00B11AAF">
            <w:pPr>
              <w:pStyle w:val="Tabletext"/>
              <w:jc w:val="center"/>
            </w:pPr>
            <w:r w:rsidRPr="00D34003">
              <w:t>67.6 (22.6)</w:t>
            </w:r>
          </w:p>
          <w:p w:rsidR="00706810" w:rsidRPr="00D34003" w:rsidRDefault="00706810" w:rsidP="00B11AAF">
            <w:pPr>
              <w:pStyle w:val="Tabletext"/>
              <w:jc w:val="center"/>
              <w:rPr>
                <w:lang w:eastAsia="en-AU"/>
              </w:rPr>
            </w:pPr>
            <w:r w:rsidRPr="00D34003">
              <w:rPr>
                <w:lang w:eastAsia="en-AU"/>
              </w:rPr>
              <w:t>N=157</w:t>
            </w:r>
          </w:p>
        </w:tc>
        <w:tc>
          <w:tcPr>
            <w:tcW w:w="624"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pPr>
            <w:r w:rsidRPr="00D34003">
              <w:t>+0.75 (-2.34 to +3.83)</w:t>
            </w:r>
          </w:p>
        </w:tc>
        <w:tc>
          <w:tcPr>
            <w:tcW w:w="533" w:type="pct"/>
            <w:tcBorders>
              <w:top w:val="single" w:sz="4" w:space="0" w:color="auto"/>
              <w:left w:val="single" w:sz="4" w:space="0" w:color="auto"/>
              <w:bottom w:val="single" w:sz="4" w:space="0" w:color="auto"/>
              <w:right w:val="single" w:sz="4" w:space="0" w:color="auto"/>
            </w:tcBorders>
            <w:hideMark/>
          </w:tcPr>
          <w:p w:rsidR="00706810" w:rsidRPr="00D34003" w:rsidRDefault="00706810" w:rsidP="00B11AAF">
            <w:pPr>
              <w:pStyle w:val="Tabletext"/>
              <w:jc w:val="center"/>
            </w:pPr>
            <w:r w:rsidRPr="00D34003">
              <w:t>59.1 (22.1)</w:t>
            </w:r>
          </w:p>
          <w:p w:rsidR="00706810" w:rsidRPr="00D34003" w:rsidRDefault="00706810" w:rsidP="00B11AAF">
            <w:pPr>
              <w:pStyle w:val="Tabletext"/>
              <w:jc w:val="center"/>
              <w:rPr>
                <w:lang w:eastAsia="en-AU"/>
              </w:rPr>
            </w:pPr>
            <w:r w:rsidRPr="00D34003">
              <w:rPr>
                <w:lang w:eastAsia="en-AU"/>
              </w:rPr>
              <w:t>N=243</w:t>
            </w:r>
          </w:p>
        </w:tc>
        <w:tc>
          <w:tcPr>
            <w:tcW w:w="496" w:type="pct"/>
            <w:tcBorders>
              <w:top w:val="single" w:sz="4" w:space="0" w:color="auto"/>
              <w:left w:val="single" w:sz="4" w:space="0" w:color="auto"/>
              <w:bottom w:val="single" w:sz="4" w:space="0" w:color="auto"/>
              <w:right w:val="single" w:sz="4" w:space="0" w:color="auto"/>
            </w:tcBorders>
            <w:hideMark/>
          </w:tcPr>
          <w:p w:rsidR="00706810" w:rsidRPr="00D34003" w:rsidRDefault="00706810" w:rsidP="00B11AAF">
            <w:pPr>
              <w:pStyle w:val="Tabletext"/>
              <w:jc w:val="center"/>
            </w:pPr>
            <w:r w:rsidRPr="00D34003">
              <w:t>57.9 (19.5)</w:t>
            </w:r>
          </w:p>
          <w:p w:rsidR="00706810" w:rsidRPr="00D34003" w:rsidRDefault="00706810" w:rsidP="00B11AAF">
            <w:pPr>
              <w:pStyle w:val="Tabletext"/>
              <w:jc w:val="center"/>
              <w:rPr>
                <w:lang w:eastAsia="en-AU"/>
              </w:rPr>
            </w:pPr>
            <w:r w:rsidRPr="00D34003">
              <w:rPr>
                <w:lang w:eastAsia="en-AU"/>
              </w:rPr>
              <w:t>N=118</w:t>
            </w:r>
          </w:p>
        </w:tc>
        <w:tc>
          <w:tcPr>
            <w:tcW w:w="617" w:type="pct"/>
            <w:tcBorders>
              <w:top w:val="single" w:sz="4" w:space="0" w:color="auto"/>
              <w:left w:val="single" w:sz="4" w:space="0" w:color="auto"/>
              <w:bottom w:val="single" w:sz="4" w:space="0" w:color="auto"/>
              <w:right w:val="single" w:sz="4" w:space="0" w:color="auto"/>
            </w:tcBorders>
            <w:hideMark/>
          </w:tcPr>
          <w:p w:rsidR="00706810" w:rsidRPr="00D34003" w:rsidRDefault="00706810" w:rsidP="00B11AAF">
            <w:pPr>
              <w:pStyle w:val="Tabletext"/>
              <w:jc w:val="center"/>
              <w:rPr>
                <w:lang w:eastAsia="en-AU"/>
              </w:rPr>
            </w:pPr>
            <w:r w:rsidRPr="00D34003">
              <w:t>-8.30 (-11.76 to -4.83)</w:t>
            </w:r>
          </w:p>
        </w:tc>
        <w:tc>
          <w:tcPr>
            <w:tcW w:w="391" w:type="pct"/>
            <w:tcBorders>
              <w:top w:val="single" w:sz="4" w:space="0" w:color="auto"/>
              <w:left w:val="single" w:sz="4" w:space="0" w:color="auto"/>
              <w:bottom w:val="single" w:sz="4" w:space="0" w:color="auto"/>
              <w:right w:val="single" w:sz="4" w:space="0" w:color="auto"/>
            </w:tcBorders>
            <w:hideMark/>
          </w:tcPr>
          <w:p w:rsidR="00706810" w:rsidRPr="00D34003" w:rsidRDefault="00706810" w:rsidP="00B11AAF">
            <w:pPr>
              <w:pStyle w:val="Tabletext"/>
              <w:jc w:val="center"/>
              <w:rPr>
                <w:b/>
                <w:lang w:eastAsia="en-AU"/>
              </w:rPr>
            </w:pPr>
            <w:r w:rsidRPr="00D34003">
              <w:rPr>
                <w:b/>
              </w:rPr>
              <w:t>&lt;0.001</w:t>
            </w:r>
          </w:p>
        </w:tc>
        <w:tc>
          <w:tcPr>
            <w:tcW w:w="551" w:type="pct"/>
            <w:tcBorders>
              <w:top w:val="single" w:sz="4" w:space="0" w:color="auto"/>
              <w:left w:val="single" w:sz="4" w:space="0" w:color="auto"/>
              <w:bottom w:val="single" w:sz="4" w:space="0" w:color="auto"/>
              <w:right w:val="single" w:sz="4" w:space="0" w:color="auto"/>
            </w:tcBorders>
            <w:hideMark/>
          </w:tcPr>
          <w:p w:rsidR="00706810" w:rsidRPr="00D34003" w:rsidRDefault="00706810" w:rsidP="00B11AAF">
            <w:pPr>
              <w:pStyle w:val="Tabletext"/>
              <w:jc w:val="center"/>
              <w:rPr>
                <w:b/>
                <w:lang w:eastAsia="en-AU"/>
              </w:rPr>
            </w:pPr>
            <w:r w:rsidRPr="00D34003">
              <w:rPr>
                <w:b/>
              </w:rPr>
              <w:t>9.05 (4.61 to 13.48)</w:t>
            </w:r>
          </w:p>
        </w:tc>
      </w:tr>
      <w:tr w:rsidR="00D85E4D" w:rsidRPr="00D34003" w:rsidTr="00D85E4D">
        <w:tc>
          <w:tcPr>
            <w:tcW w:w="697" w:type="pct"/>
            <w:tcBorders>
              <w:top w:val="single" w:sz="4" w:space="0" w:color="auto"/>
              <w:left w:val="single" w:sz="4" w:space="0" w:color="auto"/>
              <w:bottom w:val="single" w:sz="4" w:space="0" w:color="auto"/>
              <w:right w:val="single" w:sz="4" w:space="0" w:color="auto"/>
            </w:tcBorders>
          </w:tcPr>
          <w:p w:rsidR="00706810" w:rsidRPr="00D34003" w:rsidRDefault="00706810" w:rsidP="00C314A7">
            <w:pPr>
              <w:pStyle w:val="Tabletext"/>
            </w:pPr>
            <w:r w:rsidRPr="00D34003">
              <w:t>Database cut-off: 18</w:t>
            </w:r>
            <w:r w:rsidRPr="00D34003">
              <w:rPr>
                <w:vertAlign w:val="superscript"/>
              </w:rPr>
              <w:t>th</w:t>
            </w:r>
            <w:r w:rsidRPr="00D34003">
              <w:t xml:space="preserve"> January 2017</w:t>
            </w:r>
          </w:p>
        </w:tc>
        <w:tc>
          <w:tcPr>
            <w:tcW w:w="545"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pPr>
            <w:r w:rsidRPr="00D34003">
              <w:t>N=266</w:t>
            </w:r>
          </w:p>
        </w:tc>
        <w:tc>
          <w:tcPr>
            <w:tcW w:w="545"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pPr>
          </w:p>
        </w:tc>
        <w:tc>
          <w:tcPr>
            <w:tcW w:w="624"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pPr>
            <w:r w:rsidRPr="00D34003">
              <w:t>+0.69 (-2.40, 3.77)</w:t>
            </w:r>
          </w:p>
        </w:tc>
        <w:tc>
          <w:tcPr>
            <w:tcW w:w="533"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pPr>
            <w:r w:rsidRPr="00D34003">
              <w:t>N=253</w:t>
            </w:r>
          </w:p>
        </w:tc>
        <w:tc>
          <w:tcPr>
            <w:tcW w:w="496"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pPr>
          </w:p>
        </w:tc>
        <w:tc>
          <w:tcPr>
            <w:tcW w:w="617"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pPr>
            <w:r w:rsidRPr="00D34003">
              <w:t>-8.36 (-11.84, -4.89)</w:t>
            </w:r>
          </w:p>
        </w:tc>
        <w:tc>
          <w:tcPr>
            <w:tcW w:w="391"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rPr>
                <w:b/>
              </w:rPr>
            </w:pPr>
            <w:r w:rsidRPr="00D34003">
              <w:rPr>
                <w:b/>
              </w:rPr>
              <w:t>&lt;0.001</w:t>
            </w:r>
          </w:p>
        </w:tc>
        <w:tc>
          <w:tcPr>
            <w:tcW w:w="551" w:type="pct"/>
            <w:tcBorders>
              <w:top w:val="single" w:sz="4" w:space="0" w:color="auto"/>
              <w:left w:val="single" w:sz="4" w:space="0" w:color="auto"/>
              <w:bottom w:val="single" w:sz="4" w:space="0" w:color="auto"/>
              <w:right w:val="single" w:sz="4" w:space="0" w:color="auto"/>
            </w:tcBorders>
          </w:tcPr>
          <w:p w:rsidR="00706810" w:rsidRPr="00D34003" w:rsidRDefault="00706810" w:rsidP="00B11AAF">
            <w:pPr>
              <w:pStyle w:val="Tabletext"/>
              <w:jc w:val="center"/>
              <w:rPr>
                <w:b/>
              </w:rPr>
            </w:pPr>
            <w:r w:rsidRPr="00D34003">
              <w:rPr>
                <w:b/>
              </w:rPr>
              <w:t>9.05 (4.61 to 13.50)</w:t>
            </w:r>
          </w:p>
        </w:tc>
      </w:tr>
    </w:tbl>
    <w:p w:rsidR="00706810" w:rsidRPr="00D34003" w:rsidRDefault="00706810" w:rsidP="00265CD0">
      <w:pPr>
        <w:pStyle w:val="TableFooter"/>
      </w:pPr>
      <w:r w:rsidRPr="00D34003">
        <w:t xml:space="preserve">Abbreviations: CI=confidence interval; EORTC QLQ-C30 = Electronic European Organization for Research and Treatment of Cancer Quality of Life Questionnaire Core 30 items; LS=least squares; mg = milligram; N = total number of participants in group; SOC = standard of care. </w:t>
      </w:r>
    </w:p>
    <w:p w:rsidR="00706810" w:rsidRPr="00D34003" w:rsidRDefault="00706810" w:rsidP="00265CD0">
      <w:pPr>
        <w:pStyle w:val="TableFooter"/>
      </w:pPr>
      <w:r w:rsidRPr="00D34003">
        <w:t xml:space="preserve">Source: </w:t>
      </w:r>
      <w:r w:rsidR="00F91AE3" w:rsidRPr="00D34003">
        <w:t xml:space="preserve">Table </w:t>
      </w:r>
      <w:r w:rsidRPr="00D34003">
        <w:t xml:space="preserve">2-18, p. 64 of the resubmission. </w:t>
      </w:r>
    </w:p>
    <w:p w:rsidR="00706810" w:rsidRPr="00D34003" w:rsidRDefault="00706810" w:rsidP="00265CD0">
      <w:pPr>
        <w:pStyle w:val="TableFooter"/>
      </w:pPr>
      <w:r w:rsidRPr="00D34003">
        <w:t xml:space="preserve">Note: </w:t>
      </w:r>
      <w:r w:rsidR="00F91AE3" w:rsidRPr="00D34003">
        <w:t>B</w:t>
      </w:r>
      <w:r w:rsidRPr="00D34003">
        <w:t>old text indicates statistically significant results.</w:t>
      </w:r>
    </w:p>
    <w:p w:rsidR="00706810" w:rsidRPr="00D34003" w:rsidRDefault="00706810" w:rsidP="00265CD0">
      <w:pPr>
        <w:keepNext/>
        <w:widowControl/>
        <w:rPr>
          <w:rStyle w:val="CommentReference"/>
        </w:rPr>
      </w:pPr>
    </w:p>
    <w:p w:rsidR="005F669C" w:rsidRPr="00D34003" w:rsidRDefault="00706810" w:rsidP="00E36B42">
      <w:pPr>
        <w:pStyle w:val="ListParagraph"/>
        <w:keepNext/>
        <w:widowControl/>
        <w:numPr>
          <w:ilvl w:val="1"/>
          <w:numId w:val="1"/>
        </w:numPr>
        <w:rPr>
          <w:rFonts w:ascii="Arial Narrow" w:hAnsi="Arial Narrow"/>
          <w:b/>
          <w:sz w:val="20"/>
          <w:szCs w:val="16"/>
        </w:rPr>
      </w:pPr>
      <w:r w:rsidRPr="00D34003">
        <w:t xml:space="preserve">Mean EQ-5D index values (utilities) for the combined patient groups and according to disease progression, are presented in Table </w:t>
      </w:r>
      <w:r w:rsidR="00884669" w:rsidRPr="00D34003">
        <w:t>8</w:t>
      </w:r>
      <w:r w:rsidRPr="00D34003">
        <w:t xml:space="preserve">. The resubmission reported utility values calculated using the EQ-5D scores, for each of the health states utilised in the economic evaluation. The values were </w:t>
      </w:r>
      <w:r w:rsidR="00AF3879" w:rsidRPr="00D34003">
        <w:t xml:space="preserve">transformed </w:t>
      </w:r>
      <w:r w:rsidRPr="00D34003">
        <w:t xml:space="preserve">appropriately using the Australian algorithm. </w:t>
      </w:r>
    </w:p>
    <w:p w:rsidR="00E36B42" w:rsidRPr="00D34003" w:rsidRDefault="00E36B42" w:rsidP="005F669C">
      <w:pPr>
        <w:keepNext/>
        <w:widowControl/>
        <w:rPr>
          <w:rStyle w:val="CommentReference"/>
        </w:rPr>
      </w:pPr>
      <w:r w:rsidRPr="00D34003">
        <w:rPr>
          <w:rStyle w:val="CommentReference"/>
        </w:rPr>
        <w:t xml:space="preserve">Table </w:t>
      </w:r>
      <w:r w:rsidR="00884669" w:rsidRPr="00D34003">
        <w:rPr>
          <w:rStyle w:val="CommentReference"/>
        </w:rPr>
        <w:t>8</w:t>
      </w:r>
      <w:r w:rsidRPr="00D34003">
        <w:rPr>
          <w:rStyle w:val="CommentReference"/>
        </w:rPr>
        <w:t>: Results of EQ-5D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8: Results of EQ-5D"/>
      </w:tblPr>
      <w:tblGrid>
        <w:gridCol w:w="2835"/>
        <w:gridCol w:w="1134"/>
        <w:gridCol w:w="567"/>
        <w:gridCol w:w="993"/>
        <w:gridCol w:w="861"/>
        <w:gridCol w:w="2682"/>
      </w:tblGrid>
      <w:tr w:rsidR="00E36B42" w:rsidRPr="00D34003" w:rsidTr="00753250">
        <w:tc>
          <w:tcPr>
            <w:tcW w:w="2835" w:type="dxa"/>
          </w:tcPr>
          <w:p w:rsidR="00E36B42" w:rsidRPr="00D34003" w:rsidRDefault="00E36B42" w:rsidP="00753250">
            <w:pPr>
              <w:autoSpaceDE w:val="0"/>
              <w:autoSpaceDN w:val="0"/>
              <w:adjustRightInd w:val="0"/>
              <w:rPr>
                <w:rFonts w:ascii="Arial Narrow" w:hAnsi="Arial Narrow"/>
                <w:sz w:val="20"/>
                <w:szCs w:val="20"/>
              </w:rPr>
            </w:pPr>
          </w:p>
        </w:tc>
        <w:tc>
          <w:tcPr>
            <w:tcW w:w="6237" w:type="dxa"/>
            <w:gridSpan w:val="5"/>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 xml:space="preserve">Control + Pembrolizumab </w:t>
            </w:r>
          </w:p>
        </w:tc>
      </w:tr>
      <w:tr w:rsidR="00E36B42" w:rsidRPr="00D34003" w:rsidTr="00753250">
        <w:tc>
          <w:tcPr>
            <w:tcW w:w="2835" w:type="dxa"/>
          </w:tcPr>
          <w:p w:rsidR="00E36B42" w:rsidRPr="00D34003" w:rsidRDefault="00E36B42" w:rsidP="00753250">
            <w:pPr>
              <w:autoSpaceDE w:val="0"/>
              <w:autoSpaceDN w:val="0"/>
              <w:adjustRightInd w:val="0"/>
              <w:rPr>
                <w:rFonts w:ascii="Arial Narrow" w:hAnsi="Arial Narrow"/>
                <w:sz w:val="20"/>
                <w:szCs w:val="20"/>
              </w:rPr>
            </w:pPr>
          </w:p>
        </w:tc>
        <w:tc>
          <w:tcPr>
            <w:tcW w:w="1134"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n</w:t>
            </w:r>
            <w:r w:rsidRPr="00D34003">
              <w:rPr>
                <w:rFonts w:ascii="Arial Narrow" w:hAnsi="Arial Narrow"/>
                <w:b/>
                <w:sz w:val="20"/>
                <w:szCs w:val="20"/>
                <w:vertAlign w:val="superscript"/>
              </w:rPr>
              <w:t>†</w:t>
            </w:r>
            <w:r w:rsidRPr="00D34003">
              <w:rPr>
                <w:rFonts w:ascii="Arial Narrow" w:hAnsi="Arial Narrow"/>
                <w:b/>
                <w:sz w:val="20"/>
                <w:szCs w:val="20"/>
              </w:rPr>
              <w:t xml:space="preserve"> </w:t>
            </w:r>
          </w:p>
        </w:tc>
        <w:tc>
          <w:tcPr>
            <w:tcW w:w="567"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n</w:t>
            </w:r>
            <w:r w:rsidRPr="00D34003">
              <w:rPr>
                <w:rFonts w:ascii="Arial Narrow" w:hAnsi="Arial Narrow"/>
                <w:b/>
                <w:sz w:val="20"/>
                <w:szCs w:val="20"/>
                <w:vertAlign w:val="superscript"/>
              </w:rPr>
              <w:t>‡</w:t>
            </w:r>
          </w:p>
        </w:tc>
        <w:tc>
          <w:tcPr>
            <w:tcW w:w="993"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Mean</w:t>
            </w:r>
          </w:p>
        </w:tc>
        <w:tc>
          <w:tcPr>
            <w:tcW w:w="861"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SE</w:t>
            </w:r>
          </w:p>
        </w:tc>
        <w:tc>
          <w:tcPr>
            <w:tcW w:w="2682"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95% CI</w:t>
            </w:r>
          </w:p>
        </w:tc>
      </w:tr>
      <w:tr w:rsidR="00E36B42" w:rsidRPr="00D34003" w:rsidTr="00753250">
        <w:tc>
          <w:tcPr>
            <w:tcW w:w="2835" w:type="dxa"/>
          </w:tcPr>
          <w:p w:rsidR="00E36B42" w:rsidRPr="00D34003" w:rsidRDefault="00E36B42" w:rsidP="00753250">
            <w:pPr>
              <w:autoSpaceDE w:val="0"/>
              <w:autoSpaceDN w:val="0"/>
              <w:adjustRightInd w:val="0"/>
              <w:rPr>
                <w:rFonts w:ascii="Arial Narrow" w:hAnsi="Arial Narrow"/>
                <w:b/>
                <w:sz w:val="20"/>
                <w:szCs w:val="20"/>
              </w:rPr>
            </w:pPr>
            <w:r w:rsidRPr="00D34003">
              <w:rPr>
                <w:rFonts w:ascii="Arial Narrow" w:hAnsi="Arial Narrow"/>
                <w:b/>
                <w:sz w:val="20"/>
                <w:szCs w:val="20"/>
              </w:rPr>
              <w:t xml:space="preserve"> Progression-Free</w:t>
            </w:r>
          </w:p>
        </w:tc>
        <w:tc>
          <w:tcPr>
            <w:tcW w:w="1134" w:type="dxa"/>
            <w:hideMark/>
          </w:tcPr>
          <w:p w:rsidR="00E36B42" w:rsidRPr="00D34003" w:rsidRDefault="00E36B42" w:rsidP="00753250">
            <w:pPr>
              <w:autoSpaceDE w:val="0"/>
              <w:autoSpaceDN w:val="0"/>
              <w:adjustRightInd w:val="0"/>
              <w:jc w:val="center"/>
              <w:rPr>
                <w:rFonts w:ascii="Arial Narrow" w:hAnsi="Arial Narrow"/>
                <w:sz w:val="20"/>
                <w:szCs w:val="20"/>
                <w:lang w:eastAsia="zh-CN"/>
              </w:rPr>
            </w:pPr>
            <w:r w:rsidRPr="00D34003">
              <w:rPr>
                <w:rFonts w:ascii="Arial Narrow" w:hAnsi="Arial Narrow"/>
                <w:sz w:val="20"/>
                <w:szCs w:val="20"/>
              </w:rPr>
              <w:t>462</w:t>
            </w:r>
          </w:p>
        </w:tc>
        <w:tc>
          <w:tcPr>
            <w:tcW w:w="567" w:type="dxa"/>
            <w:hideMark/>
          </w:tcPr>
          <w:p w:rsidR="00E36B42" w:rsidRPr="00D34003" w:rsidRDefault="00E36B42" w:rsidP="00753250">
            <w:pPr>
              <w:autoSpaceDE w:val="0"/>
              <w:autoSpaceDN w:val="0"/>
              <w:adjustRightInd w:val="0"/>
              <w:jc w:val="center"/>
              <w:rPr>
                <w:rFonts w:ascii="Arial Narrow" w:hAnsi="Arial Narrow"/>
                <w:sz w:val="20"/>
                <w:szCs w:val="20"/>
                <w:lang w:eastAsia="zh-CN"/>
              </w:rPr>
            </w:pPr>
            <w:r w:rsidRPr="00D34003">
              <w:rPr>
                <w:rFonts w:ascii="Arial Narrow" w:hAnsi="Arial Narrow"/>
                <w:sz w:val="20"/>
                <w:szCs w:val="20"/>
              </w:rPr>
              <w:t>1621</w:t>
            </w:r>
          </w:p>
        </w:tc>
        <w:tc>
          <w:tcPr>
            <w:tcW w:w="993" w:type="dxa"/>
            <w:hideMark/>
          </w:tcPr>
          <w:p w:rsidR="00E36B42" w:rsidRPr="00504C28" w:rsidRDefault="00504C28" w:rsidP="00753250">
            <w:pPr>
              <w:autoSpaceDE w:val="0"/>
              <w:autoSpaceDN w:val="0"/>
              <w:adjustRightInd w:val="0"/>
              <w:jc w:val="center"/>
              <w:rPr>
                <w:rFonts w:ascii="Arial Narrow" w:hAnsi="Arial Narrow"/>
                <w:b/>
                <w:sz w:val="20"/>
                <w:szCs w:val="20"/>
                <w:highlight w:val="black"/>
                <w:lang w:eastAsia="zh-CN"/>
              </w:rPr>
            </w:pPr>
            <w:r>
              <w:rPr>
                <w:rFonts w:ascii="Arial Narrow" w:hAnsi="Arial Narrow"/>
                <w:b/>
                <w:noProof/>
                <w:color w:val="000000"/>
                <w:sz w:val="20"/>
                <w:szCs w:val="20"/>
                <w:highlight w:val="black"/>
              </w:rPr>
              <w:t xml:space="preserve">''''''''''' </w:t>
            </w:r>
          </w:p>
        </w:tc>
        <w:tc>
          <w:tcPr>
            <w:tcW w:w="861" w:type="dxa"/>
            <w:hideMark/>
          </w:tcPr>
          <w:p w:rsidR="00E36B42" w:rsidRPr="00504C28" w:rsidRDefault="00504C28" w:rsidP="00753250">
            <w:pPr>
              <w:autoSpaceDE w:val="0"/>
              <w:autoSpaceDN w:val="0"/>
              <w:adjustRightInd w:val="0"/>
              <w:jc w:val="center"/>
              <w:rPr>
                <w:rFonts w:ascii="Arial Narrow" w:hAnsi="Arial Narrow"/>
                <w:sz w:val="20"/>
                <w:szCs w:val="20"/>
                <w:highlight w:val="black"/>
                <w:lang w:eastAsia="zh-CN"/>
              </w:rPr>
            </w:pPr>
            <w:r>
              <w:rPr>
                <w:rFonts w:ascii="Arial Narrow" w:hAnsi="Arial Narrow"/>
                <w:noProof/>
                <w:color w:val="000000"/>
                <w:sz w:val="20"/>
                <w:szCs w:val="20"/>
                <w:highlight w:val="black"/>
              </w:rPr>
              <w:t xml:space="preserve">'''''''''''''' </w:t>
            </w:r>
          </w:p>
        </w:tc>
        <w:tc>
          <w:tcPr>
            <w:tcW w:w="2682"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w:t>
            </w:r>
            <w:r w:rsidR="00504C28">
              <w:rPr>
                <w:rFonts w:ascii="Arial Narrow" w:hAnsi="Arial Narrow"/>
                <w:b/>
                <w:noProof/>
                <w:color w:val="000000"/>
                <w:sz w:val="20"/>
                <w:szCs w:val="20"/>
                <w:highlight w:val="black"/>
              </w:rPr>
              <w:t>'''''''''''</w:t>
            </w:r>
            <w:r w:rsidRPr="00D34003">
              <w:rPr>
                <w:rFonts w:ascii="Arial Narrow" w:hAnsi="Arial Narrow"/>
                <w:b/>
                <w:sz w:val="20"/>
                <w:szCs w:val="20"/>
              </w:rPr>
              <w:t xml:space="preserve">, </w:t>
            </w:r>
            <w:r w:rsidR="00504C28">
              <w:rPr>
                <w:rFonts w:ascii="Arial Narrow" w:hAnsi="Arial Narrow"/>
                <w:b/>
                <w:noProof/>
                <w:color w:val="000000"/>
                <w:sz w:val="20"/>
                <w:szCs w:val="20"/>
                <w:highlight w:val="black"/>
              </w:rPr>
              <w:t>''''''''''''</w:t>
            </w:r>
            <w:r w:rsidRPr="00D34003">
              <w:rPr>
                <w:rFonts w:ascii="Arial Narrow" w:hAnsi="Arial Narrow"/>
                <w:b/>
                <w:sz w:val="20"/>
                <w:szCs w:val="20"/>
              </w:rPr>
              <w:t xml:space="preserve">)  </w:t>
            </w:r>
          </w:p>
        </w:tc>
      </w:tr>
      <w:tr w:rsidR="00E36B42" w:rsidRPr="00D34003" w:rsidTr="00753250">
        <w:tc>
          <w:tcPr>
            <w:tcW w:w="2835" w:type="dxa"/>
          </w:tcPr>
          <w:p w:rsidR="00E36B42" w:rsidRPr="00D34003" w:rsidRDefault="00E36B42" w:rsidP="00126619">
            <w:pPr>
              <w:autoSpaceDE w:val="0"/>
              <w:autoSpaceDN w:val="0"/>
              <w:adjustRightInd w:val="0"/>
              <w:ind w:left="289"/>
              <w:rPr>
                <w:rFonts w:ascii="Arial Narrow" w:hAnsi="Arial Narrow"/>
                <w:b/>
                <w:sz w:val="20"/>
                <w:szCs w:val="20"/>
              </w:rPr>
            </w:pPr>
            <w:r w:rsidRPr="00D34003">
              <w:rPr>
                <w:rFonts w:ascii="Arial Narrow" w:hAnsi="Arial Narrow"/>
                <w:b/>
                <w:sz w:val="20"/>
                <w:szCs w:val="20"/>
              </w:rPr>
              <w:t xml:space="preserve">On treatment </w:t>
            </w:r>
          </w:p>
        </w:tc>
        <w:tc>
          <w:tcPr>
            <w:tcW w:w="1134" w:type="dxa"/>
            <w:hideMark/>
          </w:tcPr>
          <w:p w:rsidR="00E36B42" w:rsidRPr="00D34003" w:rsidRDefault="00E36B42" w:rsidP="00753250">
            <w:pPr>
              <w:autoSpaceDE w:val="0"/>
              <w:autoSpaceDN w:val="0"/>
              <w:adjustRightInd w:val="0"/>
              <w:jc w:val="center"/>
              <w:rPr>
                <w:rFonts w:ascii="Arial Narrow" w:hAnsi="Arial Narrow"/>
                <w:sz w:val="20"/>
                <w:szCs w:val="20"/>
                <w:lang w:eastAsia="zh-CN"/>
              </w:rPr>
            </w:pPr>
            <w:r w:rsidRPr="00D34003">
              <w:rPr>
                <w:rFonts w:ascii="Arial Narrow" w:hAnsi="Arial Narrow"/>
                <w:sz w:val="20"/>
                <w:szCs w:val="20"/>
              </w:rPr>
              <w:t>441</w:t>
            </w:r>
          </w:p>
        </w:tc>
        <w:tc>
          <w:tcPr>
            <w:tcW w:w="567" w:type="dxa"/>
            <w:hideMark/>
          </w:tcPr>
          <w:p w:rsidR="00E36B42" w:rsidRPr="00D34003" w:rsidRDefault="00E36B42" w:rsidP="00753250">
            <w:pPr>
              <w:autoSpaceDE w:val="0"/>
              <w:autoSpaceDN w:val="0"/>
              <w:adjustRightInd w:val="0"/>
              <w:jc w:val="center"/>
              <w:rPr>
                <w:rFonts w:ascii="Arial Narrow" w:hAnsi="Arial Narrow"/>
                <w:sz w:val="20"/>
                <w:szCs w:val="20"/>
                <w:lang w:eastAsia="zh-CN"/>
              </w:rPr>
            </w:pPr>
            <w:r w:rsidRPr="00D34003">
              <w:rPr>
                <w:rFonts w:ascii="Arial Narrow" w:hAnsi="Arial Narrow"/>
                <w:sz w:val="20"/>
                <w:szCs w:val="20"/>
              </w:rPr>
              <w:t>1503</w:t>
            </w:r>
          </w:p>
        </w:tc>
        <w:tc>
          <w:tcPr>
            <w:tcW w:w="993" w:type="dxa"/>
            <w:hideMark/>
          </w:tcPr>
          <w:p w:rsidR="00E36B42" w:rsidRPr="00504C28" w:rsidRDefault="00504C28" w:rsidP="00753250">
            <w:pPr>
              <w:autoSpaceDE w:val="0"/>
              <w:autoSpaceDN w:val="0"/>
              <w:adjustRightInd w:val="0"/>
              <w:jc w:val="center"/>
              <w:rPr>
                <w:rFonts w:ascii="Arial Narrow" w:hAnsi="Arial Narrow"/>
                <w:b/>
                <w:sz w:val="20"/>
                <w:szCs w:val="20"/>
                <w:highlight w:val="black"/>
                <w:lang w:eastAsia="zh-CN"/>
              </w:rPr>
            </w:pPr>
            <w:r>
              <w:rPr>
                <w:rFonts w:ascii="Arial Narrow" w:hAnsi="Arial Narrow"/>
                <w:b/>
                <w:noProof/>
                <w:color w:val="000000"/>
                <w:sz w:val="20"/>
                <w:szCs w:val="20"/>
                <w:highlight w:val="black"/>
              </w:rPr>
              <w:t xml:space="preserve">'''''''''' </w:t>
            </w:r>
          </w:p>
        </w:tc>
        <w:tc>
          <w:tcPr>
            <w:tcW w:w="861" w:type="dxa"/>
            <w:hideMark/>
          </w:tcPr>
          <w:p w:rsidR="00E36B42" w:rsidRPr="00504C28" w:rsidRDefault="00504C28" w:rsidP="00753250">
            <w:pPr>
              <w:autoSpaceDE w:val="0"/>
              <w:autoSpaceDN w:val="0"/>
              <w:adjustRightInd w:val="0"/>
              <w:jc w:val="center"/>
              <w:rPr>
                <w:rFonts w:ascii="Arial Narrow" w:hAnsi="Arial Narrow"/>
                <w:sz w:val="20"/>
                <w:szCs w:val="20"/>
                <w:highlight w:val="black"/>
                <w:lang w:eastAsia="zh-CN"/>
              </w:rPr>
            </w:pPr>
            <w:r>
              <w:rPr>
                <w:rFonts w:ascii="Arial Narrow" w:hAnsi="Arial Narrow"/>
                <w:noProof/>
                <w:color w:val="000000"/>
                <w:sz w:val="20"/>
                <w:szCs w:val="20"/>
                <w:highlight w:val="black"/>
              </w:rPr>
              <w:t xml:space="preserve">''''''''''''' </w:t>
            </w:r>
          </w:p>
        </w:tc>
        <w:tc>
          <w:tcPr>
            <w:tcW w:w="2682"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w:t>
            </w:r>
            <w:r w:rsidR="00504C28">
              <w:rPr>
                <w:rFonts w:ascii="Arial Narrow" w:hAnsi="Arial Narrow"/>
                <w:b/>
                <w:noProof/>
                <w:color w:val="000000"/>
                <w:sz w:val="20"/>
                <w:szCs w:val="20"/>
                <w:highlight w:val="black"/>
              </w:rPr>
              <w:t>''''''''''</w:t>
            </w:r>
            <w:r w:rsidRPr="00D34003">
              <w:rPr>
                <w:rFonts w:ascii="Arial Narrow" w:hAnsi="Arial Narrow"/>
                <w:b/>
                <w:sz w:val="20"/>
                <w:szCs w:val="20"/>
              </w:rPr>
              <w:t xml:space="preserve">, </w:t>
            </w:r>
            <w:r w:rsidR="00504C28">
              <w:rPr>
                <w:rFonts w:ascii="Arial Narrow" w:hAnsi="Arial Narrow"/>
                <w:b/>
                <w:noProof/>
                <w:color w:val="000000"/>
                <w:sz w:val="20"/>
                <w:szCs w:val="20"/>
                <w:highlight w:val="black"/>
              </w:rPr>
              <w:t>'''''''''''</w:t>
            </w:r>
            <w:r w:rsidRPr="00D34003">
              <w:rPr>
                <w:rFonts w:ascii="Arial Narrow" w:hAnsi="Arial Narrow"/>
                <w:b/>
                <w:sz w:val="20"/>
                <w:szCs w:val="20"/>
              </w:rPr>
              <w:t xml:space="preserve">)  </w:t>
            </w:r>
          </w:p>
        </w:tc>
      </w:tr>
      <w:tr w:rsidR="00E36B42" w:rsidRPr="00D34003" w:rsidTr="00753250">
        <w:trPr>
          <w:trHeight w:val="50"/>
        </w:trPr>
        <w:tc>
          <w:tcPr>
            <w:tcW w:w="2835" w:type="dxa"/>
          </w:tcPr>
          <w:p w:rsidR="00E36B42" w:rsidRPr="00D34003" w:rsidRDefault="00E36B42" w:rsidP="00126619">
            <w:pPr>
              <w:autoSpaceDE w:val="0"/>
              <w:autoSpaceDN w:val="0"/>
              <w:adjustRightInd w:val="0"/>
              <w:ind w:left="289"/>
              <w:rPr>
                <w:rFonts w:ascii="Arial Narrow" w:hAnsi="Arial Narrow"/>
                <w:b/>
                <w:sz w:val="20"/>
                <w:szCs w:val="20"/>
              </w:rPr>
            </w:pPr>
            <w:r w:rsidRPr="00D34003">
              <w:rPr>
                <w:rFonts w:ascii="Arial Narrow" w:hAnsi="Arial Narrow"/>
                <w:b/>
                <w:sz w:val="20"/>
                <w:szCs w:val="20"/>
              </w:rPr>
              <w:t>Off treatment</w:t>
            </w:r>
          </w:p>
        </w:tc>
        <w:tc>
          <w:tcPr>
            <w:tcW w:w="1134" w:type="dxa"/>
            <w:hideMark/>
          </w:tcPr>
          <w:p w:rsidR="00E36B42" w:rsidRPr="00D34003" w:rsidRDefault="00E36B42" w:rsidP="00753250">
            <w:pPr>
              <w:autoSpaceDE w:val="0"/>
              <w:autoSpaceDN w:val="0"/>
              <w:adjustRightInd w:val="0"/>
              <w:jc w:val="center"/>
              <w:rPr>
                <w:rFonts w:ascii="Arial Narrow" w:hAnsi="Arial Narrow"/>
                <w:sz w:val="20"/>
                <w:szCs w:val="20"/>
                <w:lang w:eastAsia="zh-CN"/>
              </w:rPr>
            </w:pPr>
            <w:r w:rsidRPr="00D34003">
              <w:rPr>
                <w:rFonts w:ascii="Arial Narrow" w:hAnsi="Arial Narrow"/>
                <w:sz w:val="20"/>
                <w:szCs w:val="20"/>
              </w:rPr>
              <w:t xml:space="preserve">82 </w:t>
            </w:r>
          </w:p>
        </w:tc>
        <w:tc>
          <w:tcPr>
            <w:tcW w:w="567" w:type="dxa"/>
            <w:hideMark/>
          </w:tcPr>
          <w:p w:rsidR="00E36B42" w:rsidRPr="00D34003" w:rsidRDefault="00E36B42" w:rsidP="00753250">
            <w:pPr>
              <w:autoSpaceDE w:val="0"/>
              <w:autoSpaceDN w:val="0"/>
              <w:adjustRightInd w:val="0"/>
              <w:jc w:val="center"/>
              <w:rPr>
                <w:rFonts w:ascii="Arial Narrow" w:hAnsi="Arial Narrow"/>
                <w:sz w:val="20"/>
                <w:szCs w:val="20"/>
                <w:lang w:eastAsia="zh-CN"/>
              </w:rPr>
            </w:pPr>
            <w:r w:rsidRPr="00D34003">
              <w:rPr>
                <w:rFonts w:ascii="Arial Narrow" w:hAnsi="Arial Narrow"/>
                <w:sz w:val="20"/>
                <w:szCs w:val="20"/>
              </w:rPr>
              <w:t xml:space="preserve">118 </w:t>
            </w:r>
          </w:p>
        </w:tc>
        <w:tc>
          <w:tcPr>
            <w:tcW w:w="993" w:type="dxa"/>
            <w:hideMark/>
          </w:tcPr>
          <w:p w:rsidR="00E36B42" w:rsidRPr="00504C28" w:rsidRDefault="00504C28" w:rsidP="00753250">
            <w:pPr>
              <w:autoSpaceDE w:val="0"/>
              <w:autoSpaceDN w:val="0"/>
              <w:adjustRightInd w:val="0"/>
              <w:jc w:val="center"/>
              <w:rPr>
                <w:rFonts w:ascii="Arial Narrow" w:hAnsi="Arial Narrow"/>
                <w:b/>
                <w:sz w:val="20"/>
                <w:szCs w:val="20"/>
                <w:highlight w:val="black"/>
                <w:lang w:eastAsia="zh-CN"/>
              </w:rPr>
            </w:pPr>
            <w:r>
              <w:rPr>
                <w:rFonts w:ascii="Arial Narrow" w:hAnsi="Arial Narrow"/>
                <w:b/>
                <w:noProof/>
                <w:color w:val="000000"/>
                <w:sz w:val="20"/>
                <w:szCs w:val="20"/>
                <w:highlight w:val="black"/>
              </w:rPr>
              <w:t xml:space="preserve">'''''''''''' </w:t>
            </w:r>
          </w:p>
        </w:tc>
        <w:tc>
          <w:tcPr>
            <w:tcW w:w="861" w:type="dxa"/>
            <w:hideMark/>
          </w:tcPr>
          <w:p w:rsidR="00E36B42" w:rsidRPr="00504C28" w:rsidRDefault="00504C28" w:rsidP="00753250">
            <w:pPr>
              <w:autoSpaceDE w:val="0"/>
              <w:autoSpaceDN w:val="0"/>
              <w:adjustRightInd w:val="0"/>
              <w:jc w:val="center"/>
              <w:rPr>
                <w:rFonts w:ascii="Arial Narrow" w:hAnsi="Arial Narrow"/>
                <w:sz w:val="20"/>
                <w:szCs w:val="20"/>
                <w:highlight w:val="black"/>
                <w:lang w:eastAsia="zh-CN"/>
              </w:rPr>
            </w:pPr>
            <w:r>
              <w:rPr>
                <w:rFonts w:ascii="Arial Narrow" w:hAnsi="Arial Narrow"/>
                <w:noProof/>
                <w:color w:val="000000"/>
                <w:sz w:val="20"/>
                <w:szCs w:val="20"/>
                <w:highlight w:val="black"/>
              </w:rPr>
              <w:t xml:space="preserve">'''''''''''''' </w:t>
            </w:r>
          </w:p>
        </w:tc>
        <w:tc>
          <w:tcPr>
            <w:tcW w:w="2682"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w:t>
            </w:r>
            <w:r w:rsidR="00504C28">
              <w:rPr>
                <w:rFonts w:ascii="Arial Narrow" w:hAnsi="Arial Narrow"/>
                <w:b/>
                <w:noProof/>
                <w:color w:val="000000"/>
                <w:sz w:val="20"/>
                <w:szCs w:val="20"/>
                <w:highlight w:val="black"/>
              </w:rPr>
              <w:t>''''''''''''</w:t>
            </w:r>
            <w:r w:rsidRPr="00D34003">
              <w:rPr>
                <w:rFonts w:ascii="Arial Narrow" w:hAnsi="Arial Narrow"/>
                <w:b/>
                <w:sz w:val="20"/>
                <w:szCs w:val="20"/>
              </w:rPr>
              <w:t>,</w:t>
            </w:r>
            <w:r w:rsidR="00504C28">
              <w:rPr>
                <w:rFonts w:ascii="Arial Narrow" w:hAnsi="Arial Narrow"/>
                <w:b/>
                <w:noProof/>
                <w:color w:val="000000"/>
                <w:sz w:val="20"/>
                <w:szCs w:val="20"/>
                <w:highlight w:val="black"/>
              </w:rPr>
              <w:t xml:space="preserve"> ''''''''''</w:t>
            </w:r>
            <w:r w:rsidRPr="00D34003">
              <w:rPr>
                <w:rFonts w:ascii="Arial Narrow" w:hAnsi="Arial Narrow"/>
                <w:b/>
                <w:sz w:val="20"/>
                <w:szCs w:val="20"/>
              </w:rPr>
              <w:t xml:space="preserve">)  </w:t>
            </w:r>
          </w:p>
        </w:tc>
      </w:tr>
      <w:tr w:rsidR="00E36B42" w:rsidRPr="00D34003" w:rsidTr="00753250">
        <w:tc>
          <w:tcPr>
            <w:tcW w:w="2835" w:type="dxa"/>
          </w:tcPr>
          <w:p w:rsidR="00E36B42" w:rsidRPr="00D34003" w:rsidRDefault="00E36B42" w:rsidP="00680B5F">
            <w:pPr>
              <w:autoSpaceDE w:val="0"/>
              <w:autoSpaceDN w:val="0"/>
              <w:adjustRightInd w:val="0"/>
              <w:rPr>
                <w:rFonts w:ascii="Arial Narrow" w:hAnsi="Arial Narrow"/>
                <w:b/>
                <w:sz w:val="20"/>
                <w:szCs w:val="20"/>
              </w:rPr>
            </w:pPr>
            <w:r w:rsidRPr="00D34003">
              <w:rPr>
                <w:rFonts w:ascii="Arial Narrow" w:hAnsi="Arial Narrow"/>
                <w:b/>
                <w:sz w:val="20"/>
                <w:szCs w:val="20"/>
              </w:rPr>
              <w:t xml:space="preserve"> Progressive </w:t>
            </w:r>
          </w:p>
        </w:tc>
        <w:tc>
          <w:tcPr>
            <w:tcW w:w="1134" w:type="dxa"/>
            <w:hideMark/>
          </w:tcPr>
          <w:p w:rsidR="00E36B42" w:rsidRPr="00D34003" w:rsidRDefault="00E36B42" w:rsidP="00753250">
            <w:pPr>
              <w:autoSpaceDE w:val="0"/>
              <w:autoSpaceDN w:val="0"/>
              <w:adjustRightInd w:val="0"/>
              <w:jc w:val="center"/>
              <w:rPr>
                <w:rFonts w:ascii="Arial Narrow" w:hAnsi="Arial Narrow"/>
                <w:sz w:val="20"/>
                <w:szCs w:val="20"/>
                <w:lang w:eastAsia="zh-CN"/>
              </w:rPr>
            </w:pPr>
            <w:r w:rsidRPr="00D34003">
              <w:rPr>
                <w:rFonts w:ascii="Arial Narrow" w:hAnsi="Arial Narrow"/>
                <w:sz w:val="20"/>
                <w:szCs w:val="20"/>
              </w:rPr>
              <w:t>320</w:t>
            </w:r>
          </w:p>
        </w:tc>
        <w:tc>
          <w:tcPr>
            <w:tcW w:w="567" w:type="dxa"/>
            <w:hideMark/>
          </w:tcPr>
          <w:p w:rsidR="00E36B42" w:rsidRPr="00D34003" w:rsidRDefault="00E36B42" w:rsidP="00753250">
            <w:pPr>
              <w:autoSpaceDE w:val="0"/>
              <w:autoSpaceDN w:val="0"/>
              <w:adjustRightInd w:val="0"/>
              <w:jc w:val="center"/>
              <w:rPr>
                <w:rFonts w:ascii="Arial Narrow" w:hAnsi="Arial Narrow"/>
                <w:sz w:val="20"/>
                <w:szCs w:val="20"/>
                <w:lang w:eastAsia="zh-CN"/>
              </w:rPr>
            </w:pPr>
            <w:r w:rsidRPr="00D34003">
              <w:rPr>
                <w:rFonts w:ascii="Arial Narrow" w:hAnsi="Arial Narrow"/>
                <w:sz w:val="20"/>
                <w:szCs w:val="20"/>
              </w:rPr>
              <w:t xml:space="preserve">742 </w:t>
            </w:r>
          </w:p>
        </w:tc>
        <w:tc>
          <w:tcPr>
            <w:tcW w:w="993" w:type="dxa"/>
            <w:hideMark/>
          </w:tcPr>
          <w:p w:rsidR="00E36B42" w:rsidRPr="00504C28" w:rsidRDefault="00504C28" w:rsidP="00753250">
            <w:pPr>
              <w:autoSpaceDE w:val="0"/>
              <w:autoSpaceDN w:val="0"/>
              <w:adjustRightInd w:val="0"/>
              <w:jc w:val="center"/>
              <w:rPr>
                <w:rFonts w:ascii="Arial Narrow" w:hAnsi="Arial Narrow"/>
                <w:b/>
                <w:sz w:val="20"/>
                <w:szCs w:val="20"/>
                <w:highlight w:val="black"/>
                <w:lang w:eastAsia="zh-CN"/>
              </w:rPr>
            </w:pPr>
            <w:r>
              <w:rPr>
                <w:rFonts w:ascii="Arial Narrow" w:hAnsi="Arial Narrow"/>
                <w:b/>
                <w:noProof/>
                <w:color w:val="000000"/>
                <w:sz w:val="20"/>
                <w:szCs w:val="20"/>
                <w:highlight w:val="black"/>
              </w:rPr>
              <w:t xml:space="preserve">'''''''''''' </w:t>
            </w:r>
          </w:p>
        </w:tc>
        <w:tc>
          <w:tcPr>
            <w:tcW w:w="861" w:type="dxa"/>
            <w:hideMark/>
          </w:tcPr>
          <w:p w:rsidR="00E36B42" w:rsidRPr="00504C28" w:rsidRDefault="00504C28" w:rsidP="00753250">
            <w:pPr>
              <w:autoSpaceDE w:val="0"/>
              <w:autoSpaceDN w:val="0"/>
              <w:adjustRightInd w:val="0"/>
              <w:jc w:val="center"/>
              <w:rPr>
                <w:rFonts w:ascii="Arial Narrow" w:hAnsi="Arial Narrow"/>
                <w:sz w:val="20"/>
                <w:szCs w:val="20"/>
                <w:highlight w:val="black"/>
                <w:lang w:eastAsia="zh-CN"/>
              </w:rPr>
            </w:pPr>
            <w:r>
              <w:rPr>
                <w:rFonts w:ascii="Arial Narrow" w:hAnsi="Arial Narrow"/>
                <w:noProof/>
                <w:color w:val="000000"/>
                <w:sz w:val="20"/>
                <w:szCs w:val="20"/>
                <w:highlight w:val="black"/>
              </w:rPr>
              <w:t xml:space="preserve">'''''''''''''' </w:t>
            </w:r>
          </w:p>
        </w:tc>
        <w:tc>
          <w:tcPr>
            <w:tcW w:w="2682" w:type="dxa"/>
            <w:hideMark/>
          </w:tcPr>
          <w:p w:rsidR="00E36B42" w:rsidRPr="00D34003" w:rsidRDefault="00E36B42" w:rsidP="00753250">
            <w:pPr>
              <w:autoSpaceDE w:val="0"/>
              <w:autoSpaceDN w:val="0"/>
              <w:adjustRightInd w:val="0"/>
              <w:jc w:val="center"/>
              <w:rPr>
                <w:rFonts w:ascii="Arial Narrow" w:hAnsi="Arial Narrow"/>
                <w:b/>
                <w:sz w:val="20"/>
                <w:szCs w:val="20"/>
                <w:lang w:eastAsia="zh-CN"/>
              </w:rPr>
            </w:pPr>
            <w:r w:rsidRPr="00D34003">
              <w:rPr>
                <w:rFonts w:ascii="Arial Narrow" w:hAnsi="Arial Narrow"/>
                <w:b/>
                <w:sz w:val="20"/>
                <w:szCs w:val="20"/>
              </w:rPr>
              <w:t>(</w:t>
            </w:r>
            <w:r w:rsidR="00504C28">
              <w:rPr>
                <w:rFonts w:ascii="Arial Narrow" w:hAnsi="Arial Narrow"/>
                <w:b/>
                <w:noProof/>
                <w:color w:val="000000"/>
                <w:sz w:val="20"/>
                <w:szCs w:val="20"/>
                <w:highlight w:val="black"/>
              </w:rPr>
              <w:t>''''''''''''</w:t>
            </w:r>
            <w:r w:rsidRPr="00D34003">
              <w:rPr>
                <w:rFonts w:ascii="Arial Narrow" w:hAnsi="Arial Narrow"/>
                <w:b/>
                <w:sz w:val="20"/>
                <w:szCs w:val="20"/>
              </w:rPr>
              <w:t xml:space="preserve">, </w:t>
            </w:r>
            <w:r w:rsidR="00504C28">
              <w:rPr>
                <w:rFonts w:ascii="Arial Narrow" w:hAnsi="Arial Narrow"/>
                <w:b/>
                <w:noProof/>
                <w:color w:val="000000"/>
                <w:sz w:val="20"/>
                <w:szCs w:val="20"/>
                <w:highlight w:val="black"/>
              </w:rPr>
              <w:t>''''''''''''</w:t>
            </w:r>
            <w:r w:rsidRPr="00D34003">
              <w:rPr>
                <w:rFonts w:ascii="Arial Narrow" w:hAnsi="Arial Narrow"/>
                <w:b/>
                <w:sz w:val="20"/>
                <w:szCs w:val="20"/>
              </w:rPr>
              <w:t xml:space="preserve">)  </w:t>
            </w:r>
          </w:p>
        </w:tc>
      </w:tr>
    </w:tbl>
    <w:p w:rsidR="00E36B42" w:rsidRPr="00D34003" w:rsidRDefault="00E36B42" w:rsidP="00E36B42">
      <w:pPr>
        <w:pStyle w:val="TableFooter"/>
      </w:pPr>
      <w:r w:rsidRPr="00D34003">
        <w:t xml:space="preserve">Abbreviations: CI = confidence interval; EQ-5D = </w:t>
      </w:r>
      <w:proofErr w:type="spellStart"/>
      <w:r w:rsidRPr="00D34003">
        <w:t>EuroQol</w:t>
      </w:r>
      <w:proofErr w:type="spellEnd"/>
      <w:r w:rsidRPr="00D34003">
        <w:t xml:space="preserve"> five-dimensions; SE = standard error.</w:t>
      </w:r>
    </w:p>
    <w:p w:rsidR="00E36B42" w:rsidRPr="00D34003" w:rsidRDefault="00E36B42" w:rsidP="00E36B42">
      <w:pPr>
        <w:pStyle w:val="TableFooter"/>
      </w:pPr>
      <w:r w:rsidRPr="00D34003">
        <w:t xml:space="preserve">Source: Table 5, </w:t>
      </w:r>
      <w:proofErr w:type="spellStart"/>
      <w:r w:rsidRPr="00D34003">
        <w:t>Att</w:t>
      </w:r>
      <w:proofErr w:type="spellEnd"/>
      <w:r w:rsidRPr="00D34003">
        <w:t xml:space="preserve"> 10 of the </w:t>
      </w:r>
      <w:r w:rsidR="002D70ED" w:rsidRPr="00D34003">
        <w:t>re</w:t>
      </w:r>
      <w:r w:rsidRPr="00D34003">
        <w:t>submission. † n=Number of patients with non-missing EQ-5D score ‡ n=Number of records with non-missing EQ-5D score. EQ-5D score during baseline is not included</w:t>
      </w:r>
    </w:p>
    <w:p w:rsidR="00E36B42" w:rsidRPr="00D34003" w:rsidRDefault="00E36B42" w:rsidP="00E36B42">
      <w:pPr>
        <w:pStyle w:val="TableFooter"/>
      </w:pPr>
      <w:r w:rsidRPr="00D34003">
        <w:t xml:space="preserve">Note: bold text indicates statistical significant differences. </w:t>
      </w:r>
    </w:p>
    <w:p w:rsidR="00E36B42" w:rsidRPr="00D34003" w:rsidRDefault="00E36B42" w:rsidP="00E36B42">
      <w:pPr>
        <w:widowControl/>
      </w:pPr>
    </w:p>
    <w:p w:rsidR="00706810" w:rsidRPr="00D34003" w:rsidRDefault="00E36B42" w:rsidP="00777891">
      <w:pPr>
        <w:pStyle w:val="ListParagraph"/>
        <w:widowControl/>
        <w:numPr>
          <w:ilvl w:val="1"/>
          <w:numId w:val="1"/>
        </w:numPr>
        <w:spacing w:after="120"/>
      </w:pPr>
      <w:r w:rsidRPr="00D34003">
        <w:t xml:space="preserve">The resubmission included an adjustment for crossover, but lacked important supportive information pertaining </w:t>
      </w:r>
      <w:r w:rsidR="00BA2CD0" w:rsidRPr="00D34003">
        <w:t xml:space="preserve">to </w:t>
      </w:r>
      <w:r w:rsidRPr="00D34003">
        <w:t xml:space="preserve">the crossover method, namely: (1) the baseline characteristics of switchers and non-switchers; (2) the reasons for switching and the number of patients switching for each category; (3) the extent and timing of </w:t>
      </w:r>
      <w:r w:rsidRPr="00D34003">
        <w:lastRenderedPageBreak/>
        <w:t>switching; and (4) a KM curve reflecting the adjusted OS for SOC compared to ITT with the corresponding risk table with information regarding censored patients.</w:t>
      </w:r>
      <w:r w:rsidR="00431054" w:rsidRPr="00D34003">
        <w:t xml:space="preserve"> Thus, </w:t>
      </w:r>
      <w:r w:rsidR="005137D5" w:rsidRPr="00D34003">
        <w:t xml:space="preserve">while </w:t>
      </w:r>
      <w:r w:rsidR="00431054" w:rsidRPr="00D34003">
        <w:t>the selected method for crossover adjustment</w:t>
      </w:r>
      <w:r w:rsidR="005137D5" w:rsidRPr="00D34003">
        <w:t xml:space="preserve"> (the tw</w:t>
      </w:r>
      <w:r w:rsidR="00BB45B8" w:rsidRPr="00D34003">
        <w:t>o</w:t>
      </w:r>
      <w:r w:rsidR="005137D5" w:rsidRPr="00D34003">
        <w:t>-stage approach)</w:t>
      </w:r>
      <w:r w:rsidR="00431054" w:rsidRPr="00D34003">
        <w:t xml:space="preserve"> was likely to be </w:t>
      </w:r>
      <w:r w:rsidR="005137D5" w:rsidRPr="00D34003">
        <w:t xml:space="preserve">appropriate, this was not well justified and could not be </w:t>
      </w:r>
      <w:r w:rsidR="00431054" w:rsidRPr="00D34003">
        <w:t>verified</w:t>
      </w:r>
      <w:r w:rsidR="005137D5" w:rsidRPr="00D34003">
        <w:t xml:space="preserve">. Moreover, the </w:t>
      </w:r>
      <w:r w:rsidR="00A61D64" w:rsidRPr="00D34003">
        <w:t>two</w:t>
      </w:r>
      <w:r w:rsidR="00431054" w:rsidRPr="00D34003">
        <w:t>-stage adjustment</w:t>
      </w:r>
      <w:r w:rsidR="005137D5" w:rsidRPr="00D34003">
        <w:t xml:space="preserve"> </w:t>
      </w:r>
      <w:r w:rsidR="00431054" w:rsidRPr="00D34003">
        <w:t>yielded the best result for effectiveness</w:t>
      </w:r>
      <w:r w:rsidR="005137D5" w:rsidRPr="00D34003">
        <w:t xml:space="preserve"> for pembrolizumab and produced the most favourable </w:t>
      </w:r>
      <w:r w:rsidR="00431054" w:rsidRPr="00D34003">
        <w:t xml:space="preserve">ICER </w:t>
      </w:r>
      <w:r w:rsidR="005137D5" w:rsidRPr="00D34003">
        <w:t>relative to the other approaches.</w:t>
      </w:r>
      <w:r w:rsidR="00260AE9" w:rsidRPr="00D34003">
        <w:t xml:space="preserve"> </w:t>
      </w:r>
    </w:p>
    <w:p w:rsidR="00706810" w:rsidRPr="00683C6F" w:rsidRDefault="00706810" w:rsidP="00680C1E">
      <w:pPr>
        <w:pStyle w:val="Heading2"/>
        <w:spacing w:after="120"/>
      </w:pPr>
      <w:bookmarkStart w:id="17" w:name="_Toc511305029"/>
      <w:bookmarkStart w:id="18" w:name="_Toc514243671"/>
      <w:r w:rsidRPr="00683C6F">
        <w:t>Comparative harms</w:t>
      </w:r>
      <w:bookmarkEnd w:id="17"/>
      <w:bookmarkEnd w:id="18"/>
    </w:p>
    <w:p w:rsidR="00706810" w:rsidRPr="00D34003" w:rsidRDefault="00706810" w:rsidP="007A7E9A">
      <w:pPr>
        <w:pStyle w:val="ListParagraph"/>
        <w:widowControl/>
        <w:numPr>
          <w:ilvl w:val="1"/>
          <w:numId w:val="1"/>
        </w:numPr>
        <w:spacing w:after="120"/>
      </w:pPr>
      <w:r w:rsidRPr="00D34003">
        <w:t>The extended assessment of comparative harms (data cut-off 4</w:t>
      </w:r>
      <w:r w:rsidRPr="00D34003">
        <w:rPr>
          <w:vertAlign w:val="superscript"/>
        </w:rPr>
        <w:t>th</w:t>
      </w:r>
      <w:r w:rsidRPr="00D34003">
        <w:t xml:space="preserve"> Mar</w:t>
      </w:r>
      <w:r w:rsidR="00A3109D" w:rsidRPr="00D34003">
        <w:t>ch</w:t>
      </w:r>
      <w:r w:rsidRPr="00D34003">
        <w:t xml:space="preserve"> 2017 to 3</w:t>
      </w:r>
      <w:r w:rsidRPr="00D34003">
        <w:rPr>
          <w:vertAlign w:val="superscript"/>
        </w:rPr>
        <w:t>rd</w:t>
      </w:r>
      <w:r w:rsidRPr="00D34003">
        <w:t xml:space="preserve"> Sep</w:t>
      </w:r>
      <w:r w:rsidR="00A3109D" w:rsidRPr="00D34003">
        <w:t>tember</w:t>
      </w:r>
      <w:r w:rsidRPr="00D34003">
        <w:t xml:space="preserve"> 2017) did not identify any new safety signals and </w:t>
      </w:r>
      <w:r w:rsidR="008B522E" w:rsidRPr="00D34003">
        <w:t xml:space="preserve">the </w:t>
      </w:r>
      <w:r w:rsidRPr="00D34003">
        <w:t>overall conclusion of superior safety for pembrolizumab remains unchanged</w:t>
      </w:r>
      <w:r w:rsidR="008B522E" w:rsidRPr="00D34003">
        <w:t xml:space="preserve"> as per the November 2017 submission</w:t>
      </w:r>
      <w:r w:rsidRPr="00D34003">
        <w:t>. The total number of adverse events</w:t>
      </w:r>
      <w:r w:rsidR="002E04F0" w:rsidRPr="00D34003">
        <w:t xml:space="preserve"> (AEs)</w:t>
      </w:r>
      <w:r w:rsidRPr="00D34003">
        <w:t xml:space="preserve">, treatment related AEs, and AEs leading to discontinuation were all higher in the SOC group than the pembrolizumab group (see Table </w:t>
      </w:r>
      <w:r w:rsidR="00884669" w:rsidRPr="00D34003">
        <w:t>9</w:t>
      </w:r>
      <w:r w:rsidRPr="00D34003">
        <w:t xml:space="preserve">). </w:t>
      </w:r>
      <w:r w:rsidR="00AF3879" w:rsidRPr="00D34003">
        <w:t>The TGA Clinical Evaluation Report noted this favourable safety profile of pembrolizumab</w:t>
      </w:r>
      <w:r w:rsidRPr="00D34003">
        <w:t>, the consumer comments submitted to the PBAC and by the PBAC at the November 2017 meeting (</w:t>
      </w:r>
      <w:r w:rsidR="00BF37D5" w:rsidRPr="00D34003">
        <w:t>pembrolizumab PSD</w:t>
      </w:r>
      <w:r w:rsidRPr="00D34003">
        <w:t>, Nov</w:t>
      </w:r>
      <w:r w:rsidR="00E82FF5" w:rsidRPr="00D34003">
        <w:t>ember</w:t>
      </w:r>
      <w:r w:rsidRPr="00D34003">
        <w:t xml:space="preserve"> 2017, point</w:t>
      </w:r>
      <w:r w:rsidR="0034238E" w:rsidRPr="00D34003">
        <w:t>s 7.2 and</w:t>
      </w:r>
      <w:r w:rsidRPr="00D34003">
        <w:t xml:space="preserve"> 7.7)</w:t>
      </w:r>
      <w:r w:rsidR="008B522E" w:rsidRPr="00D34003">
        <w:t>.</w:t>
      </w:r>
    </w:p>
    <w:p w:rsidR="00706810" w:rsidRPr="00D34003" w:rsidRDefault="00706810" w:rsidP="00265CD0">
      <w:pPr>
        <w:pStyle w:val="ListParagraph"/>
        <w:keepNext/>
        <w:spacing w:after="0"/>
        <w:ind w:left="0"/>
        <w:rPr>
          <w:rStyle w:val="CommentReference"/>
        </w:rPr>
      </w:pPr>
      <w:r w:rsidRPr="00D34003">
        <w:rPr>
          <w:rStyle w:val="CommentReference"/>
        </w:rPr>
        <w:t xml:space="preserve">Table </w:t>
      </w:r>
      <w:r w:rsidR="00884669" w:rsidRPr="00D34003">
        <w:rPr>
          <w:rStyle w:val="CommentReference"/>
        </w:rPr>
        <w:t>9</w:t>
      </w:r>
      <w:r w:rsidR="00525FEA" w:rsidRPr="00D34003">
        <w:rPr>
          <w:rStyle w:val="CommentReference"/>
        </w:rPr>
        <w:t xml:space="preserve">: </w:t>
      </w:r>
      <w:r w:rsidRPr="00D34003">
        <w:rPr>
          <w:rStyle w:val="CommentReference"/>
        </w:rPr>
        <w:t>Summary of key adverse events in the trials</w:t>
      </w:r>
    </w:p>
    <w:tbl>
      <w:tblPr>
        <w:tblStyle w:val="TableGrid22"/>
        <w:tblW w:w="9283" w:type="dxa"/>
        <w:tblLook w:val="04A0" w:firstRow="1" w:lastRow="0" w:firstColumn="1" w:lastColumn="0" w:noHBand="0" w:noVBand="1"/>
        <w:tblCaption w:val="Table 9: Summary of key adverse events in the trials"/>
      </w:tblPr>
      <w:tblGrid>
        <w:gridCol w:w="2547"/>
        <w:gridCol w:w="1701"/>
        <w:gridCol w:w="1684"/>
        <w:gridCol w:w="1576"/>
        <w:gridCol w:w="1775"/>
      </w:tblGrid>
      <w:tr w:rsidR="00706810" w:rsidRPr="00D34003" w:rsidTr="00126619">
        <w:trPr>
          <w:trHeight w:val="465"/>
          <w:tblHeader/>
        </w:trPr>
        <w:tc>
          <w:tcPr>
            <w:tcW w:w="2547" w:type="dxa"/>
          </w:tcPr>
          <w:p w:rsidR="00706810" w:rsidRPr="00D34003" w:rsidRDefault="00706810" w:rsidP="006F2DEF">
            <w:pPr>
              <w:keepNext/>
              <w:jc w:val="left"/>
              <w:rPr>
                <w:rFonts w:ascii="Arial Narrow" w:hAnsi="Arial Narrow"/>
                <w:b/>
                <w:sz w:val="20"/>
              </w:rPr>
            </w:pPr>
            <w:r w:rsidRPr="00D34003">
              <w:rPr>
                <w:rFonts w:ascii="Arial Narrow" w:hAnsi="Arial Narrow"/>
                <w:b/>
                <w:sz w:val="20"/>
              </w:rPr>
              <w:t>Trial ID</w:t>
            </w:r>
          </w:p>
        </w:tc>
        <w:tc>
          <w:tcPr>
            <w:tcW w:w="1701" w:type="dxa"/>
          </w:tcPr>
          <w:p w:rsidR="00706810" w:rsidRPr="00D34003" w:rsidRDefault="00706810" w:rsidP="005137D5">
            <w:pPr>
              <w:keepNext/>
              <w:jc w:val="center"/>
              <w:rPr>
                <w:rFonts w:ascii="Arial Narrow" w:hAnsi="Arial Narrow"/>
                <w:b/>
                <w:sz w:val="20"/>
                <w:vertAlign w:val="superscript"/>
              </w:rPr>
            </w:pPr>
            <w:r w:rsidRPr="00D34003">
              <w:rPr>
                <w:rFonts w:ascii="Arial Narrow" w:hAnsi="Arial Narrow"/>
                <w:b/>
                <w:sz w:val="20"/>
              </w:rPr>
              <w:t>Pembrolizumab</w:t>
            </w:r>
          </w:p>
          <w:p w:rsidR="00706810" w:rsidRPr="00D34003" w:rsidRDefault="00706810" w:rsidP="005137D5">
            <w:pPr>
              <w:keepNext/>
              <w:jc w:val="center"/>
              <w:rPr>
                <w:rFonts w:ascii="Arial Narrow" w:hAnsi="Arial Narrow"/>
                <w:b/>
                <w:sz w:val="20"/>
              </w:rPr>
            </w:pPr>
            <w:proofErr w:type="gramStart"/>
            <w:r w:rsidRPr="00D34003">
              <w:rPr>
                <w:rFonts w:ascii="Arial Narrow" w:hAnsi="Arial Narrow"/>
                <w:b/>
                <w:sz w:val="20"/>
              </w:rPr>
              <w:t>n/N</w:t>
            </w:r>
            <w:proofErr w:type="gramEnd"/>
            <w:r w:rsidRPr="00D34003">
              <w:rPr>
                <w:rFonts w:ascii="Arial Narrow" w:hAnsi="Arial Narrow"/>
                <w:b/>
                <w:sz w:val="20"/>
              </w:rPr>
              <w:t xml:space="preserve"> with event (%)</w:t>
            </w:r>
          </w:p>
        </w:tc>
        <w:tc>
          <w:tcPr>
            <w:tcW w:w="1684" w:type="dxa"/>
          </w:tcPr>
          <w:p w:rsidR="00706810" w:rsidRPr="00D34003" w:rsidRDefault="00706810" w:rsidP="005137D5">
            <w:pPr>
              <w:keepNext/>
              <w:jc w:val="center"/>
              <w:rPr>
                <w:rFonts w:ascii="Arial Narrow" w:hAnsi="Arial Narrow"/>
                <w:b/>
                <w:sz w:val="20"/>
              </w:rPr>
            </w:pPr>
            <w:r w:rsidRPr="00D34003">
              <w:rPr>
                <w:rFonts w:ascii="Arial Narrow" w:hAnsi="Arial Narrow"/>
                <w:b/>
                <w:sz w:val="20"/>
              </w:rPr>
              <w:t>SOC</w:t>
            </w:r>
          </w:p>
          <w:p w:rsidR="00706810" w:rsidRPr="00D34003" w:rsidRDefault="00706810" w:rsidP="005137D5">
            <w:pPr>
              <w:keepNext/>
              <w:jc w:val="center"/>
              <w:rPr>
                <w:rFonts w:ascii="Arial Narrow" w:hAnsi="Arial Narrow"/>
                <w:b/>
                <w:sz w:val="20"/>
              </w:rPr>
            </w:pPr>
            <w:proofErr w:type="gramStart"/>
            <w:r w:rsidRPr="00D34003">
              <w:rPr>
                <w:rFonts w:ascii="Arial Narrow" w:hAnsi="Arial Narrow"/>
                <w:b/>
                <w:sz w:val="20"/>
              </w:rPr>
              <w:t>n/N</w:t>
            </w:r>
            <w:proofErr w:type="gramEnd"/>
            <w:r w:rsidRPr="00D34003">
              <w:rPr>
                <w:rFonts w:ascii="Arial Narrow" w:hAnsi="Arial Narrow"/>
                <w:b/>
                <w:sz w:val="20"/>
              </w:rPr>
              <w:t xml:space="preserve"> with event (%)</w:t>
            </w:r>
          </w:p>
        </w:tc>
        <w:tc>
          <w:tcPr>
            <w:tcW w:w="1576" w:type="dxa"/>
          </w:tcPr>
          <w:p w:rsidR="00706810" w:rsidRPr="00D34003" w:rsidRDefault="00706810" w:rsidP="005137D5">
            <w:pPr>
              <w:jc w:val="center"/>
              <w:rPr>
                <w:rFonts w:ascii="Arial Narrow" w:hAnsi="Arial Narrow"/>
                <w:b/>
                <w:sz w:val="20"/>
                <w:szCs w:val="20"/>
              </w:rPr>
            </w:pPr>
            <w:r w:rsidRPr="00D34003">
              <w:rPr>
                <w:rFonts w:ascii="Arial Narrow" w:hAnsi="Arial Narrow"/>
                <w:b/>
                <w:sz w:val="20"/>
                <w:szCs w:val="20"/>
              </w:rPr>
              <w:t>Risk difference</w:t>
            </w:r>
          </w:p>
          <w:p w:rsidR="00706810" w:rsidRPr="00D34003" w:rsidRDefault="00706810" w:rsidP="005137D5">
            <w:pPr>
              <w:keepNext/>
              <w:jc w:val="center"/>
              <w:rPr>
                <w:rFonts w:ascii="Arial Narrow" w:hAnsi="Arial Narrow"/>
                <w:b/>
                <w:sz w:val="20"/>
              </w:rPr>
            </w:pPr>
            <w:r w:rsidRPr="00D34003">
              <w:rPr>
                <w:rFonts w:ascii="Arial Narrow" w:hAnsi="Arial Narrow"/>
                <w:b/>
                <w:sz w:val="20"/>
                <w:szCs w:val="20"/>
              </w:rPr>
              <w:t>% (95% CI)</w:t>
            </w:r>
          </w:p>
        </w:tc>
        <w:tc>
          <w:tcPr>
            <w:tcW w:w="1775" w:type="dxa"/>
          </w:tcPr>
          <w:p w:rsidR="00706810" w:rsidRPr="00D34003" w:rsidRDefault="00706810" w:rsidP="005137D5">
            <w:pPr>
              <w:keepNext/>
              <w:jc w:val="center"/>
              <w:rPr>
                <w:rFonts w:ascii="Arial Narrow" w:hAnsi="Arial Narrow"/>
                <w:b/>
                <w:sz w:val="20"/>
              </w:rPr>
            </w:pPr>
            <w:r w:rsidRPr="00D34003">
              <w:rPr>
                <w:rFonts w:ascii="Arial Narrow" w:hAnsi="Arial Narrow"/>
                <w:b/>
                <w:sz w:val="20"/>
              </w:rPr>
              <w:t>Relative risk (95% CI)</w:t>
            </w:r>
          </w:p>
        </w:tc>
      </w:tr>
      <w:tr w:rsidR="00706810" w:rsidRPr="00D34003" w:rsidTr="00B91ED1">
        <w:trPr>
          <w:trHeight w:val="232"/>
        </w:trPr>
        <w:tc>
          <w:tcPr>
            <w:tcW w:w="9283" w:type="dxa"/>
            <w:gridSpan w:val="5"/>
          </w:tcPr>
          <w:p w:rsidR="00706810" w:rsidRPr="00D34003" w:rsidRDefault="00706810" w:rsidP="006F2DEF">
            <w:pPr>
              <w:keepNext/>
              <w:jc w:val="left"/>
              <w:rPr>
                <w:rFonts w:ascii="Arial Narrow" w:hAnsi="Arial Narrow"/>
                <w:sz w:val="20"/>
              </w:rPr>
            </w:pPr>
            <w:r w:rsidRPr="00D34003">
              <w:rPr>
                <w:rFonts w:ascii="Arial Narrow" w:hAnsi="Arial Narrow"/>
                <w:b/>
                <w:sz w:val="20"/>
              </w:rPr>
              <w:t>Database cut-off: March 2017 (November 2017 submission)</w:t>
            </w:r>
          </w:p>
        </w:tc>
      </w:tr>
      <w:tr w:rsidR="00706810" w:rsidRPr="00D34003" w:rsidTr="006F2DEF">
        <w:trPr>
          <w:trHeight w:val="232"/>
        </w:trPr>
        <w:tc>
          <w:tcPr>
            <w:tcW w:w="2547" w:type="dxa"/>
          </w:tcPr>
          <w:p w:rsidR="00706810" w:rsidRPr="00D34003" w:rsidRDefault="00706810" w:rsidP="006F2DEF">
            <w:pPr>
              <w:keepNext/>
              <w:jc w:val="left"/>
              <w:rPr>
                <w:rFonts w:ascii="Arial Narrow" w:hAnsi="Arial Narrow"/>
                <w:sz w:val="20"/>
              </w:rPr>
            </w:pPr>
            <w:r w:rsidRPr="00D34003">
              <w:rPr>
                <w:rFonts w:ascii="Arial Narrow" w:hAnsi="Arial Narrow"/>
                <w:sz w:val="20"/>
              </w:rPr>
              <w:t>Any AE</w:t>
            </w:r>
          </w:p>
        </w:tc>
        <w:tc>
          <w:tcPr>
            <w:tcW w:w="1701" w:type="dxa"/>
          </w:tcPr>
          <w:p w:rsidR="00706810" w:rsidRPr="00D34003" w:rsidRDefault="00706810" w:rsidP="005137D5">
            <w:pPr>
              <w:keepNext/>
              <w:jc w:val="center"/>
              <w:rPr>
                <w:rFonts w:ascii="Arial Narrow" w:hAnsi="Arial Narrow"/>
                <w:sz w:val="20"/>
              </w:rPr>
            </w:pPr>
            <w:r w:rsidRPr="00D34003">
              <w:rPr>
                <w:rFonts w:ascii="Arial Narrow" w:hAnsi="Arial Narrow"/>
                <w:sz w:val="20"/>
              </w:rPr>
              <w:t>248/266 (93.2)</w:t>
            </w:r>
          </w:p>
        </w:tc>
        <w:tc>
          <w:tcPr>
            <w:tcW w:w="1684" w:type="dxa"/>
          </w:tcPr>
          <w:p w:rsidR="00706810" w:rsidRPr="00D34003" w:rsidRDefault="00706810" w:rsidP="005137D5">
            <w:pPr>
              <w:keepNext/>
              <w:jc w:val="center"/>
              <w:rPr>
                <w:rFonts w:ascii="Arial Narrow" w:hAnsi="Arial Narrow"/>
                <w:sz w:val="20"/>
              </w:rPr>
            </w:pPr>
            <w:r w:rsidRPr="00D34003">
              <w:rPr>
                <w:rFonts w:ascii="Arial Narrow" w:hAnsi="Arial Narrow"/>
                <w:sz w:val="20"/>
              </w:rPr>
              <w:t>250/255 (98.0)</w:t>
            </w:r>
          </w:p>
        </w:tc>
        <w:tc>
          <w:tcPr>
            <w:tcW w:w="1576" w:type="dxa"/>
          </w:tcPr>
          <w:p w:rsidR="00706810" w:rsidRPr="008C3862" w:rsidRDefault="00706810" w:rsidP="005137D5">
            <w:pPr>
              <w:keepNext/>
              <w:jc w:val="center"/>
              <w:rPr>
                <w:rFonts w:ascii="Arial Narrow" w:hAnsi="Arial Narrow"/>
                <w:b/>
                <w:sz w:val="20"/>
              </w:rPr>
            </w:pPr>
            <w:r w:rsidRPr="008C3862">
              <w:rPr>
                <w:rFonts w:ascii="Arial Narrow" w:hAnsi="Arial Narrow"/>
                <w:b/>
                <w:sz w:val="20"/>
              </w:rPr>
              <w:t>-4.8% (-8.3, -1.3)</w:t>
            </w:r>
          </w:p>
        </w:tc>
        <w:tc>
          <w:tcPr>
            <w:tcW w:w="1775" w:type="dxa"/>
          </w:tcPr>
          <w:p w:rsidR="00706810" w:rsidRPr="008C3862" w:rsidRDefault="00706810" w:rsidP="005137D5">
            <w:pPr>
              <w:keepNext/>
              <w:jc w:val="center"/>
              <w:rPr>
                <w:rFonts w:ascii="Arial Narrow" w:hAnsi="Arial Narrow"/>
                <w:b/>
                <w:sz w:val="20"/>
              </w:rPr>
            </w:pPr>
            <w:r w:rsidRPr="008C3862">
              <w:rPr>
                <w:rFonts w:ascii="Arial Narrow" w:hAnsi="Arial Narrow"/>
                <w:b/>
                <w:sz w:val="20"/>
              </w:rPr>
              <w:t>0.95 (0.92, 0.99)</w:t>
            </w:r>
          </w:p>
        </w:tc>
      </w:tr>
      <w:tr w:rsidR="00706810" w:rsidRPr="00D34003" w:rsidTr="006F2DEF">
        <w:trPr>
          <w:trHeight w:val="232"/>
        </w:trPr>
        <w:tc>
          <w:tcPr>
            <w:tcW w:w="2547" w:type="dxa"/>
          </w:tcPr>
          <w:p w:rsidR="00706810" w:rsidRPr="00D34003" w:rsidRDefault="00706810" w:rsidP="006F2DEF">
            <w:pPr>
              <w:keepNext/>
              <w:jc w:val="left"/>
              <w:rPr>
                <w:rFonts w:ascii="Arial Narrow" w:hAnsi="Arial Narrow"/>
                <w:sz w:val="20"/>
              </w:rPr>
            </w:pPr>
            <w:r w:rsidRPr="00D34003">
              <w:rPr>
                <w:rFonts w:ascii="Arial Narrow" w:hAnsi="Arial Narrow"/>
                <w:sz w:val="20"/>
              </w:rPr>
              <w:t>Any SAE (≥ Grade 3)</w:t>
            </w:r>
          </w:p>
        </w:tc>
        <w:tc>
          <w:tcPr>
            <w:tcW w:w="1701" w:type="dxa"/>
          </w:tcPr>
          <w:p w:rsidR="00706810" w:rsidRPr="00D34003" w:rsidRDefault="00706810" w:rsidP="005137D5">
            <w:pPr>
              <w:keepNext/>
              <w:jc w:val="center"/>
              <w:rPr>
                <w:rFonts w:ascii="Arial Narrow" w:hAnsi="Arial Narrow"/>
                <w:sz w:val="20"/>
              </w:rPr>
            </w:pPr>
            <w:r w:rsidRPr="00D34003">
              <w:rPr>
                <w:rFonts w:ascii="Arial Narrow" w:hAnsi="Arial Narrow"/>
                <w:sz w:val="20"/>
              </w:rPr>
              <w:t>139/266 (52.3)</w:t>
            </w:r>
          </w:p>
        </w:tc>
        <w:tc>
          <w:tcPr>
            <w:tcW w:w="1684" w:type="dxa"/>
          </w:tcPr>
          <w:p w:rsidR="00706810" w:rsidRPr="00D34003" w:rsidRDefault="00706810" w:rsidP="005137D5">
            <w:pPr>
              <w:keepNext/>
              <w:jc w:val="center"/>
              <w:rPr>
                <w:rFonts w:ascii="Arial Narrow" w:hAnsi="Arial Narrow"/>
                <w:sz w:val="20"/>
              </w:rPr>
            </w:pPr>
            <w:r w:rsidRPr="00D34003">
              <w:rPr>
                <w:rFonts w:ascii="Arial Narrow" w:hAnsi="Arial Narrow"/>
                <w:sz w:val="20"/>
              </w:rPr>
              <w:t>160/255 (62.7)</w:t>
            </w:r>
          </w:p>
        </w:tc>
        <w:tc>
          <w:tcPr>
            <w:tcW w:w="1576" w:type="dxa"/>
          </w:tcPr>
          <w:p w:rsidR="00706810" w:rsidRPr="008C3862" w:rsidRDefault="00706810" w:rsidP="005137D5">
            <w:pPr>
              <w:keepNext/>
              <w:jc w:val="center"/>
              <w:rPr>
                <w:rFonts w:ascii="Arial Narrow" w:hAnsi="Arial Narrow"/>
                <w:b/>
                <w:sz w:val="20"/>
              </w:rPr>
            </w:pPr>
            <w:r w:rsidRPr="008C3862">
              <w:rPr>
                <w:rFonts w:ascii="Arial Narrow" w:hAnsi="Arial Narrow"/>
                <w:b/>
                <w:sz w:val="20"/>
              </w:rPr>
              <w:t>-10.5%(-18.9,-2.0)</w:t>
            </w:r>
          </w:p>
        </w:tc>
        <w:tc>
          <w:tcPr>
            <w:tcW w:w="1775" w:type="dxa"/>
          </w:tcPr>
          <w:p w:rsidR="00706810" w:rsidRPr="008C3862" w:rsidRDefault="00706810" w:rsidP="005137D5">
            <w:pPr>
              <w:keepNext/>
              <w:jc w:val="center"/>
              <w:rPr>
                <w:rFonts w:ascii="Arial Narrow" w:hAnsi="Arial Narrow"/>
                <w:b/>
                <w:sz w:val="20"/>
              </w:rPr>
            </w:pPr>
            <w:r w:rsidRPr="008C3862">
              <w:rPr>
                <w:rFonts w:ascii="Arial Narrow" w:hAnsi="Arial Narrow"/>
                <w:b/>
                <w:sz w:val="20"/>
              </w:rPr>
              <w:t>0.83 (0.72, 0.97)</w:t>
            </w:r>
          </w:p>
        </w:tc>
      </w:tr>
      <w:tr w:rsidR="00706810" w:rsidRPr="00D34003" w:rsidTr="006F2DEF">
        <w:trPr>
          <w:trHeight w:val="232"/>
        </w:trPr>
        <w:tc>
          <w:tcPr>
            <w:tcW w:w="2547" w:type="dxa"/>
          </w:tcPr>
          <w:p w:rsidR="00706810" w:rsidRPr="00D34003" w:rsidRDefault="00706810" w:rsidP="006F2DEF">
            <w:pPr>
              <w:keepNext/>
              <w:jc w:val="left"/>
              <w:rPr>
                <w:rFonts w:ascii="Arial Narrow" w:hAnsi="Arial Narrow"/>
                <w:sz w:val="20"/>
              </w:rPr>
            </w:pPr>
            <w:r w:rsidRPr="00D34003">
              <w:rPr>
                <w:rFonts w:ascii="Arial Narrow" w:hAnsi="Arial Narrow"/>
                <w:sz w:val="20"/>
              </w:rPr>
              <w:t>AE leading to discontinuation of treatment (any grade)</w:t>
            </w:r>
          </w:p>
        </w:tc>
        <w:tc>
          <w:tcPr>
            <w:tcW w:w="1701" w:type="dxa"/>
          </w:tcPr>
          <w:p w:rsidR="00706810" w:rsidRPr="00D34003" w:rsidRDefault="00706810" w:rsidP="005137D5">
            <w:pPr>
              <w:keepNext/>
              <w:jc w:val="center"/>
              <w:rPr>
                <w:rFonts w:ascii="Arial Narrow" w:hAnsi="Arial Narrow"/>
                <w:sz w:val="20"/>
              </w:rPr>
            </w:pPr>
            <w:r w:rsidRPr="00D34003">
              <w:rPr>
                <w:rFonts w:ascii="Arial Narrow" w:hAnsi="Arial Narrow"/>
                <w:sz w:val="20"/>
              </w:rPr>
              <w:t>22/266 (8.3)</w:t>
            </w:r>
          </w:p>
        </w:tc>
        <w:tc>
          <w:tcPr>
            <w:tcW w:w="1684" w:type="dxa"/>
          </w:tcPr>
          <w:p w:rsidR="00706810" w:rsidRPr="00D34003" w:rsidRDefault="00706810" w:rsidP="005137D5">
            <w:pPr>
              <w:keepNext/>
              <w:jc w:val="center"/>
              <w:rPr>
                <w:rFonts w:ascii="Arial Narrow" w:hAnsi="Arial Narrow"/>
                <w:sz w:val="20"/>
              </w:rPr>
            </w:pPr>
            <w:r w:rsidRPr="00D34003">
              <w:rPr>
                <w:rFonts w:ascii="Arial Narrow" w:hAnsi="Arial Narrow"/>
                <w:sz w:val="20"/>
              </w:rPr>
              <w:t>32/255 (12.5)</w:t>
            </w:r>
          </w:p>
        </w:tc>
        <w:tc>
          <w:tcPr>
            <w:tcW w:w="1576" w:type="dxa"/>
          </w:tcPr>
          <w:p w:rsidR="00706810" w:rsidRPr="008C3862" w:rsidRDefault="00706810" w:rsidP="005137D5">
            <w:pPr>
              <w:keepNext/>
              <w:jc w:val="center"/>
              <w:rPr>
                <w:rFonts w:ascii="Arial Narrow" w:hAnsi="Arial Narrow"/>
                <w:sz w:val="20"/>
              </w:rPr>
            </w:pPr>
            <w:r w:rsidRPr="008C3862">
              <w:rPr>
                <w:rFonts w:ascii="Arial Narrow" w:hAnsi="Arial Narrow"/>
                <w:sz w:val="20"/>
              </w:rPr>
              <w:t>-4.3% (-9.5, 1.0)</w:t>
            </w:r>
          </w:p>
        </w:tc>
        <w:tc>
          <w:tcPr>
            <w:tcW w:w="1775" w:type="dxa"/>
          </w:tcPr>
          <w:p w:rsidR="00706810" w:rsidRPr="008C3862" w:rsidRDefault="00706810" w:rsidP="005137D5">
            <w:pPr>
              <w:keepNext/>
              <w:jc w:val="center"/>
              <w:rPr>
                <w:rFonts w:ascii="Arial Narrow" w:hAnsi="Arial Narrow"/>
                <w:sz w:val="20"/>
              </w:rPr>
            </w:pPr>
            <w:r w:rsidRPr="008C3862">
              <w:rPr>
                <w:rFonts w:ascii="Arial Narrow" w:hAnsi="Arial Narrow"/>
                <w:sz w:val="20"/>
              </w:rPr>
              <w:t>0.66 (0.39, 1.10)</w:t>
            </w:r>
          </w:p>
        </w:tc>
      </w:tr>
      <w:tr w:rsidR="00706810" w:rsidRPr="00D34003" w:rsidTr="006F2DEF">
        <w:trPr>
          <w:trHeight w:val="232"/>
        </w:trPr>
        <w:tc>
          <w:tcPr>
            <w:tcW w:w="2547" w:type="dxa"/>
          </w:tcPr>
          <w:p w:rsidR="00706810" w:rsidRPr="00D34003" w:rsidRDefault="00706810" w:rsidP="006F2DEF">
            <w:pPr>
              <w:keepNext/>
              <w:jc w:val="left"/>
              <w:rPr>
                <w:rFonts w:ascii="Arial Narrow" w:hAnsi="Arial Narrow"/>
                <w:sz w:val="20"/>
              </w:rPr>
            </w:pPr>
            <w:r w:rsidRPr="00D34003">
              <w:rPr>
                <w:rFonts w:ascii="Arial Narrow" w:hAnsi="Arial Narrow"/>
                <w:sz w:val="20"/>
              </w:rPr>
              <w:t>AE resulting in death</w:t>
            </w:r>
          </w:p>
        </w:tc>
        <w:tc>
          <w:tcPr>
            <w:tcW w:w="1701" w:type="dxa"/>
          </w:tcPr>
          <w:p w:rsidR="00706810" w:rsidRPr="00D34003" w:rsidRDefault="00706810" w:rsidP="005137D5">
            <w:pPr>
              <w:keepNext/>
              <w:jc w:val="center"/>
              <w:rPr>
                <w:rFonts w:ascii="Arial Narrow" w:hAnsi="Arial Narrow"/>
                <w:sz w:val="20"/>
              </w:rPr>
            </w:pPr>
            <w:r w:rsidRPr="00D34003">
              <w:rPr>
                <w:rFonts w:ascii="Arial Narrow" w:hAnsi="Arial Narrow"/>
                <w:sz w:val="20"/>
              </w:rPr>
              <w:t>13/266 (4.9)</w:t>
            </w:r>
          </w:p>
        </w:tc>
        <w:tc>
          <w:tcPr>
            <w:tcW w:w="1684" w:type="dxa"/>
          </w:tcPr>
          <w:p w:rsidR="00706810" w:rsidRPr="00D34003" w:rsidRDefault="00706810" w:rsidP="005137D5">
            <w:pPr>
              <w:keepNext/>
              <w:jc w:val="center"/>
              <w:rPr>
                <w:rFonts w:ascii="Arial Narrow" w:hAnsi="Arial Narrow"/>
                <w:sz w:val="20"/>
              </w:rPr>
            </w:pPr>
            <w:r w:rsidRPr="00D34003">
              <w:rPr>
                <w:rFonts w:ascii="Arial Narrow" w:hAnsi="Arial Narrow"/>
                <w:sz w:val="20"/>
              </w:rPr>
              <w:t>8/255 (3.1)</w:t>
            </w:r>
          </w:p>
        </w:tc>
        <w:tc>
          <w:tcPr>
            <w:tcW w:w="1576" w:type="dxa"/>
          </w:tcPr>
          <w:p w:rsidR="00706810" w:rsidRPr="008C3862" w:rsidRDefault="00706810" w:rsidP="005137D5">
            <w:pPr>
              <w:keepNext/>
              <w:jc w:val="center"/>
              <w:rPr>
                <w:rFonts w:ascii="Arial Narrow" w:hAnsi="Arial Narrow"/>
                <w:sz w:val="20"/>
              </w:rPr>
            </w:pPr>
            <w:r w:rsidRPr="008C3862">
              <w:rPr>
                <w:rFonts w:ascii="Arial Narrow" w:hAnsi="Arial Narrow"/>
                <w:sz w:val="20"/>
              </w:rPr>
              <w:t>1.7% (-1.6, 5.1)</w:t>
            </w:r>
          </w:p>
        </w:tc>
        <w:tc>
          <w:tcPr>
            <w:tcW w:w="1775" w:type="dxa"/>
          </w:tcPr>
          <w:p w:rsidR="00706810" w:rsidRPr="008C3862" w:rsidRDefault="00706810" w:rsidP="005137D5">
            <w:pPr>
              <w:keepNext/>
              <w:jc w:val="center"/>
              <w:rPr>
                <w:rFonts w:ascii="Arial Narrow" w:hAnsi="Arial Narrow"/>
                <w:sz w:val="20"/>
              </w:rPr>
            </w:pPr>
            <w:r w:rsidRPr="008C3862">
              <w:rPr>
                <w:rFonts w:ascii="Arial Narrow" w:hAnsi="Arial Narrow"/>
                <w:sz w:val="20"/>
              </w:rPr>
              <w:t>1.56 (0.66, 3.70)</w:t>
            </w:r>
          </w:p>
        </w:tc>
      </w:tr>
      <w:tr w:rsidR="00706810" w:rsidRPr="00D34003" w:rsidTr="00B91ED1">
        <w:trPr>
          <w:trHeight w:val="232"/>
        </w:trPr>
        <w:tc>
          <w:tcPr>
            <w:tcW w:w="9283" w:type="dxa"/>
            <w:gridSpan w:val="5"/>
          </w:tcPr>
          <w:p w:rsidR="00706810" w:rsidRPr="00D34003" w:rsidRDefault="00706810" w:rsidP="006F2DEF">
            <w:pPr>
              <w:keepNext/>
              <w:jc w:val="left"/>
              <w:rPr>
                <w:rFonts w:ascii="Arial Narrow" w:hAnsi="Arial Narrow"/>
                <w:sz w:val="20"/>
              </w:rPr>
            </w:pPr>
            <w:r w:rsidRPr="00D34003">
              <w:rPr>
                <w:rFonts w:ascii="Arial Narrow" w:hAnsi="Arial Narrow"/>
                <w:b/>
                <w:sz w:val="20"/>
              </w:rPr>
              <w:t>Database cut-off: 26</w:t>
            </w:r>
            <w:r w:rsidRPr="00D34003">
              <w:rPr>
                <w:rFonts w:ascii="Arial Narrow" w:hAnsi="Arial Narrow"/>
                <w:b/>
                <w:sz w:val="20"/>
                <w:vertAlign w:val="superscript"/>
              </w:rPr>
              <w:t>th</w:t>
            </w:r>
            <w:r w:rsidRPr="00D34003">
              <w:rPr>
                <w:rFonts w:ascii="Arial Narrow" w:hAnsi="Arial Narrow"/>
                <w:b/>
                <w:sz w:val="20"/>
              </w:rPr>
              <w:t xml:space="preserve"> October 2017</w:t>
            </w:r>
          </w:p>
        </w:tc>
      </w:tr>
      <w:tr w:rsidR="00706810" w:rsidRPr="00D34003" w:rsidTr="006F2DEF">
        <w:trPr>
          <w:trHeight w:val="226"/>
        </w:trPr>
        <w:tc>
          <w:tcPr>
            <w:tcW w:w="2547" w:type="dxa"/>
          </w:tcPr>
          <w:p w:rsidR="00706810" w:rsidRPr="00D34003" w:rsidRDefault="00706810" w:rsidP="006F2DEF">
            <w:pPr>
              <w:keepNext/>
              <w:jc w:val="left"/>
              <w:rPr>
                <w:rFonts w:ascii="Arial Narrow" w:hAnsi="Arial Narrow"/>
                <w:sz w:val="20"/>
              </w:rPr>
            </w:pPr>
            <w:r w:rsidRPr="00D34003">
              <w:rPr>
                <w:rFonts w:ascii="Arial Narrow" w:hAnsi="Arial Narrow"/>
                <w:sz w:val="20"/>
              </w:rPr>
              <w:t>Any AE</w:t>
            </w:r>
          </w:p>
        </w:tc>
        <w:tc>
          <w:tcPr>
            <w:tcW w:w="1701"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w:t>
            </w:r>
          </w:p>
        </w:tc>
        <w:tc>
          <w:tcPr>
            <w:tcW w:w="1684"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w:t>
            </w:r>
          </w:p>
        </w:tc>
        <w:tc>
          <w:tcPr>
            <w:tcW w:w="1576" w:type="dxa"/>
          </w:tcPr>
          <w:p w:rsidR="00706810" w:rsidRPr="00504C28" w:rsidRDefault="00504C28" w:rsidP="005137D5">
            <w:pPr>
              <w:keepNext/>
              <w:jc w:val="center"/>
              <w:rPr>
                <w:rFonts w:ascii="Arial Narrow" w:hAnsi="Arial Narrow"/>
                <w:b/>
                <w:sz w:val="20"/>
                <w:highlight w:val="black"/>
              </w:rPr>
            </w:pPr>
            <w:r>
              <w:rPr>
                <w:rFonts w:ascii="Arial Narrow" w:hAnsi="Arial Narrow"/>
                <w:b/>
                <w:noProof/>
                <w:color w:val="000000"/>
                <w:sz w:val="20"/>
                <w:szCs w:val="20"/>
                <w:highlight w:val="black"/>
              </w:rPr>
              <w:t>''''''''''''' ''''''''''''''''''</w:t>
            </w:r>
          </w:p>
        </w:tc>
        <w:tc>
          <w:tcPr>
            <w:tcW w:w="1775" w:type="dxa"/>
          </w:tcPr>
          <w:p w:rsidR="00706810" w:rsidRPr="00504C28" w:rsidRDefault="00504C28" w:rsidP="005137D5">
            <w:pPr>
              <w:keepNext/>
              <w:jc w:val="center"/>
              <w:rPr>
                <w:rFonts w:ascii="Arial Narrow" w:hAnsi="Arial Narrow"/>
                <w:b/>
                <w:sz w:val="20"/>
                <w:highlight w:val="black"/>
              </w:rPr>
            </w:pPr>
            <w:r>
              <w:rPr>
                <w:rFonts w:ascii="Arial Narrow" w:hAnsi="Arial Narrow"/>
                <w:b/>
                <w:noProof/>
                <w:color w:val="000000"/>
                <w:sz w:val="20"/>
                <w:highlight w:val="black"/>
              </w:rPr>
              <w:t>'''''''' ''''''''''' ''''''''''</w:t>
            </w:r>
          </w:p>
        </w:tc>
      </w:tr>
      <w:tr w:rsidR="00706810" w:rsidRPr="00D34003" w:rsidTr="006F2DEF">
        <w:trPr>
          <w:trHeight w:val="232"/>
        </w:trPr>
        <w:tc>
          <w:tcPr>
            <w:tcW w:w="2547" w:type="dxa"/>
          </w:tcPr>
          <w:p w:rsidR="00706810" w:rsidRPr="00D34003" w:rsidRDefault="00706810" w:rsidP="006F2DEF">
            <w:pPr>
              <w:keepNext/>
              <w:jc w:val="left"/>
              <w:rPr>
                <w:rFonts w:ascii="Arial Narrow" w:hAnsi="Arial Narrow"/>
                <w:sz w:val="20"/>
              </w:rPr>
            </w:pPr>
            <w:r w:rsidRPr="00D34003">
              <w:rPr>
                <w:rFonts w:ascii="Arial Narrow" w:hAnsi="Arial Narrow"/>
                <w:sz w:val="20"/>
              </w:rPr>
              <w:t>Any SAE (≥ Grade 3)</w:t>
            </w:r>
          </w:p>
        </w:tc>
        <w:tc>
          <w:tcPr>
            <w:tcW w:w="1701"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w:t>
            </w:r>
          </w:p>
        </w:tc>
        <w:tc>
          <w:tcPr>
            <w:tcW w:w="1684"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w:t>
            </w:r>
          </w:p>
        </w:tc>
        <w:tc>
          <w:tcPr>
            <w:tcW w:w="1576" w:type="dxa"/>
          </w:tcPr>
          <w:p w:rsidR="00706810" w:rsidRPr="00504C28" w:rsidRDefault="00504C28" w:rsidP="005137D5">
            <w:pPr>
              <w:keepNext/>
              <w:jc w:val="center"/>
              <w:rPr>
                <w:rFonts w:ascii="Arial Narrow" w:hAnsi="Arial Narrow"/>
                <w:b/>
                <w:sz w:val="20"/>
                <w:highlight w:val="black"/>
              </w:rPr>
            </w:pPr>
            <w:r>
              <w:rPr>
                <w:rFonts w:ascii="Arial Narrow" w:hAnsi="Arial Narrow"/>
                <w:b/>
                <w:noProof/>
                <w:color w:val="000000"/>
                <w:sz w:val="20"/>
                <w:szCs w:val="20"/>
                <w:highlight w:val="black"/>
              </w:rPr>
              <w:t>'''''''''''' ''''''''''' '''''''''</w:t>
            </w:r>
          </w:p>
        </w:tc>
        <w:tc>
          <w:tcPr>
            <w:tcW w:w="1775" w:type="dxa"/>
          </w:tcPr>
          <w:p w:rsidR="00706810" w:rsidRPr="00504C28" w:rsidRDefault="00504C28" w:rsidP="005137D5">
            <w:pPr>
              <w:keepNext/>
              <w:jc w:val="center"/>
              <w:rPr>
                <w:rFonts w:ascii="Arial Narrow" w:hAnsi="Arial Narrow"/>
                <w:b/>
                <w:sz w:val="20"/>
                <w:highlight w:val="black"/>
              </w:rPr>
            </w:pPr>
            <w:r>
              <w:rPr>
                <w:rFonts w:ascii="Arial Narrow" w:hAnsi="Arial Narrow"/>
                <w:b/>
                <w:noProof/>
                <w:color w:val="000000"/>
                <w:sz w:val="20"/>
                <w:highlight w:val="black"/>
              </w:rPr>
              <w:t>''''''''' ''''''''''' ''''''''''</w:t>
            </w:r>
          </w:p>
        </w:tc>
      </w:tr>
      <w:tr w:rsidR="00706810" w:rsidRPr="00D34003" w:rsidTr="006F2DEF">
        <w:trPr>
          <w:trHeight w:val="226"/>
        </w:trPr>
        <w:tc>
          <w:tcPr>
            <w:tcW w:w="2547" w:type="dxa"/>
          </w:tcPr>
          <w:p w:rsidR="00706810" w:rsidRPr="00D34003" w:rsidRDefault="00706810" w:rsidP="006F2DEF">
            <w:pPr>
              <w:keepNext/>
              <w:jc w:val="left"/>
              <w:rPr>
                <w:rFonts w:ascii="Arial Narrow" w:hAnsi="Arial Narrow"/>
                <w:sz w:val="20"/>
              </w:rPr>
            </w:pPr>
            <w:r w:rsidRPr="00D34003">
              <w:rPr>
                <w:rFonts w:ascii="Arial Narrow" w:hAnsi="Arial Narrow"/>
                <w:sz w:val="20"/>
              </w:rPr>
              <w:t>AE leading to discontinuation of treatment (any grade)</w:t>
            </w:r>
          </w:p>
        </w:tc>
        <w:tc>
          <w:tcPr>
            <w:tcW w:w="1701"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w:t>
            </w:r>
          </w:p>
        </w:tc>
        <w:tc>
          <w:tcPr>
            <w:tcW w:w="1684"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w:t>
            </w:r>
          </w:p>
        </w:tc>
        <w:tc>
          <w:tcPr>
            <w:tcW w:w="1576"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szCs w:val="20"/>
                <w:highlight w:val="black"/>
              </w:rPr>
              <w:t>'''''''''''''' '''''''''''' ''''''''''</w:t>
            </w:r>
          </w:p>
        </w:tc>
        <w:tc>
          <w:tcPr>
            <w:tcW w:w="1775"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szCs w:val="20"/>
                <w:highlight w:val="black"/>
              </w:rPr>
              <w:t>''''''''''' '''''''''''' ''''''''''''''</w:t>
            </w:r>
          </w:p>
        </w:tc>
      </w:tr>
      <w:tr w:rsidR="00706810" w:rsidRPr="00D34003" w:rsidTr="006F2DEF">
        <w:trPr>
          <w:trHeight w:val="232"/>
        </w:trPr>
        <w:tc>
          <w:tcPr>
            <w:tcW w:w="2547" w:type="dxa"/>
          </w:tcPr>
          <w:p w:rsidR="00706810" w:rsidRPr="00D34003" w:rsidRDefault="00706810" w:rsidP="006F2DEF">
            <w:pPr>
              <w:keepNext/>
              <w:jc w:val="left"/>
              <w:rPr>
                <w:rFonts w:ascii="Arial Narrow" w:hAnsi="Arial Narrow"/>
                <w:sz w:val="20"/>
              </w:rPr>
            </w:pPr>
            <w:r w:rsidRPr="00D34003">
              <w:rPr>
                <w:rFonts w:ascii="Arial Narrow" w:hAnsi="Arial Narrow"/>
                <w:sz w:val="20"/>
              </w:rPr>
              <w:t>AE resulting in death</w:t>
            </w:r>
          </w:p>
        </w:tc>
        <w:tc>
          <w:tcPr>
            <w:tcW w:w="1701"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w:t>
            </w:r>
          </w:p>
        </w:tc>
        <w:tc>
          <w:tcPr>
            <w:tcW w:w="1684"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w:t>
            </w:r>
          </w:p>
        </w:tc>
        <w:tc>
          <w:tcPr>
            <w:tcW w:w="1576"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szCs w:val="20"/>
                <w:highlight w:val="black"/>
              </w:rPr>
              <w:t>''''''''''''' '''''''''''''' '''''''''</w:t>
            </w:r>
          </w:p>
        </w:tc>
        <w:tc>
          <w:tcPr>
            <w:tcW w:w="1775" w:type="dxa"/>
          </w:tcPr>
          <w:p w:rsidR="00706810" w:rsidRPr="00504C28" w:rsidRDefault="00504C28" w:rsidP="005137D5">
            <w:pPr>
              <w:keepNext/>
              <w:jc w:val="center"/>
              <w:rPr>
                <w:rFonts w:ascii="Arial Narrow" w:hAnsi="Arial Narrow"/>
                <w:sz w:val="20"/>
                <w:highlight w:val="black"/>
              </w:rPr>
            </w:pPr>
            <w:r>
              <w:rPr>
                <w:rFonts w:ascii="Arial Narrow" w:hAnsi="Arial Narrow"/>
                <w:noProof/>
                <w:color w:val="000000"/>
                <w:sz w:val="20"/>
                <w:highlight w:val="black"/>
              </w:rPr>
              <w:t>''''''''''' ''''''''''''' '''''''''''''</w:t>
            </w:r>
          </w:p>
        </w:tc>
      </w:tr>
    </w:tbl>
    <w:p w:rsidR="00706810" w:rsidRPr="00D34003" w:rsidRDefault="00706810" w:rsidP="00265CD0">
      <w:pPr>
        <w:pStyle w:val="TableFooter"/>
        <w:rPr>
          <w:rFonts w:eastAsia="Calibri"/>
        </w:rPr>
      </w:pPr>
      <w:r w:rsidRPr="00D34003">
        <w:rPr>
          <w:rFonts w:eastAsia="Calibri"/>
        </w:rPr>
        <w:t xml:space="preserve">Abbreviations: AE = adverse events; </w:t>
      </w:r>
      <w:proofErr w:type="spellStart"/>
      <w:r w:rsidRPr="00D34003">
        <w:rPr>
          <w:rFonts w:eastAsia="Calibri"/>
        </w:rPr>
        <w:t>APaT</w:t>
      </w:r>
      <w:proofErr w:type="spellEnd"/>
      <w:r w:rsidRPr="00D34003">
        <w:rPr>
          <w:rFonts w:eastAsia="Calibri"/>
        </w:rPr>
        <w:t xml:space="preserve"> = all patients as treated; CI = confidence interval; n = number of participants reporting data; </w:t>
      </w:r>
      <w:r w:rsidR="000C6743" w:rsidRPr="00D34003">
        <w:rPr>
          <w:rFonts w:eastAsia="Calibri"/>
        </w:rPr>
        <w:br/>
      </w:r>
      <w:r w:rsidRPr="00D34003">
        <w:rPr>
          <w:rFonts w:eastAsia="Calibri"/>
        </w:rPr>
        <w:t>N = total participants in group; RD = risk difference; RR = relative risk; SAE = serious adverse events; SOC = standard of care.</w:t>
      </w:r>
    </w:p>
    <w:p w:rsidR="00706810" w:rsidRPr="00D34003" w:rsidRDefault="00706810" w:rsidP="00265CD0">
      <w:pPr>
        <w:pStyle w:val="TableFooter"/>
        <w:rPr>
          <w:sz w:val="20"/>
        </w:rPr>
      </w:pPr>
      <w:r w:rsidRPr="00D34003">
        <w:t>Source: Adapted from Table 2-20, p.69 of the resubmission.</w:t>
      </w:r>
    </w:p>
    <w:p w:rsidR="00706810" w:rsidRPr="00D34003" w:rsidRDefault="00706810" w:rsidP="00265CD0">
      <w:pPr>
        <w:pStyle w:val="TableFooter"/>
      </w:pPr>
      <w:r w:rsidRPr="00D34003">
        <w:t>Note: bold text indicates statistically significant results.</w:t>
      </w:r>
    </w:p>
    <w:p w:rsidR="00706810" w:rsidRPr="00D34003" w:rsidRDefault="00706810" w:rsidP="00265CD0">
      <w:pPr>
        <w:pStyle w:val="ListParagraph"/>
        <w:spacing w:after="0"/>
        <w:ind w:left="0"/>
      </w:pPr>
    </w:p>
    <w:p w:rsidR="00706810" w:rsidRPr="00683C6F" w:rsidRDefault="00706810" w:rsidP="00680C1E">
      <w:pPr>
        <w:pStyle w:val="Heading2"/>
        <w:spacing w:after="120"/>
      </w:pPr>
      <w:bookmarkStart w:id="19" w:name="_Toc511305030"/>
      <w:bookmarkStart w:id="20" w:name="_Toc514243672"/>
      <w:r w:rsidRPr="00683C6F">
        <w:t>Benefits/harms</w:t>
      </w:r>
      <w:bookmarkEnd w:id="19"/>
      <w:bookmarkEnd w:id="20"/>
    </w:p>
    <w:p w:rsidR="00706810" w:rsidRPr="00D34003" w:rsidRDefault="00706810" w:rsidP="007A7E9A">
      <w:pPr>
        <w:pStyle w:val="ListParagraph"/>
        <w:widowControl/>
        <w:numPr>
          <w:ilvl w:val="1"/>
          <w:numId w:val="1"/>
        </w:numPr>
      </w:pPr>
      <w:r w:rsidRPr="00D34003">
        <w:t xml:space="preserve">A summary of the comparative benefits and harms for pembrolizumab versus SOC is presented in the Table </w:t>
      </w:r>
      <w:r w:rsidR="00884669" w:rsidRPr="00D34003">
        <w:t>10</w:t>
      </w:r>
      <w:r w:rsidRPr="00D34003">
        <w:t>.</w:t>
      </w:r>
    </w:p>
    <w:p w:rsidR="00706810" w:rsidRPr="00D34003" w:rsidRDefault="00706810" w:rsidP="00265CD0">
      <w:pPr>
        <w:pStyle w:val="TableHeading0"/>
      </w:pPr>
      <w:r w:rsidRPr="00D34003">
        <w:lastRenderedPageBreak/>
        <w:t xml:space="preserve">Table </w:t>
      </w:r>
      <w:r w:rsidR="00884669" w:rsidRPr="00D34003">
        <w:t>10</w:t>
      </w:r>
      <w:r w:rsidRPr="00D34003">
        <w:t>: Summary of comparative benefits and harms for pembrolizumab and SOC</w:t>
      </w:r>
    </w:p>
    <w:tbl>
      <w:tblPr>
        <w:tblStyle w:val="TableGrid"/>
        <w:tblW w:w="4994" w:type="pct"/>
        <w:tblInd w:w="28" w:type="dxa"/>
        <w:tblCellMar>
          <w:left w:w="28" w:type="dxa"/>
          <w:right w:w="28" w:type="dxa"/>
        </w:tblCellMar>
        <w:tblLook w:val="04A0" w:firstRow="1" w:lastRow="0" w:firstColumn="1" w:lastColumn="0" w:noHBand="0" w:noVBand="1"/>
        <w:tblCaption w:val="Table 10: Summary of comparative benefits and harms for pembrolizumab and SOC"/>
      </w:tblPr>
      <w:tblGrid>
        <w:gridCol w:w="1951"/>
        <w:gridCol w:w="722"/>
        <w:gridCol w:w="566"/>
        <w:gridCol w:w="820"/>
        <w:gridCol w:w="537"/>
        <w:gridCol w:w="985"/>
        <w:gridCol w:w="339"/>
        <w:gridCol w:w="985"/>
        <w:gridCol w:w="535"/>
        <w:gridCol w:w="258"/>
        <w:gridCol w:w="1374"/>
      </w:tblGrid>
      <w:tr w:rsidR="00706810" w:rsidRPr="00D34003" w:rsidTr="00126619">
        <w:trPr>
          <w:trHeight w:val="150"/>
          <w:tblHeader/>
        </w:trPr>
        <w:tc>
          <w:tcPr>
            <w:tcW w:w="5000" w:type="pct"/>
            <w:gridSpan w:val="11"/>
            <w:tcBorders>
              <w:top w:val="single" w:sz="4" w:space="0" w:color="auto"/>
              <w:left w:val="single" w:sz="4" w:space="0" w:color="auto"/>
              <w:bottom w:val="single" w:sz="4" w:space="0" w:color="auto"/>
              <w:right w:val="single" w:sz="4" w:space="0" w:color="auto"/>
            </w:tcBorders>
            <w:hideMark/>
          </w:tcPr>
          <w:p w:rsidR="00706810" w:rsidRPr="00D34003" w:rsidRDefault="00706810" w:rsidP="00265CD0">
            <w:pPr>
              <w:pStyle w:val="TableText0"/>
              <w:rPr>
                <w:b/>
                <w:szCs w:val="20"/>
                <w:u w:val="single"/>
              </w:rPr>
            </w:pPr>
            <w:r w:rsidRPr="00D34003">
              <w:rPr>
                <w:b/>
                <w:szCs w:val="20"/>
                <w:u w:val="single"/>
              </w:rPr>
              <w:t>Benefits</w:t>
            </w:r>
          </w:p>
        </w:tc>
      </w:tr>
      <w:tr w:rsidR="00706810" w:rsidRPr="00D34003" w:rsidTr="004B72BE">
        <w:tc>
          <w:tcPr>
            <w:tcW w:w="1473" w:type="pct"/>
            <w:gridSpan w:val="2"/>
            <w:tcBorders>
              <w:top w:val="single" w:sz="4" w:space="0" w:color="auto"/>
              <w:left w:val="single" w:sz="4" w:space="0" w:color="auto"/>
              <w:bottom w:val="single" w:sz="4" w:space="0" w:color="auto"/>
              <w:right w:val="single" w:sz="4" w:space="0" w:color="auto"/>
            </w:tcBorders>
            <w:hideMark/>
          </w:tcPr>
          <w:p w:rsidR="00706810" w:rsidRPr="00D34003" w:rsidRDefault="00706810" w:rsidP="006F2DEF">
            <w:pPr>
              <w:pStyle w:val="TableText0"/>
              <w:rPr>
                <w:b/>
                <w:szCs w:val="20"/>
              </w:rPr>
            </w:pPr>
            <w:r w:rsidRPr="00D34003">
              <w:rPr>
                <w:b/>
                <w:szCs w:val="20"/>
              </w:rPr>
              <w:t>Event</w:t>
            </w:r>
            <w:r w:rsidR="008B522E" w:rsidRPr="00D34003">
              <w:rPr>
                <w:b/>
                <w:szCs w:val="20"/>
              </w:rPr>
              <w:t>: Deaths</w:t>
            </w:r>
          </w:p>
        </w:tc>
        <w:tc>
          <w:tcPr>
            <w:tcW w:w="1060" w:type="pct"/>
            <w:gridSpan w:val="3"/>
            <w:tcBorders>
              <w:top w:val="single" w:sz="4" w:space="0" w:color="auto"/>
              <w:left w:val="single" w:sz="4" w:space="0" w:color="auto"/>
              <w:bottom w:val="single" w:sz="4" w:space="0" w:color="auto"/>
              <w:right w:val="single" w:sz="4" w:space="0" w:color="auto"/>
            </w:tcBorders>
            <w:hideMark/>
          </w:tcPr>
          <w:p w:rsidR="00706810" w:rsidRPr="00D34003" w:rsidRDefault="00706810" w:rsidP="006F2DEF">
            <w:pPr>
              <w:pStyle w:val="TableText0"/>
              <w:jc w:val="center"/>
              <w:rPr>
                <w:b/>
                <w:szCs w:val="20"/>
              </w:rPr>
            </w:pPr>
            <w:r w:rsidRPr="00D34003">
              <w:rPr>
                <w:b/>
                <w:szCs w:val="20"/>
              </w:rPr>
              <w:t>Pembrolizumab, N=270</w:t>
            </w:r>
          </w:p>
        </w:tc>
        <w:tc>
          <w:tcPr>
            <w:tcW w:w="730" w:type="pct"/>
            <w:gridSpan w:val="2"/>
            <w:tcBorders>
              <w:top w:val="single" w:sz="4" w:space="0" w:color="auto"/>
              <w:left w:val="single" w:sz="4" w:space="0" w:color="auto"/>
              <w:bottom w:val="single" w:sz="4" w:space="0" w:color="auto"/>
              <w:right w:val="single" w:sz="4" w:space="0" w:color="auto"/>
            </w:tcBorders>
            <w:hideMark/>
          </w:tcPr>
          <w:p w:rsidR="00706810" w:rsidRPr="00D34003" w:rsidRDefault="00706810" w:rsidP="006F2DEF">
            <w:pPr>
              <w:pStyle w:val="TableText0"/>
              <w:jc w:val="center"/>
              <w:rPr>
                <w:b/>
                <w:szCs w:val="20"/>
              </w:rPr>
            </w:pPr>
            <w:r w:rsidRPr="00D34003">
              <w:rPr>
                <w:b/>
                <w:szCs w:val="20"/>
              </w:rPr>
              <w:t>SOC, N=272</w:t>
            </w:r>
          </w:p>
        </w:tc>
        <w:tc>
          <w:tcPr>
            <w:tcW w:w="980" w:type="pct"/>
            <w:gridSpan w:val="3"/>
            <w:tcBorders>
              <w:top w:val="single" w:sz="4" w:space="0" w:color="auto"/>
              <w:left w:val="single" w:sz="4" w:space="0" w:color="auto"/>
              <w:bottom w:val="single" w:sz="4" w:space="0" w:color="auto"/>
              <w:right w:val="single" w:sz="4" w:space="0" w:color="auto"/>
            </w:tcBorders>
            <w:hideMark/>
          </w:tcPr>
          <w:p w:rsidR="00706810" w:rsidRPr="00D34003" w:rsidRDefault="00706810" w:rsidP="006F2DEF">
            <w:pPr>
              <w:pStyle w:val="TableText0"/>
              <w:jc w:val="center"/>
              <w:rPr>
                <w:b/>
                <w:szCs w:val="20"/>
              </w:rPr>
            </w:pPr>
            <w:r w:rsidRPr="00D34003">
              <w:rPr>
                <w:b/>
                <w:szCs w:val="20"/>
              </w:rPr>
              <w:t>Absolute difference</w:t>
            </w:r>
          </w:p>
        </w:tc>
        <w:tc>
          <w:tcPr>
            <w:tcW w:w="757" w:type="pct"/>
            <w:tcBorders>
              <w:top w:val="single" w:sz="4" w:space="0" w:color="auto"/>
              <w:left w:val="single" w:sz="4" w:space="0" w:color="auto"/>
              <w:bottom w:val="single" w:sz="4" w:space="0" w:color="auto"/>
              <w:right w:val="single" w:sz="4" w:space="0" w:color="auto"/>
            </w:tcBorders>
            <w:hideMark/>
          </w:tcPr>
          <w:p w:rsidR="00706810" w:rsidRPr="00D34003" w:rsidRDefault="00706810" w:rsidP="006F2DEF">
            <w:pPr>
              <w:pStyle w:val="TableText0"/>
              <w:jc w:val="center"/>
              <w:rPr>
                <w:b/>
                <w:szCs w:val="20"/>
              </w:rPr>
            </w:pPr>
            <w:r w:rsidRPr="00D34003">
              <w:rPr>
                <w:b/>
                <w:szCs w:val="20"/>
              </w:rPr>
              <w:t>HR (95% CI)</w:t>
            </w:r>
          </w:p>
        </w:tc>
      </w:tr>
      <w:tr w:rsidR="004B72BE" w:rsidRPr="00D34003" w:rsidTr="004B72BE">
        <w:tc>
          <w:tcPr>
            <w:tcW w:w="1473" w:type="pct"/>
            <w:gridSpan w:val="2"/>
            <w:tcBorders>
              <w:top w:val="single" w:sz="4" w:space="0" w:color="auto"/>
              <w:left w:val="single" w:sz="4" w:space="0" w:color="auto"/>
              <w:bottom w:val="single" w:sz="4" w:space="0" w:color="auto"/>
              <w:right w:val="single" w:sz="4" w:space="0" w:color="auto"/>
            </w:tcBorders>
          </w:tcPr>
          <w:p w:rsidR="004B72BE" w:rsidRPr="00D34003" w:rsidRDefault="004B72BE" w:rsidP="006F2DEF">
            <w:pPr>
              <w:pStyle w:val="TableText0"/>
              <w:rPr>
                <w:szCs w:val="20"/>
              </w:rPr>
            </w:pPr>
            <w:r w:rsidRPr="00D34003">
              <w:rPr>
                <w:szCs w:val="20"/>
              </w:rPr>
              <w:t xml:space="preserve">Number of events </w:t>
            </w:r>
          </w:p>
        </w:tc>
        <w:tc>
          <w:tcPr>
            <w:tcW w:w="1060" w:type="pct"/>
            <w:gridSpan w:val="3"/>
            <w:tcBorders>
              <w:top w:val="single" w:sz="4" w:space="0" w:color="auto"/>
              <w:left w:val="single" w:sz="4" w:space="0" w:color="auto"/>
              <w:bottom w:val="single" w:sz="4" w:space="0" w:color="auto"/>
              <w:right w:val="single" w:sz="4" w:space="0" w:color="auto"/>
            </w:tcBorders>
          </w:tcPr>
          <w:p w:rsidR="004B72BE" w:rsidRPr="00504C28" w:rsidRDefault="00504C28" w:rsidP="006F2DEF">
            <w:pPr>
              <w:pStyle w:val="TableText0"/>
              <w:jc w:val="center"/>
              <w:rPr>
                <w:szCs w:val="20"/>
              </w:rPr>
            </w:pPr>
            <w:r>
              <w:rPr>
                <w:noProof/>
                <w:color w:val="000000"/>
                <w:szCs w:val="20"/>
                <w:highlight w:val="black"/>
              </w:rPr>
              <w:t xml:space="preserve">''''''''' </w:t>
            </w:r>
            <w:r w:rsidR="004B72BE" w:rsidRPr="008905EC">
              <w:rPr>
                <w:szCs w:val="20"/>
              </w:rPr>
              <w:t>(</w:t>
            </w:r>
            <w:r>
              <w:rPr>
                <w:noProof/>
                <w:color w:val="000000"/>
                <w:szCs w:val="20"/>
                <w:highlight w:val="black"/>
              </w:rPr>
              <w:t>'''''''''''</w:t>
            </w:r>
            <w:r w:rsidR="004B72BE" w:rsidRPr="008905EC">
              <w:rPr>
                <w:szCs w:val="20"/>
              </w:rPr>
              <w:t>%)</w:t>
            </w:r>
          </w:p>
        </w:tc>
        <w:tc>
          <w:tcPr>
            <w:tcW w:w="730" w:type="pct"/>
            <w:gridSpan w:val="2"/>
            <w:tcBorders>
              <w:top w:val="single" w:sz="4" w:space="0" w:color="auto"/>
              <w:left w:val="single" w:sz="4" w:space="0" w:color="auto"/>
              <w:bottom w:val="single" w:sz="4" w:space="0" w:color="auto"/>
              <w:right w:val="single" w:sz="4" w:space="0" w:color="auto"/>
            </w:tcBorders>
          </w:tcPr>
          <w:p w:rsidR="004B72BE" w:rsidRPr="00504C28" w:rsidRDefault="00504C28" w:rsidP="006F2DEF">
            <w:pPr>
              <w:pStyle w:val="TableText0"/>
              <w:jc w:val="center"/>
              <w:rPr>
                <w:szCs w:val="20"/>
              </w:rPr>
            </w:pPr>
            <w:r>
              <w:rPr>
                <w:noProof/>
                <w:color w:val="000000"/>
                <w:szCs w:val="20"/>
                <w:highlight w:val="black"/>
              </w:rPr>
              <w:t>''''''''''</w:t>
            </w:r>
            <w:r w:rsidR="004B72BE" w:rsidRPr="00D71440">
              <w:rPr>
                <w:szCs w:val="20"/>
              </w:rPr>
              <w:t xml:space="preserve"> (</w:t>
            </w:r>
            <w:r>
              <w:rPr>
                <w:noProof/>
                <w:color w:val="000000"/>
                <w:szCs w:val="20"/>
                <w:highlight w:val="black"/>
              </w:rPr>
              <w:t>'''''''''''</w:t>
            </w:r>
            <w:r w:rsidR="004B72BE" w:rsidRPr="00D71440">
              <w:rPr>
                <w:szCs w:val="20"/>
              </w:rPr>
              <w:t>%)</w:t>
            </w:r>
          </w:p>
        </w:tc>
        <w:tc>
          <w:tcPr>
            <w:tcW w:w="980" w:type="pct"/>
            <w:gridSpan w:val="3"/>
            <w:tcBorders>
              <w:top w:val="single" w:sz="4" w:space="0" w:color="auto"/>
              <w:left w:val="single" w:sz="4" w:space="0" w:color="auto"/>
              <w:bottom w:val="single" w:sz="4" w:space="0" w:color="auto"/>
              <w:right w:val="single" w:sz="4" w:space="0" w:color="auto"/>
            </w:tcBorders>
          </w:tcPr>
          <w:p w:rsidR="004B72BE" w:rsidRPr="00D34003" w:rsidRDefault="004B72BE" w:rsidP="006F2DEF">
            <w:pPr>
              <w:pStyle w:val="TableText0"/>
              <w:jc w:val="center"/>
              <w:rPr>
                <w:szCs w:val="20"/>
              </w:rPr>
            </w:pPr>
          </w:p>
        </w:tc>
        <w:tc>
          <w:tcPr>
            <w:tcW w:w="757" w:type="pct"/>
            <w:vMerge w:val="restart"/>
            <w:tcBorders>
              <w:top w:val="single" w:sz="4" w:space="0" w:color="auto"/>
              <w:left w:val="single" w:sz="4" w:space="0" w:color="auto"/>
              <w:right w:val="single" w:sz="4" w:space="0" w:color="auto"/>
            </w:tcBorders>
            <w:vAlign w:val="center"/>
          </w:tcPr>
          <w:p w:rsidR="004B72BE" w:rsidRPr="00D34003" w:rsidRDefault="004B72BE" w:rsidP="004B72BE">
            <w:pPr>
              <w:pStyle w:val="TableText0"/>
              <w:jc w:val="center"/>
              <w:rPr>
                <w:b/>
                <w:szCs w:val="20"/>
              </w:rPr>
            </w:pPr>
            <w:r w:rsidRPr="00D34003">
              <w:rPr>
                <w:b/>
                <w:szCs w:val="20"/>
              </w:rPr>
              <w:t>0.70 (0.57, 0.85</w:t>
            </w:r>
            <w:r w:rsidRPr="00D34003">
              <w:rPr>
                <w:szCs w:val="20"/>
              </w:rPr>
              <w:t>)</w:t>
            </w:r>
          </w:p>
        </w:tc>
      </w:tr>
      <w:tr w:rsidR="004B72BE" w:rsidRPr="00D34003" w:rsidTr="002C6BF5">
        <w:tc>
          <w:tcPr>
            <w:tcW w:w="1473" w:type="pct"/>
            <w:gridSpan w:val="2"/>
            <w:tcBorders>
              <w:top w:val="single" w:sz="4" w:space="0" w:color="auto"/>
              <w:left w:val="single" w:sz="4" w:space="0" w:color="auto"/>
              <w:bottom w:val="single" w:sz="4" w:space="0" w:color="auto"/>
              <w:right w:val="single" w:sz="4" w:space="0" w:color="auto"/>
            </w:tcBorders>
          </w:tcPr>
          <w:p w:rsidR="004B72BE" w:rsidRPr="00D34003" w:rsidRDefault="004B72BE" w:rsidP="006F2DEF">
            <w:pPr>
              <w:pStyle w:val="TableText0"/>
              <w:rPr>
                <w:szCs w:val="20"/>
              </w:rPr>
            </w:pPr>
            <w:r w:rsidRPr="00D34003">
              <w:rPr>
                <w:szCs w:val="20"/>
              </w:rPr>
              <w:t>Median</w:t>
            </w:r>
            <w:r w:rsidR="00A93AA2" w:rsidRPr="00D34003">
              <w:rPr>
                <w:szCs w:val="20"/>
              </w:rPr>
              <w:t xml:space="preserve"> months</w:t>
            </w:r>
          </w:p>
        </w:tc>
        <w:tc>
          <w:tcPr>
            <w:tcW w:w="1060" w:type="pct"/>
            <w:gridSpan w:val="3"/>
            <w:tcBorders>
              <w:top w:val="single" w:sz="4" w:space="0" w:color="auto"/>
              <w:left w:val="single" w:sz="4" w:space="0" w:color="auto"/>
              <w:bottom w:val="single" w:sz="4" w:space="0" w:color="auto"/>
              <w:right w:val="single" w:sz="4" w:space="0" w:color="auto"/>
            </w:tcBorders>
          </w:tcPr>
          <w:p w:rsidR="004B72BE" w:rsidRPr="00D34003" w:rsidRDefault="004B72BE" w:rsidP="006F2DEF">
            <w:pPr>
              <w:pStyle w:val="TableText0"/>
              <w:jc w:val="center"/>
              <w:rPr>
                <w:szCs w:val="20"/>
              </w:rPr>
            </w:pPr>
            <w:r w:rsidRPr="00D34003">
              <w:rPr>
                <w:szCs w:val="20"/>
              </w:rPr>
              <w:t>10.3 (8.0, 12.3)</w:t>
            </w:r>
          </w:p>
        </w:tc>
        <w:tc>
          <w:tcPr>
            <w:tcW w:w="730" w:type="pct"/>
            <w:gridSpan w:val="2"/>
            <w:tcBorders>
              <w:top w:val="single" w:sz="4" w:space="0" w:color="auto"/>
              <w:left w:val="single" w:sz="4" w:space="0" w:color="auto"/>
              <w:bottom w:val="single" w:sz="4" w:space="0" w:color="auto"/>
              <w:right w:val="single" w:sz="4" w:space="0" w:color="auto"/>
            </w:tcBorders>
          </w:tcPr>
          <w:p w:rsidR="004B72BE" w:rsidRPr="00D34003" w:rsidRDefault="004B72BE" w:rsidP="006F2DEF">
            <w:pPr>
              <w:pStyle w:val="TableText0"/>
              <w:jc w:val="center"/>
              <w:rPr>
                <w:szCs w:val="20"/>
              </w:rPr>
            </w:pPr>
            <w:r w:rsidRPr="00D34003">
              <w:t>7.3 (6.1, 8.1)</w:t>
            </w:r>
          </w:p>
        </w:tc>
        <w:tc>
          <w:tcPr>
            <w:tcW w:w="980" w:type="pct"/>
            <w:gridSpan w:val="3"/>
            <w:tcBorders>
              <w:top w:val="single" w:sz="4" w:space="0" w:color="auto"/>
              <w:left w:val="single" w:sz="4" w:space="0" w:color="auto"/>
              <w:bottom w:val="single" w:sz="4" w:space="0" w:color="auto"/>
              <w:right w:val="single" w:sz="4" w:space="0" w:color="auto"/>
            </w:tcBorders>
          </w:tcPr>
          <w:p w:rsidR="004B72BE" w:rsidRPr="00D34003" w:rsidRDefault="004B72BE" w:rsidP="006F2DEF">
            <w:pPr>
              <w:pStyle w:val="TableText0"/>
              <w:jc w:val="center"/>
              <w:rPr>
                <w:szCs w:val="20"/>
              </w:rPr>
            </w:pPr>
            <w:r w:rsidRPr="00D34003">
              <w:rPr>
                <w:szCs w:val="20"/>
              </w:rPr>
              <w:t>3.0 months</w:t>
            </w:r>
          </w:p>
        </w:tc>
        <w:tc>
          <w:tcPr>
            <w:tcW w:w="757" w:type="pct"/>
            <w:vMerge/>
            <w:tcBorders>
              <w:left w:val="single" w:sz="4" w:space="0" w:color="auto"/>
              <w:right w:val="single" w:sz="4" w:space="0" w:color="auto"/>
            </w:tcBorders>
          </w:tcPr>
          <w:p w:rsidR="004B72BE" w:rsidRPr="00D34003" w:rsidRDefault="004B72BE" w:rsidP="006F2DEF">
            <w:pPr>
              <w:pStyle w:val="TableText0"/>
              <w:jc w:val="center"/>
              <w:rPr>
                <w:b/>
                <w:szCs w:val="20"/>
              </w:rPr>
            </w:pPr>
          </w:p>
        </w:tc>
      </w:tr>
      <w:tr w:rsidR="004B72BE" w:rsidRPr="00D34003" w:rsidTr="004B72BE">
        <w:tc>
          <w:tcPr>
            <w:tcW w:w="1473" w:type="pct"/>
            <w:gridSpan w:val="2"/>
            <w:tcBorders>
              <w:top w:val="single" w:sz="4" w:space="0" w:color="auto"/>
              <w:left w:val="single" w:sz="4" w:space="0" w:color="auto"/>
              <w:bottom w:val="single" w:sz="4" w:space="0" w:color="auto"/>
              <w:right w:val="single" w:sz="4" w:space="0" w:color="auto"/>
            </w:tcBorders>
          </w:tcPr>
          <w:p w:rsidR="004B72BE" w:rsidRPr="00D34003" w:rsidRDefault="004B72BE" w:rsidP="00DD3734">
            <w:pPr>
              <w:pStyle w:val="TableText0"/>
              <w:rPr>
                <w:szCs w:val="20"/>
              </w:rPr>
            </w:pPr>
            <w:r w:rsidRPr="00D34003">
              <w:rPr>
                <w:szCs w:val="20"/>
              </w:rPr>
              <w:t xml:space="preserve">Alive at 12 months, % </w:t>
            </w:r>
          </w:p>
        </w:tc>
        <w:tc>
          <w:tcPr>
            <w:tcW w:w="1060" w:type="pct"/>
            <w:gridSpan w:val="3"/>
            <w:tcBorders>
              <w:top w:val="single" w:sz="4" w:space="0" w:color="auto"/>
              <w:left w:val="single" w:sz="4" w:space="0" w:color="auto"/>
              <w:bottom w:val="single" w:sz="4" w:space="0" w:color="auto"/>
              <w:right w:val="single" w:sz="4" w:space="0" w:color="auto"/>
            </w:tcBorders>
          </w:tcPr>
          <w:p w:rsidR="004B72BE" w:rsidRPr="00504C28" w:rsidRDefault="00504C28" w:rsidP="00DD3734">
            <w:pPr>
              <w:pStyle w:val="TableText0"/>
              <w:jc w:val="center"/>
              <w:rPr>
                <w:szCs w:val="20"/>
                <w:highlight w:val="black"/>
              </w:rPr>
            </w:pPr>
            <w:r>
              <w:rPr>
                <w:noProof/>
                <w:color w:val="000000"/>
                <w:szCs w:val="20"/>
                <w:highlight w:val="black"/>
              </w:rPr>
              <w:t xml:space="preserve">''''''''''' </w:t>
            </w:r>
          </w:p>
        </w:tc>
        <w:tc>
          <w:tcPr>
            <w:tcW w:w="730" w:type="pct"/>
            <w:gridSpan w:val="2"/>
            <w:tcBorders>
              <w:top w:val="single" w:sz="4" w:space="0" w:color="auto"/>
              <w:left w:val="single" w:sz="4" w:space="0" w:color="auto"/>
              <w:bottom w:val="single" w:sz="4" w:space="0" w:color="auto"/>
              <w:right w:val="single" w:sz="4" w:space="0" w:color="auto"/>
            </w:tcBorders>
          </w:tcPr>
          <w:p w:rsidR="004B72BE" w:rsidRPr="00504C28" w:rsidRDefault="00504C28" w:rsidP="00DD3734">
            <w:pPr>
              <w:pStyle w:val="TableText0"/>
              <w:jc w:val="center"/>
              <w:rPr>
                <w:szCs w:val="20"/>
                <w:highlight w:val="black"/>
              </w:rPr>
            </w:pPr>
            <w:r>
              <w:rPr>
                <w:noProof/>
                <w:color w:val="000000"/>
                <w:szCs w:val="20"/>
                <w:highlight w:val="black"/>
              </w:rPr>
              <w:t xml:space="preserve">''''''''''' </w:t>
            </w:r>
          </w:p>
        </w:tc>
        <w:tc>
          <w:tcPr>
            <w:tcW w:w="980" w:type="pct"/>
            <w:gridSpan w:val="3"/>
            <w:tcBorders>
              <w:top w:val="single" w:sz="4" w:space="0" w:color="auto"/>
              <w:left w:val="single" w:sz="4" w:space="0" w:color="auto"/>
              <w:bottom w:val="single" w:sz="4" w:space="0" w:color="auto"/>
              <w:right w:val="single" w:sz="4" w:space="0" w:color="auto"/>
            </w:tcBorders>
          </w:tcPr>
          <w:p w:rsidR="004B72BE" w:rsidRPr="00D34003" w:rsidDel="008C2BE6" w:rsidRDefault="00504C28" w:rsidP="006F2DEF">
            <w:pPr>
              <w:pStyle w:val="TableText0"/>
              <w:jc w:val="center"/>
              <w:rPr>
                <w:szCs w:val="20"/>
              </w:rPr>
            </w:pPr>
            <w:r>
              <w:rPr>
                <w:noProof/>
                <w:color w:val="000000"/>
                <w:szCs w:val="20"/>
                <w:highlight w:val="black"/>
              </w:rPr>
              <w:t>''''''''''''''</w:t>
            </w:r>
            <w:r w:rsidR="004B72BE" w:rsidRPr="00D34003">
              <w:rPr>
                <w:szCs w:val="20"/>
              </w:rPr>
              <w:t>%</w:t>
            </w:r>
          </w:p>
        </w:tc>
        <w:tc>
          <w:tcPr>
            <w:tcW w:w="757" w:type="pct"/>
            <w:vMerge/>
            <w:tcBorders>
              <w:left w:val="single" w:sz="4" w:space="0" w:color="auto"/>
              <w:right w:val="single" w:sz="4" w:space="0" w:color="auto"/>
            </w:tcBorders>
          </w:tcPr>
          <w:p w:rsidR="004B72BE" w:rsidRPr="00D34003" w:rsidRDefault="004B72BE" w:rsidP="006F2DEF">
            <w:pPr>
              <w:pStyle w:val="TableText0"/>
              <w:jc w:val="center"/>
              <w:rPr>
                <w:b/>
                <w:szCs w:val="20"/>
              </w:rPr>
            </w:pPr>
          </w:p>
        </w:tc>
      </w:tr>
      <w:tr w:rsidR="004B72BE" w:rsidRPr="00D34003" w:rsidTr="004B72BE">
        <w:tc>
          <w:tcPr>
            <w:tcW w:w="1473" w:type="pct"/>
            <w:gridSpan w:val="2"/>
            <w:tcBorders>
              <w:top w:val="single" w:sz="4" w:space="0" w:color="auto"/>
              <w:left w:val="single" w:sz="4" w:space="0" w:color="auto"/>
              <w:bottom w:val="single" w:sz="4" w:space="0" w:color="auto"/>
              <w:right w:val="single" w:sz="4" w:space="0" w:color="auto"/>
            </w:tcBorders>
          </w:tcPr>
          <w:p w:rsidR="004B72BE" w:rsidRPr="00D34003" w:rsidRDefault="004B72BE" w:rsidP="00DD3734">
            <w:pPr>
              <w:pStyle w:val="TableText0"/>
              <w:rPr>
                <w:szCs w:val="20"/>
              </w:rPr>
            </w:pPr>
            <w:r w:rsidRPr="00D34003">
              <w:rPr>
                <w:szCs w:val="20"/>
              </w:rPr>
              <w:t xml:space="preserve">Alive at 18 months, % </w:t>
            </w:r>
          </w:p>
        </w:tc>
        <w:tc>
          <w:tcPr>
            <w:tcW w:w="1060" w:type="pct"/>
            <w:gridSpan w:val="3"/>
            <w:tcBorders>
              <w:top w:val="single" w:sz="4" w:space="0" w:color="auto"/>
              <w:left w:val="single" w:sz="4" w:space="0" w:color="auto"/>
              <w:bottom w:val="single" w:sz="4" w:space="0" w:color="auto"/>
              <w:right w:val="single" w:sz="4" w:space="0" w:color="auto"/>
            </w:tcBorders>
          </w:tcPr>
          <w:p w:rsidR="004B72BE" w:rsidRPr="00504C28" w:rsidRDefault="00504C28" w:rsidP="00DD3734">
            <w:pPr>
              <w:pStyle w:val="TableText0"/>
              <w:jc w:val="center"/>
              <w:rPr>
                <w:szCs w:val="20"/>
                <w:highlight w:val="black"/>
              </w:rPr>
            </w:pPr>
            <w:r>
              <w:rPr>
                <w:noProof/>
                <w:color w:val="000000"/>
                <w:szCs w:val="20"/>
                <w:highlight w:val="black"/>
              </w:rPr>
              <w:t xml:space="preserve">''''''''''' </w:t>
            </w:r>
          </w:p>
        </w:tc>
        <w:tc>
          <w:tcPr>
            <w:tcW w:w="730" w:type="pct"/>
            <w:gridSpan w:val="2"/>
            <w:tcBorders>
              <w:top w:val="single" w:sz="4" w:space="0" w:color="auto"/>
              <w:left w:val="single" w:sz="4" w:space="0" w:color="auto"/>
              <w:bottom w:val="single" w:sz="4" w:space="0" w:color="auto"/>
              <w:right w:val="single" w:sz="4" w:space="0" w:color="auto"/>
            </w:tcBorders>
          </w:tcPr>
          <w:p w:rsidR="004B72BE" w:rsidRPr="00504C28" w:rsidRDefault="00504C28" w:rsidP="00DD3734">
            <w:pPr>
              <w:pStyle w:val="TableText0"/>
              <w:jc w:val="center"/>
              <w:rPr>
                <w:szCs w:val="20"/>
                <w:highlight w:val="black"/>
              </w:rPr>
            </w:pPr>
            <w:r>
              <w:rPr>
                <w:noProof/>
                <w:color w:val="000000"/>
                <w:szCs w:val="20"/>
                <w:highlight w:val="black"/>
              </w:rPr>
              <w:t xml:space="preserve">'''''''''' </w:t>
            </w:r>
          </w:p>
        </w:tc>
        <w:tc>
          <w:tcPr>
            <w:tcW w:w="980" w:type="pct"/>
            <w:gridSpan w:val="3"/>
            <w:tcBorders>
              <w:top w:val="single" w:sz="4" w:space="0" w:color="auto"/>
              <w:left w:val="single" w:sz="4" w:space="0" w:color="auto"/>
              <w:bottom w:val="single" w:sz="4" w:space="0" w:color="auto"/>
              <w:right w:val="single" w:sz="4" w:space="0" w:color="auto"/>
            </w:tcBorders>
          </w:tcPr>
          <w:p w:rsidR="004B72BE" w:rsidRPr="00D34003" w:rsidDel="008C2BE6" w:rsidRDefault="00504C28" w:rsidP="006F2DEF">
            <w:pPr>
              <w:pStyle w:val="TableText0"/>
              <w:jc w:val="center"/>
              <w:rPr>
                <w:szCs w:val="20"/>
              </w:rPr>
            </w:pPr>
            <w:r>
              <w:rPr>
                <w:noProof/>
                <w:color w:val="000000"/>
                <w:highlight w:val="black"/>
              </w:rPr>
              <w:t>'''''''''''''''</w:t>
            </w:r>
            <w:r w:rsidR="004B72BE" w:rsidRPr="00D34003">
              <w:t>%</w:t>
            </w:r>
          </w:p>
        </w:tc>
        <w:tc>
          <w:tcPr>
            <w:tcW w:w="757" w:type="pct"/>
            <w:vMerge/>
            <w:tcBorders>
              <w:left w:val="single" w:sz="4" w:space="0" w:color="auto"/>
              <w:bottom w:val="single" w:sz="4" w:space="0" w:color="auto"/>
              <w:right w:val="single" w:sz="4" w:space="0" w:color="auto"/>
            </w:tcBorders>
          </w:tcPr>
          <w:p w:rsidR="004B72BE" w:rsidRPr="00D34003" w:rsidRDefault="004B72BE" w:rsidP="006F2DEF">
            <w:pPr>
              <w:pStyle w:val="TableText0"/>
              <w:jc w:val="center"/>
              <w:rPr>
                <w:b/>
                <w:szCs w:val="20"/>
              </w:rPr>
            </w:pPr>
          </w:p>
        </w:tc>
      </w:tr>
      <w:tr w:rsidR="00EE3881" w:rsidRPr="00D34003" w:rsidTr="006F2DEF">
        <w:tc>
          <w:tcPr>
            <w:tcW w:w="5000" w:type="pct"/>
            <w:gridSpan w:val="11"/>
            <w:tcBorders>
              <w:top w:val="double" w:sz="4" w:space="0" w:color="auto"/>
              <w:left w:val="single" w:sz="4" w:space="0" w:color="auto"/>
              <w:bottom w:val="single" w:sz="4" w:space="0" w:color="auto"/>
              <w:right w:val="single" w:sz="4" w:space="0" w:color="auto"/>
            </w:tcBorders>
            <w:hideMark/>
          </w:tcPr>
          <w:p w:rsidR="00EE3881" w:rsidRPr="00D34003" w:rsidRDefault="00EE3881" w:rsidP="00EE3881">
            <w:pPr>
              <w:pStyle w:val="TableText0"/>
              <w:rPr>
                <w:b/>
                <w:szCs w:val="20"/>
                <w:u w:val="single"/>
              </w:rPr>
            </w:pPr>
            <w:r w:rsidRPr="00D34003">
              <w:rPr>
                <w:b/>
                <w:szCs w:val="20"/>
                <w:u w:val="single"/>
              </w:rPr>
              <w:t>Harms</w:t>
            </w:r>
          </w:p>
        </w:tc>
      </w:tr>
      <w:tr w:rsidR="00EE3881" w:rsidRPr="00D34003" w:rsidTr="004B72BE">
        <w:trPr>
          <w:trHeight w:val="70"/>
        </w:trPr>
        <w:tc>
          <w:tcPr>
            <w:tcW w:w="1075" w:type="pct"/>
            <w:vMerge w:val="restart"/>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EE3881" w:rsidP="006F2DEF">
            <w:pPr>
              <w:pStyle w:val="TableText0"/>
              <w:rPr>
                <w:szCs w:val="20"/>
              </w:rPr>
            </w:pPr>
            <w:r w:rsidRPr="00D34003">
              <w:rPr>
                <w:szCs w:val="20"/>
              </w:rPr>
              <w:t>KN045</w:t>
            </w:r>
          </w:p>
        </w:tc>
        <w:tc>
          <w:tcPr>
            <w:tcW w:w="71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pStyle w:val="TableText0"/>
              <w:jc w:val="center"/>
              <w:rPr>
                <w:b/>
                <w:szCs w:val="20"/>
              </w:rPr>
            </w:pPr>
            <w:r w:rsidRPr="00D34003">
              <w:rPr>
                <w:b/>
                <w:szCs w:val="20"/>
              </w:rPr>
              <w:t>Pembrolizumab N=266</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pStyle w:val="TableText0"/>
              <w:jc w:val="center"/>
              <w:rPr>
                <w:b/>
                <w:szCs w:val="20"/>
              </w:rPr>
            </w:pPr>
            <w:r w:rsidRPr="00D34003">
              <w:rPr>
                <w:b/>
                <w:szCs w:val="20"/>
              </w:rPr>
              <w:t>SOC</w:t>
            </w:r>
            <w:r w:rsidRPr="00D34003">
              <w:rPr>
                <w:b/>
                <w:szCs w:val="20"/>
              </w:rPr>
              <w:br/>
              <w:t>N=255</w:t>
            </w:r>
          </w:p>
        </w:tc>
        <w:tc>
          <w:tcPr>
            <w:tcW w:w="839"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pStyle w:val="TableText0"/>
              <w:jc w:val="center"/>
              <w:rPr>
                <w:b/>
                <w:szCs w:val="20"/>
              </w:rPr>
            </w:pPr>
            <w:r w:rsidRPr="00D34003">
              <w:rPr>
                <w:b/>
                <w:szCs w:val="20"/>
              </w:rPr>
              <w:t>Risk ratio (95% CI)</w:t>
            </w:r>
          </w:p>
        </w:tc>
        <w:tc>
          <w:tcPr>
            <w:tcW w:w="1025" w:type="pct"/>
            <w:gridSpan w:val="3"/>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pStyle w:val="TableText0"/>
              <w:jc w:val="center"/>
              <w:rPr>
                <w:b/>
                <w:szCs w:val="20"/>
              </w:rPr>
            </w:pPr>
            <w:r w:rsidRPr="00D34003">
              <w:rPr>
                <w:b/>
                <w:szCs w:val="20"/>
              </w:rPr>
              <w:t>Events/100 patients*</w:t>
            </w:r>
          </w:p>
        </w:tc>
        <w:tc>
          <w:tcPr>
            <w:tcW w:w="899"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pStyle w:val="TableText0"/>
              <w:jc w:val="center"/>
              <w:rPr>
                <w:b/>
                <w:szCs w:val="20"/>
              </w:rPr>
            </w:pPr>
            <w:r w:rsidRPr="00D34003">
              <w:rPr>
                <w:b/>
                <w:szCs w:val="20"/>
              </w:rPr>
              <w:t>Risk difference</w:t>
            </w:r>
          </w:p>
        </w:tc>
      </w:tr>
      <w:tr w:rsidR="00EE3881" w:rsidRPr="00D34003" w:rsidTr="004B72BE">
        <w:trPr>
          <w:trHeight w:val="390"/>
        </w:trPr>
        <w:tc>
          <w:tcPr>
            <w:tcW w:w="1075" w:type="pct"/>
            <w:vMerge/>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jc w:val="left"/>
              <w:rPr>
                <w:rFonts w:ascii="Arial Narrow" w:hAnsi="Arial Narrow"/>
                <w:sz w:val="20"/>
                <w:szCs w:val="20"/>
              </w:rPr>
            </w:pPr>
          </w:p>
        </w:tc>
        <w:tc>
          <w:tcPr>
            <w:tcW w:w="710" w:type="pct"/>
            <w:gridSpan w:val="2"/>
            <w:vMerge/>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jc w:val="center"/>
              <w:rPr>
                <w:rFonts w:ascii="Arial Narrow" w:hAnsi="Arial Narrow"/>
                <w:b/>
                <w:sz w:val="20"/>
                <w:szCs w:val="20"/>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jc w:val="center"/>
              <w:rPr>
                <w:rFonts w:ascii="Arial Narrow" w:hAnsi="Arial Narrow"/>
                <w:b/>
                <w:sz w:val="20"/>
                <w:szCs w:val="20"/>
              </w:rPr>
            </w:pPr>
          </w:p>
        </w:tc>
        <w:tc>
          <w:tcPr>
            <w:tcW w:w="839" w:type="pct"/>
            <w:gridSpan w:val="2"/>
            <w:vMerge/>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jc w:val="center"/>
              <w:rPr>
                <w:rFonts w:ascii="Arial Narrow" w:hAnsi="Arial Narrow"/>
                <w:b/>
                <w:sz w:val="20"/>
                <w:szCs w:val="20"/>
              </w:rPr>
            </w:pP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9475FD" w:rsidP="006F2DEF">
            <w:pPr>
              <w:pStyle w:val="TableText0"/>
              <w:jc w:val="center"/>
              <w:rPr>
                <w:b/>
                <w:szCs w:val="20"/>
              </w:rPr>
            </w:pPr>
            <w:r w:rsidRPr="00D34003">
              <w:rPr>
                <w:b/>
                <w:szCs w:val="20"/>
              </w:rPr>
              <w:t>P</w:t>
            </w:r>
            <w:r w:rsidR="00EE3881" w:rsidRPr="00D34003">
              <w:rPr>
                <w:b/>
                <w:szCs w:val="20"/>
              </w:rPr>
              <w:t>embrolizumab</w:t>
            </w:r>
          </w:p>
        </w:tc>
        <w:tc>
          <w:tcPr>
            <w:tcW w:w="295" w:type="pct"/>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pStyle w:val="TableText0"/>
              <w:jc w:val="center"/>
              <w:rPr>
                <w:b/>
                <w:szCs w:val="20"/>
              </w:rPr>
            </w:pPr>
            <w:r w:rsidRPr="00D34003">
              <w:rPr>
                <w:b/>
                <w:szCs w:val="20"/>
              </w:rPr>
              <w:t>SOC</w:t>
            </w:r>
          </w:p>
        </w:tc>
        <w:tc>
          <w:tcPr>
            <w:tcW w:w="899" w:type="pct"/>
            <w:gridSpan w:val="2"/>
            <w:vMerge/>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jc w:val="center"/>
              <w:rPr>
                <w:rFonts w:ascii="Arial Narrow" w:hAnsi="Arial Narrow"/>
                <w:b/>
                <w:sz w:val="20"/>
                <w:szCs w:val="20"/>
              </w:rPr>
            </w:pPr>
          </w:p>
        </w:tc>
      </w:tr>
      <w:tr w:rsidR="00EE3881" w:rsidRPr="00D34003" w:rsidTr="004B72BE">
        <w:trPr>
          <w:trHeight w:val="338"/>
        </w:trPr>
        <w:tc>
          <w:tcPr>
            <w:tcW w:w="1075" w:type="pct"/>
            <w:tcBorders>
              <w:top w:val="single" w:sz="4" w:space="0" w:color="auto"/>
              <w:left w:val="single" w:sz="4" w:space="0" w:color="auto"/>
              <w:bottom w:val="single" w:sz="4" w:space="0" w:color="auto"/>
              <w:right w:val="single" w:sz="4" w:space="0" w:color="auto"/>
            </w:tcBorders>
            <w:shd w:val="clear" w:color="auto" w:fill="auto"/>
            <w:hideMark/>
          </w:tcPr>
          <w:p w:rsidR="00EE3881" w:rsidRPr="00D34003" w:rsidRDefault="00EE3881" w:rsidP="006F2DEF">
            <w:pPr>
              <w:pStyle w:val="TableText0"/>
              <w:rPr>
                <w:szCs w:val="20"/>
              </w:rPr>
            </w:pPr>
            <w:r w:rsidRPr="00D34003">
              <w:rPr>
                <w:szCs w:val="20"/>
              </w:rPr>
              <w:t>With toxicity grade 3-5 treatment adverse event</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EE3881" w:rsidP="006F2DEF">
            <w:pPr>
              <w:pStyle w:val="TableText0"/>
              <w:jc w:val="center"/>
              <w:rPr>
                <w:szCs w:val="20"/>
              </w:rPr>
            </w:pPr>
            <w:r w:rsidRPr="00D34003">
              <w:rPr>
                <w:szCs w:val="20"/>
              </w:rPr>
              <w:t>44</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EE3881" w:rsidP="006F2DEF">
            <w:pPr>
              <w:pStyle w:val="TableText0"/>
              <w:jc w:val="center"/>
              <w:rPr>
                <w:szCs w:val="20"/>
              </w:rPr>
            </w:pPr>
            <w:r w:rsidRPr="00D34003">
              <w:rPr>
                <w:szCs w:val="20"/>
              </w:rPr>
              <w:t>128</w:t>
            </w: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EE3881" w:rsidP="006F2DEF">
            <w:pPr>
              <w:pStyle w:val="TableText0"/>
              <w:jc w:val="center"/>
              <w:rPr>
                <w:b/>
                <w:szCs w:val="20"/>
              </w:rPr>
            </w:pPr>
            <w:r w:rsidRPr="00D34003">
              <w:rPr>
                <w:b/>
                <w:szCs w:val="20"/>
              </w:rPr>
              <w:t>0.68 (0.62, 0.76)</w:t>
            </w: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EE3881" w:rsidP="006F2DEF">
            <w:pPr>
              <w:pStyle w:val="TableText0"/>
              <w:jc w:val="center"/>
              <w:rPr>
                <w:szCs w:val="20"/>
              </w:rPr>
            </w:pPr>
            <w:r w:rsidRPr="00D34003">
              <w:rPr>
                <w:szCs w:val="20"/>
              </w:rPr>
              <w:t>16.5</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EE3881" w:rsidP="006F2DEF">
            <w:pPr>
              <w:pStyle w:val="TableText0"/>
              <w:jc w:val="center"/>
              <w:rPr>
                <w:szCs w:val="20"/>
              </w:rPr>
            </w:pPr>
            <w:r w:rsidRPr="00D34003">
              <w:rPr>
                <w:szCs w:val="20"/>
              </w:rPr>
              <w:t>50.2</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EE3881" w:rsidP="006F2DEF">
            <w:pPr>
              <w:pStyle w:val="TableText0"/>
              <w:jc w:val="center"/>
              <w:rPr>
                <w:szCs w:val="20"/>
              </w:rPr>
            </w:pPr>
            <w:r w:rsidRPr="00D34003">
              <w:rPr>
                <w:szCs w:val="20"/>
              </w:rPr>
              <w:t>-28.6% (-35.4, -21.7)</w:t>
            </w:r>
          </w:p>
        </w:tc>
      </w:tr>
      <w:tr w:rsidR="00EE3881" w:rsidRPr="00D34003" w:rsidTr="004B72BE">
        <w:tc>
          <w:tcPr>
            <w:tcW w:w="1075" w:type="pct"/>
            <w:tcBorders>
              <w:top w:val="single" w:sz="4" w:space="0" w:color="auto"/>
              <w:left w:val="single" w:sz="4" w:space="0" w:color="auto"/>
              <w:bottom w:val="single" w:sz="4" w:space="0" w:color="auto"/>
              <w:right w:val="single" w:sz="4" w:space="0" w:color="auto"/>
            </w:tcBorders>
            <w:shd w:val="clear" w:color="auto" w:fill="auto"/>
          </w:tcPr>
          <w:p w:rsidR="00EE3881" w:rsidRPr="00D34003" w:rsidDel="00715D2B" w:rsidRDefault="00EE3881" w:rsidP="006F2DEF">
            <w:pPr>
              <w:pStyle w:val="TableText0"/>
              <w:rPr>
                <w:szCs w:val="20"/>
              </w:rPr>
            </w:pPr>
            <w:r w:rsidRPr="00D34003">
              <w:rPr>
                <w:szCs w:val="20"/>
              </w:rPr>
              <w:t>Discontinued due to serious drug related adverse event</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highlight w:val="black"/>
              </w:rPr>
            </w:pPr>
            <w:r>
              <w:rPr>
                <w:noProof/>
                <w:color w:val="000000"/>
                <w:szCs w:val="20"/>
                <w:highlight w:val="black"/>
              </w:rPr>
              <w:t>'''''''</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highlight w:val="black"/>
              </w:rPr>
            </w:pPr>
            <w:r>
              <w:rPr>
                <w:noProof/>
                <w:color w:val="000000"/>
                <w:szCs w:val="20"/>
                <w:highlight w:val="black"/>
              </w:rPr>
              <w:t>''''''</w:t>
            </w: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rPr>
            </w:pPr>
            <w:r>
              <w:rPr>
                <w:noProof/>
                <w:color w:val="000000"/>
                <w:szCs w:val="20"/>
                <w:highlight w:val="black"/>
              </w:rPr>
              <w:t xml:space="preserve">'''''''''''' </w:t>
            </w:r>
            <w:r w:rsidR="00EE3881" w:rsidRPr="00296AF0">
              <w:rPr>
                <w:szCs w:val="20"/>
              </w:rPr>
              <w:t>(</w:t>
            </w:r>
            <w:r>
              <w:rPr>
                <w:noProof/>
                <w:color w:val="000000"/>
                <w:szCs w:val="20"/>
                <w:highlight w:val="black"/>
              </w:rPr>
              <w:t>'''''''''''</w:t>
            </w:r>
            <w:r w:rsidR="00EE3881" w:rsidRPr="00296AF0">
              <w:rPr>
                <w:szCs w:val="20"/>
              </w:rPr>
              <w:t xml:space="preserve">, </w:t>
            </w:r>
            <w:r>
              <w:rPr>
                <w:noProof/>
                <w:color w:val="000000"/>
                <w:szCs w:val="20"/>
                <w:highlight w:val="black"/>
              </w:rPr>
              <w:t>''''''''''</w:t>
            </w:r>
            <w:r w:rsidR="00EE3881" w:rsidRPr="00296AF0">
              <w:rPr>
                <w:szCs w:val="20"/>
              </w:rPr>
              <w:t>)</w:t>
            </w: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highlight w:val="black"/>
              </w:rPr>
            </w:pPr>
            <w:r>
              <w:rPr>
                <w:noProof/>
                <w:color w:val="000000"/>
                <w:szCs w:val="20"/>
                <w:highlight w:val="black"/>
              </w:rPr>
              <w:t>'''''''</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highlight w:val="black"/>
              </w:rPr>
            </w:pPr>
            <w:r>
              <w:rPr>
                <w:noProof/>
                <w:color w:val="000000"/>
                <w:szCs w:val="20"/>
                <w:highlight w:val="black"/>
              </w:rPr>
              <w:t>'''''''</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504C28" w:rsidP="006F2DEF">
            <w:pPr>
              <w:pStyle w:val="TableText0"/>
              <w:jc w:val="center"/>
              <w:rPr>
                <w:szCs w:val="20"/>
              </w:rPr>
            </w:pPr>
            <w:r>
              <w:rPr>
                <w:noProof/>
                <w:color w:val="000000"/>
                <w:szCs w:val="20"/>
                <w:highlight w:val="black"/>
              </w:rPr>
              <w:t>''''''''''</w:t>
            </w:r>
            <w:r w:rsidR="00EE3881" w:rsidRPr="00D34003">
              <w:rPr>
                <w:szCs w:val="20"/>
              </w:rPr>
              <w:t>% (</w:t>
            </w:r>
            <w:r>
              <w:rPr>
                <w:noProof/>
                <w:color w:val="000000"/>
                <w:szCs w:val="20"/>
                <w:highlight w:val="black"/>
              </w:rPr>
              <w:t>'''''''''</w:t>
            </w:r>
            <w:r w:rsidR="00EE3881" w:rsidRPr="00D34003">
              <w:rPr>
                <w:szCs w:val="20"/>
              </w:rPr>
              <w:t>,</w:t>
            </w:r>
            <w:r>
              <w:rPr>
                <w:noProof/>
                <w:color w:val="000000"/>
                <w:szCs w:val="20"/>
                <w:highlight w:val="black"/>
              </w:rPr>
              <w:t xml:space="preserve"> '''''''''</w:t>
            </w:r>
            <w:r w:rsidR="00EE3881" w:rsidRPr="00D34003">
              <w:rPr>
                <w:szCs w:val="20"/>
              </w:rPr>
              <w:t>)</w:t>
            </w:r>
          </w:p>
        </w:tc>
      </w:tr>
      <w:tr w:rsidR="00EE3881" w:rsidRPr="00D34003" w:rsidTr="004B72BE">
        <w:tc>
          <w:tcPr>
            <w:tcW w:w="1075" w:type="pct"/>
            <w:tcBorders>
              <w:top w:val="single" w:sz="4" w:space="0" w:color="auto"/>
              <w:left w:val="single" w:sz="4" w:space="0" w:color="auto"/>
              <w:bottom w:val="single" w:sz="4" w:space="0" w:color="auto"/>
              <w:right w:val="single" w:sz="4" w:space="0" w:color="auto"/>
            </w:tcBorders>
            <w:shd w:val="clear" w:color="auto" w:fill="auto"/>
          </w:tcPr>
          <w:p w:rsidR="00EE3881" w:rsidRPr="00D34003" w:rsidDel="00715D2B" w:rsidRDefault="00EE3881" w:rsidP="006F2DEF">
            <w:pPr>
              <w:pStyle w:val="TableText0"/>
              <w:rPr>
                <w:szCs w:val="20"/>
              </w:rPr>
            </w:pPr>
            <w:r w:rsidRPr="00D34003">
              <w:rPr>
                <w:szCs w:val="20"/>
              </w:rPr>
              <w:t>Died due to treatment related adverse even</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highlight w:val="black"/>
              </w:rPr>
            </w:pPr>
            <w:r>
              <w:rPr>
                <w:noProof/>
                <w:color w:val="000000"/>
                <w:szCs w:val="20"/>
                <w:highlight w:val="black"/>
              </w:rPr>
              <w:t>'''</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highlight w:val="black"/>
              </w:rPr>
            </w:pPr>
            <w:r>
              <w:rPr>
                <w:noProof/>
                <w:color w:val="000000"/>
                <w:szCs w:val="20"/>
                <w:highlight w:val="black"/>
              </w:rPr>
              <w:t>''''</w:t>
            </w:r>
          </w:p>
        </w:tc>
        <w:tc>
          <w:tcPr>
            <w:tcW w:w="839"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rPr>
            </w:pPr>
            <w:r>
              <w:rPr>
                <w:noProof/>
                <w:color w:val="000000"/>
                <w:szCs w:val="20"/>
                <w:highlight w:val="black"/>
              </w:rPr>
              <w:t>''''''''''</w:t>
            </w:r>
            <w:r w:rsidR="00EE3881" w:rsidRPr="00296AF0">
              <w:rPr>
                <w:szCs w:val="20"/>
              </w:rPr>
              <w:t xml:space="preserve"> (</w:t>
            </w:r>
            <w:r>
              <w:rPr>
                <w:noProof/>
                <w:color w:val="000000"/>
                <w:szCs w:val="20"/>
                <w:highlight w:val="black"/>
              </w:rPr>
              <w:t>''''''''''</w:t>
            </w:r>
            <w:r w:rsidR="00EE3881" w:rsidRPr="00296AF0">
              <w:rPr>
                <w:szCs w:val="20"/>
              </w:rPr>
              <w:t>,</w:t>
            </w:r>
            <w:r>
              <w:rPr>
                <w:noProof/>
                <w:color w:val="000000"/>
                <w:szCs w:val="20"/>
                <w:highlight w:val="black"/>
              </w:rPr>
              <w:t>''''''''''</w:t>
            </w:r>
            <w:r w:rsidR="00EE3881" w:rsidRPr="00296AF0">
              <w:rPr>
                <w:szCs w:val="20"/>
              </w:rPr>
              <w:t>)</w:t>
            </w: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highlight w:val="black"/>
              </w:rPr>
            </w:pPr>
            <w:r>
              <w:rPr>
                <w:noProof/>
                <w:color w:val="000000"/>
                <w:szCs w:val="20"/>
                <w:highlight w:val="black"/>
              </w:rPr>
              <w:t>''''''''</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EE3881" w:rsidRPr="00504C28" w:rsidRDefault="00504C28" w:rsidP="006F2DEF">
            <w:pPr>
              <w:pStyle w:val="TableText0"/>
              <w:jc w:val="center"/>
              <w:rPr>
                <w:szCs w:val="20"/>
                <w:highlight w:val="black"/>
              </w:rPr>
            </w:pPr>
            <w:r>
              <w:rPr>
                <w:noProof/>
                <w:color w:val="000000"/>
                <w:szCs w:val="20"/>
                <w:highlight w:val="black"/>
              </w:rPr>
              <w:t>''''''''</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tcPr>
          <w:p w:rsidR="00EE3881" w:rsidRPr="00D34003" w:rsidRDefault="00504C28" w:rsidP="006F2DEF">
            <w:pPr>
              <w:pStyle w:val="TableText0"/>
              <w:jc w:val="center"/>
              <w:rPr>
                <w:szCs w:val="20"/>
              </w:rPr>
            </w:pPr>
            <w:r>
              <w:rPr>
                <w:noProof/>
                <w:color w:val="000000"/>
                <w:szCs w:val="20"/>
                <w:highlight w:val="black"/>
              </w:rPr>
              <w:t>'''''''''</w:t>
            </w:r>
            <w:r w:rsidR="00EE3881" w:rsidRPr="00D34003">
              <w:rPr>
                <w:szCs w:val="20"/>
              </w:rPr>
              <w:t>% (</w:t>
            </w:r>
            <w:r>
              <w:rPr>
                <w:noProof/>
                <w:color w:val="000000"/>
                <w:szCs w:val="20"/>
                <w:highlight w:val="black"/>
              </w:rPr>
              <w:t>''''''''''</w:t>
            </w:r>
            <w:r w:rsidR="00EE3881" w:rsidRPr="00D34003">
              <w:rPr>
                <w:szCs w:val="20"/>
              </w:rPr>
              <w:t>,</w:t>
            </w:r>
            <w:r>
              <w:rPr>
                <w:noProof/>
                <w:color w:val="000000"/>
                <w:szCs w:val="20"/>
                <w:highlight w:val="black"/>
              </w:rPr>
              <w:t>''''''''</w:t>
            </w:r>
            <w:r w:rsidR="00EE3881" w:rsidRPr="00D34003">
              <w:rPr>
                <w:szCs w:val="20"/>
              </w:rPr>
              <w:t>)</w:t>
            </w:r>
          </w:p>
        </w:tc>
      </w:tr>
    </w:tbl>
    <w:p w:rsidR="00706810" w:rsidRPr="00D34003" w:rsidRDefault="00706810" w:rsidP="00265CD0">
      <w:pPr>
        <w:pStyle w:val="TableFooter"/>
      </w:pPr>
      <w:r w:rsidRPr="00D34003">
        <w:t>Abbreviations: CI = confidence interval; HR = hazard ratio;</w:t>
      </w:r>
      <w:r w:rsidR="00132366" w:rsidRPr="00D34003">
        <w:t xml:space="preserve"> n= number of participants with event;</w:t>
      </w:r>
      <w:r w:rsidRPr="00D34003">
        <w:t xml:space="preserve"> </w:t>
      </w:r>
      <w:r w:rsidRPr="00D34003">
        <w:rPr>
          <w:rFonts w:eastAsia="Calibri"/>
        </w:rPr>
        <w:t>N = total participants in group;</w:t>
      </w:r>
      <w:r w:rsidRPr="00D34003">
        <w:t xml:space="preserve"> SOC = standard of care.</w:t>
      </w:r>
    </w:p>
    <w:p w:rsidR="00706810" w:rsidRPr="00D34003" w:rsidRDefault="00706810" w:rsidP="00265CD0">
      <w:pPr>
        <w:pStyle w:val="TableFooter"/>
      </w:pPr>
      <w:r w:rsidRPr="00D34003">
        <w:t xml:space="preserve">Source: </w:t>
      </w:r>
      <w:r w:rsidR="00A93AA2" w:rsidRPr="00D34003">
        <w:t xml:space="preserve">Table 2-14 p54, </w:t>
      </w:r>
      <w:r w:rsidRPr="00D34003">
        <w:t>Table 2-20 p.69-70 of the resubmission; compiled during the evaluation</w:t>
      </w:r>
    </w:p>
    <w:p w:rsidR="00706810" w:rsidRPr="00D34003" w:rsidRDefault="00706810" w:rsidP="007A587E">
      <w:pPr>
        <w:pStyle w:val="TableFooter"/>
      </w:pPr>
      <w:r w:rsidRPr="00D34003">
        <w:t>Notes: *Median duration of follow-up: 27.7 months</w:t>
      </w:r>
      <w:r w:rsidR="00980FC7" w:rsidRPr="00D34003">
        <w:t>; bold text indicates statistically significant results.</w:t>
      </w:r>
    </w:p>
    <w:p w:rsidR="00884669" w:rsidRPr="00D34003" w:rsidRDefault="00884669" w:rsidP="007A587E">
      <w:pPr>
        <w:pStyle w:val="TableFooter"/>
      </w:pPr>
    </w:p>
    <w:p w:rsidR="00706810" w:rsidRPr="00D34003" w:rsidRDefault="00706810" w:rsidP="007A7E9A">
      <w:pPr>
        <w:pStyle w:val="ListParagraph"/>
        <w:widowControl/>
        <w:numPr>
          <w:ilvl w:val="1"/>
          <w:numId w:val="1"/>
        </w:numPr>
        <w:spacing w:before="120"/>
      </w:pPr>
      <w:r w:rsidRPr="00D34003">
        <w:t xml:space="preserve">On the basis of the direct comparison presented by the </w:t>
      </w:r>
      <w:r w:rsidR="008B522E" w:rsidRPr="00D34003">
        <w:t>re</w:t>
      </w:r>
      <w:r w:rsidRPr="00D34003">
        <w:t>submission, for every 100 patients treated with pembrolizumab rather than SOC</w:t>
      </w:r>
      <w:r w:rsidR="00D06621" w:rsidRPr="00D34003">
        <w:t>, there would be</w:t>
      </w:r>
      <w:r w:rsidR="008B522E" w:rsidRPr="00D34003">
        <w:t xml:space="preserve">: </w:t>
      </w:r>
      <w:r w:rsidRPr="00D34003">
        <w:t xml:space="preserve"> </w:t>
      </w:r>
    </w:p>
    <w:p w:rsidR="001678C6" w:rsidRPr="00D34003" w:rsidRDefault="00D06621" w:rsidP="007A7E9A">
      <w:pPr>
        <w:pStyle w:val="ListParagraph"/>
        <w:widowControl/>
        <w:numPr>
          <w:ilvl w:val="1"/>
          <w:numId w:val="9"/>
        </w:numPr>
        <w:spacing w:after="0"/>
        <w:ind w:left="1077" w:hanging="357"/>
      </w:pPr>
      <w:r w:rsidRPr="00D34003">
        <w:t>a</w:t>
      </w:r>
      <w:r w:rsidR="00706810" w:rsidRPr="00D34003">
        <w:t xml:space="preserve">pproximately </w:t>
      </w:r>
      <w:r w:rsidR="00504C28">
        <w:rPr>
          <w:noProof/>
          <w:color w:val="000000"/>
          <w:highlight w:val="black"/>
        </w:rPr>
        <w:t>''''''</w:t>
      </w:r>
      <w:r w:rsidR="00DD3734" w:rsidRPr="00D34003">
        <w:t xml:space="preserve"> </w:t>
      </w:r>
      <w:r w:rsidR="004B72BE" w:rsidRPr="00D34003">
        <w:t>additional</w:t>
      </w:r>
      <w:r w:rsidR="001678C6" w:rsidRPr="00D34003">
        <w:t xml:space="preserve"> </w:t>
      </w:r>
      <w:r w:rsidR="00884669" w:rsidRPr="00D34003">
        <w:t>patient</w:t>
      </w:r>
      <w:r w:rsidR="004B72BE" w:rsidRPr="00D34003">
        <w:t>s alive 18 months after the start of treatment</w:t>
      </w:r>
      <w:r w:rsidRPr="00D34003">
        <w:t>;</w:t>
      </w:r>
    </w:p>
    <w:p w:rsidR="005137D5" w:rsidRPr="00D34003" w:rsidRDefault="00321F5C" w:rsidP="007A7E9A">
      <w:pPr>
        <w:pStyle w:val="ListParagraph"/>
        <w:widowControl/>
        <w:numPr>
          <w:ilvl w:val="1"/>
          <w:numId w:val="9"/>
        </w:numPr>
        <w:spacing w:after="0"/>
        <w:ind w:left="1077" w:hanging="357"/>
      </w:pPr>
      <w:proofErr w:type="gramStart"/>
      <w:r w:rsidRPr="00D34003">
        <w:t>approximately</w:t>
      </w:r>
      <w:proofErr w:type="gramEnd"/>
      <w:r w:rsidRPr="00D34003">
        <w:t xml:space="preserve"> </w:t>
      </w:r>
      <w:r w:rsidR="00504C28">
        <w:rPr>
          <w:noProof/>
          <w:color w:val="000000"/>
          <w:highlight w:val="black"/>
        </w:rPr>
        <w:t>'''''</w:t>
      </w:r>
      <w:r w:rsidR="008B522E" w:rsidRPr="00D34003">
        <w:t xml:space="preserve"> </w:t>
      </w:r>
      <w:r w:rsidR="00706810" w:rsidRPr="00D34003">
        <w:t>fewer treatment related grade 3-5 adverse events</w:t>
      </w:r>
      <w:r w:rsidR="004B72BE" w:rsidRPr="00D34003">
        <w:t xml:space="preserve"> over 27.7 months</w:t>
      </w:r>
      <w:r w:rsidR="00B775F6" w:rsidRPr="00D34003">
        <w:t xml:space="preserve"> follow up</w:t>
      </w:r>
      <w:r w:rsidR="00BA2CD0" w:rsidRPr="00D34003">
        <w:t>.</w:t>
      </w:r>
    </w:p>
    <w:p w:rsidR="00706810" w:rsidRPr="00D34003" w:rsidRDefault="00706810" w:rsidP="005137D5">
      <w:pPr>
        <w:pStyle w:val="ListParagraph"/>
        <w:widowControl/>
        <w:spacing w:after="0"/>
        <w:ind w:left="1077"/>
      </w:pPr>
    </w:p>
    <w:p w:rsidR="00706810" w:rsidRPr="00683C6F" w:rsidRDefault="00706810" w:rsidP="005961E0">
      <w:pPr>
        <w:pStyle w:val="Heading2"/>
      </w:pPr>
      <w:bookmarkStart w:id="21" w:name="_Toc511305031"/>
      <w:bookmarkStart w:id="22" w:name="_Toc514243673"/>
      <w:r w:rsidRPr="00683C6F">
        <w:t>Clinical claim</w:t>
      </w:r>
      <w:bookmarkEnd w:id="21"/>
      <w:bookmarkEnd w:id="22"/>
    </w:p>
    <w:p w:rsidR="00706810" w:rsidRPr="00D34003" w:rsidRDefault="00706810" w:rsidP="007A7E9A">
      <w:pPr>
        <w:pStyle w:val="ListParagraph"/>
        <w:widowControl/>
        <w:numPr>
          <w:ilvl w:val="1"/>
          <w:numId w:val="1"/>
        </w:numPr>
        <w:spacing w:before="120" w:after="120"/>
      </w:pPr>
      <w:r w:rsidRPr="00D34003">
        <w:t>Pembrolizumab is superior to SOC in</w:t>
      </w:r>
      <w:r w:rsidR="00DE1237" w:rsidRPr="00D34003">
        <w:t xml:space="preserve"> terms of</w:t>
      </w:r>
      <w:r w:rsidRPr="00D34003">
        <w:t xml:space="preserve"> </w:t>
      </w:r>
      <w:r w:rsidR="00DE1237" w:rsidRPr="00D34003">
        <w:t>effectiveness</w:t>
      </w:r>
      <w:r w:rsidRPr="00D34003">
        <w:t>, given</w:t>
      </w:r>
      <w:r w:rsidR="00DE1237" w:rsidRPr="00D34003">
        <w:t xml:space="preserve"> the demonstration of</w:t>
      </w:r>
      <w:r w:rsidRPr="00D34003">
        <w:t xml:space="preserve"> better OS</w:t>
      </w:r>
      <w:r w:rsidR="00BA2CD0" w:rsidRPr="00D34003">
        <w:t xml:space="preserve">, higher and more durable </w:t>
      </w:r>
      <w:r w:rsidRPr="00D34003">
        <w:t>response rates</w:t>
      </w:r>
      <w:r w:rsidR="00AC5772" w:rsidRPr="00D34003">
        <w:t xml:space="preserve"> </w:t>
      </w:r>
      <w:r w:rsidRPr="00D34003">
        <w:t xml:space="preserve">and improved </w:t>
      </w:r>
      <w:proofErr w:type="spellStart"/>
      <w:r w:rsidRPr="00D34003">
        <w:t>HRQoL</w:t>
      </w:r>
      <w:proofErr w:type="spellEnd"/>
      <w:r w:rsidRPr="00D34003">
        <w:t xml:space="preserve">. Pembrolizumab was non-inferior to SOC with respect to PFS, </w:t>
      </w:r>
      <w:r w:rsidR="008B522E" w:rsidRPr="00D34003">
        <w:t xml:space="preserve">and </w:t>
      </w:r>
      <w:r w:rsidRPr="00D34003">
        <w:t xml:space="preserve">was associated with superior safety. These claims were supported by the data presented </w:t>
      </w:r>
      <w:r w:rsidR="00493444" w:rsidRPr="00D34003">
        <w:t xml:space="preserve">in the resubmission </w:t>
      </w:r>
      <w:r w:rsidRPr="00D34003">
        <w:t xml:space="preserve">and </w:t>
      </w:r>
      <w:r w:rsidR="00493444" w:rsidRPr="00D34003">
        <w:t xml:space="preserve">consistent with the data presented in </w:t>
      </w:r>
      <w:r w:rsidRPr="00D34003">
        <w:t xml:space="preserve">the November 2017 submission. </w:t>
      </w:r>
    </w:p>
    <w:p w:rsidR="00445C25" w:rsidRPr="00D34003" w:rsidRDefault="00445C25" w:rsidP="007A7E9A">
      <w:pPr>
        <w:pStyle w:val="ListParagraph"/>
        <w:widowControl/>
        <w:numPr>
          <w:ilvl w:val="1"/>
          <w:numId w:val="1"/>
        </w:numPr>
        <w:spacing w:before="120" w:after="120"/>
      </w:pPr>
      <w:r w:rsidRPr="00D34003">
        <w:rPr>
          <w:rFonts w:asciiTheme="minorHAnsi" w:hAnsiTheme="minorHAnsi"/>
          <w:szCs w:val="20"/>
        </w:rPr>
        <w:t>The PBAC considered that the claims of superior comparative effectiveness and safety were reasonable and adequately supported by the data.</w:t>
      </w:r>
    </w:p>
    <w:p w:rsidR="00706810" w:rsidRPr="00683C6F" w:rsidRDefault="00706810" w:rsidP="00680C1E">
      <w:pPr>
        <w:pStyle w:val="Heading2"/>
        <w:keepNext/>
        <w:spacing w:after="120"/>
      </w:pPr>
      <w:bookmarkStart w:id="23" w:name="_Toc511305032"/>
      <w:bookmarkStart w:id="24" w:name="_Toc514243674"/>
      <w:r w:rsidRPr="00683C6F">
        <w:lastRenderedPageBreak/>
        <w:t>Economic analysis</w:t>
      </w:r>
      <w:bookmarkEnd w:id="23"/>
      <w:bookmarkEnd w:id="24"/>
      <w:r w:rsidRPr="00683C6F">
        <w:t xml:space="preserve"> </w:t>
      </w:r>
    </w:p>
    <w:p w:rsidR="00706810" w:rsidRPr="00D34003" w:rsidRDefault="00706810" w:rsidP="007A7E9A">
      <w:pPr>
        <w:pStyle w:val="ListParagraph"/>
        <w:widowControl/>
        <w:numPr>
          <w:ilvl w:val="1"/>
          <w:numId w:val="1"/>
        </w:numPr>
      </w:pPr>
      <w:r w:rsidRPr="00D34003">
        <w:t xml:space="preserve">The </w:t>
      </w:r>
      <w:r w:rsidR="00BF5165" w:rsidRPr="00D34003">
        <w:t>resubmission</w:t>
      </w:r>
      <w:r w:rsidRPr="00D34003">
        <w:t xml:space="preserve"> presented a cost-effectiveness analysis (CEA) and cost-utility analysis (CUA). Health benefits were reported as life years gained (LYGs) and quality adjusted life years (QALYs) gained, respectively. </w:t>
      </w:r>
    </w:p>
    <w:p w:rsidR="00706810" w:rsidRPr="00D34003" w:rsidRDefault="00706810" w:rsidP="007A7E9A">
      <w:pPr>
        <w:pStyle w:val="ListParagraph"/>
        <w:widowControl/>
        <w:numPr>
          <w:ilvl w:val="1"/>
          <w:numId w:val="1"/>
        </w:numPr>
      </w:pPr>
      <w:r w:rsidRPr="00D34003">
        <w:rPr>
          <w:rFonts w:cs="Calibri"/>
          <w:snapToGrid/>
          <w:szCs w:val="24"/>
          <w:lang w:eastAsia="en-AU"/>
        </w:rPr>
        <w:t xml:space="preserve">Several changes were implemented </w:t>
      </w:r>
      <w:r w:rsidR="00764BAE" w:rsidRPr="00D34003">
        <w:rPr>
          <w:rFonts w:cs="Calibri"/>
          <w:snapToGrid/>
          <w:szCs w:val="24"/>
          <w:lang w:eastAsia="en-AU"/>
        </w:rPr>
        <w:t xml:space="preserve">in </w:t>
      </w:r>
      <w:r w:rsidRPr="00D34003">
        <w:rPr>
          <w:rFonts w:cs="Calibri"/>
          <w:snapToGrid/>
          <w:szCs w:val="24"/>
          <w:lang w:eastAsia="en-AU"/>
        </w:rPr>
        <w:t xml:space="preserve">the economic </w:t>
      </w:r>
      <w:r w:rsidR="00D34003" w:rsidRPr="00D34003">
        <w:rPr>
          <w:rFonts w:cs="Calibri"/>
          <w:snapToGrid/>
          <w:szCs w:val="24"/>
          <w:lang w:eastAsia="en-AU"/>
        </w:rPr>
        <w:t>evaluation that</w:t>
      </w:r>
      <w:r w:rsidRPr="00D34003">
        <w:rPr>
          <w:rFonts w:cs="Calibri"/>
          <w:snapToGrid/>
          <w:szCs w:val="24"/>
          <w:lang w:eastAsia="en-AU"/>
        </w:rPr>
        <w:t xml:space="preserve"> are summari</w:t>
      </w:r>
      <w:r w:rsidR="008B522E" w:rsidRPr="00D34003">
        <w:rPr>
          <w:rFonts w:cs="Calibri"/>
          <w:snapToGrid/>
          <w:szCs w:val="24"/>
          <w:lang w:eastAsia="en-AU"/>
        </w:rPr>
        <w:t>s</w:t>
      </w:r>
      <w:r w:rsidRPr="00D34003">
        <w:rPr>
          <w:rFonts w:cs="Calibri"/>
          <w:snapToGrid/>
          <w:szCs w:val="24"/>
          <w:lang w:eastAsia="en-AU"/>
        </w:rPr>
        <w:t xml:space="preserve">ed in Table </w:t>
      </w:r>
      <w:r w:rsidR="00B32121" w:rsidRPr="00D34003">
        <w:rPr>
          <w:rFonts w:cs="Calibri"/>
          <w:snapToGrid/>
          <w:szCs w:val="24"/>
          <w:lang w:eastAsia="en-AU"/>
        </w:rPr>
        <w:t>1</w:t>
      </w:r>
      <w:r w:rsidR="00884669" w:rsidRPr="00D34003">
        <w:rPr>
          <w:rFonts w:cs="Calibri"/>
          <w:snapToGrid/>
          <w:szCs w:val="24"/>
          <w:lang w:eastAsia="en-AU"/>
        </w:rPr>
        <w:t>1</w:t>
      </w:r>
      <w:r w:rsidRPr="00D34003">
        <w:rPr>
          <w:rFonts w:cs="Calibri"/>
          <w:snapToGrid/>
          <w:szCs w:val="24"/>
          <w:lang w:eastAsia="en-AU"/>
        </w:rPr>
        <w:t xml:space="preserve">. </w:t>
      </w:r>
    </w:p>
    <w:p w:rsidR="00706810" w:rsidRPr="00D34003" w:rsidRDefault="00706810" w:rsidP="00265CD0">
      <w:pPr>
        <w:rPr>
          <w:rStyle w:val="CommentReference"/>
        </w:rPr>
      </w:pPr>
      <w:proofErr w:type="gramStart"/>
      <w:r w:rsidRPr="00D34003">
        <w:rPr>
          <w:rStyle w:val="CommentReference"/>
        </w:rPr>
        <w:t>Table 1</w:t>
      </w:r>
      <w:r w:rsidR="00884669" w:rsidRPr="00D34003">
        <w:rPr>
          <w:rStyle w:val="CommentReference"/>
        </w:rPr>
        <w:t>1</w:t>
      </w:r>
      <w:r w:rsidRPr="00D34003">
        <w:rPr>
          <w:rStyle w:val="CommentReference"/>
        </w:rPr>
        <w:t>: Summary of model structure, rationale and differences between the November 2017 submission and March 2018 resubmission.</w:t>
      </w:r>
      <w:proofErr w:type="gramEnd"/>
      <w:r w:rsidRPr="00D34003">
        <w:rPr>
          <w:rStyle w:val="CommentReferenc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1: Summary of model structure, rationale and differences between the November 2017 submission and March 2018 resubmission."/>
      </w:tblPr>
      <w:tblGrid>
        <w:gridCol w:w="1975"/>
        <w:gridCol w:w="3277"/>
        <w:gridCol w:w="3831"/>
      </w:tblGrid>
      <w:tr w:rsidR="00706810" w:rsidRPr="00D34003" w:rsidTr="00FB1D3B">
        <w:trPr>
          <w:tblHeader/>
        </w:trPr>
        <w:tc>
          <w:tcPr>
            <w:tcW w:w="1087" w:type="pct"/>
          </w:tcPr>
          <w:p w:rsidR="00706810" w:rsidRPr="00D34003" w:rsidRDefault="00706810" w:rsidP="00265CD0">
            <w:pPr>
              <w:pStyle w:val="Tabletext"/>
              <w:rPr>
                <w:b/>
              </w:rPr>
            </w:pPr>
            <w:r w:rsidRPr="00D34003">
              <w:rPr>
                <w:b/>
              </w:rPr>
              <w:t>Component</w:t>
            </w:r>
          </w:p>
        </w:tc>
        <w:tc>
          <w:tcPr>
            <w:tcW w:w="1804" w:type="pct"/>
          </w:tcPr>
          <w:p w:rsidR="00706810" w:rsidRPr="00D34003" w:rsidRDefault="00706810" w:rsidP="00FB1D3B">
            <w:pPr>
              <w:pStyle w:val="Tabletext"/>
              <w:rPr>
                <w:b/>
              </w:rPr>
            </w:pPr>
            <w:r w:rsidRPr="00D34003">
              <w:rPr>
                <w:b/>
              </w:rPr>
              <w:t>November 2017 submission</w:t>
            </w:r>
          </w:p>
        </w:tc>
        <w:tc>
          <w:tcPr>
            <w:tcW w:w="2109" w:type="pct"/>
          </w:tcPr>
          <w:p w:rsidR="00706810" w:rsidRPr="00D34003" w:rsidRDefault="00706810" w:rsidP="00FB1D3B">
            <w:pPr>
              <w:pStyle w:val="Tabletext"/>
              <w:rPr>
                <w:b/>
              </w:rPr>
            </w:pPr>
            <w:r w:rsidRPr="00D34003">
              <w:rPr>
                <w:b/>
              </w:rPr>
              <w:t>Base Case of resubmission</w:t>
            </w:r>
          </w:p>
        </w:tc>
      </w:tr>
      <w:tr w:rsidR="00706810" w:rsidRPr="00D34003" w:rsidTr="00FB1D3B">
        <w:tc>
          <w:tcPr>
            <w:tcW w:w="1087" w:type="pct"/>
          </w:tcPr>
          <w:p w:rsidR="00706810" w:rsidRPr="00D34003" w:rsidRDefault="00706810" w:rsidP="00265CD0">
            <w:pPr>
              <w:pStyle w:val="Tabletext"/>
            </w:pPr>
            <w:r w:rsidRPr="00D34003">
              <w:t>Type of analysis</w:t>
            </w:r>
          </w:p>
        </w:tc>
        <w:tc>
          <w:tcPr>
            <w:tcW w:w="1804" w:type="pct"/>
          </w:tcPr>
          <w:p w:rsidR="00706810" w:rsidRPr="00D34003" w:rsidRDefault="00706810" w:rsidP="00265CD0">
            <w:pPr>
              <w:pStyle w:val="Tabletext"/>
            </w:pPr>
            <w:r w:rsidRPr="00D34003">
              <w:t>CEA and CUA</w:t>
            </w:r>
          </w:p>
        </w:tc>
        <w:tc>
          <w:tcPr>
            <w:tcW w:w="2109" w:type="pct"/>
          </w:tcPr>
          <w:p w:rsidR="00706810" w:rsidRPr="00D34003" w:rsidRDefault="00706810" w:rsidP="00265CD0">
            <w:pPr>
              <w:pStyle w:val="Tabletext"/>
            </w:pPr>
            <w:r w:rsidRPr="00D34003">
              <w:t>No change</w:t>
            </w:r>
          </w:p>
        </w:tc>
      </w:tr>
      <w:tr w:rsidR="00706810" w:rsidRPr="00D34003" w:rsidTr="00FB1D3B">
        <w:tc>
          <w:tcPr>
            <w:tcW w:w="1087" w:type="pct"/>
          </w:tcPr>
          <w:p w:rsidR="00706810" w:rsidRPr="00D34003" w:rsidRDefault="00706810" w:rsidP="00265CD0">
            <w:pPr>
              <w:pStyle w:val="Tabletext"/>
            </w:pPr>
            <w:r w:rsidRPr="00D34003">
              <w:t>Outcomes</w:t>
            </w:r>
          </w:p>
        </w:tc>
        <w:tc>
          <w:tcPr>
            <w:tcW w:w="1804" w:type="pct"/>
          </w:tcPr>
          <w:p w:rsidR="00706810" w:rsidRPr="00D34003" w:rsidRDefault="00706810" w:rsidP="00265CD0">
            <w:pPr>
              <w:pStyle w:val="Tabletext"/>
            </w:pPr>
            <w:r w:rsidRPr="00D34003">
              <w:t>LYGs and QALYs</w:t>
            </w:r>
          </w:p>
        </w:tc>
        <w:tc>
          <w:tcPr>
            <w:tcW w:w="2109" w:type="pct"/>
          </w:tcPr>
          <w:p w:rsidR="00706810" w:rsidRPr="00D34003" w:rsidRDefault="00706810" w:rsidP="00265CD0">
            <w:pPr>
              <w:pStyle w:val="Tabletext"/>
            </w:pPr>
            <w:r w:rsidRPr="00D34003">
              <w:t>No change</w:t>
            </w:r>
          </w:p>
        </w:tc>
      </w:tr>
      <w:tr w:rsidR="00706810" w:rsidRPr="00D34003" w:rsidTr="00FB1D3B">
        <w:tc>
          <w:tcPr>
            <w:tcW w:w="1087" w:type="pct"/>
          </w:tcPr>
          <w:p w:rsidR="00706810" w:rsidRPr="00D34003" w:rsidRDefault="00706810" w:rsidP="00265CD0">
            <w:pPr>
              <w:pStyle w:val="Tabletext"/>
            </w:pPr>
            <w:r w:rsidRPr="00D34003">
              <w:t>Time horizon</w:t>
            </w:r>
          </w:p>
        </w:tc>
        <w:tc>
          <w:tcPr>
            <w:tcW w:w="1804" w:type="pct"/>
          </w:tcPr>
          <w:p w:rsidR="00706810" w:rsidRPr="00D34003" w:rsidRDefault="00706810" w:rsidP="00265CD0">
            <w:pPr>
              <w:pStyle w:val="Tabletext"/>
            </w:pPr>
            <w:r w:rsidRPr="00D34003">
              <w:t xml:space="preserve">14.1 months median follow-up in KN045 vs 5 years in the model base case. </w:t>
            </w:r>
          </w:p>
          <w:p w:rsidR="00706810" w:rsidRPr="00D34003" w:rsidRDefault="00706810" w:rsidP="00265CD0">
            <w:pPr>
              <w:pStyle w:val="Tabletext"/>
            </w:pPr>
            <w:r w:rsidRPr="00D34003">
              <w:t xml:space="preserve">Sensitivity analyses: 7 and 10 years </w:t>
            </w:r>
          </w:p>
        </w:tc>
        <w:tc>
          <w:tcPr>
            <w:tcW w:w="2109" w:type="pct"/>
          </w:tcPr>
          <w:p w:rsidR="00706810" w:rsidRPr="00D34003" w:rsidRDefault="00706810" w:rsidP="00265CD0">
            <w:pPr>
              <w:pStyle w:val="Tabletext"/>
            </w:pPr>
            <w:r w:rsidRPr="00D34003">
              <w:t xml:space="preserve">27.7 months median follow-up in </w:t>
            </w:r>
            <w:r w:rsidR="00080132" w:rsidRPr="00D34003">
              <w:t xml:space="preserve">KN045 </w:t>
            </w:r>
            <w:r w:rsidRPr="00D34003">
              <w:t xml:space="preserve">vs 7.5 years </w:t>
            </w:r>
            <w:r w:rsidR="00E653DF" w:rsidRPr="00D34003">
              <w:t>in the model base case</w:t>
            </w:r>
            <w:r w:rsidRPr="00D34003">
              <w:t>.</w:t>
            </w:r>
          </w:p>
          <w:p w:rsidR="00706810" w:rsidRPr="00D34003" w:rsidRDefault="00706810" w:rsidP="00265CD0">
            <w:pPr>
              <w:pStyle w:val="Tabletext"/>
            </w:pPr>
            <w:r w:rsidRPr="00D34003">
              <w:t>Sensitivity analyses: 5 and 10 years</w:t>
            </w:r>
          </w:p>
          <w:p w:rsidR="004D198D" w:rsidRPr="00D34003" w:rsidRDefault="004D198D" w:rsidP="000607CC">
            <w:pPr>
              <w:pStyle w:val="Tabletext"/>
            </w:pPr>
            <w:proofErr w:type="gramStart"/>
            <w:r w:rsidRPr="00D34003">
              <w:t>PSCR  willing</w:t>
            </w:r>
            <w:proofErr w:type="gramEnd"/>
            <w:r w:rsidRPr="00D34003">
              <w:t xml:space="preserve"> to accept time horizon of 6.5 years.</w:t>
            </w:r>
          </w:p>
        </w:tc>
      </w:tr>
      <w:tr w:rsidR="00706810" w:rsidRPr="00D34003" w:rsidTr="00FB1D3B">
        <w:tc>
          <w:tcPr>
            <w:tcW w:w="1087" w:type="pct"/>
          </w:tcPr>
          <w:p w:rsidR="00706810" w:rsidRPr="00D34003" w:rsidRDefault="00706810" w:rsidP="00265CD0">
            <w:pPr>
              <w:pStyle w:val="Tabletext"/>
            </w:pPr>
            <w:r w:rsidRPr="00D34003">
              <w:t>Methods used to generate results</w:t>
            </w:r>
          </w:p>
        </w:tc>
        <w:tc>
          <w:tcPr>
            <w:tcW w:w="1804" w:type="pct"/>
          </w:tcPr>
          <w:p w:rsidR="00706810" w:rsidRPr="00D34003" w:rsidRDefault="00706810" w:rsidP="00265CD0">
            <w:pPr>
              <w:pStyle w:val="Tabletext"/>
            </w:pPr>
            <w:r w:rsidRPr="00D34003">
              <w:t>Partitioned survival model</w:t>
            </w:r>
          </w:p>
        </w:tc>
        <w:tc>
          <w:tcPr>
            <w:tcW w:w="2109" w:type="pct"/>
          </w:tcPr>
          <w:p w:rsidR="00706810" w:rsidRPr="00D34003" w:rsidRDefault="00706810" w:rsidP="00265CD0">
            <w:pPr>
              <w:pStyle w:val="Tabletext"/>
            </w:pPr>
            <w:r w:rsidRPr="00D34003">
              <w:t>No change</w:t>
            </w:r>
          </w:p>
        </w:tc>
      </w:tr>
      <w:tr w:rsidR="00706810" w:rsidRPr="00D34003" w:rsidTr="00FB1D3B">
        <w:tc>
          <w:tcPr>
            <w:tcW w:w="1087" w:type="pct"/>
          </w:tcPr>
          <w:p w:rsidR="00706810" w:rsidRPr="00D34003" w:rsidRDefault="00706810" w:rsidP="00265CD0">
            <w:pPr>
              <w:pStyle w:val="Tabletext"/>
            </w:pPr>
            <w:r w:rsidRPr="00D34003">
              <w:t>Health states</w:t>
            </w:r>
          </w:p>
        </w:tc>
        <w:tc>
          <w:tcPr>
            <w:tcW w:w="1804" w:type="pct"/>
          </w:tcPr>
          <w:p w:rsidR="00706810" w:rsidRPr="00D34003" w:rsidRDefault="00706810" w:rsidP="00265CD0">
            <w:pPr>
              <w:pStyle w:val="Tabletext"/>
            </w:pPr>
            <w:proofErr w:type="gramStart"/>
            <w:r w:rsidRPr="00D34003">
              <w:t>Progression free</w:t>
            </w:r>
            <w:proofErr w:type="gramEnd"/>
            <w:r w:rsidRPr="00D34003">
              <w:t xml:space="preserve"> (PFS), progressive disease (PD) and dead.</w:t>
            </w:r>
          </w:p>
        </w:tc>
        <w:tc>
          <w:tcPr>
            <w:tcW w:w="2109" w:type="pct"/>
          </w:tcPr>
          <w:p w:rsidR="00706810" w:rsidRPr="00D34003" w:rsidRDefault="00706810" w:rsidP="00265CD0">
            <w:pPr>
              <w:pStyle w:val="Tabletext"/>
            </w:pPr>
            <w:r w:rsidRPr="00D34003">
              <w:t>No change</w:t>
            </w:r>
          </w:p>
        </w:tc>
      </w:tr>
      <w:tr w:rsidR="00706810" w:rsidRPr="00D34003" w:rsidTr="00FB1D3B">
        <w:tc>
          <w:tcPr>
            <w:tcW w:w="1087" w:type="pct"/>
          </w:tcPr>
          <w:p w:rsidR="00706810" w:rsidRPr="00D34003" w:rsidRDefault="00706810" w:rsidP="00265CD0">
            <w:pPr>
              <w:pStyle w:val="Tabletext"/>
            </w:pPr>
            <w:r w:rsidRPr="00D34003">
              <w:t>Cycle length</w:t>
            </w:r>
          </w:p>
        </w:tc>
        <w:tc>
          <w:tcPr>
            <w:tcW w:w="1804" w:type="pct"/>
          </w:tcPr>
          <w:p w:rsidR="00706810" w:rsidRPr="00D34003" w:rsidRDefault="00706810" w:rsidP="00265CD0">
            <w:pPr>
              <w:pStyle w:val="Tabletext"/>
            </w:pPr>
            <w:r w:rsidRPr="00D34003">
              <w:t>1 week</w:t>
            </w:r>
          </w:p>
        </w:tc>
        <w:tc>
          <w:tcPr>
            <w:tcW w:w="2109" w:type="pct"/>
          </w:tcPr>
          <w:p w:rsidR="00706810" w:rsidRPr="00D34003" w:rsidRDefault="00706810" w:rsidP="00265CD0">
            <w:pPr>
              <w:pStyle w:val="Tabletext"/>
            </w:pPr>
            <w:r w:rsidRPr="00D34003">
              <w:t>No change</w:t>
            </w:r>
          </w:p>
        </w:tc>
      </w:tr>
      <w:tr w:rsidR="00706810" w:rsidRPr="00D34003" w:rsidTr="00FB1D3B">
        <w:tc>
          <w:tcPr>
            <w:tcW w:w="1087" w:type="pct"/>
          </w:tcPr>
          <w:p w:rsidR="00706810" w:rsidRPr="00D34003" w:rsidRDefault="00706810" w:rsidP="00265CD0">
            <w:pPr>
              <w:pStyle w:val="Tabletext"/>
            </w:pPr>
            <w:r w:rsidRPr="00D34003">
              <w:t>Area under the curve</w:t>
            </w:r>
          </w:p>
        </w:tc>
        <w:tc>
          <w:tcPr>
            <w:tcW w:w="1804" w:type="pct"/>
          </w:tcPr>
          <w:p w:rsidR="00706810" w:rsidRPr="00D34003" w:rsidRDefault="00706810" w:rsidP="00265CD0">
            <w:pPr>
              <w:pStyle w:val="Tabletext"/>
            </w:pPr>
            <w:r w:rsidRPr="00D34003">
              <w:t>The KM estimates for PFS and OS were derived directly from KN045.</w:t>
            </w:r>
          </w:p>
        </w:tc>
        <w:tc>
          <w:tcPr>
            <w:tcW w:w="2109" w:type="pct"/>
          </w:tcPr>
          <w:p w:rsidR="00706810" w:rsidRPr="00D34003" w:rsidRDefault="00706810" w:rsidP="00265CD0">
            <w:pPr>
              <w:pStyle w:val="Tabletext"/>
              <w:rPr>
                <w:szCs w:val="20"/>
              </w:rPr>
            </w:pPr>
            <w:r w:rsidRPr="00D34003">
              <w:rPr>
                <w:szCs w:val="20"/>
              </w:rPr>
              <w:t xml:space="preserve">No change, except for updated data used to build the curves. </w:t>
            </w:r>
          </w:p>
        </w:tc>
      </w:tr>
      <w:tr w:rsidR="00706810" w:rsidRPr="00D34003" w:rsidTr="00FB1D3B">
        <w:tc>
          <w:tcPr>
            <w:tcW w:w="1087" w:type="pct"/>
          </w:tcPr>
          <w:p w:rsidR="00706810" w:rsidRPr="00D34003" w:rsidRDefault="00706810" w:rsidP="00265CD0">
            <w:pPr>
              <w:pStyle w:val="Tabletext"/>
            </w:pPr>
            <w:r w:rsidRPr="00D34003">
              <w:t>Perspective</w:t>
            </w:r>
          </w:p>
        </w:tc>
        <w:tc>
          <w:tcPr>
            <w:tcW w:w="1804" w:type="pct"/>
          </w:tcPr>
          <w:p w:rsidR="00706810" w:rsidRPr="00D34003" w:rsidRDefault="00706810" w:rsidP="00265CD0">
            <w:pPr>
              <w:rPr>
                <w:rFonts w:ascii="Arial Narrow" w:hAnsi="Arial Narrow"/>
                <w:sz w:val="20"/>
                <w:szCs w:val="20"/>
              </w:rPr>
            </w:pPr>
            <w:r w:rsidRPr="00D34003">
              <w:rPr>
                <w:rFonts w:ascii="Arial Narrow" w:hAnsi="Arial Narrow"/>
                <w:sz w:val="20"/>
                <w:szCs w:val="20"/>
              </w:rPr>
              <w:t>Health care perspective</w:t>
            </w:r>
          </w:p>
        </w:tc>
        <w:tc>
          <w:tcPr>
            <w:tcW w:w="2109" w:type="pct"/>
          </w:tcPr>
          <w:p w:rsidR="00706810" w:rsidRPr="00D34003" w:rsidRDefault="00706810" w:rsidP="00265CD0">
            <w:pPr>
              <w:pStyle w:val="Tabletext"/>
              <w:rPr>
                <w:szCs w:val="20"/>
              </w:rPr>
            </w:pPr>
            <w:r w:rsidRPr="00D34003">
              <w:rPr>
                <w:szCs w:val="20"/>
              </w:rPr>
              <w:t>No change</w:t>
            </w:r>
          </w:p>
        </w:tc>
      </w:tr>
      <w:tr w:rsidR="00706810" w:rsidRPr="00D34003" w:rsidTr="00FB1D3B">
        <w:tc>
          <w:tcPr>
            <w:tcW w:w="1087" w:type="pct"/>
          </w:tcPr>
          <w:p w:rsidR="00706810" w:rsidRPr="00D34003" w:rsidRDefault="00706810" w:rsidP="00265CD0">
            <w:pPr>
              <w:pStyle w:val="Tabletext"/>
            </w:pPr>
            <w:r w:rsidRPr="00D34003">
              <w:t>Discount rate</w:t>
            </w:r>
          </w:p>
        </w:tc>
        <w:tc>
          <w:tcPr>
            <w:tcW w:w="1804" w:type="pct"/>
          </w:tcPr>
          <w:p w:rsidR="00706810" w:rsidRPr="00D34003" w:rsidRDefault="00706810" w:rsidP="00265CD0">
            <w:pPr>
              <w:rPr>
                <w:rFonts w:ascii="Arial Narrow" w:hAnsi="Arial Narrow"/>
                <w:sz w:val="20"/>
                <w:szCs w:val="20"/>
              </w:rPr>
            </w:pPr>
            <w:r w:rsidRPr="00D34003">
              <w:rPr>
                <w:rFonts w:ascii="Arial Narrow" w:hAnsi="Arial Narrow"/>
                <w:sz w:val="20"/>
                <w:szCs w:val="20"/>
              </w:rPr>
              <w:t>5% per year for costs and benefits</w:t>
            </w:r>
          </w:p>
        </w:tc>
        <w:tc>
          <w:tcPr>
            <w:tcW w:w="2109" w:type="pct"/>
          </w:tcPr>
          <w:p w:rsidR="00706810" w:rsidRPr="00D34003" w:rsidRDefault="00706810" w:rsidP="00265CD0">
            <w:pPr>
              <w:pStyle w:val="Tabletext"/>
              <w:rPr>
                <w:szCs w:val="20"/>
              </w:rPr>
            </w:pPr>
            <w:r w:rsidRPr="00D34003">
              <w:rPr>
                <w:szCs w:val="20"/>
              </w:rPr>
              <w:t>No change</w:t>
            </w:r>
          </w:p>
        </w:tc>
      </w:tr>
      <w:tr w:rsidR="00706810" w:rsidRPr="00D34003" w:rsidTr="00FB1D3B">
        <w:tc>
          <w:tcPr>
            <w:tcW w:w="1087" w:type="pct"/>
          </w:tcPr>
          <w:p w:rsidR="00706810" w:rsidRPr="00D34003" w:rsidRDefault="00706810" w:rsidP="00265CD0">
            <w:pPr>
              <w:pStyle w:val="Tabletext"/>
            </w:pPr>
            <w:r w:rsidRPr="00D34003">
              <w:t>Software package</w:t>
            </w:r>
          </w:p>
        </w:tc>
        <w:tc>
          <w:tcPr>
            <w:tcW w:w="1804" w:type="pct"/>
          </w:tcPr>
          <w:p w:rsidR="00706810" w:rsidRPr="00D34003" w:rsidRDefault="00706810" w:rsidP="00265CD0">
            <w:pPr>
              <w:pStyle w:val="Tabletext"/>
            </w:pPr>
            <w:r w:rsidRPr="00D34003">
              <w:t>Excel 2010</w:t>
            </w:r>
          </w:p>
        </w:tc>
        <w:tc>
          <w:tcPr>
            <w:tcW w:w="2109" w:type="pct"/>
          </w:tcPr>
          <w:p w:rsidR="00706810" w:rsidRPr="00D34003" w:rsidRDefault="00706810" w:rsidP="00265CD0">
            <w:pPr>
              <w:pStyle w:val="Tabletext"/>
            </w:pPr>
            <w:r w:rsidRPr="00D34003">
              <w:t>No change</w:t>
            </w:r>
          </w:p>
        </w:tc>
      </w:tr>
      <w:tr w:rsidR="00706810" w:rsidRPr="00D34003" w:rsidTr="00FB1D3B">
        <w:tc>
          <w:tcPr>
            <w:tcW w:w="1087" w:type="pct"/>
          </w:tcPr>
          <w:p w:rsidR="00706810" w:rsidRPr="00D34003" w:rsidRDefault="00706810" w:rsidP="005137D5">
            <w:pPr>
              <w:pStyle w:val="Tabletext"/>
              <w:rPr>
                <w:szCs w:val="20"/>
              </w:rPr>
            </w:pPr>
            <w:r w:rsidRPr="00D34003">
              <w:rPr>
                <w:szCs w:val="20"/>
              </w:rPr>
              <w:t xml:space="preserve">Health </w:t>
            </w:r>
            <w:r w:rsidRPr="00D34003">
              <w:rPr>
                <w:rFonts w:cs="Calibri"/>
                <w:szCs w:val="20"/>
                <w:lang w:eastAsia="en-AU"/>
              </w:rPr>
              <w:t>resources costs and utilization.</w:t>
            </w:r>
          </w:p>
        </w:tc>
        <w:tc>
          <w:tcPr>
            <w:tcW w:w="1804" w:type="pct"/>
          </w:tcPr>
          <w:p w:rsidR="00706810" w:rsidRPr="00D34003" w:rsidRDefault="00706810" w:rsidP="005137D5">
            <w:pPr>
              <w:pStyle w:val="Tabletext"/>
            </w:pPr>
            <w:r w:rsidRPr="00D34003">
              <w:t>Derived from PFS</w:t>
            </w:r>
          </w:p>
        </w:tc>
        <w:tc>
          <w:tcPr>
            <w:tcW w:w="2109" w:type="pct"/>
          </w:tcPr>
          <w:p w:rsidR="00706810" w:rsidRPr="00D34003" w:rsidRDefault="00706810" w:rsidP="005137D5">
            <w:pPr>
              <w:pStyle w:val="Tabletext"/>
            </w:pPr>
            <w:r w:rsidRPr="00D34003">
              <w:t>Derived from TOT</w:t>
            </w:r>
          </w:p>
        </w:tc>
      </w:tr>
      <w:tr w:rsidR="00303FBC" w:rsidRPr="00D34003" w:rsidTr="00FB1D3B">
        <w:tc>
          <w:tcPr>
            <w:tcW w:w="1087" w:type="pct"/>
          </w:tcPr>
          <w:p w:rsidR="00303FBC" w:rsidRPr="00D34003" w:rsidRDefault="003E37ED" w:rsidP="005137D5">
            <w:pPr>
              <w:pStyle w:val="Tabletext"/>
              <w:rPr>
                <w:szCs w:val="20"/>
              </w:rPr>
            </w:pPr>
            <w:r w:rsidRPr="00D34003">
              <w:rPr>
                <w:szCs w:val="20"/>
              </w:rPr>
              <w:t>Point from which extrapolation functions were applied</w:t>
            </w:r>
          </w:p>
        </w:tc>
        <w:tc>
          <w:tcPr>
            <w:tcW w:w="1804" w:type="pct"/>
          </w:tcPr>
          <w:p w:rsidR="00F35D36" w:rsidRPr="00D34003" w:rsidRDefault="00F35D36" w:rsidP="00F35D36">
            <w:pPr>
              <w:pStyle w:val="Tabletext"/>
              <w:rPr>
                <w:color w:val="000000" w:themeColor="text1"/>
              </w:rPr>
            </w:pPr>
            <w:r w:rsidRPr="00D34003">
              <w:rPr>
                <w:color w:val="000000" w:themeColor="text1"/>
              </w:rPr>
              <w:t>Cut-points applied at 27 weeks for PFS and 40 weeks for OS</w:t>
            </w:r>
          </w:p>
          <w:p w:rsidR="00303FBC" w:rsidRPr="00D34003" w:rsidRDefault="00303FBC" w:rsidP="00D55DB7">
            <w:pPr>
              <w:pStyle w:val="Tabletext"/>
              <w:rPr>
                <w:color w:val="000000" w:themeColor="text1"/>
              </w:rPr>
            </w:pPr>
          </w:p>
        </w:tc>
        <w:tc>
          <w:tcPr>
            <w:tcW w:w="2109" w:type="pct"/>
          </w:tcPr>
          <w:p w:rsidR="00303FBC" w:rsidRPr="00D34003" w:rsidRDefault="003E37ED" w:rsidP="005137D5">
            <w:pPr>
              <w:pStyle w:val="Tabletext"/>
            </w:pPr>
            <w:r w:rsidRPr="00D34003">
              <w:t>27.7 months (median duration of follow-up) for both PFS and OS</w:t>
            </w:r>
          </w:p>
        </w:tc>
      </w:tr>
      <w:tr w:rsidR="00303FBC" w:rsidRPr="00D34003" w:rsidTr="00FB1D3B">
        <w:tc>
          <w:tcPr>
            <w:tcW w:w="1087" w:type="pct"/>
          </w:tcPr>
          <w:p w:rsidR="00303FBC" w:rsidRPr="00D34003" w:rsidRDefault="003E37ED" w:rsidP="005137D5">
            <w:pPr>
              <w:pStyle w:val="Tabletext"/>
              <w:rPr>
                <w:szCs w:val="20"/>
              </w:rPr>
            </w:pPr>
            <w:r w:rsidRPr="00D34003">
              <w:rPr>
                <w:szCs w:val="20"/>
              </w:rPr>
              <w:t xml:space="preserve">Data for extrapolation </w:t>
            </w:r>
          </w:p>
        </w:tc>
        <w:tc>
          <w:tcPr>
            <w:tcW w:w="1804" w:type="pct"/>
          </w:tcPr>
          <w:p w:rsidR="00303FBC" w:rsidRPr="00D34003" w:rsidRDefault="00F35D36" w:rsidP="005137D5">
            <w:pPr>
              <w:pStyle w:val="Tabletext"/>
            </w:pPr>
            <w:r w:rsidRPr="00D34003">
              <w:rPr>
                <w:color w:val="000000" w:themeColor="text1"/>
              </w:rPr>
              <w:t>Informed by data after the c</w:t>
            </w:r>
            <w:r w:rsidR="00D67138" w:rsidRPr="00D34003">
              <w:rPr>
                <w:color w:val="000000" w:themeColor="text1"/>
              </w:rPr>
              <w:t xml:space="preserve">ut-points applied </w:t>
            </w:r>
            <w:r w:rsidRPr="00D34003">
              <w:rPr>
                <w:color w:val="000000" w:themeColor="text1"/>
              </w:rPr>
              <w:t>(</w:t>
            </w:r>
            <w:r w:rsidR="00D67138" w:rsidRPr="00D34003">
              <w:rPr>
                <w:color w:val="000000" w:themeColor="text1"/>
              </w:rPr>
              <w:t>27 weeks for PFS and 40 weeks for OS</w:t>
            </w:r>
            <w:r w:rsidRPr="00D34003">
              <w:rPr>
                <w:color w:val="000000" w:themeColor="text1"/>
              </w:rPr>
              <w:t>)</w:t>
            </w:r>
          </w:p>
        </w:tc>
        <w:tc>
          <w:tcPr>
            <w:tcW w:w="2109" w:type="pct"/>
          </w:tcPr>
          <w:p w:rsidR="00303FBC" w:rsidRPr="00D34003" w:rsidRDefault="00303FBC" w:rsidP="005137D5">
            <w:pPr>
              <w:pStyle w:val="Tabletext"/>
            </w:pPr>
            <w:r w:rsidRPr="00D34003">
              <w:t>OS: full data set to inform goodness of fit</w:t>
            </w:r>
          </w:p>
          <w:p w:rsidR="00303FBC" w:rsidRPr="00D34003" w:rsidRDefault="00303FBC" w:rsidP="005137D5">
            <w:pPr>
              <w:pStyle w:val="Tabletext"/>
            </w:pPr>
            <w:r w:rsidRPr="00D34003">
              <w:t>PFS: cut-off point from week 9</w:t>
            </w:r>
          </w:p>
        </w:tc>
      </w:tr>
      <w:tr w:rsidR="00303FBC" w:rsidRPr="00D34003" w:rsidTr="00FB1D3B">
        <w:tc>
          <w:tcPr>
            <w:tcW w:w="1087" w:type="pct"/>
          </w:tcPr>
          <w:p w:rsidR="00303FBC" w:rsidRPr="00D34003" w:rsidRDefault="00303FBC" w:rsidP="005137D5">
            <w:pPr>
              <w:pStyle w:val="Tabletext"/>
              <w:rPr>
                <w:szCs w:val="20"/>
              </w:rPr>
            </w:pPr>
            <w:r w:rsidRPr="00D34003">
              <w:rPr>
                <w:szCs w:val="20"/>
              </w:rPr>
              <w:t>Parametric curves: PFS</w:t>
            </w:r>
          </w:p>
        </w:tc>
        <w:tc>
          <w:tcPr>
            <w:tcW w:w="1804" w:type="pct"/>
          </w:tcPr>
          <w:p w:rsidR="00303FBC" w:rsidRPr="00D34003" w:rsidRDefault="00303FBC" w:rsidP="005137D5">
            <w:pPr>
              <w:pStyle w:val="Tabletext"/>
              <w:rPr>
                <w:color w:val="000000" w:themeColor="text1"/>
              </w:rPr>
            </w:pPr>
            <w:r w:rsidRPr="00D34003">
              <w:t>Log-normal for both pembrolizumab and SOC</w:t>
            </w:r>
          </w:p>
        </w:tc>
        <w:tc>
          <w:tcPr>
            <w:tcW w:w="2109" w:type="pct"/>
          </w:tcPr>
          <w:p w:rsidR="00303FBC" w:rsidRPr="00D34003" w:rsidRDefault="00303FBC" w:rsidP="005137D5">
            <w:pPr>
              <w:pStyle w:val="Tabletext"/>
            </w:pPr>
            <w:r w:rsidRPr="00D34003">
              <w:t>Pembrolizumab: log-normal</w:t>
            </w:r>
          </w:p>
          <w:p w:rsidR="00303FBC" w:rsidRPr="00D34003" w:rsidRDefault="00303FBC" w:rsidP="005137D5">
            <w:pPr>
              <w:pStyle w:val="Tabletext"/>
            </w:pPr>
            <w:r w:rsidRPr="00D34003">
              <w:t>SOC: Weibull</w:t>
            </w:r>
          </w:p>
        </w:tc>
      </w:tr>
      <w:tr w:rsidR="00303FBC" w:rsidRPr="00D34003" w:rsidTr="00FB1D3B">
        <w:tc>
          <w:tcPr>
            <w:tcW w:w="1087" w:type="pct"/>
          </w:tcPr>
          <w:p w:rsidR="00303FBC" w:rsidRPr="00D34003" w:rsidRDefault="00303FBC" w:rsidP="005137D5">
            <w:pPr>
              <w:pStyle w:val="Tabletext"/>
              <w:rPr>
                <w:szCs w:val="20"/>
              </w:rPr>
            </w:pPr>
            <w:r w:rsidRPr="00D34003">
              <w:rPr>
                <w:szCs w:val="20"/>
              </w:rPr>
              <w:t>Parametric curves: OS</w:t>
            </w:r>
          </w:p>
        </w:tc>
        <w:tc>
          <w:tcPr>
            <w:tcW w:w="1804" w:type="pct"/>
          </w:tcPr>
          <w:p w:rsidR="00303FBC" w:rsidRPr="00D34003" w:rsidRDefault="00303FBC" w:rsidP="005137D5">
            <w:pPr>
              <w:pStyle w:val="Tabletext"/>
            </w:pPr>
            <w:r w:rsidRPr="00D34003">
              <w:t>Pembrolizumab: log-normal</w:t>
            </w:r>
          </w:p>
          <w:p w:rsidR="00303FBC" w:rsidRPr="00D34003" w:rsidRDefault="00303FBC" w:rsidP="005137D5">
            <w:pPr>
              <w:pStyle w:val="Tabletext"/>
            </w:pPr>
            <w:r w:rsidRPr="00D34003">
              <w:t>SOC: exponential</w:t>
            </w:r>
          </w:p>
        </w:tc>
        <w:tc>
          <w:tcPr>
            <w:tcW w:w="2109" w:type="pct"/>
          </w:tcPr>
          <w:p w:rsidR="00303FBC" w:rsidRPr="00D34003" w:rsidRDefault="00303FBC" w:rsidP="005137D5">
            <w:pPr>
              <w:pStyle w:val="Tabletext"/>
            </w:pPr>
            <w:r w:rsidRPr="00D34003">
              <w:t>Pembrolizumab: log-normal</w:t>
            </w:r>
          </w:p>
          <w:p w:rsidR="00303FBC" w:rsidRPr="00D34003" w:rsidRDefault="00303FBC" w:rsidP="005137D5">
            <w:pPr>
              <w:pStyle w:val="Tabletext"/>
            </w:pPr>
            <w:r w:rsidRPr="00D34003">
              <w:t>SOC: log-logistic</w:t>
            </w:r>
          </w:p>
        </w:tc>
      </w:tr>
      <w:tr w:rsidR="00303FBC" w:rsidRPr="00D34003" w:rsidTr="00FB1D3B">
        <w:tc>
          <w:tcPr>
            <w:tcW w:w="1087" w:type="pct"/>
          </w:tcPr>
          <w:p w:rsidR="00303FBC" w:rsidRPr="00D34003" w:rsidRDefault="00303FBC" w:rsidP="005137D5">
            <w:pPr>
              <w:pStyle w:val="Tabletext"/>
              <w:rPr>
                <w:szCs w:val="20"/>
              </w:rPr>
            </w:pPr>
            <w:r w:rsidRPr="00D34003">
              <w:rPr>
                <w:szCs w:val="20"/>
              </w:rPr>
              <w:t>PFS and OS convergence</w:t>
            </w:r>
          </w:p>
        </w:tc>
        <w:tc>
          <w:tcPr>
            <w:tcW w:w="1804" w:type="pct"/>
          </w:tcPr>
          <w:p w:rsidR="00303FBC" w:rsidRPr="00D34003" w:rsidRDefault="00303FBC" w:rsidP="005137D5">
            <w:pPr>
              <w:pStyle w:val="Tabletext"/>
              <w:rPr>
                <w:color w:val="000000" w:themeColor="text1"/>
              </w:rPr>
            </w:pPr>
            <w:r w:rsidRPr="00D34003">
              <w:rPr>
                <w:color w:val="000000" w:themeColor="text1"/>
              </w:rPr>
              <w:t>Not implemented</w:t>
            </w:r>
          </w:p>
        </w:tc>
        <w:tc>
          <w:tcPr>
            <w:tcW w:w="2109" w:type="pct"/>
          </w:tcPr>
          <w:p w:rsidR="00303FBC" w:rsidRPr="00D34003" w:rsidRDefault="00303FBC" w:rsidP="005137D5">
            <w:pPr>
              <w:pStyle w:val="Tabletext"/>
            </w:pPr>
            <w:r w:rsidRPr="00D34003">
              <w:t>Converged from year 5 to year 7.5</w:t>
            </w:r>
          </w:p>
          <w:p w:rsidR="004D198D" w:rsidRPr="000607CC" w:rsidRDefault="000607CC" w:rsidP="000607CC">
            <w:pPr>
              <w:pStyle w:val="Tabletext"/>
            </w:pPr>
            <w:r w:rsidRPr="000607CC">
              <w:t xml:space="preserve">PSCR </w:t>
            </w:r>
            <w:r w:rsidR="004D198D" w:rsidRPr="000607CC">
              <w:t xml:space="preserve">willing to accept convergence from </w:t>
            </w:r>
            <w:r w:rsidR="007A7200" w:rsidRPr="000607CC">
              <w:t>year 5 to year 6.5.</w:t>
            </w:r>
          </w:p>
        </w:tc>
      </w:tr>
      <w:tr w:rsidR="00303FBC" w:rsidRPr="00D34003" w:rsidTr="00FB1D3B">
        <w:tc>
          <w:tcPr>
            <w:tcW w:w="1087" w:type="pct"/>
          </w:tcPr>
          <w:p w:rsidR="00303FBC" w:rsidRPr="00D34003" w:rsidRDefault="00303FBC" w:rsidP="005137D5">
            <w:pPr>
              <w:pStyle w:val="Tabletext"/>
              <w:rPr>
                <w:szCs w:val="20"/>
              </w:rPr>
            </w:pPr>
            <w:r w:rsidRPr="00D34003">
              <w:rPr>
                <w:szCs w:val="20"/>
              </w:rPr>
              <w:t>Treatment effect adjustment</w:t>
            </w:r>
          </w:p>
        </w:tc>
        <w:tc>
          <w:tcPr>
            <w:tcW w:w="1804" w:type="pct"/>
          </w:tcPr>
          <w:p w:rsidR="00303FBC" w:rsidRPr="00D34003" w:rsidRDefault="00303FBC" w:rsidP="005137D5">
            <w:pPr>
              <w:pStyle w:val="Tabletext"/>
              <w:rPr>
                <w:color w:val="000000" w:themeColor="text1"/>
              </w:rPr>
            </w:pPr>
            <w:r w:rsidRPr="00D34003">
              <w:rPr>
                <w:color w:val="000000" w:themeColor="text1"/>
              </w:rPr>
              <w:t>No adjustment</w:t>
            </w:r>
          </w:p>
        </w:tc>
        <w:tc>
          <w:tcPr>
            <w:tcW w:w="2109" w:type="pct"/>
          </w:tcPr>
          <w:p w:rsidR="00084E41" w:rsidRPr="00D34003" w:rsidRDefault="00303FBC" w:rsidP="00084E41">
            <w:pPr>
              <w:pStyle w:val="Tabletext"/>
              <w:rPr>
                <w:bCs/>
              </w:rPr>
            </w:pPr>
            <w:r w:rsidRPr="00D34003">
              <w:t xml:space="preserve">Adjustment for crossover using the </w:t>
            </w:r>
            <w:r w:rsidRPr="00D34003">
              <w:rPr>
                <w:bCs/>
              </w:rPr>
              <w:t xml:space="preserve">two-stage approach. </w:t>
            </w:r>
          </w:p>
        </w:tc>
      </w:tr>
      <w:tr w:rsidR="00303FBC" w:rsidRPr="00D34003" w:rsidTr="00FB1D3B">
        <w:tc>
          <w:tcPr>
            <w:tcW w:w="1087" w:type="pct"/>
          </w:tcPr>
          <w:p w:rsidR="00303FBC" w:rsidRPr="00D34003" w:rsidRDefault="00303FBC" w:rsidP="005137D5">
            <w:pPr>
              <w:pStyle w:val="Tabletext"/>
              <w:rPr>
                <w:szCs w:val="20"/>
              </w:rPr>
            </w:pPr>
            <w:r w:rsidRPr="00D34003">
              <w:rPr>
                <w:szCs w:val="20"/>
              </w:rPr>
              <w:t>Pembrolizumab price</w:t>
            </w:r>
          </w:p>
        </w:tc>
        <w:tc>
          <w:tcPr>
            <w:tcW w:w="1804" w:type="pct"/>
          </w:tcPr>
          <w:p w:rsidR="00303FBC" w:rsidRPr="00D34003" w:rsidRDefault="00303FBC" w:rsidP="005137D5">
            <w:pPr>
              <w:pStyle w:val="Tabletext"/>
              <w:rPr>
                <w:color w:val="000000" w:themeColor="text1"/>
              </w:rPr>
            </w:pPr>
            <w:r w:rsidRPr="00D34003">
              <w:rPr>
                <w:color w:val="000000" w:themeColor="text1"/>
              </w:rPr>
              <w:t>$</w:t>
            </w:r>
            <w:r w:rsidR="00504C28">
              <w:rPr>
                <w:noProof/>
                <w:color w:val="000000"/>
                <w:highlight w:val="black"/>
              </w:rPr>
              <w:t>''''''''''''</w:t>
            </w:r>
            <w:r w:rsidRPr="00D34003">
              <w:rPr>
                <w:color w:val="000000" w:themeColor="text1"/>
              </w:rPr>
              <w:t xml:space="preserve"> AUD per 100 mg vial</w:t>
            </w:r>
          </w:p>
        </w:tc>
        <w:tc>
          <w:tcPr>
            <w:tcW w:w="2109" w:type="pct"/>
          </w:tcPr>
          <w:p w:rsidR="00303FBC" w:rsidRPr="00D34003" w:rsidRDefault="00303FBC" w:rsidP="005137D5">
            <w:pPr>
              <w:pStyle w:val="Tabletext"/>
            </w:pPr>
            <w:r w:rsidRPr="00D34003">
              <w:t>$</w:t>
            </w:r>
            <w:r w:rsidR="00504C28">
              <w:rPr>
                <w:noProof/>
                <w:color w:val="000000"/>
                <w:highlight w:val="black"/>
              </w:rPr>
              <w:t xml:space="preserve">''''''''''''''' </w:t>
            </w:r>
            <w:r w:rsidRPr="00D34003">
              <w:t>AUD per 100 mg vial</w:t>
            </w:r>
          </w:p>
        </w:tc>
      </w:tr>
    </w:tbl>
    <w:p w:rsidR="00706810" w:rsidRPr="00D34003" w:rsidRDefault="00706810" w:rsidP="00265CD0">
      <w:pPr>
        <w:pStyle w:val="TableFooter"/>
      </w:pPr>
      <w:r w:rsidRPr="00D34003">
        <w:t xml:space="preserve">Abbreviations: AUC= area under the curve; AUD = Australian dollar; BSC= best supportive care; CEA= cost-effectiveness analysis; </w:t>
      </w:r>
      <w:r w:rsidR="005B6466" w:rsidRPr="00D34003">
        <w:br/>
      </w:r>
      <w:r w:rsidRPr="00D34003">
        <w:t xml:space="preserve">CUA = cost-utility analysis; KM= Kaplan-Meier; LYG= life years gained; N/A= not applicable; OS= overall survival; PD= progressive disease; PFS= progression free survival; QALYs= quality adjusted life years, SOC= standard of care; TOT= time on treatment. </w:t>
      </w:r>
    </w:p>
    <w:p w:rsidR="00706810" w:rsidRPr="00D34003" w:rsidRDefault="00706810" w:rsidP="00265CD0">
      <w:pPr>
        <w:pStyle w:val="TableFooter"/>
      </w:pPr>
      <w:r w:rsidRPr="00D34003">
        <w:t xml:space="preserve">Source: Table 3-1, p. 105 of the </w:t>
      </w:r>
      <w:r w:rsidR="002D70ED" w:rsidRPr="00D34003">
        <w:t>re</w:t>
      </w:r>
      <w:r w:rsidRPr="00D34003">
        <w:t>submission.</w:t>
      </w:r>
    </w:p>
    <w:p w:rsidR="00706810" w:rsidRPr="00D34003" w:rsidRDefault="00706810" w:rsidP="00265CD0">
      <w:pPr>
        <w:rPr>
          <w:rStyle w:val="CommentReference"/>
        </w:rPr>
      </w:pPr>
    </w:p>
    <w:p w:rsidR="00E65150" w:rsidRPr="00D34003" w:rsidRDefault="00E65150" w:rsidP="00FA3A17">
      <w:pPr>
        <w:pStyle w:val="ListParagraph"/>
        <w:widowControl/>
        <w:numPr>
          <w:ilvl w:val="1"/>
          <w:numId w:val="1"/>
        </w:numPr>
      </w:pPr>
      <w:r w:rsidRPr="00D34003">
        <w:t xml:space="preserve">The ESC noted that the ‘off treatment’ </w:t>
      </w:r>
      <w:r w:rsidR="005F669C" w:rsidRPr="00D34003">
        <w:t xml:space="preserve">utility </w:t>
      </w:r>
      <w:r w:rsidRPr="00D34003">
        <w:t xml:space="preserve">values may reflect two different groups – those stopping treatment due to adverse events and those coming off treatment after completing the maximum number of treatment cycles. The latter group may be </w:t>
      </w:r>
      <w:r w:rsidRPr="00D34003">
        <w:lastRenderedPageBreak/>
        <w:t>underrepresented in the utility data relative to their representation in the model. The ESC considered that lower utility values should not be applied to patients completing treatment. The pre-PBAC response argued that aggregating the utility scores for these patients as presented in the economic model was highly conservative and favoured SOC. There were more patients in the control arm that discontinued due to adverse events (</w:t>
      </w:r>
      <w:r w:rsidR="00504C28">
        <w:rPr>
          <w:noProof/>
          <w:color w:val="000000"/>
          <w:highlight w:val="black"/>
        </w:rPr>
        <w:t>'''''''''</w:t>
      </w:r>
      <w:r w:rsidRPr="00D34003">
        <w:t>%) than in the pembrolizumab arm (</w:t>
      </w:r>
      <w:r w:rsidR="00504C28">
        <w:rPr>
          <w:noProof/>
          <w:color w:val="000000"/>
          <w:highlight w:val="black"/>
        </w:rPr>
        <w:t>'''''''''</w:t>
      </w:r>
      <w:r w:rsidRPr="00D34003">
        <w:t xml:space="preserve">%). In addition, there were </w:t>
      </w:r>
      <w:r w:rsidR="00504C28">
        <w:rPr>
          <w:noProof/>
          <w:color w:val="000000"/>
          <w:highlight w:val="black"/>
        </w:rPr>
        <w:t>'''''''''</w:t>
      </w:r>
      <w:r w:rsidRPr="00D34003">
        <w:t xml:space="preserve">% of patients in the pembrolizumab arm that completed the full duration of treatment or stopped due to having a complete response compared to only 0.4% of patients in the </w:t>
      </w:r>
      <w:proofErr w:type="spellStart"/>
      <w:r w:rsidRPr="00D34003">
        <w:t>SoC</w:t>
      </w:r>
      <w:proofErr w:type="spellEnd"/>
      <w:r w:rsidRPr="00D34003">
        <w:t xml:space="preserve"> arm. The pre-PBAC response  further stated that when treatment specific utility scores were used for both the pre-progression and post-progression health states, the base case ICER reduced by </w:t>
      </w:r>
      <w:r w:rsidR="00FA3A17" w:rsidRPr="00FA3A17">
        <w:t>less than $</w:t>
      </w:r>
      <w:r w:rsidR="00125264">
        <w:t>15,000/QALY</w:t>
      </w:r>
      <w:r w:rsidR="00FA3A17" w:rsidRPr="00FA3A17" w:rsidDel="00FA3A17">
        <w:t xml:space="preserve"> </w:t>
      </w:r>
      <w:r w:rsidRPr="00D34003">
        <w:t xml:space="preserve">(to </w:t>
      </w:r>
      <w:r w:rsidR="00FA3A17" w:rsidRPr="00FA3A17">
        <w:t>$45,000/QALY – $75,000/QALY</w:t>
      </w:r>
      <w:r w:rsidRPr="00D34003">
        <w:t xml:space="preserve">). Using this approach for estimating utilities and not adjusting for the treatment effect of cross-over resulted in an ICER of </w:t>
      </w:r>
      <w:r w:rsidR="00FA3A17" w:rsidRPr="00FA3A17">
        <w:t>$45,000/QALY – $75,000/QALY</w:t>
      </w:r>
      <w:r w:rsidRPr="00D34003">
        <w:t>.</w:t>
      </w:r>
      <w:r w:rsidR="00FA3A17">
        <w:t xml:space="preserve"> </w:t>
      </w:r>
    </w:p>
    <w:p w:rsidR="00706810" w:rsidRPr="00D34003" w:rsidRDefault="00706810" w:rsidP="007A7E9A">
      <w:pPr>
        <w:pStyle w:val="ListParagraph"/>
        <w:widowControl/>
        <w:numPr>
          <w:ilvl w:val="1"/>
          <w:numId w:val="1"/>
        </w:numPr>
        <w:rPr>
          <w:rFonts w:cs="Calibri"/>
          <w:snapToGrid/>
          <w:szCs w:val="24"/>
          <w:lang w:eastAsia="en-AU"/>
        </w:rPr>
      </w:pPr>
      <w:r w:rsidRPr="00D34003">
        <w:rPr>
          <w:rFonts w:cs="Calibri"/>
          <w:snapToGrid/>
          <w:szCs w:val="24"/>
          <w:lang w:eastAsia="en-AU"/>
        </w:rPr>
        <w:t xml:space="preserve">A summary of the key drivers of the economic model </w:t>
      </w:r>
      <w:r w:rsidR="008B522E" w:rsidRPr="00D34003">
        <w:rPr>
          <w:rFonts w:cs="Calibri"/>
          <w:snapToGrid/>
          <w:szCs w:val="24"/>
          <w:lang w:eastAsia="en-AU"/>
        </w:rPr>
        <w:t xml:space="preserve">is </w:t>
      </w:r>
      <w:r w:rsidRPr="00D34003">
        <w:rPr>
          <w:rFonts w:cs="Calibri"/>
          <w:snapToGrid/>
          <w:szCs w:val="24"/>
          <w:lang w:eastAsia="en-AU"/>
        </w:rPr>
        <w:t xml:space="preserve">shown in Table </w:t>
      </w:r>
      <w:r w:rsidR="00B32121" w:rsidRPr="00D34003">
        <w:rPr>
          <w:rFonts w:cs="Calibri"/>
          <w:snapToGrid/>
          <w:szCs w:val="24"/>
          <w:lang w:eastAsia="en-AU"/>
        </w:rPr>
        <w:t>1</w:t>
      </w:r>
      <w:r w:rsidR="00884669" w:rsidRPr="00D34003">
        <w:rPr>
          <w:rFonts w:cs="Calibri"/>
          <w:snapToGrid/>
          <w:szCs w:val="24"/>
          <w:lang w:eastAsia="en-AU"/>
        </w:rPr>
        <w:t>2</w:t>
      </w:r>
      <w:r w:rsidRPr="00D34003">
        <w:rPr>
          <w:rFonts w:cs="Calibri"/>
          <w:snapToGrid/>
          <w:szCs w:val="24"/>
          <w:lang w:eastAsia="en-AU"/>
        </w:rPr>
        <w:t xml:space="preserve">. </w:t>
      </w:r>
      <w:r w:rsidR="00D64239" w:rsidRPr="00D34003">
        <w:rPr>
          <w:rFonts w:cs="Calibri"/>
          <w:snapToGrid/>
          <w:szCs w:val="24"/>
          <w:lang w:eastAsia="en-AU"/>
        </w:rPr>
        <w:t xml:space="preserve">The key drivers in the model assessed in November 2017 included the </w:t>
      </w:r>
      <w:proofErr w:type="gramStart"/>
      <w:r w:rsidR="00D64239" w:rsidRPr="00D34003">
        <w:rPr>
          <w:rFonts w:cs="Calibri"/>
          <w:snapToGrid/>
          <w:szCs w:val="24"/>
          <w:lang w:eastAsia="en-AU"/>
        </w:rPr>
        <w:t>point</w:t>
      </w:r>
      <w:r w:rsidR="00D153F8" w:rsidRPr="00D34003">
        <w:rPr>
          <w:rFonts w:cs="Calibri"/>
          <w:snapToGrid/>
          <w:szCs w:val="24"/>
          <w:lang w:eastAsia="en-AU"/>
        </w:rPr>
        <w:t>s</w:t>
      </w:r>
      <w:proofErr w:type="gramEnd"/>
      <w:r w:rsidR="00D64239" w:rsidRPr="00D34003">
        <w:rPr>
          <w:rFonts w:cs="Calibri"/>
          <w:snapToGrid/>
          <w:szCs w:val="24"/>
          <w:lang w:eastAsia="en-AU"/>
        </w:rPr>
        <w:t xml:space="preserve"> from which data were extrapolated, the application of different functional forms in extrapolating the data, and the use of PFS as the basis to assess drug exposure. These are no longer key drivers of the economic model.</w:t>
      </w:r>
    </w:p>
    <w:p w:rsidR="00706810" w:rsidRPr="00D34003" w:rsidRDefault="00706810" w:rsidP="00265CD0">
      <w:pPr>
        <w:pStyle w:val="TableHeading0"/>
      </w:pPr>
      <w:r w:rsidRPr="00D34003">
        <w:t xml:space="preserve">Table </w:t>
      </w:r>
      <w:r w:rsidR="00B32121" w:rsidRPr="00D34003">
        <w:t>1</w:t>
      </w:r>
      <w:r w:rsidR="00884669" w:rsidRPr="00D34003">
        <w:t>2</w:t>
      </w:r>
      <w:r w:rsidRPr="00D34003">
        <w:t>: Key drivers of the model</w:t>
      </w:r>
      <w:r w:rsidR="004F5F9E" w:rsidRPr="00D34003">
        <w:t xml:space="preserve">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drivers of the model in the resubmission"/>
      </w:tblPr>
      <w:tblGrid>
        <w:gridCol w:w="1994"/>
        <w:gridCol w:w="4284"/>
        <w:gridCol w:w="2805"/>
      </w:tblGrid>
      <w:tr w:rsidR="00706810" w:rsidRPr="00D34003" w:rsidTr="00FB1D3B">
        <w:trPr>
          <w:tblHeader/>
        </w:trPr>
        <w:tc>
          <w:tcPr>
            <w:tcW w:w="1098" w:type="pct"/>
            <w:tcBorders>
              <w:top w:val="single" w:sz="4" w:space="0" w:color="auto"/>
              <w:left w:val="single" w:sz="4" w:space="0" w:color="auto"/>
              <w:bottom w:val="single" w:sz="4" w:space="0" w:color="auto"/>
              <w:right w:val="single" w:sz="4" w:space="0" w:color="auto"/>
            </w:tcBorders>
            <w:hideMark/>
          </w:tcPr>
          <w:p w:rsidR="00706810" w:rsidRPr="00D34003" w:rsidRDefault="00706810" w:rsidP="00074CC8">
            <w:pPr>
              <w:pStyle w:val="TableText0"/>
              <w:rPr>
                <w:b/>
              </w:rPr>
            </w:pPr>
            <w:r w:rsidRPr="00D34003">
              <w:rPr>
                <w:b/>
              </w:rPr>
              <w:t>Description</w:t>
            </w:r>
          </w:p>
        </w:tc>
        <w:tc>
          <w:tcPr>
            <w:tcW w:w="2358" w:type="pct"/>
            <w:tcBorders>
              <w:top w:val="single" w:sz="4" w:space="0" w:color="auto"/>
              <w:left w:val="single" w:sz="4" w:space="0" w:color="auto"/>
              <w:bottom w:val="single" w:sz="4" w:space="0" w:color="auto"/>
              <w:right w:val="single" w:sz="4" w:space="0" w:color="auto"/>
            </w:tcBorders>
            <w:hideMark/>
          </w:tcPr>
          <w:p w:rsidR="00706810" w:rsidRPr="00D34003" w:rsidRDefault="00706810" w:rsidP="00074CC8">
            <w:pPr>
              <w:pStyle w:val="TableText0"/>
              <w:rPr>
                <w:b/>
              </w:rPr>
            </w:pPr>
            <w:r w:rsidRPr="00D34003">
              <w:rPr>
                <w:b/>
              </w:rPr>
              <w:t>Method/Value</w:t>
            </w:r>
          </w:p>
        </w:tc>
        <w:tc>
          <w:tcPr>
            <w:tcW w:w="1544" w:type="pct"/>
            <w:tcBorders>
              <w:top w:val="single" w:sz="4" w:space="0" w:color="auto"/>
              <w:left w:val="single" w:sz="4" w:space="0" w:color="auto"/>
              <w:bottom w:val="single" w:sz="4" w:space="0" w:color="auto"/>
              <w:right w:val="single" w:sz="4" w:space="0" w:color="auto"/>
            </w:tcBorders>
            <w:hideMark/>
          </w:tcPr>
          <w:p w:rsidR="00706810" w:rsidRPr="00D34003" w:rsidRDefault="00706810" w:rsidP="00074CC8">
            <w:pPr>
              <w:pStyle w:val="TableText0"/>
              <w:rPr>
                <w:b/>
              </w:rPr>
            </w:pPr>
            <w:r w:rsidRPr="00D34003">
              <w:rPr>
                <w:b/>
              </w:rPr>
              <w:t>Impact on ICER</w:t>
            </w:r>
          </w:p>
          <w:p w:rsidR="00706810" w:rsidRPr="00D34003" w:rsidRDefault="00706810" w:rsidP="00074CC8">
            <w:pPr>
              <w:pStyle w:val="TableText0"/>
            </w:pPr>
            <w:r w:rsidRPr="00D34003">
              <w:t>(Base: $</w:t>
            </w:r>
            <w:r w:rsidR="00504C28">
              <w:rPr>
                <w:noProof/>
                <w:color w:val="000000"/>
                <w:highlight w:val="black"/>
              </w:rPr>
              <w:t>'''''''''''''''</w:t>
            </w:r>
            <w:r w:rsidRPr="00D34003">
              <w:t>)</w:t>
            </w:r>
          </w:p>
        </w:tc>
      </w:tr>
      <w:tr w:rsidR="00706810" w:rsidRPr="00D34003" w:rsidTr="00FB1D3B">
        <w:trPr>
          <w:tblHeader/>
        </w:trPr>
        <w:tc>
          <w:tcPr>
            <w:tcW w:w="109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 xml:space="preserve">Time horizon plus adjustment for </w:t>
            </w:r>
            <w:r w:rsidR="00E910F4" w:rsidRPr="00D34003">
              <w:t>crossover</w:t>
            </w:r>
          </w:p>
        </w:tc>
        <w:tc>
          <w:tcPr>
            <w:tcW w:w="235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 xml:space="preserve">Reduce time horizon to 5 years and do not adjust OS treatment effect for </w:t>
            </w:r>
            <w:r w:rsidR="00E910F4" w:rsidRPr="00D34003">
              <w:t>crossover</w:t>
            </w:r>
            <w:r w:rsidRPr="00D34003">
              <w:t xml:space="preserve">. </w:t>
            </w:r>
          </w:p>
        </w:tc>
        <w:tc>
          <w:tcPr>
            <w:tcW w:w="1544"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High, favours pembrolizumab</w:t>
            </w:r>
          </w:p>
          <w:p w:rsidR="00706810" w:rsidRPr="00D34003" w:rsidRDefault="00706810" w:rsidP="00074CC8">
            <w:pPr>
              <w:pStyle w:val="TableText0"/>
            </w:pPr>
            <w:r w:rsidRPr="00D34003">
              <w:t>(SA: $</w:t>
            </w:r>
            <w:r w:rsidR="00504C28">
              <w:rPr>
                <w:noProof/>
                <w:color w:val="000000"/>
                <w:highlight w:val="black"/>
              </w:rPr>
              <w:t>'''''''''''''''''</w:t>
            </w:r>
            <w:r w:rsidRPr="00D34003">
              <w:t xml:space="preserve">, </w:t>
            </w:r>
            <w:r w:rsidR="00DC74D7" w:rsidRPr="00D34003">
              <w:rPr>
                <w:rStyle w:val="st1"/>
                <w:rFonts w:ascii="Arial" w:hAnsi="Arial" w:cs="Arial"/>
              </w:rPr>
              <w:t>+</w:t>
            </w:r>
            <w:r w:rsidRPr="00D34003">
              <w:t>29.7%)</w:t>
            </w:r>
          </w:p>
        </w:tc>
      </w:tr>
      <w:tr w:rsidR="00706810" w:rsidRPr="00D34003" w:rsidTr="00FB1D3B">
        <w:trPr>
          <w:tblHeader/>
        </w:trPr>
        <w:tc>
          <w:tcPr>
            <w:tcW w:w="109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Time horizon and convergence</w:t>
            </w:r>
          </w:p>
        </w:tc>
        <w:tc>
          <w:tcPr>
            <w:tcW w:w="235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 xml:space="preserve">5 year-time horizon assuming PFS and OS curves converge from year 4 to year 5. </w:t>
            </w:r>
          </w:p>
        </w:tc>
        <w:tc>
          <w:tcPr>
            <w:tcW w:w="1544"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High, favours pembrolizumab</w:t>
            </w:r>
          </w:p>
          <w:p w:rsidR="00706810" w:rsidRPr="00D34003" w:rsidRDefault="00706810" w:rsidP="00074CC8">
            <w:pPr>
              <w:pStyle w:val="TableText0"/>
            </w:pPr>
            <w:r w:rsidRPr="00D34003">
              <w:t>(SA: $</w:t>
            </w:r>
            <w:r w:rsidR="00504C28">
              <w:rPr>
                <w:noProof/>
                <w:color w:val="000000"/>
                <w:highlight w:val="black"/>
              </w:rPr>
              <w:t>'''''''' '''''''''</w:t>
            </w:r>
            <w:r w:rsidRPr="00D34003">
              <w:t xml:space="preserve">, </w:t>
            </w:r>
            <w:r w:rsidR="00DC74D7" w:rsidRPr="00D34003">
              <w:rPr>
                <w:rStyle w:val="st1"/>
                <w:rFonts w:ascii="Arial" w:hAnsi="Arial" w:cs="Arial"/>
              </w:rPr>
              <w:t>+</w:t>
            </w:r>
            <w:r w:rsidRPr="00D34003">
              <w:t>15.7%)</w:t>
            </w:r>
          </w:p>
        </w:tc>
      </w:tr>
      <w:tr w:rsidR="00706810" w:rsidRPr="00D34003" w:rsidTr="00FB1D3B">
        <w:trPr>
          <w:tblHeader/>
        </w:trPr>
        <w:tc>
          <w:tcPr>
            <w:tcW w:w="109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 xml:space="preserve">Adjustment for </w:t>
            </w:r>
            <w:r w:rsidR="00E910F4" w:rsidRPr="00D34003">
              <w:t>crossover</w:t>
            </w:r>
          </w:p>
        </w:tc>
        <w:tc>
          <w:tcPr>
            <w:tcW w:w="235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 xml:space="preserve">No adjustment </w:t>
            </w:r>
          </w:p>
        </w:tc>
        <w:tc>
          <w:tcPr>
            <w:tcW w:w="1544"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High, favours pembrolizumab</w:t>
            </w:r>
          </w:p>
          <w:p w:rsidR="00706810" w:rsidRPr="00D34003" w:rsidRDefault="00706810" w:rsidP="00074CC8">
            <w:pPr>
              <w:pStyle w:val="TableText0"/>
            </w:pPr>
            <w:r w:rsidRPr="00D34003">
              <w:t>(SA: $</w:t>
            </w:r>
            <w:r w:rsidR="00504C28">
              <w:rPr>
                <w:noProof/>
                <w:color w:val="000000"/>
                <w:highlight w:val="black"/>
              </w:rPr>
              <w:t>'''''''''''''''''</w:t>
            </w:r>
            <w:r w:rsidRPr="00D34003">
              <w:t xml:space="preserve">, </w:t>
            </w:r>
            <w:r w:rsidR="00DC74D7" w:rsidRPr="00D34003">
              <w:rPr>
                <w:rStyle w:val="st1"/>
                <w:rFonts w:ascii="Arial" w:hAnsi="Arial" w:cs="Arial"/>
              </w:rPr>
              <w:t>+</w:t>
            </w:r>
            <w:r w:rsidRPr="00D34003">
              <w:t>15.2%)</w:t>
            </w:r>
          </w:p>
        </w:tc>
      </w:tr>
      <w:tr w:rsidR="00706810" w:rsidRPr="00D34003" w:rsidTr="00FB1D3B">
        <w:trPr>
          <w:tblHeader/>
        </w:trPr>
        <w:tc>
          <w:tcPr>
            <w:tcW w:w="109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No convergence</w:t>
            </w:r>
          </w:p>
        </w:tc>
        <w:tc>
          <w:tcPr>
            <w:tcW w:w="235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 xml:space="preserve">7.5-year time horizon assuming curves do not converge. </w:t>
            </w:r>
          </w:p>
        </w:tc>
        <w:tc>
          <w:tcPr>
            <w:tcW w:w="1544"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High, favours SOC</w:t>
            </w:r>
          </w:p>
          <w:p w:rsidR="00706810" w:rsidRPr="00D34003" w:rsidRDefault="00706810" w:rsidP="00074CC8">
            <w:pPr>
              <w:pStyle w:val="TableText0"/>
            </w:pPr>
            <w:r w:rsidRPr="00D34003">
              <w:t>(SA: $</w:t>
            </w:r>
            <w:r w:rsidR="00504C28">
              <w:rPr>
                <w:noProof/>
                <w:color w:val="000000"/>
                <w:highlight w:val="black"/>
              </w:rPr>
              <w:t>'''''''''''''''</w:t>
            </w:r>
            <w:r w:rsidRPr="00D34003">
              <w:t xml:space="preserve">, </w:t>
            </w:r>
            <w:r w:rsidR="0078112E" w:rsidRPr="00D34003">
              <w:rPr>
                <w:rStyle w:val="st1"/>
                <w:rFonts w:ascii="Arial" w:hAnsi="Arial" w:cs="Arial"/>
              </w:rPr>
              <w:t>-</w:t>
            </w:r>
            <w:r w:rsidRPr="00D34003">
              <w:t>14.6%)</w:t>
            </w:r>
          </w:p>
        </w:tc>
      </w:tr>
      <w:tr w:rsidR="00706810" w:rsidRPr="00D34003" w:rsidTr="00FB1D3B">
        <w:trPr>
          <w:tblHeader/>
        </w:trPr>
        <w:tc>
          <w:tcPr>
            <w:tcW w:w="109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Pembrolizumab price</w:t>
            </w:r>
          </w:p>
        </w:tc>
        <w:tc>
          <w:tcPr>
            <w:tcW w:w="2358"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rPr>
                <w:rFonts w:cstheme="minorHAnsi"/>
                <w:szCs w:val="20"/>
              </w:rPr>
              <w:t xml:space="preserve">No </w:t>
            </w:r>
            <w:r w:rsidR="00504C28">
              <w:rPr>
                <w:rFonts w:cstheme="minorHAnsi"/>
                <w:noProof/>
                <w:color w:val="000000"/>
                <w:szCs w:val="20"/>
                <w:highlight w:val="black"/>
              </w:rPr>
              <w:t>'''''''</w:t>
            </w:r>
            <w:r w:rsidRPr="00D34003">
              <w:rPr>
                <w:rFonts w:cstheme="minorHAnsi"/>
                <w:szCs w:val="20"/>
              </w:rPr>
              <w:t>% rebate and no price cap (pembro</w:t>
            </w:r>
            <w:r w:rsidR="002D70ED" w:rsidRPr="00D34003">
              <w:rPr>
                <w:rFonts w:cstheme="minorHAnsi"/>
                <w:szCs w:val="20"/>
              </w:rPr>
              <w:t>lizumab</w:t>
            </w:r>
            <w:r w:rsidRPr="00D34003">
              <w:rPr>
                <w:rFonts w:cstheme="minorHAnsi"/>
                <w:szCs w:val="20"/>
              </w:rPr>
              <w:t xml:space="preserve"> price equals to AUD </w:t>
            </w:r>
            <w:r w:rsidR="00A34F82" w:rsidRPr="00D34003">
              <w:rPr>
                <w:rFonts w:cstheme="minorHAnsi"/>
                <w:szCs w:val="20"/>
              </w:rPr>
              <w:t>$</w:t>
            </w:r>
            <w:r w:rsidR="00504C28">
              <w:rPr>
                <w:rFonts w:cstheme="minorHAnsi"/>
                <w:noProof/>
                <w:color w:val="000000"/>
                <w:szCs w:val="20"/>
                <w:highlight w:val="black"/>
              </w:rPr>
              <w:t>''''''''''''''</w:t>
            </w:r>
            <w:r w:rsidRPr="00D34003">
              <w:rPr>
                <w:rFonts w:cstheme="minorHAnsi"/>
                <w:szCs w:val="20"/>
              </w:rPr>
              <w:t>)</w:t>
            </w:r>
          </w:p>
        </w:tc>
        <w:tc>
          <w:tcPr>
            <w:tcW w:w="1544" w:type="pct"/>
            <w:tcBorders>
              <w:top w:val="single" w:sz="4" w:space="0" w:color="auto"/>
              <w:left w:val="single" w:sz="4" w:space="0" w:color="auto"/>
              <w:bottom w:val="single" w:sz="4" w:space="0" w:color="auto"/>
              <w:right w:val="single" w:sz="4" w:space="0" w:color="auto"/>
            </w:tcBorders>
          </w:tcPr>
          <w:p w:rsidR="00706810" w:rsidRPr="00D34003" w:rsidRDefault="00706810" w:rsidP="00074CC8">
            <w:pPr>
              <w:pStyle w:val="TableText0"/>
            </w:pPr>
            <w:r w:rsidRPr="00D34003">
              <w:t>Moderate, favours pembrolizumab</w:t>
            </w:r>
          </w:p>
          <w:p w:rsidR="00706810" w:rsidRPr="00D34003" w:rsidRDefault="00706810" w:rsidP="00074CC8">
            <w:pPr>
              <w:pStyle w:val="TableText0"/>
            </w:pPr>
            <w:r w:rsidRPr="00D34003">
              <w:t>(SA: $</w:t>
            </w:r>
            <w:r w:rsidR="00504C28">
              <w:rPr>
                <w:noProof/>
                <w:color w:val="000000"/>
                <w:highlight w:val="black"/>
              </w:rPr>
              <w:t>'''''''''''''''''</w:t>
            </w:r>
            <w:r w:rsidRPr="00D34003">
              <w:t xml:space="preserve">, </w:t>
            </w:r>
            <w:r w:rsidR="00DC74D7" w:rsidRPr="00D34003">
              <w:rPr>
                <w:rStyle w:val="st1"/>
                <w:rFonts w:ascii="Arial" w:hAnsi="Arial" w:cs="Arial"/>
              </w:rPr>
              <w:t>+</w:t>
            </w:r>
            <w:r w:rsidRPr="00D34003">
              <w:t>9.8%)</w:t>
            </w:r>
          </w:p>
        </w:tc>
      </w:tr>
    </w:tbl>
    <w:p w:rsidR="00706810" w:rsidRPr="00D34003" w:rsidRDefault="00706810" w:rsidP="00265CD0">
      <w:pPr>
        <w:pStyle w:val="TableFooter"/>
      </w:pPr>
      <w:r w:rsidRPr="00D34003">
        <w:t>Abbreviations:</w:t>
      </w:r>
      <w:r w:rsidR="00160AED" w:rsidRPr="00D34003">
        <w:t xml:space="preserve"> AUD = Australian dollar;</w:t>
      </w:r>
      <w:r w:rsidRPr="00D34003">
        <w:t xml:space="preserve"> ICER= incremental cost effectiveness ratio; PFS = progression free survival; </w:t>
      </w:r>
      <w:r w:rsidR="00160AED" w:rsidRPr="00D34003">
        <w:t xml:space="preserve">OS = overall survival; </w:t>
      </w:r>
      <w:r w:rsidRPr="00D34003">
        <w:t>SA, sensitivity analysis</w:t>
      </w:r>
      <w:r w:rsidR="002D70ED" w:rsidRPr="00D34003">
        <w:t>; SOC = standard of care.</w:t>
      </w:r>
    </w:p>
    <w:p w:rsidR="00706810" w:rsidRPr="00D34003" w:rsidRDefault="00706810" w:rsidP="00265CD0">
      <w:pPr>
        <w:pStyle w:val="TableFooter"/>
      </w:pPr>
      <w:r w:rsidRPr="00D34003">
        <w:t>Source: Table 3-18, p. 144 of the resubmission, compiled during the evaluation</w:t>
      </w:r>
    </w:p>
    <w:p w:rsidR="00706810" w:rsidRPr="00D34003" w:rsidRDefault="00706810" w:rsidP="00265CD0">
      <w:pPr>
        <w:widowControl/>
      </w:pPr>
    </w:p>
    <w:p w:rsidR="00706810" w:rsidRPr="00D34003" w:rsidRDefault="00706810" w:rsidP="007A7E9A">
      <w:pPr>
        <w:pStyle w:val="ListParagraph"/>
        <w:widowControl/>
        <w:numPr>
          <w:ilvl w:val="1"/>
          <w:numId w:val="1"/>
        </w:numPr>
      </w:pPr>
      <w:r w:rsidRPr="00D34003">
        <w:t xml:space="preserve">A stepped economic evaluation was presented (see Table </w:t>
      </w:r>
      <w:r w:rsidR="00B32121" w:rsidRPr="00D34003">
        <w:t>1</w:t>
      </w:r>
      <w:r w:rsidR="00884669" w:rsidRPr="00D34003">
        <w:t>3</w:t>
      </w:r>
      <w:r w:rsidRPr="00D34003">
        <w:t>)</w:t>
      </w:r>
      <w:r w:rsidR="00D64239" w:rsidRPr="00D34003">
        <w:t>:</w:t>
      </w:r>
      <w:r w:rsidRPr="00D34003">
        <w:t xml:space="preserve"> Step 1 was a trial-based economic evaluation</w:t>
      </w:r>
      <w:r w:rsidR="00D64239" w:rsidRPr="00D34003">
        <w:t>;</w:t>
      </w:r>
      <w:r w:rsidRPr="00D34003">
        <w:t xml:space="preserve"> Step 2 extrapolated results to a 7.5-year time horizon</w:t>
      </w:r>
      <w:r w:rsidR="00D64239" w:rsidRPr="00D34003">
        <w:t>; and</w:t>
      </w:r>
      <w:r w:rsidRPr="00D34003">
        <w:t xml:space="preserve"> Step 3 transformed the outcome</w:t>
      </w:r>
      <w:r w:rsidR="00D64239" w:rsidRPr="00D34003">
        <w:t>s</w:t>
      </w:r>
      <w:r w:rsidRPr="00D34003">
        <w:t>, LYG, to QALYs</w:t>
      </w:r>
      <w:r w:rsidRPr="00D34003">
        <w:rPr>
          <w:color w:val="3366FF"/>
        </w:rPr>
        <w:t>.</w:t>
      </w:r>
    </w:p>
    <w:p w:rsidR="00706810" w:rsidRPr="00D34003" w:rsidRDefault="00706810" w:rsidP="005F669C">
      <w:pPr>
        <w:keepNext/>
        <w:keepLines/>
        <w:widowControl/>
        <w:rPr>
          <w:rStyle w:val="CommentReference"/>
        </w:rPr>
      </w:pPr>
      <w:r w:rsidRPr="00D34003">
        <w:rPr>
          <w:rStyle w:val="CommentReference"/>
        </w:rPr>
        <w:lastRenderedPageBreak/>
        <w:t xml:space="preserve">Table </w:t>
      </w:r>
      <w:r w:rsidR="00B32121" w:rsidRPr="00D34003">
        <w:rPr>
          <w:rStyle w:val="CommentReference"/>
        </w:rPr>
        <w:t>1</w:t>
      </w:r>
      <w:r w:rsidR="00884669" w:rsidRPr="00D34003">
        <w:rPr>
          <w:rStyle w:val="CommentReference"/>
        </w:rPr>
        <w:t>3</w:t>
      </w:r>
      <w:r w:rsidRPr="00D34003">
        <w:rPr>
          <w:rStyle w:val="CommentReference"/>
        </w:rPr>
        <w:t>: Results of the stepped economic evaluation</w:t>
      </w:r>
    </w:p>
    <w:tbl>
      <w:tblPr>
        <w:tblStyle w:val="TableGrid"/>
        <w:tblW w:w="5050" w:type="pct"/>
        <w:tblLook w:val="04A0" w:firstRow="1" w:lastRow="0" w:firstColumn="1" w:lastColumn="0" w:noHBand="0" w:noVBand="1"/>
        <w:tblCaption w:val="Table 13: Results of the stepped economic evaluation"/>
      </w:tblPr>
      <w:tblGrid>
        <w:gridCol w:w="1739"/>
        <w:gridCol w:w="1126"/>
        <w:gridCol w:w="990"/>
        <w:gridCol w:w="1057"/>
        <w:gridCol w:w="1139"/>
        <w:gridCol w:w="1174"/>
        <w:gridCol w:w="1057"/>
        <w:gridCol w:w="1053"/>
      </w:tblGrid>
      <w:tr w:rsidR="00706810" w:rsidRPr="00D34003" w:rsidTr="00D64239">
        <w:trPr>
          <w:tblHeader/>
        </w:trPr>
        <w:tc>
          <w:tcPr>
            <w:tcW w:w="932" w:type="pct"/>
            <w:hideMark/>
          </w:tcPr>
          <w:p w:rsidR="00706810" w:rsidRPr="00D34003" w:rsidRDefault="00706810" w:rsidP="005F669C">
            <w:pPr>
              <w:keepNext/>
              <w:keepLines/>
              <w:jc w:val="left"/>
              <w:rPr>
                <w:rFonts w:ascii="Arial Narrow" w:hAnsi="Arial Narrow" w:cs="Times New Roman"/>
                <w:b/>
                <w:sz w:val="20"/>
                <w:szCs w:val="20"/>
              </w:rPr>
            </w:pPr>
            <w:r w:rsidRPr="00D34003">
              <w:rPr>
                <w:rFonts w:ascii="Arial Narrow" w:hAnsi="Arial Narrow" w:cs="Times New Roman"/>
                <w:b/>
                <w:sz w:val="20"/>
                <w:szCs w:val="20"/>
              </w:rPr>
              <w:t>Steps undertaken</w:t>
            </w:r>
          </w:p>
        </w:tc>
        <w:tc>
          <w:tcPr>
            <w:tcW w:w="603" w:type="pct"/>
            <w:hideMark/>
          </w:tcPr>
          <w:p w:rsidR="00706810" w:rsidRPr="00D34003" w:rsidRDefault="00706810" w:rsidP="005F669C">
            <w:pPr>
              <w:keepNext/>
              <w:keepLines/>
              <w:jc w:val="center"/>
              <w:rPr>
                <w:rFonts w:ascii="Arial Narrow" w:hAnsi="Arial Narrow" w:cs="Times New Roman"/>
                <w:b/>
                <w:sz w:val="20"/>
                <w:szCs w:val="20"/>
              </w:rPr>
            </w:pPr>
            <w:r w:rsidRPr="00D34003">
              <w:rPr>
                <w:rFonts w:ascii="Arial Narrow" w:hAnsi="Arial Narrow" w:cs="Times New Roman"/>
                <w:b/>
                <w:sz w:val="20"/>
                <w:szCs w:val="20"/>
              </w:rPr>
              <w:t>Proposed PEM costs</w:t>
            </w:r>
          </w:p>
        </w:tc>
        <w:tc>
          <w:tcPr>
            <w:tcW w:w="530" w:type="pct"/>
            <w:hideMark/>
          </w:tcPr>
          <w:p w:rsidR="00706810" w:rsidRPr="00D34003" w:rsidRDefault="00706810" w:rsidP="005F669C">
            <w:pPr>
              <w:keepNext/>
              <w:keepLines/>
              <w:jc w:val="center"/>
              <w:rPr>
                <w:rFonts w:ascii="Arial Narrow" w:hAnsi="Arial Narrow" w:cs="Times New Roman"/>
                <w:b/>
                <w:sz w:val="20"/>
                <w:szCs w:val="20"/>
              </w:rPr>
            </w:pPr>
            <w:r w:rsidRPr="00D34003">
              <w:rPr>
                <w:rFonts w:ascii="Arial Narrow" w:hAnsi="Arial Narrow" w:cs="Times New Roman"/>
                <w:b/>
                <w:sz w:val="20"/>
                <w:szCs w:val="20"/>
              </w:rPr>
              <w:t>SOC costs</w:t>
            </w:r>
          </w:p>
        </w:tc>
        <w:tc>
          <w:tcPr>
            <w:tcW w:w="566" w:type="pct"/>
            <w:hideMark/>
          </w:tcPr>
          <w:p w:rsidR="00706810" w:rsidRPr="00D34003" w:rsidRDefault="00706810" w:rsidP="005F669C">
            <w:pPr>
              <w:keepNext/>
              <w:keepLines/>
              <w:jc w:val="center"/>
              <w:rPr>
                <w:rFonts w:ascii="Arial Narrow" w:hAnsi="Arial Narrow" w:cs="Times New Roman"/>
                <w:b/>
                <w:sz w:val="20"/>
                <w:szCs w:val="20"/>
              </w:rPr>
            </w:pPr>
            <w:r w:rsidRPr="00D34003">
              <w:rPr>
                <w:rFonts w:ascii="Arial Narrow" w:hAnsi="Arial Narrow" w:cs="Times New Roman"/>
                <w:b/>
                <w:sz w:val="20"/>
                <w:szCs w:val="20"/>
              </w:rPr>
              <w:t>Inc. costs</w:t>
            </w:r>
          </w:p>
        </w:tc>
        <w:tc>
          <w:tcPr>
            <w:tcW w:w="610" w:type="pct"/>
            <w:hideMark/>
          </w:tcPr>
          <w:p w:rsidR="00706810" w:rsidRPr="00D34003" w:rsidRDefault="00706810" w:rsidP="005F669C">
            <w:pPr>
              <w:keepNext/>
              <w:keepLines/>
              <w:jc w:val="center"/>
              <w:rPr>
                <w:rFonts w:ascii="Arial Narrow" w:hAnsi="Arial Narrow" w:cs="Times New Roman"/>
                <w:b/>
                <w:sz w:val="20"/>
                <w:szCs w:val="20"/>
              </w:rPr>
            </w:pPr>
            <w:r w:rsidRPr="00D34003">
              <w:rPr>
                <w:rFonts w:ascii="Arial Narrow" w:hAnsi="Arial Narrow" w:cs="Times New Roman"/>
                <w:b/>
                <w:sz w:val="20"/>
                <w:szCs w:val="20"/>
              </w:rPr>
              <w:t>PEM outcomes</w:t>
            </w:r>
          </w:p>
        </w:tc>
        <w:tc>
          <w:tcPr>
            <w:tcW w:w="629" w:type="pct"/>
            <w:hideMark/>
          </w:tcPr>
          <w:p w:rsidR="00706810" w:rsidRPr="00D34003" w:rsidRDefault="00706810" w:rsidP="005F669C">
            <w:pPr>
              <w:keepNext/>
              <w:keepLines/>
              <w:jc w:val="center"/>
              <w:rPr>
                <w:rFonts w:ascii="Arial Narrow" w:hAnsi="Arial Narrow" w:cs="Times New Roman"/>
                <w:b/>
                <w:sz w:val="20"/>
                <w:szCs w:val="20"/>
              </w:rPr>
            </w:pPr>
            <w:r w:rsidRPr="00D34003">
              <w:rPr>
                <w:rFonts w:ascii="Arial Narrow" w:hAnsi="Arial Narrow" w:cs="Times New Roman"/>
                <w:b/>
                <w:sz w:val="20"/>
                <w:szCs w:val="20"/>
              </w:rPr>
              <w:t>Comparator outcomes</w:t>
            </w:r>
          </w:p>
        </w:tc>
        <w:tc>
          <w:tcPr>
            <w:tcW w:w="566" w:type="pct"/>
            <w:hideMark/>
          </w:tcPr>
          <w:p w:rsidR="00706810" w:rsidRPr="00D34003" w:rsidRDefault="00706810" w:rsidP="005F669C">
            <w:pPr>
              <w:keepNext/>
              <w:keepLines/>
              <w:jc w:val="center"/>
              <w:rPr>
                <w:rFonts w:ascii="Arial Narrow" w:hAnsi="Arial Narrow" w:cs="Times New Roman"/>
                <w:b/>
                <w:sz w:val="20"/>
                <w:szCs w:val="20"/>
              </w:rPr>
            </w:pPr>
            <w:r w:rsidRPr="00D34003">
              <w:rPr>
                <w:rFonts w:ascii="Arial Narrow" w:hAnsi="Arial Narrow" w:cs="Times New Roman"/>
                <w:b/>
                <w:sz w:val="20"/>
                <w:szCs w:val="20"/>
              </w:rPr>
              <w:t>Inc. outcomes</w:t>
            </w:r>
          </w:p>
        </w:tc>
        <w:tc>
          <w:tcPr>
            <w:tcW w:w="565" w:type="pct"/>
            <w:hideMark/>
          </w:tcPr>
          <w:p w:rsidR="00706810" w:rsidRPr="00D34003" w:rsidRDefault="00706810" w:rsidP="005F669C">
            <w:pPr>
              <w:keepNext/>
              <w:keepLines/>
              <w:jc w:val="center"/>
              <w:rPr>
                <w:rFonts w:ascii="Arial Narrow" w:hAnsi="Arial Narrow" w:cs="Times New Roman"/>
                <w:b/>
                <w:sz w:val="20"/>
                <w:szCs w:val="20"/>
              </w:rPr>
            </w:pPr>
            <w:r w:rsidRPr="00D34003">
              <w:rPr>
                <w:rFonts w:ascii="Arial Narrow" w:hAnsi="Arial Narrow" w:cs="Times New Roman"/>
                <w:b/>
                <w:sz w:val="20"/>
                <w:szCs w:val="20"/>
              </w:rPr>
              <w:t>ICER</w:t>
            </w:r>
          </w:p>
        </w:tc>
      </w:tr>
      <w:tr w:rsidR="00706810" w:rsidRPr="00D34003" w:rsidTr="00B91ED1">
        <w:tc>
          <w:tcPr>
            <w:tcW w:w="932" w:type="pct"/>
            <w:hideMark/>
          </w:tcPr>
          <w:p w:rsidR="00706810" w:rsidRPr="00D34003" w:rsidRDefault="00706810" w:rsidP="005F669C">
            <w:pPr>
              <w:keepNext/>
              <w:keepLines/>
              <w:jc w:val="left"/>
              <w:rPr>
                <w:rFonts w:ascii="Arial Narrow" w:hAnsi="Arial Narrow" w:cs="Times New Roman"/>
                <w:b/>
                <w:sz w:val="20"/>
                <w:szCs w:val="20"/>
              </w:rPr>
            </w:pPr>
            <w:r w:rsidRPr="00D34003">
              <w:rPr>
                <w:rFonts w:ascii="Arial Narrow" w:hAnsi="Arial Narrow" w:cs="Times New Roman"/>
                <w:sz w:val="20"/>
                <w:szCs w:val="20"/>
              </w:rPr>
              <w:t>Step 1. Comparative study data (27.7 months follow-up)</w:t>
            </w:r>
          </w:p>
        </w:tc>
        <w:tc>
          <w:tcPr>
            <w:tcW w:w="603"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530"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566"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610"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L</w:t>
            </w:r>
            <w:r w:rsidR="002D70ED" w:rsidRPr="00D34003">
              <w:rPr>
                <w:rFonts w:ascii="Arial Narrow" w:hAnsi="Arial Narrow" w:cs="Times New Roman"/>
                <w:sz w:val="20"/>
                <w:szCs w:val="20"/>
              </w:rPr>
              <w:t>Y</w:t>
            </w:r>
            <w:r w:rsidR="00706810" w:rsidRPr="00D34003">
              <w:rPr>
                <w:rFonts w:ascii="Arial Narrow" w:hAnsi="Arial Narrow" w:cs="Times New Roman"/>
                <w:sz w:val="20"/>
                <w:szCs w:val="20"/>
              </w:rPr>
              <w:t>s</w:t>
            </w:r>
          </w:p>
        </w:tc>
        <w:tc>
          <w:tcPr>
            <w:tcW w:w="629"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L</w:t>
            </w:r>
            <w:r w:rsidR="002D70ED" w:rsidRPr="00D34003">
              <w:rPr>
                <w:rFonts w:ascii="Arial Narrow" w:hAnsi="Arial Narrow" w:cs="Times New Roman"/>
                <w:sz w:val="20"/>
                <w:szCs w:val="20"/>
              </w:rPr>
              <w:t>Y</w:t>
            </w:r>
            <w:r w:rsidR="00706810" w:rsidRPr="00D34003">
              <w:rPr>
                <w:rFonts w:ascii="Arial Narrow" w:hAnsi="Arial Narrow" w:cs="Times New Roman"/>
                <w:sz w:val="20"/>
                <w:szCs w:val="20"/>
              </w:rPr>
              <w:t>s</w:t>
            </w:r>
          </w:p>
        </w:tc>
        <w:tc>
          <w:tcPr>
            <w:tcW w:w="566"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LYs</w:t>
            </w:r>
          </w:p>
        </w:tc>
        <w:tc>
          <w:tcPr>
            <w:tcW w:w="565"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r w:rsidRPr="00D34003">
              <w:rPr>
                <w:rFonts w:ascii="Arial Narrow" w:hAnsi="Arial Narrow" w:cs="Times New Roman"/>
                <w:sz w:val="20"/>
                <w:szCs w:val="20"/>
              </w:rPr>
              <w:t>/ LY</w:t>
            </w:r>
          </w:p>
        </w:tc>
      </w:tr>
      <w:tr w:rsidR="00706810" w:rsidRPr="00D34003" w:rsidTr="00B91ED1">
        <w:tc>
          <w:tcPr>
            <w:tcW w:w="932" w:type="pct"/>
            <w:hideMark/>
          </w:tcPr>
          <w:p w:rsidR="00706810" w:rsidRPr="00D34003" w:rsidRDefault="00706810" w:rsidP="005F669C">
            <w:pPr>
              <w:keepNext/>
              <w:keepLines/>
              <w:jc w:val="left"/>
              <w:rPr>
                <w:rFonts w:ascii="Arial Narrow" w:hAnsi="Arial Narrow" w:cs="Times New Roman"/>
                <w:b/>
                <w:sz w:val="20"/>
                <w:szCs w:val="20"/>
              </w:rPr>
            </w:pPr>
            <w:r w:rsidRPr="00D34003">
              <w:rPr>
                <w:rFonts w:ascii="Arial Narrow" w:hAnsi="Arial Narrow" w:cs="Times New Roman"/>
                <w:sz w:val="20"/>
                <w:szCs w:val="20"/>
              </w:rPr>
              <w:t>Step 2. Extrapolated to the 7.5-year time horizon</w:t>
            </w:r>
          </w:p>
        </w:tc>
        <w:tc>
          <w:tcPr>
            <w:tcW w:w="603"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530"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566"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610"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L</w:t>
            </w:r>
            <w:r w:rsidR="002D70ED" w:rsidRPr="00D34003">
              <w:rPr>
                <w:rFonts w:ascii="Arial Narrow" w:hAnsi="Arial Narrow" w:cs="Times New Roman"/>
                <w:sz w:val="20"/>
                <w:szCs w:val="20"/>
              </w:rPr>
              <w:t>Y</w:t>
            </w:r>
            <w:r w:rsidR="00706810" w:rsidRPr="00D34003">
              <w:rPr>
                <w:rFonts w:ascii="Arial Narrow" w:hAnsi="Arial Narrow" w:cs="Times New Roman"/>
                <w:sz w:val="20"/>
                <w:szCs w:val="20"/>
              </w:rPr>
              <w:t>s</w:t>
            </w:r>
          </w:p>
        </w:tc>
        <w:tc>
          <w:tcPr>
            <w:tcW w:w="629"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L</w:t>
            </w:r>
            <w:r w:rsidR="002D70ED" w:rsidRPr="00D34003">
              <w:rPr>
                <w:rFonts w:ascii="Arial Narrow" w:hAnsi="Arial Narrow" w:cs="Times New Roman"/>
                <w:sz w:val="20"/>
                <w:szCs w:val="20"/>
              </w:rPr>
              <w:t>Y</w:t>
            </w:r>
            <w:r w:rsidR="00706810" w:rsidRPr="00D34003">
              <w:rPr>
                <w:rFonts w:ascii="Arial Narrow" w:hAnsi="Arial Narrow" w:cs="Times New Roman"/>
                <w:sz w:val="20"/>
                <w:szCs w:val="20"/>
              </w:rPr>
              <w:t>s</w:t>
            </w:r>
          </w:p>
        </w:tc>
        <w:tc>
          <w:tcPr>
            <w:tcW w:w="566"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LYs</w:t>
            </w:r>
          </w:p>
        </w:tc>
        <w:tc>
          <w:tcPr>
            <w:tcW w:w="565"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r w:rsidRPr="00D34003">
              <w:rPr>
                <w:rFonts w:ascii="Arial Narrow" w:hAnsi="Arial Narrow" w:cs="Times New Roman"/>
                <w:sz w:val="20"/>
                <w:szCs w:val="20"/>
              </w:rPr>
              <w:t>/ LY</w:t>
            </w:r>
          </w:p>
        </w:tc>
      </w:tr>
      <w:tr w:rsidR="00706810" w:rsidRPr="00D34003" w:rsidTr="00B91ED1">
        <w:tc>
          <w:tcPr>
            <w:tcW w:w="932" w:type="pct"/>
            <w:hideMark/>
          </w:tcPr>
          <w:p w:rsidR="00706810" w:rsidRPr="00D34003" w:rsidRDefault="00706810" w:rsidP="005F669C">
            <w:pPr>
              <w:keepNext/>
              <w:keepLines/>
              <w:jc w:val="left"/>
              <w:rPr>
                <w:rFonts w:ascii="Arial Narrow" w:hAnsi="Arial Narrow" w:cs="Times New Roman"/>
                <w:b/>
                <w:sz w:val="20"/>
                <w:szCs w:val="20"/>
              </w:rPr>
            </w:pPr>
            <w:r w:rsidRPr="00D34003">
              <w:rPr>
                <w:rFonts w:ascii="Arial Narrow" w:hAnsi="Arial Narrow" w:cs="Times New Roman"/>
                <w:sz w:val="20"/>
                <w:szCs w:val="20"/>
              </w:rPr>
              <w:t>Step 3. Extrapolated to the 7.5-year and transformed into QALYs</w:t>
            </w:r>
          </w:p>
        </w:tc>
        <w:tc>
          <w:tcPr>
            <w:tcW w:w="603"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530"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566"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p>
        </w:tc>
        <w:tc>
          <w:tcPr>
            <w:tcW w:w="610"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QALYs</w:t>
            </w:r>
          </w:p>
        </w:tc>
        <w:tc>
          <w:tcPr>
            <w:tcW w:w="629"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QALYs</w:t>
            </w:r>
          </w:p>
        </w:tc>
        <w:tc>
          <w:tcPr>
            <w:tcW w:w="566" w:type="pct"/>
            <w:hideMark/>
          </w:tcPr>
          <w:p w:rsidR="00706810" w:rsidRPr="00D34003" w:rsidRDefault="00504C28" w:rsidP="005F669C">
            <w:pPr>
              <w:keepNext/>
              <w:keepLines/>
              <w:jc w:val="center"/>
              <w:rPr>
                <w:rFonts w:ascii="Arial Narrow" w:hAnsi="Arial Narrow" w:cs="Times New Roman"/>
                <w:sz w:val="20"/>
                <w:szCs w:val="20"/>
              </w:rPr>
            </w:pPr>
            <w:r>
              <w:rPr>
                <w:rFonts w:ascii="Arial Narrow" w:hAnsi="Arial Narrow" w:cs="Times New Roman"/>
                <w:noProof/>
                <w:color w:val="000000"/>
                <w:sz w:val="20"/>
                <w:szCs w:val="20"/>
                <w:highlight w:val="black"/>
              </w:rPr>
              <w:t>'''''''''''</w:t>
            </w:r>
            <w:r w:rsidR="00706810" w:rsidRPr="00D34003">
              <w:rPr>
                <w:rFonts w:ascii="Arial Narrow" w:hAnsi="Arial Narrow" w:cs="Times New Roman"/>
                <w:sz w:val="20"/>
                <w:szCs w:val="20"/>
              </w:rPr>
              <w:t xml:space="preserve"> QALYs</w:t>
            </w:r>
          </w:p>
        </w:tc>
        <w:tc>
          <w:tcPr>
            <w:tcW w:w="565" w:type="pct"/>
            <w:hideMark/>
          </w:tcPr>
          <w:p w:rsidR="00706810" w:rsidRPr="00D34003" w:rsidRDefault="00706810" w:rsidP="005F669C">
            <w:pPr>
              <w:keepNext/>
              <w:keepLines/>
              <w:jc w:val="center"/>
              <w:rPr>
                <w:rFonts w:ascii="Arial Narrow" w:hAnsi="Arial Narrow" w:cs="Times New Roman"/>
                <w:sz w:val="20"/>
                <w:szCs w:val="20"/>
              </w:rPr>
            </w:pPr>
            <w:r w:rsidRPr="00D34003">
              <w:rPr>
                <w:rFonts w:ascii="Arial Narrow" w:hAnsi="Arial Narrow" w:cs="Times New Roman"/>
                <w:sz w:val="20"/>
                <w:szCs w:val="20"/>
              </w:rPr>
              <w:t>$</w:t>
            </w:r>
            <w:r w:rsidR="00504C28">
              <w:rPr>
                <w:rFonts w:ascii="Arial Narrow" w:hAnsi="Arial Narrow" w:cs="Times New Roman"/>
                <w:noProof/>
                <w:color w:val="000000"/>
                <w:sz w:val="20"/>
                <w:szCs w:val="20"/>
                <w:highlight w:val="black"/>
              </w:rPr>
              <w:t>''''''''''''''''''</w:t>
            </w:r>
            <w:r w:rsidRPr="00D34003">
              <w:rPr>
                <w:rFonts w:ascii="Arial Narrow" w:hAnsi="Arial Narrow" w:cs="Times New Roman"/>
                <w:sz w:val="20"/>
                <w:szCs w:val="20"/>
              </w:rPr>
              <w:t>/ QALY</w:t>
            </w:r>
          </w:p>
        </w:tc>
      </w:tr>
    </w:tbl>
    <w:p w:rsidR="00706810" w:rsidRPr="00D34003" w:rsidRDefault="00706810" w:rsidP="005F669C">
      <w:pPr>
        <w:pStyle w:val="TableFooter"/>
        <w:keepNext/>
        <w:keepLines/>
      </w:pPr>
      <w:r w:rsidRPr="00D34003">
        <w:t xml:space="preserve">Abbreviations: ICER= incremental cost effectiveness ratio; </w:t>
      </w:r>
      <w:proofErr w:type="spellStart"/>
      <w:r w:rsidRPr="00D34003">
        <w:t>Inc</w:t>
      </w:r>
      <w:proofErr w:type="spellEnd"/>
      <w:r w:rsidRPr="00D34003">
        <w:t xml:space="preserve">= incremental; LYs = life years; PEM= pembrolizumab, QALYs= quality adjusted life years, SOC= standard of care </w:t>
      </w:r>
    </w:p>
    <w:p w:rsidR="00706810" w:rsidRPr="00D34003" w:rsidRDefault="00706810" w:rsidP="005F669C">
      <w:pPr>
        <w:pStyle w:val="TableFooter"/>
        <w:keepNext/>
        <w:keepLines/>
      </w:pPr>
      <w:r w:rsidRPr="00D34003">
        <w:t xml:space="preserve">Source: Table 3-13, p 139 of the </w:t>
      </w:r>
      <w:r w:rsidR="002D70ED" w:rsidRPr="00D34003">
        <w:t>re</w:t>
      </w:r>
      <w:r w:rsidRPr="00D34003">
        <w:t xml:space="preserve">submission. </w:t>
      </w:r>
    </w:p>
    <w:p w:rsidR="00706810" w:rsidRPr="00D34003" w:rsidRDefault="00706810" w:rsidP="00265CD0">
      <w:pPr>
        <w:keepNext/>
        <w:widowControl/>
      </w:pPr>
    </w:p>
    <w:p w:rsidR="00706810" w:rsidRPr="00D34003" w:rsidRDefault="00706810" w:rsidP="007A7E9A">
      <w:pPr>
        <w:pStyle w:val="ListParagraph"/>
        <w:widowControl/>
        <w:numPr>
          <w:ilvl w:val="1"/>
          <w:numId w:val="1"/>
        </w:numPr>
      </w:pPr>
      <w:r w:rsidRPr="00D34003">
        <w:rPr>
          <w:bCs/>
        </w:rPr>
        <w:t xml:space="preserve">The results from the economic evaluation show that the time horizon had an important impact on the ICER. All steps presented included the impact of the adjustment for crossover. It would have been valuable to have an additional step presenting the trial duration ICER without </w:t>
      </w:r>
      <w:r w:rsidR="00E910F4" w:rsidRPr="00D34003">
        <w:rPr>
          <w:bCs/>
        </w:rPr>
        <w:t>crossover</w:t>
      </w:r>
      <w:r w:rsidRPr="00D34003">
        <w:rPr>
          <w:bCs/>
        </w:rPr>
        <w:t xml:space="preserve"> adjustment. The transformation of the outcome from LYG to QALYs also had an important impact on the cost-effectiveness results. The differences between the results reported in the November 2017 submission and the resubmission are mainly explained by </w:t>
      </w:r>
      <w:r w:rsidR="00074CC8" w:rsidRPr="00D34003">
        <w:rPr>
          <w:bCs/>
        </w:rPr>
        <w:t xml:space="preserve">the extension of the </w:t>
      </w:r>
      <w:r w:rsidR="00C6400C" w:rsidRPr="00D34003">
        <w:rPr>
          <w:bCs/>
        </w:rPr>
        <w:t xml:space="preserve">time horizon and </w:t>
      </w:r>
      <w:r w:rsidR="00074CC8" w:rsidRPr="00D34003">
        <w:rPr>
          <w:bCs/>
        </w:rPr>
        <w:t xml:space="preserve">the adjustment for </w:t>
      </w:r>
      <w:r w:rsidR="00C6400C" w:rsidRPr="00D34003">
        <w:rPr>
          <w:bCs/>
        </w:rPr>
        <w:t>crossover</w:t>
      </w:r>
      <w:r w:rsidRPr="00D34003">
        <w:rPr>
          <w:bCs/>
        </w:rPr>
        <w:t>.</w:t>
      </w:r>
      <w:r w:rsidR="00022488" w:rsidRPr="00D34003">
        <w:rPr>
          <w:color w:val="3366FF"/>
        </w:rPr>
        <w:t xml:space="preserve"> </w:t>
      </w:r>
    </w:p>
    <w:p w:rsidR="00706810" w:rsidRPr="00D34003" w:rsidRDefault="00706810" w:rsidP="007A7E9A">
      <w:pPr>
        <w:pStyle w:val="ListParagraph"/>
        <w:widowControl/>
        <w:numPr>
          <w:ilvl w:val="1"/>
          <w:numId w:val="1"/>
        </w:numPr>
      </w:pPr>
      <w:r w:rsidRPr="00D34003">
        <w:t xml:space="preserve">The submission applied appropriate methodology to estimate the total expected costs based on TOT. The sources for valuing health resources were appropriate. </w:t>
      </w:r>
    </w:p>
    <w:p w:rsidR="00F60229" w:rsidRPr="00D34003" w:rsidRDefault="00706810" w:rsidP="007A7E9A">
      <w:pPr>
        <w:pStyle w:val="ListParagraph"/>
        <w:widowControl/>
        <w:numPr>
          <w:ilvl w:val="1"/>
          <w:numId w:val="1"/>
        </w:numPr>
        <w:spacing w:before="120"/>
      </w:pPr>
      <w:r w:rsidRPr="00D34003">
        <w:t xml:space="preserve">Selected univariate sensitivity analyses specified by the resubmission and additional analyses (univariate and multivariate) conducted during the evaluation are presented in Table </w:t>
      </w:r>
      <w:r w:rsidR="00890EA2" w:rsidRPr="00D34003">
        <w:t>1</w:t>
      </w:r>
      <w:r w:rsidR="00096DF9" w:rsidRPr="00D34003">
        <w:t>4</w:t>
      </w:r>
      <w:r w:rsidR="00890EA2" w:rsidRPr="00D34003">
        <w:t xml:space="preserve"> </w:t>
      </w:r>
      <w:r w:rsidR="00251F3C" w:rsidRPr="00D34003">
        <w:t>and Figure</w:t>
      </w:r>
      <w:r w:rsidR="004E2598" w:rsidRPr="00D34003">
        <w:t xml:space="preserve"> </w:t>
      </w:r>
      <w:r w:rsidR="003A242C" w:rsidRPr="00D34003">
        <w:t>3</w:t>
      </w:r>
      <w:r w:rsidRPr="00D34003">
        <w:t xml:space="preserve">. </w:t>
      </w:r>
    </w:p>
    <w:p w:rsidR="00706810" w:rsidRPr="00D34003" w:rsidRDefault="00706810" w:rsidP="004B246F">
      <w:pPr>
        <w:pStyle w:val="Tabletext"/>
        <w:keepNext/>
        <w:keepLines/>
        <w:rPr>
          <w:b/>
          <w:szCs w:val="16"/>
        </w:rPr>
      </w:pPr>
      <w:r w:rsidRPr="00D34003">
        <w:rPr>
          <w:b/>
          <w:szCs w:val="20"/>
        </w:rPr>
        <w:lastRenderedPageBreak/>
        <w:t xml:space="preserve">Table </w:t>
      </w:r>
      <w:r w:rsidR="00890EA2" w:rsidRPr="00D34003">
        <w:rPr>
          <w:b/>
          <w:szCs w:val="20"/>
        </w:rPr>
        <w:t>1</w:t>
      </w:r>
      <w:r w:rsidR="00096DF9" w:rsidRPr="00D34003">
        <w:rPr>
          <w:b/>
          <w:szCs w:val="20"/>
        </w:rPr>
        <w:t>4</w:t>
      </w:r>
      <w:r w:rsidRPr="00D34003">
        <w:rPr>
          <w:b/>
          <w:szCs w:val="20"/>
        </w:rPr>
        <w:t xml:space="preserve">: </w:t>
      </w:r>
      <w:r w:rsidRPr="00D34003">
        <w:rPr>
          <w:b/>
        </w:rPr>
        <w:t>Results of the sensitivity and scenario analyses characterising the uncertainty around the ICER</w:t>
      </w:r>
    </w:p>
    <w:tbl>
      <w:tblPr>
        <w:tblStyle w:val="TableGrid"/>
        <w:tblW w:w="5000" w:type="pct"/>
        <w:tblLook w:val="04A0" w:firstRow="1" w:lastRow="0" w:firstColumn="1" w:lastColumn="0" w:noHBand="0" w:noVBand="1"/>
        <w:tblCaption w:val="Table 14: Results of the sensitivity and scenario analyses characterising the uncertainty around the ICER"/>
      </w:tblPr>
      <w:tblGrid>
        <w:gridCol w:w="1390"/>
        <w:gridCol w:w="1527"/>
        <w:gridCol w:w="1723"/>
        <w:gridCol w:w="1165"/>
        <w:gridCol w:w="1163"/>
        <w:gridCol w:w="1301"/>
        <w:gridCol w:w="974"/>
      </w:tblGrid>
      <w:tr w:rsidR="00706810" w:rsidRPr="00D34003" w:rsidTr="00126619">
        <w:trPr>
          <w:tblHeader/>
        </w:trPr>
        <w:tc>
          <w:tcPr>
            <w:tcW w:w="752" w:type="pct"/>
            <w:hideMark/>
          </w:tcPr>
          <w:p w:rsidR="00706810" w:rsidRPr="00D34003" w:rsidRDefault="00706810" w:rsidP="004B246F">
            <w:pPr>
              <w:keepNext/>
              <w:keepLines/>
              <w:jc w:val="left"/>
              <w:rPr>
                <w:rFonts w:ascii="Arial Narrow" w:hAnsi="Arial Narrow"/>
                <w:b/>
                <w:sz w:val="20"/>
                <w:szCs w:val="20"/>
              </w:rPr>
            </w:pPr>
            <w:r w:rsidRPr="00D34003">
              <w:rPr>
                <w:rFonts w:ascii="Arial Narrow" w:hAnsi="Arial Narrow"/>
                <w:b/>
                <w:sz w:val="20"/>
                <w:szCs w:val="20"/>
              </w:rPr>
              <w:t>Variable or assumption</w:t>
            </w:r>
          </w:p>
        </w:tc>
        <w:tc>
          <w:tcPr>
            <w:tcW w:w="826" w:type="pct"/>
            <w:hideMark/>
          </w:tcPr>
          <w:p w:rsidR="00706810" w:rsidRPr="00D34003" w:rsidRDefault="00706810" w:rsidP="004B246F">
            <w:pPr>
              <w:keepNext/>
              <w:keepLines/>
              <w:jc w:val="left"/>
              <w:rPr>
                <w:rFonts w:ascii="Arial Narrow" w:hAnsi="Arial Narrow"/>
                <w:b/>
                <w:sz w:val="20"/>
                <w:szCs w:val="20"/>
              </w:rPr>
            </w:pPr>
            <w:r w:rsidRPr="00D34003">
              <w:rPr>
                <w:rFonts w:ascii="Arial Narrow" w:hAnsi="Arial Narrow"/>
                <w:b/>
                <w:sz w:val="20"/>
                <w:szCs w:val="20"/>
              </w:rPr>
              <w:t>Base-case value</w:t>
            </w:r>
          </w:p>
        </w:tc>
        <w:tc>
          <w:tcPr>
            <w:tcW w:w="932" w:type="pct"/>
            <w:hideMark/>
          </w:tcPr>
          <w:p w:rsidR="00706810" w:rsidRPr="00D34003" w:rsidRDefault="00706810" w:rsidP="004B246F">
            <w:pPr>
              <w:keepNext/>
              <w:keepLines/>
              <w:jc w:val="left"/>
              <w:rPr>
                <w:rFonts w:ascii="Arial Narrow" w:hAnsi="Arial Narrow"/>
                <w:b/>
                <w:sz w:val="20"/>
                <w:szCs w:val="20"/>
              </w:rPr>
            </w:pPr>
            <w:r w:rsidRPr="00D34003">
              <w:rPr>
                <w:rFonts w:ascii="Arial Narrow" w:hAnsi="Arial Narrow"/>
                <w:b/>
                <w:sz w:val="20"/>
                <w:szCs w:val="20"/>
              </w:rPr>
              <w:t xml:space="preserve">Plausible alternative(s) or range of values </w:t>
            </w:r>
          </w:p>
        </w:tc>
        <w:tc>
          <w:tcPr>
            <w:tcW w:w="630" w:type="pct"/>
            <w:hideMark/>
          </w:tcPr>
          <w:p w:rsidR="00706810" w:rsidRPr="00D34003" w:rsidRDefault="00706810" w:rsidP="004B246F">
            <w:pPr>
              <w:keepNext/>
              <w:keepLines/>
              <w:jc w:val="center"/>
              <w:rPr>
                <w:rFonts w:ascii="Arial Narrow" w:hAnsi="Arial Narrow"/>
                <w:b/>
                <w:sz w:val="20"/>
                <w:szCs w:val="20"/>
              </w:rPr>
            </w:pPr>
            <w:r w:rsidRPr="00D34003">
              <w:rPr>
                <w:rFonts w:ascii="Arial Narrow" w:hAnsi="Arial Narrow"/>
                <w:b/>
                <w:sz w:val="20"/>
                <w:szCs w:val="20"/>
              </w:rPr>
              <w:t>Incremental QALYs</w:t>
            </w:r>
          </w:p>
        </w:tc>
        <w:tc>
          <w:tcPr>
            <w:tcW w:w="629" w:type="pct"/>
            <w:hideMark/>
          </w:tcPr>
          <w:p w:rsidR="00706810" w:rsidRPr="00D34003" w:rsidRDefault="00706810" w:rsidP="004B246F">
            <w:pPr>
              <w:keepNext/>
              <w:keepLines/>
              <w:jc w:val="center"/>
              <w:rPr>
                <w:rFonts w:ascii="Arial Narrow" w:hAnsi="Arial Narrow"/>
                <w:b/>
                <w:sz w:val="20"/>
                <w:szCs w:val="20"/>
              </w:rPr>
            </w:pPr>
            <w:r w:rsidRPr="00D34003">
              <w:rPr>
                <w:rFonts w:ascii="Arial Narrow" w:hAnsi="Arial Narrow"/>
                <w:b/>
                <w:sz w:val="20"/>
                <w:szCs w:val="20"/>
              </w:rPr>
              <w:t>Incremental costs</w:t>
            </w:r>
          </w:p>
        </w:tc>
        <w:tc>
          <w:tcPr>
            <w:tcW w:w="704" w:type="pct"/>
            <w:hideMark/>
          </w:tcPr>
          <w:p w:rsidR="00706810" w:rsidRPr="00D34003" w:rsidRDefault="00706810" w:rsidP="004B246F">
            <w:pPr>
              <w:keepNext/>
              <w:keepLines/>
              <w:jc w:val="center"/>
              <w:rPr>
                <w:rFonts w:ascii="Arial Narrow" w:hAnsi="Arial Narrow"/>
                <w:b/>
                <w:sz w:val="20"/>
                <w:szCs w:val="20"/>
              </w:rPr>
            </w:pPr>
            <w:r w:rsidRPr="00D34003">
              <w:rPr>
                <w:rFonts w:ascii="Arial Narrow" w:hAnsi="Arial Narrow"/>
                <w:b/>
                <w:sz w:val="20"/>
                <w:szCs w:val="20"/>
              </w:rPr>
              <w:t>ICER</w:t>
            </w:r>
          </w:p>
          <w:p w:rsidR="00706810" w:rsidRPr="00D34003" w:rsidRDefault="00706810" w:rsidP="004B246F">
            <w:pPr>
              <w:keepNext/>
              <w:keepLines/>
              <w:jc w:val="center"/>
              <w:rPr>
                <w:rFonts w:ascii="Arial Narrow" w:hAnsi="Arial Narrow"/>
                <w:b/>
                <w:sz w:val="20"/>
                <w:szCs w:val="20"/>
              </w:rPr>
            </w:pPr>
            <w:r w:rsidRPr="00D34003">
              <w:rPr>
                <w:rFonts w:ascii="Arial Narrow" w:hAnsi="Arial Narrow"/>
                <w:b/>
                <w:sz w:val="20"/>
                <w:szCs w:val="20"/>
              </w:rPr>
              <w:t>($/</w:t>
            </w:r>
            <w:r w:rsidRPr="00D34003">
              <w:rPr>
                <w:rFonts w:ascii="Arial Narrow" w:hAnsi="Arial Narrow"/>
                <w:b/>
                <w:sz w:val="20"/>
                <w:szCs w:val="20"/>
              </w:rPr>
              <w:br/>
              <w:t>QALY)</w:t>
            </w:r>
          </w:p>
        </w:tc>
        <w:tc>
          <w:tcPr>
            <w:tcW w:w="526" w:type="pct"/>
            <w:hideMark/>
          </w:tcPr>
          <w:p w:rsidR="00706810" w:rsidRPr="00D34003" w:rsidRDefault="00706810" w:rsidP="004B246F">
            <w:pPr>
              <w:keepNext/>
              <w:keepLines/>
              <w:jc w:val="center"/>
              <w:rPr>
                <w:rFonts w:ascii="Arial Narrow" w:hAnsi="Arial Narrow"/>
                <w:b/>
                <w:sz w:val="20"/>
                <w:szCs w:val="20"/>
              </w:rPr>
            </w:pPr>
            <w:r w:rsidRPr="00D34003">
              <w:rPr>
                <w:rFonts w:ascii="Arial Narrow" w:hAnsi="Arial Narrow"/>
                <w:b/>
                <w:sz w:val="20"/>
                <w:szCs w:val="20"/>
              </w:rPr>
              <w:t>% change</w:t>
            </w:r>
          </w:p>
        </w:tc>
      </w:tr>
      <w:tr w:rsidR="00706810" w:rsidRPr="00D34003" w:rsidTr="00126619">
        <w:tc>
          <w:tcPr>
            <w:tcW w:w="752" w:type="pc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Base case</w:t>
            </w:r>
          </w:p>
        </w:tc>
        <w:tc>
          <w:tcPr>
            <w:tcW w:w="826" w:type="pct"/>
          </w:tcPr>
          <w:p w:rsidR="00706810" w:rsidRPr="00D34003" w:rsidRDefault="00706810" w:rsidP="004B246F">
            <w:pPr>
              <w:keepNext/>
              <w:keepLines/>
              <w:jc w:val="left"/>
              <w:rPr>
                <w:rFonts w:ascii="Arial Narrow" w:hAnsi="Arial Narrow"/>
                <w:sz w:val="20"/>
                <w:szCs w:val="20"/>
              </w:rPr>
            </w:pPr>
          </w:p>
        </w:tc>
        <w:tc>
          <w:tcPr>
            <w:tcW w:w="932" w:type="pct"/>
          </w:tcPr>
          <w:p w:rsidR="00706810" w:rsidRPr="00D34003" w:rsidRDefault="00706810" w:rsidP="004B246F">
            <w:pPr>
              <w:keepNext/>
              <w:keepLines/>
              <w:jc w:val="left"/>
              <w:rPr>
                <w:rFonts w:ascii="Arial Narrow" w:hAnsi="Arial Narrow"/>
                <w:sz w:val="20"/>
                <w:szCs w:val="20"/>
              </w:rPr>
            </w:pPr>
          </w:p>
        </w:tc>
        <w:tc>
          <w:tcPr>
            <w:tcW w:w="630" w:type="pct"/>
            <w:hideMark/>
          </w:tcPr>
          <w:p w:rsidR="00706810" w:rsidRPr="00504C28" w:rsidRDefault="00504C28" w:rsidP="004B246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tcPr>
          <w:p w:rsidR="00706810" w:rsidRPr="00D34003" w:rsidRDefault="002D006D" w:rsidP="004B246F">
            <w:pPr>
              <w:keepNext/>
              <w:keepLines/>
              <w:jc w:val="center"/>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c>
          <w:tcPr>
            <w:tcW w:w="704" w:type="pct"/>
          </w:tcPr>
          <w:p w:rsidR="00706810" w:rsidRPr="00D34003" w:rsidRDefault="002D006D" w:rsidP="004B246F">
            <w:pPr>
              <w:keepNext/>
              <w:keepLines/>
              <w:jc w:val="center"/>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c>
          <w:tcPr>
            <w:tcW w:w="526" w:type="pct"/>
          </w:tcPr>
          <w:p w:rsidR="00706810" w:rsidRPr="00D34003" w:rsidRDefault="00706810" w:rsidP="004B246F">
            <w:pPr>
              <w:keepNext/>
              <w:keepLines/>
              <w:jc w:val="center"/>
              <w:rPr>
                <w:rFonts w:ascii="Arial Narrow" w:hAnsi="Arial Narrow"/>
                <w:sz w:val="20"/>
                <w:szCs w:val="20"/>
              </w:rPr>
            </w:pPr>
          </w:p>
        </w:tc>
      </w:tr>
      <w:tr w:rsidR="00706810" w:rsidRPr="00D34003" w:rsidTr="00126619">
        <w:trPr>
          <w:trHeight w:val="445"/>
        </w:trPr>
        <w:tc>
          <w:tcPr>
            <w:tcW w:w="752" w:type="pct"/>
            <w:vMerge w:val="restar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Discounting</w:t>
            </w:r>
          </w:p>
        </w:tc>
        <w:tc>
          <w:tcPr>
            <w:tcW w:w="826" w:type="pc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Outcomes and costs = 5%</w:t>
            </w:r>
          </w:p>
        </w:tc>
        <w:tc>
          <w:tcPr>
            <w:tcW w:w="932" w:type="pc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Outcomes and costs = 3.5%</w:t>
            </w:r>
          </w:p>
        </w:tc>
        <w:tc>
          <w:tcPr>
            <w:tcW w:w="630" w:type="pct"/>
            <w:hideMark/>
          </w:tcPr>
          <w:p w:rsidR="00706810" w:rsidRPr="00504C28" w:rsidRDefault="00504C28" w:rsidP="004B246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hideMark/>
          </w:tcPr>
          <w:p w:rsidR="00706810" w:rsidRPr="00D34003" w:rsidRDefault="002D006D" w:rsidP="004B246F">
            <w:pPr>
              <w:keepNext/>
              <w:keepLines/>
              <w:jc w:val="center"/>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c>
          <w:tcPr>
            <w:tcW w:w="704" w:type="pct"/>
            <w:hideMark/>
          </w:tcPr>
          <w:p w:rsidR="00706810" w:rsidRPr="00D34003" w:rsidRDefault="002D006D" w:rsidP="004B246F">
            <w:pPr>
              <w:keepNext/>
              <w:keepLines/>
              <w:jc w:val="center"/>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sz w:val="20"/>
                <w:szCs w:val="20"/>
              </w:rPr>
            </w:pPr>
            <w:r w:rsidRPr="00D34003">
              <w:rPr>
                <w:rFonts w:ascii="Arial Narrow" w:hAnsi="Arial Narrow"/>
                <w:sz w:val="20"/>
                <w:szCs w:val="20"/>
              </w:rPr>
              <w:t>-2.7%</w:t>
            </w:r>
          </w:p>
        </w:tc>
      </w:tr>
      <w:tr w:rsidR="00706810" w:rsidRPr="00D34003" w:rsidTr="00126619">
        <w:tc>
          <w:tcPr>
            <w:tcW w:w="0" w:type="auto"/>
            <w:vMerge/>
            <w:hideMark/>
          </w:tcPr>
          <w:p w:rsidR="00706810" w:rsidRPr="00D34003" w:rsidRDefault="00706810" w:rsidP="004B246F">
            <w:pPr>
              <w:keepNext/>
              <w:keepLines/>
              <w:jc w:val="left"/>
              <w:rPr>
                <w:rFonts w:ascii="Arial Narrow" w:hAnsi="Arial Narrow"/>
                <w:sz w:val="20"/>
                <w:szCs w:val="20"/>
              </w:rPr>
            </w:pPr>
          </w:p>
        </w:tc>
        <w:tc>
          <w:tcPr>
            <w:tcW w:w="826" w:type="pc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Outcomes and costs = 5%</w:t>
            </w:r>
          </w:p>
        </w:tc>
        <w:tc>
          <w:tcPr>
            <w:tcW w:w="932" w:type="pc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Outcomes and costs = 0%</w:t>
            </w:r>
          </w:p>
        </w:tc>
        <w:tc>
          <w:tcPr>
            <w:tcW w:w="630" w:type="pct"/>
            <w:hideMark/>
          </w:tcPr>
          <w:p w:rsidR="00706810" w:rsidRPr="00504C28" w:rsidRDefault="00504C28" w:rsidP="004B246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sz w:val="20"/>
                <w:szCs w:val="20"/>
              </w:rPr>
            </w:pPr>
            <w:r w:rsidRPr="00D34003">
              <w:rPr>
                <w:rFonts w:ascii="Arial Narrow" w:hAnsi="Arial Narrow"/>
                <w:sz w:val="20"/>
                <w:szCs w:val="20"/>
              </w:rPr>
              <w:t>-9.5%</w:t>
            </w:r>
          </w:p>
        </w:tc>
      </w:tr>
      <w:tr w:rsidR="00706810" w:rsidRPr="00D34003" w:rsidTr="00126619">
        <w:tc>
          <w:tcPr>
            <w:tcW w:w="752" w:type="pct"/>
            <w:vMerge w:val="restar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Extrapolation of OS data beyond trial period</w:t>
            </w:r>
          </w:p>
        </w:tc>
        <w:tc>
          <w:tcPr>
            <w:tcW w:w="826" w:type="pc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KM to 107 weeks</w:t>
            </w:r>
          </w:p>
        </w:tc>
        <w:tc>
          <w:tcPr>
            <w:tcW w:w="932" w:type="pct"/>
            <w:hideMark/>
          </w:tcPr>
          <w:p w:rsidR="00706810" w:rsidRPr="00D34003" w:rsidRDefault="00706810" w:rsidP="004B246F">
            <w:pPr>
              <w:keepNext/>
              <w:keepLines/>
              <w:jc w:val="left"/>
              <w:rPr>
                <w:rFonts w:ascii="Arial Narrow" w:hAnsi="Arial Narrow"/>
                <w:sz w:val="20"/>
                <w:szCs w:val="20"/>
              </w:rPr>
            </w:pPr>
            <w:r w:rsidRPr="00D34003">
              <w:rPr>
                <w:rFonts w:ascii="Arial Narrow" w:hAnsi="Arial Narrow"/>
                <w:sz w:val="20"/>
                <w:szCs w:val="20"/>
              </w:rPr>
              <w:t>No KM</w:t>
            </w:r>
          </w:p>
        </w:tc>
        <w:tc>
          <w:tcPr>
            <w:tcW w:w="630" w:type="pct"/>
            <w:hideMark/>
          </w:tcPr>
          <w:p w:rsidR="00706810" w:rsidRPr="00504C28" w:rsidRDefault="00504C28" w:rsidP="004B246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sz w:val="20"/>
                <w:szCs w:val="20"/>
              </w:rPr>
            </w:pPr>
            <w:r w:rsidRPr="00D34003">
              <w:rPr>
                <w:rFonts w:ascii="Arial Narrow" w:hAnsi="Arial Narrow"/>
                <w:sz w:val="20"/>
                <w:szCs w:val="20"/>
              </w:rPr>
              <w:t>-0.7%</w:t>
            </w:r>
          </w:p>
        </w:tc>
      </w:tr>
      <w:tr w:rsidR="00706810" w:rsidRPr="00D34003" w:rsidTr="00126619">
        <w:tc>
          <w:tcPr>
            <w:tcW w:w="0" w:type="auto"/>
            <w:vMerge/>
            <w:hideMark/>
          </w:tcPr>
          <w:p w:rsidR="00706810" w:rsidRPr="00D34003" w:rsidRDefault="00706810" w:rsidP="004B246F">
            <w:pPr>
              <w:keepNext/>
              <w:keepLines/>
              <w:jc w:val="left"/>
              <w:rPr>
                <w:rFonts w:ascii="Arial Narrow" w:hAnsi="Arial Narrow" w:cstheme="minorHAnsi"/>
                <w:sz w:val="20"/>
                <w:szCs w:val="20"/>
              </w:rPr>
            </w:pPr>
          </w:p>
        </w:tc>
        <w:tc>
          <w:tcPr>
            <w:tcW w:w="826" w:type="pct"/>
          </w:tcPr>
          <w:p w:rsidR="00706810" w:rsidRPr="00D34003" w:rsidRDefault="00706810" w:rsidP="004B246F">
            <w:pPr>
              <w:pStyle w:val="NoSpacing"/>
              <w:keepNext/>
              <w:keepLines/>
              <w:jc w:val="left"/>
            </w:pPr>
            <w:r w:rsidRPr="00D34003">
              <w:rPr>
                <w:rFonts w:ascii="Arial Narrow" w:hAnsi="Arial Narrow" w:cstheme="minorHAnsi"/>
                <w:sz w:val="20"/>
              </w:rPr>
              <w:t xml:space="preserve">Log-Normal distribution for </w:t>
            </w:r>
            <w:proofErr w:type="spellStart"/>
            <w:r w:rsidRPr="00D34003">
              <w:rPr>
                <w:rFonts w:ascii="Arial Narrow" w:hAnsi="Arial Narrow" w:cstheme="minorHAnsi"/>
                <w:sz w:val="20"/>
              </w:rPr>
              <w:t>Pembro</w:t>
            </w:r>
            <w:proofErr w:type="spellEnd"/>
          </w:p>
        </w:tc>
        <w:tc>
          <w:tcPr>
            <w:tcW w:w="932" w:type="pc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Gen Gamma distribution</w:t>
            </w:r>
          </w:p>
        </w:tc>
        <w:tc>
          <w:tcPr>
            <w:tcW w:w="630" w:type="pct"/>
            <w:hideMark/>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-2.2%</w:t>
            </w:r>
          </w:p>
        </w:tc>
      </w:tr>
      <w:tr w:rsidR="00706810" w:rsidRPr="00D34003" w:rsidTr="00126619">
        <w:tc>
          <w:tcPr>
            <w:tcW w:w="0" w:type="auto"/>
            <w:vMerge/>
            <w:hideMark/>
          </w:tcPr>
          <w:p w:rsidR="00706810" w:rsidRPr="00D34003" w:rsidRDefault="00706810" w:rsidP="004B246F">
            <w:pPr>
              <w:keepNext/>
              <w:keepLines/>
              <w:jc w:val="left"/>
              <w:rPr>
                <w:rFonts w:ascii="Arial Narrow" w:hAnsi="Arial Narrow" w:cstheme="minorHAnsi"/>
                <w:sz w:val="20"/>
                <w:szCs w:val="20"/>
              </w:rPr>
            </w:pPr>
          </w:p>
        </w:tc>
        <w:tc>
          <w:tcPr>
            <w:tcW w:w="826" w:type="pct"/>
          </w:tcPr>
          <w:p w:rsidR="00706810" w:rsidRPr="00D34003" w:rsidRDefault="00706810" w:rsidP="004B246F">
            <w:pPr>
              <w:pStyle w:val="NoSpacing"/>
              <w:keepNext/>
              <w:keepLines/>
              <w:jc w:val="left"/>
            </w:pPr>
            <w:r w:rsidRPr="00D34003">
              <w:rPr>
                <w:rFonts w:ascii="Arial Narrow" w:hAnsi="Arial Narrow" w:cstheme="minorHAnsi"/>
                <w:sz w:val="20"/>
              </w:rPr>
              <w:t xml:space="preserve">Log-Normal distribution for </w:t>
            </w:r>
            <w:proofErr w:type="spellStart"/>
            <w:r w:rsidRPr="00D34003">
              <w:rPr>
                <w:rFonts w:ascii="Arial Narrow" w:hAnsi="Arial Narrow" w:cstheme="minorHAnsi"/>
                <w:sz w:val="20"/>
              </w:rPr>
              <w:t>Pembro</w:t>
            </w:r>
            <w:proofErr w:type="spellEnd"/>
          </w:p>
        </w:tc>
        <w:tc>
          <w:tcPr>
            <w:tcW w:w="932" w:type="pct"/>
            <w:hideMark/>
          </w:tcPr>
          <w:p w:rsidR="00706810" w:rsidRPr="00D34003" w:rsidRDefault="00706810" w:rsidP="004B246F">
            <w:pPr>
              <w:pStyle w:val="NoSpacing"/>
              <w:keepNext/>
              <w:keepLines/>
              <w:jc w:val="left"/>
              <w:rPr>
                <w:rFonts w:ascii="Arial Narrow" w:hAnsi="Arial Narrow" w:cstheme="minorHAnsi"/>
                <w:sz w:val="20"/>
              </w:rPr>
            </w:pPr>
            <w:r w:rsidRPr="00D34003">
              <w:rPr>
                <w:rFonts w:ascii="Arial Narrow" w:hAnsi="Arial Narrow" w:cstheme="minorHAnsi"/>
                <w:sz w:val="20"/>
              </w:rPr>
              <w:t xml:space="preserve">Log-Logistic </w:t>
            </w:r>
          </w:p>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distribution</w:t>
            </w:r>
          </w:p>
        </w:tc>
        <w:tc>
          <w:tcPr>
            <w:tcW w:w="630" w:type="pct"/>
            <w:hideMark/>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+0.8%</w:t>
            </w:r>
          </w:p>
        </w:tc>
      </w:tr>
      <w:tr w:rsidR="00706810" w:rsidRPr="00D34003" w:rsidTr="00126619">
        <w:tc>
          <w:tcPr>
            <w:tcW w:w="0" w:type="auto"/>
            <w:vMerge/>
            <w:hideMark/>
          </w:tcPr>
          <w:p w:rsidR="00706810" w:rsidRPr="00D34003" w:rsidRDefault="00706810" w:rsidP="004B246F">
            <w:pPr>
              <w:keepNext/>
              <w:keepLines/>
              <w:jc w:val="left"/>
              <w:rPr>
                <w:rFonts w:ascii="Arial Narrow" w:hAnsi="Arial Narrow" w:cstheme="minorHAnsi"/>
                <w:sz w:val="20"/>
                <w:szCs w:val="20"/>
              </w:rPr>
            </w:pPr>
          </w:p>
        </w:tc>
        <w:tc>
          <w:tcPr>
            <w:tcW w:w="826" w:type="pct"/>
          </w:tcPr>
          <w:p w:rsidR="00706810" w:rsidRPr="00D34003" w:rsidRDefault="00706810" w:rsidP="004B246F">
            <w:pPr>
              <w:pStyle w:val="NoSpacing"/>
              <w:keepNext/>
              <w:keepLines/>
              <w:jc w:val="left"/>
            </w:pPr>
            <w:r w:rsidRPr="00D34003">
              <w:rPr>
                <w:rFonts w:ascii="Arial Narrow" w:hAnsi="Arial Narrow" w:cstheme="minorHAnsi"/>
                <w:sz w:val="20"/>
              </w:rPr>
              <w:t xml:space="preserve">Log-Logistic for </w:t>
            </w:r>
            <w:proofErr w:type="spellStart"/>
            <w:r w:rsidRPr="00D34003">
              <w:rPr>
                <w:rFonts w:ascii="Arial Narrow" w:hAnsi="Arial Narrow" w:cstheme="minorHAnsi"/>
                <w:sz w:val="20"/>
              </w:rPr>
              <w:t>SoC</w:t>
            </w:r>
            <w:proofErr w:type="spellEnd"/>
          </w:p>
        </w:tc>
        <w:tc>
          <w:tcPr>
            <w:tcW w:w="932" w:type="pc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Log-Normal distribution</w:t>
            </w:r>
          </w:p>
        </w:tc>
        <w:tc>
          <w:tcPr>
            <w:tcW w:w="630" w:type="pct"/>
            <w:hideMark/>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0%</w:t>
            </w:r>
          </w:p>
        </w:tc>
      </w:tr>
      <w:tr w:rsidR="00706810" w:rsidRPr="00D34003" w:rsidTr="00126619">
        <w:tc>
          <w:tcPr>
            <w:tcW w:w="752" w:type="pct"/>
            <w:vMerge w:val="restart"/>
            <w:hideMark/>
          </w:tcPr>
          <w:p w:rsidR="00706810" w:rsidRPr="00D34003" w:rsidRDefault="00E910F4"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Crossover</w:t>
            </w:r>
            <w:r w:rsidR="00706810" w:rsidRPr="00D34003">
              <w:rPr>
                <w:rFonts w:ascii="Arial Narrow" w:hAnsi="Arial Narrow" w:cstheme="minorHAnsi"/>
                <w:sz w:val="20"/>
                <w:szCs w:val="20"/>
              </w:rPr>
              <w:t xml:space="preserve"> adjustment method</w:t>
            </w:r>
          </w:p>
        </w:tc>
        <w:tc>
          <w:tcPr>
            <w:tcW w:w="826" w:type="pct"/>
          </w:tcPr>
          <w:p w:rsidR="00706810" w:rsidRPr="00D34003" w:rsidRDefault="00706810" w:rsidP="004B246F">
            <w:pPr>
              <w:pStyle w:val="NoSpacing"/>
              <w:keepNext/>
              <w:keepLines/>
              <w:jc w:val="left"/>
            </w:pPr>
            <w:r w:rsidRPr="00D34003">
              <w:rPr>
                <w:rFonts w:ascii="Arial Narrow" w:hAnsi="Arial Narrow" w:cstheme="minorHAnsi"/>
                <w:sz w:val="20"/>
              </w:rPr>
              <w:t>2-stage adjustment</w:t>
            </w:r>
          </w:p>
        </w:tc>
        <w:tc>
          <w:tcPr>
            <w:tcW w:w="932" w:type="pc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IPCW</w:t>
            </w:r>
          </w:p>
        </w:tc>
        <w:tc>
          <w:tcPr>
            <w:tcW w:w="630" w:type="pct"/>
            <w:hideMark/>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+3.3%</w:t>
            </w:r>
          </w:p>
        </w:tc>
      </w:tr>
      <w:tr w:rsidR="00706810" w:rsidRPr="00D34003" w:rsidTr="00126619">
        <w:tc>
          <w:tcPr>
            <w:tcW w:w="0" w:type="auto"/>
            <w:vMerge/>
            <w:hideMark/>
          </w:tcPr>
          <w:p w:rsidR="00706810" w:rsidRPr="00D34003" w:rsidRDefault="00706810" w:rsidP="004B246F">
            <w:pPr>
              <w:keepNext/>
              <w:keepLines/>
              <w:jc w:val="left"/>
              <w:rPr>
                <w:rFonts w:ascii="Arial Narrow" w:hAnsi="Arial Narrow" w:cstheme="minorHAnsi"/>
                <w:sz w:val="20"/>
                <w:szCs w:val="20"/>
              </w:rPr>
            </w:pPr>
          </w:p>
        </w:tc>
        <w:tc>
          <w:tcPr>
            <w:tcW w:w="826" w:type="pct"/>
          </w:tcPr>
          <w:p w:rsidR="00706810" w:rsidRPr="00D34003" w:rsidRDefault="00706810" w:rsidP="004B246F">
            <w:pPr>
              <w:pStyle w:val="NoSpacing"/>
              <w:keepNext/>
              <w:keepLines/>
              <w:jc w:val="left"/>
            </w:pPr>
            <w:r w:rsidRPr="00D34003">
              <w:rPr>
                <w:rFonts w:ascii="Arial Narrow" w:hAnsi="Arial Narrow" w:cstheme="minorHAnsi"/>
                <w:sz w:val="20"/>
              </w:rPr>
              <w:t>2-stage adjustment</w:t>
            </w:r>
          </w:p>
        </w:tc>
        <w:tc>
          <w:tcPr>
            <w:tcW w:w="932" w:type="pc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RPSFT</w:t>
            </w:r>
          </w:p>
        </w:tc>
        <w:tc>
          <w:tcPr>
            <w:tcW w:w="630" w:type="pct"/>
            <w:hideMark/>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+13.0%</w:t>
            </w:r>
          </w:p>
        </w:tc>
      </w:tr>
      <w:tr w:rsidR="00706810" w:rsidRPr="00D34003" w:rsidTr="00126619">
        <w:tc>
          <w:tcPr>
            <w:tcW w:w="0" w:type="auto"/>
            <w:vMerge/>
            <w:hideMark/>
          </w:tcPr>
          <w:p w:rsidR="00706810" w:rsidRPr="00D34003" w:rsidRDefault="00706810" w:rsidP="004B246F">
            <w:pPr>
              <w:keepNext/>
              <w:keepLines/>
              <w:jc w:val="left"/>
              <w:rPr>
                <w:rFonts w:ascii="Arial Narrow" w:hAnsi="Arial Narrow" w:cstheme="minorHAnsi"/>
                <w:sz w:val="20"/>
                <w:szCs w:val="20"/>
              </w:rPr>
            </w:pPr>
          </w:p>
        </w:tc>
        <w:tc>
          <w:tcPr>
            <w:tcW w:w="826" w:type="pct"/>
          </w:tcPr>
          <w:p w:rsidR="00706810" w:rsidRPr="00D34003" w:rsidRDefault="00706810" w:rsidP="004B246F">
            <w:pPr>
              <w:pStyle w:val="NoSpacing"/>
              <w:keepNext/>
              <w:keepLines/>
              <w:jc w:val="left"/>
            </w:pPr>
            <w:r w:rsidRPr="00D34003">
              <w:rPr>
                <w:rFonts w:ascii="Arial Narrow" w:hAnsi="Arial Narrow" w:cstheme="minorHAnsi"/>
                <w:sz w:val="20"/>
              </w:rPr>
              <w:t>2-stage adjustment</w:t>
            </w:r>
          </w:p>
        </w:tc>
        <w:tc>
          <w:tcPr>
            <w:tcW w:w="932" w:type="pc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No adjustment</w:t>
            </w:r>
          </w:p>
        </w:tc>
        <w:tc>
          <w:tcPr>
            <w:tcW w:w="630" w:type="pct"/>
            <w:hideMark/>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+15.2%</w:t>
            </w:r>
          </w:p>
        </w:tc>
      </w:tr>
      <w:tr w:rsidR="00706810" w:rsidRPr="00D34003" w:rsidTr="00126619">
        <w:tc>
          <w:tcPr>
            <w:tcW w:w="752" w:type="pct"/>
            <w:vMerge w:val="restar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Time horizon</w:t>
            </w:r>
          </w:p>
        </w:tc>
        <w:tc>
          <w:tcPr>
            <w:tcW w:w="826" w:type="pc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7.5 years</w:t>
            </w:r>
          </w:p>
        </w:tc>
        <w:tc>
          <w:tcPr>
            <w:tcW w:w="932" w:type="pct"/>
          </w:tcPr>
          <w:p w:rsidR="00706810" w:rsidRPr="00D34003" w:rsidRDefault="00706810" w:rsidP="004B246F">
            <w:pPr>
              <w:pStyle w:val="NoSpacing"/>
              <w:keepNext/>
              <w:keepLines/>
              <w:jc w:val="left"/>
            </w:pPr>
            <w:r w:rsidRPr="00D34003">
              <w:rPr>
                <w:rFonts w:ascii="Arial Narrow" w:hAnsi="Arial Narrow" w:cstheme="minorHAnsi"/>
                <w:sz w:val="20"/>
              </w:rPr>
              <w:t>5 years</w:t>
            </w:r>
          </w:p>
        </w:tc>
        <w:tc>
          <w:tcPr>
            <w:tcW w:w="630" w:type="pct"/>
            <w:hideMark/>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+6.1%</w:t>
            </w:r>
          </w:p>
        </w:tc>
      </w:tr>
      <w:tr w:rsidR="00706810" w:rsidRPr="00D34003" w:rsidTr="00126619">
        <w:tc>
          <w:tcPr>
            <w:tcW w:w="0" w:type="auto"/>
            <w:vMerge/>
            <w:hideMark/>
          </w:tcPr>
          <w:p w:rsidR="00706810" w:rsidRPr="00D34003" w:rsidRDefault="00706810" w:rsidP="004B246F">
            <w:pPr>
              <w:keepNext/>
              <w:keepLines/>
              <w:jc w:val="left"/>
              <w:rPr>
                <w:rFonts w:ascii="Arial Narrow" w:hAnsi="Arial Narrow" w:cstheme="minorHAnsi"/>
                <w:sz w:val="20"/>
                <w:szCs w:val="20"/>
              </w:rPr>
            </w:pPr>
          </w:p>
        </w:tc>
        <w:tc>
          <w:tcPr>
            <w:tcW w:w="826" w:type="pc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7.5 years</w:t>
            </w:r>
          </w:p>
        </w:tc>
        <w:tc>
          <w:tcPr>
            <w:tcW w:w="932" w:type="pct"/>
            <w:hideMark/>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7.5 years (no convergence)</w:t>
            </w:r>
          </w:p>
        </w:tc>
        <w:tc>
          <w:tcPr>
            <w:tcW w:w="630" w:type="pct"/>
            <w:hideMark/>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hideMark/>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-14.6%</w:t>
            </w:r>
          </w:p>
        </w:tc>
      </w:tr>
      <w:tr w:rsidR="00706810" w:rsidRPr="00D34003" w:rsidTr="00126619">
        <w:tc>
          <w:tcPr>
            <w:tcW w:w="5000" w:type="pct"/>
            <w:gridSpan w:val="7"/>
          </w:tcPr>
          <w:p w:rsidR="00706810" w:rsidRPr="00D34003" w:rsidRDefault="00706810" w:rsidP="004B246F">
            <w:pPr>
              <w:keepNext/>
              <w:keepLines/>
              <w:jc w:val="left"/>
              <w:rPr>
                <w:rFonts w:ascii="Arial Narrow" w:hAnsi="Arial Narrow" w:cstheme="minorHAnsi"/>
                <w:b/>
                <w:sz w:val="20"/>
                <w:szCs w:val="20"/>
              </w:rPr>
            </w:pPr>
            <w:r w:rsidRPr="00D34003">
              <w:rPr>
                <w:rFonts w:ascii="Arial Narrow" w:hAnsi="Arial Narrow" w:cstheme="minorHAnsi"/>
                <w:b/>
                <w:sz w:val="20"/>
                <w:szCs w:val="20"/>
              </w:rPr>
              <w:t xml:space="preserve">Additional analyses </w:t>
            </w:r>
          </w:p>
        </w:tc>
      </w:tr>
      <w:tr w:rsidR="00706810" w:rsidRPr="00D34003" w:rsidTr="00126619">
        <w:tc>
          <w:tcPr>
            <w:tcW w:w="0" w:type="auto"/>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Converge extrapolation curves</w:t>
            </w:r>
          </w:p>
        </w:tc>
        <w:tc>
          <w:tcPr>
            <w:tcW w:w="826" w:type="pct"/>
          </w:tcPr>
          <w:p w:rsidR="00706810" w:rsidRPr="00D34003" w:rsidRDefault="00706810" w:rsidP="004B246F">
            <w:pPr>
              <w:keepNext/>
              <w:keepLines/>
              <w:jc w:val="left"/>
              <w:rPr>
                <w:rFonts w:ascii="Arial Narrow" w:hAnsi="Arial Narrow" w:cstheme="minorHAnsi"/>
                <w:sz w:val="20"/>
                <w:szCs w:val="20"/>
              </w:rPr>
            </w:pPr>
            <w:proofErr w:type="gramStart"/>
            <w:r w:rsidRPr="00D34003">
              <w:rPr>
                <w:rFonts w:ascii="Arial Narrow" w:hAnsi="Arial Narrow" w:cstheme="minorHAnsi"/>
                <w:sz w:val="20"/>
                <w:szCs w:val="20"/>
              </w:rPr>
              <w:t>Converge</w:t>
            </w:r>
            <w:proofErr w:type="gramEnd"/>
            <w:r w:rsidRPr="00D34003">
              <w:rPr>
                <w:rFonts w:ascii="Arial Narrow" w:hAnsi="Arial Narrow" w:cstheme="minorHAnsi"/>
                <w:sz w:val="20"/>
                <w:szCs w:val="20"/>
              </w:rPr>
              <w:t xml:space="preserve"> extrapolation curves to 7.5 years from a starting point of 5 years. </w:t>
            </w:r>
          </w:p>
        </w:tc>
        <w:tc>
          <w:tcPr>
            <w:tcW w:w="932" w:type="pct"/>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Converge extrapolation curves to 5 years (from a starting point of 4 years)</w:t>
            </w:r>
          </w:p>
        </w:tc>
        <w:tc>
          <w:tcPr>
            <w:tcW w:w="630" w:type="pct"/>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tcPr>
          <w:p w:rsidR="00706810" w:rsidRPr="00D34003" w:rsidRDefault="002D006D"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tcPr>
          <w:p w:rsidR="00706810" w:rsidRPr="00D34003" w:rsidRDefault="002D006D"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+15.7%</w:t>
            </w:r>
          </w:p>
        </w:tc>
      </w:tr>
      <w:tr w:rsidR="00706810" w:rsidRPr="00D34003" w:rsidTr="00126619">
        <w:tc>
          <w:tcPr>
            <w:tcW w:w="0" w:type="auto"/>
          </w:tcPr>
          <w:p w:rsidR="00706810" w:rsidRPr="00D34003" w:rsidRDefault="00706810"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Pembrolizumab price</w:t>
            </w:r>
          </w:p>
        </w:tc>
        <w:tc>
          <w:tcPr>
            <w:tcW w:w="826" w:type="pct"/>
          </w:tcPr>
          <w:p w:rsidR="00706810" w:rsidRPr="00D34003" w:rsidRDefault="004271CE"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Pembrolizumab price equals to $</w:t>
            </w:r>
            <w:r w:rsidR="00504C28">
              <w:rPr>
                <w:rFonts w:ascii="Arial Narrow" w:hAnsi="Arial Narrow" w:cstheme="minorHAnsi"/>
                <w:noProof/>
                <w:color w:val="000000"/>
                <w:sz w:val="20"/>
                <w:szCs w:val="20"/>
                <w:highlight w:val="black"/>
              </w:rPr>
              <w:t>''''''''''''''</w:t>
            </w:r>
            <w:r w:rsidRPr="00D34003">
              <w:rPr>
                <w:rFonts w:ascii="Arial Narrow" w:hAnsi="Arial Narrow" w:cstheme="minorHAnsi"/>
                <w:sz w:val="20"/>
                <w:szCs w:val="20"/>
              </w:rPr>
              <w:t xml:space="preserve"> and </w:t>
            </w:r>
            <w:r w:rsidR="00504C28">
              <w:rPr>
                <w:rFonts w:ascii="Arial Narrow" w:hAnsi="Arial Narrow" w:cstheme="minorHAnsi"/>
                <w:noProof/>
                <w:color w:val="000000"/>
                <w:sz w:val="20"/>
                <w:szCs w:val="20"/>
                <w:highlight w:val="black"/>
              </w:rPr>
              <w:t>''''''</w:t>
            </w:r>
            <w:r w:rsidRPr="00D34003">
              <w:rPr>
                <w:rFonts w:ascii="Arial Narrow" w:hAnsi="Arial Narrow" w:cstheme="minorHAnsi"/>
                <w:sz w:val="20"/>
                <w:szCs w:val="20"/>
              </w:rPr>
              <w:t xml:space="preserve">% rebate from </w:t>
            </w:r>
            <w:r w:rsidR="00504C28">
              <w:rPr>
                <w:rFonts w:ascii="Arial Narrow" w:hAnsi="Arial Narrow" w:cstheme="minorHAnsi"/>
                <w:noProof/>
                <w:color w:val="000000"/>
                <w:sz w:val="20"/>
                <w:szCs w:val="20"/>
                <w:highlight w:val="black"/>
              </w:rPr>
              <w:t>'''''''''''' ''''''</w:t>
            </w:r>
            <w:r w:rsidRPr="00D34003">
              <w:rPr>
                <w:rFonts w:ascii="Arial Narrow" w:hAnsi="Arial Narrow" w:cstheme="minorHAnsi"/>
                <w:sz w:val="20"/>
                <w:szCs w:val="20"/>
              </w:rPr>
              <w:t>.</w:t>
            </w:r>
          </w:p>
        </w:tc>
        <w:tc>
          <w:tcPr>
            <w:tcW w:w="932" w:type="pct"/>
          </w:tcPr>
          <w:p w:rsidR="00706810" w:rsidRPr="00D34003" w:rsidRDefault="004271CE"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 xml:space="preserve">No </w:t>
            </w:r>
            <w:r w:rsidR="00504C28">
              <w:rPr>
                <w:rFonts w:ascii="Arial Narrow" w:hAnsi="Arial Narrow" w:cstheme="minorHAnsi"/>
                <w:noProof/>
                <w:color w:val="000000"/>
                <w:sz w:val="20"/>
                <w:szCs w:val="20"/>
                <w:highlight w:val="black"/>
              </w:rPr>
              <w:t>'''''''</w:t>
            </w:r>
            <w:r w:rsidRPr="00D34003">
              <w:rPr>
                <w:rFonts w:ascii="Arial Narrow" w:hAnsi="Arial Narrow" w:cstheme="minorHAnsi"/>
                <w:sz w:val="20"/>
                <w:szCs w:val="20"/>
              </w:rPr>
              <w:t>% rebate and no price cap (</w:t>
            </w:r>
            <w:proofErr w:type="spellStart"/>
            <w:r w:rsidRPr="00D34003">
              <w:rPr>
                <w:rFonts w:ascii="Arial Narrow" w:hAnsi="Arial Narrow" w:cstheme="minorHAnsi"/>
                <w:sz w:val="20"/>
                <w:szCs w:val="20"/>
              </w:rPr>
              <w:t>pembro</w:t>
            </w:r>
            <w:proofErr w:type="spellEnd"/>
            <w:r w:rsidRPr="00D34003">
              <w:rPr>
                <w:rFonts w:ascii="Arial Narrow" w:hAnsi="Arial Narrow" w:cstheme="minorHAnsi"/>
                <w:sz w:val="20"/>
                <w:szCs w:val="20"/>
              </w:rPr>
              <w:t xml:space="preserve"> price equals to AUD </w:t>
            </w:r>
            <w:r w:rsidR="00504C28">
              <w:rPr>
                <w:rFonts w:ascii="Arial Narrow" w:hAnsi="Arial Narrow" w:cstheme="minorHAnsi"/>
                <w:noProof/>
                <w:color w:val="000000"/>
                <w:sz w:val="20"/>
                <w:szCs w:val="20"/>
                <w:highlight w:val="black"/>
              </w:rPr>
              <w:t>'''''''''''''''</w:t>
            </w:r>
            <w:r w:rsidRPr="00D34003">
              <w:rPr>
                <w:rFonts w:ascii="Arial Narrow" w:hAnsi="Arial Narrow" w:cstheme="minorHAnsi"/>
                <w:sz w:val="20"/>
                <w:szCs w:val="20"/>
              </w:rPr>
              <w:t>)</w:t>
            </w:r>
          </w:p>
        </w:tc>
        <w:tc>
          <w:tcPr>
            <w:tcW w:w="630" w:type="pct"/>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tcPr>
          <w:p w:rsidR="00706810" w:rsidRPr="00D34003" w:rsidRDefault="002D006D"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tcPr>
          <w:p w:rsidR="00706810" w:rsidRPr="00D34003" w:rsidRDefault="002D006D"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+9.8%</w:t>
            </w:r>
          </w:p>
        </w:tc>
      </w:tr>
      <w:tr w:rsidR="00706810" w:rsidRPr="00D34003" w:rsidTr="00126619">
        <w:tc>
          <w:tcPr>
            <w:tcW w:w="0" w:type="auto"/>
          </w:tcPr>
          <w:p w:rsidR="00706810" w:rsidRPr="00D34003" w:rsidRDefault="0078112E"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Converge extrapolation curves</w:t>
            </w:r>
            <w:r w:rsidR="00706810" w:rsidRPr="00D34003">
              <w:rPr>
                <w:rFonts w:ascii="Arial Narrow" w:hAnsi="Arial Narrow" w:cstheme="minorHAnsi"/>
                <w:sz w:val="20"/>
                <w:szCs w:val="20"/>
              </w:rPr>
              <w:t xml:space="preserve"> plus adjustment for </w:t>
            </w:r>
            <w:r w:rsidR="00E910F4" w:rsidRPr="00D34003">
              <w:rPr>
                <w:rFonts w:ascii="Arial Narrow" w:hAnsi="Arial Narrow" w:cstheme="minorHAnsi"/>
                <w:sz w:val="20"/>
                <w:szCs w:val="20"/>
              </w:rPr>
              <w:t>crossover</w:t>
            </w:r>
          </w:p>
        </w:tc>
        <w:tc>
          <w:tcPr>
            <w:tcW w:w="826" w:type="pct"/>
          </w:tcPr>
          <w:p w:rsidR="00706810" w:rsidRPr="00D34003" w:rsidRDefault="004271CE"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 xml:space="preserve">Time horizon equals to 7.5 years and adjusted for cross over </w:t>
            </w:r>
          </w:p>
        </w:tc>
        <w:tc>
          <w:tcPr>
            <w:tcW w:w="932" w:type="pct"/>
          </w:tcPr>
          <w:p w:rsidR="00706810" w:rsidRPr="00D34003" w:rsidRDefault="0078112E" w:rsidP="004B246F">
            <w:pPr>
              <w:keepNext/>
              <w:keepLines/>
              <w:jc w:val="left"/>
              <w:rPr>
                <w:rFonts w:ascii="Arial Narrow" w:hAnsi="Arial Narrow" w:cstheme="minorHAnsi"/>
                <w:sz w:val="20"/>
                <w:szCs w:val="20"/>
              </w:rPr>
            </w:pPr>
            <w:r w:rsidRPr="00D34003">
              <w:rPr>
                <w:rFonts w:ascii="Arial Narrow" w:hAnsi="Arial Narrow" w:cstheme="minorHAnsi"/>
                <w:sz w:val="20"/>
                <w:szCs w:val="20"/>
              </w:rPr>
              <w:t>Converge extrapolation curves to 5 years (from a starting point of 4 years)</w:t>
            </w:r>
            <w:r w:rsidR="004271CE" w:rsidRPr="00D34003">
              <w:rPr>
                <w:rFonts w:ascii="Arial Narrow" w:hAnsi="Arial Narrow" w:cstheme="minorHAnsi"/>
                <w:sz w:val="20"/>
                <w:szCs w:val="20"/>
              </w:rPr>
              <w:t>and no adjustment for cross over</w:t>
            </w:r>
          </w:p>
        </w:tc>
        <w:tc>
          <w:tcPr>
            <w:tcW w:w="630" w:type="pct"/>
          </w:tcPr>
          <w:p w:rsidR="00706810" w:rsidRPr="00504C28" w:rsidRDefault="00504C28" w:rsidP="004B246F">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629" w:type="pct"/>
          </w:tcPr>
          <w:p w:rsidR="00706810" w:rsidRPr="00D34003" w:rsidRDefault="002D006D"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704" w:type="pct"/>
          </w:tcPr>
          <w:p w:rsidR="00706810" w:rsidRPr="00D34003" w:rsidRDefault="002D006D"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w:t>
            </w:r>
            <w:r w:rsidR="00504C28">
              <w:rPr>
                <w:rFonts w:ascii="Arial Narrow" w:hAnsi="Arial Narrow" w:cstheme="minorHAnsi"/>
                <w:noProof/>
                <w:color w:val="000000"/>
                <w:sz w:val="20"/>
                <w:szCs w:val="20"/>
                <w:highlight w:val="black"/>
              </w:rPr>
              <w:t>'''''''''''''''''</w:t>
            </w:r>
          </w:p>
        </w:tc>
        <w:tc>
          <w:tcPr>
            <w:tcW w:w="526" w:type="pct"/>
          </w:tcPr>
          <w:p w:rsidR="00706810" w:rsidRPr="00D34003" w:rsidRDefault="00706810" w:rsidP="004B246F">
            <w:pPr>
              <w:keepNext/>
              <w:keepLines/>
              <w:jc w:val="center"/>
              <w:rPr>
                <w:rFonts w:ascii="Arial Narrow" w:hAnsi="Arial Narrow" w:cstheme="minorHAnsi"/>
                <w:sz w:val="20"/>
                <w:szCs w:val="20"/>
              </w:rPr>
            </w:pPr>
            <w:r w:rsidRPr="00D34003">
              <w:rPr>
                <w:rFonts w:ascii="Arial Narrow" w:hAnsi="Arial Narrow" w:cstheme="minorHAnsi"/>
                <w:sz w:val="20"/>
                <w:szCs w:val="20"/>
              </w:rPr>
              <w:t>+29.7%</w:t>
            </w:r>
          </w:p>
        </w:tc>
      </w:tr>
    </w:tbl>
    <w:p w:rsidR="00706810" w:rsidRPr="00D34003" w:rsidRDefault="00706810" w:rsidP="004B246F">
      <w:pPr>
        <w:pStyle w:val="TableFooter"/>
        <w:keepNext/>
        <w:keepLines/>
      </w:pPr>
      <w:bookmarkStart w:id="25" w:name="_Hlk511121466"/>
      <w:r w:rsidRPr="00D34003">
        <w:t xml:space="preserve">Abbreviations: ICER= incremental cost effectiveness ratio, IPCW= inverse probability of censoring weighted, KM=Kaplan-Meier, OS= overall survival, </w:t>
      </w:r>
      <w:proofErr w:type="spellStart"/>
      <w:r w:rsidRPr="00D34003">
        <w:t>Pembro</w:t>
      </w:r>
      <w:proofErr w:type="spellEnd"/>
      <w:r w:rsidRPr="00D34003">
        <w:t>= pembrolizumab, QALY= quality adjusted life years, RPSFT= rank-preserving structural failure time, SOC= standard of care</w:t>
      </w:r>
    </w:p>
    <w:p w:rsidR="00706810" w:rsidRPr="00D34003" w:rsidRDefault="00706810" w:rsidP="004B246F">
      <w:pPr>
        <w:pStyle w:val="TableFooter"/>
        <w:keepNext/>
        <w:keepLines/>
      </w:pPr>
      <w:r w:rsidRPr="00D34003">
        <w:t>Source: Table 3-18, p. 144 of the resubmission</w:t>
      </w:r>
      <w:r w:rsidR="00890EA2" w:rsidRPr="00D34003">
        <w:t>, with additional analyses conducted during the evaluation.</w:t>
      </w:r>
    </w:p>
    <w:bookmarkEnd w:id="25"/>
    <w:p w:rsidR="00706810" w:rsidRDefault="00706810" w:rsidP="00265CD0">
      <w:pPr>
        <w:widowControl/>
        <w:rPr>
          <w:color w:val="3366FF"/>
        </w:rPr>
      </w:pPr>
      <w:r w:rsidRPr="00D34003">
        <w:rPr>
          <w:color w:val="3366FF"/>
        </w:rPr>
        <w:t xml:space="preserve"> </w:t>
      </w:r>
    </w:p>
    <w:p w:rsidR="009317C7" w:rsidRPr="00D34003" w:rsidRDefault="009317C7" w:rsidP="00D412F7">
      <w:pPr>
        <w:widowControl/>
        <w:rPr>
          <w:color w:val="3366FF"/>
        </w:rPr>
      </w:pPr>
      <w:r w:rsidRPr="009317C7">
        <w:rPr>
          <w:rFonts w:eastAsia="Calibri"/>
          <w:snapToGrid/>
          <w:color w:val="000000"/>
        </w:rPr>
        <w:t>The redacted table shows ICERs in the range of $45,000/QALY - $105,000/QALY.</w:t>
      </w:r>
    </w:p>
    <w:p w:rsidR="00251F3C" w:rsidRPr="00D34003" w:rsidRDefault="00251F3C" w:rsidP="005F669C">
      <w:pPr>
        <w:pStyle w:val="Tabletext"/>
        <w:keepNext/>
        <w:keepLines/>
        <w:rPr>
          <w:b/>
        </w:rPr>
      </w:pPr>
      <w:r w:rsidRPr="00D34003">
        <w:rPr>
          <w:rStyle w:val="CommentReference"/>
        </w:rPr>
        <w:lastRenderedPageBreak/>
        <w:t xml:space="preserve">Figure </w:t>
      </w:r>
      <w:r w:rsidR="003A242C" w:rsidRPr="00D34003">
        <w:rPr>
          <w:rStyle w:val="CommentReference"/>
        </w:rPr>
        <w:t>3</w:t>
      </w:r>
      <w:r w:rsidRPr="00D34003">
        <w:rPr>
          <w:rStyle w:val="CommentReference"/>
        </w:rPr>
        <w:t xml:space="preserve">: </w:t>
      </w:r>
      <w:r w:rsidRPr="00D34003">
        <w:rPr>
          <w:b/>
        </w:rPr>
        <w:t>Tornado graph of sensitivity analyses</w:t>
      </w:r>
    </w:p>
    <w:p w:rsidR="00251F3C" w:rsidRPr="00D34003" w:rsidRDefault="00504C28" w:rsidP="005F669C">
      <w:pPr>
        <w:pStyle w:val="Tabletext"/>
        <w:keepNext/>
        <w:keepLines/>
        <w:rPr>
          <w:b/>
        </w:rPr>
      </w:pPr>
      <w:r>
        <w:rPr>
          <w:b/>
          <w:noProof/>
          <w:lang w:eastAsia="en-AU"/>
        </w:rPr>
        <w:drawing>
          <wp:inline distT="0" distB="0" distL="0" distR="0">
            <wp:extent cx="5822315" cy="2386965"/>
            <wp:effectExtent l="0" t="0" r="6985" b="0"/>
            <wp:docPr id="5" name="Picture 5" title="Figure 3: Tornado graph of sensitivity analys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22315" cy="2386965"/>
                    </a:xfrm>
                    <a:prstGeom prst="rect">
                      <a:avLst/>
                    </a:prstGeom>
                  </pic:spPr>
                </pic:pic>
              </a:graphicData>
            </a:graphic>
          </wp:inline>
        </w:drawing>
      </w:r>
    </w:p>
    <w:p w:rsidR="00251F3C" w:rsidRPr="00D34003" w:rsidRDefault="00251F3C" w:rsidP="005F669C">
      <w:pPr>
        <w:pStyle w:val="Tabletext"/>
        <w:keepNext/>
        <w:keepLines/>
        <w:jc w:val="both"/>
        <w:rPr>
          <w:sz w:val="18"/>
          <w:szCs w:val="18"/>
        </w:rPr>
      </w:pPr>
      <w:r w:rsidRPr="00D34003">
        <w:rPr>
          <w:sz w:val="18"/>
          <w:szCs w:val="18"/>
        </w:rPr>
        <w:t>Abbreviation: AUD= Australian dollar, ICER= incremental cost effectiveness ratio, IPCW= inverse probability of censoring weighted, KM= Kaplan Meier, OS= overall survival, PFS= progression free survival, RPSFT= rank-preserving structural failure time, SOC= standard of care</w:t>
      </w:r>
    </w:p>
    <w:p w:rsidR="00251F3C" w:rsidRPr="00D34003" w:rsidRDefault="00251F3C" w:rsidP="005F669C">
      <w:pPr>
        <w:pStyle w:val="Tabletext"/>
        <w:keepNext/>
        <w:keepLines/>
        <w:jc w:val="both"/>
        <w:rPr>
          <w:sz w:val="18"/>
          <w:szCs w:val="18"/>
        </w:rPr>
      </w:pPr>
      <w:r w:rsidRPr="00D34003">
        <w:rPr>
          <w:sz w:val="18"/>
          <w:szCs w:val="18"/>
        </w:rPr>
        <w:t xml:space="preserve">Source: Figure 3-12, p145 of the resubmission, plus additional analysis conducted </w:t>
      </w:r>
      <w:r w:rsidR="00DD33EA" w:rsidRPr="00D34003">
        <w:rPr>
          <w:sz w:val="18"/>
          <w:szCs w:val="18"/>
        </w:rPr>
        <w:t>during evaluation</w:t>
      </w:r>
      <w:r w:rsidRPr="00D34003">
        <w:rPr>
          <w:sz w:val="18"/>
          <w:szCs w:val="18"/>
        </w:rPr>
        <w:t xml:space="preserve">. </w:t>
      </w:r>
    </w:p>
    <w:p w:rsidR="00251F3C" w:rsidRPr="00D34003" w:rsidRDefault="00251F3C" w:rsidP="005F669C">
      <w:pPr>
        <w:pStyle w:val="Tabletext"/>
        <w:keepNext/>
        <w:keepLines/>
        <w:jc w:val="both"/>
        <w:rPr>
          <w:sz w:val="18"/>
          <w:szCs w:val="18"/>
        </w:rPr>
      </w:pPr>
      <w:r w:rsidRPr="00D34003">
        <w:rPr>
          <w:sz w:val="18"/>
          <w:szCs w:val="18"/>
        </w:rPr>
        <w:t xml:space="preserve">Note: highlighted in yellow </w:t>
      </w:r>
      <w:r w:rsidR="001952E7" w:rsidRPr="00D34003">
        <w:rPr>
          <w:sz w:val="18"/>
          <w:szCs w:val="18"/>
        </w:rPr>
        <w:t xml:space="preserve">are </w:t>
      </w:r>
      <w:r w:rsidRPr="00D34003">
        <w:rPr>
          <w:sz w:val="18"/>
          <w:szCs w:val="18"/>
        </w:rPr>
        <w:t xml:space="preserve">additional scenarios conducted as part of the </w:t>
      </w:r>
      <w:r w:rsidR="00DD33EA" w:rsidRPr="00D34003">
        <w:rPr>
          <w:sz w:val="18"/>
          <w:szCs w:val="18"/>
        </w:rPr>
        <w:t>evaluation</w:t>
      </w:r>
      <w:r w:rsidRPr="00D34003">
        <w:rPr>
          <w:sz w:val="18"/>
          <w:szCs w:val="18"/>
        </w:rPr>
        <w:t>.</w:t>
      </w:r>
      <w:r w:rsidR="0050645C" w:rsidRPr="00D34003">
        <w:rPr>
          <w:sz w:val="18"/>
          <w:szCs w:val="18"/>
        </w:rPr>
        <w:t xml:space="preserve"> </w:t>
      </w:r>
    </w:p>
    <w:p w:rsidR="00251F3C" w:rsidRPr="00D34003" w:rsidRDefault="00251F3C" w:rsidP="00265CD0">
      <w:pPr>
        <w:widowControl/>
      </w:pPr>
    </w:p>
    <w:p w:rsidR="00C65688" w:rsidRPr="00D34003" w:rsidRDefault="00706810" w:rsidP="007A7E9A">
      <w:pPr>
        <w:pStyle w:val="ListParagraph"/>
        <w:widowControl/>
        <w:numPr>
          <w:ilvl w:val="1"/>
          <w:numId w:val="1"/>
        </w:numPr>
      </w:pPr>
      <w:r w:rsidRPr="00D34003">
        <w:rPr>
          <w:rFonts w:asciiTheme="minorHAnsi" w:hAnsiTheme="minorHAnsi"/>
          <w:szCs w:val="24"/>
        </w:rPr>
        <w:t>The results from the sensitivity analyses provided in the resubmission showed that the ICER estimates were most sensitive to variations in the time horizon, convergence of PFS and OS curves</w:t>
      </w:r>
      <w:r w:rsidR="00890EA2" w:rsidRPr="00D34003">
        <w:rPr>
          <w:rFonts w:asciiTheme="minorHAnsi" w:hAnsiTheme="minorHAnsi"/>
          <w:szCs w:val="24"/>
        </w:rPr>
        <w:t>,</w:t>
      </w:r>
      <w:r w:rsidRPr="00D34003">
        <w:rPr>
          <w:rFonts w:asciiTheme="minorHAnsi" w:hAnsiTheme="minorHAnsi"/>
          <w:szCs w:val="24"/>
        </w:rPr>
        <w:t xml:space="preserve"> and adjustment for crossover.</w:t>
      </w:r>
    </w:p>
    <w:p w:rsidR="00A414FD" w:rsidRPr="00D34003" w:rsidRDefault="00076F9F" w:rsidP="007A7E9A">
      <w:pPr>
        <w:pStyle w:val="ListParagraph"/>
        <w:widowControl/>
        <w:numPr>
          <w:ilvl w:val="1"/>
          <w:numId w:val="1"/>
        </w:numPr>
        <w:spacing w:before="120"/>
        <w:rPr>
          <w:b/>
          <w:bCs/>
        </w:rPr>
      </w:pPr>
      <w:r w:rsidRPr="00D34003">
        <w:rPr>
          <w:bCs/>
        </w:rPr>
        <w:t xml:space="preserve">In terms of the adjustment for crossover, </w:t>
      </w:r>
      <w:r w:rsidR="00A414FD" w:rsidRPr="00D34003">
        <w:rPr>
          <w:bCs/>
        </w:rPr>
        <w:t xml:space="preserve">the ESC noted that </w:t>
      </w:r>
      <w:r w:rsidR="009475FD" w:rsidRPr="00D34003">
        <w:rPr>
          <w:bCs/>
        </w:rPr>
        <w:t xml:space="preserve">relatively few patients </w:t>
      </w:r>
      <w:r w:rsidR="00A414FD" w:rsidRPr="00D34003">
        <w:rPr>
          <w:bCs/>
        </w:rPr>
        <w:t>cross</w:t>
      </w:r>
      <w:r w:rsidR="00027C50" w:rsidRPr="00D34003">
        <w:rPr>
          <w:bCs/>
        </w:rPr>
        <w:t>ed</w:t>
      </w:r>
      <w:r w:rsidR="00A414FD" w:rsidRPr="00D34003">
        <w:rPr>
          <w:bCs/>
        </w:rPr>
        <w:t xml:space="preserve">-over and </w:t>
      </w:r>
      <w:r w:rsidR="00027C50" w:rsidRPr="00D34003">
        <w:rPr>
          <w:bCs/>
        </w:rPr>
        <w:t>hence adjustment for this should only</w:t>
      </w:r>
      <w:r w:rsidR="00A414FD" w:rsidRPr="00D34003">
        <w:rPr>
          <w:bCs/>
        </w:rPr>
        <w:t xml:space="preserve"> have </w:t>
      </w:r>
      <w:r w:rsidR="00027C50" w:rsidRPr="00D34003">
        <w:rPr>
          <w:bCs/>
        </w:rPr>
        <w:t>a small</w:t>
      </w:r>
      <w:r w:rsidR="00A414FD" w:rsidRPr="00D34003">
        <w:rPr>
          <w:bCs/>
        </w:rPr>
        <w:t xml:space="preserve"> impact on the point-estimate of the difference in OS. T</w:t>
      </w:r>
      <w:r w:rsidR="00C65688" w:rsidRPr="00D34003">
        <w:rPr>
          <w:bCs/>
        </w:rPr>
        <w:t xml:space="preserve">he ESC </w:t>
      </w:r>
      <w:r w:rsidR="00A414FD" w:rsidRPr="00D34003">
        <w:rPr>
          <w:bCs/>
        </w:rPr>
        <w:t xml:space="preserve">also </w:t>
      </w:r>
      <w:r w:rsidR="00C65688" w:rsidRPr="00D34003">
        <w:rPr>
          <w:bCs/>
        </w:rPr>
        <w:t>noted that there were</w:t>
      </w:r>
      <w:r w:rsidR="00027C50" w:rsidRPr="00D34003">
        <w:rPr>
          <w:bCs/>
        </w:rPr>
        <w:t xml:space="preserve"> limitations</w:t>
      </w:r>
      <w:r w:rsidR="00C65688" w:rsidRPr="00D34003">
        <w:rPr>
          <w:bCs/>
        </w:rPr>
        <w:t xml:space="preserve"> with all three methods </w:t>
      </w:r>
      <w:r w:rsidR="00F15D13" w:rsidRPr="00D34003">
        <w:rPr>
          <w:bCs/>
        </w:rPr>
        <w:t xml:space="preserve">of adjustment </w:t>
      </w:r>
      <w:r w:rsidR="00C65688" w:rsidRPr="00D34003">
        <w:rPr>
          <w:bCs/>
        </w:rPr>
        <w:t xml:space="preserve">for treatment switching. </w:t>
      </w:r>
    </w:p>
    <w:p w:rsidR="00C65688" w:rsidRPr="00D34003" w:rsidRDefault="00C65688" w:rsidP="00B67276">
      <w:pPr>
        <w:pStyle w:val="ListParagraph"/>
        <w:widowControl/>
        <w:numPr>
          <w:ilvl w:val="1"/>
          <w:numId w:val="1"/>
        </w:numPr>
        <w:spacing w:before="120"/>
        <w:rPr>
          <w:rFonts w:asciiTheme="minorHAnsi" w:hAnsiTheme="minorHAnsi" w:cstheme="minorHAnsi"/>
          <w:szCs w:val="24"/>
        </w:rPr>
      </w:pPr>
      <w:r w:rsidRPr="00D34003">
        <w:rPr>
          <w:rFonts w:asciiTheme="minorHAnsi" w:hAnsiTheme="minorHAnsi" w:cstheme="minorHAnsi"/>
          <w:bCs/>
          <w:szCs w:val="24"/>
        </w:rPr>
        <w:t xml:space="preserve">The </w:t>
      </w:r>
      <w:r w:rsidR="008853D9" w:rsidRPr="00D34003">
        <w:rPr>
          <w:rFonts w:asciiTheme="minorHAnsi" w:hAnsiTheme="minorHAnsi" w:cstheme="minorHAnsi"/>
          <w:iCs/>
          <w:color w:val="222222"/>
          <w:szCs w:val="24"/>
          <w:shd w:val="clear" w:color="auto" w:fill="FFFFFF"/>
        </w:rPr>
        <w:t xml:space="preserve">PSCR stated the two-stage method was the most </w:t>
      </w:r>
      <w:r w:rsidR="008853D9" w:rsidRPr="00D34003">
        <w:rPr>
          <w:rFonts w:asciiTheme="minorHAnsi" w:hAnsiTheme="minorHAnsi" w:cstheme="minorHAnsi"/>
          <w:iCs/>
          <w:szCs w:val="24"/>
          <w:shd w:val="clear" w:color="auto" w:fill="FFFFFF"/>
        </w:rPr>
        <w:t xml:space="preserve">appropriate of the presented </w:t>
      </w:r>
      <w:r w:rsidR="008853D9" w:rsidRPr="00D34003">
        <w:rPr>
          <w:rFonts w:asciiTheme="minorHAnsi" w:hAnsiTheme="minorHAnsi" w:cstheme="minorHAnsi"/>
          <w:iCs/>
          <w:color w:val="222222"/>
          <w:szCs w:val="24"/>
          <w:shd w:val="clear" w:color="auto" w:fill="FFFFFF"/>
        </w:rPr>
        <w:t>methods as patients were allowed to switch to the new treatment after progression of disease, but patients switched treatment at varying lengths of time after disease progression (PSCR, “Adjusting for treatment switchover” report, p2). The </w:t>
      </w:r>
      <w:r w:rsidR="008853D9" w:rsidRPr="00D34003">
        <w:rPr>
          <w:rStyle w:val="il"/>
          <w:rFonts w:asciiTheme="minorHAnsi" w:hAnsiTheme="minorHAnsi" w:cstheme="minorHAnsi"/>
          <w:iCs/>
          <w:color w:val="222222"/>
          <w:szCs w:val="24"/>
          <w:shd w:val="clear" w:color="auto" w:fill="FFFFFF"/>
        </w:rPr>
        <w:t>ESC</w:t>
      </w:r>
      <w:r w:rsidR="008853D9" w:rsidRPr="00D34003">
        <w:rPr>
          <w:rFonts w:asciiTheme="minorHAnsi" w:hAnsiTheme="minorHAnsi" w:cstheme="minorHAnsi"/>
          <w:iCs/>
          <w:color w:val="222222"/>
          <w:szCs w:val="24"/>
          <w:shd w:val="clear" w:color="auto" w:fill="FFFFFF"/>
        </w:rPr>
        <w:t> noted that the two-stage method assumes that all patients would switch on progression, but this was not the case in the trial. The </w:t>
      </w:r>
      <w:r w:rsidR="008853D9" w:rsidRPr="00D34003">
        <w:rPr>
          <w:rStyle w:val="il"/>
          <w:rFonts w:asciiTheme="minorHAnsi" w:hAnsiTheme="minorHAnsi" w:cstheme="minorHAnsi"/>
          <w:iCs/>
          <w:color w:val="222222"/>
          <w:szCs w:val="24"/>
          <w:shd w:val="clear" w:color="auto" w:fill="FFFFFF"/>
        </w:rPr>
        <w:t>ESC</w:t>
      </w:r>
      <w:r w:rsidR="008853D9" w:rsidRPr="00D34003">
        <w:rPr>
          <w:rFonts w:asciiTheme="minorHAnsi" w:hAnsiTheme="minorHAnsi" w:cstheme="minorHAnsi"/>
          <w:iCs/>
          <w:color w:val="222222"/>
          <w:szCs w:val="24"/>
          <w:shd w:val="clear" w:color="auto" w:fill="FFFFFF"/>
        </w:rPr>
        <w:t xml:space="preserve"> considered that the number of patients switching impacted on the validity of the two-stage adjustment method. The PSCR also stated that “the estimated post-progression treatment estimate suggests that switching to anti-PDL1 treatment increases survival time by a large factor of 4.09…, [which is] not very precise due in particular to the limited number of patients who were eligible to switch and switched (PSCR, “Adjusting for treatment switchover” report, p2). The </w:t>
      </w:r>
      <w:r w:rsidR="008853D9" w:rsidRPr="00D34003">
        <w:rPr>
          <w:rStyle w:val="il"/>
          <w:rFonts w:asciiTheme="minorHAnsi" w:hAnsiTheme="minorHAnsi" w:cstheme="minorHAnsi"/>
          <w:iCs/>
          <w:color w:val="222222"/>
          <w:szCs w:val="24"/>
          <w:shd w:val="clear" w:color="auto" w:fill="FFFFFF"/>
        </w:rPr>
        <w:t xml:space="preserve">ESC </w:t>
      </w:r>
      <w:r w:rsidR="008853D9" w:rsidRPr="00D34003">
        <w:rPr>
          <w:rFonts w:asciiTheme="minorHAnsi" w:hAnsiTheme="minorHAnsi" w:cstheme="minorHAnsi"/>
          <w:iCs/>
          <w:color w:val="222222"/>
          <w:szCs w:val="24"/>
          <w:shd w:val="clear" w:color="auto" w:fill="FFFFFF"/>
        </w:rPr>
        <w:t>considered that this likely indicated a moderate influence of unmeasured confounders unable to be controlled for in the analysis. The</w:t>
      </w:r>
      <w:r w:rsidR="00A01078" w:rsidRPr="00D34003">
        <w:rPr>
          <w:rFonts w:asciiTheme="minorHAnsi" w:hAnsiTheme="minorHAnsi" w:cstheme="minorHAnsi"/>
          <w:iCs/>
          <w:color w:val="222222"/>
          <w:szCs w:val="24"/>
          <w:shd w:val="clear" w:color="auto" w:fill="FFFFFF"/>
        </w:rPr>
        <w:t xml:space="preserve"> </w:t>
      </w:r>
      <w:r w:rsidR="008853D9" w:rsidRPr="00D34003">
        <w:rPr>
          <w:rStyle w:val="il"/>
          <w:rFonts w:asciiTheme="minorHAnsi" w:hAnsiTheme="minorHAnsi" w:cstheme="minorHAnsi"/>
          <w:iCs/>
          <w:color w:val="222222"/>
          <w:szCs w:val="24"/>
          <w:shd w:val="clear" w:color="auto" w:fill="FFFFFF"/>
        </w:rPr>
        <w:t>ESC</w:t>
      </w:r>
      <w:r w:rsidR="00A01078" w:rsidRPr="00D34003">
        <w:rPr>
          <w:rFonts w:asciiTheme="minorHAnsi" w:hAnsiTheme="minorHAnsi" w:cstheme="minorHAnsi"/>
          <w:iCs/>
          <w:color w:val="222222"/>
          <w:szCs w:val="24"/>
          <w:shd w:val="clear" w:color="auto" w:fill="FFFFFF"/>
        </w:rPr>
        <w:t xml:space="preserve"> </w:t>
      </w:r>
      <w:r w:rsidR="008853D9" w:rsidRPr="00D34003">
        <w:rPr>
          <w:rFonts w:asciiTheme="minorHAnsi" w:hAnsiTheme="minorHAnsi" w:cstheme="minorHAnsi"/>
          <w:iCs/>
          <w:color w:val="222222"/>
          <w:szCs w:val="24"/>
          <w:shd w:val="clear" w:color="auto" w:fill="FFFFFF"/>
        </w:rPr>
        <w:t xml:space="preserve">noted that for </w:t>
      </w:r>
      <w:r w:rsidR="00AF0425" w:rsidRPr="00D34003">
        <w:rPr>
          <w:rFonts w:asciiTheme="minorHAnsi" w:hAnsiTheme="minorHAnsi" w:cstheme="minorHAnsi"/>
          <w:iCs/>
          <w:color w:val="222222"/>
          <w:szCs w:val="24"/>
          <w:shd w:val="clear" w:color="auto" w:fill="FFFFFF"/>
        </w:rPr>
        <w:t>two</w:t>
      </w:r>
      <w:r w:rsidR="00777891" w:rsidRPr="00D34003">
        <w:rPr>
          <w:rFonts w:asciiTheme="minorHAnsi" w:hAnsiTheme="minorHAnsi" w:cstheme="minorHAnsi"/>
          <w:iCs/>
          <w:color w:val="222222"/>
          <w:szCs w:val="24"/>
          <w:shd w:val="clear" w:color="auto" w:fill="FFFFFF"/>
        </w:rPr>
        <w:t>-</w:t>
      </w:r>
      <w:r w:rsidR="008853D9" w:rsidRPr="00D34003">
        <w:rPr>
          <w:rFonts w:asciiTheme="minorHAnsi" w:hAnsiTheme="minorHAnsi" w:cstheme="minorHAnsi"/>
          <w:iCs/>
          <w:color w:val="222222"/>
          <w:szCs w:val="24"/>
          <w:shd w:val="clear" w:color="auto" w:fill="FFFFFF"/>
        </w:rPr>
        <w:t xml:space="preserve">stage cross-over adjustment, re-censoring should occur once the revised survival times have been estimated but this was not performed. In this case, re-censoring in this fashion imparts a potential bias secondary to informative censoring, where the loss of events to study disproportionately </w:t>
      </w:r>
      <w:proofErr w:type="gramStart"/>
      <w:r w:rsidR="008853D9" w:rsidRPr="00D34003">
        <w:rPr>
          <w:rFonts w:asciiTheme="minorHAnsi" w:hAnsiTheme="minorHAnsi" w:cstheme="minorHAnsi"/>
          <w:iCs/>
          <w:color w:val="222222"/>
          <w:szCs w:val="24"/>
          <w:shd w:val="clear" w:color="auto" w:fill="FFFFFF"/>
        </w:rPr>
        <w:t>effects</w:t>
      </w:r>
      <w:proofErr w:type="gramEnd"/>
      <w:r w:rsidR="008853D9" w:rsidRPr="00D34003">
        <w:rPr>
          <w:rFonts w:asciiTheme="minorHAnsi" w:hAnsiTheme="minorHAnsi" w:cstheme="minorHAnsi"/>
          <w:iCs/>
          <w:color w:val="222222"/>
          <w:szCs w:val="24"/>
          <w:shd w:val="clear" w:color="auto" w:fill="FFFFFF"/>
        </w:rPr>
        <w:t xml:space="preserve"> one </w:t>
      </w:r>
      <w:r w:rsidR="008853D9" w:rsidRPr="00D34003">
        <w:rPr>
          <w:rFonts w:asciiTheme="minorHAnsi" w:hAnsiTheme="minorHAnsi" w:cstheme="minorHAnsi"/>
          <w:iCs/>
          <w:color w:val="222222"/>
          <w:szCs w:val="24"/>
          <w:shd w:val="clear" w:color="auto" w:fill="FFFFFF"/>
        </w:rPr>
        <w:lastRenderedPageBreak/>
        <w:t xml:space="preserve">comparison arm greater than the other. </w:t>
      </w:r>
      <w:r w:rsidR="00B67276" w:rsidRPr="00D34003">
        <w:rPr>
          <w:rFonts w:asciiTheme="minorHAnsi" w:hAnsiTheme="minorHAnsi" w:cstheme="minorHAnsi"/>
          <w:iCs/>
          <w:color w:val="222222"/>
          <w:szCs w:val="24"/>
          <w:shd w:val="clear" w:color="auto" w:fill="FFFFFF"/>
        </w:rPr>
        <w:t>The pre-PBAC response maintained the view that the two-stage method was the most appropriate method and that re</w:t>
      </w:r>
      <w:r w:rsidR="00B67276" w:rsidRPr="00D34003">
        <w:rPr>
          <w:rFonts w:eastAsia="Calibri" w:cs="Calibri"/>
          <w:szCs w:val="24"/>
        </w:rPr>
        <w:t>-censoring data as suggested by the ESC introduces a risk of bias due to non-proportionality of hazards and the time-dependent treatment effect observed in this study, which is characteristic of immunotherapy.</w:t>
      </w:r>
      <w:r w:rsidR="00485BE9" w:rsidRPr="00D34003">
        <w:rPr>
          <w:rFonts w:eastAsia="Calibri" w:cs="Calibri"/>
          <w:szCs w:val="24"/>
        </w:rPr>
        <w:t xml:space="preserve"> </w:t>
      </w:r>
    </w:p>
    <w:p w:rsidR="006272E6" w:rsidRPr="00D34003" w:rsidRDefault="00B87369" w:rsidP="002D54C4">
      <w:pPr>
        <w:pStyle w:val="PBACHeading1"/>
        <w:numPr>
          <w:ilvl w:val="1"/>
          <w:numId w:val="1"/>
        </w:numPr>
        <w:spacing w:after="160"/>
        <w:jc w:val="both"/>
        <w:rPr>
          <w:b w:val="0"/>
          <w:bCs/>
          <w:sz w:val="24"/>
        </w:rPr>
      </w:pPr>
      <w:r w:rsidRPr="00D34003">
        <w:rPr>
          <w:b w:val="0"/>
          <w:bCs/>
          <w:sz w:val="24"/>
        </w:rPr>
        <w:t xml:space="preserve">Figure </w:t>
      </w:r>
      <w:r w:rsidR="006A4BB6" w:rsidRPr="00D34003">
        <w:rPr>
          <w:b w:val="0"/>
          <w:bCs/>
          <w:sz w:val="24"/>
        </w:rPr>
        <w:t>4</w:t>
      </w:r>
      <w:r w:rsidRPr="00D34003">
        <w:rPr>
          <w:b w:val="0"/>
          <w:bCs/>
          <w:sz w:val="24"/>
        </w:rPr>
        <w:t xml:space="preserve"> compares the extrapolated OS with and without adjustment for treatment switching to Surveillance, Epidemiology, and End Results (SEER) registry data. The ESC </w:t>
      </w:r>
      <w:r w:rsidR="00B775F6" w:rsidRPr="00D34003">
        <w:rPr>
          <w:b w:val="0"/>
          <w:bCs/>
          <w:sz w:val="24"/>
        </w:rPr>
        <w:t>was of the view</w:t>
      </w:r>
      <w:r w:rsidRPr="00D34003">
        <w:rPr>
          <w:b w:val="0"/>
          <w:bCs/>
          <w:sz w:val="24"/>
        </w:rPr>
        <w:t xml:space="preserve"> that the </w:t>
      </w:r>
      <w:r w:rsidR="008403E8" w:rsidRPr="00D34003">
        <w:rPr>
          <w:b w:val="0"/>
          <w:bCs/>
          <w:sz w:val="24"/>
        </w:rPr>
        <w:t>two</w:t>
      </w:r>
      <w:r w:rsidR="00B775F6" w:rsidRPr="00D34003">
        <w:rPr>
          <w:b w:val="0"/>
          <w:bCs/>
          <w:sz w:val="24"/>
        </w:rPr>
        <w:t xml:space="preserve">-stage crossover adjustment </w:t>
      </w:r>
      <w:r w:rsidR="006272E6" w:rsidRPr="00D34003">
        <w:rPr>
          <w:b w:val="0"/>
          <w:bCs/>
          <w:sz w:val="24"/>
        </w:rPr>
        <w:t>may</w:t>
      </w:r>
      <w:r w:rsidR="00B775F6" w:rsidRPr="00D34003">
        <w:rPr>
          <w:b w:val="0"/>
          <w:bCs/>
          <w:sz w:val="24"/>
        </w:rPr>
        <w:t xml:space="preserve"> underestimate the OS for standard of care, </w:t>
      </w:r>
      <w:r w:rsidR="006272E6" w:rsidRPr="00D34003">
        <w:rPr>
          <w:b w:val="0"/>
          <w:bCs/>
          <w:sz w:val="24"/>
        </w:rPr>
        <w:t>and</w:t>
      </w:r>
      <w:r w:rsidR="006A4BB6" w:rsidRPr="00D34003">
        <w:rPr>
          <w:b w:val="0"/>
          <w:bCs/>
          <w:sz w:val="24"/>
        </w:rPr>
        <w:t xml:space="preserve"> the </w:t>
      </w:r>
      <w:r w:rsidRPr="00D34003">
        <w:rPr>
          <w:b w:val="0"/>
          <w:bCs/>
          <w:sz w:val="24"/>
        </w:rPr>
        <w:t>unadjusted data may be more representative of OS</w:t>
      </w:r>
      <w:r w:rsidR="00B775F6" w:rsidRPr="00D34003">
        <w:rPr>
          <w:b w:val="0"/>
          <w:bCs/>
          <w:sz w:val="24"/>
        </w:rPr>
        <w:t>, particularly</w:t>
      </w:r>
      <w:r w:rsidRPr="00D34003">
        <w:rPr>
          <w:b w:val="0"/>
          <w:bCs/>
          <w:sz w:val="24"/>
        </w:rPr>
        <w:t xml:space="preserve"> in later time periods.</w:t>
      </w:r>
      <w:r w:rsidR="002D54C4" w:rsidRPr="00D34003">
        <w:rPr>
          <w:b w:val="0"/>
          <w:bCs/>
          <w:sz w:val="24"/>
        </w:rPr>
        <w:t xml:space="preserve"> The PBAC agreed with the ES</w:t>
      </w:r>
      <w:r w:rsidR="00485BE9" w:rsidRPr="00D34003">
        <w:rPr>
          <w:b w:val="0"/>
          <w:bCs/>
          <w:sz w:val="24"/>
        </w:rPr>
        <w:t>C and considered that the cross</w:t>
      </w:r>
      <w:r w:rsidR="002D54C4" w:rsidRPr="00D34003">
        <w:rPr>
          <w:b w:val="0"/>
          <w:bCs/>
          <w:sz w:val="24"/>
        </w:rPr>
        <w:t xml:space="preserve">over adjustment </w:t>
      </w:r>
      <w:r w:rsidR="00856637" w:rsidRPr="00D34003">
        <w:rPr>
          <w:b w:val="0"/>
          <w:bCs/>
          <w:sz w:val="24"/>
        </w:rPr>
        <w:t xml:space="preserve">presented </w:t>
      </w:r>
      <w:r w:rsidR="002D54C4" w:rsidRPr="00D34003">
        <w:rPr>
          <w:b w:val="0"/>
          <w:bCs/>
          <w:sz w:val="24"/>
        </w:rPr>
        <w:t xml:space="preserve">was unreliable and it was the Committee’s preference to not apply crossover adjustments in the model. </w:t>
      </w:r>
    </w:p>
    <w:p w:rsidR="00B87369" w:rsidRPr="00D34003" w:rsidRDefault="00B87369" w:rsidP="00B87369">
      <w:pPr>
        <w:pStyle w:val="PBACHeading1"/>
        <w:numPr>
          <w:ilvl w:val="0"/>
          <w:numId w:val="0"/>
        </w:numPr>
        <w:rPr>
          <w:rFonts w:ascii="Arial Narrow" w:hAnsi="Arial Narrow"/>
          <w:bCs/>
          <w:i/>
          <w:sz w:val="20"/>
          <w:szCs w:val="20"/>
        </w:rPr>
      </w:pPr>
    </w:p>
    <w:p w:rsidR="00B87369" w:rsidRPr="00D34003" w:rsidRDefault="00B87369" w:rsidP="006A4BB6">
      <w:pPr>
        <w:pStyle w:val="Tabletext"/>
        <w:keepNext/>
        <w:keepLines/>
        <w:rPr>
          <w:b/>
          <w:szCs w:val="20"/>
        </w:rPr>
      </w:pPr>
      <w:r w:rsidRPr="00D34003">
        <w:rPr>
          <w:b/>
          <w:szCs w:val="20"/>
        </w:rPr>
        <w:t xml:space="preserve">Figure </w:t>
      </w:r>
      <w:r w:rsidR="006A4BB6" w:rsidRPr="00D34003">
        <w:rPr>
          <w:b/>
          <w:szCs w:val="20"/>
        </w:rPr>
        <w:t>4</w:t>
      </w:r>
      <w:r w:rsidRPr="00D34003">
        <w:rPr>
          <w:b/>
          <w:szCs w:val="20"/>
        </w:rPr>
        <w:t xml:space="preserve">: Comparison of SEER-Medicare Registry data for bladder cancer patients receiving 2L non-platinum regimens (n=96) with unadjusted &amp; adjusted (2-stage) OS extrapolated outcomes for </w:t>
      </w:r>
      <w:proofErr w:type="spellStart"/>
      <w:r w:rsidRPr="00D34003">
        <w:rPr>
          <w:b/>
          <w:szCs w:val="20"/>
        </w:rPr>
        <w:t>SoC</w:t>
      </w:r>
      <w:proofErr w:type="spellEnd"/>
    </w:p>
    <w:p w:rsidR="00B87369" w:rsidRPr="00D34003" w:rsidRDefault="00504C28" w:rsidP="006A4BB6">
      <w:pPr>
        <w:pStyle w:val="PBACHeading1"/>
        <w:keepNext/>
        <w:keepLines/>
        <w:numPr>
          <w:ilvl w:val="0"/>
          <w:numId w:val="0"/>
        </w:numPr>
        <w:rPr>
          <w:b w:val="0"/>
          <w:bCs/>
          <w:i/>
          <w:sz w:val="24"/>
        </w:rPr>
      </w:pPr>
      <w:r>
        <w:rPr>
          <w:b w:val="0"/>
          <w:bCs/>
          <w:i/>
          <w:noProof/>
          <w:snapToGrid/>
          <w:sz w:val="24"/>
          <w:lang w:eastAsia="en-AU"/>
        </w:rPr>
        <w:drawing>
          <wp:inline distT="0" distB="0" distL="0" distR="0">
            <wp:extent cx="5724525" cy="3086100"/>
            <wp:effectExtent l="0" t="0" r="9525" b="0"/>
            <wp:docPr id="4" name="Picture 4" title="Figure 4: Comparison of SEER-Medicare Registry data for bladder cancer patients receiving 2L non-platinum regimens (n=96) with unadjusted &amp; adjusted (2-stage) OS extrapolated outcomes for So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24525" cy="3086100"/>
                    </a:xfrm>
                    <a:prstGeom prst="rect">
                      <a:avLst/>
                    </a:prstGeom>
                  </pic:spPr>
                </pic:pic>
              </a:graphicData>
            </a:graphic>
          </wp:inline>
        </w:drawing>
      </w:r>
    </w:p>
    <w:p w:rsidR="00B87369" w:rsidRPr="00D34003" w:rsidRDefault="00B87369" w:rsidP="006A4BB6">
      <w:pPr>
        <w:pStyle w:val="TableFooter"/>
        <w:keepNext/>
        <w:keepLines/>
      </w:pPr>
      <w:r w:rsidRPr="00D34003">
        <w:t xml:space="preserve">Abbreviations: KM= Kaplan Meier, OS= overall survival, SEER= Surveillance, Epidemiology, and End Results, SOC= standard of care </w:t>
      </w:r>
    </w:p>
    <w:p w:rsidR="00B87369" w:rsidRPr="00D34003" w:rsidRDefault="00B87369" w:rsidP="006A4BB6">
      <w:pPr>
        <w:pStyle w:val="TableFooter"/>
        <w:keepNext/>
        <w:keepLines/>
      </w:pPr>
      <w:r w:rsidRPr="00D34003">
        <w:t>Source: Figure 3-11, p 137 of the submission; adjusted as part of ESC evaluation.</w:t>
      </w:r>
    </w:p>
    <w:p w:rsidR="00244CAC" w:rsidRPr="00D34003" w:rsidRDefault="00B87369" w:rsidP="007A7E9A">
      <w:pPr>
        <w:pStyle w:val="ListParagraph"/>
        <w:widowControl/>
        <w:numPr>
          <w:ilvl w:val="1"/>
          <w:numId w:val="1"/>
        </w:numPr>
        <w:spacing w:before="120"/>
        <w:rPr>
          <w:bCs/>
        </w:rPr>
      </w:pPr>
      <w:r w:rsidRPr="00D34003">
        <w:rPr>
          <w:bCs/>
        </w:rPr>
        <w:t>In terms of extrapolati</w:t>
      </w:r>
      <w:r w:rsidR="002A6E94" w:rsidRPr="00D34003">
        <w:rPr>
          <w:bCs/>
        </w:rPr>
        <w:t xml:space="preserve">on </w:t>
      </w:r>
      <w:r w:rsidR="00634720" w:rsidRPr="00D34003">
        <w:rPr>
          <w:bCs/>
        </w:rPr>
        <w:t>of the pembrolizumab arm</w:t>
      </w:r>
      <w:r w:rsidRPr="00D34003">
        <w:rPr>
          <w:bCs/>
        </w:rPr>
        <w:t xml:space="preserve">, </w:t>
      </w:r>
      <w:r w:rsidR="00057049" w:rsidRPr="00D34003">
        <w:rPr>
          <w:bCs/>
        </w:rPr>
        <w:t>s</w:t>
      </w:r>
      <w:r w:rsidR="00244CAC" w:rsidRPr="00D34003">
        <w:rPr>
          <w:bCs/>
        </w:rPr>
        <w:t xml:space="preserve">ix alternative extrapolation models </w:t>
      </w:r>
      <w:r w:rsidR="00057049" w:rsidRPr="00D34003">
        <w:rPr>
          <w:bCs/>
        </w:rPr>
        <w:t>we</w:t>
      </w:r>
      <w:r w:rsidR="00244CAC" w:rsidRPr="00D34003">
        <w:rPr>
          <w:bCs/>
        </w:rPr>
        <w:t>re presented for the two-stage adjustment analysis</w:t>
      </w:r>
      <w:r w:rsidR="0023130F" w:rsidRPr="00D34003">
        <w:rPr>
          <w:bCs/>
        </w:rPr>
        <w:t xml:space="preserve"> (Figure </w:t>
      </w:r>
      <w:r w:rsidR="006A4BB6" w:rsidRPr="00D34003">
        <w:rPr>
          <w:bCs/>
        </w:rPr>
        <w:t>5</w:t>
      </w:r>
      <w:r w:rsidR="0023130F" w:rsidRPr="00D34003">
        <w:rPr>
          <w:bCs/>
        </w:rPr>
        <w:t>)</w:t>
      </w:r>
      <w:r w:rsidR="00244CAC" w:rsidRPr="00D34003">
        <w:rPr>
          <w:bCs/>
        </w:rPr>
        <w:t xml:space="preserve">. </w:t>
      </w:r>
      <w:r w:rsidR="00B020D0" w:rsidRPr="00D34003">
        <w:rPr>
          <w:bCs/>
        </w:rPr>
        <w:t>The ESC considered that t</w:t>
      </w:r>
      <w:r w:rsidR="00244CAC" w:rsidRPr="00D34003">
        <w:rPr>
          <w:bCs/>
        </w:rPr>
        <w:t>he selected curves appear</w:t>
      </w:r>
      <w:r w:rsidR="00B01908" w:rsidRPr="00D34003">
        <w:rPr>
          <w:bCs/>
        </w:rPr>
        <w:t>ed</w:t>
      </w:r>
      <w:r w:rsidR="00244CAC" w:rsidRPr="00D34003">
        <w:rPr>
          <w:bCs/>
        </w:rPr>
        <w:t xml:space="preserve"> </w:t>
      </w:r>
      <w:r w:rsidR="00B775F6" w:rsidRPr="00D34003">
        <w:rPr>
          <w:bCs/>
        </w:rPr>
        <w:t>reasonable;</w:t>
      </w:r>
      <w:r w:rsidR="00244CAC" w:rsidRPr="00D34003">
        <w:rPr>
          <w:bCs/>
        </w:rPr>
        <w:t xml:space="preserve"> </w:t>
      </w:r>
      <w:r w:rsidR="00B01908" w:rsidRPr="00D34003">
        <w:rPr>
          <w:bCs/>
        </w:rPr>
        <w:t xml:space="preserve">however </w:t>
      </w:r>
      <w:r w:rsidR="00244CAC" w:rsidRPr="00D34003">
        <w:rPr>
          <w:bCs/>
        </w:rPr>
        <w:t xml:space="preserve">no extrapolation figures </w:t>
      </w:r>
      <w:r w:rsidR="00B01908" w:rsidRPr="00D34003">
        <w:rPr>
          <w:bCs/>
        </w:rPr>
        <w:t>we</w:t>
      </w:r>
      <w:r w:rsidR="00244CAC" w:rsidRPr="00D34003">
        <w:rPr>
          <w:bCs/>
        </w:rPr>
        <w:t>re presented for the unadjusted analysis</w:t>
      </w:r>
      <w:r w:rsidR="00B775F6" w:rsidRPr="00D34003">
        <w:rPr>
          <w:bCs/>
        </w:rPr>
        <w:t>,</w:t>
      </w:r>
      <w:r w:rsidR="00244CAC" w:rsidRPr="00D34003">
        <w:rPr>
          <w:bCs/>
        </w:rPr>
        <w:t xml:space="preserve"> </w:t>
      </w:r>
      <w:proofErr w:type="gramStart"/>
      <w:r w:rsidR="00244CAC" w:rsidRPr="00D34003">
        <w:rPr>
          <w:bCs/>
        </w:rPr>
        <w:t>nor</w:t>
      </w:r>
      <w:proofErr w:type="gramEnd"/>
      <w:r w:rsidR="00244CAC" w:rsidRPr="00D34003">
        <w:rPr>
          <w:bCs/>
        </w:rPr>
        <w:t xml:space="preserve"> the alternative adjustment methods, so it </w:t>
      </w:r>
      <w:r w:rsidR="001E241A" w:rsidRPr="00D34003">
        <w:rPr>
          <w:bCs/>
        </w:rPr>
        <w:t>wa</w:t>
      </w:r>
      <w:r w:rsidR="00244CAC" w:rsidRPr="00D34003">
        <w:rPr>
          <w:bCs/>
        </w:rPr>
        <w:t xml:space="preserve">s not possible to assess the reasonableness of the extrapolation for these analyses. </w:t>
      </w:r>
    </w:p>
    <w:p w:rsidR="00CD7A62" w:rsidRPr="00D34003" w:rsidRDefault="00CD7A62" w:rsidP="003F0DBD">
      <w:pPr>
        <w:pStyle w:val="PBACHeading1"/>
        <w:keepNext/>
        <w:keepLines/>
        <w:numPr>
          <w:ilvl w:val="0"/>
          <w:numId w:val="0"/>
        </w:numPr>
        <w:rPr>
          <w:rFonts w:ascii="Arial Narrow" w:hAnsi="Arial Narrow"/>
          <w:bCs/>
          <w:sz w:val="20"/>
          <w:szCs w:val="20"/>
        </w:rPr>
      </w:pPr>
      <w:r w:rsidRPr="00D34003">
        <w:rPr>
          <w:rFonts w:ascii="Arial Narrow" w:hAnsi="Arial Narrow"/>
          <w:bCs/>
          <w:sz w:val="20"/>
          <w:szCs w:val="20"/>
        </w:rPr>
        <w:lastRenderedPageBreak/>
        <w:t xml:space="preserve">Figure </w:t>
      </w:r>
      <w:r w:rsidR="006A4BB6" w:rsidRPr="00D34003">
        <w:rPr>
          <w:rFonts w:ascii="Arial Narrow" w:hAnsi="Arial Narrow"/>
          <w:bCs/>
          <w:sz w:val="20"/>
          <w:szCs w:val="20"/>
        </w:rPr>
        <w:t>5</w:t>
      </w:r>
      <w:r w:rsidR="00E511A4" w:rsidRPr="00D34003">
        <w:rPr>
          <w:rFonts w:ascii="Arial Narrow" w:hAnsi="Arial Narrow"/>
          <w:bCs/>
          <w:sz w:val="20"/>
          <w:szCs w:val="20"/>
        </w:rPr>
        <w:t>:</w:t>
      </w:r>
      <w:r w:rsidRPr="00D34003">
        <w:rPr>
          <w:rFonts w:ascii="Arial Narrow" w:hAnsi="Arial Narrow"/>
          <w:bCs/>
          <w:sz w:val="20"/>
          <w:szCs w:val="20"/>
        </w:rPr>
        <w:t xml:space="preserve"> OS parametric functions fitted in the pembrolizumab arm</w:t>
      </w:r>
    </w:p>
    <w:p w:rsidR="007A7E9A" w:rsidRPr="00D34003" w:rsidRDefault="00504C28" w:rsidP="003F0DBD">
      <w:pPr>
        <w:pStyle w:val="PBACHeading1"/>
        <w:keepNext/>
        <w:keepLines/>
        <w:numPr>
          <w:ilvl w:val="0"/>
          <w:numId w:val="0"/>
        </w:numPr>
        <w:rPr>
          <w:b w:val="0"/>
          <w:bCs/>
          <w:i/>
          <w:sz w:val="24"/>
        </w:rPr>
      </w:pPr>
      <w:r>
        <w:rPr>
          <w:b w:val="0"/>
          <w:bCs/>
          <w:i/>
          <w:noProof/>
          <w:snapToGrid/>
          <w:sz w:val="24"/>
          <w:lang w:eastAsia="en-AU"/>
        </w:rPr>
        <w:drawing>
          <wp:inline distT="0" distB="0" distL="0" distR="0">
            <wp:extent cx="5732145" cy="3123565"/>
            <wp:effectExtent l="0" t="0" r="1905" b="635"/>
            <wp:docPr id="3" name="Picture 3" title="Figure 5: OS parametric functions fitted in the pembrolizumab a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2145" cy="3123565"/>
                    </a:xfrm>
                    <a:prstGeom prst="rect">
                      <a:avLst/>
                    </a:prstGeom>
                  </pic:spPr>
                </pic:pic>
              </a:graphicData>
            </a:graphic>
          </wp:inline>
        </w:drawing>
      </w:r>
    </w:p>
    <w:p w:rsidR="00CD7A62" w:rsidRPr="00D34003" w:rsidRDefault="00CD7A62" w:rsidP="003F0DBD">
      <w:pPr>
        <w:keepNext/>
        <w:keepLines/>
        <w:rPr>
          <w:rFonts w:ascii="Arial Narrow" w:hAnsi="Arial Narrow"/>
          <w:sz w:val="18"/>
          <w:szCs w:val="18"/>
        </w:rPr>
      </w:pPr>
      <w:r w:rsidRPr="00D34003">
        <w:rPr>
          <w:rFonts w:ascii="Arial Narrow" w:hAnsi="Arial Narrow"/>
          <w:sz w:val="18"/>
          <w:szCs w:val="18"/>
        </w:rPr>
        <w:t xml:space="preserve">Abbreviations: </w:t>
      </w:r>
      <w:proofErr w:type="spellStart"/>
      <w:r w:rsidRPr="00D34003">
        <w:rPr>
          <w:rFonts w:ascii="Arial Narrow" w:hAnsi="Arial Narrow"/>
          <w:sz w:val="18"/>
          <w:szCs w:val="18"/>
        </w:rPr>
        <w:t>GenGamma</w:t>
      </w:r>
      <w:proofErr w:type="spellEnd"/>
      <w:r w:rsidRPr="00D34003">
        <w:rPr>
          <w:rFonts w:ascii="Arial Narrow" w:hAnsi="Arial Narrow"/>
          <w:sz w:val="18"/>
          <w:szCs w:val="18"/>
        </w:rPr>
        <w:t xml:space="preserve">= generalized gamma; KM= Kaplan Meier; </w:t>
      </w:r>
      <w:proofErr w:type="spellStart"/>
      <w:r w:rsidRPr="00D34003">
        <w:rPr>
          <w:rFonts w:ascii="Arial Narrow" w:hAnsi="Arial Narrow"/>
          <w:sz w:val="18"/>
          <w:szCs w:val="18"/>
        </w:rPr>
        <w:t>Lnormal</w:t>
      </w:r>
      <w:proofErr w:type="spellEnd"/>
      <w:r w:rsidRPr="00D34003">
        <w:rPr>
          <w:rFonts w:ascii="Arial Narrow" w:hAnsi="Arial Narrow"/>
          <w:sz w:val="18"/>
          <w:szCs w:val="18"/>
        </w:rPr>
        <w:t xml:space="preserve">= log-normal; </w:t>
      </w:r>
      <w:proofErr w:type="spellStart"/>
      <w:r w:rsidRPr="00D34003">
        <w:rPr>
          <w:rFonts w:ascii="Arial Narrow" w:hAnsi="Arial Narrow"/>
          <w:sz w:val="18"/>
          <w:szCs w:val="18"/>
        </w:rPr>
        <w:t>Llogistic</w:t>
      </w:r>
      <w:proofErr w:type="spellEnd"/>
      <w:r w:rsidRPr="00D34003">
        <w:rPr>
          <w:rFonts w:ascii="Arial Narrow" w:hAnsi="Arial Narrow"/>
          <w:sz w:val="18"/>
          <w:szCs w:val="18"/>
        </w:rPr>
        <w:t>= log-logistic; OS= overall survival</w:t>
      </w:r>
    </w:p>
    <w:p w:rsidR="00CD7A62" w:rsidRPr="00D34003" w:rsidRDefault="00CD7A62" w:rsidP="003F0DBD">
      <w:pPr>
        <w:pStyle w:val="TableFooter"/>
        <w:keepNext/>
        <w:keepLines/>
        <w:rPr>
          <w:i/>
        </w:rPr>
      </w:pPr>
      <w:r w:rsidRPr="00D34003">
        <w:t xml:space="preserve">Source: Figure 3-7, p 121 of the resubmission. </w:t>
      </w:r>
    </w:p>
    <w:p w:rsidR="007A7E9A" w:rsidRPr="00D34003" w:rsidRDefault="007A7E9A" w:rsidP="007A7E9A">
      <w:pPr>
        <w:pStyle w:val="PBACHeading1"/>
        <w:numPr>
          <w:ilvl w:val="0"/>
          <w:numId w:val="0"/>
        </w:numPr>
        <w:rPr>
          <w:b w:val="0"/>
          <w:bCs/>
          <w:i/>
          <w:sz w:val="24"/>
        </w:rPr>
      </w:pPr>
    </w:p>
    <w:p w:rsidR="003E5C85" w:rsidRPr="00D34003" w:rsidRDefault="005730BD" w:rsidP="005730BD">
      <w:pPr>
        <w:pStyle w:val="PBACHeading1"/>
        <w:numPr>
          <w:ilvl w:val="1"/>
          <w:numId w:val="1"/>
        </w:numPr>
        <w:spacing w:after="160"/>
        <w:jc w:val="both"/>
        <w:rPr>
          <w:rFonts w:asciiTheme="minorHAnsi" w:hAnsiTheme="minorHAnsi"/>
          <w:b w:val="0"/>
          <w:sz w:val="24"/>
          <w:szCs w:val="24"/>
        </w:rPr>
      </w:pPr>
      <w:r w:rsidRPr="00D34003">
        <w:rPr>
          <w:b w:val="0"/>
          <w:sz w:val="24"/>
        </w:rPr>
        <w:t xml:space="preserve">The ESC noted that the SEER registry data suggests 5% OS at 5 years. The </w:t>
      </w:r>
      <w:r w:rsidR="002929E5" w:rsidRPr="00D34003">
        <w:rPr>
          <w:b w:val="0"/>
          <w:sz w:val="24"/>
        </w:rPr>
        <w:t>extrapolations</w:t>
      </w:r>
      <w:r w:rsidRPr="00D34003">
        <w:rPr>
          <w:b w:val="0"/>
          <w:sz w:val="24"/>
        </w:rPr>
        <w:t xml:space="preserve"> suggest </w:t>
      </w:r>
      <w:r w:rsidR="00D34003" w:rsidRPr="00D34003">
        <w:rPr>
          <w:b w:val="0"/>
          <w:sz w:val="24"/>
        </w:rPr>
        <w:t>5-year</w:t>
      </w:r>
      <w:r w:rsidRPr="00D34003">
        <w:rPr>
          <w:b w:val="0"/>
          <w:sz w:val="24"/>
        </w:rPr>
        <w:t xml:space="preserve"> survival for pembrolizumab treated patients is between 5% and 15% and hence convergence of the pembrolizumab and SOC curves at 5 years or soon after would be appropriate. </w:t>
      </w:r>
      <w:r w:rsidR="006B6F6D" w:rsidRPr="00D34003">
        <w:rPr>
          <w:b w:val="0"/>
          <w:sz w:val="24"/>
        </w:rPr>
        <w:t xml:space="preserve">The PSCR maintained that the time horizon of 7.5 years without convergence of the extrapolation curves used in the economic evaluation model was appropriate. The PSCR referred to a recent decision by the PBAC (March 2018) for </w:t>
      </w:r>
      <w:proofErr w:type="spellStart"/>
      <w:r w:rsidR="006B6F6D" w:rsidRPr="00D34003">
        <w:rPr>
          <w:b w:val="0"/>
          <w:sz w:val="24"/>
        </w:rPr>
        <w:t>nivolumab</w:t>
      </w:r>
      <w:proofErr w:type="spellEnd"/>
      <w:r w:rsidR="006B6F6D" w:rsidRPr="00D34003">
        <w:rPr>
          <w:b w:val="0"/>
          <w:sz w:val="24"/>
        </w:rPr>
        <w:t xml:space="preserve"> in second line non-small cell lung cancer in which a 7.5-year time horizon was applied. The PSCR also </w:t>
      </w:r>
      <w:r w:rsidR="00EC5694" w:rsidRPr="00D34003">
        <w:rPr>
          <w:b w:val="0"/>
          <w:sz w:val="24"/>
        </w:rPr>
        <w:t>argued</w:t>
      </w:r>
      <w:r w:rsidR="00C725BA" w:rsidRPr="00D34003">
        <w:rPr>
          <w:b w:val="0"/>
          <w:sz w:val="24"/>
        </w:rPr>
        <w:t xml:space="preserve"> </w:t>
      </w:r>
      <w:r w:rsidR="006B6F6D" w:rsidRPr="00D34003">
        <w:rPr>
          <w:b w:val="0"/>
          <w:sz w:val="24"/>
        </w:rPr>
        <w:t xml:space="preserve">that </w:t>
      </w:r>
      <w:proofErr w:type="gramStart"/>
      <w:r w:rsidR="006B6F6D" w:rsidRPr="00D34003">
        <w:rPr>
          <w:b w:val="0"/>
          <w:sz w:val="24"/>
        </w:rPr>
        <w:t>converging</w:t>
      </w:r>
      <w:proofErr w:type="gramEnd"/>
      <w:r w:rsidR="006B6F6D" w:rsidRPr="00D34003">
        <w:rPr>
          <w:b w:val="0"/>
          <w:sz w:val="24"/>
        </w:rPr>
        <w:t xml:space="preserve"> the curves from 5 years in the base-case represents a conservative approach to extrapolating as it assumes patients in the pembrolizumab arm progress and die more rapidly than the SOC arm from year 5 onwards.</w:t>
      </w:r>
      <w:r w:rsidR="00C725BA" w:rsidRPr="00D34003">
        <w:rPr>
          <w:b w:val="0"/>
          <w:sz w:val="24"/>
        </w:rPr>
        <w:t xml:space="preserve"> Although t</w:t>
      </w:r>
      <w:r w:rsidR="00DC2196" w:rsidRPr="00D34003">
        <w:rPr>
          <w:b w:val="0"/>
          <w:sz w:val="24"/>
        </w:rPr>
        <w:t>he submission ori</w:t>
      </w:r>
      <w:r w:rsidR="00EB2483" w:rsidRPr="00D34003">
        <w:rPr>
          <w:b w:val="0"/>
          <w:sz w:val="24"/>
        </w:rPr>
        <w:t>ginally proposed convergence at</w:t>
      </w:r>
      <w:r w:rsidR="00DC2196" w:rsidRPr="00D34003">
        <w:rPr>
          <w:b w:val="0"/>
          <w:sz w:val="24"/>
        </w:rPr>
        <w:t xml:space="preserve"> 7.5 years, t</w:t>
      </w:r>
      <w:r w:rsidR="00C725BA" w:rsidRPr="00D34003">
        <w:rPr>
          <w:b w:val="0"/>
          <w:sz w:val="24"/>
        </w:rPr>
        <w:t xml:space="preserve">he PSCR </w:t>
      </w:r>
      <w:r w:rsidR="005001BA" w:rsidRPr="00D34003">
        <w:rPr>
          <w:b w:val="0"/>
          <w:sz w:val="24"/>
        </w:rPr>
        <w:t xml:space="preserve">was willing to accept </w:t>
      </w:r>
      <w:r w:rsidR="00DC2196" w:rsidRPr="00D34003">
        <w:rPr>
          <w:b w:val="0"/>
          <w:sz w:val="24"/>
        </w:rPr>
        <w:t>a revised time horizon of 6.5 years</w:t>
      </w:r>
      <w:r w:rsidR="00C9397D" w:rsidRPr="00D34003">
        <w:rPr>
          <w:b w:val="0"/>
          <w:sz w:val="24"/>
        </w:rPr>
        <w:t>.</w:t>
      </w:r>
      <w:r w:rsidR="00D13BE1" w:rsidRPr="00D34003">
        <w:rPr>
          <w:b w:val="0"/>
          <w:sz w:val="24"/>
        </w:rPr>
        <w:t xml:space="preserve"> </w:t>
      </w:r>
      <w:r w:rsidR="00E52C1F" w:rsidRPr="00D34003">
        <w:rPr>
          <w:b w:val="0"/>
          <w:sz w:val="24"/>
        </w:rPr>
        <w:t>The PBAC considered a 5</w:t>
      </w:r>
      <w:r w:rsidR="008403E8" w:rsidRPr="00D34003">
        <w:rPr>
          <w:b w:val="0"/>
          <w:sz w:val="24"/>
        </w:rPr>
        <w:t>-</w:t>
      </w:r>
      <w:r w:rsidR="00E52C1F" w:rsidRPr="00D34003">
        <w:rPr>
          <w:b w:val="0"/>
          <w:sz w:val="24"/>
        </w:rPr>
        <w:t xml:space="preserve">year time horizon was appropriate. </w:t>
      </w:r>
      <w:r w:rsidR="00EB5448" w:rsidRPr="00D34003">
        <w:rPr>
          <w:b w:val="0"/>
          <w:sz w:val="24"/>
        </w:rPr>
        <w:t xml:space="preserve">The PBAC </w:t>
      </w:r>
      <w:r w:rsidR="00D13BE1" w:rsidRPr="00D34003">
        <w:rPr>
          <w:b w:val="0"/>
          <w:sz w:val="24"/>
        </w:rPr>
        <w:t>noted</w:t>
      </w:r>
      <w:r w:rsidR="00F86402" w:rsidRPr="00D34003">
        <w:rPr>
          <w:b w:val="0"/>
          <w:sz w:val="24"/>
        </w:rPr>
        <w:t xml:space="preserve"> a Norwegian study </w:t>
      </w:r>
      <w:r w:rsidR="00856637" w:rsidRPr="00D34003">
        <w:rPr>
          <w:b w:val="0"/>
          <w:sz w:val="24"/>
        </w:rPr>
        <w:t>of</w:t>
      </w:r>
      <w:r w:rsidR="00F86402" w:rsidRPr="00D34003">
        <w:rPr>
          <w:b w:val="0"/>
          <w:sz w:val="24"/>
        </w:rPr>
        <w:t xml:space="preserve"> life expectancy for </w:t>
      </w:r>
      <w:r w:rsidR="00856637" w:rsidRPr="00D34003">
        <w:rPr>
          <w:b w:val="0"/>
          <w:sz w:val="24"/>
        </w:rPr>
        <w:t>patients</w:t>
      </w:r>
      <w:r w:rsidR="00F86402" w:rsidRPr="00D34003">
        <w:rPr>
          <w:b w:val="0"/>
          <w:sz w:val="24"/>
        </w:rPr>
        <w:t xml:space="preserve"> diagnosed with urothelial cancer</w:t>
      </w:r>
      <w:r w:rsidR="00EC5D0E" w:rsidRPr="00D34003">
        <w:rPr>
          <w:rStyle w:val="FootnoteReference"/>
          <w:b w:val="0"/>
          <w:sz w:val="24"/>
        </w:rPr>
        <w:footnoteReference w:id="5"/>
      </w:r>
      <w:r w:rsidR="00D13BE1" w:rsidRPr="00D34003">
        <w:rPr>
          <w:b w:val="0"/>
          <w:sz w:val="24"/>
        </w:rPr>
        <w:t xml:space="preserve">, where half the study population within the 75 year age bracket </w:t>
      </w:r>
      <w:r w:rsidR="00E37B01" w:rsidRPr="00D34003">
        <w:rPr>
          <w:b w:val="0"/>
          <w:sz w:val="24"/>
        </w:rPr>
        <w:t>died</w:t>
      </w:r>
      <w:r w:rsidR="00D13BE1" w:rsidRPr="00D34003">
        <w:rPr>
          <w:b w:val="0"/>
          <w:sz w:val="24"/>
        </w:rPr>
        <w:t xml:space="preserve"> within 2 years</w:t>
      </w:r>
      <w:r w:rsidR="00EC5D0E" w:rsidRPr="00D34003">
        <w:rPr>
          <w:b w:val="0"/>
          <w:sz w:val="24"/>
        </w:rPr>
        <w:t xml:space="preserve">. The PBAC noted that </w:t>
      </w:r>
      <w:r w:rsidR="009D7856" w:rsidRPr="00D34003">
        <w:rPr>
          <w:b w:val="0"/>
          <w:sz w:val="24"/>
        </w:rPr>
        <w:t>the mean age in the Australian setting is 75 years (higher than the trial setting) therefore</w:t>
      </w:r>
      <w:r w:rsidR="00EC5D0E" w:rsidRPr="00D34003">
        <w:rPr>
          <w:b w:val="0"/>
          <w:sz w:val="24"/>
        </w:rPr>
        <w:t xml:space="preserve"> the </w:t>
      </w:r>
      <w:r w:rsidR="009D7856" w:rsidRPr="00D34003">
        <w:rPr>
          <w:b w:val="0"/>
          <w:sz w:val="24"/>
        </w:rPr>
        <w:t xml:space="preserve">Norwegian </w:t>
      </w:r>
      <w:r w:rsidR="00EC5D0E" w:rsidRPr="00D34003">
        <w:rPr>
          <w:b w:val="0"/>
          <w:sz w:val="24"/>
        </w:rPr>
        <w:t xml:space="preserve">data </w:t>
      </w:r>
      <w:r w:rsidR="009D7856" w:rsidRPr="00D34003">
        <w:rPr>
          <w:b w:val="0"/>
          <w:sz w:val="24"/>
        </w:rPr>
        <w:t xml:space="preserve">supported the </w:t>
      </w:r>
      <w:r w:rsidR="00CC66AA" w:rsidRPr="00D34003">
        <w:rPr>
          <w:b w:val="0"/>
          <w:sz w:val="24"/>
        </w:rPr>
        <w:t>Committee’s</w:t>
      </w:r>
      <w:r w:rsidR="00EC5D0E" w:rsidRPr="00D34003">
        <w:rPr>
          <w:b w:val="0"/>
          <w:sz w:val="24"/>
        </w:rPr>
        <w:t xml:space="preserve"> preference for a 5</w:t>
      </w:r>
      <w:r w:rsidR="007977D7" w:rsidRPr="00D34003">
        <w:rPr>
          <w:b w:val="0"/>
          <w:sz w:val="24"/>
        </w:rPr>
        <w:t xml:space="preserve"> year time horizon </w:t>
      </w:r>
      <w:r w:rsidR="009D7856" w:rsidRPr="00D34003">
        <w:rPr>
          <w:b w:val="0"/>
          <w:sz w:val="24"/>
        </w:rPr>
        <w:t xml:space="preserve">given the relatively low 5 year survival for these patients. </w:t>
      </w:r>
    </w:p>
    <w:p w:rsidR="0023262A" w:rsidRPr="00D34003" w:rsidRDefault="00DC2196" w:rsidP="00EC5694">
      <w:pPr>
        <w:pStyle w:val="PBACHeading1"/>
        <w:numPr>
          <w:ilvl w:val="1"/>
          <w:numId w:val="1"/>
        </w:numPr>
        <w:jc w:val="both"/>
        <w:rPr>
          <w:rFonts w:asciiTheme="minorHAnsi" w:hAnsiTheme="minorHAnsi"/>
          <w:b w:val="0"/>
          <w:sz w:val="24"/>
          <w:szCs w:val="24"/>
        </w:rPr>
      </w:pPr>
      <w:r w:rsidRPr="00D34003">
        <w:rPr>
          <w:rFonts w:asciiTheme="minorHAnsi" w:hAnsiTheme="minorHAnsi"/>
          <w:b w:val="0"/>
          <w:sz w:val="24"/>
          <w:szCs w:val="24"/>
        </w:rPr>
        <w:lastRenderedPageBreak/>
        <w:t xml:space="preserve">The ESC considered that given the </w:t>
      </w:r>
      <w:r w:rsidR="00FA5C37" w:rsidRPr="00D34003">
        <w:rPr>
          <w:rFonts w:asciiTheme="minorHAnsi" w:hAnsiTheme="minorHAnsi"/>
          <w:b w:val="0"/>
          <w:sz w:val="24"/>
          <w:szCs w:val="24"/>
        </w:rPr>
        <w:t xml:space="preserve">uncertainties regarding adjustment for treatment switching and the time horizon, additional sensitivity analyses would be informative. </w:t>
      </w:r>
      <w:r w:rsidR="00F60229" w:rsidRPr="00D34003">
        <w:rPr>
          <w:rFonts w:asciiTheme="minorHAnsi" w:hAnsiTheme="minorHAnsi"/>
          <w:b w:val="0"/>
          <w:sz w:val="24"/>
          <w:szCs w:val="24"/>
        </w:rPr>
        <w:t xml:space="preserve">Table </w:t>
      </w:r>
      <w:r w:rsidR="00B2118F" w:rsidRPr="00D34003">
        <w:rPr>
          <w:rFonts w:asciiTheme="minorHAnsi" w:hAnsiTheme="minorHAnsi"/>
          <w:b w:val="0"/>
          <w:sz w:val="24"/>
          <w:szCs w:val="24"/>
        </w:rPr>
        <w:t>15</w:t>
      </w:r>
      <w:r w:rsidR="00F60229" w:rsidRPr="00D34003">
        <w:rPr>
          <w:rFonts w:asciiTheme="minorHAnsi" w:hAnsiTheme="minorHAnsi"/>
          <w:b w:val="0"/>
          <w:sz w:val="24"/>
          <w:szCs w:val="24"/>
        </w:rPr>
        <w:t xml:space="preserve"> </w:t>
      </w:r>
      <w:r w:rsidR="00A37C48" w:rsidRPr="00D34003">
        <w:rPr>
          <w:rFonts w:asciiTheme="minorHAnsi" w:hAnsiTheme="minorHAnsi"/>
          <w:b w:val="0"/>
          <w:sz w:val="24"/>
          <w:szCs w:val="24"/>
        </w:rPr>
        <w:t>presents the resulting ICERs from</w:t>
      </w:r>
      <w:r w:rsidR="00F60229" w:rsidRPr="00D34003">
        <w:rPr>
          <w:rFonts w:asciiTheme="minorHAnsi" w:hAnsiTheme="minorHAnsi"/>
          <w:b w:val="0"/>
          <w:sz w:val="24"/>
          <w:szCs w:val="24"/>
        </w:rPr>
        <w:t xml:space="preserve"> additional </w:t>
      </w:r>
      <w:r w:rsidR="00F37678" w:rsidRPr="00D34003">
        <w:rPr>
          <w:rFonts w:asciiTheme="minorHAnsi" w:hAnsiTheme="minorHAnsi"/>
          <w:b w:val="0"/>
          <w:sz w:val="24"/>
          <w:szCs w:val="24"/>
        </w:rPr>
        <w:t>sensitivity</w:t>
      </w:r>
      <w:r w:rsidR="00F60229" w:rsidRPr="00D34003">
        <w:rPr>
          <w:rFonts w:asciiTheme="minorHAnsi" w:hAnsiTheme="minorHAnsi"/>
          <w:b w:val="0"/>
          <w:sz w:val="24"/>
          <w:szCs w:val="24"/>
        </w:rPr>
        <w:t xml:space="preserve"> analyses</w:t>
      </w:r>
      <w:r w:rsidR="00DC08F5" w:rsidRPr="00D34003">
        <w:rPr>
          <w:rFonts w:asciiTheme="minorHAnsi" w:hAnsiTheme="minorHAnsi"/>
          <w:b w:val="0"/>
          <w:sz w:val="24"/>
          <w:szCs w:val="24"/>
        </w:rPr>
        <w:t xml:space="preserve"> that were carried out</w:t>
      </w:r>
      <w:r w:rsidR="00F60229" w:rsidRPr="00D34003">
        <w:rPr>
          <w:rFonts w:asciiTheme="minorHAnsi" w:hAnsiTheme="minorHAnsi"/>
          <w:b w:val="0"/>
          <w:sz w:val="24"/>
          <w:szCs w:val="24"/>
        </w:rPr>
        <w:t xml:space="preserve"> with and without adjustments for crossover, different time horizons and convergence </w:t>
      </w:r>
      <w:r w:rsidR="00EC5694" w:rsidRPr="00D34003">
        <w:rPr>
          <w:rFonts w:asciiTheme="minorHAnsi" w:hAnsiTheme="minorHAnsi"/>
          <w:b w:val="0"/>
          <w:sz w:val="24"/>
          <w:szCs w:val="24"/>
        </w:rPr>
        <w:t>assumptions</w:t>
      </w:r>
      <w:r w:rsidR="00EB2483" w:rsidRPr="00D34003">
        <w:rPr>
          <w:rFonts w:asciiTheme="minorHAnsi" w:hAnsiTheme="minorHAnsi"/>
          <w:b w:val="0"/>
          <w:sz w:val="24"/>
          <w:szCs w:val="24"/>
        </w:rPr>
        <w:t>,</w:t>
      </w:r>
      <w:r w:rsidR="00CB25B5" w:rsidRPr="00D34003">
        <w:rPr>
          <w:rFonts w:asciiTheme="minorHAnsi" w:hAnsiTheme="minorHAnsi"/>
          <w:b w:val="0"/>
          <w:sz w:val="24"/>
          <w:szCs w:val="24"/>
        </w:rPr>
        <w:t xml:space="preserve"> and </w:t>
      </w:r>
      <w:r w:rsidR="00B2118F" w:rsidRPr="00D34003">
        <w:rPr>
          <w:rFonts w:asciiTheme="minorHAnsi" w:hAnsiTheme="minorHAnsi"/>
          <w:b w:val="0"/>
          <w:sz w:val="24"/>
          <w:szCs w:val="24"/>
        </w:rPr>
        <w:t xml:space="preserve">with </w:t>
      </w:r>
      <w:r w:rsidR="00CB25B5" w:rsidRPr="00D34003">
        <w:rPr>
          <w:rFonts w:asciiTheme="minorHAnsi" w:hAnsiTheme="minorHAnsi"/>
          <w:b w:val="0"/>
          <w:sz w:val="24"/>
          <w:szCs w:val="24"/>
        </w:rPr>
        <w:t>the revised price</w:t>
      </w:r>
      <w:r w:rsidR="00A619D3" w:rsidRPr="00D34003">
        <w:rPr>
          <w:rFonts w:asciiTheme="minorHAnsi" w:hAnsiTheme="minorHAnsi"/>
          <w:b w:val="0"/>
          <w:sz w:val="24"/>
          <w:szCs w:val="24"/>
        </w:rPr>
        <w:t xml:space="preserve"> from the </w:t>
      </w:r>
      <w:proofErr w:type="gramStart"/>
      <w:r w:rsidR="00A619D3" w:rsidRPr="00D34003">
        <w:rPr>
          <w:rFonts w:asciiTheme="minorHAnsi" w:hAnsiTheme="minorHAnsi"/>
          <w:b w:val="0"/>
          <w:sz w:val="24"/>
          <w:szCs w:val="24"/>
        </w:rPr>
        <w:t xml:space="preserve">PSCR </w:t>
      </w:r>
      <w:r w:rsidR="00F60229" w:rsidRPr="00D34003">
        <w:rPr>
          <w:rFonts w:asciiTheme="minorHAnsi" w:hAnsiTheme="minorHAnsi"/>
          <w:b w:val="0"/>
          <w:sz w:val="24"/>
          <w:szCs w:val="24"/>
        </w:rPr>
        <w:t>.</w:t>
      </w:r>
      <w:proofErr w:type="gramEnd"/>
      <w:r w:rsidR="00CB25B5" w:rsidRPr="00D34003">
        <w:rPr>
          <w:rFonts w:asciiTheme="minorHAnsi" w:hAnsiTheme="minorHAnsi"/>
          <w:b w:val="0"/>
          <w:sz w:val="24"/>
          <w:szCs w:val="24"/>
        </w:rPr>
        <w:t xml:space="preserve"> </w:t>
      </w:r>
    </w:p>
    <w:p w:rsidR="00122E30" w:rsidRPr="00D34003" w:rsidRDefault="00122E30">
      <w:pPr>
        <w:rPr>
          <w:rFonts w:ascii="Arial Narrow" w:hAnsi="Arial Narrow"/>
          <w:b/>
          <w:i/>
          <w:sz w:val="20"/>
          <w:szCs w:val="20"/>
          <w:highlight w:val="yellow"/>
        </w:rPr>
      </w:pPr>
    </w:p>
    <w:p w:rsidR="00CF6AD1" w:rsidRPr="00D34003" w:rsidRDefault="00122E30" w:rsidP="00576883">
      <w:pPr>
        <w:keepNext/>
        <w:keepLines/>
        <w:rPr>
          <w:rFonts w:ascii="Arial Narrow" w:hAnsi="Arial Narrow"/>
          <w:b/>
          <w:sz w:val="20"/>
          <w:szCs w:val="20"/>
          <w:highlight w:val="yellow"/>
        </w:rPr>
      </w:pPr>
      <w:r w:rsidRPr="00D34003">
        <w:rPr>
          <w:rFonts w:ascii="Arial Narrow" w:hAnsi="Arial Narrow"/>
          <w:b/>
          <w:sz w:val="20"/>
          <w:szCs w:val="20"/>
        </w:rPr>
        <w:t>Table 15: Additional sensitivity analyses</w:t>
      </w:r>
    </w:p>
    <w:tbl>
      <w:tblPr>
        <w:tblW w:w="9464" w:type="dxa"/>
        <w:tblCellMar>
          <w:left w:w="0" w:type="dxa"/>
          <w:right w:w="0" w:type="dxa"/>
        </w:tblCellMar>
        <w:tblLook w:val="04A0" w:firstRow="1" w:lastRow="0" w:firstColumn="1" w:lastColumn="0" w:noHBand="0" w:noVBand="1"/>
      </w:tblPr>
      <w:tblGrid>
        <w:gridCol w:w="534"/>
        <w:gridCol w:w="1984"/>
        <w:gridCol w:w="1715"/>
        <w:gridCol w:w="1768"/>
        <w:gridCol w:w="1731"/>
        <w:gridCol w:w="1732"/>
      </w:tblGrid>
      <w:tr w:rsidR="008F590F" w:rsidRPr="00D34003" w:rsidTr="00EB3077">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590F" w:rsidRPr="00D34003" w:rsidRDefault="008F590F" w:rsidP="00576883">
            <w:pPr>
              <w:pStyle w:val="PBACHeading1"/>
              <w:keepNext/>
              <w:keepLines/>
              <w:numPr>
                <w:ilvl w:val="0"/>
                <w:numId w:val="0"/>
              </w:num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b/>
                <w:bCs/>
                <w:sz w:val="20"/>
                <w:szCs w:val="20"/>
              </w:rPr>
            </w:pPr>
            <w:r w:rsidRPr="00D34003">
              <w:rPr>
                <w:rFonts w:ascii="Arial Narrow" w:hAnsi="Arial Narrow"/>
                <w:b/>
                <w:bCs/>
                <w:sz w:val="20"/>
                <w:szCs w:val="20"/>
                <w:lang w:eastAsia="en-AU"/>
              </w:rPr>
              <w:t>Adjustment</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b/>
                <w:bCs/>
                <w:sz w:val="20"/>
                <w:szCs w:val="20"/>
              </w:rPr>
            </w:pPr>
            <w:r w:rsidRPr="00D34003">
              <w:rPr>
                <w:rFonts w:ascii="Arial Narrow" w:hAnsi="Arial Narrow"/>
                <w:b/>
                <w:bCs/>
                <w:sz w:val="20"/>
                <w:szCs w:val="20"/>
                <w:lang w:eastAsia="en-AU"/>
              </w:rPr>
              <w:t>Horizon</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b/>
                <w:bCs/>
                <w:sz w:val="20"/>
                <w:szCs w:val="20"/>
              </w:rPr>
            </w:pPr>
            <w:r w:rsidRPr="00D34003">
              <w:rPr>
                <w:rFonts w:ascii="Arial Narrow" w:hAnsi="Arial Narrow"/>
                <w:b/>
                <w:bCs/>
                <w:sz w:val="20"/>
                <w:szCs w:val="20"/>
                <w:lang w:eastAsia="en-AU"/>
              </w:rPr>
              <w:t>Convergence</w:t>
            </w:r>
          </w:p>
        </w:tc>
        <w:tc>
          <w:tcPr>
            <w:tcW w:w="1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b/>
                <w:bCs/>
                <w:sz w:val="20"/>
                <w:szCs w:val="20"/>
              </w:rPr>
            </w:pPr>
            <w:r w:rsidRPr="00D34003">
              <w:rPr>
                <w:rFonts w:ascii="Arial Narrow" w:hAnsi="Arial Narrow"/>
                <w:b/>
                <w:bCs/>
                <w:sz w:val="20"/>
                <w:szCs w:val="20"/>
                <w:lang w:eastAsia="en-AU"/>
              </w:rPr>
              <w:t>Original price ($</w:t>
            </w:r>
            <w:r w:rsidR="00504C28">
              <w:rPr>
                <w:rFonts w:ascii="Arial Narrow" w:hAnsi="Arial Narrow"/>
                <w:b/>
                <w:bCs/>
                <w:noProof/>
                <w:color w:val="000000"/>
                <w:sz w:val="20"/>
                <w:szCs w:val="20"/>
                <w:highlight w:val="black"/>
                <w:lang w:eastAsia="en-AU"/>
              </w:rPr>
              <w:t>'''''''''''</w:t>
            </w:r>
            <w:r w:rsidRPr="00D34003">
              <w:rPr>
                <w:rFonts w:ascii="Arial Narrow" w:hAnsi="Arial Narrow"/>
                <w:b/>
                <w:bCs/>
                <w:sz w:val="20"/>
                <w:szCs w:val="20"/>
                <w:lang w:eastAsia="en-AU"/>
              </w:rPr>
              <w:t>/vial)</w:t>
            </w:r>
          </w:p>
          <w:p w:rsidR="008F590F" w:rsidRPr="00D34003" w:rsidRDefault="008F590F" w:rsidP="00576883">
            <w:pPr>
              <w:keepNext/>
              <w:keepLines/>
              <w:spacing w:before="60" w:after="60"/>
              <w:rPr>
                <w:rFonts w:ascii="Arial Narrow" w:hAnsi="Arial Narrow"/>
                <w:b/>
                <w:bCs/>
                <w:sz w:val="20"/>
                <w:szCs w:val="20"/>
              </w:rPr>
            </w:pPr>
            <w:r w:rsidRPr="00D34003">
              <w:rPr>
                <w:rFonts w:ascii="Arial Narrow" w:hAnsi="Arial Narrow"/>
                <w:b/>
                <w:bCs/>
                <w:sz w:val="20"/>
                <w:szCs w:val="20"/>
                <w:lang w:eastAsia="en-AU"/>
              </w:rPr>
              <w:t>ICER</w:t>
            </w:r>
          </w:p>
        </w:tc>
        <w:tc>
          <w:tcPr>
            <w:tcW w:w="1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b/>
                <w:bCs/>
                <w:sz w:val="20"/>
                <w:szCs w:val="20"/>
              </w:rPr>
            </w:pPr>
            <w:r w:rsidRPr="00D34003">
              <w:rPr>
                <w:rFonts w:ascii="Arial Narrow" w:hAnsi="Arial Narrow"/>
                <w:b/>
                <w:bCs/>
                <w:sz w:val="20"/>
                <w:szCs w:val="20"/>
                <w:lang w:eastAsia="en-AU"/>
              </w:rPr>
              <w:t>PSCR revised price ($</w:t>
            </w:r>
            <w:r w:rsidR="00504C28">
              <w:rPr>
                <w:rFonts w:ascii="Arial Narrow" w:hAnsi="Arial Narrow"/>
                <w:b/>
                <w:bCs/>
                <w:noProof/>
                <w:color w:val="000000"/>
                <w:sz w:val="20"/>
                <w:szCs w:val="20"/>
                <w:highlight w:val="black"/>
                <w:lang w:eastAsia="en-AU"/>
              </w:rPr>
              <w:t>''''''''''''</w:t>
            </w:r>
            <w:r w:rsidRPr="00D34003">
              <w:rPr>
                <w:rFonts w:ascii="Arial Narrow" w:hAnsi="Arial Narrow"/>
                <w:b/>
                <w:bCs/>
                <w:sz w:val="20"/>
                <w:szCs w:val="20"/>
                <w:lang w:eastAsia="en-AU"/>
              </w:rPr>
              <w:t>/vial) ICER</w:t>
            </w:r>
            <w:r w:rsidR="00DC08F5" w:rsidRPr="00D34003">
              <w:rPr>
                <w:rFonts w:ascii="Arial Narrow" w:hAnsi="Arial Narrow"/>
                <w:b/>
                <w:bCs/>
                <w:sz w:val="20"/>
                <w:szCs w:val="20"/>
                <w:vertAlign w:val="superscript"/>
                <w:lang w:eastAsia="en-AU"/>
              </w:rPr>
              <w:t>#</w:t>
            </w:r>
          </w:p>
        </w:tc>
      </w:tr>
      <w:tr w:rsidR="008F590F" w:rsidRPr="00D34003" w:rsidTr="00EB3077">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None</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5 years</w:t>
            </w:r>
          </w:p>
        </w:tc>
        <w:tc>
          <w:tcPr>
            <w:tcW w:w="1768"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From 4 years</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w:t>
            </w:r>
            <w:r w:rsidR="00504C28">
              <w:rPr>
                <w:rFonts w:ascii="Arial Narrow" w:hAnsi="Arial Narrow"/>
                <w:noProof/>
                <w:color w:val="000000"/>
                <w:sz w:val="20"/>
                <w:szCs w:val="20"/>
                <w:highlight w:val="black"/>
                <w:lang w:eastAsia="en-AU"/>
              </w:rPr>
              <w:t>'''''''''''''''</w:t>
            </w:r>
            <w:r w:rsidRPr="00D34003">
              <w:rPr>
                <w:rFonts w:ascii="Arial Narrow" w:hAnsi="Arial Narrow"/>
                <w:sz w:val="20"/>
                <w:szCs w:val="20"/>
                <w:lang w:eastAsia="en-AU"/>
              </w:rPr>
              <w:t>*</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r>
      <w:tr w:rsidR="008F590F" w:rsidRPr="00D34003" w:rsidTr="00EB3077">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None</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5 years</w:t>
            </w:r>
          </w:p>
        </w:tc>
        <w:tc>
          <w:tcPr>
            <w:tcW w:w="1768"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None</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w:t>
            </w:r>
            <w:r w:rsidR="00504C28">
              <w:rPr>
                <w:rFonts w:ascii="Arial Narrow" w:hAnsi="Arial Narrow"/>
                <w:noProof/>
                <w:color w:val="000000"/>
                <w:sz w:val="20"/>
                <w:szCs w:val="20"/>
                <w:highlight w:val="black"/>
                <w:lang w:eastAsia="en-AU"/>
              </w:rPr>
              <w:t>'''''''''''''''</w:t>
            </w:r>
            <w:r w:rsidRPr="00D34003">
              <w:rPr>
                <w:rFonts w:ascii="Arial Narrow" w:hAnsi="Arial Narrow"/>
                <w:sz w:val="20"/>
                <w:szCs w:val="20"/>
                <w:lang w:eastAsia="en-AU"/>
              </w:rPr>
              <w:t xml:space="preserve">* </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r>
      <w:tr w:rsidR="008F590F" w:rsidRPr="00D34003" w:rsidTr="00EB3077">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2-stage adjustment</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5 years</w:t>
            </w:r>
          </w:p>
        </w:tc>
        <w:tc>
          <w:tcPr>
            <w:tcW w:w="1768"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From 4 years</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w:t>
            </w:r>
            <w:r w:rsidR="00504C28">
              <w:rPr>
                <w:rFonts w:ascii="Arial Narrow" w:hAnsi="Arial Narrow"/>
                <w:noProof/>
                <w:color w:val="000000"/>
                <w:sz w:val="20"/>
                <w:szCs w:val="20"/>
                <w:highlight w:val="black"/>
                <w:lang w:eastAsia="en-AU"/>
              </w:rPr>
              <w:t>''''''''''''''''''</w:t>
            </w:r>
            <w:r w:rsidRPr="00D34003">
              <w:rPr>
                <w:rFonts w:ascii="Arial Narrow" w:hAnsi="Arial Narrow"/>
                <w:sz w:val="20"/>
                <w:szCs w:val="20"/>
                <w:lang w:eastAsia="en-AU"/>
              </w:rPr>
              <w:t>*</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r>
      <w:tr w:rsidR="008F590F" w:rsidRPr="00D34003" w:rsidTr="00EB3077">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4</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2-stage adjustment</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5 years</w:t>
            </w:r>
          </w:p>
        </w:tc>
        <w:tc>
          <w:tcPr>
            <w:tcW w:w="1768"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lang w:eastAsia="en-AU"/>
              </w:rPr>
              <w:t>None</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8F590F" w:rsidRPr="00D34003" w:rsidRDefault="008F590F"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w:t>
            </w:r>
            <w:r w:rsidR="00504C28">
              <w:rPr>
                <w:rFonts w:ascii="Arial Narrow" w:hAnsi="Arial Narrow"/>
                <w:noProof/>
                <w:color w:val="000000"/>
                <w:sz w:val="20"/>
                <w:szCs w:val="20"/>
                <w:highlight w:val="black"/>
                <w:lang w:eastAsia="en-AU"/>
              </w:rPr>
              <w:t>''''''''''''''''</w:t>
            </w:r>
            <w:r w:rsidRPr="00D34003">
              <w:rPr>
                <w:rFonts w:ascii="Arial Narrow" w:hAnsi="Arial Narrow"/>
                <w:sz w:val="20"/>
                <w:szCs w:val="20"/>
                <w:lang w:eastAsia="en-AU"/>
              </w:rPr>
              <w:t>**</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rsidR="008F590F" w:rsidRPr="00D34003" w:rsidRDefault="008F590F" w:rsidP="00576883">
            <w:pPr>
              <w:keepNext/>
              <w:keepLines/>
              <w:spacing w:before="60" w:after="60"/>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r>
      <w:tr w:rsidR="00DB6D99" w:rsidRPr="00D34003" w:rsidTr="00EB3077">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6D99" w:rsidRPr="00D34003" w:rsidRDefault="00DB6D99"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5</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DB6D99" w:rsidRPr="00D34003" w:rsidRDefault="00DB6D99"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None</w:t>
            </w:r>
          </w:p>
        </w:tc>
        <w:tc>
          <w:tcPr>
            <w:tcW w:w="1715" w:type="dxa"/>
            <w:tcBorders>
              <w:top w:val="nil"/>
              <w:left w:val="nil"/>
              <w:bottom w:val="single" w:sz="8" w:space="0" w:color="auto"/>
              <w:right w:val="single" w:sz="8" w:space="0" w:color="auto"/>
            </w:tcBorders>
            <w:tcMar>
              <w:top w:w="0" w:type="dxa"/>
              <w:left w:w="108" w:type="dxa"/>
              <w:bottom w:w="0" w:type="dxa"/>
              <w:right w:w="108" w:type="dxa"/>
            </w:tcMar>
          </w:tcPr>
          <w:p w:rsidR="00DB6D99" w:rsidRPr="00D34003" w:rsidRDefault="00DB6D99"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6.5 years</w:t>
            </w:r>
          </w:p>
        </w:tc>
        <w:tc>
          <w:tcPr>
            <w:tcW w:w="1768" w:type="dxa"/>
            <w:tcBorders>
              <w:top w:val="nil"/>
              <w:left w:val="nil"/>
              <w:bottom w:val="single" w:sz="8" w:space="0" w:color="auto"/>
              <w:right w:val="single" w:sz="8" w:space="0" w:color="auto"/>
            </w:tcBorders>
            <w:tcMar>
              <w:top w:w="0" w:type="dxa"/>
              <w:left w:w="108" w:type="dxa"/>
              <w:bottom w:w="0" w:type="dxa"/>
              <w:right w:w="108" w:type="dxa"/>
            </w:tcMar>
          </w:tcPr>
          <w:p w:rsidR="00DB6D99" w:rsidRPr="00D34003" w:rsidRDefault="00DB6D99" w:rsidP="00576883">
            <w:pPr>
              <w:keepNext/>
              <w:keepLines/>
              <w:spacing w:before="60" w:after="60"/>
              <w:rPr>
                <w:rFonts w:ascii="Arial Narrow" w:hAnsi="Arial Narrow"/>
                <w:sz w:val="20"/>
                <w:szCs w:val="20"/>
                <w:lang w:eastAsia="en-AU"/>
              </w:rPr>
            </w:pPr>
            <w:r w:rsidRPr="00D34003">
              <w:rPr>
                <w:rFonts w:ascii="Arial Narrow" w:hAnsi="Arial Narrow"/>
                <w:sz w:val="20"/>
                <w:szCs w:val="20"/>
                <w:lang w:eastAsia="en-AU"/>
              </w:rPr>
              <w:t>From 5 years</w:t>
            </w:r>
          </w:p>
        </w:tc>
        <w:tc>
          <w:tcPr>
            <w:tcW w:w="1731" w:type="dxa"/>
            <w:tcBorders>
              <w:top w:val="nil"/>
              <w:left w:val="nil"/>
              <w:bottom w:val="single" w:sz="8" w:space="0" w:color="auto"/>
              <w:right w:val="single" w:sz="8" w:space="0" w:color="auto"/>
            </w:tcBorders>
            <w:tcMar>
              <w:top w:w="0" w:type="dxa"/>
              <w:left w:w="108" w:type="dxa"/>
              <w:bottom w:w="0" w:type="dxa"/>
              <w:right w:w="108" w:type="dxa"/>
            </w:tcMar>
          </w:tcPr>
          <w:p w:rsidR="00DB6D99" w:rsidRPr="00D34003" w:rsidRDefault="00DB6D99" w:rsidP="00576883">
            <w:pPr>
              <w:keepNext/>
              <w:keepLines/>
              <w:spacing w:before="60" w:after="60"/>
              <w:rPr>
                <w:rFonts w:ascii="Arial Narrow" w:hAnsi="Arial Narrow"/>
                <w:sz w:val="20"/>
                <w:szCs w:val="20"/>
              </w:rPr>
            </w:pPr>
            <w:r w:rsidRPr="00D34003">
              <w:rPr>
                <w:rFonts w:ascii="Arial Narrow" w:hAnsi="Arial Narrow"/>
                <w:sz w:val="20"/>
                <w:szCs w:val="20"/>
              </w:rPr>
              <w:t>$</w:t>
            </w:r>
            <w:r w:rsidR="00504C28">
              <w:rPr>
                <w:rFonts w:ascii="Arial Narrow" w:hAnsi="Arial Narrow"/>
                <w:noProof/>
                <w:color w:val="000000"/>
                <w:sz w:val="20"/>
                <w:szCs w:val="20"/>
                <w:highlight w:val="black"/>
              </w:rPr>
              <w:t>'''''''''''''''''</w:t>
            </w:r>
            <w:r w:rsidRPr="00D34003">
              <w:rPr>
                <w:rFonts w:ascii="Arial Narrow" w:hAnsi="Arial Narrow"/>
                <w:sz w:val="20"/>
                <w:szCs w:val="20"/>
                <w:vertAlign w:val="superscript"/>
              </w:rPr>
              <w:t>#</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rsidR="00DB6D99" w:rsidRPr="00D34003" w:rsidRDefault="00DB6D99" w:rsidP="00576883">
            <w:pPr>
              <w:keepNext/>
              <w:keepLines/>
              <w:spacing w:before="60" w:after="60"/>
              <w:rPr>
                <w:rFonts w:ascii="Arial Narrow" w:hAnsi="Arial Narrow"/>
                <w:sz w:val="20"/>
                <w:szCs w:val="20"/>
                <w:lang w:eastAsia="en-AU"/>
              </w:rPr>
            </w:pPr>
            <w:r w:rsidRPr="00D34003">
              <w:rPr>
                <w:rFonts w:ascii="Arial Narrow" w:hAnsi="Arial Narrow"/>
                <w:sz w:val="20"/>
                <w:szCs w:val="20"/>
              </w:rPr>
              <w:t>$</w:t>
            </w:r>
            <w:r w:rsidR="00504C28">
              <w:rPr>
                <w:rFonts w:ascii="Arial Narrow" w:hAnsi="Arial Narrow"/>
                <w:noProof/>
                <w:color w:val="000000"/>
                <w:sz w:val="20"/>
                <w:szCs w:val="20"/>
                <w:highlight w:val="black"/>
              </w:rPr>
              <w:t>'''''''''''''''</w:t>
            </w:r>
          </w:p>
        </w:tc>
      </w:tr>
      <w:tr w:rsidR="00DB6D99" w:rsidRPr="00D34003" w:rsidTr="00EB3077">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6D99" w:rsidRPr="00D34003" w:rsidRDefault="00DB6D99" w:rsidP="00576883">
            <w:pPr>
              <w:keepNext/>
              <w:keepLines/>
              <w:spacing w:before="60" w:after="60"/>
              <w:rPr>
                <w:rFonts w:ascii="Arial Narrow" w:hAnsi="Arial Narrow"/>
                <w:sz w:val="20"/>
                <w:szCs w:val="20"/>
              </w:rPr>
            </w:pPr>
            <w:r w:rsidRPr="00D34003">
              <w:rPr>
                <w:rFonts w:ascii="Arial Narrow" w:hAnsi="Arial Narrow"/>
                <w:sz w:val="20"/>
                <w:szCs w:val="20"/>
                <w:lang w:eastAsia="en-AU"/>
              </w:rPr>
              <w:t>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B6D99" w:rsidRPr="00D34003" w:rsidRDefault="00DB6D99" w:rsidP="00576883">
            <w:pPr>
              <w:keepNext/>
              <w:keepLines/>
              <w:spacing w:before="60" w:after="60"/>
              <w:rPr>
                <w:rFonts w:ascii="Arial Narrow" w:hAnsi="Arial Narrow"/>
                <w:sz w:val="20"/>
                <w:szCs w:val="20"/>
              </w:rPr>
            </w:pPr>
            <w:r w:rsidRPr="00D34003">
              <w:rPr>
                <w:rFonts w:ascii="Arial Narrow" w:hAnsi="Arial Narrow"/>
                <w:sz w:val="20"/>
                <w:szCs w:val="20"/>
                <w:lang w:eastAsia="en-AU"/>
              </w:rPr>
              <w:t>2-stage adjustment</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DB6D99" w:rsidRPr="00D34003" w:rsidRDefault="00DB6D99" w:rsidP="00576883">
            <w:pPr>
              <w:keepNext/>
              <w:keepLines/>
              <w:spacing w:before="60" w:after="60"/>
              <w:rPr>
                <w:rFonts w:ascii="Arial Narrow" w:hAnsi="Arial Narrow"/>
                <w:sz w:val="20"/>
                <w:szCs w:val="20"/>
              </w:rPr>
            </w:pPr>
            <w:r w:rsidRPr="00D34003">
              <w:rPr>
                <w:rFonts w:ascii="Arial Narrow" w:hAnsi="Arial Narrow"/>
                <w:sz w:val="20"/>
                <w:szCs w:val="20"/>
                <w:lang w:eastAsia="en-AU"/>
              </w:rPr>
              <w:t>6.5 years</w:t>
            </w:r>
          </w:p>
        </w:tc>
        <w:tc>
          <w:tcPr>
            <w:tcW w:w="1768" w:type="dxa"/>
            <w:tcBorders>
              <w:top w:val="nil"/>
              <w:left w:val="nil"/>
              <w:bottom w:val="single" w:sz="8" w:space="0" w:color="auto"/>
              <w:right w:val="single" w:sz="8" w:space="0" w:color="auto"/>
            </w:tcBorders>
            <w:tcMar>
              <w:top w:w="0" w:type="dxa"/>
              <w:left w:w="108" w:type="dxa"/>
              <w:bottom w:w="0" w:type="dxa"/>
              <w:right w:w="108" w:type="dxa"/>
            </w:tcMar>
            <w:hideMark/>
          </w:tcPr>
          <w:p w:rsidR="00DB6D99" w:rsidRPr="00D34003" w:rsidRDefault="00DB6D99" w:rsidP="00576883">
            <w:pPr>
              <w:keepNext/>
              <w:keepLines/>
              <w:spacing w:before="60" w:after="60"/>
              <w:rPr>
                <w:rFonts w:ascii="Arial Narrow" w:hAnsi="Arial Narrow"/>
                <w:sz w:val="20"/>
                <w:szCs w:val="20"/>
              </w:rPr>
            </w:pPr>
            <w:r w:rsidRPr="00D34003">
              <w:rPr>
                <w:rFonts w:ascii="Arial Narrow" w:hAnsi="Arial Narrow"/>
                <w:sz w:val="20"/>
                <w:szCs w:val="20"/>
                <w:lang w:eastAsia="en-AU"/>
              </w:rPr>
              <w:t>From 5 years</w:t>
            </w:r>
          </w:p>
        </w:tc>
        <w:tc>
          <w:tcPr>
            <w:tcW w:w="1731" w:type="dxa"/>
            <w:tcBorders>
              <w:top w:val="nil"/>
              <w:left w:val="nil"/>
              <w:bottom w:val="single" w:sz="8" w:space="0" w:color="auto"/>
              <w:right w:val="single" w:sz="8" w:space="0" w:color="auto"/>
            </w:tcBorders>
            <w:tcMar>
              <w:top w:w="0" w:type="dxa"/>
              <w:left w:w="108" w:type="dxa"/>
              <w:bottom w:w="0" w:type="dxa"/>
              <w:right w:w="108" w:type="dxa"/>
            </w:tcMar>
          </w:tcPr>
          <w:p w:rsidR="00DB6D99" w:rsidRPr="00D34003" w:rsidRDefault="00DB6D99" w:rsidP="00576883">
            <w:pPr>
              <w:keepNext/>
              <w:keepLines/>
              <w:spacing w:before="60" w:after="60"/>
              <w:rPr>
                <w:rFonts w:ascii="Arial Narrow" w:hAnsi="Arial Narrow"/>
                <w:sz w:val="20"/>
                <w:szCs w:val="20"/>
                <w:vertAlign w:val="superscript"/>
              </w:rPr>
            </w:pPr>
            <w:r w:rsidRPr="00D34003">
              <w:rPr>
                <w:rFonts w:ascii="Arial Narrow" w:hAnsi="Arial Narrow"/>
                <w:sz w:val="20"/>
                <w:szCs w:val="20"/>
              </w:rPr>
              <w:t>$</w:t>
            </w:r>
            <w:r w:rsidR="00504C28">
              <w:rPr>
                <w:rFonts w:ascii="Arial Narrow" w:hAnsi="Arial Narrow"/>
                <w:noProof/>
                <w:color w:val="000000"/>
                <w:sz w:val="20"/>
                <w:szCs w:val="20"/>
                <w:highlight w:val="black"/>
              </w:rPr>
              <w:t>''''''''''''''''''</w:t>
            </w:r>
            <w:r w:rsidRPr="00D34003">
              <w:rPr>
                <w:rFonts w:ascii="Arial Narrow" w:hAnsi="Arial Narrow"/>
                <w:sz w:val="20"/>
                <w:szCs w:val="20"/>
                <w:vertAlign w:val="superscript"/>
              </w:rPr>
              <w:t>#</w:t>
            </w:r>
          </w:p>
        </w:tc>
        <w:tc>
          <w:tcPr>
            <w:tcW w:w="1732" w:type="dxa"/>
            <w:tcBorders>
              <w:top w:val="nil"/>
              <w:left w:val="nil"/>
              <w:bottom w:val="single" w:sz="8" w:space="0" w:color="auto"/>
              <w:right w:val="single" w:sz="8" w:space="0" w:color="auto"/>
            </w:tcBorders>
            <w:tcMar>
              <w:top w:w="0" w:type="dxa"/>
              <w:left w:w="108" w:type="dxa"/>
              <w:bottom w:w="0" w:type="dxa"/>
              <w:right w:w="108" w:type="dxa"/>
            </w:tcMar>
            <w:hideMark/>
          </w:tcPr>
          <w:p w:rsidR="00DB6D99" w:rsidRPr="00D34003" w:rsidRDefault="00DB6D99" w:rsidP="00576883">
            <w:pPr>
              <w:keepNext/>
              <w:keepLines/>
              <w:spacing w:before="60" w:after="60"/>
              <w:rPr>
                <w:rFonts w:ascii="Arial Narrow" w:hAnsi="Arial Narrow"/>
                <w:sz w:val="20"/>
                <w:szCs w:val="20"/>
              </w:rPr>
            </w:pPr>
            <w:r w:rsidRPr="00D34003">
              <w:rPr>
                <w:rFonts w:ascii="Arial Narrow" w:hAnsi="Arial Narrow"/>
                <w:sz w:val="20"/>
                <w:szCs w:val="20"/>
                <w:lang w:eastAsia="en-AU"/>
              </w:rPr>
              <w:t>$</w:t>
            </w:r>
            <w:r w:rsidR="00504C28">
              <w:rPr>
                <w:rFonts w:ascii="Arial Narrow" w:hAnsi="Arial Narrow"/>
                <w:noProof/>
                <w:color w:val="000000"/>
                <w:sz w:val="20"/>
                <w:szCs w:val="20"/>
                <w:highlight w:val="black"/>
                <w:lang w:eastAsia="en-AU"/>
              </w:rPr>
              <w:t>''''''''''''''''</w:t>
            </w:r>
            <w:r w:rsidRPr="00D34003">
              <w:rPr>
                <w:rFonts w:ascii="Arial Narrow" w:hAnsi="Arial Narrow"/>
                <w:sz w:val="20"/>
                <w:szCs w:val="20"/>
                <w:lang w:eastAsia="en-AU"/>
              </w:rPr>
              <w:t>***</w:t>
            </w:r>
          </w:p>
        </w:tc>
      </w:tr>
    </w:tbl>
    <w:p w:rsidR="008F590F" w:rsidRPr="00D34003" w:rsidRDefault="008F590F" w:rsidP="00576883">
      <w:pPr>
        <w:keepNext/>
        <w:keepLines/>
        <w:rPr>
          <w:rFonts w:ascii="Arial Narrow" w:hAnsi="Arial Narrow"/>
          <w:sz w:val="20"/>
          <w:szCs w:val="20"/>
        </w:rPr>
      </w:pPr>
      <w:r w:rsidRPr="00D34003">
        <w:rPr>
          <w:rFonts w:ascii="Arial Narrow" w:hAnsi="Arial Narrow"/>
          <w:sz w:val="20"/>
          <w:szCs w:val="20"/>
        </w:rPr>
        <w:t>Notes: *Provided as additional multivariate sensitivity analyses in commentary Table 3.9.2.</w:t>
      </w:r>
    </w:p>
    <w:p w:rsidR="008F590F" w:rsidRPr="00D34003" w:rsidRDefault="008F590F" w:rsidP="00576883">
      <w:pPr>
        <w:keepNext/>
        <w:keepLines/>
        <w:rPr>
          <w:rFonts w:ascii="Arial Narrow" w:hAnsi="Arial Narrow"/>
          <w:sz w:val="20"/>
          <w:szCs w:val="20"/>
        </w:rPr>
      </w:pPr>
      <w:r w:rsidRPr="00D34003">
        <w:rPr>
          <w:rFonts w:ascii="Arial Narrow" w:hAnsi="Arial Narrow"/>
          <w:sz w:val="20"/>
          <w:szCs w:val="20"/>
        </w:rPr>
        <w:t>**Provided in submission</w:t>
      </w:r>
    </w:p>
    <w:p w:rsidR="008F590F" w:rsidRPr="00D34003" w:rsidRDefault="008F590F" w:rsidP="00576883">
      <w:pPr>
        <w:keepNext/>
        <w:keepLines/>
        <w:rPr>
          <w:rFonts w:ascii="Arial Narrow" w:hAnsi="Arial Narrow"/>
          <w:sz w:val="20"/>
          <w:szCs w:val="20"/>
        </w:rPr>
      </w:pPr>
      <w:r w:rsidRPr="00D34003">
        <w:rPr>
          <w:rFonts w:ascii="Arial Narrow" w:hAnsi="Arial Narrow"/>
          <w:sz w:val="20"/>
          <w:szCs w:val="20"/>
        </w:rPr>
        <w:t>***PSCR reported this ICER as $</w:t>
      </w:r>
      <w:r w:rsidR="00504C28">
        <w:rPr>
          <w:rFonts w:ascii="Arial Narrow" w:hAnsi="Arial Narrow"/>
          <w:noProof/>
          <w:color w:val="000000"/>
          <w:sz w:val="20"/>
          <w:szCs w:val="20"/>
          <w:highlight w:val="black"/>
        </w:rPr>
        <w:t>''''''''''''''''</w:t>
      </w:r>
      <w:r w:rsidRPr="00D34003">
        <w:rPr>
          <w:rFonts w:ascii="Arial Narrow" w:hAnsi="Arial Narrow"/>
          <w:sz w:val="20"/>
          <w:szCs w:val="20"/>
        </w:rPr>
        <w:t xml:space="preserve">, recalculated by evaluators </w:t>
      </w:r>
    </w:p>
    <w:p w:rsidR="00DC08F5" w:rsidRDefault="00DC08F5" w:rsidP="00576883">
      <w:pPr>
        <w:keepNext/>
        <w:keepLines/>
        <w:rPr>
          <w:rFonts w:ascii="Arial Narrow" w:hAnsi="Arial Narrow"/>
          <w:sz w:val="20"/>
          <w:szCs w:val="20"/>
        </w:rPr>
      </w:pPr>
      <w:r w:rsidRPr="00D34003">
        <w:rPr>
          <w:rFonts w:ascii="Arial Narrow" w:hAnsi="Arial Narrow"/>
          <w:sz w:val="20"/>
          <w:szCs w:val="20"/>
          <w:vertAlign w:val="superscript"/>
        </w:rPr>
        <w:t>#</w:t>
      </w:r>
      <w:r w:rsidRPr="00D34003">
        <w:rPr>
          <w:rFonts w:ascii="Arial Narrow" w:hAnsi="Arial Narrow"/>
          <w:sz w:val="20"/>
          <w:szCs w:val="20"/>
        </w:rPr>
        <w:t xml:space="preserve">ICER recalculated by evaluators for </w:t>
      </w:r>
      <w:r w:rsidR="00770B61" w:rsidRPr="00D34003">
        <w:rPr>
          <w:rFonts w:ascii="Arial Narrow" w:hAnsi="Arial Narrow"/>
          <w:sz w:val="20"/>
          <w:szCs w:val="20"/>
        </w:rPr>
        <w:t xml:space="preserve">the </w:t>
      </w:r>
      <w:r w:rsidRPr="00D34003">
        <w:rPr>
          <w:rFonts w:ascii="Arial Narrow" w:hAnsi="Arial Narrow"/>
          <w:sz w:val="20"/>
          <w:szCs w:val="20"/>
        </w:rPr>
        <w:t>ESC consideration</w:t>
      </w:r>
    </w:p>
    <w:p w:rsidR="001E6E4D" w:rsidRDefault="001E6E4D" w:rsidP="00576883">
      <w:pPr>
        <w:keepNext/>
        <w:keepLines/>
        <w:rPr>
          <w:rFonts w:ascii="Arial Narrow" w:hAnsi="Arial Narrow"/>
          <w:sz w:val="20"/>
          <w:szCs w:val="20"/>
        </w:rPr>
      </w:pPr>
    </w:p>
    <w:p w:rsidR="008F590F" w:rsidRPr="00D34003" w:rsidRDefault="001E6E4D" w:rsidP="001E6E4D">
      <w:pPr>
        <w:widowControl/>
        <w:spacing w:after="120"/>
      </w:pPr>
      <w:r w:rsidRPr="001E6E4D">
        <w:rPr>
          <w:rFonts w:eastAsia="Calibri"/>
          <w:snapToGrid/>
          <w:color w:val="000000"/>
        </w:rPr>
        <w:t xml:space="preserve">The redacted table shows ICERs in the range </w:t>
      </w:r>
      <w:r>
        <w:rPr>
          <w:rFonts w:eastAsia="Calibri"/>
          <w:snapToGrid/>
          <w:color w:val="000000"/>
        </w:rPr>
        <w:t>of $45,000/QALY - $105,000/QALY</w:t>
      </w:r>
    </w:p>
    <w:p w:rsidR="00DC2196" w:rsidRPr="00D34003" w:rsidRDefault="00DC2196" w:rsidP="00F37362">
      <w:pPr>
        <w:pStyle w:val="PBACHeading1"/>
        <w:numPr>
          <w:ilvl w:val="1"/>
          <w:numId w:val="1"/>
        </w:numPr>
        <w:jc w:val="both"/>
      </w:pPr>
      <w:bookmarkStart w:id="26" w:name="_Toc511305033"/>
      <w:bookmarkStart w:id="27" w:name="_Toc514243675"/>
      <w:r w:rsidRPr="00D34003">
        <w:rPr>
          <w:rFonts w:asciiTheme="minorHAnsi" w:hAnsiTheme="minorHAnsi"/>
          <w:b w:val="0"/>
          <w:sz w:val="24"/>
          <w:szCs w:val="24"/>
        </w:rPr>
        <w:t xml:space="preserve">The PSCR stated that the sponsor would be willing to accept a 6.5-year time horizon with convergence from 5 years as the base-case and maintaining the ICER at </w:t>
      </w:r>
      <w:r w:rsidR="00F37362" w:rsidRPr="00F37362">
        <w:rPr>
          <w:rFonts w:asciiTheme="minorHAnsi" w:hAnsiTheme="minorHAnsi"/>
          <w:b w:val="0"/>
          <w:sz w:val="24"/>
          <w:szCs w:val="24"/>
        </w:rPr>
        <w:t>$45,000/QALY – $75,000/QALY</w:t>
      </w:r>
      <w:r w:rsidRPr="00D34003">
        <w:rPr>
          <w:rFonts w:asciiTheme="minorHAnsi" w:hAnsiTheme="minorHAnsi"/>
          <w:b w:val="0"/>
          <w:sz w:val="24"/>
          <w:szCs w:val="24"/>
        </w:rPr>
        <w:t xml:space="preserve"> per QALY, resulting in a reduced effective price of $</w:t>
      </w:r>
      <w:r w:rsidR="00504C28">
        <w:rPr>
          <w:rFonts w:asciiTheme="minorHAnsi" w:hAnsiTheme="minorHAnsi"/>
          <w:b w:val="0"/>
          <w:noProof/>
          <w:color w:val="000000"/>
          <w:sz w:val="24"/>
          <w:szCs w:val="24"/>
          <w:highlight w:val="black"/>
        </w:rPr>
        <w:t>'''''''''''</w:t>
      </w:r>
      <w:r w:rsidRPr="00D34003">
        <w:rPr>
          <w:rFonts w:asciiTheme="minorHAnsi" w:hAnsiTheme="minorHAnsi"/>
          <w:b w:val="0"/>
          <w:sz w:val="24"/>
          <w:szCs w:val="24"/>
        </w:rPr>
        <w:t>/vial. This ICER could not be reproduced. Application of the revised cost per vial</w:t>
      </w:r>
      <w:r w:rsidR="00E0410B" w:rsidRPr="00D34003">
        <w:t xml:space="preserve"> </w:t>
      </w:r>
      <w:r w:rsidR="00E0410B" w:rsidRPr="00D34003">
        <w:rPr>
          <w:rFonts w:asciiTheme="minorHAnsi" w:hAnsiTheme="minorHAnsi"/>
          <w:b w:val="0"/>
          <w:sz w:val="24"/>
          <w:szCs w:val="24"/>
        </w:rPr>
        <w:t xml:space="preserve">for the scenario proposed in the PSCR </w:t>
      </w:r>
      <w:r w:rsidRPr="00D34003">
        <w:rPr>
          <w:rFonts w:asciiTheme="minorHAnsi" w:hAnsiTheme="minorHAnsi"/>
          <w:b w:val="0"/>
          <w:sz w:val="24"/>
          <w:szCs w:val="24"/>
        </w:rPr>
        <w:t xml:space="preserve">resulted in an ICER of </w:t>
      </w:r>
      <w:r w:rsidR="00F37362" w:rsidRPr="00F37362">
        <w:rPr>
          <w:rFonts w:asciiTheme="minorHAnsi" w:hAnsiTheme="minorHAnsi"/>
          <w:b w:val="0"/>
          <w:sz w:val="24"/>
          <w:szCs w:val="24"/>
        </w:rPr>
        <w:t>$45,000/QALY – $75,000/QALY</w:t>
      </w:r>
      <w:r w:rsidR="00F37362" w:rsidRPr="00F37362" w:rsidDel="00F37362">
        <w:rPr>
          <w:rFonts w:asciiTheme="minorHAnsi" w:hAnsiTheme="minorHAnsi"/>
          <w:b w:val="0"/>
          <w:sz w:val="24"/>
          <w:szCs w:val="24"/>
        </w:rPr>
        <w:t xml:space="preserve"> </w:t>
      </w:r>
      <w:r w:rsidRPr="00D34003">
        <w:rPr>
          <w:rFonts w:asciiTheme="minorHAnsi" w:hAnsiTheme="minorHAnsi"/>
          <w:b w:val="0"/>
          <w:sz w:val="24"/>
          <w:szCs w:val="24"/>
        </w:rPr>
        <w:t>per QALY.</w:t>
      </w:r>
      <w:r w:rsidR="00FE2E7C" w:rsidRPr="00D34003">
        <w:rPr>
          <w:rFonts w:asciiTheme="minorHAnsi" w:hAnsiTheme="minorHAnsi"/>
          <w:b w:val="0"/>
          <w:sz w:val="24"/>
          <w:szCs w:val="24"/>
        </w:rPr>
        <w:t xml:space="preserve"> The PBAC </w:t>
      </w:r>
      <w:r w:rsidR="004A3259" w:rsidRPr="00D34003">
        <w:rPr>
          <w:rFonts w:asciiTheme="minorHAnsi" w:hAnsiTheme="minorHAnsi"/>
          <w:b w:val="0"/>
          <w:sz w:val="24"/>
          <w:szCs w:val="24"/>
        </w:rPr>
        <w:t>considered that</w:t>
      </w:r>
      <w:r w:rsidR="00E05DBF" w:rsidRPr="00D34003">
        <w:rPr>
          <w:rFonts w:asciiTheme="minorHAnsi" w:hAnsiTheme="minorHAnsi"/>
          <w:b w:val="0"/>
          <w:sz w:val="24"/>
          <w:szCs w:val="24"/>
        </w:rPr>
        <w:t xml:space="preserve"> the most appropriate model inputs would be </w:t>
      </w:r>
      <w:r w:rsidR="005A2E99" w:rsidRPr="00D34003">
        <w:rPr>
          <w:rFonts w:asciiTheme="minorHAnsi" w:hAnsiTheme="minorHAnsi"/>
          <w:b w:val="0"/>
          <w:sz w:val="24"/>
          <w:szCs w:val="24"/>
        </w:rPr>
        <w:t>a 5-</w:t>
      </w:r>
      <w:r w:rsidR="00E05DBF" w:rsidRPr="00D34003">
        <w:rPr>
          <w:rFonts w:asciiTheme="minorHAnsi" w:hAnsiTheme="minorHAnsi"/>
          <w:b w:val="0"/>
          <w:sz w:val="24"/>
          <w:szCs w:val="24"/>
        </w:rPr>
        <w:t xml:space="preserve">year time horizon with convergence at year 5 and no crossover (scenario 1 </w:t>
      </w:r>
      <w:r w:rsidR="00B420B2" w:rsidRPr="00D34003">
        <w:rPr>
          <w:rFonts w:asciiTheme="minorHAnsi" w:hAnsiTheme="minorHAnsi"/>
          <w:b w:val="0"/>
          <w:sz w:val="24"/>
          <w:szCs w:val="24"/>
        </w:rPr>
        <w:t xml:space="preserve">in Table 15 and </w:t>
      </w:r>
      <w:r w:rsidR="00E05DBF" w:rsidRPr="00D34003">
        <w:rPr>
          <w:rFonts w:asciiTheme="minorHAnsi" w:hAnsiTheme="minorHAnsi"/>
          <w:b w:val="0"/>
          <w:sz w:val="24"/>
          <w:szCs w:val="24"/>
        </w:rPr>
        <w:t>within the tornado plot in Figure 3). However,</w:t>
      </w:r>
      <w:r w:rsidR="009C2188" w:rsidRPr="00D34003">
        <w:rPr>
          <w:rFonts w:asciiTheme="minorHAnsi" w:hAnsiTheme="minorHAnsi"/>
          <w:b w:val="0"/>
          <w:sz w:val="24"/>
          <w:szCs w:val="24"/>
        </w:rPr>
        <w:t xml:space="preserve"> </w:t>
      </w:r>
      <w:r w:rsidR="0080659B" w:rsidRPr="00D34003">
        <w:rPr>
          <w:rFonts w:asciiTheme="minorHAnsi" w:hAnsiTheme="minorHAnsi"/>
          <w:b w:val="0"/>
          <w:sz w:val="24"/>
          <w:szCs w:val="24"/>
        </w:rPr>
        <w:t xml:space="preserve">recognising the high clinical need in this patient population </w:t>
      </w:r>
      <w:r w:rsidR="00B420B2" w:rsidRPr="00D34003">
        <w:rPr>
          <w:rFonts w:asciiTheme="minorHAnsi" w:hAnsiTheme="minorHAnsi"/>
          <w:b w:val="0"/>
          <w:sz w:val="24"/>
          <w:szCs w:val="24"/>
        </w:rPr>
        <w:t>and</w:t>
      </w:r>
      <w:r w:rsidR="0080659B" w:rsidRPr="00D34003">
        <w:rPr>
          <w:rFonts w:asciiTheme="minorHAnsi" w:hAnsiTheme="minorHAnsi"/>
          <w:b w:val="0"/>
          <w:sz w:val="24"/>
          <w:szCs w:val="24"/>
        </w:rPr>
        <w:t xml:space="preserve"> that </w:t>
      </w:r>
      <w:r w:rsidR="00B420B2" w:rsidRPr="00D34003">
        <w:rPr>
          <w:rFonts w:asciiTheme="minorHAnsi" w:hAnsiTheme="minorHAnsi"/>
          <w:b w:val="0"/>
          <w:sz w:val="24"/>
          <w:szCs w:val="24"/>
        </w:rPr>
        <w:t xml:space="preserve">there was uncertainty in all scenarios, the PBAC considered that </w:t>
      </w:r>
      <w:r w:rsidR="00F749BC">
        <w:rPr>
          <w:rFonts w:asciiTheme="minorHAnsi" w:hAnsiTheme="minorHAnsi"/>
          <w:b w:val="0"/>
          <w:sz w:val="24"/>
          <w:szCs w:val="24"/>
        </w:rPr>
        <w:t xml:space="preserve">based on the </w:t>
      </w:r>
      <w:r w:rsidR="00F749BC" w:rsidRPr="00D34003">
        <w:rPr>
          <w:rFonts w:asciiTheme="minorHAnsi" w:hAnsiTheme="minorHAnsi"/>
          <w:b w:val="0"/>
          <w:sz w:val="24"/>
          <w:szCs w:val="24"/>
        </w:rPr>
        <w:t>additional sensitivity analyses provided in Table 15</w:t>
      </w:r>
      <w:r w:rsidR="00F749BC">
        <w:rPr>
          <w:rFonts w:asciiTheme="minorHAnsi" w:hAnsiTheme="minorHAnsi"/>
          <w:b w:val="0"/>
          <w:sz w:val="24"/>
          <w:szCs w:val="24"/>
        </w:rPr>
        <w:t>,</w:t>
      </w:r>
      <w:r w:rsidR="00F749BC" w:rsidRPr="00D34003">
        <w:rPr>
          <w:rFonts w:asciiTheme="minorHAnsi" w:hAnsiTheme="minorHAnsi"/>
          <w:b w:val="0"/>
          <w:sz w:val="24"/>
          <w:szCs w:val="24"/>
        </w:rPr>
        <w:t xml:space="preserve"> </w:t>
      </w:r>
      <w:r w:rsidR="009C2188" w:rsidRPr="00D34003">
        <w:rPr>
          <w:rFonts w:asciiTheme="minorHAnsi" w:hAnsiTheme="minorHAnsi"/>
          <w:b w:val="0"/>
          <w:sz w:val="24"/>
          <w:szCs w:val="24"/>
        </w:rPr>
        <w:t xml:space="preserve">scenario </w:t>
      </w:r>
      <w:r w:rsidR="00D56EDF">
        <w:rPr>
          <w:rFonts w:asciiTheme="minorHAnsi" w:hAnsiTheme="minorHAnsi"/>
          <w:b w:val="0"/>
          <w:sz w:val="24"/>
          <w:szCs w:val="24"/>
        </w:rPr>
        <w:t xml:space="preserve">2 </w:t>
      </w:r>
      <w:r w:rsidR="00F749BC">
        <w:rPr>
          <w:rFonts w:asciiTheme="minorHAnsi" w:hAnsiTheme="minorHAnsi"/>
          <w:b w:val="0"/>
          <w:sz w:val="24"/>
          <w:szCs w:val="24"/>
        </w:rPr>
        <w:t>(</w:t>
      </w:r>
      <w:r w:rsidR="00F749BC" w:rsidRPr="00D34003">
        <w:rPr>
          <w:rFonts w:asciiTheme="minorHAnsi" w:hAnsiTheme="minorHAnsi"/>
          <w:b w:val="0"/>
          <w:sz w:val="24"/>
          <w:szCs w:val="24"/>
        </w:rPr>
        <w:t>5</w:t>
      </w:r>
      <w:r w:rsidR="00483BB7">
        <w:rPr>
          <w:rFonts w:asciiTheme="minorHAnsi" w:hAnsiTheme="minorHAnsi"/>
          <w:b w:val="0"/>
          <w:sz w:val="24"/>
          <w:szCs w:val="24"/>
        </w:rPr>
        <w:t>-</w:t>
      </w:r>
      <w:r w:rsidR="00F749BC">
        <w:rPr>
          <w:rFonts w:asciiTheme="minorHAnsi" w:hAnsiTheme="minorHAnsi"/>
          <w:b w:val="0"/>
          <w:sz w:val="24"/>
          <w:szCs w:val="24"/>
        </w:rPr>
        <w:t xml:space="preserve">year time horizon, </w:t>
      </w:r>
      <w:r w:rsidR="00F749BC" w:rsidRPr="00D34003">
        <w:rPr>
          <w:rFonts w:asciiTheme="minorHAnsi" w:hAnsiTheme="minorHAnsi"/>
          <w:b w:val="0"/>
          <w:sz w:val="24"/>
          <w:szCs w:val="24"/>
        </w:rPr>
        <w:t xml:space="preserve">two-stage adjustment for cross-over </w:t>
      </w:r>
      <w:r w:rsidR="00F749BC">
        <w:rPr>
          <w:rFonts w:asciiTheme="minorHAnsi" w:hAnsiTheme="minorHAnsi"/>
          <w:b w:val="0"/>
          <w:sz w:val="24"/>
          <w:szCs w:val="24"/>
        </w:rPr>
        <w:t xml:space="preserve">and </w:t>
      </w:r>
      <w:r w:rsidR="00F749BC" w:rsidRPr="00D34003">
        <w:rPr>
          <w:rFonts w:asciiTheme="minorHAnsi" w:hAnsiTheme="minorHAnsi"/>
          <w:b w:val="0"/>
          <w:sz w:val="24"/>
          <w:szCs w:val="24"/>
        </w:rPr>
        <w:t>convergence</w:t>
      </w:r>
      <w:r w:rsidR="00F749BC">
        <w:rPr>
          <w:rFonts w:asciiTheme="minorHAnsi" w:hAnsiTheme="minorHAnsi"/>
          <w:b w:val="0"/>
          <w:sz w:val="24"/>
          <w:szCs w:val="24"/>
        </w:rPr>
        <w:t>)</w:t>
      </w:r>
      <w:r w:rsidR="00F749BC" w:rsidRPr="00D34003">
        <w:rPr>
          <w:rFonts w:asciiTheme="minorHAnsi" w:hAnsiTheme="minorHAnsi"/>
          <w:b w:val="0"/>
          <w:sz w:val="24"/>
          <w:szCs w:val="24"/>
        </w:rPr>
        <w:t xml:space="preserve"> </w:t>
      </w:r>
      <w:r w:rsidR="00D56EDF">
        <w:rPr>
          <w:rFonts w:asciiTheme="minorHAnsi" w:hAnsiTheme="minorHAnsi"/>
          <w:b w:val="0"/>
          <w:sz w:val="24"/>
          <w:szCs w:val="24"/>
        </w:rPr>
        <w:t xml:space="preserve">and </w:t>
      </w:r>
      <w:r w:rsidR="00F749BC">
        <w:rPr>
          <w:rFonts w:asciiTheme="minorHAnsi" w:hAnsiTheme="minorHAnsi"/>
          <w:b w:val="0"/>
          <w:sz w:val="24"/>
          <w:szCs w:val="24"/>
        </w:rPr>
        <w:t xml:space="preserve">scenario </w:t>
      </w:r>
      <w:r w:rsidR="00D56EDF">
        <w:rPr>
          <w:rFonts w:asciiTheme="minorHAnsi" w:hAnsiTheme="minorHAnsi"/>
          <w:b w:val="0"/>
          <w:sz w:val="24"/>
          <w:szCs w:val="24"/>
        </w:rPr>
        <w:t xml:space="preserve">3 </w:t>
      </w:r>
      <w:r w:rsidR="00483BB7">
        <w:rPr>
          <w:rFonts w:asciiTheme="minorHAnsi" w:hAnsiTheme="minorHAnsi"/>
          <w:b w:val="0"/>
          <w:sz w:val="24"/>
          <w:szCs w:val="24"/>
        </w:rPr>
        <w:t>(5-</w:t>
      </w:r>
      <w:r w:rsidR="00F749BC">
        <w:rPr>
          <w:rFonts w:asciiTheme="minorHAnsi" w:hAnsiTheme="minorHAnsi"/>
          <w:b w:val="0"/>
          <w:sz w:val="24"/>
          <w:szCs w:val="24"/>
        </w:rPr>
        <w:t xml:space="preserve">year time horizon, no crossover and no convergence) </w:t>
      </w:r>
      <w:r w:rsidR="0080659B" w:rsidRPr="00D34003">
        <w:rPr>
          <w:rFonts w:asciiTheme="minorHAnsi" w:hAnsiTheme="minorHAnsi"/>
          <w:b w:val="0"/>
          <w:sz w:val="24"/>
          <w:szCs w:val="24"/>
        </w:rPr>
        <w:t xml:space="preserve">may </w:t>
      </w:r>
      <w:r w:rsidR="00B420B2" w:rsidRPr="00D34003">
        <w:rPr>
          <w:rFonts w:asciiTheme="minorHAnsi" w:hAnsiTheme="minorHAnsi"/>
          <w:b w:val="0"/>
          <w:sz w:val="24"/>
          <w:szCs w:val="24"/>
        </w:rPr>
        <w:t xml:space="preserve">also be </w:t>
      </w:r>
      <w:r w:rsidR="0080659B" w:rsidRPr="00D34003">
        <w:rPr>
          <w:rFonts w:asciiTheme="minorHAnsi" w:hAnsiTheme="minorHAnsi"/>
          <w:b w:val="0"/>
          <w:sz w:val="24"/>
          <w:szCs w:val="24"/>
        </w:rPr>
        <w:t>acceptable</w:t>
      </w:r>
      <w:r w:rsidR="00B420B2" w:rsidRPr="00D34003">
        <w:rPr>
          <w:rFonts w:asciiTheme="minorHAnsi" w:hAnsiTheme="minorHAnsi"/>
          <w:b w:val="0"/>
          <w:sz w:val="24"/>
          <w:szCs w:val="24"/>
        </w:rPr>
        <w:t xml:space="preserve"> as the basis for assessing the cost-effectiveness of pembrolizumab. </w:t>
      </w:r>
      <w:r w:rsidR="0080659B" w:rsidRPr="00D34003">
        <w:rPr>
          <w:rFonts w:asciiTheme="minorHAnsi" w:hAnsiTheme="minorHAnsi"/>
          <w:b w:val="0"/>
          <w:sz w:val="24"/>
          <w:szCs w:val="24"/>
        </w:rPr>
        <w:t>T</w:t>
      </w:r>
      <w:r w:rsidR="009C2188" w:rsidRPr="00D34003">
        <w:rPr>
          <w:rFonts w:asciiTheme="minorHAnsi" w:hAnsiTheme="minorHAnsi"/>
          <w:b w:val="0"/>
          <w:sz w:val="24"/>
          <w:szCs w:val="24"/>
        </w:rPr>
        <w:t xml:space="preserve">he PBAC </w:t>
      </w:r>
      <w:r w:rsidR="00B420B2" w:rsidRPr="00D34003">
        <w:rPr>
          <w:rFonts w:asciiTheme="minorHAnsi" w:hAnsiTheme="minorHAnsi"/>
          <w:b w:val="0"/>
          <w:sz w:val="24"/>
          <w:szCs w:val="24"/>
        </w:rPr>
        <w:t>noted</w:t>
      </w:r>
      <w:r w:rsidR="009C2188" w:rsidRPr="00D34003">
        <w:rPr>
          <w:rFonts w:asciiTheme="minorHAnsi" w:hAnsiTheme="minorHAnsi"/>
          <w:b w:val="0"/>
          <w:sz w:val="24"/>
          <w:szCs w:val="24"/>
        </w:rPr>
        <w:t xml:space="preserve"> that a further price </w:t>
      </w:r>
      <w:r w:rsidR="00B420B2" w:rsidRPr="00D34003">
        <w:rPr>
          <w:rFonts w:asciiTheme="minorHAnsi" w:hAnsiTheme="minorHAnsi"/>
          <w:b w:val="0"/>
          <w:sz w:val="24"/>
          <w:szCs w:val="24"/>
        </w:rPr>
        <w:t>reduction</w:t>
      </w:r>
      <w:r w:rsidR="009C2188" w:rsidRPr="00D34003">
        <w:rPr>
          <w:rFonts w:asciiTheme="minorHAnsi" w:hAnsiTheme="minorHAnsi"/>
          <w:b w:val="0"/>
          <w:sz w:val="24"/>
          <w:szCs w:val="24"/>
        </w:rPr>
        <w:t xml:space="preserve"> of 12-20% </w:t>
      </w:r>
      <w:r w:rsidR="0080659B" w:rsidRPr="00D34003">
        <w:rPr>
          <w:rFonts w:asciiTheme="minorHAnsi" w:hAnsiTheme="minorHAnsi"/>
          <w:b w:val="0"/>
          <w:sz w:val="24"/>
          <w:szCs w:val="24"/>
        </w:rPr>
        <w:t>from the revised price of $</w:t>
      </w:r>
      <w:r w:rsidR="00504C28">
        <w:rPr>
          <w:rFonts w:asciiTheme="minorHAnsi" w:hAnsiTheme="minorHAnsi"/>
          <w:b w:val="0"/>
          <w:noProof/>
          <w:color w:val="000000"/>
          <w:sz w:val="24"/>
          <w:szCs w:val="24"/>
          <w:highlight w:val="black"/>
        </w:rPr>
        <w:t>''''''''''''</w:t>
      </w:r>
      <w:r w:rsidR="0080659B" w:rsidRPr="00D34003">
        <w:rPr>
          <w:rFonts w:asciiTheme="minorHAnsi" w:hAnsiTheme="minorHAnsi"/>
          <w:b w:val="0"/>
          <w:sz w:val="24"/>
          <w:szCs w:val="24"/>
        </w:rPr>
        <w:t xml:space="preserve"> </w:t>
      </w:r>
      <w:r w:rsidR="009C2188" w:rsidRPr="00D34003">
        <w:rPr>
          <w:rFonts w:asciiTheme="minorHAnsi" w:hAnsiTheme="minorHAnsi"/>
          <w:b w:val="0"/>
          <w:sz w:val="24"/>
          <w:szCs w:val="24"/>
        </w:rPr>
        <w:t>w</w:t>
      </w:r>
      <w:r w:rsidR="0080659B" w:rsidRPr="00D34003">
        <w:rPr>
          <w:rFonts w:asciiTheme="minorHAnsi" w:hAnsiTheme="minorHAnsi"/>
          <w:b w:val="0"/>
          <w:sz w:val="24"/>
          <w:szCs w:val="24"/>
        </w:rPr>
        <w:t>ould be</w:t>
      </w:r>
      <w:r w:rsidR="009C2188" w:rsidRPr="00D34003">
        <w:rPr>
          <w:rFonts w:asciiTheme="minorHAnsi" w:hAnsiTheme="minorHAnsi"/>
          <w:b w:val="0"/>
          <w:sz w:val="24"/>
          <w:szCs w:val="24"/>
        </w:rPr>
        <w:t xml:space="preserve"> required for pembrolizumab to </w:t>
      </w:r>
      <w:r w:rsidR="00B0702C" w:rsidRPr="00D34003">
        <w:rPr>
          <w:rFonts w:asciiTheme="minorHAnsi" w:hAnsiTheme="minorHAnsi"/>
          <w:b w:val="0"/>
          <w:sz w:val="24"/>
          <w:szCs w:val="24"/>
        </w:rPr>
        <w:t xml:space="preserve">achieve </w:t>
      </w:r>
      <w:r w:rsidR="00B420B2" w:rsidRPr="00D34003">
        <w:rPr>
          <w:rFonts w:asciiTheme="minorHAnsi" w:hAnsiTheme="minorHAnsi"/>
          <w:b w:val="0"/>
          <w:sz w:val="24"/>
          <w:szCs w:val="24"/>
        </w:rPr>
        <w:t xml:space="preserve">an </w:t>
      </w:r>
      <w:r w:rsidR="00B0702C" w:rsidRPr="00D34003">
        <w:rPr>
          <w:rFonts w:asciiTheme="minorHAnsi" w:hAnsiTheme="minorHAnsi"/>
          <w:b w:val="0"/>
          <w:sz w:val="24"/>
          <w:szCs w:val="24"/>
        </w:rPr>
        <w:t xml:space="preserve">ICER of </w:t>
      </w:r>
      <w:r w:rsidR="00E37B01" w:rsidRPr="00D34003">
        <w:rPr>
          <w:rFonts w:asciiTheme="minorHAnsi" w:hAnsiTheme="minorHAnsi"/>
          <w:b w:val="0"/>
          <w:sz w:val="24"/>
          <w:szCs w:val="24"/>
        </w:rPr>
        <w:t>&lt;</w:t>
      </w:r>
      <w:r w:rsidR="00B0702C" w:rsidRPr="00D34003">
        <w:rPr>
          <w:rFonts w:asciiTheme="minorHAnsi" w:hAnsiTheme="minorHAnsi"/>
          <w:b w:val="0"/>
          <w:sz w:val="24"/>
          <w:szCs w:val="24"/>
        </w:rPr>
        <w:t>$</w:t>
      </w:r>
      <w:r w:rsidR="00E37B01" w:rsidRPr="00D34003">
        <w:rPr>
          <w:rFonts w:asciiTheme="minorHAnsi" w:hAnsiTheme="minorHAnsi"/>
          <w:b w:val="0"/>
          <w:sz w:val="24"/>
          <w:szCs w:val="24"/>
        </w:rPr>
        <w:t>6</w:t>
      </w:r>
      <w:r w:rsidR="00B0702C" w:rsidRPr="00D34003">
        <w:rPr>
          <w:rFonts w:asciiTheme="minorHAnsi" w:hAnsiTheme="minorHAnsi"/>
          <w:b w:val="0"/>
          <w:sz w:val="24"/>
          <w:szCs w:val="24"/>
        </w:rPr>
        <w:t>0,000</w:t>
      </w:r>
      <w:r w:rsidR="0080659B" w:rsidRPr="00D34003">
        <w:rPr>
          <w:rFonts w:asciiTheme="minorHAnsi" w:hAnsiTheme="minorHAnsi"/>
          <w:b w:val="0"/>
          <w:sz w:val="24"/>
          <w:szCs w:val="24"/>
        </w:rPr>
        <w:t xml:space="preserve"> per QALY</w:t>
      </w:r>
      <w:r w:rsidR="00B420B2" w:rsidRPr="00D34003">
        <w:rPr>
          <w:rFonts w:asciiTheme="minorHAnsi" w:hAnsiTheme="minorHAnsi"/>
          <w:b w:val="0"/>
          <w:sz w:val="24"/>
          <w:szCs w:val="24"/>
        </w:rPr>
        <w:t xml:space="preserve"> under </w:t>
      </w:r>
      <w:r w:rsidR="00480A30" w:rsidRPr="00D34003">
        <w:rPr>
          <w:rFonts w:asciiTheme="minorHAnsi" w:hAnsiTheme="minorHAnsi"/>
          <w:b w:val="0"/>
          <w:sz w:val="24"/>
          <w:szCs w:val="24"/>
        </w:rPr>
        <w:t xml:space="preserve">any of </w:t>
      </w:r>
      <w:r w:rsidR="00B420B2" w:rsidRPr="00D34003">
        <w:rPr>
          <w:rFonts w:asciiTheme="minorHAnsi" w:hAnsiTheme="minorHAnsi"/>
          <w:b w:val="0"/>
          <w:sz w:val="24"/>
          <w:szCs w:val="24"/>
        </w:rPr>
        <w:t>these modelled scenarios</w:t>
      </w:r>
      <w:r w:rsidR="005A4550" w:rsidRPr="00D34003">
        <w:rPr>
          <w:rFonts w:asciiTheme="minorHAnsi" w:hAnsiTheme="minorHAnsi"/>
          <w:b w:val="0"/>
          <w:sz w:val="24"/>
          <w:szCs w:val="24"/>
        </w:rPr>
        <w:t>.</w:t>
      </w:r>
    </w:p>
    <w:p w:rsidR="00EC5694" w:rsidRPr="00D34003" w:rsidRDefault="00EC5694" w:rsidP="00EC5694">
      <w:pPr>
        <w:pStyle w:val="PBACHeading1"/>
        <w:numPr>
          <w:ilvl w:val="0"/>
          <w:numId w:val="0"/>
        </w:numPr>
        <w:ind w:left="720"/>
        <w:jc w:val="both"/>
        <w:rPr>
          <w:i/>
        </w:rPr>
      </w:pPr>
    </w:p>
    <w:p w:rsidR="00706810" w:rsidRPr="00D34003" w:rsidRDefault="00706810" w:rsidP="00D13F40">
      <w:pPr>
        <w:pStyle w:val="Heading2"/>
        <w:spacing w:after="120"/>
      </w:pPr>
      <w:r w:rsidRPr="00683C6F">
        <w:t>Drug cost/patient/treatment course:</w:t>
      </w:r>
      <w:r w:rsidRPr="00D34003">
        <w:rPr>
          <w:i w:val="0"/>
        </w:rPr>
        <w:t xml:space="preserve"> </w:t>
      </w:r>
      <w:r w:rsidRPr="00D34003">
        <w:t>$</w:t>
      </w:r>
      <w:bookmarkEnd w:id="26"/>
      <w:bookmarkEnd w:id="27"/>
      <w:r w:rsidR="00504C28">
        <w:rPr>
          <w:noProof/>
          <w:color w:val="000000"/>
          <w:highlight w:val="black"/>
        </w:rPr>
        <w:t>'''''''''''''</w:t>
      </w:r>
      <w:r w:rsidR="00EE5D30" w:rsidRPr="00D34003">
        <w:t xml:space="preserve"> ($</w:t>
      </w:r>
      <w:r w:rsidR="00504C28">
        <w:rPr>
          <w:noProof/>
          <w:color w:val="000000"/>
          <w:highlight w:val="black"/>
        </w:rPr>
        <w:t>'''''''''''</w:t>
      </w:r>
      <w:r w:rsidR="00EE5D30" w:rsidRPr="00D34003">
        <w:t xml:space="preserve"> per vial)</w:t>
      </w:r>
    </w:p>
    <w:p w:rsidR="00706810" w:rsidRPr="00D34003" w:rsidRDefault="00706810" w:rsidP="007A7E9A">
      <w:pPr>
        <w:pStyle w:val="ListParagraph"/>
        <w:widowControl/>
        <w:numPr>
          <w:ilvl w:val="1"/>
          <w:numId w:val="1"/>
        </w:numPr>
        <w:rPr>
          <w:rFonts w:asciiTheme="minorHAnsi" w:hAnsiTheme="minorHAnsi"/>
          <w:szCs w:val="24"/>
        </w:rPr>
      </w:pPr>
      <w:r w:rsidRPr="00D34003">
        <w:rPr>
          <w:rFonts w:asciiTheme="minorHAnsi" w:hAnsiTheme="minorHAnsi"/>
          <w:szCs w:val="24"/>
        </w:rPr>
        <w:t>Based on a fixed dose of 200 mg per person, the average cost per patient per treatment cycle of pembrolizumab was $</w:t>
      </w:r>
      <w:r w:rsidR="00504C28">
        <w:rPr>
          <w:rFonts w:asciiTheme="minorHAnsi" w:hAnsiTheme="minorHAnsi"/>
          <w:noProof/>
          <w:color w:val="000000"/>
          <w:szCs w:val="24"/>
          <w:highlight w:val="black"/>
        </w:rPr>
        <w:t xml:space="preserve">''''''''''' </w:t>
      </w:r>
      <w:r w:rsidRPr="00D34003">
        <w:rPr>
          <w:rFonts w:asciiTheme="minorHAnsi" w:hAnsiTheme="minorHAnsi"/>
          <w:szCs w:val="24"/>
        </w:rPr>
        <w:t>(2 X 100 mg vials, at $</w:t>
      </w:r>
      <w:r w:rsidR="00504C28">
        <w:rPr>
          <w:rFonts w:asciiTheme="minorHAnsi" w:hAnsiTheme="minorHAnsi"/>
          <w:noProof/>
          <w:color w:val="000000"/>
          <w:szCs w:val="24"/>
          <w:highlight w:val="black"/>
        </w:rPr>
        <w:t>'''''''''''</w:t>
      </w:r>
      <w:r w:rsidRPr="00D34003">
        <w:rPr>
          <w:rFonts w:asciiTheme="minorHAnsi" w:hAnsiTheme="minorHAnsi"/>
          <w:szCs w:val="24"/>
        </w:rPr>
        <w:t xml:space="preserve"> per vial), </w:t>
      </w:r>
      <w:r w:rsidRPr="00D34003">
        <w:rPr>
          <w:rFonts w:asciiTheme="minorHAnsi" w:hAnsiTheme="minorHAnsi"/>
          <w:szCs w:val="24"/>
        </w:rPr>
        <w:lastRenderedPageBreak/>
        <w:t>every 3 weeks.</w:t>
      </w:r>
      <w:r w:rsidRPr="00D34003" w:rsidDel="005A4EF5">
        <w:rPr>
          <w:rFonts w:asciiTheme="minorHAnsi" w:hAnsiTheme="minorHAnsi"/>
          <w:szCs w:val="24"/>
        </w:rPr>
        <w:t xml:space="preserve"> </w:t>
      </w:r>
      <w:r w:rsidR="0070558E" w:rsidRPr="00D34003">
        <w:rPr>
          <w:rFonts w:asciiTheme="minorHAnsi" w:hAnsiTheme="minorHAnsi"/>
          <w:szCs w:val="24"/>
        </w:rPr>
        <w:t xml:space="preserve">Due to changes to the base case presented in the </w:t>
      </w:r>
      <w:proofErr w:type="gramStart"/>
      <w:r w:rsidR="004A077E" w:rsidRPr="00D34003">
        <w:rPr>
          <w:rFonts w:asciiTheme="minorHAnsi" w:hAnsiTheme="minorHAnsi"/>
          <w:szCs w:val="24"/>
        </w:rPr>
        <w:t xml:space="preserve">PSCR </w:t>
      </w:r>
      <w:r w:rsidR="0070558E" w:rsidRPr="00D34003">
        <w:rPr>
          <w:rFonts w:asciiTheme="minorHAnsi" w:hAnsiTheme="minorHAnsi"/>
          <w:szCs w:val="24"/>
        </w:rPr>
        <w:t>,</w:t>
      </w:r>
      <w:proofErr w:type="gramEnd"/>
      <w:r w:rsidR="0070558E" w:rsidRPr="00D34003">
        <w:rPr>
          <w:rFonts w:asciiTheme="minorHAnsi" w:hAnsiTheme="minorHAnsi"/>
          <w:szCs w:val="24"/>
        </w:rPr>
        <w:t xml:space="preserve"> the price of </w:t>
      </w:r>
      <w:r w:rsidR="004A077E" w:rsidRPr="00D34003">
        <w:rPr>
          <w:rFonts w:asciiTheme="minorHAnsi" w:hAnsiTheme="minorHAnsi"/>
          <w:szCs w:val="24"/>
        </w:rPr>
        <w:t xml:space="preserve">pembrolizumab </w:t>
      </w:r>
      <w:r w:rsidR="0070558E" w:rsidRPr="00D34003">
        <w:rPr>
          <w:rFonts w:asciiTheme="minorHAnsi" w:hAnsiTheme="minorHAnsi"/>
          <w:szCs w:val="24"/>
        </w:rPr>
        <w:t xml:space="preserve">was further reduced </w:t>
      </w:r>
      <w:r w:rsidR="004A077E" w:rsidRPr="00D34003">
        <w:rPr>
          <w:rFonts w:asciiTheme="minorHAnsi" w:hAnsiTheme="minorHAnsi"/>
          <w:szCs w:val="24"/>
        </w:rPr>
        <w:t>to $</w:t>
      </w:r>
      <w:r w:rsidR="00504C28">
        <w:rPr>
          <w:rFonts w:asciiTheme="minorHAnsi" w:hAnsiTheme="minorHAnsi"/>
          <w:noProof/>
          <w:color w:val="000000"/>
          <w:szCs w:val="24"/>
          <w:highlight w:val="black"/>
        </w:rPr>
        <w:t>''''''''''</w:t>
      </w:r>
      <w:r w:rsidR="004A077E" w:rsidRPr="00D34003">
        <w:rPr>
          <w:rFonts w:asciiTheme="minorHAnsi" w:hAnsiTheme="minorHAnsi"/>
          <w:szCs w:val="24"/>
        </w:rPr>
        <w:t xml:space="preserve"> per vial. Therefore, the average cost per patient per treatment cycle of pembrolizumab was $</w:t>
      </w:r>
      <w:r w:rsidR="00504C28">
        <w:rPr>
          <w:rFonts w:asciiTheme="minorHAnsi" w:hAnsiTheme="minorHAnsi"/>
          <w:noProof/>
          <w:color w:val="000000"/>
          <w:szCs w:val="24"/>
          <w:highlight w:val="black"/>
        </w:rPr>
        <w:t>'''''''''''</w:t>
      </w:r>
      <w:r w:rsidR="004A077E" w:rsidRPr="00D34003">
        <w:rPr>
          <w:rFonts w:asciiTheme="minorHAnsi" w:hAnsiTheme="minorHAnsi"/>
          <w:szCs w:val="24"/>
        </w:rPr>
        <w:t>.</w:t>
      </w:r>
    </w:p>
    <w:p w:rsidR="00706810" w:rsidRPr="00D34003" w:rsidRDefault="00706810" w:rsidP="007A7E9A">
      <w:pPr>
        <w:pStyle w:val="ListParagraph"/>
        <w:widowControl/>
        <w:numPr>
          <w:ilvl w:val="1"/>
          <w:numId w:val="1"/>
        </w:numPr>
        <w:rPr>
          <w:rFonts w:asciiTheme="minorHAnsi" w:hAnsiTheme="minorHAnsi"/>
          <w:szCs w:val="24"/>
        </w:rPr>
      </w:pPr>
      <w:r w:rsidRPr="00D34003">
        <w:rPr>
          <w:rFonts w:asciiTheme="minorHAnsi" w:hAnsiTheme="minorHAnsi"/>
          <w:szCs w:val="24"/>
        </w:rPr>
        <w:t xml:space="preserve">The average number of administrations was based on the </w:t>
      </w:r>
      <w:r w:rsidR="008F03D6" w:rsidRPr="00D34003">
        <w:rPr>
          <w:rFonts w:asciiTheme="minorHAnsi" w:hAnsiTheme="minorHAnsi"/>
          <w:szCs w:val="24"/>
        </w:rPr>
        <w:t xml:space="preserve">TOT </w:t>
      </w:r>
      <w:r w:rsidRPr="00D34003">
        <w:rPr>
          <w:rFonts w:asciiTheme="minorHAnsi" w:hAnsiTheme="minorHAnsi"/>
          <w:szCs w:val="24"/>
        </w:rPr>
        <w:t xml:space="preserve">curve adapted from the economic evaluation. </w:t>
      </w:r>
      <w:r w:rsidR="00D64239" w:rsidRPr="00D34003">
        <w:rPr>
          <w:rFonts w:asciiTheme="minorHAnsi" w:hAnsiTheme="minorHAnsi"/>
          <w:szCs w:val="24"/>
        </w:rPr>
        <w:t xml:space="preserve">This is appropriate. </w:t>
      </w:r>
      <w:r w:rsidRPr="00D34003">
        <w:rPr>
          <w:rFonts w:asciiTheme="minorHAnsi" w:hAnsiTheme="minorHAnsi"/>
          <w:szCs w:val="24"/>
        </w:rPr>
        <w:t xml:space="preserve">The mean average number of administrations was </w:t>
      </w:r>
      <w:r w:rsidR="00504C28">
        <w:rPr>
          <w:rFonts w:asciiTheme="minorHAnsi" w:hAnsiTheme="minorHAnsi"/>
          <w:noProof/>
          <w:color w:val="000000"/>
          <w:szCs w:val="24"/>
          <w:highlight w:val="black"/>
        </w:rPr>
        <w:t>''''''</w:t>
      </w:r>
      <w:r w:rsidRPr="00D34003">
        <w:rPr>
          <w:rFonts w:asciiTheme="minorHAnsi" w:hAnsiTheme="minorHAnsi"/>
          <w:szCs w:val="24"/>
        </w:rPr>
        <w:t xml:space="preserve"> per patient. </w:t>
      </w:r>
      <w:r w:rsidRPr="00D34003">
        <w:t>The average (undiscounted) cost per treatment</w:t>
      </w:r>
      <w:r w:rsidR="00C9663C" w:rsidRPr="00D34003">
        <w:t xml:space="preserve"> course</w:t>
      </w:r>
      <w:r w:rsidRPr="00D34003">
        <w:t xml:space="preserve"> per patient was determined to be $</w:t>
      </w:r>
      <w:r w:rsidR="00504C28">
        <w:rPr>
          <w:noProof/>
          <w:color w:val="000000"/>
          <w:highlight w:val="black"/>
        </w:rPr>
        <w:t>''''''''''''</w:t>
      </w:r>
      <w:r w:rsidRPr="00D34003">
        <w:t xml:space="preserve"> for pembrolizumab patients (inclusive of a </w:t>
      </w:r>
      <w:r w:rsidR="00504C28">
        <w:rPr>
          <w:noProof/>
          <w:color w:val="000000"/>
          <w:highlight w:val="black"/>
        </w:rPr>
        <w:t>''''''</w:t>
      </w:r>
      <w:r w:rsidRPr="00D34003">
        <w:t xml:space="preserve">% discount from </w:t>
      </w:r>
      <w:r w:rsidR="00504C28">
        <w:rPr>
          <w:noProof/>
          <w:color w:val="000000"/>
          <w:highlight w:val="black"/>
        </w:rPr>
        <w:t>'''''''''' '''''</w:t>
      </w:r>
      <w:r w:rsidRPr="00D34003">
        <w:t xml:space="preserve"> ($</w:t>
      </w:r>
      <w:r w:rsidR="00504C28">
        <w:rPr>
          <w:noProof/>
          <w:color w:val="000000"/>
          <w:highlight w:val="black"/>
        </w:rPr>
        <w:t>'''''''''''</w:t>
      </w:r>
      <w:r w:rsidRPr="00D34003">
        <w:t xml:space="preserve"> x </w:t>
      </w:r>
      <w:r w:rsidR="00504C28">
        <w:rPr>
          <w:noProof/>
          <w:color w:val="000000"/>
          <w:highlight w:val="black"/>
        </w:rPr>
        <w:t>'''''''</w:t>
      </w:r>
      <w:r w:rsidRPr="00D34003">
        <w:t>)).</w:t>
      </w:r>
      <w:r w:rsidRPr="00D34003" w:rsidDel="005A4EF5">
        <w:t xml:space="preserve"> </w:t>
      </w:r>
      <w:r w:rsidR="00EE5D30" w:rsidRPr="00D34003">
        <w:t>Using the reduced price of $</w:t>
      </w:r>
      <w:r w:rsidR="00504C28">
        <w:rPr>
          <w:noProof/>
          <w:color w:val="000000"/>
          <w:highlight w:val="black"/>
        </w:rPr>
        <w:t>''''''''''''</w:t>
      </w:r>
      <w:r w:rsidR="00EE5D30" w:rsidRPr="00D34003">
        <w:t xml:space="preserve"> proposed in the </w:t>
      </w:r>
      <w:proofErr w:type="gramStart"/>
      <w:r w:rsidR="00EE5D30" w:rsidRPr="00D34003">
        <w:t>PSCR ,</w:t>
      </w:r>
      <w:proofErr w:type="gramEnd"/>
      <w:r w:rsidR="00EE5D30" w:rsidRPr="00D34003">
        <w:t xml:space="preserve"> the average (undiscounted) cost per treatment </w:t>
      </w:r>
      <w:r w:rsidR="00C9663C" w:rsidRPr="00D34003">
        <w:t xml:space="preserve">course </w:t>
      </w:r>
      <w:r w:rsidR="00EE5D30" w:rsidRPr="00D34003">
        <w:t>per patient was determined to be $</w:t>
      </w:r>
      <w:r w:rsidR="00504C28">
        <w:rPr>
          <w:noProof/>
          <w:color w:val="000000"/>
          <w:highlight w:val="black"/>
        </w:rPr>
        <w:t>''''''''''''</w:t>
      </w:r>
      <w:r w:rsidR="00EE5D30" w:rsidRPr="00D34003">
        <w:t xml:space="preserve"> for pembrolizumab patients.</w:t>
      </w:r>
    </w:p>
    <w:p w:rsidR="00706810" w:rsidRPr="00683C6F" w:rsidRDefault="00706810" w:rsidP="00D13F40">
      <w:pPr>
        <w:pStyle w:val="Heading2"/>
        <w:spacing w:after="120"/>
      </w:pPr>
      <w:bookmarkStart w:id="28" w:name="_Toc511305034"/>
      <w:bookmarkStart w:id="29" w:name="_Toc514243676"/>
      <w:r w:rsidRPr="00683C6F">
        <w:t>Estimated PBS usage &amp; financial implications</w:t>
      </w:r>
      <w:bookmarkEnd w:id="28"/>
      <w:bookmarkEnd w:id="29"/>
    </w:p>
    <w:p w:rsidR="00706810" w:rsidRPr="00D34003" w:rsidRDefault="00706810" w:rsidP="007A7E9A">
      <w:pPr>
        <w:pStyle w:val="ListParagraph"/>
        <w:widowControl/>
        <w:numPr>
          <w:ilvl w:val="1"/>
          <w:numId w:val="1"/>
        </w:numPr>
      </w:pPr>
      <w:r w:rsidRPr="00D34003">
        <w:t xml:space="preserve">This </w:t>
      </w:r>
      <w:r w:rsidR="00022488" w:rsidRPr="00D34003">
        <w:t>re</w:t>
      </w:r>
      <w:r w:rsidRPr="00D34003">
        <w:t xml:space="preserve">submission </w:t>
      </w:r>
      <w:r w:rsidR="00A51038" w:rsidRPr="00D34003">
        <w:t>was not</w:t>
      </w:r>
      <w:r w:rsidR="00854BAF" w:rsidRPr="00D34003">
        <w:t xml:space="preserve"> </w:t>
      </w:r>
      <w:r w:rsidRPr="00D34003">
        <w:t xml:space="preserve">considered by DUSC. The resubmission maintained the epidemiological approach used in the November 2017 submission </w:t>
      </w:r>
      <w:r w:rsidR="00214A89" w:rsidRPr="00D34003">
        <w:t xml:space="preserve">to estimate the eligible population </w:t>
      </w:r>
      <w:r w:rsidRPr="00D34003">
        <w:t xml:space="preserve">each year. Specifically, it used projected </w:t>
      </w:r>
      <w:r w:rsidR="008F6035" w:rsidRPr="00D34003">
        <w:t>BC</w:t>
      </w:r>
      <w:r w:rsidRPr="00D34003">
        <w:t xml:space="preserve"> mortality data as a proxy to identify patients with LA or </w:t>
      </w:r>
      <w:proofErr w:type="spellStart"/>
      <w:r w:rsidRPr="00D34003">
        <w:t>mUC</w:t>
      </w:r>
      <w:proofErr w:type="spellEnd"/>
      <w:r w:rsidRPr="00D34003">
        <w:t xml:space="preserve"> (AIHW), and then expert opinion (Tracey et al 2014) to estimate the proportion of those patients likely to be treated with first and second line agents in the Australian population. </w:t>
      </w:r>
    </w:p>
    <w:p w:rsidR="00706810" w:rsidRPr="00D34003" w:rsidRDefault="00706810" w:rsidP="00CD58B2">
      <w:pPr>
        <w:pStyle w:val="ListParagraph"/>
        <w:widowControl/>
        <w:numPr>
          <w:ilvl w:val="1"/>
          <w:numId w:val="1"/>
        </w:numPr>
        <w:spacing w:after="240"/>
        <w:rPr>
          <w:color w:val="000000" w:themeColor="text1"/>
        </w:rPr>
      </w:pPr>
      <w:r w:rsidRPr="00D34003">
        <w:rPr>
          <w:color w:val="000000" w:themeColor="text1"/>
        </w:rPr>
        <w:t xml:space="preserve">The </w:t>
      </w:r>
      <w:r w:rsidR="00D64239" w:rsidRPr="00D34003">
        <w:rPr>
          <w:color w:val="000000" w:themeColor="text1"/>
        </w:rPr>
        <w:t>re</w:t>
      </w:r>
      <w:r w:rsidRPr="00D34003">
        <w:rPr>
          <w:color w:val="000000" w:themeColor="text1"/>
        </w:rPr>
        <w:t xml:space="preserve">submission’s estimates of the number of patients to be treated, use of pembrolizumab, substitution of SOC and resulting cost to Government are presented in Table </w:t>
      </w:r>
      <w:r w:rsidR="003A242C" w:rsidRPr="00D34003">
        <w:rPr>
          <w:color w:val="000000" w:themeColor="text1"/>
        </w:rPr>
        <w:t>1</w:t>
      </w:r>
      <w:r w:rsidR="00811AF9" w:rsidRPr="00D34003">
        <w:rPr>
          <w:color w:val="000000" w:themeColor="text1"/>
        </w:rPr>
        <w:t>6</w:t>
      </w:r>
      <w:r w:rsidRPr="00D34003">
        <w:rPr>
          <w:color w:val="000000" w:themeColor="text1"/>
        </w:rPr>
        <w:t xml:space="preserve">. </w:t>
      </w:r>
      <w:r w:rsidR="00C1044A" w:rsidRPr="00D34003">
        <w:rPr>
          <w:color w:val="000000" w:themeColor="text1"/>
        </w:rPr>
        <w:t xml:space="preserve">The estimated number of patients at year 6 was </w:t>
      </w:r>
      <w:r w:rsidR="00CD58B2" w:rsidRPr="00CD58B2">
        <w:rPr>
          <w:color w:val="000000" w:themeColor="text1"/>
        </w:rPr>
        <w:t>less than 10,000</w:t>
      </w:r>
      <w:r w:rsidR="00C1044A" w:rsidRPr="00D34003">
        <w:rPr>
          <w:color w:val="000000" w:themeColor="text1"/>
        </w:rPr>
        <w:t xml:space="preserve">. </w:t>
      </w:r>
      <w:r w:rsidRPr="00D34003">
        <w:rPr>
          <w:color w:val="000000" w:themeColor="text1"/>
        </w:rPr>
        <w:t xml:space="preserve">The estimated total cost to the PBS/RPBS over the first six years of listing, taking account of co-payments and substitution for SOC, was </w:t>
      </w:r>
      <w:r w:rsidR="00CD58B2">
        <w:t>$60 - $100 million</w:t>
      </w:r>
      <w:r w:rsidR="00CA3ED8" w:rsidRPr="00D34003">
        <w:rPr>
          <w:color w:val="000000" w:themeColor="text1"/>
        </w:rPr>
        <w:t>. The PSCR updated the</w:t>
      </w:r>
      <w:r w:rsidR="001965BA" w:rsidRPr="00D34003">
        <w:rPr>
          <w:color w:val="000000" w:themeColor="text1"/>
        </w:rPr>
        <w:t xml:space="preserve"> financial estimates to include the reduc</w:t>
      </w:r>
      <w:r w:rsidR="00C06E6E" w:rsidRPr="00D34003">
        <w:rPr>
          <w:color w:val="000000" w:themeColor="text1"/>
        </w:rPr>
        <w:t xml:space="preserve">ed </w:t>
      </w:r>
      <w:r w:rsidR="001965BA" w:rsidRPr="00D34003">
        <w:rPr>
          <w:color w:val="000000" w:themeColor="text1"/>
        </w:rPr>
        <w:t xml:space="preserve">effective price </w:t>
      </w:r>
      <w:r w:rsidR="00C06E6E" w:rsidRPr="00D34003">
        <w:rPr>
          <w:color w:val="000000" w:themeColor="text1"/>
        </w:rPr>
        <w:t>of</w:t>
      </w:r>
      <w:r w:rsidR="001965BA" w:rsidRPr="00D34003">
        <w:rPr>
          <w:color w:val="000000" w:themeColor="text1"/>
        </w:rPr>
        <w:t xml:space="preserve"> $</w:t>
      </w:r>
      <w:r w:rsidR="00504C28">
        <w:rPr>
          <w:noProof/>
          <w:color w:val="000000"/>
          <w:highlight w:val="black"/>
        </w:rPr>
        <w:t>''''''''''</w:t>
      </w:r>
      <w:r w:rsidR="00C06E6E" w:rsidRPr="00D34003">
        <w:rPr>
          <w:color w:val="000000" w:themeColor="text1"/>
        </w:rPr>
        <w:t>/vial.</w:t>
      </w:r>
      <w:r w:rsidR="00CA3ED8" w:rsidRPr="00D34003">
        <w:rPr>
          <w:color w:val="000000" w:themeColor="text1"/>
        </w:rPr>
        <w:t xml:space="preserve"> </w:t>
      </w:r>
      <w:r w:rsidR="00946F96" w:rsidRPr="00D34003">
        <w:rPr>
          <w:color w:val="000000" w:themeColor="text1"/>
        </w:rPr>
        <w:t xml:space="preserve">Therefore, the updated estimated total cost to the PBS/RPBS over the first six years of listing, </w:t>
      </w:r>
      <w:r w:rsidR="00CA3ED8" w:rsidRPr="00D34003">
        <w:rPr>
          <w:color w:val="000000" w:themeColor="text1"/>
        </w:rPr>
        <w:t xml:space="preserve">taking account of co-payments and substitution for SOC, was </w:t>
      </w:r>
      <w:r w:rsidR="00CD58B2" w:rsidRPr="00CD58B2">
        <w:t>$60 - $100 million</w:t>
      </w:r>
      <w:r w:rsidR="007E105A" w:rsidRPr="00D34003">
        <w:t>.</w:t>
      </w:r>
      <w:r w:rsidR="00F4167C" w:rsidRPr="00D34003">
        <w:t xml:space="preserve"> The PSCR also proposed a rebate rate of </w:t>
      </w:r>
      <w:r w:rsidR="00504C28">
        <w:rPr>
          <w:noProof/>
          <w:color w:val="000000"/>
          <w:highlight w:val="black"/>
        </w:rPr>
        <w:t>'''''</w:t>
      </w:r>
      <w:r w:rsidR="00F4167C" w:rsidRPr="00D34003">
        <w:t>% of treatment costs</w:t>
      </w:r>
      <w:r w:rsidR="006114C2" w:rsidRPr="00D34003">
        <w:t xml:space="preserve"> if </w:t>
      </w:r>
      <w:r w:rsidR="00F4167C" w:rsidRPr="00D34003">
        <w:t xml:space="preserve">subsidisation caps </w:t>
      </w:r>
      <w:r w:rsidR="006114C2" w:rsidRPr="00D34003">
        <w:t xml:space="preserve">are exceeded </w:t>
      </w:r>
      <w:r w:rsidR="00F4167C" w:rsidRPr="00D34003">
        <w:t>that year</w:t>
      </w:r>
      <w:r w:rsidR="00647E9A" w:rsidRPr="00D34003">
        <w:t>. The proposed caps are shown in Table 16.</w:t>
      </w:r>
      <w:r w:rsidR="00CD58B2">
        <w:t xml:space="preserve"> </w:t>
      </w:r>
    </w:p>
    <w:p w:rsidR="00706810" w:rsidRPr="00D34003" w:rsidRDefault="00706810" w:rsidP="00096DF9">
      <w:pPr>
        <w:pStyle w:val="PBACHeading1"/>
        <w:keepNext/>
        <w:numPr>
          <w:ilvl w:val="0"/>
          <w:numId w:val="0"/>
        </w:numPr>
        <w:rPr>
          <w:rFonts w:ascii="Arial Narrow" w:hAnsi="Arial Narrow"/>
          <w:color w:val="000000" w:themeColor="text1"/>
          <w:sz w:val="20"/>
          <w:szCs w:val="20"/>
        </w:rPr>
      </w:pPr>
      <w:r w:rsidRPr="00D34003">
        <w:rPr>
          <w:rFonts w:ascii="Arial Narrow" w:hAnsi="Arial Narrow"/>
          <w:color w:val="000000" w:themeColor="text1"/>
          <w:sz w:val="20"/>
          <w:szCs w:val="20"/>
        </w:rPr>
        <w:lastRenderedPageBreak/>
        <w:t xml:space="preserve">Table </w:t>
      </w:r>
      <w:r w:rsidR="003A242C" w:rsidRPr="00D34003">
        <w:rPr>
          <w:rFonts w:ascii="Arial Narrow" w:hAnsi="Arial Narrow"/>
          <w:color w:val="000000" w:themeColor="text1"/>
          <w:sz w:val="20"/>
          <w:szCs w:val="20"/>
        </w:rPr>
        <w:t>1</w:t>
      </w:r>
      <w:r w:rsidR="00811AF9" w:rsidRPr="00D34003">
        <w:rPr>
          <w:rFonts w:ascii="Arial Narrow" w:hAnsi="Arial Narrow"/>
          <w:color w:val="000000" w:themeColor="text1"/>
          <w:sz w:val="20"/>
          <w:szCs w:val="20"/>
        </w:rPr>
        <w:t>6</w:t>
      </w:r>
      <w:r w:rsidRPr="00D34003">
        <w:rPr>
          <w:rFonts w:ascii="Arial Narrow" w:hAnsi="Arial Narrow"/>
          <w:color w:val="000000" w:themeColor="text1"/>
          <w:sz w:val="20"/>
          <w:szCs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4"/>
        <w:gridCol w:w="1168"/>
        <w:gridCol w:w="1524"/>
        <w:gridCol w:w="1135"/>
        <w:gridCol w:w="992"/>
        <w:gridCol w:w="1134"/>
        <w:gridCol w:w="976"/>
      </w:tblGrid>
      <w:tr w:rsidR="00E27B15" w:rsidRPr="00D34003" w:rsidTr="00FB1D3B">
        <w:trPr>
          <w:trHeight w:val="323"/>
          <w:tblHeader/>
        </w:trPr>
        <w:tc>
          <w:tcPr>
            <w:tcW w:w="1186" w:type="pct"/>
            <w:tcBorders>
              <w:top w:val="single" w:sz="4" w:space="0" w:color="auto"/>
              <w:left w:val="single" w:sz="4" w:space="0" w:color="auto"/>
              <w:bottom w:val="single" w:sz="4" w:space="0" w:color="auto"/>
              <w:right w:val="single" w:sz="4" w:space="0" w:color="auto"/>
            </w:tcBorders>
          </w:tcPr>
          <w:p w:rsidR="00D64239" w:rsidRPr="00D34003" w:rsidRDefault="00D64239" w:rsidP="00265CD0">
            <w:pPr>
              <w:pStyle w:val="TableText0"/>
              <w:spacing w:line="256" w:lineRule="auto"/>
              <w:rPr>
                <w:szCs w:val="20"/>
              </w:rPr>
            </w:pPr>
          </w:p>
        </w:tc>
        <w:tc>
          <w:tcPr>
            <w:tcW w:w="643" w:type="pct"/>
            <w:tcBorders>
              <w:top w:val="single" w:sz="4" w:space="0" w:color="auto"/>
              <w:left w:val="single" w:sz="4" w:space="0" w:color="auto"/>
              <w:bottom w:val="single" w:sz="4" w:space="0" w:color="auto"/>
              <w:right w:val="single" w:sz="4" w:space="0" w:color="auto"/>
            </w:tcBorders>
          </w:tcPr>
          <w:p w:rsidR="00D64239" w:rsidRPr="00D34003" w:rsidRDefault="00D64239" w:rsidP="00074CC8">
            <w:pPr>
              <w:pStyle w:val="TableText0"/>
              <w:spacing w:line="256" w:lineRule="auto"/>
              <w:jc w:val="center"/>
              <w:rPr>
                <w:b/>
                <w:szCs w:val="20"/>
              </w:rPr>
            </w:pPr>
            <w:r w:rsidRPr="00D34003">
              <w:rPr>
                <w:b/>
                <w:szCs w:val="20"/>
                <w:lang w:eastAsia="en-AU"/>
              </w:rPr>
              <w:t>2018</w:t>
            </w:r>
          </w:p>
        </w:tc>
        <w:tc>
          <w:tcPr>
            <w:tcW w:w="839" w:type="pct"/>
            <w:tcBorders>
              <w:top w:val="single" w:sz="4" w:space="0" w:color="auto"/>
              <w:left w:val="single" w:sz="4" w:space="0" w:color="auto"/>
              <w:bottom w:val="single" w:sz="4" w:space="0" w:color="auto"/>
              <w:right w:val="single" w:sz="4" w:space="0" w:color="auto"/>
            </w:tcBorders>
          </w:tcPr>
          <w:p w:rsidR="00D64239" w:rsidRPr="00D34003" w:rsidRDefault="00D64239" w:rsidP="00074CC8">
            <w:pPr>
              <w:pStyle w:val="TableText0"/>
              <w:spacing w:line="256" w:lineRule="auto"/>
              <w:jc w:val="center"/>
              <w:rPr>
                <w:b/>
                <w:szCs w:val="20"/>
              </w:rPr>
            </w:pPr>
            <w:r w:rsidRPr="00D34003">
              <w:rPr>
                <w:b/>
                <w:szCs w:val="20"/>
                <w:lang w:eastAsia="en-AU"/>
              </w:rPr>
              <w:t>2019</w:t>
            </w:r>
          </w:p>
        </w:tc>
        <w:tc>
          <w:tcPr>
            <w:tcW w:w="625" w:type="pct"/>
            <w:tcBorders>
              <w:top w:val="single" w:sz="4" w:space="0" w:color="auto"/>
              <w:left w:val="single" w:sz="4" w:space="0" w:color="auto"/>
              <w:bottom w:val="single" w:sz="4" w:space="0" w:color="auto"/>
              <w:right w:val="single" w:sz="4" w:space="0" w:color="auto"/>
            </w:tcBorders>
          </w:tcPr>
          <w:p w:rsidR="00D64239" w:rsidRPr="00D34003" w:rsidRDefault="00D64239" w:rsidP="00074CC8">
            <w:pPr>
              <w:pStyle w:val="TableText0"/>
              <w:spacing w:line="256" w:lineRule="auto"/>
              <w:jc w:val="center"/>
              <w:rPr>
                <w:b/>
                <w:szCs w:val="20"/>
              </w:rPr>
            </w:pPr>
            <w:r w:rsidRPr="00D34003">
              <w:rPr>
                <w:b/>
                <w:szCs w:val="20"/>
                <w:lang w:eastAsia="en-AU"/>
              </w:rPr>
              <w:t>2020</w:t>
            </w:r>
          </w:p>
        </w:tc>
        <w:tc>
          <w:tcPr>
            <w:tcW w:w="546" w:type="pct"/>
            <w:tcBorders>
              <w:top w:val="single" w:sz="4" w:space="0" w:color="auto"/>
              <w:left w:val="single" w:sz="4" w:space="0" w:color="auto"/>
              <w:bottom w:val="single" w:sz="4" w:space="0" w:color="auto"/>
              <w:right w:val="single" w:sz="4" w:space="0" w:color="auto"/>
            </w:tcBorders>
          </w:tcPr>
          <w:p w:rsidR="00D64239" w:rsidRPr="00D34003" w:rsidRDefault="00D64239" w:rsidP="00074CC8">
            <w:pPr>
              <w:pStyle w:val="TableText0"/>
              <w:spacing w:line="256" w:lineRule="auto"/>
              <w:jc w:val="center"/>
              <w:rPr>
                <w:b/>
                <w:szCs w:val="20"/>
              </w:rPr>
            </w:pPr>
            <w:r w:rsidRPr="00D34003">
              <w:rPr>
                <w:b/>
                <w:szCs w:val="20"/>
                <w:lang w:eastAsia="en-AU"/>
              </w:rPr>
              <w:t>2021</w:t>
            </w:r>
          </w:p>
        </w:tc>
        <w:tc>
          <w:tcPr>
            <w:tcW w:w="624" w:type="pct"/>
            <w:tcBorders>
              <w:top w:val="single" w:sz="4" w:space="0" w:color="auto"/>
              <w:left w:val="single" w:sz="4" w:space="0" w:color="auto"/>
              <w:bottom w:val="single" w:sz="4" w:space="0" w:color="auto"/>
              <w:right w:val="single" w:sz="4" w:space="0" w:color="auto"/>
            </w:tcBorders>
          </w:tcPr>
          <w:p w:rsidR="00D64239" w:rsidRPr="00D34003" w:rsidRDefault="00D64239" w:rsidP="00074CC8">
            <w:pPr>
              <w:pStyle w:val="TableText0"/>
              <w:spacing w:line="256" w:lineRule="auto"/>
              <w:jc w:val="center"/>
              <w:rPr>
                <w:b/>
                <w:szCs w:val="20"/>
              </w:rPr>
            </w:pPr>
            <w:r w:rsidRPr="00D34003">
              <w:rPr>
                <w:b/>
                <w:szCs w:val="20"/>
                <w:lang w:eastAsia="en-AU"/>
              </w:rPr>
              <w:t>2022</w:t>
            </w:r>
          </w:p>
        </w:tc>
        <w:tc>
          <w:tcPr>
            <w:tcW w:w="537" w:type="pct"/>
            <w:tcBorders>
              <w:top w:val="single" w:sz="4" w:space="0" w:color="auto"/>
              <w:left w:val="single" w:sz="4" w:space="0" w:color="auto"/>
              <w:bottom w:val="single" w:sz="4" w:space="0" w:color="auto"/>
              <w:right w:val="single" w:sz="4" w:space="0" w:color="auto"/>
            </w:tcBorders>
          </w:tcPr>
          <w:p w:rsidR="00D64239" w:rsidRPr="00D34003" w:rsidRDefault="00D64239" w:rsidP="00074CC8">
            <w:pPr>
              <w:pStyle w:val="TableText0"/>
              <w:spacing w:line="256" w:lineRule="auto"/>
              <w:jc w:val="center"/>
              <w:rPr>
                <w:b/>
                <w:szCs w:val="20"/>
              </w:rPr>
            </w:pPr>
            <w:r w:rsidRPr="00D34003">
              <w:rPr>
                <w:b/>
                <w:szCs w:val="20"/>
                <w:lang w:eastAsia="en-AU"/>
              </w:rPr>
              <w:t>2023</w:t>
            </w:r>
          </w:p>
        </w:tc>
      </w:tr>
      <w:tr w:rsidR="00D64239" w:rsidRPr="00D34003" w:rsidTr="00FB1D3B">
        <w:trPr>
          <w:trHeight w:val="323"/>
        </w:trPr>
        <w:tc>
          <w:tcPr>
            <w:tcW w:w="5000" w:type="pct"/>
            <w:gridSpan w:val="7"/>
            <w:tcBorders>
              <w:top w:val="single" w:sz="4" w:space="0" w:color="auto"/>
              <w:left w:val="single" w:sz="4" w:space="0" w:color="auto"/>
              <w:bottom w:val="single" w:sz="4" w:space="0" w:color="auto"/>
              <w:right w:val="single" w:sz="4" w:space="0" w:color="auto"/>
            </w:tcBorders>
          </w:tcPr>
          <w:p w:rsidR="00D64239" w:rsidRPr="00D34003" w:rsidRDefault="00D64239" w:rsidP="00074CC8">
            <w:pPr>
              <w:pStyle w:val="TableText0"/>
              <w:spacing w:line="256" w:lineRule="auto"/>
              <w:rPr>
                <w:b/>
                <w:bCs/>
                <w:color w:val="000000"/>
                <w:szCs w:val="20"/>
              </w:rPr>
            </w:pPr>
            <w:r w:rsidRPr="00D34003">
              <w:rPr>
                <w:b/>
                <w:bCs/>
                <w:color w:val="000000"/>
                <w:szCs w:val="20"/>
              </w:rPr>
              <w:t>Estimated extent of use</w:t>
            </w:r>
          </w:p>
        </w:tc>
      </w:tr>
      <w:tr w:rsidR="00E27B15" w:rsidRPr="00D34003" w:rsidTr="00FB1D3B">
        <w:trPr>
          <w:trHeight w:val="330"/>
        </w:trPr>
        <w:tc>
          <w:tcPr>
            <w:tcW w:w="1186" w:type="pct"/>
            <w:tcBorders>
              <w:top w:val="single" w:sz="4" w:space="0" w:color="auto"/>
              <w:left w:val="single" w:sz="4" w:space="0" w:color="auto"/>
              <w:bottom w:val="single" w:sz="4" w:space="0" w:color="auto"/>
              <w:right w:val="single" w:sz="4" w:space="0" w:color="auto"/>
            </w:tcBorders>
            <w:hideMark/>
          </w:tcPr>
          <w:p w:rsidR="00D64239" w:rsidRPr="00D34003" w:rsidRDefault="00D64239" w:rsidP="00265CD0">
            <w:pPr>
              <w:pStyle w:val="TableText0"/>
              <w:spacing w:line="256" w:lineRule="auto"/>
              <w:rPr>
                <w:rFonts w:eastAsia="Times New Roman" w:cs="Times New Roman"/>
                <w:szCs w:val="20"/>
              </w:rPr>
            </w:pPr>
            <w:r w:rsidRPr="00D34003">
              <w:rPr>
                <w:szCs w:val="20"/>
              </w:rPr>
              <w:t>Number of patients treated</w:t>
            </w:r>
          </w:p>
        </w:tc>
        <w:tc>
          <w:tcPr>
            <w:tcW w:w="643"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rPr>
              <w:t>''''''''''</w:t>
            </w:r>
          </w:p>
        </w:tc>
        <w:tc>
          <w:tcPr>
            <w:tcW w:w="839"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rPr>
              <w:t>'''''''''</w:t>
            </w:r>
          </w:p>
        </w:tc>
        <w:tc>
          <w:tcPr>
            <w:tcW w:w="546"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rPr>
              <w:t>''''''''</w:t>
            </w:r>
          </w:p>
        </w:tc>
        <w:tc>
          <w:tcPr>
            <w:tcW w:w="537"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rPr>
              <w:t>''''''''</w:t>
            </w:r>
          </w:p>
        </w:tc>
      </w:tr>
      <w:tr w:rsidR="00E27B15" w:rsidRPr="00D34003" w:rsidTr="00FB1D3B">
        <w:trPr>
          <w:trHeight w:val="275"/>
        </w:trPr>
        <w:tc>
          <w:tcPr>
            <w:tcW w:w="1186" w:type="pct"/>
            <w:tcBorders>
              <w:top w:val="single" w:sz="4" w:space="0" w:color="auto"/>
              <w:left w:val="single" w:sz="4" w:space="0" w:color="auto"/>
              <w:bottom w:val="single" w:sz="4" w:space="0" w:color="auto"/>
              <w:right w:val="single" w:sz="4" w:space="0" w:color="auto"/>
            </w:tcBorders>
            <w:hideMark/>
          </w:tcPr>
          <w:p w:rsidR="00D64239" w:rsidRPr="00D34003" w:rsidRDefault="00D64239" w:rsidP="00265CD0">
            <w:pPr>
              <w:pStyle w:val="TableText0"/>
              <w:spacing w:line="256" w:lineRule="auto"/>
              <w:rPr>
                <w:rFonts w:eastAsia="Times New Roman" w:cs="Times New Roman"/>
                <w:szCs w:val="20"/>
              </w:rPr>
            </w:pPr>
            <w:r w:rsidRPr="00D34003">
              <w:rPr>
                <w:szCs w:val="20"/>
              </w:rPr>
              <w:t xml:space="preserve">Number of scripts </w:t>
            </w:r>
            <w:proofErr w:type="spellStart"/>
            <w:r w:rsidRPr="00D34003">
              <w:rPr>
                <w:szCs w:val="20"/>
              </w:rPr>
              <w:t>dispensed</w:t>
            </w:r>
            <w:r w:rsidRPr="00D34003">
              <w:rPr>
                <w:szCs w:val="20"/>
                <w:vertAlign w:val="superscript"/>
              </w:rPr>
              <w:t>a</w:t>
            </w:r>
            <w:proofErr w:type="spellEnd"/>
          </w:p>
        </w:tc>
        <w:tc>
          <w:tcPr>
            <w:tcW w:w="643"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lang w:eastAsia="en-AU"/>
              </w:rPr>
              <w:t>''''''''''''</w:t>
            </w:r>
          </w:p>
        </w:tc>
        <w:tc>
          <w:tcPr>
            <w:tcW w:w="839"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lang w:eastAsia="en-AU"/>
              </w:rPr>
              <w:t>''''''''''''''</w:t>
            </w:r>
          </w:p>
        </w:tc>
        <w:tc>
          <w:tcPr>
            <w:tcW w:w="625"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lang w:eastAsia="en-AU"/>
              </w:rPr>
              <w:t>''''''''''''''</w:t>
            </w:r>
          </w:p>
        </w:tc>
        <w:tc>
          <w:tcPr>
            <w:tcW w:w="546"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lang w:eastAsia="en-AU"/>
              </w:rPr>
              <w:t>'''''''''''''</w:t>
            </w:r>
          </w:p>
        </w:tc>
        <w:tc>
          <w:tcPr>
            <w:tcW w:w="624"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lang w:eastAsia="en-AU"/>
              </w:rPr>
              <w:t>'''''''''''''</w:t>
            </w:r>
          </w:p>
        </w:tc>
        <w:tc>
          <w:tcPr>
            <w:tcW w:w="537" w:type="pct"/>
            <w:tcBorders>
              <w:top w:val="single" w:sz="4" w:space="0" w:color="auto"/>
              <w:left w:val="single" w:sz="4" w:space="0" w:color="auto"/>
              <w:bottom w:val="single" w:sz="4" w:space="0" w:color="auto"/>
              <w:right w:val="single" w:sz="4" w:space="0" w:color="auto"/>
            </w:tcBorders>
            <w:hideMark/>
          </w:tcPr>
          <w:p w:rsidR="00D64239" w:rsidRPr="00504C28" w:rsidRDefault="00504C28" w:rsidP="00074CC8">
            <w:pPr>
              <w:pStyle w:val="TableText0"/>
              <w:spacing w:line="256" w:lineRule="auto"/>
              <w:jc w:val="center"/>
              <w:rPr>
                <w:bCs/>
                <w:color w:val="000000"/>
                <w:szCs w:val="20"/>
                <w:highlight w:val="black"/>
              </w:rPr>
            </w:pPr>
            <w:r>
              <w:rPr>
                <w:noProof/>
                <w:color w:val="000000"/>
                <w:szCs w:val="20"/>
                <w:highlight w:val="black"/>
                <w:lang w:eastAsia="en-AU"/>
              </w:rPr>
              <w:t>''''''''''''</w:t>
            </w:r>
          </w:p>
        </w:tc>
      </w:tr>
      <w:tr w:rsidR="00D64239" w:rsidRPr="00D34003" w:rsidTr="00FB1D3B">
        <w:trPr>
          <w:trHeight w:val="323"/>
        </w:trPr>
        <w:tc>
          <w:tcPr>
            <w:tcW w:w="5000" w:type="pct"/>
            <w:gridSpan w:val="7"/>
            <w:tcBorders>
              <w:top w:val="single" w:sz="4" w:space="0" w:color="auto"/>
              <w:left w:val="single" w:sz="4" w:space="0" w:color="auto"/>
              <w:bottom w:val="single" w:sz="4" w:space="0" w:color="auto"/>
              <w:right w:val="single" w:sz="4" w:space="0" w:color="auto"/>
            </w:tcBorders>
          </w:tcPr>
          <w:p w:rsidR="00D64239" w:rsidRPr="00D34003" w:rsidRDefault="00D64239" w:rsidP="00074CC8">
            <w:pPr>
              <w:pStyle w:val="TableText0"/>
              <w:spacing w:line="256" w:lineRule="auto"/>
              <w:rPr>
                <w:b/>
                <w:bCs/>
                <w:color w:val="000000"/>
                <w:szCs w:val="20"/>
              </w:rPr>
            </w:pPr>
            <w:r w:rsidRPr="00D34003">
              <w:rPr>
                <w:b/>
                <w:bCs/>
                <w:color w:val="000000"/>
                <w:szCs w:val="20"/>
              </w:rPr>
              <w:t>Estimated financial implications of pembrolizumab</w:t>
            </w:r>
          </w:p>
        </w:tc>
      </w:tr>
      <w:tr w:rsidR="00E27B15" w:rsidRPr="00D34003" w:rsidTr="00FB1D3B">
        <w:trPr>
          <w:trHeight w:val="323"/>
        </w:trPr>
        <w:tc>
          <w:tcPr>
            <w:tcW w:w="1186" w:type="pct"/>
            <w:tcBorders>
              <w:top w:val="single" w:sz="4" w:space="0" w:color="auto"/>
              <w:left w:val="single" w:sz="4" w:space="0" w:color="auto"/>
              <w:bottom w:val="single" w:sz="4" w:space="0" w:color="auto"/>
              <w:right w:val="single" w:sz="4" w:space="0" w:color="auto"/>
            </w:tcBorders>
            <w:hideMark/>
          </w:tcPr>
          <w:p w:rsidR="00D64239" w:rsidRPr="00D34003" w:rsidRDefault="00D64239" w:rsidP="00D64239">
            <w:pPr>
              <w:pStyle w:val="TableText0"/>
              <w:spacing w:line="256" w:lineRule="auto"/>
              <w:rPr>
                <w:rFonts w:eastAsia="Times New Roman" w:cs="Times New Roman"/>
                <w:szCs w:val="20"/>
              </w:rPr>
            </w:pPr>
            <w:r w:rsidRPr="00D34003">
              <w:rPr>
                <w:szCs w:val="20"/>
              </w:rPr>
              <w:t>Cost to PBS/RPBS</w:t>
            </w:r>
          </w:p>
        </w:tc>
        <w:tc>
          <w:tcPr>
            <w:tcW w:w="643" w:type="pct"/>
            <w:tcBorders>
              <w:top w:val="single" w:sz="4" w:space="0" w:color="auto"/>
              <w:left w:val="single" w:sz="4" w:space="0" w:color="auto"/>
              <w:bottom w:val="single" w:sz="4" w:space="0" w:color="auto"/>
              <w:right w:val="single" w:sz="4" w:space="0" w:color="auto"/>
            </w:tcBorders>
            <w:hideMark/>
          </w:tcPr>
          <w:p w:rsidR="00D64239" w:rsidRPr="00D34003" w:rsidRDefault="00D6423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839" w:type="pct"/>
            <w:tcBorders>
              <w:top w:val="single" w:sz="4" w:space="0" w:color="auto"/>
              <w:left w:val="single" w:sz="4" w:space="0" w:color="auto"/>
              <w:bottom w:val="single" w:sz="4" w:space="0" w:color="auto"/>
              <w:right w:val="single" w:sz="4" w:space="0" w:color="auto"/>
            </w:tcBorders>
            <w:hideMark/>
          </w:tcPr>
          <w:p w:rsidR="00D64239" w:rsidRPr="00D34003" w:rsidRDefault="00D6423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hideMark/>
          </w:tcPr>
          <w:p w:rsidR="00D64239" w:rsidRPr="00D34003" w:rsidRDefault="00D6423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46" w:type="pct"/>
            <w:tcBorders>
              <w:top w:val="single" w:sz="4" w:space="0" w:color="auto"/>
              <w:left w:val="single" w:sz="4" w:space="0" w:color="auto"/>
              <w:bottom w:val="single" w:sz="4" w:space="0" w:color="auto"/>
              <w:right w:val="single" w:sz="4" w:space="0" w:color="auto"/>
            </w:tcBorders>
            <w:hideMark/>
          </w:tcPr>
          <w:p w:rsidR="00D64239" w:rsidRPr="00D34003" w:rsidRDefault="00D6423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D64239" w:rsidRPr="00D34003" w:rsidRDefault="00D6423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37" w:type="pct"/>
            <w:tcBorders>
              <w:top w:val="single" w:sz="4" w:space="0" w:color="auto"/>
              <w:left w:val="single" w:sz="4" w:space="0" w:color="auto"/>
              <w:bottom w:val="single" w:sz="4" w:space="0" w:color="auto"/>
              <w:right w:val="single" w:sz="4" w:space="0" w:color="auto"/>
            </w:tcBorders>
            <w:hideMark/>
          </w:tcPr>
          <w:p w:rsidR="00D64239" w:rsidRPr="00D34003" w:rsidRDefault="00D6423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r>
      <w:tr w:rsidR="00E27B15" w:rsidRPr="00D34003" w:rsidTr="00FB1D3B">
        <w:trPr>
          <w:trHeight w:val="323"/>
        </w:trPr>
        <w:tc>
          <w:tcPr>
            <w:tcW w:w="1186" w:type="pct"/>
            <w:tcBorders>
              <w:top w:val="single" w:sz="4" w:space="0" w:color="auto"/>
              <w:left w:val="single" w:sz="4" w:space="0" w:color="auto"/>
              <w:bottom w:val="single" w:sz="4" w:space="0" w:color="auto"/>
              <w:right w:val="single" w:sz="4" w:space="0" w:color="auto"/>
            </w:tcBorders>
            <w:hideMark/>
          </w:tcPr>
          <w:p w:rsidR="00E27B15" w:rsidRPr="00D34003" w:rsidRDefault="00E27B15" w:rsidP="00E27B15">
            <w:pPr>
              <w:pStyle w:val="TableText0"/>
              <w:spacing w:line="256" w:lineRule="auto"/>
              <w:rPr>
                <w:szCs w:val="20"/>
              </w:rPr>
            </w:pPr>
            <w:proofErr w:type="spellStart"/>
            <w:r w:rsidRPr="00D34003">
              <w:rPr>
                <w:szCs w:val="20"/>
              </w:rPr>
              <w:t>Copayments</w:t>
            </w:r>
            <w:proofErr w:type="spellEnd"/>
          </w:p>
        </w:tc>
        <w:tc>
          <w:tcPr>
            <w:tcW w:w="643" w:type="pct"/>
            <w:tcBorders>
              <w:top w:val="single" w:sz="4" w:space="0" w:color="auto"/>
              <w:left w:val="single" w:sz="4" w:space="0" w:color="auto"/>
              <w:bottom w:val="single" w:sz="4" w:space="0" w:color="auto"/>
              <w:right w:val="single" w:sz="4" w:space="0" w:color="auto"/>
            </w:tcBorders>
            <w:hideMark/>
          </w:tcPr>
          <w:p w:rsidR="00E27B15" w:rsidRPr="00D34003" w:rsidRDefault="00E27B15"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839" w:type="pct"/>
            <w:tcBorders>
              <w:top w:val="single" w:sz="4" w:space="0" w:color="auto"/>
              <w:left w:val="single" w:sz="4" w:space="0" w:color="auto"/>
              <w:bottom w:val="single" w:sz="4" w:space="0" w:color="auto"/>
              <w:right w:val="single" w:sz="4" w:space="0" w:color="auto"/>
            </w:tcBorders>
            <w:hideMark/>
          </w:tcPr>
          <w:p w:rsidR="00E27B15" w:rsidRPr="00D34003" w:rsidRDefault="00E27B15"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hideMark/>
          </w:tcPr>
          <w:p w:rsidR="00E27B15" w:rsidRPr="00D34003" w:rsidRDefault="00E27B15"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46" w:type="pct"/>
            <w:tcBorders>
              <w:top w:val="single" w:sz="4" w:space="0" w:color="auto"/>
              <w:left w:val="single" w:sz="4" w:space="0" w:color="auto"/>
              <w:bottom w:val="single" w:sz="4" w:space="0" w:color="auto"/>
              <w:right w:val="single" w:sz="4" w:space="0" w:color="auto"/>
            </w:tcBorders>
            <w:hideMark/>
          </w:tcPr>
          <w:p w:rsidR="00E27B15" w:rsidRPr="00D34003" w:rsidRDefault="00E27B15"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hideMark/>
          </w:tcPr>
          <w:p w:rsidR="00E27B15" w:rsidRPr="00D34003" w:rsidRDefault="00E27B15"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37" w:type="pct"/>
            <w:tcBorders>
              <w:top w:val="single" w:sz="4" w:space="0" w:color="auto"/>
              <w:left w:val="single" w:sz="4" w:space="0" w:color="auto"/>
              <w:bottom w:val="single" w:sz="4" w:space="0" w:color="auto"/>
              <w:right w:val="single" w:sz="4" w:space="0" w:color="auto"/>
            </w:tcBorders>
            <w:hideMark/>
          </w:tcPr>
          <w:p w:rsidR="00E27B15" w:rsidRPr="00D34003" w:rsidRDefault="00E27B15"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r>
      <w:tr w:rsidR="00E27B15" w:rsidRPr="00D34003" w:rsidTr="00FB1D3B">
        <w:trPr>
          <w:trHeight w:val="572"/>
        </w:trPr>
        <w:tc>
          <w:tcPr>
            <w:tcW w:w="1186" w:type="pct"/>
            <w:tcBorders>
              <w:top w:val="single" w:sz="4" w:space="0" w:color="auto"/>
              <w:left w:val="single" w:sz="4" w:space="0" w:color="auto"/>
              <w:bottom w:val="single" w:sz="4" w:space="0" w:color="auto"/>
              <w:right w:val="single" w:sz="4" w:space="0" w:color="auto"/>
            </w:tcBorders>
            <w:hideMark/>
          </w:tcPr>
          <w:p w:rsidR="00E27B15" w:rsidRPr="00D34003" w:rsidRDefault="00E27B15" w:rsidP="00E27B15">
            <w:pPr>
              <w:pStyle w:val="TableText0"/>
              <w:spacing w:line="256" w:lineRule="auto"/>
              <w:rPr>
                <w:szCs w:val="20"/>
              </w:rPr>
            </w:pPr>
            <w:r w:rsidRPr="00D34003">
              <w:rPr>
                <w:szCs w:val="20"/>
              </w:rPr>
              <w:t xml:space="preserve">Cost to PBS/RPBS less </w:t>
            </w:r>
            <w:proofErr w:type="spellStart"/>
            <w:r w:rsidRPr="00D34003">
              <w:rPr>
                <w:szCs w:val="20"/>
              </w:rPr>
              <w:t>copayments</w:t>
            </w:r>
            <w:proofErr w:type="spellEnd"/>
          </w:p>
        </w:tc>
        <w:tc>
          <w:tcPr>
            <w:tcW w:w="643" w:type="pct"/>
            <w:tcBorders>
              <w:top w:val="single" w:sz="4" w:space="0" w:color="auto"/>
              <w:left w:val="single" w:sz="4" w:space="0" w:color="auto"/>
              <w:bottom w:val="single" w:sz="4" w:space="0" w:color="auto"/>
              <w:right w:val="single" w:sz="4" w:space="0" w:color="auto"/>
            </w:tcBorders>
          </w:tcPr>
          <w:p w:rsidR="00E27B15" w:rsidRPr="00D34003" w:rsidRDefault="00E27B15" w:rsidP="00074CC8">
            <w:pPr>
              <w:pStyle w:val="TableText0"/>
              <w:spacing w:line="256" w:lineRule="auto"/>
              <w:jc w:val="center"/>
              <w:rPr>
                <w:szCs w:val="20"/>
              </w:rPr>
            </w:pPr>
            <w:r w:rsidRPr="00D34003">
              <w:rPr>
                <w:szCs w:val="20"/>
              </w:rPr>
              <w:t>$</w:t>
            </w:r>
            <w:r w:rsidR="00504C28">
              <w:rPr>
                <w:noProof/>
                <w:color w:val="000000"/>
                <w:szCs w:val="20"/>
                <w:highlight w:val="black"/>
              </w:rPr>
              <w:t>'''''''''''''''''''''''''''</w:t>
            </w:r>
          </w:p>
        </w:tc>
        <w:tc>
          <w:tcPr>
            <w:tcW w:w="839" w:type="pct"/>
            <w:tcBorders>
              <w:top w:val="single" w:sz="4" w:space="0" w:color="auto"/>
              <w:left w:val="single" w:sz="4" w:space="0" w:color="auto"/>
              <w:bottom w:val="single" w:sz="4" w:space="0" w:color="auto"/>
              <w:right w:val="single" w:sz="4" w:space="0" w:color="auto"/>
            </w:tcBorders>
          </w:tcPr>
          <w:p w:rsidR="00E27B15" w:rsidRPr="00D34003" w:rsidRDefault="00E27B15" w:rsidP="00074CC8">
            <w:pPr>
              <w:pStyle w:val="TableText0"/>
              <w:spacing w:line="256" w:lineRule="auto"/>
              <w:jc w:val="center"/>
              <w:rPr>
                <w:szCs w:val="20"/>
              </w:rPr>
            </w:pPr>
            <w:r w:rsidRPr="00D34003">
              <w:rPr>
                <w:szCs w:val="20"/>
              </w:rPr>
              <w:t>$</w:t>
            </w:r>
            <w:r w:rsidR="00504C28">
              <w:rPr>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tcPr>
          <w:p w:rsidR="00E27B15" w:rsidRPr="00D34003" w:rsidRDefault="00E27B15" w:rsidP="00074CC8">
            <w:pPr>
              <w:pStyle w:val="TableText0"/>
              <w:spacing w:line="256" w:lineRule="auto"/>
              <w:jc w:val="center"/>
              <w:rPr>
                <w:szCs w:val="20"/>
              </w:rPr>
            </w:pPr>
            <w:r w:rsidRPr="00D34003">
              <w:rPr>
                <w:szCs w:val="20"/>
              </w:rPr>
              <w:t>$</w:t>
            </w:r>
            <w:r w:rsidR="00504C28">
              <w:rPr>
                <w:noProof/>
                <w:color w:val="000000"/>
                <w:szCs w:val="20"/>
                <w:highlight w:val="black"/>
              </w:rPr>
              <w:t>'''''''''''''''''''''''''''</w:t>
            </w:r>
          </w:p>
        </w:tc>
        <w:tc>
          <w:tcPr>
            <w:tcW w:w="546" w:type="pct"/>
            <w:tcBorders>
              <w:top w:val="single" w:sz="4" w:space="0" w:color="auto"/>
              <w:left w:val="single" w:sz="4" w:space="0" w:color="auto"/>
              <w:bottom w:val="single" w:sz="4" w:space="0" w:color="auto"/>
              <w:right w:val="single" w:sz="4" w:space="0" w:color="auto"/>
            </w:tcBorders>
          </w:tcPr>
          <w:p w:rsidR="00E27B15" w:rsidRPr="00D34003" w:rsidRDefault="00E27B15" w:rsidP="00074CC8">
            <w:pPr>
              <w:pStyle w:val="TableText0"/>
              <w:spacing w:line="256" w:lineRule="auto"/>
              <w:jc w:val="center"/>
              <w:rPr>
                <w:szCs w:val="20"/>
              </w:rPr>
            </w:pPr>
            <w:r w:rsidRPr="00D34003">
              <w:rPr>
                <w:szCs w:val="20"/>
              </w:rPr>
              <w:t>$</w:t>
            </w:r>
            <w:r w:rsidR="00504C28">
              <w:rPr>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tcPr>
          <w:p w:rsidR="00E27B15" w:rsidRPr="00D34003" w:rsidRDefault="00E27B15" w:rsidP="00074CC8">
            <w:pPr>
              <w:pStyle w:val="TableText0"/>
              <w:spacing w:line="256" w:lineRule="auto"/>
              <w:jc w:val="center"/>
              <w:rPr>
                <w:szCs w:val="20"/>
              </w:rPr>
            </w:pPr>
            <w:r w:rsidRPr="00D34003">
              <w:rPr>
                <w:szCs w:val="20"/>
              </w:rPr>
              <w:t>$</w:t>
            </w:r>
            <w:r w:rsidR="00504C28">
              <w:rPr>
                <w:noProof/>
                <w:color w:val="000000"/>
                <w:szCs w:val="20"/>
                <w:highlight w:val="black"/>
              </w:rPr>
              <w:t>'''''''''''''''''''''''''''</w:t>
            </w:r>
          </w:p>
        </w:tc>
        <w:tc>
          <w:tcPr>
            <w:tcW w:w="537" w:type="pct"/>
            <w:tcBorders>
              <w:top w:val="single" w:sz="4" w:space="0" w:color="auto"/>
              <w:left w:val="single" w:sz="4" w:space="0" w:color="auto"/>
              <w:bottom w:val="single" w:sz="4" w:space="0" w:color="auto"/>
              <w:right w:val="single" w:sz="4" w:space="0" w:color="auto"/>
            </w:tcBorders>
          </w:tcPr>
          <w:p w:rsidR="00E27B15" w:rsidRPr="00D34003" w:rsidRDefault="00E27B15" w:rsidP="00074CC8">
            <w:pPr>
              <w:pStyle w:val="TableText0"/>
              <w:spacing w:line="256" w:lineRule="auto"/>
              <w:jc w:val="center"/>
              <w:rPr>
                <w:szCs w:val="20"/>
              </w:rPr>
            </w:pPr>
            <w:r w:rsidRPr="00D34003">
              <w:rPr>
                <w:szCs w:val="20"/>
              </w:rPr>
              <w:t>$</w:t>
            </w:r>
            <w:r w:rsidR="00504C28">
              <w:rPr>
                <w:noProof/>
                <w:color w:val="000000"/>
                <w:szCs w:val="20"/>
                <w:highlight w:val="black"/>
              </w:rPr>
              <w:t>''''''''''''''''''''''''</w:t>
            </w:r>
          </w:p>
        </w:tc>
      </w:tr>
      <w:tr w:rsidR="000648B9" w:rsidRPr="00D34003" w:rsidTr="004C639C">
        <w:trPr>
          <w:trHeight w:val="343"/>
        </w:trPr>
        <w:tc>
          <w:tcPr>
            <w:tcW w:w="1186" w:type="pct"/>
            <w:tcBorders>
              <w:top w:val="single" w:sz="4" w:space="0" w:color="auto"/>
              <w:left w:val="single" w:sz="4" w:space="0" w:color="auto"/>
              <w:bottom w:val="single" w:sz="4" w:space="0" w:color="auto"/>
              <w:right w:val="single" w:sz="4" w:space="0" w:color="auto"/>
            </w:tcBorders>
          </w:tcPr>
          <w:p w:rsidR="000648B9" w:rsidRPr="00D34003" w:rsidRDefault="000648B9" w:rsidP="00E27B15">
            <w:pPr>
              <w:pStyle w:val="TableText0"/>
              <w:spacing w:line="256" w:lineRule="auto"/>
              <w:rPr>
                <w:szCs w:val="20"/>
              </w:rPr>
            </w:pPr>
            <w:r w:rsidRPr="00D34003">
              <w:rPr>
                <w:szCs w:val="20"/>
              </w:rPr>
              <w:t>Cost to PBS/RPBS (updated in PSCR)</w:t>
            </w:r>
          </w:p>
        </w:tc>
        <w:tc>
          <w:tcPr>
            <w:tcW w:w="643" w:type="pct"/>
            <w:tcBorders>
              <w:top w:val="single" w:sz="4" w:space="0" w:color="auto"/>
              <w:left w:val="single" w:sz="4" w:space="0" w:color="auto"/>
              <w:bottom w:val="single" w:sz="4" w:space="0" w:color="auto"/>
              <w:right w:val="single" w:sz="4" w:space="0" w:color="auto"/>
            </w:tcBorders>
          </w:tcPr>
          <w:p w:rsidR="000648B9" w:rsidRPr="00D34003" w:rsidRDefault="000648B9" w:rsidP="000648B9">
            <w:pPr>
              <w:pStyle w:val="TableText0"/>
              <w:spacing w:line="256" w:lineRule="auto"/>
              <w:jc w:val="center"/>
              <w:rPr>
                <w:szCs w:val="20"/>
              </w:rPr>
            </w:pPr>
            <w:r w:rsidRPr="00D34003">
              <w:rPr>
                <w:rFonts w:eastAsiaTheme="minorEastAsia" w:cs="Arial"/>
                <w:szCs w:val="20"/>
              </w:rPr>
              <w:t>$</w:t>
            </w:r>
            <w:r w:rsidR="00504C28">
              <w:rPr>
                <w:rFonts w:eastAsiaTheme="minorEastAsia" w:cs="Arial"/>
                <w:noProof/>
                <w:color w:val="000000"/>
                <w:szCs w:val="20"/>
                <w:highlight w:val="black"/>
              </w:rPr>
              <w:t>''''''''''''''''''''''''</w:t>
            </w:r>
          </w:p>
        </w:tc>
        <w:tc>
          <w:tcPr>
            <w:tcW w:w="839" w:type="pct"/>
            <w:tcBorders>
              <w:top w:val="single" w:sz="4" w:space="0" w:color="auto"/>
              <w:left w:val="single" w:sz="4" w:space="0" w:color="auto"/>
              <w:bottom w:val="single" w:sz="4" w:space="0" w:color="auto"/>
              <w:right w:val="single" w:sz="4" w:space="0" w:color="auto"/>
            </w:tcBorders>
          </w:tcPr>
          <w:p w:rsidR="000648B9" w:rsidRPr="00D34003" w:rsidRDefault="000648B9" w:rsidP="000648B9">
            <w:pPr>
              <w:pStyle w:val="TableText0"/>
              <w:spacing w:line="256" w:lineRule="auto"/>
              <w:jc w:val="center"/>
              <w:rPr>
                <w:szCs w:val="20"/>
              </w:rPr>
            </w:pPr>
            <w:r w:rsidRPr="00D34003">
              <w:rPr>
                <w:rFonts w:eastAsiaTheme="minorEastAsia" w:cs="Arial"/>
                <w:szCs w:val="20"/>
              </w:rPr>
              <w:t>$</w:t>
            </w:r>
            <w:r w:rsidR="00504C28">
              <w:rPr>
                <w:rFonts w:eastAsiaTheme="minorEastAsia"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tcPr>
          <w:p w:rsidR="000648B9" w:rsidRPr="00D34003" w:rsidRDefault="000648B9" w:rsidP="000648B9">
            <w:pPr>
              <w:pStyle w:val="TableText0"/>
              <w:spacing w:line="256" w:lineRule="auto"/>
              <w:jc w:val="center"/>
              <w:rPr>
                <w:szCs w:val="20"/>
              </w:rPr>
            </w:pPr>
            <w:r w:rsidRPr="00D34003">
              <w:rPr>
                <w:rFonts w:eastAsiaTheme="minorEastAsia" w:cs="Arial"/>
                <w:szCs w:val="20"/>
              </w:rPr>
              <w:t>$</w:t>
            </w:r>
            <w:r w:rsidR="00504C28">
              <w:rPr>
                <w:rFonts w:eastAsiaTheme="minorEastAsia" w:cs="Arial"/>
                <w:noProof/>
                <w:color w:val="000000"/>
                <w:szCs w:val="20"/>
                <w:highlight w:val="black"/>
              </w:rPr>
              <w:t>''''''''''''''''''''''''''''</w:t>
            </w:r>
          </w:p>
        </w:tc>
        <w:tc>
          <w:tcPr>
            <w:tcW w:w="546" w:type="pct"/>
            <w:tcBorders>
              <w:top w:val="single" w:sz="4" w:space="0" w:color="auto"/>
              <w:left w:val="single" w:sz="4" w:space="0" w:color="auto"/>
              <w:bottom w:val="single" w:sz="4" w:space="0" w:color="auto"/>
              <w:right w:val="single" w:sz="4" w:space="0" w:color="auto"/>
            </w:tcBorders>
          </w:tcPr>
          <w:p w:rsidR="000648B9" w:rsidRPr="00D34003" w:rsidRDefault="000648B9" w:rsidP="000648B9">
            <w:pPr>
              <w:pStyle w:val="TableText0"/>
              <w:spacing w:line="256" w:lineRule="auto"/>
              <w:jc w:val="center"/>
              <w:rPr>
                <w:szCs w:val="20"/>
              </w:rPr>
            </w:pPr>
            <w:r w:rsidRPr="00D34003">
              <w:rPr>
                <w:rFonts w:eastAsiaTheme="minorEastAsia" w:cs="Arial"/>
                <w:szCs w:val="20"/>
              </w:rPr>
              <w:t>$</w:t>
            </w:r>
            <w:r w:rsidR="00504C28">
              <w:rPr>
                <w:rFonts w:eastAsiaTheme="minorEastAsia" w:cs="Arial"/>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tcPr>
          <w:p w:rsidR="000648B9" w:rsidRPr="00D34003" w:rsidRDefault="000648B9" w:rsidP="000648B9">
            <w:pPr>
              <w:pStyle w:val="TableText0"/>
              <w:spacing w:line="256" w:lineRule="auto"/>
              <w:jc w:val="center"/>
              <w:rPr>
                <w:szCs w:val="20"/>
              </w:rPr>
            </w:pPr>
            <w:r w:rsidRPr="00D34003">
              <w:rPr>
                <w:rFonts w:eastAsiaTheme="minorEastAsia" w:cs="Arial"/>
                <w:szCs w:val="20"/>
              </w:rPr>
              <w:t>$</w:t>
            </w:r>
            <w:r w:rsidR="00504C28">
              <w:rPr>
                <w:rFonts w:eastAsiaTheme="minorEastAsia" w:cs="Arial"/>
                <w:noProof/>
                <w:color w:val="000000"/>
                <w:szCs w:val="20"/>
                <w:highlight w:val="black"/>
              </w:rPr>
              <w:t>''''''''''''''''''''''''</w:t>
            </w:r>
          </w:p>
        </w:tc>
        <w:tc>
          <w:tcPr>
            <w:tcW w:w="537" w:type="pct"/>
            <w:tcBorders>
              <w:top w:val="single" w:sz="4" w:space="0" w:color="auto"/>
              <w:left w:val="single" w:sz="4" w:space="0" w:color="auto"/>
              <w:bottom w:val="single" w:sz="4" w:space="0" w:color="auto"/>
              <w:right w:val="single" w:sz="4" w:space="0" w:color="auto"/>
            </w:tcBorders>
          </w:tcPr>
          <w:p w:rsidR="000648B9" w:rsidRPr="00D34003" w:rsidRDefault="000648B9" w:rsidP="000648B9">
            <w:pPr>
              <w:pStyle w:val="TableText0"/>
              <w:spacing w:line="256" w:lineRule="auto"/>
              <w:jc w:val="center"/>
              <w:rPr>
                <w:szCs w:val="20"/>
              </w:rPr>
            </w:pPr>
            <w:r w:rsidRPr="00D34003">
              <w:rPr>
                <w:rFonts w:eastAsiaTheme="minorEastAsia" w:cs="Arial"/>
                <w:szCs w:val="20"/>
              </w:rPr>
              <w:t>$</w:t>
            </w:r>
            <w:r w:rsidR="00504C28">
              <w:rPr>
                <w:rFonts w:eastAsiaTheme="minorEastAsia" w:cs="Arial"/>
                <w:noProof/>
                <w:color w:val="000000"/>
                <w:szCs w:val="20"/>
                <w:highlight w:val="black"/>
              </w:rPr>
              <w:t>''''''''''''''''''''''''</w:t>
            </w:r>
          </w:p>
        </w:tc>
      </w:tr>
      <w:tr w:rsidR="000648B9" w:rsidRPr="00D34003" w:rsidTr="00FB1D3B">
        <w:trPr>
          <w:trHeight w:val="323"/>
        </w:trPr>
        <w:tc>
          <w:tcPr>
            <w:tcW w:w="5000" w:type="pct"/>
            <w:gridSpan w:val="7"/>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rPr>
                <w:b/>
                <w:bCs/>
                <w:color w:val="000000"/>
                <w:szCs w:val="20"/>
              </w:rPr>
            </w:pPr>
            <w:r w:rsidRPr="00D34003">
              <w:rPr>
                <w:b/>
                <w:bCs/>
                <w:color w:val="000000"/>
                <w:szCs w:val="20"/>
              </w:rPr>
              <w:t>Estimated financial implications for standard of care</w:t>
            </w:r>
          </w:p>
        </w:tc>
      </w:tr>
      <w:tr w:rsidR="000648B9" w:rsidRPr="00D34003" w:rsidTr="00FB1D3B">
        <w:trPr>
          <w:trHeight w:val="330"/>
        </w:trPr>
        <w:tc>
          <w:tcPr>
            <w:tcW w:w="1186" w:type="pct"/>
            <w:tcBorders>
              <w:top w:val="single" w:sz="4" w:space="0" w:color="auto"/>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r w:rsidRPr="00D34003">
              <w:rPr>
                <w:szCs w:val="20"/>
              </w:rPr>
              <w:t>Cost to PBS/RPBS</w:t>
            </w:r>
          </w:p>
        </w:tc>
        <w:tc>
          <w:tcPr>
            <w:tcW w:w="643"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839"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625"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546"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624"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537"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r>
      <w:tr w:rsidR="000648B9" w:rsidRPr="00D34003" w:rsidTr="00FB1D3B">
        <w:trPr>
          <w:trHeight w:val="323"/>
        </w:trPr>
        <w:tc>
          <w:tcPr>
            <w:tcW w:w="1186" w:type="pct"/>
            <w:tcBorders>
              <w:top w:val="nil"/>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r w:rsidRPr="00D34003">
              <w:rPr>
                <w:rFonts w:eastAsia="Times New Roman" w:cs="Arial"/>
                <w:szCs w:val="20"/>
                <w:lang w:eastAsia="en-AU"/>
              </w:rPr>
              <w:t>Paclitaxel 100mg vial</w:t>
            </w:r>
          </w:p>
        </w:tc>
        <w:tc>
          <w:tcPr>
            <w:tcW w:w="643"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839"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5"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46"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4"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37"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r>
      <w:tr w:rsidR="000648B9" w:rsidRPr="00D34003" w:rsidTr="00FB1D3B">
        <w:trPr>
          <w:trHeight w:val="323"/>
        </w:trPr>
        <w:tc>
          <w:tcPr>
            <w:tcW w:w="1186" w:type="pct"/>
            <w:tcBorders>
              <w:top w:val="nil"/>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r w:rsidRPr="00D34003">
              <w:rPr>
                <w:rFonts w:eastAsia="Times New Roman" w:cs="Arial"/>
                <w:szCs w:val="20"/>
                <w:lang w:eastAsia="en-AU"/>
              </w:rPr>
              <w:t>Docetaxel 160mg vial</w:t>
            </w:r>
          </w:p>
        </w:tc>
        <w:tc>
          <w:tcPr>
            <w:tcW w:w="643"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839"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5"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46"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4"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37" w:type="pct"/>
            <w:tcBorders>
              <w:top w:val="nil"/>
              <w:left w:val="nil"/>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r>
      <w:tr w:rsidR="000648B9" w:rsidRPr="00D34003" w:rsidTr="00FB1D3B">
        <w:trPr>
          <w:trHeight w:val="323"/>
        </w:trPr>
        <w:tc>
          <w:tcPr>
            <w:tcW w:w="1186" w:type="pct"/>
            <w:tcBorders>
              <w:top w:val="single" w:sz="4" w:space="0" w:color="auto"/>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proofErr w:type="spellStart"/>
            <w:r w:rsidRPr="00D34003">
              <w:rPr>
                <w:szCs w:val="20"/>
              </w:rPr>
              <w:t>Copayments</w:t>
            </w:r>
            <w:proofErr w:type="spellEnd"/>
          </w:p>
        </w:tc>
        <w:tc>
          <w:tcPr>
            <w:tcW w:w="643"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839"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625"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546"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624"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537"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r>
      <w:tr w:rsidR="000648B9" w:rsidRPr="00D34003" w:rsidTr="00FB1D3B">
        <w:trPr>
          <w:trHeight w:val="323"/>
        </w:trPr>
        <w:tc>
          <w:tcPr>
            <w:tcW w:w="1186" w:type="pct"/>
            <w:tcBorders>
              <w:top w:val="nil"/>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r w:rsidRPr="00D34003">
              <w:rPr>
                <w:rFonts w:eastAsia="Times New Roman" w:cs="Arial"/>
                <w:szCs w:val="20"/>
                <w:lang w:eastAsia="en-AU"/>
              </w:rPr>
              <w:t>Paclitaxel 100mg vial</w:t>
            </w:r>
          </w:p>
        </w:tc>
        <w:tc>
          <w:tcPr>
            <w:tcW w:w="643"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839"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5"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46"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4"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37"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r>
      <w:tr w:rsidR="000648B9" w:rsidRPr="00D34003" w:rsidTr="00FB1D3B">
        <w:trPr>
          <w:trHeight w:val="370"/>
        </w:trPr>
        <w:tc>
          <w:tcPr>
            <w:tcW w:w="1186" w:type="pct"/>
            <w:tcBorders>
              <w:top w:val="nil"/>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r w:rsidRPr="00D34003">
              <w:rPr>
                <w:rFonts w:eastAsia="Times New Roman" w:cs="Arial"/>
                <w:szCs w:val="20"/>
                <w:lang w:eastAsia="en-AU"/>
              </w:rPr>
              <w:t>Docetaxel 160mg vial</w:t>
            </w:r>
          </w:p>
        </w:tc>
        <w:tc>
          <w:tcPr>
            <w:tcW w:w="643"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839"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5"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46"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4"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37"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r>
      <w:tr w:rsidR="000648B9" w:rsidRPr="00D34003" w:rsidTr="00FB1D3B">
        <w:trPr>
          <w:trHeight w:val="572"/>
        </w:trPr>
        <w:tc>
          <w:tcPr>
            <w:tcW w:w="1186" w:type="pct"/>
            <w:tcBorders>
              <w:top w:val="single" w:sz="4" w:space="0" w:color="auto"/>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r w:rsidRPr="00D34003">
              <w:rPr>
                <w:szCs w:val="20"/>
              </w:rPr>
              <w:t xml:space="preserve">Cost to PBS/RPBS less </w:t>
            </w:r>
            <w:proofErr w:type="spellStart"/>
            <w:r w:rsidRPr="00D34003">
              <w:rPr>
                <w:szCs w:val="20"/>
              </w:rPr>
              <w:t>copayments</w:t>
            </w:r>
            <w:proofErr w:type="spellEnd"/>
          </w:p>
        </w:tc>
        <w:tc>
          <w:tcPr>
            <w:tcW w:w="643"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839"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625"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546"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624"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c>
          <w:tcPr>
            <w:tcW w:w="537" w:type="pct"/>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jc w:val="center"/>
              <w:rPr>
                <w:bCs/>
                <w:color w:val="000000"/>
                <w:szCs w:val="20"/>
              </w:rPr>
            </w:pPr>
          </w:p>
        </w:tc>
      </w:tr>
      <w:tr w:rsidR="000648B9" w:rsidRPr="00D34003" w:rsidTr="00FB1D3B">
        <w:trPr>
          <w:trHeight w:val="323"/>
        </w:trPr>
        <w:tc>
          <w:tcPr>
            <w:tcW w:w="1186" w:type="pct"/>
            <w:tcBorders>
              <w:top w:val="nil"/>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r w:rsidRPr="00D34003">
              <w:rPr>
                <w:rFonts w:eastAsia="Times New Roman" w:cs="Arial"/>
                <w:szCs w:val="20"/>
                <w:lang w:eastAsia="en-AU"/>
              </w:rPr>
              <w:t>Paclitaxel 100mg vial</w:t>
            </w:r>
          </w:p>
        </w:tc>
        <w:tc>
          <w:tcPr>
            <w:tcW w:w="643"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839"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5"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46"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4"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37"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r>
      <w:tr w:rsidR="000648B9" w:rsidRPr="00D34003" w:rsidTr="00FB1D3B">
        <w:trPr>
          <w:trHeight w:val="323"/>
        </w:trPr>
        <w:tc>
          <w:tcPr>
            <w:tcW w:w="1186" w:type="pct"/>
            <w:tcBorders>
              <w:top w:val="nil"/>
              <w:left w:val="single" w:sz="4" w:space="0" w:color="auto"/>
              <w:bottom w:val="single" w:sz="4" w:space="0" w:color="auto"/>
              <w:right w:val="single" w:sz="4" w:space="0" w:color="auto"/>
            </w:tcBorders>
            <w:hideMark/>
          </w:tcPr>
          <w:p w:rsidR="000648B9" w:rsidRPr="00D34003" w:rsidRDefault="000648B9" w:rsidP="00D64239">
            <w:pPr>
              <w:pStyle w:val="TableText0"/>
              <w:spacing w:line="256" w:lineRule="auto"/>
              <w:rPr>
                <w:szCs w:val="20"/>
              </w:rPr>
            </w:pPr>
            <w:r w:rsidRPr="00D34003">
              <w:rPr>
                <w:rFonts w:eastAsia="Times New Roman" w:cs="Arial"/>
                <w:szCs w:val="20"/>
                <w:lang w:eastAsia="en-AU"/>
              </w:rPr>
              <w:t>Docetaxel 160mg vial</w:t>
            </w:r>
          </w:p>
        </w:tc>
        <w:tc>
          <w:tcPr>
            <w:tcW w:w="643"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839"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5"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46"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624"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c>
          <w:tcPr>
            <w:tcW w:w="537" w:type="pct"/>
            <w:tcBorders>
              <w:top w:val="nil"/>
              <w:left w:val="nil"/>
              <w:bottom w:val="single" w:sz="4" w:space="0" w:color="auto"/>
              <w:right w:val="single" w:sz="4" w:space="0" w:color="auto"/>
            </w:tcBorders>
            <w:hideMark/>
          </w:tcPr>
          <w:p w:rsidR="000648B9" w:rsidRPr="00D34003" w:rsidRDefault="000648B9" w:rsidP="00074CC8">
            <w:pPr>
              <w:pStyle w:val="TableText0"/>
              <w:spacing w:line="256" w:lineRule="auto"/>
              <w:jc w:val="center"/>
              <w:rPr>
                <w:bCs/>
                <w:color w:val="000000"/>
                <w:szCs w:val="20"/>
              </w:rPr>
            </w:pPr>
            <w:r w:rsidRPr="00D34003">
              <w:rPr>
                <w:szCs w:val="20"/>
              </w:rPr>
              <w:t>$</w:t>
            </w:r>
            <w:r w:rsidR="00504C28">
              <w:rPr>
                <w:noProof/>
                <w:color w:val="000000"/>
                <w:szCs w:val="20"/>
                <w:highlight w:val="black"/>
              </w:rPr>
              <w:t>'''''''''''''''</w:t>
            </w:r>
          </w:p>
        </w:tc>
      </w:tr>
      <w:tr w:rsidR="000648B9" w:rsidRPr="00D34003" w:rsidTr="00FB1D3B">
        <w:trPr>
          <w:trHeight w:val="330"/>
        </w:trPr>
        <w:tc>
          <w:tcPr>
            <w:tcW w:w="5000" w:type="pct"/>
            <w:gridSpan w:val="7"/>
            <w:tcBorders>
              <w:top w:val="single" w:sz="4" w:space="0" w:color="auto"/>
              <w:left w:val="single" w:sz="4" w:space="0" w:color="auto"/>
              <w:bottom w:val="single" w:sz="4" w:space="0" w:color="auto"/>
              <w:right w:val="single" w:sz="4" w:space="0" w:color="auto"/>
            </w:tcBorders>
          </w:tcPr>
          <w:p w:rsidR="000648B9" w:rsidRPr="00D34003" w:rsidRDefault="000648B9" w:rsidP="00074CC8">
            <w:pPr>
              <w:pStyle w:val="TableText0"/>
              <w:spacing w:line="256" w:lineRule="auto"/>
              <w:rPr>
                <w:b/>
                <w:bCs/>
                <w:color w:val="000000"/>
                <w:szCs w:val="20"/>
              </w:rPr>
            </w:pPr>
            <w:r w:rsidRPr="00D34003">
              <w:rPr>
                <w:b/>
                <w:bCs/>
                <w:color w:val="000000"/>
                <w:szCs w:val="20"/>
              </w:rPr>
              <w:t>Net financial implications</w:t>
            </w:r>
          </w:p>
        </w:tc>
      </w:tr>
      <w:tr w:rsidR="000648B9" w:rsidRPr="00D34003" w:rsidTr="000648B9">
        <w:trPr>
          <w:trHeight w:val="316"/>
        </w:trPr>
        <w:tc>
          <w:tcPr>
            <w:tcW w:w="1186" w:type="pct"/>
            <w:tcBorders>
              <w:top w:val="single" w:sz="4" w:space="0" w:color="auto"/>
              <w:left w:val="single" w:sz="4" w:space="0" w:color="auto"/>
              <w:bottom w:val="single" w:sz="4" w:space="0" w:color="auto"/>
              <w:right w:val="single" w:sz="4" w:space="0" w:color="auto"/>
            </w:tcBorders>
            <w:hideMark/>
          </w:tcPr>
          <w:p w:rsidR="000648B9" w:rsidRPr="00D34003" w:rsidRDefault="000648B9" w:rsidP="00E27B15">
            <w:pPr>
              <w:pStyle w:val="TableText0"/>
              <w:spacing w:line="256" w:lineRule="auto"/>
              <w:rPr>
                <w:szCs w:val="20"/>
              </w:rPr>
            </w:pPr>
            <w:r w:rsidRPr="00D34003">
              <w:rPr>
                <w:szCs w:val="20"/>
              </w:rPr>
              <w:t>Net cost to PBS/RPBS</w:t>
            </w:r>
          </w:p>
        </w:tc>
        <w:tc>
          <w:tcPr>
            <w:tcW w:w="643" w:type="pct"/>
            <w:tcBorders>
              <w:top w:val="nil"/>
              <w:left w:val="nil"/>
              <w:bottom w:val="nil"/>
              <w:right w:val="single" w:sz="4" w:space="0" w:color="auto"/>
            </w:tcBorders>
            <w:hideMark/>
          </w:tcPr>
          <w:p w:rsidR="000648B9" w:rsidRPr="00D34003" w:rsidRDefault="000648B9" w:rsidP="00074CC8">
            <w:pPr>
              <w:pStyle w:val="TableText0"/>
              <w:spacing w:line="256" w:lineRule="auto"/>
              <w:jc w:val="center"/>
              <w:rPr>
                <w:b/>
                <w:bCs/>
                <w:color w:val="000000"/>
                <w:szCs w:val="20"/>
              </w:rPr>
            </w:pPr>
            <w:r w:rsidRPr="00D34003">
              <w:rPr>
                <w:rFonts w:cs="Arial"/>
                <w:b/>
                <w:szCs w:val="20"/>
              </w:rPr>
              <w:t>$</w:t>
            </w:r>
            <w:r w:rsidR="00504C28">
              <w:rPr>
                <w:rFonts w:cs="Arial"/>
                <w:b/>
                <w:noProof/>
                <w:color w:val="000000"/>
                <w:szCs w:val="20"/>
                <w:highlight w:val="black"/>
              </w:rPr>
              <w:t>''''''''''''''''''''''</w:t>
            </w:r>
          </w:p>
        </w:tc>
        <w:tc>
          <w:tcPr>
            <w:tcW w:w="839" w:type="pct"/>
            <w:tcBorders>
              <w:top w:val="nil"/>
              <w:left w:val="nil"/>
              <w:bottom w:val="nil"/>
              <w:right w:val="single" w:sz="4" w:space="0" w:color="auto"/>
            </w:tcBorders>
            <w:hideMark/>
          </w:tcPr>
          <w:p w:rsidR="000648B9" w:rsidRPr="00D34003" w:rsidRDefault="000648B9" w:rsidP="00074CC8">
            <w:pPr>
              <w:pStyle w:val="TableText0"/>
              <w:spacing w:line="256" w:lineRule="auto"/>
              <w:jc w:val="center"/>
              <w:rPr>
                <w:b/>
                <w:bCs/>
                <w:color w:val="000000"/>
                <w:szCs w:val="20"/>
              </w:rPr>
            </w:pPr>
            <w:r w:rsidRPr="00D34003">
              <w:rPr>
                <w:rFonts w:cs="Arial"/>
                <w:b/>
                <w:szCs w:val="20"/>
              </w:rPr>
              <w:t>$</w:t>
            </w:r>
            <w:r w:rsidR="00504C28">
              <w:rPr>
                <w:rFonts w:cs="Arial"/>
                <w:b/>
                <w:noProof/>
                <w:color w:val="000000"/>
                <w:szCs w:val="20"/>
                <w:highlight w:val="black"/>
              </w:rPr>
              <w:t>''''''''''''''''''''''</w:t>
            </w:r>
          </w:p>
        </w:tc>
        <w:tc>
          <w:tcPr>
            <w:tcW w:w="625" w:type="pct"/>
            <w:tcBorders>
              <w:top w:val="nil"/>
              <w:left w:val="nil"/>
              <w:bottom w:val="nil"/>
              <w:right w:val="single" w:sz="4" w:space="0" w:color="auto"/>
            </w:tcBorders>
            <w:hideMark/>
          </w:tcPr>
          <w:p w:rsidR="000648B9" w:rsidRPr="00D34003" w:rsidRDefault="000648B9" w:rsidP="00074CC8">
            <w:pPr>
              <w:pStyle w:val="TableText0"/>
              <w:spacing w:line="256" w:lineRule="auto"/>
              <w:jc w:val="center"/>
              <w:rPr>
                <w:b/>
                <w:bCs/>
                <w:color w:val="000000"/>
                <w:szCs w:val="20"/>
              </w:rPr>
            </w:pPr>
            <w:r w:rsidRPr="00D34003">
              <w:rPr>
                <w:b/>
                <w:szCs w:val="20"/>
              </w:rPr>
              <w:t>$</w:t>
            </w:r>
            <w:r w:rsidR="00504C28">
              <w:rPr>
                <w:b/>
                <w:noProof/>
                <w:color w:val="000000"/>
                <w:szCs w:val="20"/>
                <w:highlight w:val="black"/>
              </w:rPr>
              <w:t>'''''''''''''''''''''''</w:t>
            </w:r>
          </w:p>
        </w:tc>
        <w:tc>
          <w:tcPr>
            <w:tcW w:w="546" w:type="pct"/>
            <w:tcBorders>
              <w:top w:val="nil"/>
              <w:left w:val="nil"/>
              <w:bottom w:val="nil"/>
              <w:right w:val="single" w:sz="4" w:space="0" w:color="auto"/>
            </w:tcBorders>
            <w:hideMark/>
          </w:tcPr>
          <w:p w:rsidR="000648B9" w:rsidRPr="00D34003" w:rsidRDefault="000648B9" w:rsidP="00074CC8">
            <w:pPr>
              <w:pStyle w:val="TableText0"/>
              <w:spacing w:line="256" w:lineRule="auto"/>
              <w:jc w:val="center"/>
              <w:rPr>
                <w:b/>
                <w:bCs/>
                <w:color w:val="000000"/>
                <w:szCs w:val="20"/>
              </w:rPr>
            </w:pPr>
            <w:r w:rsidRPr="00D34003">
              <w:rPr>
                <w:b/>
                <w:szCs w:val="20"/>
              </w:rPr>
              <w:t>$</w:t>
            </w:r>
            <w:r w:rsidR="00504C28">
              <w:rPr>
                <w:b/>
                <w:noProof/>
                <w:color w:val="000000"/>
                <w:szCs w:val="20"/>
                <w:highlight w:val="black"/>
              </w:rPr>
              <w:t>'''''''''''''''''''''</w:t>
            </w:r>
          </w:p>
        </w:tc>
        <w:tc>
          <w:tcPr>
            <w:tcW w:w="624" w:type="pct"/>
            <w:tcBorders>
              <w:top w:val="nil"/>
              <w:left w:val="nil"/>
              <w:bottom w:val="nil"/>
              <w:right w:val="single" w:sz="4" w:space="0" w:color="auto"/>
            </w:tcBorders>
            <w:hideMark/>
          </w:tcPr>
          <w:p w:rsidR="000648B9" w:rsidRPr="00D34003" w:rsidRDefault="000648B9" w:rsidP="00074CC8">
            <w:pPr>
              <w:pStyle w:val="TableText0"/>
              <w:spacing w:line="256" w:lineRule="auto"/>
              <w:jc w:val="center"/>
              <w:rPr>
                <w:b/>
                <w:bCs/>
                <w:color w:val="000000"/>
                <w:szCs w:val="20"/>
              </w:rPr>
            </w:pPr>
            <w:r w:rsidRPr="00D34003">
              <w:rPr>
                <w:b/>
                <w:szCs w:val="20"/>
              </w:rPr>
              <w:t>$</w:t>
            </w:r>
            <w:r w:rsidR="00504C28">
              <w:rPr>
                <w:b/>
                <w:noProof/>
                <w:color w:val="000000"/>
                <w:szCs w:val="20"/>
                <w:highlight w:val="black"/>
              </w:rPr>
              <w:t>'''''''''''''''''''''</w:t>
            </w:r>
          </w:p>
        </w:tc>
        <w:tc>
          <w:tcPr>
            <w:tcW w:w="537" w:type="pct"/>
            <w:tcBorders>
              <w:top w:val="nil"/>
              <w:left w:val="nil"/>
              <w:bottom w:val="nil"/>
              <w:right w:val="single" w:sz="4" w:space="0" w:color="auto"/>
            </w:tcBorders>
            <w:hideMark/>
          </w:tcPr>
          <w:p w:rsidR="000648B9" w:rsidRPr="00D34003" w:rsidRDefault="000648B9" w:rsidP="00074CC8">
            <w:pPr>
              <w:pStyle w:val="TableText0"/>
              <w:spacing w:line="256" w:lineRule="auto"/>
              <w:jc w:val="center"/>
              <w:rPr>
                <w:b/>
                <w:bCs/>
                <w:color w:val="000000"/>
                <w:szCs w:val="20"/>
              </w:rPr>
            </w:pPr>
            <w:r w:rsidRPr="00D34003">
              <w:rPr>
                <w:b/>
                <w:szCs w:val="20"/>
              </w:rPr>
              <w:t>$</w:t>
            </w:r>
            <w:r w:rsidR="00504C28">
              <w:rPr>
                <w:b/>
                <w:noProof/>
                <w:color w:val="000000"/>
                <w:szCs w:val="20"/>
                <w:highlight w:val="black"/>
              </w:rPr>
              <w:t>'''''''''''''''''''''</w:t>
            </w:r>
          </w:p>
        </w:tc>
      </w:tr>
      <w:tr w:rsidR="000648B9" w:rsidRPr="002A01DB" w:rsidTr="004C639C">
        <w:trPr>
          <w:trHeight w:val="316"/>
        </w:trPr>
        <w:tc>
          <w:tcPr>
            <w:tcW w:w="1186" w:type="pct"/>
            <w:tcBorders>
              <w:top w:val="single" w:sz="4" w:space="0" w:color="auto"/>
              <w:left w:val="single" w:sz="4" w:space="0" w:color="auto"/>
              <w:bottom w:val="single" w:sz="4" w:space="0" w:color="auto"/>
              <w:right w:val="single" w:sz="4" w:space="0" w:color="auto"/>
            </w:tcBorders>
            <w:vAlign w:val="center"/>
          </w:tcPr>
          <w:p w:rsidR="000648B9" w:rsidRPr="002A01DB" w:rsidRDefault="000648B9" w:rsidP="004C639C">
            <w:pPr>
              <w:pStyle w:val="TableText0"/>
              <w:spacing w:line="256" w:lineRule="auto"/>
              <w:rPr>
                <w:szCs w:val="20"/>
              </w:rPr>
            </w:pPr>
            <w:r w:rsidRPr="002A01DB">
              <w:rPr>
                <w:szCs w:val="20"/>
              </w:rPr>
              <w:t>Net cost to PBS/RPBS (updated in PSCR)</w:t>
            </w:r>
          </w:p>
        </w:tc>
        <w:tc>
          <w:tcPr>
            <w:tcW w:w="643" w:type="pct"/>
            <w:tcBorders>
              <w:top w:val="nil"/>
              <w:left w:val="nil"/>
              <w:bottom w:val="nil"/>
              <w:right w:val="single" w:sz="4" w:space="0" w:color="auto"/>
            </w:tcBorders>
            <w:vAlign w:val="center"/>
          </w:tcPr>
          <w:p w:rsidR="000648B9" w:rsidRPr="002A01DB" w:rsidRDefault="000648B9" w:rsidP="004C639C">
            <w:pPr>
              <w:pStyle w:val="TableText0"/>
              <w:spacing w:line="256" w:lineRule="auto"/>
              <w:jc w:val="center"/>
              <w:rPr>
                <w:rFonts w:cs="Arial"/>
                <w:b/>
                <w:szCs w:val="20"/>
              </w:rPr>
            </w:pPr>
            <w:r w:rsidRPr="002A01DB">
              <w:rPr>
                <w:rFonts w:eastAsiaTheme="minorEastAsia" w:cs="Arial"/>
                <w:b/>
                <w:szCs w:val="20"/>
              </w:rPr>
              <w:t>$</w:t>
            </w:r>
            <w:r w:rsidR="00504C28">
              <w:rPr>
                <w:rFonts w:eastAsiaTheme="minorEastAsia" w:cs="Arial"/>
                <w:b/>
                <w:noProof/>
                <w:color w:val="000000"/>
                <w:szCs w:val="20"/>
                <w:highlight w:val="black"/>
              </w:rPr>
              <w:t>'''''''''''''''''''</w:t>
            </w:r>
          </w:p>
        </w:tc>
        <w:tc>
          <w:tcPr>
            <w:tcW w:w="839" w:type="pct"/>
            <w:tcBorders>
              <w:top w:val="nil"/>
              <w:left w:val="nil"/>
              <w:bottom w:val="nil"/>
              <w:right w:val="single" w:sz="4" w:space="0" w:color="auto"/>
            </w:tcBorders>
            <w:vAlign w:val="center"/>
          </w:tcPr>
          <w:p w:rsidR="000648B9" w:rsidRPr="002A01DB" w:rsidRDefault="000648B9" w:rsidP="004C639C">
            <w:pPr>
              <w:pStyle w:val="TableText0"/>
              <w:spacing w:line="256" w:lineRule="auto"/>
              <w:jc w:val="center"/>
              <w:rPr>
                <w:rFonts w:cs="Arial"/>
                <w:b/>
                <w:szCs w:val="20"/>
              </w:rPr>
            </w:pPr>
            <w:r w:rsidRPr="002A01DB">
              <w:rPr>
                <w:rFonts w:eastAsiaTheme="minorEastAsia" w:cs="Arial"/>
                <w:b/>
                <w:szCs w:val="20"/>
              </w:rPr>
              <w:t>$</w:t>
            </w:r>
            <w:r w:rsidR="00504C28">
              <w:rPr>
                <w:rFonts w:eastAsiaTheme="minorEastAsia" w:cs="Arial"/>
                <w:b/>
                <w:noProof/>
                <w:color w:val="000000"/>
                <w:szCs w:val="20"/>
                <w:highlight w:val="black"/>
              </w:rPr>
              <w:t>''''''''''''''''''''</w:t>
            </w:r>
          </w:p>
        </w:tc>
        <w:tc>
          <w:tcPr>
            <w:tcW w:w="625" w:type="pct"/>
            <w:tcBorders>
              <w:top w:val="nil"/>
              <w:left w:val="nil"/>
              <w:bottom w:val="nil"/>
              <w:right w:val="single" w:sz="4" w:space="0" w:color="auto"/>
            </w:tcBorders>
            <w:vAlign w:val="center"/>
          </w:tcPr>
          <w:p w:rsidR="000648B9" w:rsidRPr="002A01DB" w:rsidRDefault="000648B9" w:rsidP="004C639C">
            <w:pPr>
              <w:pStyle w:val="TableText0"/>
              <w:spacing w:line="256" w:lineRule="auto"/>
              <w:jc w:val="center"/>
              <w:rPr>
                <w:b/>
                <w:szCs w:val="20"/>
              </w:rPr>
            </w:pPr>
            <w:r w:rsidRPr="002A01DB">
              <w:rPr>
                <w:rFonts w:eastAsiaTheme="minorEastAsia" w:cs="Arial"/>
                <w:b/>
                <w:szCs w:val="20"/>
              </w:rPr>
              <w:t>$</w:t>
            </w:r>
            <w:r w:rsidR="00504C28">
              <w:rPr>
                <w:rFonts w:eastAsiaTheme="minorEastAsia" w:cs="Arial"/>
                <w:b/>
                <w:noProof/>
                <w:color w:val="000000"/>
                <w:szCs w:val="20"/>
                <w:highlight w:val="black"/>
              </w:rPr>
              <w:t>'''''''''''''''''''''''</w:t>
            </w:r>
          </w:p>
        </w:tc>
        <w:tc>
          <w:tcPr>
            <w:tcW w:w="546" w:type="pct"/>
            <w:tcBorders>
              <w:top w:val="nil"/>
              <w:left w:val="nil"/>
              <w:bottom w:val="nil"/>
              <w:right w:val="single" w:sz="4" w:space="0" w:color="auto"/>
            </w:tcBorders>
            <w:vAlign w:val="center"/>
          </w:tcPr>
          <w:p w:rsidR="000648B9" w:rsidRPr="002A01DB" w:rsidRDefault="000648B9" w:rsidP="004C639C">
            <w:pPr>
              <w:pStyle w:val="TableText0"/>
              <w:spacing w:line="256" w:lineRule="auto"/>
              <w:jc w:val="center"/>
              <w:rPr>
                <w:b/>
                <w:szCs w:val="20"/>
              </w:rPr>
            </w:pPr>
            <w:r w:rsidRPr="002A01DB">
              <w:rPr>
                <w:rFonts w:eastAsiaTheme="minorEastAsia" w:cs="Arial"/>
                <w:b/>
                <w:szCs w:val="20"/>
              </w:rPr>
              <w:t>$</w:t>
            </w:r>
            <w:r w:rsidR="00504C28">
              <w:rPr>
                <w:rFonts w:eastAsiaTheme="minorEastAsia" w:cs="Arial"/>
                <w:b/>
                <w:noProof/>
                <w:color w:val="000000"/>
                <w:szCs w:val="20"/>
                <w:highlight w:val="black"/>
              </w:rPr>
              <w:t>'''''''''''''''''''''</w:t>
            </w:r>
          </w:p>
        </w:tc>
        <w:tc>
          <w:tcPr>
            <w:tcW w:w="624" w:type="pct"/>
            <w:tcBorders>
              <w:top w:val="nil"/>
              <w:left w:val="nil"/>
              <w:bottom w:val="nil"/>
              <w:right w:val="single" w:sz="4" w:space="0" w:color="auto"/>
            </w:tcBorders>
            <w:vAlign w:val="center"/>
          </w:tcPr>
          <w:p w:rsidR="000648B9" w:rsidRPr="002A01DB" w:rsidRDefault="000648B9" w:rsidP="004C639C">
            <w:pPr>
              <w:pStyle w:val="TableText0"/>
              <w:spacing w:line="256" w:lineRule="auto"/>
              <w:jc w:val="center"/>
              <w:rPr>
                <w:b/>
                <w:szCs w:val="20"/>
              </w:rPr>
            </w:pPr>
            <w:r w:rsidRPr="002A01DB">
              <w:rPr>
                <w:rFonts w:eastAsiaTheme="minorEastAsia" w:cs="Arial"/>
                <w:b/>
                <w:szCs w:val="20"/>
              </w:rPr>
              <w:t>$</w:t>
            </w:r>
            <w:r w:rsidR="00504C28">
              <w:rPr>
                <w:rFonts w:eastAsiaTheme="minorEastAsia" w:cs="Arial"/>
                <w:b/>
                <w:noProof/>
                <w:color w:val="000000"/>
                <w:szCs w:val="20"/>
                <w:highlight w:val="black"/>
              </w:rPr>
              <w:t>'''''''''''''''''''''</w:t>
            </w:r>
          </w:p>
        </w:tc>
        <w:tc>
          <w:tcPr>
            <w:tcW w:w="537" w:type="pct"/>
            <w:tcBorders>
              <w:top w:val="nil"/>
              <w:left w:val="nil"/>
              <w:bottom w:val="nil"/>
              <w:right w:val="single" w:sz="4" w:space="0" w:color="auto"/>
            </w:tcBorders>
            <w:vAlign w:val="center"/>
          </w:tcPr>
          <w:p w:rsidR="000648B9" w:rsidRPr="002A01DB" w:rsidRDefault="000648B9" w:rsidP="004C639C">
            <w:pPr>
              <w:pStyle w:val="TableText0"/>
              <w:spacing w:line="256" w:lineRule="auto"/>
              <w:jc w:val="center"/>
              <w:rPr>
                <w:b/>
                <w:szCs w:val="20"/>
              </w:rPr>
            </w:pPr>
            <w:r w:rsidRPr="002A01DB">
              <w:rPr>
                <w:rFonts w:eastAsiaTheme="minorEastAsia" w:cs="Arial"/>
                <w:b/>
                <w:szCs w:val="20"/>
              </w:rPr>
              <w:t>$</w:t>
            </w:r>
            <w:r w:rsidR="00504C28">
              <w:rPr>
                <w:rFonts w:eastAsiaTheme="minorEastAsia" w:cs="Arial"/>
                <w:b/>
                <w:noProof/>
                <w:color w:val="000000"/>
                <w:szCs w:val="20"/>
                <w:highlight w:val="black"/>
              </w:rPr>
              <w:t>''''''''''''''''''''</w:t>
            </w:r>
          </w:p>
        </w:tc>
      </w:tr>
      <w:tr w:rsidR="000648B9" w:rsidRPr="00D34003" w:rsidTr="004C639C">
        <w:trPr>
          <w:trHeight w:val="316"/>
        </w:trPr>
        <w:tc>
          <w:tcPr>
            <w:tcW w:w="1186" w:type="pct"/>
            <w:tcBorders>
              <w:top w:val="single" w:sz="4" w:space="0" w:color="auto"/>
              <w:left w:val="single" w:sz="4" w:space="0" w:color="auto"/>
              <w:bottom w:val="single" w:sz="4" w:space="0" w:color="auto"/>
              <w:right w:val="single" w:sz="4" w:space="0" w:color="auto"/>
            </w:tcBorders>
            <w:vAlign w:val="center"/>
          </w:tcPr>
          <w:p w:rsidR="000648B9" w:rsidRPr="00D34003" w:rsidRDefault="000648B9" w:rsidP="004C639C">
            <w:pPr>
              <w:pStyle w:val="TableText0"/>
              <w:spacing w:line="256" w:lineRule="auto"/>
              <w:rPr>
                <w:szCs w:val="20"/>
              </w:rPr>
            </w:pPr>
            <w:r w:rsidRPr="00D34003">
              <w:rPr>
                <w:szCs w:val="20"/>
              </w:rPr>
              <w:t>Proposed expenditure caps (</w:t>
            </w:r>
            <w:r w:rsidR="00593AD6" w:rsidRPr="00D34003">
              <w:rPr>
                <w:szCs w:val="20"/>
              </w:rPr>
              <w:t xml:space="preserve">provided </w:t>
            </w:r>
            <w:r w:rsidRPr="00D34003">
              <w:rPr>
                <w:szCs w:val="20"/>
              </w:rPr>
              <w:t>in PSCR)</w:t>
            </w:r>
          </w:p>
        </w:tc>
        <w:tc>
          <w:tcPr>
            <w:tcW w:w="643" w:type="pct"/>
            <w:tcBorders>
              <w:top w:val="nil"/>
              <w:left w:val="nil"/>
              <w:bottom w:val="single" w:sz="4" w:space="0" w:color="auto"/>
              <w:right w:val="single" w:sz="4" w:space="0" w:color="auto"/>
            </w:tcBorders>
            <w:vAlign w:val="center"/>
          </w:tcPr>
          <w:p w:rsidR="000648B9" w:rsidRPr="00D34003" w:rsidRDefault="000648B9" w:rsidP="004C639C">
            <w:pPr>
              <w:pStyle w:val="TableText0"/>
              <w:spacing w:line="256" w:lineRule="auto"/>
              <w:jc w:val="center"/>
              <w:rPr>
                <w:rFonts w:eastAsiaTheme="minorEastAsia" w:cs="Arial"/>
                <w:szCs w:val="20"/>
              </w:rPr>
            </w:pPr>
            <w:r w:rsidRPr="00D34003">
              <w:rPr>
                <w:szCs w:val="20"/>
              </w:rPr>
              <w:t>$</w:t>
            </w:r>
            <w:r w:rsidR="00504C28">
              <w:rPr>
                <w:noProof/>
                <w:color w:val="000000"/>
                <w:szCs w:val="20"/>
                <w:highlight w:val="black"/>
              </w:rPr>
              <w:t>''''''''''''''''''''''''''''</w:t>
            </w:r>
          </w:p>
        </w:tc>
        <w:tc>
          <w:tcPr>
            <w:tcW w:w="839" w:type="pct"/>
            <w:tcBorders>
              <w:top w:val="nil"/>
              <w:left w:val="nil"/>
              <w:bottom w:val="single" w:sz="4" w:space="0" w:color="auto"/>
              <w:right w:val="single" w:sz="4" w:space="0" w:color="auto"/>
            </w:tcBorders>
            <w:vAlign w:val="center"/>
          </w:tcPr>
          <w:p w:rsidR="000648B9" w:rsidRPr="00D34003" w:rsidRDefault="000648B9" w:rsidP="004C639C">
            <w:pPr>
              <w:pStyle w:val="TableText0"/>
              <w:spacing w:line="256" w:lineRule="auto"/>
              <w:jc w:val="center"/>
              <w:rPr>
                <w:rFonts w:eastAsiaTheme="minorEastAsia" w:cs="Arial"/>
                <w:szCs w:val="20"/>
              </w:rPr>
            </w:pPr>
            <w:r w:rsidRPr="00D34003">
              <w:rPr>
                <w:szCs w:val="20"/>
              </w:rPr>
              <w:t>$</w:t>
            </w:r>
            <w:r w:rsidR="00504C28">
              <w:rPr>
                <w:noProof/>
                <w:color w:val="000000"/>
                <w:szCs w:val="20"/>
                <w:highlight w:val="black"/>
              </w:rPr>
              <w:t>''''''''''''''''''''''''''</w:t>
            </w:r>
          </w:p>
        </w:tc>
        <w:tc>
          <w:tcPr>
            <w:tcW w:w="625" w:type="pct"/>
            <w:tcBorders>
              <w:top w:val="nil"/>
              <w:left w:val="nil"/>
              <w:bottom w:val="single" w:sz="4" w:space="0" w:color="auto"/>
              <w:right w:val="single" w:sz="4" w:space="0" w:color="auto"/>
            </w:tcBorders>
            <w:vAlign w:val="center"/>
          </w:tcPr>
          <w:p w:rsidR="000648B9" w:rsidRPr="00D34003" w:rsidRDefault="000648B9" w:rsidP="004C639C">
            <w:pPr>
              <w:pStyle w:val="TableText0"/>
              <w:spacing w:line="256" w:lineRule="auto"/>
              <w:jc w:val="center"/>
              <w:rPr>
                <w:rFonts w:eastAsiaTheme="minorEastAsia" w:cs="Arial"/>
                <w:szCs w:val="20"/>
              </w:rPr>
            </w:pPr>
            <w:r w:rsidRPr="00D34003">
              <w:rPr>
                <w:szCs w:val="20"/>
              </w:rPr>
              <w:t>$</w:t>
            </w:r>
            <w:r w:rsidR="00504C28">
              <w:rPr>
                <w:noProof/>
                <w:color w:val="000000"/>
                <w:szCs w:val="20"/>
                <w:highlight w:val="black"/>
              </w:rPr>
              <w:t>''''''''''''''''''''''''''</w:t>
            </w:r>
          </w:p>
        </w:tc>
        <w:tc>
          <w:tcPr>
            <w:tcW w:w="546" w:type="pct"/>
            <w:tcBorders>
              <w:top w:val="nil"/>
              <w:left w:val="nil"/>
              <w:bottom w:val="single" w:sz="4" w:space="0" w:color="auto"/>
              <w:right w:val="single" w:sz="4" w:space="0" w:color="auto"/>
            </w:tcBorders>
            <w:vAlign w:val="center"/>
          </w:tcPr>
          <w:p w:rsidR="000648B9" w:rsidRPr="00D34003" w:rsidRDefault="000648B9" w:rsidP="004C639C">
            <w:pPr>
              <w:pStyle w:val="TableText0"/>
              <w:spacing w:line="256" w:lineRule="auto"/>
              <w:jc w:val="center"/>
              <w:rPr>
                <w:rFonts w:eastAsiaTheme="minorEastAsia" w:cs="Arial"/>
                <w:szCs w:val="20"/>
              </w:rPr>
            </w:pPr>
            <w:r w:rsidRPr="00D34003">
              <w:rPr>
                <w:szCs w:val="20"/>
              </w:rPr>
              <w:t>$</w:t>
            </w:r>
            <w:r w:rsidR="00504C28">
              <w:rPr>
                <w:noProof/>
                <w:color w:val="000000"/>
                <w:szCs w:val="20"/>
                <w:highlight w:val="black"/>
              </w:rPr>
              <w:t>''''''''''''''''''''''''''</w:t>
            </w:r>
          </w:p>
        </w:tc>
        <w:tc>
          <w:tcPr>
            <w:tcW w:w="624" w:type="pct"/>
            <w:tcBorders>
              <w:top w:val="nil"/>
              <w:left w:val="nil"/>
              <w:bottom w:val="single" w:sz="4" w:space="0" w:color="auto"/>
              <w:right w:val="single" w:sz="4" w:space="0" w:color="auto"/>
            </w:tcBorders>
            <w:vAlign w:val="center"/>
          </w:tcPr>
          <w:p w:rsidR="000648B9" w:rsidRPr="00D34003" w:rsidRDefault="000648B9" w:rsidP="004C639C">
            <w:pPr>
              <w:pStyle w:val="TableText0"/>
              <w:spacing w:line="256" w:lineRule="auto"/>
              <w:jc w:val="center"/>
              <w:rPr>
                <w:rFonts w:eastAsiaTheme="minorEastAsia" w:cs="Arial"/>
                <w:szCs w:val="20"/>
              </w:rPr>
            </w:pPr>
            <w:r w:rsidRPr="00D34003">
              <w:rPr>
                <w:szCs w:val="20"/>
              </w:rPr>
              <w:t>$</w:t>
            </w:r>
            <w:r w:rsidR="00504C28">
              <w:rPr>
                <w:noProof/>
                <w:color w:val="000000"/>
                <w:szCs w:val="20"/>
                <w:highlight w:val="black"/>
              </w:rPr>
              <w:t>'''''''''''''''''''''''</w:t>
            </w:r>
          </w:p>
        </w:tc>
        <w:tc>
          <w:tcPr>
            <w:tcW w:w="537" w:type="pct"/>
            <w:tcBorders>
              <w:top w:val="nil"/>
              <w:left w:val="nil"/>
              <w:bottom w:val="single" w:sz="4" w:space="0" w:color="auto"/>
              <w:right w:val="single" w:sz="4" w:space="0" w:color="auto"/>
            </w:tcBorders>
            <w:vAlign w:val="center"/>
          </w:tcPr>
          <w:p w:rsidR="000648B9" w:rsidRPr="00D34003" w:rsidRDefault="000648B9" w:rsidP="004C639C">
            <w:pPr>
              <w:pStyle w:val="TableText0"/>
              <w:spacing w:line="256" w:lineRule="auto"/>
              <w:jc w:val="center"/>
              <w:rPr>
                <w:rFonts w:eastAsiaTheme="minorEastAsia" w:cs="Arial"/>
                <w:szCs w:val="20"/>
              </w:rPr>
            </w:pPr>
            <w:r w:rsidRPr="00D34003">
              <w:rPr>
                <w:szCs w:val="20"/>
              </w:rPr>
              <w:t>$</w:t>
            </w:r>
            <w:r w:rsidR="00504C28">
              <w:rPr>
                <w:noProof/>
                <w:color w:val="000000"/>
                <w:szCs w:val="20"/>
                <w:highlight w:val="black"/>
              </w:rPr>
              <w:t>''''''''''''''''''''''''''</w:t>
            </w:r>
          </w:p>
        </w:tc>
      </w:tr>
    </w:tbl>
    <w:p w:rsidR="00D64239" w:rsidRPr="00D34003" w:rsidRDefault="00D64239" w:rsidP="00265CD0">
      <w:pPr>
        <w:pStyle w:val="TableFooter"/>
      </w:pPr>
      <w:r w:rsidRPr="00D34003">
        <w:t>Abbreviations:</w:t>
      </w:r>
      <w:r w:rsidR="00251F3C" w:rsidRPr="00D34003">
        <w:t xml:space="preserve"> mg = milligram; PBAC = Pharmaceutical Benefits Advisory Committee; PBS= Pharmaceutical Benefits Scheme</w:t>
      </w:r>
      <w:r w:rsidR="00FE5B0D" w:rsidRPr="00D34003">
        <w:t>;</w:t>
      </w:r>
      <w:r w:rsidR="00CA3ED8" w:rsidRPr="00D34003">
        <w:t xml:space="preserve"> PSCR = Pre-Sub-Committee Response</w:t>
      </w:r>
      <w:r w:rsidR="005C2B13" w:rsidRPr="00D34003">
        <w:t>;</w:t>
      </w:r>
      <w:r w:rsidR="00FE5B0D" w:rsidRPr="00D34003">
        <w:t xml:space="preserve"> RPBS = Repatriation Pharmaceutical Benefits Scheme</w:t>
      </w:r>
    </w:p>
    <w:p w:rsidR="00706810" w:rsidRPr="00D34003" w:rsidRDefault="00D64239" w:rsidP="00265CD0">
      <w:pPr>
        <w:pStyle w:val="TableFooter"/>
      </w:pPr>
      <w:r w:rsidRPr="00D34003">
        <w:t xml:space="preserve">Note: </w:t>
      </w:r>
      <w:proofErr w:type="gramStart"/>
      <w:r w:rsidR="00706810" w:rsidRPr="00D34003">
        <w:rPr>
          <w:vertAlign w:val="superscript"/>
        </w:rPr>
        <w:t>a</w:t>
      </w:r>
      <w:proofErr w:type="gramEnd"/>
      <w:r w:rsidR="00706810" w:rsidRPr="00D34003">
        <w:t xml:space="preserve"> Assuming </w:t>
      </w:r>
      <w:r w:rsidR="00504C28">
        <w:rPr>
          <w:noProof/>
          <w:color w:val="000000"/>
          <w:highlight w:val="black"/>
        </w:rPr>
        <w:t>'''''''''''</w:t>
      </w:r>
      <w:r w:rsidR="00706810" w:rsidRPr="00D34003">
        <w:t xml:space="preserve"> scripts in Year 1 and </w:t>
      </w:r>
      <w:r w:rsidR="00504C28">
        <w:rPr>
          <w:noProof/>
          <w:color w:val="000000"/>
          <w:highlight w:val="black"/>
        </w:rPr>
        <w:t>''''''''''</w:t>
      </w:r>
      <w:r w:rsidR="00706810" w:rsidRPr="00D34003">
        <w:t xml:space="preserve"> in Year 2 (average </w:t>
      </w:r>
      <w:r w:rsidR="00504C28">
        <w:rPr>
          <w:noProof/>
          <w:color w:val="000000"/>
          <w:highlight w:val="black"/>
        </w:rPr>
        <w:t>'''''''''</w:t>
      </w:r>
      <w:r w:rsidR="00706810" w:rsidRPr="00D34003">
        <w:t xml:space="preserve"> per year) as estimated by the resubmission.</w:t>
      </w:r>
    </w:p>
    <w:p w:rsidR="00706810" w:rsidRPr="00D34003" w:rsidRDefault="00706810" w:rsidP="00265CD0">
      <w:pPr>
        <w:pStyle w:val="PBACHeading1"/>
        <w:numPr>
          <w:ilvl w:val="0"/>
          <w:numId w:val="0"/>
        </w:numPr>
        <w:ind w:left="720" w:hanging="720"/>
        <w:rPr>
          <w:rFonts w:ascii="Arial Narrow" w:hAnsi="Arial Narrow"/>
          <w:b w:val="0"/>
          <w:sz w:val="18"/>
        </w:rPr>
      </w:pPr>
      <w:r w:rsidRPr="00D34003">
        <w:rPr>
          <w:rFonts w:ascii="Arial Narrow" w:hAnsi="Arial Narrow"/>
          <w:b w:val="0"/>
          <w:sz w:val="18"/>
        </w:rPr>
        <w:t>Source: Table 4.5 p.155; Table 4.7 p.156; Table 4.26-4.28 p.166-157; Table 4.30 p.167</w:t>
      </w:r>
      <w:r w:rsidR="00E27B15" w:rsidRPr="00D34003">
        <w:rPr>
          <w:rFonts w:ascii="Arial Narrow" w:hAnsi="Arial Narrow"/>
          <w:b w:val="0"/>
          <w:sz w:val="18"/>
        </w:rPr>
        <w:t>; revised as a part of the evaluation (Att. 15 financial impact.xlsx).</w:t>
      </w:r>
    </w:p>
    <w:p w:rsidR="00706810" w:rsidRPr="00D34003" w:rsidRDefault="00706810" w:rsidP="00265CD0">
      <w:pPr>
        <w:widowControl/>
      </w:pPr>
    </w:p>
    <w:p w:rsidR="000056CF" w:rsidRPr="00D34003" w:rsidRDefault="000056CF" w:rsidP="007A7E9A">
      <w:pPr>
        <w:pStyle w:val="ListParagraph"/>
        <w:widowControl/>
        <w:numPr>
          <w:ilvl w:val="1"/>
          <w:numId w:val="1"/>
        </w:numPr>
        <w:spacing w:after="120"/>
        <w:rPr>
          <w:color w:val="000000" w:themeColor="text1"/>
        </w:rPr>
      </w:pPr>
      <w:r w:rsidRPr="00D34003">
        <w:rPr>
          <w:color w:val="000000" w:themeColor="text1"/>
        </w:rPr>
        <w:t xml:space="preserve">At </w:t>
      </w:r>
      <w:r w:rsidR="004D1F65" w:rsidRPr="00D34003">
        <w:rPr>
          <w:color w:val="000000" w:themeColor="text1"/>
        </w:rPr>
        <w:t>the</w:t>
      </w:r>
      <w:r w:rsidRPr="00D34003">
        <w:rPr>
          <w:color w:val="000000" w:themeColor="text1"/>
        </w:rPr>
        <w:t xml:space="preserve"> </w:t>
      </w:r>
      <w:r w:rsidR="00706810" w:rsidRPr="00D34003">
        <w:rPr>
          <w:color w:val="000000" w:themeColor="text1"/>
        </w:rPr>
        <w:t xml:space="preserve">November 2017 meeting </w:t>
      </w:r>
      <w:r w:rsidRPr="00D34003">
        <w:rPr>
          <w:color w:val="000000" w:themeColor="text1"/>
        </w:rPr>
        <w:t>the PBAC noted:</w:t>
      </w:r>
    </w:p>
    <w:p w:rsidR="00FA5C37" w:rsidRPr="00D34003" w:rsidRDefault="000056CF" w:rsidP="00C1044A">
      <w:pPr>
        <w:pStyle w:val="PBACHeading1"/>
        <w:numPr>
          <w:ilvl w:val="0"/>
          <w:numId w:val="10"/>
        </w:numPr>
        <w:jc w:val="both"/>
        <w:rPr>
          <w:b w:val="0"/>
          <w:color w:val="000000" w:themeColor="text1"/>
          <w:sz w:val="24"/>
        </w:rPr>
      </w:pPr>
      <w:proofErr w:type="gramStart"/>
      <w:r w:rsidRPr="00D34003">
        <w:rPr>
          <w:b w:val="0"/>
          <w:color w:val="000000" w:themeColor="text1"/>
          <w:sz w:val="24"/>
        </w:rPr>
        <w:t>that</w:t>
      </w:r>
      <w:proofErr w:type="gramEnd"/>
      <w:r w:rsidRPr="00D34003">
        <w:rPr>
          <w:b w:val="0"/>
          <w:color w:val="000000" w:themeColor="text1"/>
          <w:sz w:val="24"/>
        </w:rPr>
        <w:t xml:space="preserve"> t</w:t>
      </w:r>
      <w:r w:rsidR="00706810" w:rsidRPr="00D34003">
        <w:rPr>
          <w:b w:val="0"/>
          <w:color w:val="000000" w:themeColor="text1"/>
          <w:sz w:val="24"/>
        </w:rPr>
        <w:t>he number of eligible patients was likely underestimated</w:t>
      </w:r>
      <w:r w:rsidRPr="00D34003">
        <w:rPr>
          <w:b w:val="0"/>
          <w:color w:val="000000" w:themeColor="text1"/>
          <w:sz w:val="24"/>
        </w:rPr>
        <w:t xml:space="preserve">, in part due to </w:t>
      </w:r>
      <w:r w:rsidR="00706810" w:rsidRPr="00D34003">
        <w:rPr>
          <w:b w:val="0"/>
          <w:color w:val="000000" w:themeColor="text1"/>
          <w:sz w:val="24"/>
        </w:rPr>
        <w:t xml:space="preserve">a risk of use outside the requested restriction (patients who are ineligible to receive </w:t>
      </w:r>
      <w:r w:rsidR="0069606B" w:rsidRPr="00D34003">
        <w:rPr>
          <w:b w:val="0"/>
          <w:color w:val="000000" w:themeColor="text1"/>
          <w:sz w:val="24"/>
        </w:rPr>
        <w:t>platinum-based</w:t>
      </w:r>
      <w:r w:rsidR="00706810" w:rsidRPr="00D34003">
        <w:rPr>
          <w:b w:val="0"/>
          <w:color w:val="000000" w:themeColor="text1"/>
          <w:sz w:val="24"/>
        </w:rPr>
        <w:t xml:space="preserve"> chemotherapy). </w:t>
      </w:r>
      <w:r w:rsidR="002E7EEB" w:rsidRPr="00D34003">
        <w:rPr>
          <w:b w:val="0"/>
          <w:color w:val="000000" w:themeColor="text1"/>
          <w:sz w:val="24"/>
        </w:rPr>
        <w:t xml:space="preserve">The ESC noted that pembrolizumab use outside of the restriction would likely be by patients who were ineligible for chemotherapy, rather than patients who were ineligible specifically for first line cisplatin. The ESC </w:t>
      </w:r>
      <w:r w:rsidR="002E7EEB" w:rsidRPr="00D34003">
        <w:rPr>
          <w:b w:val="0"/>
          <w:color w:val="000000" w:themeColor="text1"/>
          <w:sz w:val="24"/>
        </w:rPr>
        <w:lastRenderedPageBreak/>
        <w:t>noted that if a patient was not able to use cisplatin, then carboplatin would be the alternative therapy.</w:t>
      </w:r>
      <w:r w:rsidR="00C1044A" w:rsidRPr="00D34003">
        <w:rPr>
          <w:b w:val="0"/>
          <w:color w:val="000000" w:themeColor="text1"/>
          <w:sz w:val="24"/>
        </w:rPr>
        <w:t xml:space="preserve"> The PBAC considered that use in the first line </w:t>
      </w:r>
      <w:r w:rsidR="00480A30" w:rsidRPr="00D34003">
        <w:rPr>
          <w:b w:val="0"/>
          <w:color w:val="000000" w:themeColor="text1"/>
          <w:sz w:val="24"/>
        </w:rPr>
        <w:t xml:space="preserve">setting </w:t>
      </w:r>
      <w:r w:rsidR="00974549">
        <w:rPr>
          <w:b w:val="0"/>
          <w:color w:val="000000" w:themeColor="text1"/>
          <w:sz w:val="24"/>
        </w:rPr>
        <w:t>may</w:t>
      </w:r>
      <w:r w:rsidR="00C1044A" w:rsidRPr="00D34003">
        <w:rPr>
          <w:b w:val="0"/>
          <w:color w:val="000000" w:themeColor="text1"/>
          <w:sz w:val="24"/>
        </w:rPr>
        <w:t xml:space="preserve"> be </w:t>
      </w:r>
      <w:r w:rsidR="00480A30" w:rsidRPr="00D34003">
        <w:rPr>
          <w:b w:val="0"/>
          <w:color w:val="000000" w:themeColor="text1"/>
          <w:sz w:val="24"/>
        </w:rPr>
        <w:t>reduced</w:t>
      </w:r>
      <w:r w:rsidR="00C1044A" w:rsidRPr="00D34003">
        <w:rPr>
          <w:b w:val="0"/>
          <w:color w:val="000000" w:themeColor="text1"/>
          <w:sz w:val="24"/>
        </w:rPr>
        <w:t xml:space="preserve"> given there was emerging data suggesting that there was decreased survival when PD-1 inhibitors are </w:t>
      </w:r>
      <w:r w:rsidR="008F6035" w:rsidRPr="00D34003">
        <w:rPr>
          <w:b w:val="0"/>
          <w:color w:val="000000" w:themeColor="text1"/>
          <w:sz w:val="24"/>
        </w:rPr>
        <w:t>used first line in PD-L1-low expressing urothelial cancer</w:t>
      </w:r>
      <w:r w:rsidR="00660C09" w:rsidRPr="00C52635">
        <w:rPr>
          <w:rStyle w:val="FootnoteReference"/>
          <w:b w:val="0"/>
          <w:color w:val="000000" w:themeColor="text1"/>
          <w:sz w:val="24"/>
        </w:rPr>
        <w:footnoteReference w:id="6"/>
      </w:r>
      <w:r w:rsidR="00C52635" w:rsidRPr="00C52635">
        <w:rPr>
          <w:b w:val="0"/>
          <w:color w:val="000000" w:themeColor="text1"/>
          <w:sz w:val="24"/>
          <w:vertAlign w:val="superscript"/>
        </w:rPr>
        <w:t>,</w:t>
      </w:r>
      <w:r w:rsidR="00660C09" w:rsidRPr="00C52635">
        <w:rPr>
          <w:rStyle w:val="FootnoteReference"/>
          <w:b w:val="0"/>
          <w:color w:val="000000" w:themeColor="text1"/>
          <w:sz w:val="24"/>
        </w:rPr>
        <w:footnoteReference w:id="7"/>
      </w:r>
      <w:r w:rsidR="00C52635" w:rsidRPr="00C52635">
        <w:rPr>
          <w:b w:val="0"/>
          <w:color w:val="000000" w:themeColor="text1"/>
          <w:sz w:val="24"/>
          <w:vertAlign w:val="superscript"/>
        </w:rPr>
        <w:t>,</w:t>
      </w:r>
      <w:r w:rsidR="00660C09" w:rsidRPr="00C52635">
        <w:rPr>
          <w:rStyle w:val="FootnoteReference"/>
          <w:b w:val="0"/>
          <w:color w:val="000000" w:themeColor="text1"/>
          <w:sz w:val="24"/>
        </w:rPr>
        <w:footnoteReference w:id="8"/>
      </w:r>
      <w:r w:rsidR="00C1044A" w:rsidRPr="00D34003">
        <w:rPr>
          <w:b w:val="0"/>
          <w:color w:val="000000" w:themeColor="text1"/>
          <w:sz w:val="24"/>
        </w:rPr>
        <w:t>.</w:t>
      </w:r>
      <w:r w:rsidR="008F6035" w:rsidRPr="00D34003">
        <w:rPr>
          <w:b w:val="0"/>
          <w:color w:val="000000" w:themeColor="text1"/>
          <w:sz w:val="24"/>
        </w:rPr>
        <w:t xml:space="preserve"> </w:t>
      </w:r>
    </w:p>
    <w:p w:rsidR="00BC57D2" w:rsidRPr="00D34003" w:rsidRDefault="00625DE2" w:rsidP="00A05359">
      <w:pPr>
        <w:pStyle w:val="PBACHeading1"/>
        <w:numPr>
          <w:ilvl w:val="0"/>
          <w:numId w:val="10"/>
        </w:numPr>
        <w:jc w:val="both"/>
        <w:rPr>
          <w:b w:val="0"/>
          <w:color w:val="000000" w:themeColor="text1"/>
          <w:sz w:val="24"/>
        </w:rPr>
      </w:pPr>
      <w:r w:rsidRPr="00D34003">
        <w:rPr>
          <w:b w:val="0"/>
          <w:color w:val="000000" w:themeColor="text1"/>
          <w:sz w:val="24"/>
        </w:rPr>
        <w:t>there was uncertainty regarding pembrolizumab treatment duration (</w:t>
      </w:r>
      <w:r w:rsidR="00C74FF1" w:rsidRPr="00D34003">
        <w:rPr>
          <w:b w:val="0"/>
          <w:color w:val="000000" w:themeColor="text1"/>
          <w:sz w:val="24"/>
        </w:rPr>
        <w:t xml:space="preserve">in the trial, </w:t>
      </w:r>
      <w:r w:rsidRPr="00D34003">
        <w:rPr>
          <w:b w:val="0"/>
          <w:color w:val="000000" w:themeColor="text1"/>
          <w:sz w:val="24"/>
        </w:rPr>
        <w:t xml:space="preserve">patients were allowed to receive treatment beyond progression and access </w:t>
      </w:r>
      <w:r w:rsidR="001B366D" w:rsidRPr="00D34003">
        <w:rPr>
          <w:b w:val="0"/>
          <w:color w:val="000000" w:themeColor="text1"/>
          <w:sz w:val="24"/>
        </w:rPr>
        <w:t xml:space="preserve">an </w:t>
      </w:r>
      <w:r w:rsidRPr="00D34003">
        <w:rPr>
          <w:b w:val="0"/>
          <w:color w:val="000000" w:themeColor="text1"/>
          <w:sz w:val="24"/>
        </w:rPr>
        <w:t xml:space="preserve">additional 12 months </w:t>
      </w:r>
      <w:r w:rsidR="001B366D" w:rsidRPr="00D34003">
        <w:rPr>
          <w:b w:val="0"/>
          <w:color w:val="000000" w:themeColor="text1"/>
          <w:sz w:val="24"/>
        </w:rPr>
        <w:t xml:space="preserve">of treatment </w:t>
      </w:r>
      <w:r w:rsidRPr="00D34003">
        <w:rPr>
          <w:b w:val="0"/>
          <w:color w:val="000000" w:themeColor="text1"/>
          <w:sz w:val="24"/>
        </w:rPr>
        <w:t>if certain conditions were met)</w:t>
      </w:r>
      <w:r w:rsidR="00706810" w:rsidRPr="00D34003">
        <w:rPr>
          <w:b w:val="0"/>
          <w:color w:val="000000" w:themeColor="text1"/>
          <w:sz w:val="24"/>
        </w:rPr>
        <w:t>. The resubmission proposed a RSA to address</w:t>
      </w:r>
      <w:r w:rsidRPr="00D34003">
        <w:rPr>
          <w:b w:val="0"/>
          <w:color w:val="000000" w:themeColor="text1"/>
          <w:sz w:val="24"/>
        </w:rPr>
        <w:t xml:space="preserve"> these two issues by defining expenditure caps </w:t>
      </w:r>
      <w:r w:rsidR="00706810" w:rsidRPr="00D34003">
        <w:rPr>
          <w:b w:val="0"/>
          <w:color w:val="000000" w:themeColor="text1"/>
          <w:sz w:val="24"/>
        </w:rPr>
        <w:t>reflect</w:t>
      </w:r>
      <w:r w:rsidR="00214A89" w:rsidRPr="00D34003">
        <w:rPr>
          <w:b w:val="0"/>
          <w:color w:val="000000" w:themeColor="text1"/>
          <w:sz w:val="24"/>
        </w:rPr>
        <w:t>ing</w:t>
      </w:r>
      <w:r w:rsidR="00706810" w:rsidRPr="00D34003">
        <w:rPr>
          <w:b w:val="0"/>
          <w:color w:val="000000" w:themeColor="text1"/>
          <w:sz w:val="24"/>
        </w:rPr>
        <w:t xml:space="preserve"> the number of patients receiving pembrolizumab and the number of cycles per patient </w:t>
      </w:r>
      <w:r w:rsidR="00214A89" w:rsidRPr="00D34003">
        <w:rPr>
          <w:b w:val="0"/>
          <w:color w:val="000000" w:themeColor="text1"/>
          <w:sz w:val="24"/>
        </w:rPr>
        <w:t xml:space="preserve">based on </w:t>
      </w:r>
      <w:r w:rsidR="00706810" w:rsidRPr="00D34003">
        <w:rPr>
          <w:b w:val="0"/>
          <w:color w:val="000000" w:themeColor="text1"/>
          <w:sz w:val="24"/>
        </w:rPr>
        <w:t xml:space="preserve">the TOT </w:t>
      </w:r>
      <w:r w:rsidR="00214A89" w:rsidRPr="00D34003">
        <w:rPr>
          <w:b w:val="0"/>
          <w:color w:val="000000" w:themeColor="text1"/>
          <w:sz w:val="24"/>
        </w:rPr>
        <w:t>curve</w:t>
      </w:r>
      <w:r w:rsidR="00706810" w:rsidRPr="00D34003">
        <w:rPr>
          <w:b w:val="0"/>
          <w:color w:val="000000" w:themeColor="text1"/>
          <w:sz w:val="24"/>
        </w:rPr>
        <w:t xml:space="preserve">. </w:t>
      </w:r>
      <w:r w:rsidR="006114C2" w:rsidRPr="00D34003">
        <w:rPr>
          <w:b w:val="0"/>
          <w:color w:val="000000" w:themeColor="text1"/>
          <w:sz w:val="24"/>
        </w:rPr>
        <w:t xml:space="preserve">The PSCR proposed </w:t>
      </w:r>
      <w:r w:rsidR="00A05359" w:rsidRPr="00D34003">
        <w:rPr>
          <w:b w:val="0"/>
          <w:color w:val="000000" w:themeColor="text1"/>
          <w:sz w:val="24"/>
        </w:rPr>
        <w:t xml:space="preserve">a rebate rate of </w:t>
      </w:r>
      <w:r w:rsidR="00504C28">
        <w:rPr>
          <w:b w:val="0"/>
          <w:noProof/>
          <w:color w:val="000000"/>
          <w:sz w:val="24"/>
          <w:highlight w:val="black"/>
        </w:rPr>
        <w:t>'''''</w:t>
      </w:r>
      <w:r w:rsidR="00A05359" w:rsidRPr="00D34003">
        <w:rPr>
          <w:b w:val="0"/>
          <w:color w:val="000000" w:themeColor="text1"/>
          <w:sz w:val="24"/>
        </w:rPr>
        <w:t>% of treatment costs if subsidisation caps are exceeded.</w:t>
      </w:r>
      <w:r w:rsidR="004A2BFC" w:rsidRPr="00D34003">
        <w:rPr>
          <w:b w:val="0"/>
          <w:color w:val="000000" w:themeColor="text1"/>
          <w:sz w:val="24"/>
        </w:rPr>
        <w:t xml:space="preserve"> The pre-PBAC response confirmed that this was in addition to the </w:t>
      </w:r>
      <w:r w:rsidR="00504C28">
        <w:rPr>
          <w:b w:val="0"/>
          <w:noProof/>
          <w:color w:val="000000"/>
          <w:sz w:val="24"/>
          <w:highlight w:val="black"/>
        </w:rPr>
        <w:t>'''''</w:t>
      </w:r>
      <w:r w:rsidR="004A2BFC" w:rsidRPr="00D34003">
        <w:rPr>
          <w:b w:val="0"/>
          <w:color w:val="000000" w:themeColor="text1"/>
          <w:sz w:val="24"/>
        </w:rPr>
        <w:t xml:space="preserve">% rebate for use beyond </w:t>
      </w:r>
      <w:r w:rsidR="00504C28">
        <w:rPr>
          <w:b w:val="0"/>
          <w:noProof/>
          <w:color w:val="000000"/>
          <w:sz w:val="24"/>
          <w:highlight w:val="black"/>
        </w:rPr>
        <w:t>''''''''''' '''''</w:t>
      </w:r>
      <w:r w:rsidR="004A2BFC" w:rsidRPr="00D34003">
        <w:rPr>
          <w:b w:val="0"/>
          <w:color w:val="000000" w:themeColor="text1"/>
          <w:sz w:val="24"/>
        </w:rPr>
        <w:t>.</w:t>
      </w:r>
      <w:r w:rsidR="00A05359" w:rsidRPr="00D34003">
        <w:rPr>
          <w:b w:val="0"/>
          <w:color w:val="000000" w:themeColor="text1"/>
          <w:sz w:val="24"/>
        </w:rPr>
        <w:t xml:space="preserve"> </w:t>
      </w:r>
      <w:r w:rsidR="00F034C5" w:rsidRPr="00D34003">
        <w:rPr>
          <w:b w:val="0"/>
          <w:color w:val="000000" w:themeColor="text1"/>
          <w:sz w:val="24"/>
        </w:rPr>
        <w:t>Further discussion around the rebate rate proposed is discussed in the ‘Financial Management’ section</w:t>
      </w:r>
      <w:r w:rsidR="006F5FB1" w:rsidRPr="00D34003">
        <w:rPr>
          <w:b w:val="0"/>
          <w:color w:val="000000" w:themeColor="text1"/>
          <w:sz w:val="24"/>
        </w:rPr>
        <w:t>.</w:t>
      </w:r>
    </w:p>
    <w:p w:rsidR="000056CF" w:rsidRPr="00D34003" w:rsidRDefault="000056CF" w:rsidP="007A7E9A">
      <w:pPr>
        <w:pStyle w:val="PBACHeading1"/>
        <w:numPr>
          <w:ilvl w:val="0"/>
          <w:numId w:val="10"/>
        </w:numPr>
        <w:jc w:val="both"/>
        <w:rPr>
          <w:b w:val="0"/>
          <w:color w:val="000000" w:themeColor="text1"/>
          <w:sz w:val="24"/>
        </w:rPr>
      </w:pPr>
      <w:proofErr w:type="gramStart"/>
      <w:r w:rsidRPr="00D34003">
        <w:rPr>
          <w:b w:val="0"/>
          <w:color w:val="000000" w:themeColor="text1"/>
          <w:sz w:val="24"/>
        </w:rPr>
        <w:t>p</w:t>
      </w:r>
      <w:r w:rsidR="00706810" w:rsidRPr="00D34003">
        <w:rPr>
          <w:b w:val="0"/>
          <w:color w:val="000000" w:themeColor="text1"/>
          <w:sz w:val="24"/>
        </w:rPr>
        <w:t>embrolizumab</w:t>
      </w:r>
      <w:proofErr w:type="gramEnd"/>
      <w:r w:rsidR="00706810" w:rsidRPr="00D34003">
        <w:rPr>
          <w:b w:val="0"/>
          <w:color w:val="000000" w:themeColor="text1"/>
          <w:sz w:val="24"/>
        </w:rPr>
        <w:t xml:space="preserve"> was administered as a fixed dosing</w:t>
      </w:r>
      <w:r w:rsidR="00214A89" w:rsidRPr="00D34003">
        <w:rPr>
          <w:b w:val="0"/>
          <w:color w:val="000000" w:themeColor="text1"/>
          <w:sz w:val="24"/>
        </w:rPr>
        <w:t xml:space="preserve"> </w:t>
      </w:r>
      <w:r w:rsidR="008F6035" w:rsidRPr="00D34003">
        <w:rPr>
          <w:b w:val="0"/>
          <w:color w:val="000000" w:themeColor="text1"/>
          <w:sz w:val="24"/>
        </w:rPr>
        <w:t xml:space="preserve">regimen </w:t>
      </w:r>
      <w:r w:rsidR="00214A89" w:rsidRPr="00D34003">
        <w:rPr>
          <w:b w:val="0"/>
          <w:color w:val="000000" w:themeColor="text1"/>
          <w:sz w:val="24"/>
        </w:rPr>
        <w:t xml:space="preserve">which results in </w:t>
      </w:r>
      <w:r w:rsidR="00504C28">
        <w:rPr>
          <w:b w:val="0"/>
          <w:noProof/>
          <w:color w:val="000000"/>
          <w:sz w:val="24"/>
          <w:highlight w:val="black"/>
        </w:rPr>
        <w:t>'''''</w:t>
      </w:r>
      <w:r w:rsidR="00214A89" w:rsidRPr="00D34003">
        <w:rPr>
          <w:b w:val="0"/>
          <w:color w:val="000000" w:themeColor="text1"/>
          <w:sz w:val="24"/>
        </w:rPr>
        <w:t xml:space="preserve">% more pembrolizumab being used per patient. </w:t>
      </w:r>
      <w:r w:rsidR="00D37AAB" w:rsidRPr="00D34003">
        <w:rPr>
          <w:b w:val="0"/>
          <w:color w:val="000000" w:themeColor="text1"/>
          <w:sz w:val="24"/>
        </w:rPr>
        <w:t xml:space="preserve">The </w:t>
      </w:r>
      <w:r w:rsidR="00214A89" w:rsidRPr="00D34003">
        <w:rPr>
          <w:b w:val="0"/>
          <w:color w:val="000000" w:themeColor="text1"/>
          <w:sz w:val="24"/>
        </w:rPr>
        <w:t>PBAC stated that urothelial cancer patients were given a greater dose, at a greater cost with no evidence of additional benefit (</w:t>
      </w:r>
      <w:r w:rsidR="00A10DEA" w:rsidRPr="00D34003">
        <w:rPr>
          <w:b w:val="0"/>
          <w:color w:val="000000" w:themeColor="text1"/>
          <w:sz w:val="24"/>
        </w:rPr>
        <w:t>pembrolizumab PSD</w:t>
      </w:r>
      <w:r w:rsidR="00214A89" w:rsidRPr="00D34003">
        <w:rPr>
          <w:b w:val="0"/>
          <w:color w:val="000000" w:themeColor="text1"/>
          <w:sz w:val="24"/>
        </w:rPr>
        <w:t>, Nov</w:t>
      </w:r>
      <w:r w:rsidR="00A10DEA" w:rsidRPr="00D34003">
        <w:rPr>
          <w:b w:val="0"/>
          <w:color w:val="000000" w:themeColor="text1"/>
          <w:sz w:val="24"/>
        </w:rPr>
        <w:t>ember</w:t>
      </w:r>
      <w:r w:rsidR="00214A89" w:rsidRPr="00D34003">
        <w:rPr>
          <w:b w:val="0"/>
          <w:color w:val="000000" w:themeColor="text1"/>
          <w:sz w:val="24"/>
        </w:rPr>
        <w:t xml:space="preserve"> </w:t>
      </w:r>
      <w:r w:rsidR="00A10DEA" w:rsidRPr="00D34003">
        <w:rPr>
          <w:b w:val="0"/>
          <w:color w:val="000000" w:themeColor="text1"/>
          <w:sz w:val="24"/>
        </w:rPr>
        <w:t>2017</w:t>
      </w:r>
      <w:r w:rsidR="00214A89" w:rsidRPr="00D34003">
        <w:rPr>
          <w:b w:val="0"/>
          <w:color w:val="000000" w:themeColor="text1"/>
          <w:sz w:val="24"/>
        </w:rPr>
        <w:t>, point 7.12)</w:t>
      </w:r>
      <w:r w:rsidR="0069606B" w:rsidRPr="00D34003">
        <w:rPr>
          <w:b w:val="0"/>
          <w:color w:val="000000" w:themeColor="text1"/>
          <w:sz w:val="24"/>
        </w:rPr>
        <w:t xml:space="preserve">, hence it </w:t>
      </w:r>
      <w:r w:rsidR="00706810" w:rsidRPr="00D34003">
        <w:rPr>
          <w:b w:val="0"/>
          <w:color w:val="000000" w:themeColor="text1"/>
          <w:sz w:val="24"/>
        </w:rPr>
        <w:t>“may be reasonable for the price paid for pembrolizumab in urothelial cancer to reflect the cost if weight-based 2 mg/kg dosing was used rather than fixed 200 mg dosing” (</w:t>
      </w:r>
      <w:r w:rsidR="00093324" w:rsidRPr="00D34003">
        <w:rPr>
          <w:b w:val="0"/>
          <w:color w:val="000000" w:themeColor="text1"/>
          <w:sz w:val="24"/>
        </w:rPr>
        <w:t>pembrolizumab PSD, November 2017, point 7.12</w:t>
      </w:r>
      <w:r w:rsidR="00706810" w:rsidRPr="00D34003">
        <w:rPr>
          <w:b w:val="0"/>
          <w:color w:val="000000" w:themeColor="text1"/>
          <w:sz w:val="24"/>
        </w:rPr>
        <w:t>). This issue was not addressed by the resubmission</w:t>
      </w:r>
      <w:r w:rsidR="00706810" w:rsidRPr="00D34003">
        <w:rPr>
          <w:b w:val="0"/>
          <w:i/>
          <w:color w:val="000000" w:themeColor="text1"/>
          <w:sz w:val="24"/>
        </w:rPr>
        <w:t>.</w:t>
      </w:r>
    </w:p>
    <w:p w:rsidR="0069606B" w:rsidRPr="00D34003" w:rsidRDefault="0069606B" w:rsidP="000056CF">
      <w:pPr>
        <w:pStyle w:val="PBACHeading1"/>
        <w:numPr>
          <w:ilvl w:val="0"/>
          <w:numId w:val="0"/>
        </w:numPr>
        <w:jc w:val="both"/>
        <w:rPr>
          <w:b w:val="0"/>
          <w:color w:val="000000" w:themeColor="text1"/>
          <w:sz w:val="24"/>
        </w:rPr>
      </w:pPr>
    </w:p>
    <w:p w:rsidR="00706810" w:rsidRPr="00683C6F" w:rsidRDefault="00706810" w:rsidP="0025002F">
      <w:pPr>
        <w:pStyle w:val="Heading2"/>
        <w:spacing w:after="120"/>
      </w:pPr>
      <w:bookmarkStart w:id="30" w:name="_Toc511305036"/>
      <w:bookmarkStart w:id="31" w:name="_Toc514243678"/>
      <w:r w:rsidRPr="00683C6F">
        <w:t>Financial Management – Risk Sharing Arrangements</w:t>
      </w:r>
      <w:bookmarkEnd w:id="30"/>
      <w:bookmarkEnd w:id="31"/>
    </w:p>
    <w:p w:rsidR="008D6CED" w:rsidRPr="00D34003" w:rsidRDefault="00625DE2" w:rsidP="00056857">
      <w:pPr>
        <w:pStyle w:val="ListParagraph"/>
        <w:widowControl/>
        <w:numPr>
          <w:ilvl w:val="1"/>
          <w:numId w:val="1"/>
        </w:numPr>
      </w:pPr>
      <w:r w:rsidRPr="00D34003">
        <w:t xml:space="preserve">A </w:t>
      </w:r>
      <w:r w:rsidR="005E1AF8" w:rsidRPr="00D34003">
        <w:t xml:space="preserve">RSA </w:t>
      </w:r>
      <w:r w:rsidRPr="00D34003">
        <w:t xml:space="preserve">was proposed </w:t>
      </w:r>
      <w:r w:rsidR="005E1AF8" w:rsidRPr="00D34003">
        <w:t xml:space="preserve">in the form of expenditure caps </w:t>
      </w:r>
      <w:r w:rsidR="008F6035" w:rsidRPr="00D34003">
        <w:t>“</w:t>
      </w:r>
      <w:r w:rsidR="005E1AF8" w:rsidRPr="00D34003">
        <w:t xml:space="preserve">calculated to reflect the number of patients receiving pembrolizumab and the number of pembrolizumab cycles per patient as included in the base case economic model and budget impact using TOT duration of treatment”. </w:t>
      </w:r>
      <w:r w:rsidR="008D6CED" w:rsidRPr="00D34003">
        <w:t xml:space="preserve">The PSCR </w:t>
      </w:r>
      <w:r w:rsidR="004362D9" w:rsidRPr="00D34003">
        <w:t>proposed a</w:t>
      </w:r>
      <w:r w:rsidR="008D6CED" w:rsidRPr="00D34003">
        <w:t xml:space="preserve"> rebate rate of </w:t>
      </w:r>
      <w:r w:rsidR="00504C28">
        <w:rPr>
          <w:noProof/>
          <w:color w:val="000000"/>
          <w:highlight w:val="black"/>
        </w:rPr>
        <w:t>'''''</w:t>
      </w:r>
      <w:r w:rsidR="008D6CED" w:rsidRPr="00D34003">
        <w:t>%</w:t>
      </w:r>
      <w:r w:rsidR="001264FC" w:rsidRPr="00D34003">
        <w:t xml:space="preserve"> of treatment costs above the annual caps</w:t>
      </w:r>
      <w:r w:rsidR="004362D9" w:rsidRPr="00D34003">
        <w:t>, which</w:t>
      </w:r>
      <w:r w:rsidR="008D6CED" w:rsidRPr="00D34003">
        <w:t xml:space="preserve"> is aligned with an RSA </w:t>
      </w:r>
      <w:r w:rsidR="001264FC" w:rsidRPr="00D34003">
        <w:t xml:space="preserve">for </w:t>
      </w:r>
      <w:r w:rsidR="008D6CED" w:rsidRPr="00D34003">
        <w:t>pembrolizumab for treatment of classic Hodgkin’s lymphoma.</w:t>
      </w:r>
      <w:r w:rsidR="00695E15" w:rsidRPr="00D34003">
        <w:t xml:space="preserve"> The pre-PBAC response confirmed that this was in addition to the </w:t>
      </w:r>
      <w:r w:rsidR="00504C28">
        <w:rPr>
          <w:noProof/>
          <w:color w:val="000000"/>
          <w:highlight w:val="black"/>
        </w:rPr>
        <w:t>'''''</w:t>
      </w:r>
      <w:r w:rsidR="00695E15" w:rsidRPr="00D34003">
        <w:t xml:space="preserve">% rebate for use beyond </w:t>
      </w:r>
      <w:r w:rsidR="00504C28">
        <w:rPr>
          <w:noProof/>
          <w:color w:val="000000"/>
          <w:highlight w:val="black"/>
        </w:rPr>
        <w:t>''''''''''' '''''</w:t>
      </w:r>
      <w:r w:rsidR="00695E15" w:rsidRPr="00D34003">
        <w:t>.</w:t>
      </w:r>
      <w:r w:rsidR="008D6CED" w:rsidRPr="00D34003">
        <w:t xml:space="preserve"> The PSCR </w:t>
      </w:r>
      <w:r w:rsidR="00360666" w:rsidRPr="00D34003">
        <w:t xml:space="preserve">reiterated </w:t>
      </w:r>
      <w:r w:rsidR="008D6CED" w:rsidRPr="00D34003">
        <w:t>that the price and rebate p</w:t>
      </w:r>
      <w:r w:rsidR="008F6035" w:rsidRPr="00D34003">
        <w:t>roposed</w:t>
      </w:r>
      <w:r w:rsidR="008D6CED" w:rsidRPr="00D34003">
        <w:t xml:space="preserve"> are conditional on receipt of </w:t>
      </w:r>
      <w:r w:rsidR="00504C28">
        <w:rPr>
          <w:noProof/>
          <w:color w:val="000000"/>
          <w:highlight w:val="black"/>
        </w:rPr>
        <w:t>'' ''''''''''''''' '''''''''''''''''''''''''''''''''' '''''' '''''' '''''''''''''''''''''''''''''' ''''''''''''''''''''''' '''' ''''' '''''''''''' '''''''' '''' '''''''' ''''''''''' ''''''''''''''''''''''''</w:t>
      </w:r>
      <w:r w:rsidR="008D6CED" w:rsidRPr="00D34003">
        <w:t>.</w:t>
      </w:r>
      <w:r w:rsidR="0098438C" w:rsidRPr="00D34003">
        <w:t xml:space="preserve"> The PBAC considered the RSA </w:t>
      </w:r>
      <w:r w:rsidR="00056857" w:rsidRPr="00D34003">
        <w:t>was required</w:t>
      </w:r>
      <w:r w:rsidR="0098438C" w:rsidRPr="00D34003">
        <w:t xml:space="preserve"> </w:t>
      </w:r>
      <w:r w:rsidR="0098438C" w:rsidRPr="00D34003">
        <w:lastRenderedPageBreak/>
        <w:t xml:space="preserve">to address </w:t>
      </w:r>
      <w:r w:rsidR="00056857" w:rsidRPr="00D34003">
        <w:t>potential use outside the proposed restriction</w:t>
      </w:r>
      <w:r w:rsidR="00D82D15" w:rsidRPr="00D34003">
        <w:t xml:space="preserve"> and</w:t>
      </w:r>
      <w:r w:rsidR="005B649A" w:rsidRPr="00D34003">
        <w:t xml:space="preserve"> the </w:t>
      </w:r>
      <w:r w:rsidR="00D82D15" w:rsidRPr="00D34003">
        <w:t>uncertain</w:t>
      </w:r>
      <w:r w:rsidR="005B649A" w:rsidRPr="00D34003">
        <w:t xml:space="preserve"> treatment duration</w:t>
      </w:r>
      <w:r w:rsidR="006733B4" w:rsidRPr="00D34003">
        <w:t>.</w:t>
      </w:r>
    </w:p>
    <w:bookmarkEnd w:id="0"/>
    <w:bookmarkEnd w:id="1"/>
    <w:bookmarkEnd w:id="2"/>
    <w:bookmarkEnd w:id="3"/>
    <w:bookmarkEnd w:id="4"/>
    <w:p w:rsidR="006622A3" w:rsidRPr="00683C6F" w:rsidRDefault="006622A3" w:rsidP="006622A3">
      <w:pPr>
        <w:pStyle w:val="Heading2"/>
        <w:spacing w:after="120"/>
      </w:pPr>
      <w:r w:rsidRPr="00683C6F">
        <w:t>Quality Use of Medicines</w:t>
      </w:r>
    </w:p>
    <w:p w:rsidR="006622A3" w:rsidRPr="00D34003" w:rsidRDefault="006622A3" w:rsidP="006622A3">
      <w:pPr>
        <w:pStyle w:val="ListParagraph"/>
        <w:widowControl/>
        <w:numPr>
          <w:ilvl w:val="1"/>
          <w:numId w:val="1"/>
        </w:numPr>
        <w:snapToGrid w:val="0"/>
        <w:rPr>
          <w:iCs/>
          <w:color w:val="000000"/>
        </w:rPr>
      </w:pPr>
      <w:r w:rsidRPr="00D34003">
        <w:rPr>
          <w:iCs/>
          <w:color w:val="000000"/>
        </w:rPr>
        <w:t xml:space="preserve">The PBAC noted in its previous consideration of pembrolizumab for urothelial cancer that the fixed dosing regimen proposed </w:t>
      </w:r>
      <w:r w:rsidRPr="00D34003">
        <w:rPr>
          <w:iCs/>
        </w:rPr>
        <w:t xml:space="preserve">results in a considerable proportion of patients with urothelial cancer being given a greater dose, at a greater cost, with no evidence of additional benefit and advised that it would be appropriate for the price of pembrolizumab in urothelial cancer to be reduced by a further proportion to account for what could effectively be considered wastage (Paragraph 7.12, 6.11 pembrolizumab </w:t>
      </w:r>
      <w:r w:rsidR="00933F7E">
        <w:rPr>
          <w:iCs/>
        </w:rPr>
        <w:t>PSD</w:t>
      </w:r>
      <w:r w:rsidRPr="00D34003">
        <w:rPr>
          <w:iCs/>
        </w:rPr>
        <w:t>, November 2017). A</w:t>
      </w:r>
      <w:r w:rsidRPr="00D34003">
        <w:rPr>
          <w:iCs/>
          <w:color w:val="000000"/>
        </w:rPr>
        <w:t xml:space="preserve">t the March 2018 meeting, the PBAC considered a minor submission for pembrolizumab requesting a change to the pembrolizumab dosing for malignant melanoma from 2 mg/kg to a fixed dose of 200mg per infusion. The PBAC recommended an amendment to the existing PBS restrictions to allow either a weight-based dose of 2 mg/kg or a fixed dose of 200 mg every three weeks. However, because the submission argued that there was a flat relationship between pembrolizumab exposure and efficacy or safety within the dose range of 2 to 10mg/kg, the PBAC concluded that, for patients who are currently on a weight-based dose of less than 200mg, there is no extra clinical benefit achieved by increasing to the fixed 200mg dose, but there could potentially be more toxicity (Paragraph 5.2, 6.13 pembrolizumab (melanoma) </w:t>
      </w:r>
      <w:r w:rsidR="00933F7E">
        <w:rPr>
          <w:iCs/>
          <w:color w:val="000000"/>
        </w:rPr>
        <w:t>PSD</w:t>
      </w:r>
      <w:r w:rsidRPr="00D34003">
        <w:rPr>
          <w:iCs/>
          <w:color w:val="000000"/>
        </w:rPr>
        <w:t xml:space="preserve">, March 2018 meeting). The </w:t>
      </w:r>
      <w:r w:rsidR="00E04A5F" w:rsidRPr="00D34003">
        <w:rPr>
          <w:iCs/>
          <w:color w:val="000000"/>
        </w:rPr>
        <w:t xml:space="preserve">PBAC </w:t>
      </w:r>
      <w:r w:rsidRPr="00D34003">
        <w:rPr>
          <w:iCs/>
          <w:color w:val="000000"/>
        </w:rPr>
        <w:t xml:space="preserve">noted that the dose proposed is consistent with the trial but that using the </w:t>
      </w:r>
      <w:r w:rsidR="0001606E">
        <w:rPr>
          <w:iCs/>
          <w:color w:val="000000"/>
        </w:rPr>
        <w:t>fixed</w:t>
      </w:r>
      <w:r w:rsidRPr="00D34003">
        <w:rPr>
          <w:iCs/>
          <w:color w:val="000000"/>
        </w:rPr>
        <w:t xml:space="preserve"> dose results in more </w:t>
      </w:r>
      <w:proofErr w:type="gramStart"/>
      <w:r w:rsidRPr="00D34003">
        <w:rPr>
          <w:iCs/>
          <w:color w:val="000000"/>
        </w:rPr>
        <w:t>drug</w:t>
      </w:r>
      <w:proofErr w:type="gramEnd"/>
      <w:r w:rsidRPr="00D34003">
        <w:rPr>
          <w:iCs/>
          <w:color w:val="000000"/>
        </w:rPr>
        <w:t xml:space="preserve"> being used, on average, per patient</w:t>
      </w:r>
      <w:r w:rsidRPr="00D34003">
        <w:rPr>
          <w:i/>
          <w:iCs/>
          <w:color w:val="000000"/>
        </w:rPr>
        <w:t>.</w:t>
      </w:r>
    </w:p>
    <w:p w:rsidR="006622A3" w:rsidRPr="00D34003" w:rsidRDefault="006622A3" w:rsidP="006622A3">
      <w:pPr>
        <w:pStyle w:val="ListParagraph"/>
        <w:widowControl/>
        <w:numPr>
          <w:ilvl w:val="1"/>
          <w:numId w:val="1"/>
        </w:numPr>
        <w:rPr>
          <w:color w:val="000000" w:themeColor="text1"/>
        </w:rPr>
      </w:pPr>
      <w:r w:rsidRPr="00D34003">
        <w:rPr>
          <w:color w:val="000000" w:themeColor="text1"/>
        </w:rPr>
        <w:t>The resubmission acknowledged that whilst the tolerability profile of pembrolizumab is superior to that observed with other new agents listed on the PBS, being a new medicine, it is important that resources are devoted to ensuring its appropriate use in clinical practice.</w:t>
      </w:r>
    </w:p>
    <w:p w:rsidR="006622A3" w:rsidRPr="00D34003" w:rsidRDefault="006622A3" w:rsidP="006622A3">
      <w:pPr>
        <w:pStyle w:val="ListParagraph"/>
        <w:widowControl/>
        <w:numPr>
          <w:ilvl w:val="1"/>
          <w:numId w:val="1"/>
        </w:numPr>
        <w:rPr>
          <w:color w:val="000000" w:themeColor="text1"/>
        </w:rPr>
      </w:pPr>
      <w:r w:rsidRPr="00D34003">
        <w:rPr>
          <w:color w:val="000000" w:themeColor="text1"/>
        </w:rPr>
        <w:t xml:space="preserve">The sponsor proposed </w:t>
      </w:r>
      <w:r w:rsidR="008A2ED6">
        <w:rPr>
          <w:color w:val="000000" w:themeColor="text1"/>
        </w:rPr>
        <w:t xml:space="preserve">developing </w:t>
      </w:r>
      <w:r w:rsidRPr="00D34003">
        <w:rPr>
          <w:color w:val="000000" w:themeColor="text1"/>
        </w:rPr>
        <w:t>materials and hold</w:t>
      </w:r>
      <w:r w:rsidR="008A2ED6">
        <w:rPr>
          <w:color w:val="000000" w:themeColor="text1"/>
        </w:rPr>
        <w:t>ing</w:t>
      </w:r>
      <w:r w:rsidRPr="00D34003">
        <w:rPr>
          <w:color w:val="000000" w:themeColor="text1"/>
        </w:rPr>
        <w:t xml:space="preserve"> professional development programs (</w:t>
      </w:r>
      <w:r w:rsidR="008A2ED6" w:rsidRPr="00D34003">
        <w:rPr>
          <w:color w:val="000000" w:themeColor="text1"/>
        </w:rPr>
        <w:t>face-to-face</w:t>
      </w:r>
      <w:r w:rsidRPr="00D34003">
        <w:rPr>
          <w:color w:val="000000" w:themeColor="text1"/>
        </w:rPr>
        <w:t xml:space="preserve"> workshops) with health professionals </w:t>
      </w:r>
      <w:r w:rsidR="008A2ED6">
        <w:rPr>
          <w:color w:val="000000" w:themeColor="text1"/>
        </w:rPr>
        <w:t xml:space="preserve">to assist in the </w:t>
      </w:r>
      <w:r w:rsidRPr="00D34003">
        <w:rPr>
          <w:color w:val="000000" w:themeColor="text1"/>
        </w:rPr>
        <w:t>identif</w:t>
      </w:r>
      <w:r w:rsidR="008A2ED6">
        <w:rPr>
          <w:color w:val="000000" w:themeColor="text1"/>
        </w:rPr>
        <w:t>ication</w:t>
      </w:r>
      <w:r w:rsidRPr="00D34003">
        <w:rPr>
          <w:color w:val="000000" w:themeColor="text1"/>
        </w:rPr>
        <w:t xml:space="preserve"> and manage</w:t>
      </w:r>
      <w:r w:rsidR="008A2ED6">
        <w:rPr>
          <w:color w:val="000000" w:themeColor="text1"/>
        </w:rPr>
        <w:t xml:space="preserve">ment of </w:t>
      </w:r>
      <w:r w:rsidRPr="00D34003">
        <w:rPr>
          <w:color w:val="000000" w:themeColor="text1"/>
        </w:rPr>
        <w:t>potential treatment-related adverse events with pembrolizumab. No materials or example content of these workshops were presented.</w:t>
      </w:r>
    </w:p>
    <w:p w:rsidR="004312BE" w:rsidRPr="00D34003" w:rsidRDefault="004312BE" w:rsidP="004312BE">
      <w:pPr>
        <w:pStyle w:val="BodyText"/>
        <w:rPr>
          <w:i/>
        </w:rPr>
      </w:pPr>
      <w:r w:rsidRPr="00D34003">
        <w:rPr>
          <w:i/>
        </w:rPr>
        <w:t>For more detail on PBAC’s view, see section 7 PBAC outcome.</w:t>
      </w:r>
    </w:p>
    <w:p w:rsidR="00150959" w:rsidRPr="00683C6F" w:rsidRDefault="00150959" w:rsidP="00680C1E">
      <w:pPr>
        <w:numPr>
          <w:ilvl w:val="0"/>
          <w:numId w:val="1"/>
        </w:numPr>
        <w:spacing w:before="240" w:after="120"/>
        <w:outlineLvl w:val="0"/>
        <w:rPr>
          <w:rFonts w:asciiTheme="minorHAnsi" w:hAnsiTheme="minorHAnsi"/>
          <w:b/>
          <w:bCs/>
          <w:sz w:val="32"/>
        </w:rPr>
      </w:pPr>
      <w:r w:rsidRPr="00683C6F">
        <w:rPr>
          <w:rFonts w:asciiTheme="minorHAnsi" w:hAnsiTheme="minorHAnsi"/>
          <w:b/>
          <w:bCs/>
          <w:sz w:val="32"/>
        </w:rPr>
        <w:t>PBAC Outcome</w:t>
      </w:r>
    </w:p>
    <w:p w:rsidR="00ED75D8" w:rsidRPr="00D34003" w:rsidRDefault="00ED75D8" w:rsidP="006B1806">
      <w:pPr>
        <w:numPr>
          <w:ilvl w:val="1"/>
          <w:numId w:val="1"/>
        </w:numPr>
        <w:spacing w:after="120"/>
        <w:rPr>
          <w:rFonts w:asciiTheme="minorHAnsi" w:hAnsiTheme="minorHAnsi"/>
          <w:bCs/>
        </w:rPr>
      </w:pPr>
      <w:r w:rsidRPr="00D34003">
        <w:rPr>
          <w:rFonts w:asciiTheme="minorHAnsi" w:hAnsiTheme="minorHAnsi"/>
          <w:bCs/>
        </w:rPr>
        <w:t xml:space="preserve">The PBAC recommended the </w:t>
      </w:r>
      <w:r w:rsidR="008F6035" w:rsidRPr="00D34003">
        <w:rPr>
          <w:rFonts w:asciiTheme="minorHAnsi" w:hAnsiTheme="minorHAnsi"/>
          <w:bCs/>
        </w:rPr>
        <w:t xml:space="preserve">Section 100 (Efficient Funding of Chemotherapy – Public and Private Hospital) Authority Required (STREAMLINED) </w:t>
      </w:r>
      <w:r w:rsidRPr="00D34003">
        <w:rPr>
          <w:rFonts w:asciiTheme="minorHAnsi" w:hAnsiTheme="minorHAnsi"/>
          <w:bCs/>
        </w:rPr>
        <w:t xml:space="preserve">listing of pembrolizumab for the treatment of </w:t>
      </w:r>
      <w:r w:rsidRPr="00D34003">
        <w:t>locally advanced (LA</w:t>
      </w:r>
      <w:r w:rsidRPr="00D34003">
        <w:rPr>
          <w:rFonts w:asciiTheme="minorHAnsi" w:hAnsiTheme="minorHAnsi" w:cstheme="minorHAnsi"/>
        </w:rPr>
        <w:t>) or metastatic urothelial cancer (</w:t>
      </w:r>
      <w:proofErr w:type="spellStart"/>
      <w:r w:rsidRPr="00D34003">
        <w:rPr>
          <w:rFonts w:asciiTheme="minorHAnsi" w:hAnsiTheme="minorHAnsi" w:cstheme="minorHAnsi"/>
        </w:rPr>
        <w:t>mUC</w:t>
      </w:r>
      <w:proofErr w:type="spellEnd"/>
      <w:r w:rsidRPr="00D34003">
        <w:rPr>
          <w:rFonts w:asciiTheme="minorHAnsi" w:hAnsiTheme="minorHAnsi" w:cstheme="minorHAnsi"/>
        </w:rPr>
        <w:t xml:space="preserve">) patients after failure of a platinum-based therapy. </w:t>
      </w:r>
      <w:r w:rsidR="006B1806" w:rsidRPr="00D34003">
        <w:t xml:space="preserve">The PBAC acknowledged the high clinical need for new treatments </w:t>
      </w:r>
      <w:r w:rsidR="00D80AC5" w:rsidRPr="00D34003">
        <w:t>for</w:t>
      </w:r>
      <w:r w:rsidR="006B1806" w:rsidRPr="00D34003">
        <w:t xml:space="preserve"> urothelial cancer.</w:t>
      </w:r>
      <w:r w:rsidR="006B1806" w:rsidRPr="00D34003">
        <w:rPr>
          <w:rFonts w:asciiTheme="minorHAnsi" w:hAnsiTheme="minorHAnsi"/>
          <w:bCs/>
        </w:rPr>
        <w:t xml:space="preserve"> </w:t>
      </w:r>
      <w:r w:rsidRPr="00D34003">
        <w:rPr>
          <w:rFonts w:asciiTheme="minorHAnsi" w:hAnsiTheme="minorHAnsi" w:cstheme="minorHAnsi"/>
        </w:rPr>
        <w:t xml:space="preserve">The PBAC </w:t>
      </w:r>
      <w:r w:rsidR="00887BB9" w:rsidRPr="00D34003">
        <w:rPr>
          <w:rFonts w:asciiTheme="minorHAnsi" w:hAnsiTheme="minorHAnsi" w:cstheme="minorHAnsi"/>
        </w:rPr>
        <w:t>is</w:t>
      </w:r>
      <w:r w:rsidRPr="00D34003">
        <w:rPr>
          <w:rFonts w:asciiTheme="minorHAnsi" w:hAnsiTheme="minorHAnsi" w:cstheme="minorHAnsi"/>
        </w:rPr>
        <w:t xml:space="preserve"> satisfied that</w:t>
      </w:r>
      <w:r w:rsidR="00887BB9" w:rsidRPr="00D34003">
        <w:rPr>
          <w:rFonts w:asciiTheme="minorHAnsi" w:hAnsiTheme="minorHAnsi" w:cstheme="minorHAnsi"/>
        </w:rPr>
        <w:t xml:space="preserve"> pembrolizumab provides</w:t>
      </w:r>
      <w:r w:rsidRPr="00D34003">
        <w:rPr>
          <w:rFonts w:asciiTheme="minorHAnsi" w:hAnsiTheme="minorHAnsi" w:cstheme="minorHAnsi"/>
        </w:rPr>
        <w:t xml:space="preserve"> for some patients, </w:t>
      </w:r>
      <w:r w:rsidR="00887BB9" w:rsidRPr="00D34003">
        <w:rPr>
          <w:rFonts w:asciiTheme="minorHAnsi" w:hAnsiTheme="minorHAnsi" w:cstheme="minorHAnsi"/>
        </w:rPr>
        <w:t xml:space="preserve">a significant </w:t>
      </w:r>
      <w:r w:rsidR="00887BB9" w:rsidRPr="00D34003">
        <w:rPr>
          <w:rFonts w:asciiTheme="minorHAnsi" w:hAnsiTheme="minorHAnsi" w:cstheme="minorHAnsi"/>
        </w:rPr>
        <w:lastRenderedPageBreak/>
        <w:t xml:space="preserve">improvement in OS over </w:t>
      </w:r>
      <w:r w:rsidR="004B246F">
        <w:rPr>
          <w:rFonts w:asciiTheme="minorHAnsi" w:hAnsiTheme="minorHAnsi" w:cstheme="minorHAnsi"/>
        </w:rPr>
        <w:t>standard of care (</w:t>
      </w:r>
      <w:r w:rsidR="00887BB9" w:rsidRPr="00D34003">
        <w:rPr>
          <w:rFonts w:asciiTheme="minorHAnsi" w:hAnsiTheme="minorHAnsi" w:cstheme="minorHAnsi"/>
        </w:rPr>
        <w:t>SOC</w:t>
      </w:r>
      <w:r w:rsidR="004B246F">
        <w:rPr>
          <w:rFonts w:asciiTheme="minorHAnsi" w:hAnsiTheme="minorHAnsi" w:cstheme="minorHAnsi"/>
        </w:rPr>
        <w:t>)</w:t>
      </w:r>
      <w:r w:rsidR="00887BB9" w:rsidRPr="00D34003">
        <w:rPr>
          <w:rFonts w:asciiTheme="minorHAnsi" w:hAnsiTheme="minorHAnsi" w:cstheme="minorHAnsi"/>
        </w:rPr>
        <w:t xml:space="preserve">. </w:t>
      </w:r>
      <w:r w:rsidRPr="00D34003">
        <w:rPr>
          <w:rFonts w:asciiTheme="minorHAnsi" w:hAnsiTheme="minorHAnsi" w:cstheme="minorHAnsi"/>
          <w:szCs w:val="24"/>
        </w:rPr>
        <w:t xml:space="preserve"> </w:t>
      </w:r>
      <w:r w:rsidR="000F5066" w:rsidRPr="00D34003">
        <w:rPr>
          <w:rFonts w:asciiTheme="minorHAnsi" w:hAnsiTheme="minorHAnsi" w:cstheme="minorHAnsi"/>
        </w:rPr>
        <w:t>The PBAC’s recommendation for listing was based on, among other matters, its assessment that the cost-effectiveness of pembrolizumab could be brought into an acceptable range with a reduced effective price.</w:t>
      </w:r>
      <w:r w:rsidR="000F5066" w:rsidRPr="00D34003" w:rsidDel="000F5066">
        <w:rPr>
          <w:rFonts w:asciiTheme="minorHAnsi" w:hAnsiTheme="minorHAnsi" w:cstheme="minorHAnsi"/>
          <w:szCs w:val="24"/>
        </w:rPr>
        <w:t xml:space="preserve"> </w:t>
      </w:r>
    </w:p>
    <w:p w:rsidR="00FD012B" w:rsidRPr="00D34003" w:rsidRDefault="00FD012B" w:rsidP="000F5066">
      <w:pPr>
        <w:numPr>
          <w:ilvl w:val="1"/>
          <w:numId w:val="1"/>
        </w:numPr>
        <w:spacing w:after="120"/>
      </w:pPr>
      <w:r w:rsidRPr="00D34003">
        <w:t>The PBAC acknowledged the high clinical need for new treatments in urothelial cancer. The PBAC considered it was appropriate for pembrolizumab to be listed as second line treatment in patients who progress following treatment with platinum-based therapy.</w:t>
      </w:r>
    </w:p>
    <w:p w:rsidR="00E847DF" w:rsidRPr="00D34003" w:rsidRDefault="00E847DF" w:rsidP="00F36498">
      <w:pPr>
        <w:pStyle w:val="ListParagraph"/>
        <w:numPr>
          <w:ilvl w:val="1"/>
          <w:numId w:val="1"/>
        </w:numPr>
      </w:pPr>
      <w:r w:rsidRPr="00D34003">
        <w:t xml:space="preserve">The PBAC </w:t>
      </w:r>
      <w:r w:rsidR="00F36498" w:rsidRPr="00D34003">
        <w:t>acknowledged the sponsor hearing and the consumer comments noting the</w:t>
      </w:r>
      <w:r w:rsidR="0020766A" w:rsidRPr="00D34003">
        <w:t xml:space="preserve"> l</w:t>
      </w:r>
      <w:r w:rsidR="00887BB9" w:rsidRPr="00D34003">
        <w:t>imited</w:t>
      </w:r>
      <w:r w:rsidR="0020766A" w:rsidRPr="00D34003">
        <w:t xml:space="preserve"> treatment options </w:t>
      </w:r>
      <w:r w:rsidR="005656F8" w:rsidRPr="00D34003">
        <w:t xml:space="preserve">available </w:t>
      </w:r>
      <w:r w:rsidR="0020766A" w:rsidRPr="00D34003">
        <w:t xml:space="preserve">for </w:t>
      </w:r>
      <w:r w:rsidR="00F36498" w:rsidRPr="00D34003">
        <w:t>this type of cancer.</w:t>
      </w:r>
      <w:r w:rsidR="00FC4FAF" w:rsidRPr="00D34003">
        <w:t xml:space="preserve"> </w:t>
      </w:r>
      <w:r w:rsidR="001F2611" w:rsidRPr="00D34003">
        <w:t>T</w:t>
      </w:r>
      <w:r w:rsidR="00343BF2" w:rsidRPr="00D34003">
        <w:t>he PBAC noted that the consumer comments</w:t>
      </w:r>
      <w:r w:rsidR="001F2611" w:rsidRPr="00D34003">
        <w:t xml:space="preserve"> were similar to th</w:t>
      </w:r>
      <w:r w:rsidR="00A0612B" w:rsidRPr="00D34003">
        <w:t>ose provided for the</w:t>
      </w:r>
      <w:r w:rsidR="001F2611" w:rsidRPr="00D34003">
        <w:t xml:space="preserve"> </w:t>
      </w:r>
      <w:r w:rsidR="00887BB9" w:rsidRPr="00D34003">
        <w:t>November 2017 submission</w:t>
      </w:r>
      <w:r w:rsidR="00A0612B" w:rsidRPr="00D34003">
        <w:t>,</w:t>
      </w:r>
      <w:r w:rsidR="001F2611" w:rsidRPr="00D34003">
        <w:t xml:space="preserve"> where</w:t>
      </w:r>
      <w:r w:rsidR="00343BF2" w:rsidRPr="00D34003">
        <w:t xml:space="preserve"> </w:t>
      </w:r>
      <w:r w:rsidR="001F2611" w:rsidRPr="00D34003">
        <w:t xml:space="preserve">pembrolizumab was </w:t>
      </w:r>
      <w:r w:rsidR="00343BF2" w:rsidRPr="00D34003">
        <w:t>d</w:t>
      </w:r>
      <w:r w:rsidR="001F2611" w:rsidRPr="00D34003">
        <w:t>escribed a</w:t>
      </w:r>
      <w:r w:rsidR="00343BF2" w:rsidRPr="00D34003">
        <w:t>s more effective and tolerable than chemotherapy.</w:t>
      </w:r>
    </w:p>
    <w:p w:rsidR="00F50B80" w:rsidRPr="00D34003" w:rsidRDefault="009E5334" w:rsidP="00F36498">
      <w:pPr>
        <w:pStyle w:val="ListParagraph"/>
        <w:numPr>
          <w:ilvl w:val="1"/>
          <w:numId w:val="1"/>
        </w:numPr>
      </w:pPr>
      <w:r w:rsidRPr="00D34003">
        <w:t xml:space="preserve">The PBAC </w:t>
      </w:r>
      <w:r w:rsidR="00D626E7" w:rsidRPr="00D34003">
        <w:t xml:space="preserve">recommended </w:t>
      </w:r>
      <w:r w:rsidR="00995679" w:rsidRPr="00D34003">
        <w:t>listing</w:t>
      </w:r>
      <w:r w:rsidRPr="00D34003">
        <w:t xml:space="preserve"> </w:t>
      </w:r>
      <w:r w:rsidR="00B303F7" w:rsidRPr="00D34003">
        <w:t xml:space="preserve">pembrolizumab as an Authority Required </w:t>
      </w:r>
      <w:r w:rsidR="00887BB9" w:rsidRPr="00D34003">
        <w:t>(</w:t>
      </w:r>
      <w:r w:rsidR="00B303F7" w:rsidRPr="00D34003">
        <w:t>S</w:t>
      </w:r>
      <w:r w:rsidR="00887BB9" w:rsidRPr="00D34003">
        <w:t>TREAMLINED)</w:t>
      </w:r>
      <w:r w:rsidR="00B303F7" w:rsidRPr="00D34003">
        <w:t xml:space="preserve"> listing under the Section 100 Efficient Funding of Chemotherapy program</w:t>
      </w:r>
      <w:r w:rsidR="00B925AC" w:rsidRPr="00D34003">
        <w:t>.</w:t>
      </w:r>
      <w:r w:rsidR="00B303F7" w:rsidRPr="00D34003">
        <w:t xml:space="preserve"> </w:t>
      </w:r>
    </w:p>
    <w:p w:rsidR="001F2611" w:rsidRPr="00D34003" w:rsidRDefault="00F50B80" w:rsidP="007E0463">
      <w:pPr>
        <w:pStyle w:val="ListParagraph"/>
        <w:keepNext/>
        <w:keepLines/>
        <w:numPr>
          <w:ilvl w:val="1"/>
          <w:numId w:val="1"/>
        </w:numPr>
      </w:pPr>
      <w:r w:rsidRPr="00D34003">
        <w:t xml:space="preserve">The PBAC considered that use outside the proposed restriction into the first line setting </w:t>
      </w:r>
      <w:r w:rsidR="00E36BD5">
        <w:t>may be less likely</w:t>
      </w:r>
      <w:r w:rsidRPr="00D34003">
        <w:t xml:space="preserve"> as there was emerging data suggesting decreased survival when PD-1 inhibitors are used first line in PD-L1-low expressing urothelial cancer</w:t>
      </w:r>
      <w:r w:rsidR="00735AF3" w:rsidRPr="00735AF3">
        <w:rPr>
          <w:rStyle w:val="FootnoteReference"/>
          <w:b/>
          <w:color w:val="000000" w:themeColor="text1"/>
        </w:rPr>
        <w:t xml:space="preserve"> </w:t>
      </w:r>
      <w:r w:rsidR="00735AF3">
        <w:rPr>
          <w:rStyle w:val="FootnoteReference"/>
          <w:b/>
          <w:color w:val="000000" w:themeColor="text1"/>
        </w:rPr>
        <w:footnoteReference w:id="9"/>
      </w:r>
      <w:r w:rsidR="007E0463">
        <w:rPr>
          <w:b/>
          <w:color w:val="000000" w:themeColor="text1"/>
          <w:vertAlign w:val="superscript"/>
        </w:rPr>
        <w:t>,</w:t>
      </w:r>
      <w:r w:rsidR="00735AF3">
        <w:rPr>
          <w:rStyle w:val="FootnoteReference"/>
          <w:b/>
          <w:color w:val="000000" w:themeColor="text1"/>
        </w:rPr>
        <w:footnoteReference w:id="10"/>
      </w:r>
      <w:r w:rsidR="007E0463">
        <w:rPr>
          <w:b/>
          <w:color w:val="000000" w:themeColor="text1"/>
          <w:vertAlign w:val="superscript"/>
        </w:rPr>
        <w:t>,</w:t>
      </w:r>
      <w:r w:rsidR="00735AF3">
        <w:rPr>
          <w:rStyle w:val="FootnoteReference"/>
          <w:b/>
          <w:color w:val="000000" w:themeColor="text1"/>
        </w:rPr>
        <w:footnoteReference w:id="11"/>
      </w:r>
      <w:r w:rsidRPr="00D34003">
        <w:t xml:space="preserve">. </w:t>
      </w:r>
      <w:r w:rsidR="00FC2BF2" w:rsidRPr="00D34003">
        <w:t>The PBAC noted that the risk sharing arrangement</w:t>
      </w:r>
      <w:r w:rsidR="00364A9C">
        <w:t xml:space="preserve"> (RSA)</w:t>
      </w:r>
      <w:r w:rsidR="00FC2BF2" w:rsidRPr="00D34003">
        <w:t xml:space="preserve"> would assist </w:t>
      </w:r>
      <w:r w:rsidR="005B649A" w:rsidRPr="00D34003">
        <w:t xml:space="preserve">in addressing the financial implications </w:t>
      </w:r>
      <w:r w:rsidR="00FC2BF2" w:rsidRPr="00D34003">
        <w:t>of treatment beyon</w:t>
      </w:r>
      <w:r w:rsidR="003E34EE" w:rsidRPr="00D34003">
        <w:t>d</w:t>
      </w:r>
      <w:r w:rsidR="00FC2BF2" w:rsidRPr="00D34003">
        <w:t xml:space="preserve"> 35 cycles. </w:t>
      </w:r>
    </w:p>
    <w:p w:rsidR="00E60213" w:rsidRPr="00D34003" w:rsidRDefault="00E42209" w:rsidP="00266EC5">
      <w:pPr>
        <w:pStyle w:val="ListParagraph"/>
        <w:numPr>
          <w:ilvl w:val="1"/>
          <w:numId w:val="1"/>
        </w:numPr>
      </w:pPr>
      <w:r w:rsidRPr="00D34003">
        <w:t xml:space="preserve">The PBAC considered that it was appropriate to have a grandfather restriction to allow continued treatment for patients who are currently accessing non-PBS subsidised pembrolizumab. </w:t>
      </w:r>
      <w:r w:rsidR="007A7B25" w:rsidRPr="00D34003">
        <w:t xml:space="preserve">The PBAC </w:t>
      </w:r>
      <w:r w:rsidR="00A0612B" w:rsidRPr="00D34003">
        <w:t xml:space="preserve">recommended the grandfathering restriction have </w:t>
      </w:r>
      <w:r w:rsidR="00D159B1">
        <w:t>six</w:t>
      </w:r>
      <w:r w:rsidR="00D159B1" w:rsidRPr="00D34003">
        <w:t xml:space="preserve"> </w:t>
      </w:r>
      <w:r w:rsidR="00A0612B" w:rsidRPr="00D34003">
        <w:t xml:space="preserve">repeats and </w:t>
      </w:r>
      <w:r w:rsidR="007A7B25" w:rsidRPr="00D34003">
        <w:t>include the following clinical criterion “</w:t>
      </w:r>
      <w:r w:rsidR="00266EC5" w:rsidRPr="00266EC5">
        <w:t>Patient must have WHO performance status of 2 or less prior to initiating treatment with this drug for this condition</w:t>
      </w:r>
      <w:r w:rsidR="00266EC5">
        <w:t>”.</w:t>
      </w:r>
      <w:r w:rsidR="007A7B25" w:rsidRPr="00D34003">
        <w:t xml:space="preserve"> </w:t>
      </w:r>
    </w:p>
    <w:p w:rsidR="00B27996" w:rsidRPr="00D34003" w:rsidRDefault="0001029D" w:rsidP="0001029D">
      <w:pPr>
        <w:numPr>
          <w:ilvl w:val="1"/>
          <w:numId w:val="1"/>
        </w:numPr>
        <w:spacing w:after="120"/>
        <w:rPr>
          <w:rFonts w:asciiTheme="minorHAnsi" w:hAnsiTheme="minorHAnsi"/>
          <w:bCs/>
        </w:rPr>
      </w:pPr>
      <w:r w:rsidRPr="00D34003">
        <w:rPr>
          <w:rFonts w:asciiTheme="minorHAnsi" w:hAnsiTheme="minorHAnsi"/>
          <w:bCs/>
        </w:rPr>
        <w:t xml:space="preserve">The PBAC maintained </w:t>
      </w:r>
      <w:r w:rsidR="00DC2933" w:rsidRPr="00D34003">
        <w:rPr>
          <w:rFonts w:asciiTheme="minorHAnsi" w:hAnsiTheme="minorHAnsi"/>
          <w:bCs/>
        </w:rPr>
        <w:t xml:space="preserve">its view from the November 2017 consideration </w:t>
      </w:r>
      <w:r w:rsidRPr="00D34003">
        <w:rPr>
          <w:rFonts w:asciiTheme="minorHAnsi" w:hAnsiTheme="minorHAnsi"/>
          <w:bCs/>
        </w:rPr>
        <w:t xml:space="preserve">that </w:t>
      </w:r>
      <w:r w:rsidR="007E0463">
        <w:rPr>
          <w:rFonts w:asciiTheme="minorHAnsi" w:hAnsiTheme="minorHAnsi"/>
          <w:bCs/>
        </w:rPr>
        <w:t>SOC</w:t>
      </w:r>
      <w:r w:rsidRPr="00D34003">
        <w:rPr>
          <w:rFonts w:asciiTheme="minorHAnsi" w:hAnsiTheme="minorHAnsi"/>
          <w:bCs/>
        </w:rPr>
        <w:t>, which included paclitaxel or docetaxel, as the main</w:t>
      </w:r>
      <w:r w:rsidR="00A12777" w:rsidRPr="00D34003">
        <w:rPr>
          <w:rFonts w:asciiTheme="minorHAnsi" w:hAnsiTheme="minorHAnsi"/>
          <w:bCs/>
        </w:rPr>
        <w:t xml:space="preserve"> </w:t>
      </w:r>
      <w:r w:rsidRPr="00D34003">
        <w:rPr>
          <w:rFonts w:asciiTheme="minorHAnsi" w:hAnsiTheme="minorHAnsi"/>
          <w:bCs/>
        </w:rPr>
        <w:t>comparator was appropriate.</w:t>
      </w:r>
      <w:r w:rsidR="00223CB2" w:rsidRPr="00D34003">
        <w:rPr>
          <w:rFonts w:asciiTheme="minorHAnsi" w:hAnsiTheme="minorHAnsi"/>
          <w:bCs/>
        </w:rPr>
        <w:t xml:space="preserve"> </w:t>
      </w:r>
    </w:p>
    <w:p w:rsidR="00754CCF" w:rsidRPr="00D34003" w:rsidRDefault="00A877D3" w:rsidP="00754CCF">
      <w:pPr>
        <w:numPr>
          <w:ilvl w:val="1"/>
          <w:numId w:val="1"/>
        </w:numPr>
        <w:spacing w:after="120"/>
        <w:rPr>
          <w:rFonts w:asciiTheme="minorHAnsi" w:hAnsiTheme="minorHAnsi"/>
          <w:bCs/>
        </w:rPr>
      </w:pPr>
      <w:r w:rsidRPr="00D34003">
        <w:rPr>
          <w:rFonts w:asciiTheme="minorHAnsi" w:hAnsiTheme="minorHAnsi"/>
          <w:bCs/>
        </w:rPr>
        <w:t xml:space="preserve">The </w:t>
      </w:r>
      <w:r w:rsidR="00F50B80" w:rsidRPr="00D34003">
        <w:rPr>
          <w:rFonts w:asciiTheme="minorHAnsi" w:hAnsiTheme="minorHAnsi"/>
          <w:bCs/>
        </w:rPr>
        <w:t xml:space="preserve">November 2017 submission and the </w:t>
      </w:r>
      <w:r w:rsidR="00754CCF" w:rsidRPr="00D34003">
        <w:rPr>
          <w:rFonts w:asciiTheme="minorHAnsi" w:hAnsiTheme="minorHAnsi"/>
          <w:bCs/>
        </w:rPr>
        <w:t>re</w:t>
      </w:r>
      <w:r w:rsidRPr="00D34003">
        <w:rPr>
          <w:rFonts w:asciiTheme="minorHAnsi" w:hAnsiTheme="minorHAnsi"/>
          <w:bCs/>
        </w:rPr>
        <w:t>submission</w:t>
      </w:r>
      <w:r w:rsidR="00754CCF" w:rsidRPr="00D34003">
        <w:rPr>
          <w:rFonts w:asciiTheme="minorHAnsi" w:hAnsiTheme="minorHAnsi"/>
          <w:bCs/>
        </w:rPr>
        <w:t xml:space="preserve"> </w:t>
      </w:r>
      <w:r w:rsidRPr="00D34003">
        <w:rPr>
          <w:rFonts w:asciiTheme="minorHAnsi" w:hAnsiTheme="minorHAnsi"/>
          <w:bCs/>
        </w:rPr>
        <w:t>w</w:t>
      </w:r>
      <w:r w:rsidR="00F50B80" w:rsidRPr="00D34003">
        <w:rPr>
          <w:rFonts w:asciiTheme="minorHAnsi" w:hAnsiTheme="minorHAnsi"/>
          <w:bCs/>
        </w:rPr>
        <w:t>ere</w:t>
      </w:r>
      <w:r w:rsidR="00270647" w:rsidRPr="00D34003">
        <w:rPr>
          <w:rFonts w:asciiTheme="minorHAnsi" w:hAnsiTheme="minorHAnsi"/>
          <w:bCs/>
        </w:rPr>
        <w:t xml:space="preserve"> </w:t>
      </w:r>
      <w:r w:rsidRPr="00D34003">
        <w:rPr>
          <w:rFonts w:asciiTheme="minorHAnsi" w:hAnsiTheme="minorHAnsi"/>
          <w:bCs/>
        </w:rPr>
        <w:t xml:space="preserve">based on one head-to-head randomised trial comparing pembrolizumab to SOC (KN045). </w:t>
      </w:r>
      <w:r w:rsidR="00754CCF" w:rsidRPr="00D34003">
        <w:t xml:space="preserve">The </w:t>
      </w:r>
      <w:r w:rsidR="00270647" w:rsidRPr="00D34003">
        <w:t xml:space="preserve">PBAC noted that the </w:t>
      </w:r>
      <w:r w:rsidR="00754CCF" w:rsidRPr="00D34003">
        <w:t xml:space="preserve">resubmission presented an extended follow-up </w:t>
      </w:r>
      <w:r w:rsidR="008A2ED6" w:rsidRPr="00D34003">
        <w:t>analysis that</w:t>
      </w:r>
      <w:r w:rsidR="00754CCF" w:rsidRPr="00D34003">
        <w:t xml:space="preserve"> provided an </w:t>
      </w:r>
      <w:r w:rsidR="00754CCF" w:rsidRPr="00D34003">
        <w:lastRenderedPageBreak/>
        <w:t xml:space="preserve">additional 13.6 months of </w:t>
      </w:r>
      <w:r w:rsidR="00270647" w:rsidRPr="00D34003">
        <w:t>data compared to the November 2017 submission</w:t>
      </w:r>
      <w:r w:rsidR="00754CCF" w:rsidRPr="00D34003">
        <w:t xml:space="preserve">. </w:t>
      </w:r>
      <w:r w:rsidR="00270647" w:rsidRPr="00D34003">
        <w:t>The PBAC noted that t</w:t>
      </w:r>
      <w:r w:rsidR="00754CCF" w:rsidRPr="00D34003">
        <w:t>hese data showed a higher rate of crossover in the SOC arm (</w:t>
      </w:r>
      <w:r w:rsidR="00504C28">
        <w:rPr>
          <w:noProof/>
          <w:color w:val="000000"/>
          <w:highlight w:val="black"/>
        </w:rPr>
        <w:t>'''''</w:t>
      </w:r>
      <w:r w:rsidR="00754CCF" w:rsidRPr="00D34003">
        <w:t xml:space="preserve">% receiving immunotherapies post-progression vs. 12.9% in the November 2017 submission). The </w:t>
      </w:r>
      <w:r w:rsidR="00270647" w:rsidRPr="00D34003">
        <w:t xml:space="preserve">PBAC noted that, consistent with the November 2017 submission, the </w:t>
      </w:r>
      <w:r w:rsidR="00754CCF" w:rsidRPr="00D34003">
        <w:t>updated overall survival (OS) and progression free survival (PFS) results</w:t>
      </w:r>
      <w:r w:rsidR="00754CCF" w:rsidRPr="00D34003">
        <w:rPr>
          <w:color w:val="000000" w:themeColor="text1"/>
        </w:rPr>
        <w:t xml:space="preserve"> showed</w:t>
      </w:r>
      <w:r w:rsidR="00754CCF" w:rsidRPr="00D34003">
        <w:rPr>
          <w:rFonts w:cs="Calibri"/>
          <w:color w:val="000000" w:themeColor="text1"/>
        </w:rPr>
        <w:t xml:space="preserve"> a continued survival benefit for pembrolizumab compared to SOC (OS HR= 0.70 (95% CI; 0.57, 0.85), but no difference in PFS. The PBAC maintained that PFS may not be a meaningful surrogate for clinical benefit in this indication.</w:t>
      </w:r>
    </w:p>
    <w:p w:rsidR="00A12777" w:rsidRPr="00D34003" w:rsidRDefault="00A877D3" w:rsidP="00A877D3">
      <w:pPr>
        <w:numPr>
          <w:ilvl w:val="1"/>
          <w:numId w:val="1"/>
        </w:numPr>
        <w:spacing w:after="120"/>
        <w:rPr>
          <w:rFonts w:asciiTheme="minorHAnsi" w:hAnsiTheme="minorHAnsi"/>
          <w:bCs/>
        </w:rPr>
      </w:pPr>
      <w:r w:rsidRPr="00D34003">
        <w:rPr>
          <w:rFonts w:asciiTheme="minorHAnsi" w:hAnsiTheme="minorHAnsi"/>
          <w:bCs/>
        </w:rPr>
        <w:t xml:space="preserve">The PBAC considered that the claim of superior effectiveness was adequately supported by the OS data, where the evidence from KN045 </w:t>
      </w:r>
      <w:r w:rsidR="00635134" w:rsidRPr="00D34003">
        <w:t>demonst</w:t>
      </w:r>
      <w:r w:rsidR="003A34D9" w:rsidRPr="00D34003">
        <w:t>r</w:t>
      </w:r>
      <w:r w:rsidR="00635134" w:rsidRPr="00D34003">
        <w:t xml:space="preserve">ated better OS, higher and more durable response rates and improved </w:t>
      </w:r>
      <w:r w:rsidR="003A34D9" w:rsidRPr="00D34003">
        <w:t>health related quality of life (</w:t>
      </w:r>
      <w:proofErr w:type="spellStart"/>
      <w:r w:rsidR="003A34D9" w:rsidRPr="00D34003">
        <w:t>HRQoL</w:t>
      </w:r>
      <w:proofErr w:type="spellEnd"/>
      <w:r w:rsidR="003A34D9" w:rsidRPr="00D34003">
        <w:t xml:space="preserve">) </w:t>
      </w:r>
      <w:r w:rsidRPr="00D34003">
        <w:rPr>
          <w:rFonts w:asciiTheme="minorHAnsi" w:hAnsiTheme="minorHAnsi"/>
          <w:bCs/>
        </w:rPr>
        <w:t>for the pembrolizumab arm compared with the SOC arm.</w:t>
      </w:r>
    </w:p>
    <w:p w:rsidR="008E3963" w:rsidRPr="00D34003" w:rsidRDefault="008E3963" w:rsidP="00A10909">
      <w:pPr>
        <w:pStyle w:val="ListParagraph"/>
        <w:widowControl/>
        <w:numPr>
          <w:ilvl w:val="1"/>
          <w:numId w:val="1"/>
        </w:numPr>
        <w:spacing w:after="120"/>
        <w:rPr>
          <w:rFonts w:asciiTheme="minorHAnsi" w:hAnsiTheme="minorHAnsi"/>
          <w:szCs w:val="20"/>
        </w:rPr>
      </w:pPr>
      <w:r w:rsidRPr="00D34003">
        <w:rPr>
          <w:rFonts w:asciiTheme="minorHAnsi" w:hAnsiTheme="minorHAnsi"/>
          <w:szCs w:val="20"/>
        </w:rPr>
        <w:t xml:space="preserve">The PBAC considered that the claim of superior comparative </w:t>
      </w:r>
      <w:r w:rsidR="008E4C80" w:rsidRPr="00D34003">
        <w:rPr>
          <w:rFonts w:asciiTheme="minorHAnsi" w:hAnsiTheme="minorHAnsi"/>
          <w:szCs w:val="20"/>
        </w:rPr>
        <w:t>safety</w:t>
      </w:r>
      <w:r w:rsidRPr="00D34003">
        <w:rPr>
          <w:rFonts w:asciiTheme="minorHAnsi" w:hAnsiTheme="minorHAnsi"/>
          <w:szCs w:val="20"/>
        </w:rPr>
        <w:t xml:space="preserve"> was reasonable and adequately supported by the data.</w:t>
      </w:r>
      <w:r w:rsidR="00A10909" w:rsidRPr="00D34003">
        <w:t xml:space="preserve"> </w:t>
      </w:r>
      <w:r w:rsidR="00A10909" w:rsidRPr="00D34003">
        <w:rPr>
          <w:rFonts w:asciiTheme="minorHAnsi" w:hAnsiTheme="minorHAnsi"/>
          <w:szCs w:val="20"/>
        </w:rPr>
        <w:t xml:space="preserve">The </w:t>
      </w:r>
      <w:r w:rsidR="00270647" w:rsidRPr="00D34003">
        <w:rPr>
          <w:rFonts w:asciiTheme="minorHAnsi" w:hAnsiTheme="minorHAnsi"/>
          <w:szCs w:val="20"/>
        </w:rPr>
        <w:t xml:space="preserve">PBAC noted that the </w:t>
      </w:r>
      <w:r w:rsidR="00A10909" w:rsidRPr="00D34003">
        <w:rPr>
          <w:rFonts w:asciiTheme="minorHAnsi" w:hAnsiTheme="minorHAnsi"/>
          <w:szCs w:val="20"/>
        </w:rPr>
        <w:t>extended assessment of comparative harms (data cut-off 4th March 2017 to 3rd September 2017) did not identify any new safety signals and the overall conclusion of superior safety for pembrolizumab remains unchanged as per the November 2017 submission.</w:t>
      </w:r>
    </w:p>
    <w:p w:rsidR="008E3963" w:rsidRPr="00D34003" w:rsidRDefault="000217EF" w:rsidP="000217EF">
      <w:pPr>
        <w:numPr>
          <w:ilvl w:val="1"/>
          <w:numId w:val="1"/>
        </w:numPr>
        <w:spacing w:after="120"/>
        <w:rPr>
          <w:rFonts w:asciiTheme="minorHAnsi" w:hAnsiTheme="minorHAnsi"/>
          <w:bCs/>
        </w:rPr>
      </w:pPr>
      <w:r w:rsidRPr="00D34003">
        <w:rPr>
          <w:rFonts w:asciiTheme="minorHAnsi" w:hAnsiTheme="minorHAnsi"/>
          <w:bCs/>
        </w:rPr>
        <w:t>The PBAC maintained its view that there was insufficient evidence of clinically important treatment effect modification by either PD-L1 expression or age to justify restricting pembrolizumab to a specific subgroup defined using either variable.</w:t>
      </w:r>
    </w:p>
    <w:p w:rsidR="00223CB2" w:rsidRPr="00D34003" w:rsidRDefault="00223CB2" w:rsidP="00223CB2">
      <w:pPr>
        <w:numPr>
          <w:ilvl w:val="1"/>
          <w:numId w:val="1"/>
        </w:numPr>
        <w:spacing w:after="120"/>
        <w:rPr>
          <w:rFonts w:asciiTheme="minorHAnsi" w:hAnsiTheme="minorHAnsi"/>
          <w:bCs/>
        </w:rPr>
      </w:pPr>
      <w:r w:rsidRPr="00D34003">
        <w:rPr>
          <w:rFonts w:asciiTheme="minorHAnsi" w:hAnsiTheme="minorHAnsi"/>
          <w:bCs/>
        </w:rPr>
        <w:t xml:space="preserve">The </w:t>
      </w:r>
      <w:r w:rsidR="00FB6F42" w:rsidRPr="00D34003">
        <w:rPr>
          <w:rFonts w:asciiTheme="minorHAnsi" w:hAnsiTheme="minorHAnsi"/>
          <w:bCs/>
        </w:rPr>
        <w:t xml:space="preserve">PBAC noted the additional </w:t>
      </w:r>
      <w:r w:rsidRPr="00D34003">
        <w:rPr>
          <w:rFonts w:asciiTheme="minorHAnsi" w:hAnsiTheme="minorHAnsi"/>
          <w:bCs/>
        </w:rPr>
        <w:t xml:space="preserve">data </w:t>
      </w:r>
      <w:r w:rsidR="00FB6F42" w:rsidRPr="00D34003">
        <w:rPr>
          <w:rFonts w:asciiTheme="minorHAnsi" w:hAnsiTheme="minorHAnsi"/>
          <w:bCs/>
        </w:rPr>
        <w:t xml:space="preserve">provided </w:t>
      </w:r>
      <w:r w:rsidRPr="00D34003">
        <w:rPr>
          <w:rFonts w:asciiTheme="minorHAnsi" w:hAnsiTheme="minorHAnsi"/>
          <w:bCs/>
        </w:rPr>
        <w:t xml:space="preserve">showed no significant differences in PFS with </w:t>
      </w:r>
      <w:proofErr w:type="spellStart"/>
      <w:r w:rsidRPr="00D34003">
        <w:rPr>
          <w:rFonts w:asciiTheme="minorHAnsi" w:hAnsiTheme="minorHAnsi"/>
          <w:bCs/>
        </w:rPr>
        <w:t>vinflunine</w:t>
      </w:r>
      <w:proofErr w:type="spellEnd"/>
      <w:r w:rsidRPr="00D34003">
        <w:rPr>
          <w:rFonts w:asciiTheme="minorHAnsi" w:hAnsiTheme="minorHAnsi"/>
          <w:bCs/>
        </w:rPr>
        <w:t xml:space="preserve"> vs PFS without </w:t>
      </w:r>
      <w:proofErr w:type="spellStart"/>
      <w:r w:rsidRPr="00D34003">
        <w:rPr>
          <w:rFonts w:asciiTheme="minorHAnsi" w:hAnsiTheme="minorHAnsi"/>
          <w:bCs/>
        </w:rPr>
        <w:t>vinflunine</w:t>
      </w:r>
      <w:proofErr w:type="spellEnd"/>
      <w:r w:rsidRPr="00D34003">
        <w:rPr>
          <w:rFonts w:asciiTheme="minorHAnsi" w:hAnsiTheme="minorHAnsi"/>
          <w:bCs/>
        </w:rPr>
        <w:t xml:space="preserve"> or OS with </w:t>
      </w:r>
      <w:proofErr w:type="spellStart"/>
      <w:r w:rsidRPr="00D34003">
        <w:rPr>
          <w:rFonts w:asciiTheme="minorHAnsi" w:hAnsiTheme="minorHAnsi"/>
          <w:bCs/>
        </w:rPr>
        <w:t>vinflunine</w:t>
      </w:r>
      <w:proofErr w:type="spellEnd"/>
      <w:r w:rsidRPr="00D34003">
        <w:rPr>
          <w:rFonts w:asciiTheme="minorHAnsi" w:hAnsiTheme="minorHAnsi"/>
          <w:bCs/>
        </w:rPr>
        <w:t xml:space="preserve"> vs OS without </w:t>
      </w:r>
      <w:proofErr w:type="spellStart"/>
      <w:r w:rsidRPr="00D34003">
        <w:rPr>
          <w:rFonts w:asciiTheme="minorHAnsi" w:hAnsiTheme="minorHAnsi"/>
          <w:bCs/>
        </w:rPr>
        <w:t>vinflunine</w:t>
      </w:r>
      <w:proofErr w:type="spellEnd"/>
      <w:r w:rsidRPr="00D34003">
        <w:rPr>
          <w:rFonts w:asciiTheme="minorHAnsi" w:hAnsiTheme="minorHAnsi"/>
          <w:bCs/>
        </w:rPr>
        <w:t xml:space="preserve">. The PBAC maintained its view from the November 2017 meeting that excluding </w:t>
      </w:r>
      <w:proofErr w:type="spellStart"/>
      <w:r w:rsidRPr="00D34003">
        <w:rPr>
          <w:rFonts w:asciiTheme="minorHAnsi" w:hAnsiTheme="minorHAnsi"/>
          <w:bCs/>
        </w:rPr>
        <w:t>vinflunine</w:t>
      </w:r>
      <w:proofErr w:type="spellEnd"/>
      <w:r w:rsidRPr="00D34003">
        <w:rPr>
          <w:rFonts w:asciiTheme="minorHAnsi" w:hAnsiTheme="minorHAnsi"/>
          <w:bCs/>
        </w:rPr>
        <w:t xml:space="preserve"> as a comparator was unlikely to affect the overall results (pembrolizumab PSD, November 2017, point 7.3).</w:t>
      </w:r>
    </w:p>
    <w:p w:rsidR="00485BE9" w:rsidRPr="00D34003" w:rsidRDefault="00485BE9" w:rsidP="00485BE9">
      <w:pPr>
        <w:pStyle w:val="ListParagraph"/>
        <w:numPr>
          <w:ilvl w:val="1"/>
          <w:numId w:val="1"/>
        </w:numPr>
        <w:rPr>
          <w:rFonts w:asciiTheme="minorHAnsi" w:hAnsiTheme="minorHAnsi"/>
          <w:bCs/>
        </w:rPr>
      </w:pPr>
      <w:r w:rsidRPr="00D34003">
        <w:rPr>
          <w:rFonts w:asciiTheme="minorHAnsi" w:hAnsiTheme="minorHAnsi"/>
          <w:bCs/>
        </w:rPr>
        <w:t xml:space="preserve">The resubmission presented a cost-effectiveness analysis (CEA) and cost-utility analysis (CUA). Health benefits were reported as life years gained (LYGs) and quality adjusted life years (QALYs) gained, respectively. The </w:t>
      </w:r>
      <w:r w:rsidR="00FB6F42" w:rsidRPr="00D34003">
        <w:rPr>
          <w:rFonts w:asciiTheme="minorHAnsi" w:hAnsiTheme="minorHAnsi"/>
          <w:bCs/>
        </w:rPr>
        <w:t xml:space="preserve">PBAC considered that the </w:t>
      </w:r>
      <w:r w:rsidRPr="00D34003">
        <w:rPr>
          <w:rFonts w:asciiTheme="minorHAnsi" w:hAnsiTheme="minorHAnsi"/>
          <w:bCs/>
        </w:rPr>
        <w:t xml:space="preserve">resubmission addressed the key concerns affecting the cost-effectiveness of pembrolizumab as raised by the PBAC in November 2017, although issues regarding the extrapolation of the trial data were only partially addressed. The analysis </w:t>
      </w:r>
      <w:r w:rsidR="0093435B" w:rsidRPr="00D34003">
        <w:rPr>
          <w:rFonts w:asciiTheme="minorHAnsi" w:hAnsiTheme="minorHAnsi"/>
          <w:bCs/>
        </w:rPr>
        <w:t xml:space="preserve">presented in the resubmission </w:t>
      </w:r>
      <w:r w:rsidRPr="00D34003">
        <w:rPr>
          <w:rFonts w:asciiTheme="minorHAnsi" w:hAnsiTheme="minorHAnsi"/>
          <w:bCs/>
        </w:rPr>
        <w:t>also included additional follow-up data, an extended time horizon (from 5 to 7.5 years) and an adjustment for crossover.</w:t>
      </w:r>
    </w:p>
    <w:p w:rsidR="00D56F07" w:rsidRPr="00D34003" w:rsidRDefault="00BF11E3" w:rsidP="00485BE9">
      <w:pPr>
        <w:numPr>
          <w:ilvl w:val="1"/>
          <w:numId w:val="1"/>
        </w:numPr>
        <w:spacing w:after="120"/>
        <w:rPr>
          <w:rFonts w:asciiTheme="minorHAnsi" w:hAnsiTheme="minorHAnsi"/>
          <w:bCs/>
        </w:rPr>
      </w:pPr>
      <w:r w:rsidRPr="00D34003">
        <w:rPr>
          <w:rFonts w:asciiTheme="minorHAnsi" w:hAnsiTheme="minorHAnsi"/>
          <w:bCs/>
        </w:rPr>
        <w:t xml:space="preserve">The PBAC was of the view that the </w:t>
      </w:r>
      <w:r w:rsidR="00FB6F42" w:rsidRPr="00D34003">
        <w:rPr>
          <w:rFonts w:asciiTheme="minorHAnsi" w:hAnsiTheme="minorHAnsi"/>
          <w:bCs/>
        </w:rPr>
        <w:t>two</w:t>
      </w:r>
      <w:r w:rsidRPr="00D34003">
        <w:rPr>
          <w:rFonts w:asciiTheme="minorHAnsi" w:hAnsiTheme="minorHAnsi"/>
          <w:bCs/>
        </w:rPr>
        <w:t xml:space="preserve">-stage crossover adjustment may underestimate the OS for </w:t>
      </w:r>
      <w:r w:rsidR="00FB6F42" w:rsidRPr="00D34003">
        <w:rPr>
          <w:rFonts w:asciiTheme="minorHAnsi" w:hAnsiTheme="minorHAnsi"/>
          <w:bCs/>
        </w:rPr>
        <w:t>SOC</w:t>
      </w:r>
      <w:r w:rsidRPr="00D34003">
        <w:rPr>
          <w:rFonts w:asciiTheme="minorHAnsi" w:hAnsiTheme="minorHAnsi"/>
          <w:bCs/>
        </w:rPr>
        <w:t>, and the unadjusted data may be more representative of OS, particularly in later periods. The PBAC considered that the crossover adjustment presented was unreliable and as it introduced additional uncertainty to the incremental benefit</w:t>
      </w:r>
      <w:r w:rsidR="00E36BD5">
        <w:rPr>
          <w:rFonts w:asciiTheme="minorHAnsi" w:hAnsiTheme="minorHAnsi"/>
          <w:bCs/>
        </w:rPr>
        <w:t>,</w:t>
      </w:r>
      <w:r w:rsidRPr="00D34003">
        <w:rPr>
          <w:rFonts w:asciiTheme="minorHAnsi" w:hAnsiTheme="minorHAnsi"/>
          <w:bCs/>
        </w:rPr>
        <w:t xml:space="preserve"> it was the Committee’s preference to not apply crossover adjustments in the model.</w:t>
      </w:r>
    </w:p>
    <w:p w:rsidR="00086AE9" w:rsidRPr="00D34003" w:rsidRDefault="00086AE9" w:rsidP="0060610F">
      <w:pPr>
        <w:numPr>
          <w:ilvl w:val="1"/>
          <w:numId w:val="1"/>
        </w:numPr>
        <w:spacing w:after="120"/>
        <w:rPr>
          <w:rFonts w:asciiTheme="minorHAnsi" w:hAnsiTheme="minorHAnsi"/>
          <w:bCs/>
        </w:rPr>
      </w:pPr>
      <w:r w:rsidRPr="00D34003">
        <w:rPr>
          <w:rFonts w:asciiTheme="minorHAnsi" w:hAnsiTheme="minorHAnsi"/>
          <w:bCs/>
        </w:rPr>
        <w:lastRenderedPageBreak/>
        <w:t xml:space="preserve">The </w:t>
      </w:r>
      <w:r w:rsidR="0060610F" w:rsidRPr="00D34003">
        <w:rPr>
          <w:rFonts w:asciiTheme="minorHAnsi" w:hAnsiTheme="minorHAnsi"/>
          <w:bCs/>
        </w:rPr>
        <w:t>resubmission applied a 7.5</w:t>
      </w:r>
      <w:r w:rsidR="005A2E99" w:rsidRPr="00D34003">
        <w:rPr>
          <w:rFonts w:asciiTheme="minorHAnsi" w:hAnsiTheme="minorHAnsi"/>
          <w:bCs/>
        </w:rPr>
        <w:t>-</w:t>
      </w:r>
      <w:r w:rsidR="0060610F" w:rsidRPr="00D34003">
        <w:rPr>
          <w:rFonts w:asciiTheme="minorHAnsi" w:hAnsiTheme="minorHAnsi"/>
          <w:bCs/>
        </w:rPr>
        <w:t>year time horizon, which was revised to</w:t>
      </w:r>
      <w:r w:rsidR="00364A9C">
        <w:rPr>
          <w:rFonts w:asciiTheme="minorHAnsi" w:hAnsiTheme="minorHAnsi"/>
          <w:bCs/>
        </w:rPr>
        <w:t xml:space="preserve"> a</w:t>
      </w:r>
      <w:r w:rsidR="0060610F" w:rsidRPr="00D34003">
        <w:rPr>
          <w:rFonts w:asciiTheme="minorHAnsi" w:hAnsiTheme="minorHAnsi"/>
          <w:bCs/>
        </w:rPr>
        <w:t xml:space="preserve"> 6.5</w:t>
      </w:r>
      <w:r w:rsidR="005A2E99" w:rsidRPr="00D34003">
        <w:rPr>
          <w:rFonts w:asciiTheme="minorHAnsi" w:hAnsiTheme="minorHAnsi"/>
          <w:bCs/>
        </w:rPr>
        <w:t>-</w:t>
      </w:r>
      <w:r w:rsidR="0060610F" w:rsidRPr="00D34003">
        <w:rPr>
          <w:rFonts w:asciiTheme="minorHAnsi" w:hAnsiTheme="minorHAnsi"/>
          <w:bCs/>
        </w:rPr>
        <w:t>year</w:t>
      </w:r>
      <w:r w:rsidR="005A2E99" w:rsidRPr="00D34003">
        <w:rPr>
          <w:rFonts w:asciiTheme="minorHAnsi" w:hAnsiTheme="minorHAnsi"/>
          <w:bCs/>
        </w:rPr>
        <w:t xml:space="preserve"> time horizon, with convergence from 5 years</w:t>
      </w:r>
      <w:r w:rsidR="0060610F" w:rsidRPr="00D34003">
        <w:rPr>
          <w:rFonts w:asciiTheme="minorHAnsi" w:hAnsiTheme="minorHAnsi"/>
          <w:bCs/>
        </w:rPr>
        <w:t>.</w:t>
      </w:r>
      <w:r w:rsidR="005A2E99" w:rsidRPr="00D34003">
        <w:rPr>
          <w:rFonts w:asciiTheme="minorHAnsi" w:hAnsiTheme="minorHAnsi"/>
          <w:bCs/>
        </w:rPr>
        <w:t xml:space="preserve"> The</w:t>
      </w:r>
      <w:r w:rsidR="0060610F" w:rsidRPr="00D34003">
        <w:rPr>
          <w:rFonts w:asciiTheme="minorHAnsi" w:hAnsiTheme="minorHAnsi"/>
          <w:bCs/>
        </w:rPr>
        <w:t xml:space="preserve"> </w:t>
      </w:r>
      <w:r w:rsidRPr="00D34003">
        <w:rPr>
          <w:rFonts w:asciiTheme="minorHAnsi" w:hAnsiTheme="minorHAnsi"/>
          <w:bCs/>
        </w:rPr>
        <w:t xml:space="preserve">PBAC </w:t>
      </w:r>
      <w:r w:rsidR="0060610F" w:rsidRPr="00D34003">
        <w:rPr>
          <w:rFonts w:asciiTheme="minorHAnsi" w:hAnsiTheme="minorHAnsi"/>
          <w:bCs/>
        </w:rPr>
        <w:t xml:space="preserve">did not accept these proposed time horizons and </w:t>
      </w:r>
      <w:r w:rsidRPr="00D34003">
        <w:rPr>
          <w:rFonts w:asciiTheme="minorHAnsi" w:hAnsiTheme="minorHAnsi"/>
          <w:bCs/>
        </w:rPr>
        <w:t xml:space="preserve">considered that a </w:t>
      </w:r>
      <w:r w:rsidR="008A2ED6" w:rsidRPr="00D34003">
        <w:rPr>
          <w:rFonts w:asciiTheme="minorHAnsi" w:hAnsiTheme="minorHAnsi"/>
          <w:bCs/>
        </w:rPr>
        <w:t>5-year</w:t>
      </w:r>
      <w:r w:rsidR="0060610F" w:rsidRPr="00D34003">
        <w:rPr>
          <w:rFonts w:asciiTheme="minorHAnsi" w:hAnsiTheme="minorHAnsi"/>
          <w:bCs/>
        </w:rPr>
        <w:t xml:space="preserve"> time horizon was appropriate given the </w:t>
      </w:r>
      <w:r w:rsidR="0093435B" w:rsidRPr="00D34003">
        <w:rPr>
          <w:rFonts w:asciiTheme="minorHAnsi" w:hAnsiTheme="minorHAnsi"/>
          <w:bCs/>
        </w:rPr>
        <w:t xml:space="preserve">short life-expectancy in the relevant population and that </w:t>
      </w:r>
      <w:r w:rsidR="0060610F" w:rsidRPr="00D34003">
        <w:rPr>
          <w:rFonts w:asciiTheme="minorHAnsi" w:hAnsiTheme="minorHAnsi"/>
          <w:bCs/>
        </w:rPr>
        <w:t xml:space="preserve">benefits in urothelial cancer </w:t>
      </w:r>
      <w:r w:rsidR="0093435B" w:rsidRPr="00D34003">
        <w:rPr>
          <w:rFonts w:asciiTheme="minorHAnsi" w:hAnsiTheme="minorHAnsi"/>
          <w:bCs/>
        </w:rPr>
        <w:t>are</w:t>
      </w:r>
      <w:r w:rsidR="0060610F" w:rsidRPr="00D34003">
        <w:rPr>
          <w:rFonts w:asciiTheme="minorHAnsi" w:hAnsiTheme="minorHAnsi"/>
          <w:bCs/>
        </w:rPr>
        <w:t xml:space="preserve"> derived within the first 5 years of treatment.</w:t>
      </w:r>
    </w:p>
    <w:p w:rsidR="005A2E99" w:rsidRPr="00D34003" w:rsidRDefault="0093435B" w:rsidP="005A2E99">
      <w:pPr>
        <w:pStyle w:val="PBACHeading1"/>
        <w:numPr>
          <w:ilvl w:val="1"/>
          <w:numId w:val="1"/>
        </w:numPr>
        <w:spacing w:after="120"/>
        <w:jc w:val="both"/>
        <w:rPr>
          <w:rFonts w:asciiTheme="minorHAnsi" w:hAnsiTheme="minorHAnsi"/>
          <w:b w:val="0"/>
          <w:bCs/>
          <w:sz w:val="24"/>
        </w:rPr>
      </w:pPr>
      <w:r w:rsidRPr="00D34003">
        <w:rPr>
          <w:rFonts w:asciiTheme="minorHAnsi" w:hAnsiTheme="minorHAnsi"/>
          <w:b w:val="0"/>
          <w:bCs/>
          <w:sz w:val="24"/>
        </w:rPr>
        <w:t xml:space="preserve">The PBAC considered that the most appropriate model inputs would be a </w:t>
      </w:r>
      <w:r w:rsidR="008A2ED6" w:rsidRPr="00D34003">
        <w:rPr>
          <w:rFonts w:asciiTheme="minorHAnsi" w:hAnsiTheme="minorHAnsi"/>
          <w:b w:val="0"/>
          <w:bCs/>
          <w:sz w:val="24"/>
        </w:rPr>
        <w:t>5-year</w:t>
      </w:r>
      <w:r w:rsidRPr="00D34003">
        <w:rPr>
          <w:rFonts w:asciiTheme="minorHAnsi" w:hAnsiTheme="minorHAnsi"/>
          <w:b w:val="0"/>
          <w:bCs/>
          <w:sz w:val="24"/>
        </w:rPr>
        <w:t xml:space="preserve"> time horizon with convergence at year 5 and no </w:t>
      </w:r>
      <w:r w:rsidR="005B2889" w:rsidRPr="00D34003">
        <w:rPr>
          <w:rFonts w:asciiTheme="minorHAnsi" w:hAnsiTheme="minorHAnsi"/>
          <w:b w:val="0"/>
          <w:bCs/>
          <w:sz w:val="24"/>
        </w:rPr>
        <w:t xml:space="preserve">adjustment for </w:t>
      </w:r>
      <w:r w:rsidRPr="00D34003">
        <w:rPr>
          <w:rFonts w:asciiTheme="minorHAnsi" w:hAnsiTheme="minorHAnsi"/>
          <w:b w:val="0"/>
          <w:bCs/>
          <w:sz w:val="24"/>
        </w:rPr>
        <w:t xml:space="preserve">crossover. </w:t>
      </w:r>
      <w:r w:rsidR="00BF11E3" w:rsidRPr="00D34003">
        <w:rPr>
          <w:rFonts w:asciiTheme="minorHAnsi" w:hAnsiTheme="minorHAnsi"/>
          <w:b w:val="0"/>
          <w:bCs/>
          <w:sz w:val="24"/>
        </w:rPr>
        <w:t xml:space="preserve">However, recognising the high clinical need in this patient population and that there was uncertainty in all scenarios, the PBAC considered that scenarios from the additional sensitivity analyses provided in Table 15 with a 5 year time horizon and either </w:t>
      </w:r>
      <w:r w:rsidR="00AF0425" w:rsidRPr="00D34003">
        <w:rPr>
          <w:rFonts w:asciiTheme="minorHAnsi" w:hAnsiTheme="minorHAnsi"/>
          <w:b w:val="0"/>
          <w:bCs/>
          <w:sz w:val="24"/>
        </w:rPr>
        <w:t>two</w:t>
      </w:r>
      <w:r w:rsidR="00BF11E3" w:rsidRPr="00D34003">
        <w:rPr>
          <w:rFonts w:asciiTheme="minorHAnsi" w:hAnsiTheme="minorHAnsi"/>
          <w:b w:val="0"/>
          <w:bCs/>
          <w:sz w:val="24"/>
        </w:rPr>
        <w:t>-stage adjustment for cross-over or without convergence may also be acceptable as the basis for assessing the cost-effectiveness of pembrolizumab. T</w:t>
      </w:r>
      <w:r w:rsidRPr="00D34003">
        <w:rPr>
          <w:rFonts w:asciiTheme="minorHAnsi" w:hAnsiTheme="minorHAnsi"/>
          <w:b w:val="0"/>
          <w:bCs/>
          <w:sz w:val="24"/>
        </w:rPr>
        <w:t xml:space="preserve">he PBAC </w:t>
      </w:r>
      <w:r w:rsidR="00BF11E3" w:rsidRPr="00D34003">
        <w:rPr>
          <w:rFonts w:asciiTheme="minorHAnsi" w:hAnsiTheme="minorHAnsi"/>
          <w:b w:val="0"/>
          <w:bCs/>
          <w:sz w:val="24"/>
        </w:rPr>
        <w:t>noted</w:t>
      </w:r>
      <w:r w:rsidRPr="00D34003">
        <w:rPr>
          <w:rFonts w:asciiTheme="minorHAnsi" w:hAnsiTheme="minorHAnsi"/>
          <w:b w:val="0"/>
          <w:bCs/>
          <w:sz w:val="24"/>
        </w:rPr>
        <w:t xml:space="preserve"> that a further price reduction of </w:t>
      </w:r>
      <w:r w:rsidR="00504C28">
        <w:rPr>
          <w:rFonts w:asciiTheme="minorHAnsi" w:hAnsiTheme="minorHAnsi"/>
          <w:b w:val="0"/>
          <w:bCs/>
          <w:noProof/>
          <w:color w:val="000000"/>
          <w:sz w:val="24"/>
          <w:highlight w:val="black"/>
        </w:rPr>
        <w:t>''''''</w:t>
      </w:r>
      <w:r w:rsidRPr="00D34003">
        <w:rPr>
          <w:rFonts w:asciiTheme="minorHAnsi" w:hAnsiTheme="minorHAnsi"/>
          <w:b w:val="0"/>
          <w:bCs/>
          <w:sz w:val="24"/>
        </w:rPr>
        <w:t>-</w:t>
      </w:r>
      <w:r w:rsidR="00504C28">
        <w:rPr>
          <w:rFonts w:asciiTheme="minorHAnsi" w:hAnsiTheme="minorHAnsi"/>
          <w:b w:val="0"/>
          <w:bCs/>
          <w:noProof/>
          <w:color w:val="000000"/>
          <w:sz w:val="24"/>
          <w:highlight w:val="black"/>
        </w:rPr>
        <w:t>''''''</w:t>
      </w:r>
      <w:r w:rsidRPr="00D34003">
        <w:rPr>
          <w:rFonts w:asciiTheme="minorHAnsi" w:hAnsiTheme="minorHAnsi"/>
          <w:b w:val="0"/>
          <w:bCs/>
          <w:sz w:val="24"/>
        </w:rPr>
        <w:t>% from the revised price of $</w:t>
      </w:r>
      <w:r w:rsidR="00504C28">
        <w:rPr>
          <w:rFonts w:asciiTheme="minorHAnsi" w:hAnsiTheme="minorHAnsi"/>
          <w:b w:val="0"/>
          <w:bCs/>
          <w:noProof/>
          <w:color w:val="000000"/>
          <w:sz w:val="24"/>
          <w:highlight w:val="black"/>
        </w:rPr>
        <w:t>'''''''''''</w:t>
      </w:r>
      <w:r w:rsidRPr="00D34003">
        <w:rPr>
          <w:rFonts w:asciiTheme="minorHAnsi" w:hAnsiTheme="minorHAnsi"/>
          <w:b w:val="0"/>
          <w:bCs/>
          <w:sz w:val="24"/>
        </w:rPr>
        <w:t xml:space="preserve"> would be required for pembrolizumab to achieve an ICER of &lt;$60,000 per QALY </w:t>
      </w:r>
      <w:r w:rsidR="005B2889" w:rsidRPr="00D34003">
        <w:rPr>
          <w:rFonts w:asciiTheme="minorHAnsi" w:hAnsiTheme="minorHAnsi"/>
          <w:b w:val="0"/>
          <w:bCs/>
          <w:sz w:val="24"/>
        </w:rPr>
        <w:t xml:space="preserve">that would be considered cost-effective </w:t>
      </w:r>
      <w:r w:rsidRPr="00D34003">
        <w:rPr>
          <w:rFonts w:asciiTheme="minorHAnsi" w:hAnsiTheme="minorHAnsi"/>
          <w:b w:val="0"/>
          <w:bCs/>
          <w:sz w:val="24"/>
        </w:rPr>
        <w:t>under any of the</w:t>
      </w:r>
      <w:r w:rsidR="00BF11E3" w:rsidRPr="00D34003">
        <w:rPr>
          <w:rFonts w:asciiTheme="minorHAnsi" w:hAnsiTheme="minorHAnsi"/>
          <w:b w:val="0"/>
          <w:bCs/>
          <w:sz w:val="24"/>
        </w:rPr>
        <w:t>se</w:t>
      </w:r>
      <w:r w:rsidR="005B2889" w:rsidRPr="00D34003">
        <w:rPr>
          <w:rFonts w:asciiTheme="minorHAnsi" w:hAnsiTheme="minorHAnsi"/>
          <w:b w:val="0"/>
          <w:bCs/>
          <w:sz w:val="24"/>
        </w:rPr>
        <w:t xml:space="preserve"> </w:t>
      </w:r>
      <w:r w:rsidRPr="00D34003">
        <w:rPr>
          <w:rFonts w:asciiTheme="minorHAnsi" w:hAnsiTheme="minorHAnsi"/>
          <w:b w:val="0"/>
          <w:bCs/>
          <w:sz w:val="24"/>
        </w:rPr>
        <w:t>modelled scenarios</w:t>
      </w:r>
      <w:r w:rsidR="00BF11E3" w:rsidRPr="00D34003">
        <w:rPr>
          <w:rFonts w:asciiTheme="minorHAnsi" w:hAnsiTheme="minorHAnsi"/>
          <w:b w:val="0"/>
          <w:bCs/>
          <w:sz w:val="24"/>
        </w:rPr>
        <w:t>.</w:t>
      </w:r>
    </w:p>
    <w:p w:rsidR="007F6E31" w:rsidRPr="00D34003" w:rsidRDefault="00895EB6" w:rsidP="00895EB6">
      <w:pPr>
        <w:numPr>
          <w:ilvl w:val="1"/>
          <w:numId w:val="1"/>
        </w:numPr>
        <w:spacing w:after="120"/>
        <w:rPr>
          <w:rFonts w:asciiTheme="minorHAnsi" w:hAnsiTheme="minorHAnsi"/>
          <w:bCs/>
        </w:rPr>
      </w:pPr>
      <w:r>
        <w:rPr>
          <w:rFonts w:asciiTheme="minorHAnsi" w:hAnsiTheme="minorHAnsi"/>
          <w:bCs/>
        </w:rPr>
        <w:t xml:space="preserve">The PBAC noted that a </w:t>
      </w:r>
      <w:r w:rsidR="00504C28">
        <w:rPr>
          <w:rFonts w:asciiTheme="minorHAnsi" w:hAnsiTheme="minorHAnsi"/>
          <w:bCs/>
          <w:noProof/>
          <w:color w:val="000000"/>
          <w:highlight w:val="black"/>
        </w:rPr>
        <w:t>'''''</w:t>
      </w:r>
      <w:r>
        <w:rPr>
          <w:rFonts w:asciiTheme="minorHAnsi" w:hAnsiTheme="minorHAnsi"/>
          <w:bCs/>
        </w:rPr>
        <w:t xml:space="preserve">% rebate for use beyond </w:t>
      </w:r>
      <w:r w:rsidR="00504C28">
        <w:rPr>
          <w:rFonts w:asciiTheme="minorHAnsi" w:hAnsiTheme="minorHAnsi"/>
          <w:bCs/>
          <w:noProof/>
          <w:color w:val="000000"/>
          <w:highlight w:val="black"/>
        </w:rPr>
        <w:t>''''''''''' '''''</w:t>
      </w:r>
      <w:r>
        <w:rPr>
          <w:rFonts w:asciiTheme="minorHAnsi" w:hAnsiTheme="minorHAnsi"/>
          <w:bCs/>
        </w:rPr>
        <w:t xml:space="preserve"> was included in the calculation of the cost per patient for </w:t>
      </w:r>
      <w:r w:rsidR="0013063A">
        <w:rPr>
          <w:rFonts w:asciiTheme="minorHAnsi" w:hAnsiTheme="minorHAnsi"/>
          <w:bCs/>
        </w:rPr>
        <w:t xml:space="preserve">both </w:t>
      </w:r>
      <w:r>
        <w:rPr>
          <w:rFonts w:asciiTheme="minorHAnsi" w:hAnsiTheme="minorHAnsi"/>
          <w:bCs/>
        </w:rPr>
        <w:t xml:space="preserve">the economic and financial analyses, thus contributing to both the ICER/QALY and budget estimates. </w:t>
      </w:r>
      <w:r w:rsidR="007F6E31" w:rsidRPr="00D34003">
        <w:rPr>
          <w:rFonts w:asciiTheme="minorHAnsi" w:hAnsiTheme="minorHAnsi"/>
          <w:bCs/>
        </w:rPr>
        <w:t xml:space="preserve">The PBAC </w:t>
      </w:r>
      <w:r>
        <w:rPr>
          <w:rFonts w:asciiTheme="minorHAnsi" w:hAnsiTheme="minorHAnsi"/>
          <w:bCs/>
        </w:rPr>
        <w:t xml:space="preserve">also </w:t>
      </w:r>
      <w:r w:rsidR="007F6E31" w:rsidRPr="00D34003">
        <w:rPr>
          <w:rFonts w:asciiTheme="minorHAnsi" w:hAnsiTheme="minorHAnsi"/>
          <w:bCs/>
        </w:rPr>
        <w:t xml:space="preserve">noted the </w:t>
      </w:r>
      <w:r w:rsidR="007F6E31">
        <w:rPr>
          <w:rFonts w:asciiTheme="minorHAnsi" w:hAnsiTheme="minorHAnsi"/>
          <w:bCs/>
        </w:rPr>
        <w:t xml:space="preserve">sponsor’s </w:t>
      </w:r>
      <w:r w:rsidR="007F6E31" w:rsidRPr="00D34003">
        <w:rPr>
          <w:rFonts w:asciiTheme="minorHAnsi" w:hAnsiTheme="minorHAnsi"/>
          <w:bCs/>
        </w:rPr>
        <w:t xml:space="preserve">proposed RSA included a </w:t>
      </w:r>
      <w:r w:rsidR="00504C28">
        <w:rPr>
          <w:rFonts w:asciiTheme="minorHAnsi" w:hAnsiTheme="minorHAnsi"/>
          <w:bCs/>
          <w:noProof/>
          <w:color w:val="000000"/>
          <w:highlight w:val="black"/>
        </w:rPr>
        <w:t>'''''</w:t>
      </w:r>
      <w:r w:rsidR="007F6E31" w:rsidRPr="00D34003">
        <w:rPr>
          <w:rFonts w:asciiTheme="minorHAnsi" w:hAnsiTheme="minorHAnsi"/>
          <w:bCs/>
        </w:rPr>
        <w:t xml:space="preserve">% rebate of </w:t>
      </w:r>
      <w:r>
        <w:rPr>
          <w:rFonts w:asciiTheme="minorHAnsi" w:hAnsiTheme="minorHAnsi"/>
          <w:bCs/>
        </w:rPr>
        <w:t xml:space="preserve">any </w:t>
      </w:r>
      <w:r w:rsidR="007F6E31" w:rsidRPr="00D34003">
        <w:rPr>
          <w:rFonts w:asciiTheme="minorHAnsi" w:hAnsiTheme="minorHAnsi"/>
          <w:bCs/>
        </w:rPr>
        <w:t xml:space="preserve">treatment costs above the annual caps, which is aligned with an RSA for pembrolizumab for treatment of classic Hodgkin’s lymphoma. The PBAC </w:t>
      </w:r>
      <w:r>
        <w:rPr>
          <w:rFonts w:asciiTheme="minorHAnsi" w:hAnsiTheme="minorHAnsi"/>
          <w:bCs/>
        </w:rPr>
        <w:t>recommended</w:t>
      </w:r>
      <w:r w:rsidR="0013063A">
        <w:rPr>
          <w:rFonts w:asciiTheme="minorHAnsi" w:hAnsiTheme="minorHAnsi"/>
          <w:bCs/>
        </w:rPr>
        <w:t xml:space="preserve"> that, consistent with its recommendation for pembrolizumab for the treatment of non-small cell lung cancer,</w:t>
      </w:r>
      <w:r>
        <w:rPr>
          <w:rFonts w:asciiTheme="minorHAnsi" w:hAnsiTheme="minorHAnsi"/>
          <w:bCs/>
        </w:rPr>
        <w:t xml:space="preserve"> the rebate </w:t>
      </w:r>
      <w:r w:rsidR="0013063A">
        <w:rPr>
          <w:rFonts w:asciiTheme="minorHAnsi" w:hAnsiTheme="minorHAnsi"/>
          <w:bCs/>
        </w:rPr>
        <w:t xml:space="preserve">for treatment costs above the annual caps be 100% in order to retain the ICER/QALY estimates. The calculation of the cost per patient in the RSA for </w:t>
      </w:r>
      <w:r w:rsidR="0013063A" w:rsidRPr="00D34003">
        <w:rPr>
          <w:rFonts w:asciiTheme="minorHAnsi" w:hAnsiTheme="minorHAnsi"/>
          <w:bCs/>
        </w:rPr>
        <w:t xml:space="preserve">pembrolizumab for treatment of classic Hodgkin’s lymphoma </w:t>
      </w:r>
      <w:r w:rsidR="0013063A">
        <w:rPr>
          <w:rFonts w:asciiTheme="minorHAnsi" w:hAnsiTheme="minorHAnsi"/>
          <w:bCs/>
        </w:rPr>
        <w:t xml:space="preserve">is less relevant because it </w:t>
      </w:r>
      <w:r w:rsidR="00504C28">
        <w:rPr>
          <w:rFonts w:asciiTheme="minorHAnsi" w:hAnsiTheme="minorHAnsi"/>
          <w:bCs/>
          <w:noProof/>
          <w:color w:val="000000"/>
          <w:highlight w:val="black"/>
        </w:rPr>
        <w:t>''''''''' ''''''' '''''''''''''' ''' '''''''''''' ''''' '''''''' '''''''''''''' '''''''' ''''''''''''''''''' '''''''''''''''''' '''' ''''''''''''''''</w:t>
      </w:r>
      <w:r w:rsidR="0013063A">
        <w:rPr>
          <w:rFonts w:asciiTheme="minorHAnsi" w:hAnsiTheme="minorHAnsi"/>
          <w:bCs/>
        </w:rPr>
        <w:t>.</w:t>
      </w:r>
    </w:p>
    <w:p w:rsidR="0058132B" w:rsidRPr="00D34003" w:rsidRDefault="0058132B" w:rsidP="0058132B">
      <w:pPr>
        <w:numPr>
          <w:ilvl w:val="1"/>
          <w:numId w:val="1"/>
        </w:numPr>
        <w:spacing w:after="120"/>
        <w:rPr>
          <w:rFonts w:asciiTheme="minorHAnsi" w:hAnsiTheme="minorHAnsi"/>
          <w:bCs/>
        </w:rPr>
      </w:pPr>
      <w:r w:rsidRPr="00D34003">
        <w:rPr>
          <w:rFonts w:asciiTheme="minorHAnsi" w:hAnsiTheme="minorHAnsi"/>
          <w:bCs/>
        </w:rPr>
        <w:t xml:space="preserve">Under section 101(3BA) of the </w:t>
      </w:r>
      <w:r w:rsidRPr="00D34003">
        <w:rPr>
          <w:rFonts w:asciiTheme="minorHAnsi" w:hAnsiTheme="minorHAnsi"/>
          <w:bCs/>
          <w:i/>
        </w:rPr>
        <w:t>National Health Act 1953</w:t>
      </w:r>
      <w:r w:rsidRPr="00D34003">
        <w:rPr>
          <w:rFonts w:asciiTheme="minorHAnsi" w:hAnsiTheme="minorHAnsi"/>
          <w:bCs/>
        </w:rPr>
        <w:t xml:space="preserve">, the PBAC recommended that pembrolizumab should not be treated as interchangeable on an individual patient basis with any other drugs. </w:t>
      </w:r>
    </w:p>
    <w:p w:rsidR="0058132B" w:rsidRPr="00D34003" w:rsidRDefault="0058132B" w:rsidP="0058132B">
      <w:pPr>
        <w:numPr>
          <w:ilvl w:val="1"/>
          <w:numId w:val="1"/>
        </w:numPr>
        <w:spacing w:after="120"/>
        <w:rPr>
          <w:rFonts w:asciiTheme="minorHAnsi" w:hAnsiTheme="minorHAnsi"/>
          <w:bCs/>
        </w:rPr>
      </w:pPr>
      <w:r w:rsidRPr="00D34003">
        <w:rPr>
          <w:rFonts w:asciiTheme="minorHAnsi" w:hAnsiTheme="minorHAnsi"/>
          <w:bCs/>
        </w:rPr>
        <w:t xml:space="preserve">The PBAC advised that </w:t>
      </w:r>
      <w:r w:rsidR="00323C23" w:rsidRPr="00D34003">
        <w:rPr>
          <w:rFonts w:asciiTheme="minorHAnsi" w:hAnsiTheme="minorHAnsi"/>
          <w:bCs/>
        </w:rPr>
        <w:t>pembrolizumab</w:t>
      </w:r>
      <w:r w:rsidRPr="00D34003">
        <w:rPr>
          <w:rFonts w:asciiTheme="minorHAnsi" w:hAnsiTheme="minorHAnsi"/>
          <w:bCs/>
        </w:rPr>
        <w:t xml:space="preserve"> is not suitable for prescribing by nurse practitioners as antineoplastic agents are currently considered to be out of scope for prescribing by nurse practitioners. </w:t>
      </w:r>
    </w:p>
    <w:p w:rsidR="0058132B" w:rsidRPr="00D34003" w:rsidRDefault="0058132B" w:rsidP="0058132B">
      <w:pPr>
        <w:numPr>
          <w:ilvl w:val="1"/>
          <w:numId w:val="1"/>
        </w:numPr>
        <w:spacing w:after="120"/>
        <w:rPr>
          <w:rFonts w:asciiTheme="minorHAnsi" w:hAnsiTheme="minorHAnsi"/>
          <w:bCs/>
        </w:rPr>
      </w:pPr>
      <w:r w:rsidRPr="00D34003">
        <w:rPr>
          <w:rFonts w:asciiTheme="minorHAnsi" w:hAnsiTheme="minorHAnsi"/>
          <w:bCs/>
        </w:rPr>
        <w:t>The PBAC recommended that the Early Supply Rule should not apply as it currently does not apply to Section 100 Efficient Funding of Chemotherapy listings.</w:t>
      </w:r>
    </w:p>
    <w:p w:rsidR="0058132B" w:rsidRPr="00D34003" w:rsidRDefault="0058132B" w:rsidP="0058132B">
      <w:pPr>
        <w:numPr>
          <w:ilvl w:val="1"/>
          <w:numId w:val="1"/>
        </w:numPr>
        <w:spacing w:after="120"/>
        <w:rPr>
          <w:rFonts w:asciiTheme="minorHAnsi" w:hAnsiTheme="minorHAnsi"/>
          <w:bCs/>
          <w:i/>
        </w:rPr>
      </w:pPr>
      <w:r w:rsidRPr="00D34003">
        <w:rPr>
          <w:rFonts w:asciiTheme="minorHAnsi" w:hAnsiTheme="minorHAnsi"/>
          <w:bCs/>
        </w:rPr>
        <w:t>The PBAC noted that this submission is not eligible for an Independent Review because it received a positive recommendation.</w:t>
      </w:r>
    </w:p>
    <w:p w:rsidR="00150959" w:rsidRPr="00D34003" w:rsidRDefault="00150959" w:rsidP="00150959">
      <w:pPr>
        <w:spacing w:before="240"/>
        <w:rPr>
          <w:rFonts w:asciiTheme="minorHAnsi" w:hAnsiTheme="minorHAnsi"/>
          <w:b/>
          <w:bCs/>
        </w:rPr>
      </w:pPr>
      <w:r w:rsidRPr="00D34003">
        <w:rPr>
          <w:rFonts w:asciiTheme="minorHAnsi" w:hAnsiTheme="minorHAnsi"/>
          <w:b/>
          <w:bCs/>
        </w:rPr>
        <w:t>Outcome:</w:t>
      </w:r>
    </w:p>
    <w:p w:rsidR="00150959" w:rsidRPr="00D34003" w:rsidRDefault="00150959" w:rsidP="00150959">
      <w:pPr>
        <w:rPr>
          <w:rFonts w:asciiTheme="minorHAnsi" w:hAnsiTheme="minorHAnsi"/>
          <w:bCs/>
        </w:rPr>
      </w:pPr>
      <w:r w:rsidRPr="00D34003">
        <w:rPr>
          <w:rFonts w:asciiTheme="minorHAnsi" w:hAnsiTheme="minorHAnsi"/>
          <w:bCs/>
        </w:rPr>
        <w:t>Recommended</w:t>
      </w:r>
    </w:p>
    <w:p w:rsidR="005656F8" w:rsidRPr="00D34003" w:rsidRDefault="005656F8" w:rsidP="00150959">
      <w:pPr>
        <w:rPr>
          <w:rFonts w:asciiTheme="minorHAnsi" w:hAnsiTheme="minorHAnsi"/>
          <w:highlight w:val="yellow"/>
        </w:rPr>
      </w:pPr>
    </w:p>
    <w:p w:rsidR="00150959" w:rsidRPr="0031276A" w:rsidRDefault="00150959" w:rsidP="00E35471">
      <w:pPr>
        <w:numPr>
          <w:ilvl w:val="0"/>
          <w:numId w:val="1"/>
        </w:numPr>
        <w:spacing w:before="240" w:after="120"/>
        <w:outlineLvl w:val="0"/>
        <w:rPr>
          <w:rFonts w:asciiTheme="minorHAnsi" w:hAnsiTheme="minorHAnsi"/>
          <w:b/>
          <w:bCs/>
          <w:sz w:val="32"/>
        </w:rPr>
      </w:pPr>
      <w:r w:rsidRPr="0031276A">
        <w:rPr>
          <w:rFonts w:asciiTheme="minorHAnsi" w:hAnsiTheme="minorHAnsi"/>
          <w:b/>
          <w:bCs/>
          <w:sz w:val="32"/>
        </w:rPr>
        <w:lastRenderedPageBreak/>
        <w:t>Recommended listing</w:t>
      </w:r>
    </w:p>
    <w:p w:rsidR="002864EC" w:rsidRPr="00D34003" w:rsidRDefault="002864EC" w:rsidP="002864EC">
      <w:pPr>
        <w:numPr>
          <w:ilvl w:val="1"/>
          <w:numId w:val="1"/>
        </w:numPr>
        <w:spacing w:after="120"/>
        <w:rPr>
          <w:rFonts w:asciiTheme="minorHAnsi" w:hAnsiTheme="minorHAnsi"/>
          <w:bCs/>
        </w:rPr>
      </w:pPr>
      <w:r w:rsidRPr="00D34003">
        <w:rPr>
          <w:rFonts w:asciiTheme="minorHAnsi" w:hAnsiTheme="minorHAnsi"/>
          <w:bCs/>
        </w:rPr>
        <w:t>Add new item:</w:t>
      </w:r>
    </w:p>
    <w:tbl>
      <w:tblPr>
        <w:tblW w:w="5000" w:type="pct"/>
        <w:tblLook w:val="0000" w:firstRow="0" w:lastRow="0" w:firstColumn="0" w:lastColumn="0" w:noHBand="0" w:noVBand="0"/>
      </w:tblPr>
      <w:tblGrid>
        <w:gridCol w:w="1787"/>
        <w:gridCol w:w="1422"/>
        <w:gridCol w:w="885"/>
        <w:gridCol w:w="625"/>
        <w:gridCol w:w="4524"/>
      </w:tblGrid>
      <w:tr w:rsidR="002864EC" w:rsidRPr="00D34003" w:rsidTr="002864EC">
        <w:trPr>
          <w:cantSplit/>
          <w:trHeight w:val="471"/>
        </w:trPr>
        <w:tc>
          <w:tcPr>
            <w:tcW w:w="1736" w:type="pct"/>
            <w:gridSpan w:val="2"/>
            <w:tcBorders>
              <w:bottom w:val="single" w:sz="4" w:space="0" w:color="auto"/>
            </w:tcBorders>
          </w:tcPr>
          <w:p w:rsidR="002864EC" w:rsidRPr="00D34003" w:rsidRDefault="00150959" w:rsidP="001C3D78">
            <w:pPr>
              <w:rPr>
                <w:rFonts w:ascii="Arial Narrow" w:hAnsi="Arial Narrow"/>
                <w:b/>
                <w:sz w:val="20"/>
                <w:szCs w:val="20"/>
              </w:rPr>
            </w:pPr>
            <w:r w:rsidRPr="00D34003">
              <w:rPr>
                <w:rFonts w:asciiTheme="minorHAnsi" w:hAnsiTheme="minorHAnsi"/>
                <w:bCs/>
              </w:rPr>
              <w:t xml:space="preserve"> </w:t>
            </w:r>
            <w:r w:rsidR="002864EC" w:rsidRPr="00D34003">
              <w:rPr>
                <w:rFonts w:ascii="Arial Narrow" w:hAnsi="Arial Narrow"/>
                <w:b/>
                <w:sz w:val="20"/>
                <w:szCs w:val="20"/>
              </w:rPr>
              <w:t>Name, Restriction,</w:t>
            </w:r>
          </w:p>
          <w:p w:rsidR="002864EC" w:rsidRPr="00D34003" w:rsidRDefault="002864EC" w:rsidP="001C3D78">
            <w:pPr>
              <w:rPr>
                <w:b/>
              </w:rPr>
            </w:pPr>
            <w:r w:rsidRPr="00D34003">
              <w:rPr>
                <w:rFonts w:ascii="Arial Narrow" w:hAnsi="Arial Narrow"/>
                <w:b/>
                <w:sz w:val="20"/>
                <w:szCs w:val="20"/>
              </w:rPr>
              <w:t>Manner of administration and form</w:t>
            </w:r>
          </w:p>
        </w:tc>
        <w:tc>
          <w:tcPr>
            <w:tcW w:w="479" w:type="pct"/>
            <w:tcBorders>
              <w:bottom w:val="single" w:sz="4" w:space="0" w:color="auto"/>
            </w:tcBorders>
          </w:tcPr>
          <w:p w:rsidR="002864EC" w:rsidRPr="00D34003" w:rsidRDefault="002864EC" w:rsidP="001C3D78">
            <w:pPr>
              <w:rPr>
                <w:rFonts w:ascii="Arial Narrow" w:hAnsi="Arial Narrow"/>
                <w:b/>
                <w:sz w:val="20"/>
                <w:szCs w:val="20"/>
              </w:rPr>
            </w:pPr>
            <w:r w:rsidRPr="00D34003">
              <w:rPr>
                <w:rFonts w:ascii="Arial Narrow" w:hAnsi="Arial Narrow"/>
                <w:b/>
                <w:sz w:val="20"/>
                <w:szCs w:val="20"/>
              </w:rPr>
              <w:t>Max.</w:t>
            </w:r>
          </w:p>
          <w:p w:rsidR="002864EC" w:rsidRPr="00D34003" w:rsidRDefault="002864EC" w:rsidP="001C3D78">
            <w:pPr>
              <w:rPr>
                <w:rFonts w:ascii="Arial Narrow" w:hAnsi="Arial Narrow"/>
                <w:b/>
                <w:sz w:val="20"/>
                <w:szCs w:val="20"/>
              </w:rPr>
            </w:pPr>
            <w:r w:rsidRPr="00D34003">
              <w:rPr>
                <w:rFonts w:ascii="Arial Narrow" w:hAnsi="Arial Narrow"/>
                <w:b/>
                <w:sz w:val="20"/>
                <w:szCs w:val="20"/>
              </w:rPr>
              <w:t>Amount</w:t>
            </w:r>
          </w:p>
        </w:tc>
        <w:tc>
          <w:tcPr>
            <w:tcW w:w="338" w:type="pct"/>
            <w:tcBorders>
              <w:bottom w:val="single" w:sz="4" w:space="0" w:color="auto"/>
            </w:tcBorders>
          </w:tcPr>
          <w:p w:rsidR="002864EC" w:rsidRPr="00D34003" w:rsidRDefault="002864EC" w:rsidP="001C3D78">
            <w:pPr>
              <w:rPr>
                <w:rFonts w:ascii="Arial Narrow" w:hAnsi="Arial Narrow"/>
                <w:b/>
                <w:sz w:val="20"/>
                <w:szCs w:val="20"/>
              </w:rPr>
            </w:pPr>
            <w:r w:rsidRPr="00D34003">
              <w:rPr>
                <w:rFonts w:ascii="Arial Narrow" w:hAnsi="Arial Narrow"/>
                <w:b/>
                <w:sz w:val="20"/>
                <w:szCs w:val="20"/>
              </w:rPr>
              <w:t>№.of</w:t>
            </w:r>
          </w:p>
          <w:p w:rsidR="002864EC" w:rsidRPr="00D34003" w:rsidRDefault="002864EC" w:rsidP="001C3D78">
            <w:pPr>
              <w:rPr>
                <w:rFonts w:ascii="Arial Narrow" w:hAnsi="Arial Narrow"/>
                <w:b/>
                <w:sz w:val="20"/>
                <w:szCs w:val="20"/>
              </w:rPr>
            </w:pPr>
            <w:r w:rsidRPr="00D34003">
              <w:rPr>
                <w:rFonts w:ascii="Arial Narrow" w:hAnsi="Arial Narrow"/>
                <w:b/>
                <w:sz w:val="20"/>
                <w:szCs w:val="20"/>
              </w:rPr>
              <w:t>Rpts</w:t>
            </w:r>
          </w:p>
        </w:tc>
        <w:tc>
          <w:tcPr>
            <w:tcW w:w="2447" w:type="pct"/>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Proprietary Name and Manufacturer</w:t>
            </w:r>
          </w:p>
        </w:tc>
      </w:tr>
      <w:tr w:rsidR="002864EC" w:rsidRPr="00D34003" w:rsidTr="002864EC">
        <w:trPr>
          <w:cantSplit/>
          <w:trHeight w:val="577"/>
        </w:trPr>
        <w:tc>
          <w:tcPr>
            <w:tcW w:w="1736" w:type="pct"/>
            <w:gridSpan w:val="2"/>
          </w:tcPr>
          <w:p w:rsidR="002864EC" w:rsidRPr="00D34003" w:rsidRDefault="00D34003" w:rsidP="001C3D78">
            <w:pPr>
              <w:jc w:val="left"/>
              <w:rPr>
                <w:rFonts w:ascii="Arial Narrow" w:hAnsi="Arial Narrow"/>
                <w:sz w:val="20"/>
                <w:szCs w:val="20"/>
              </w:rPr>
            </w:pPr>
            <w:r w:rsidRPr="00D34003">
              <w:rPr>
                <w:rFonts w:ascii="Arial Narrow" w:hAnsi="Arial Narrow"/>
                <w:sz w:val="20"/>
                <w:szCs w:val="20"/>
              </w:rPr>
              <w:t>PEMBROLIZUMAB</w:t>
            </w:r>
            <w:r w:rsidR="002864EC" w:rsidRPr="00D34003">
              <w:rPr>
                <w:rFonts w:ascii="Arial Narrow" w:hAnsi="Arial Narrow"/>
                <w:sz w:val="20"/>
                <w:szCs w:val="20"/>
              </w:rPr>
              <w:t xml:space="preserve"> </w:t>
            </w:r>
          </w:p>
          <w:p w:rsidR="002864EC" w:rsidRPr="00D34003" w:rsidRDefault="00E018C1" w:rsidP="001C3D78">
            <w:pPr>
              <w:jc w:val="left"/>
              <w:rPr>
                <w:rFonts w:ascii="Arial Narrow" w:hAnsi="Arial Narrow"/>
                <w:sz w:val="20"/>
                <w:szCs w:val="20"/>
              </w:rPr>
            </w:pPr>
            <w:r w:rsidRPr="00D34003">
              <w:rPr>
                <w:rFonts w:ascii="Arial Narrow" w:hAnsi="Arial Narrow"/>
                <w:sz w:val="20"/>
                <w:szCs w:val="20"/>
              </w:rPr>
              <w:t xml:space="preserve">100 mg/4 mL injection, 4 mL vial </w:t>
            </w:r>
          </w:p>
        </w:tc>
        <w:tc>
          <w:tcPr>
            <w:tcW w:w="479" w:type="pct"/>
          </w:tcPr>
          <w:p w:rsidR="002864EC" w:rsidRPr="00D34003" w:rsidRDefault="002864EC" w:rsidP="001C3D78">
            <w:pPr>
              <w:jc w:val="left"/>
              <w:rPr>
                <w:rFonts w:ascii="Arial Narrow" w:hAnsi="Arial Narrow"/>
                <w:sz w:val="20"/>
                <w:szCs w:val="20"/>
              </w:rPr>
            </w:pPr>
          </w:p>
          <w:p w:rsidR="002864EC" w:rsidRPr="00D34003" w:rsidRDefault="002864EC" w:rsidP="001C3D78">
            <w:pPr>
              <w:jc w:val="left"/>
              <w:rPr>
                <w:rFonts w:ascii="Arial Narrow" w:hAnsi="Arial Narrow"/>
                <w:sz w:val="20"/>
                <w:szCs w:val="20"/>
              </w:rPr>
            </w:pPr>
            <w:r w:rsidRPr="00D34003">
              <w:rPr>
                <w:rFonts w:ascii="Arial Narrow" w:hAnsi="Arial Narrow"/>
                <w:sz w:val="20"/>
                <w:szCs w:val="20"/>
              </w:rPr>
              <w:t>200 mg</w:t>
            </w:r>
          </w:p>
        </w:tc>
        <w:tc>
          <w:tcPr>
            <w:tcW w:w="338" w:type="pct"/>
            <w:tcBorders>
              <w:top w:val="single" w:sz="4" w:space="0" w:color="auto"/>
            </w:tcBorders>
          </w:tcPr>
          <w:p w:rsidR="002864EC" w:rsidRPr="00D34003" w:rsidRDefault="002864EC" w:rsidP="001C3D78">
            <w:pPr>
              <w:jc w:val="left"/>
              <w:rPr>
                <w:rFonts w:ascii="Arial Narrow" w:hAnsi="Arial Narrow"/>
                <w:sz w:val="20"/>
                <w:szCs w:val="20"/>
              </w:rPr>
            </w:pPr>
          </w:p>
          <w:p w:rsidR="002864EC" w:rsidRPr="00D34003" w:rsidRDefault="002864EC" w:rsidP="001C3D78">
            <w:pPr>
              <w:jc w:val="left"/>
              <w:rPr>
                <w:rFonts w:ascii="Arial Narrow" w:hAnsi="Arial Narrow"/>
                <w:sz w:val="20"/>
                <w:szCs w:val="20"/>
              </w:rPr>
            </w:pPr>
            <w:r w:rsidRPr="00D34003">
              <w:rPr>
                <w:rFonts w:ascii="Arial Narrow" w:hAnsi="Arial Narrow"/>
                <w:sz w:val="20"/>
                <w:szCs w:val="20"/>
              </w:rPr>
              <w:t>6</w:t>
            </w:r>
          </w:p>
        </w:tc>
        <w:tc>
          <w:tcPr>
            <w:tcW w:w="2447" w:type="pct"/>
            <w:tcBorders>
              <w:top w:val="single" w:sz="4" w:space="0" w:color="auto"/>
            </w:tcBorders>
          </w:tcPr>
          <w:p w:rsidR="002864EC" w:rsidRPr="00D34003" w:rsidRDefault="002864EC" w:rsidP="001C3D78">
            <w:pPr>
              <w:jc w:val="left"/>
              <w:rPr>
                <w:rFonts w:ascii="Arial Narrow" w:hAnsi="Arial Narrow"/>
                <w:sz w:val="20"/>
                <w:szCs w:val="20"/>
              </w:rPr>
            </w:pPr>
          </w:p>
          <w:p w:rsidR="002864EC" w:rsidRPr="00D34003" w:rsidRDefault="002864EC" w:rsidP="002864EC">
            <w:pPr>
              <w:jc w:val="left"/>
              <w:rPr>
                <w:rFonts w:ascii="Arial Narrow" w:hAnsi="Arial Narrow"/>
                <w:sz w:val="20"/>
                <w:szCs w:val="20"/>
              </w:rPr>
            </w:pPr>
            <w:proofErr w:type="spellStart"/>
            <w:r w:rsidRPr="00D34003">
              <w:rPr>
                <w:rFonts w:ascii="Arial Narrow" w:hAnsi="Arial Narrow"/>
                <w:sz w:val="20"/>
                <w:szCs w:val="20"/>
              </w:rPr>
              <w:t>Keytruda</w:t>
            </w:r>
            <w:proofErr w:type="spellEnd"/>
            <w:r w:rsidRPr="00D34003">
              <w:rPr>
                <w:rFonts w:ascii="Arial Narrow" w:hAnsi="Arial Narrow"/>
                <w:sz w:val="20"/>
                <w:szCs w:val="20"/>
              </w:rPr>
              <w:t>® Merck Sharp &amp; Dohme (Australia) Pty Ltd</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proofErr w:type="spellStart"/>
            <w:r w:rsidRPr="00D34003">
              <w:rPr>
                <w:rFonts w:ascii="Arial Narrow" w:hAnsi="Arial Narrow"/>
                <w:sz w:val="20"/>
                <w:szCs w:val="20"/>
              </w:rPr>
              <w:t>Episodicity</w:t>
            </w:r>
            <w:proofErr w:type="spellEnd"/>
            <w:r w:rsidRPr="00D34003">
              <w:rPr>
                <w:rFonts w:ascii="Arial Narrow" w:hAnsi="Arial Narrow"/>
                <w:sz w:val="20"/>
                <w:szCs w:val="20"/>
              </w:rPr>
              <w:t>:</w:t>
            </w:r>
          </w:p>
        </w:tc>
        <w:tc>
          <w:tcPr>
            <w:tcW w:w="4033"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N/A</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Category/program:</w:t>
            </w:r>
          </w:p>
        </w:tc>
        <w:tc>
          <w:tcPr>
            <w:tcW w:w="4033"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Section 100 (Public/Private), Efficient Funding of Chemotherapy</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Severity:</w:t>
            </w:r>
          </w:p>
        </w:tc>
        <w:tc>
          <w:tcPr>
            <w:tcW w:w="4033"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Locally advanced (Stage III) or metastatic (Stage IV)</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Condition:</w:t>
            </w:r>
          </w:p>
        </w:tc>
        <w:tc>
          <w:tcPr>
            <w:tcW w:w="4033"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Urothelial cancer</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PBS Indication:</w:t>
            </w:r>
          </w:p>
        </w:tc>
        <w:tc>
          <w:tcPr>
            <w:tcW w:w="4033"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Locally advanced (Stage III) or metastatic (Stage IV) urothelial cancer</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 xml:space="preserve">Treatment phase: </w:t>
            </w:r>
          </w:p>
        </w:tc>
        <w:tc>
          <w:tcPr>
            <w:tcW w:w="4033"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Initial</w:t>
            </w:r>
            <w:r w:rsidR="00D41233">
              <w:rPr>
                <w:rFonts w:ascii="Arial Narrow" w:hAnsi="Arial Narrow"/>
                <w:sz w:val="20"/>
                <w:szCs w:val="20"/>
              </w:rPr>
              <w:t xml:space="preserve"> treatment</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Restriction:</w:t>
            </w:r>
          </w:p>
        </w:tc>
        <w:tc>
          <w:tcPr>
            <w:tcW w:w="4033"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sym w:font="Wingdings" w:char="F0FC"/>
            </w:r>
            <w:r w:rsidRPr="00D34003">
              <w:rPr>
                <w:rFonts w:ascii="Arial Narrow" w:hAnsi="Arial Narrow"/>
                <w:sz w:val="20"/>
                <w:szCs w:val="20"/>
              </w:rPr>
              <w:t xml:space="preserve"> Streamlined</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Clinical criteria:</w:t>
            </w:r>
          </w:p>
          <w:p w:rsidR="002864EC" w:rsidRPr="00D34003" w:rsidRDefault="002864EC" w:rsidP="001C3D78">
            <w:pPr>
              <w:rPr>
                <w:rFonts w:ascii="Arial Narrow" w:hAnsi="Arial Narrow"/>
                <w:sz w:val="20"/>
                <w:szCs w:val="20"/>
              </w:rPr>
            </w:pPr>
          </w:p>
          <w:p w:rsidR="002864EC" w:rsidRPr="00D34003" w:rsidRDefault="002864EC" w:rsidP="001C3D78">
            <w:pPr>
              <w:rPr>
                <w:rFonts w:ascii="Arial Narrow" w:hAnsi="Arial Narrow"/>
                <w:sz w:val="20"/>
                <w:szCs w:val="20"/>
              </w:rPr>
            </w:pPr>
          </w:p>
        </w:tc>
        <w:tc>
          <w:tcPr>
            <w:tcW w:w="4033" w:type="pct"/>
            <w:gridSpan w:val="4"/>
            <w:tcBorders>
              <w:top w:val="single" w:sz="4" w:space="0" w:color="auto"/>
              <w:left w:val="single" w:sz="4" w:space="0" w:color="auto"/>
              <w:bottom w:val="single" w:sz="4" w:space="0" w:color="auto"/>
              <w:right w:val="single" w:sz="4" w:space="0" w:color="auto"/>
            </w:tcBorders>
          </w:tcPr>
          <w:p w:rsidR="00D159B1" w:rsidRPr="00D34003" w:rsidRDefault="00D159B1" w:rsidP="00D159B1">
            <w:pPr>
              <w:pStyle w:val="NoSpacing"/>
              <w:rPr>
                <w:rFonts w:ascii="Arial Narrow" w:hAnsi="Arial Narrow"/>
                <w:sz w:val="20"/>
              </w:rPr>
            </w:pPr>
            <w:r>
              <w:rPr>
                <w:rFonts w:ascii="Arial Narrow" w:hAnsi="Arial Narrow"/>
                <w:sz w:val="20"/>
              </w:rPr>
              <w:t>The t</w:t>
            </w:r>
            <w:r w:rsidRPr="00D34003">
              <w:rPr>
                <w:rFonts w:ascii="Arial Narrow" w:hAnsi="Arial Narrow"/>
                <w:sz w:val="20"/>
              </w:rPr>
              <w:t>reatment must be the sole PBS-subsidised t</w:t>
            </w:r>
            <w:r>
              <w:rPr>
                <w:rFonts w:ascii="Arial Narrow" w:hAnsi="Arial Narrow"/>
                <w:sz w:val="20"/>
              </w:rPr>
              <w:t>reatment</w:t>
            </w:r>
            <w:r w:rsidRPr="00D34003">
              <w:rPr>
                <w:rFonts w:ascii="Arial Narrow" w:hAnsi="Arial Narrow"/>
                <w:sz w:val="20"/>
              </w:rPr>
              <w:t xml:space="preserve"> for this condition, </w:t>
            </w:r>
          </w:p>
          <w:p w:rsidR="00D159B1" w:rsidRPr="00D34003" w:rsidRDefault="00D159B1" w:rsidP="00D159B1">
            <w:pPr>
              <w:pStyle w:val="NoSpacing"/>
              <w:rPr>
                <w:rFonts w:ascii="Arial Narrow" w:hAnsi="Arial Narrow"/>
                <w:sz w:val="20"/>
              </w:rPr>
            </w:pPr>
            <w:r w:rsidRPr="00D34003">
              <w:rPr>
                <w:rFonts w:ascii="Arial Narrow" w:hAnsi="Arial Narrow"/>
                <w:sz w:val="20"/>
              </w:rPr>
              <w:t>AND</w:t>
            </w:r>
          </w:p>
          <w:p w:rsidR="00D159B1" w:rsidRPr="00D34003" w:rsidRDefault="00D159B1" w:rsidP="00D159B1">
            <w:pPr>
              <w:pStyle w:val="NoSpacing"/>
              <w:rPr>
                <w:rFonts w:ascii="Arial Narrow" w:hAnsi="Arial Narrow"/>
                <w:sz w:val="20"/>
              </w:rPr>
            </w:pPr>
            <w:r w:rsidRPr="007A216A">
              <w:rPr>
                <w:rFonts w:ascii="Arial Narrow" w:hAnsi="Arial Narrow"/>
                <w:sz w:val="20"/>
              </w:rPr>
              <w:t>The condition must have progressed on or after prior platinum based chemotherapy.</w:t>
            </w:r>
          </w:p>
          <w:p w:rsidR="00D159B1" w:rsidRPr="00D34003" w:rsidRDefault="00D159B1" w:rsidP="00D159B1">
            <w:pPr>
              <w:pStyle w:val="NoSpacing"/>
              <w:rPr>
                <w:rFonts w:ascii="Arial Narrow" w:hAnsi="Arial Narrow"/>
                <w:sz w:val="20"/>
              </w:rPr>
            </w:pPr>
            <w:r w:rsidRPr="00D34003">
              <w:rPr>
                <w:rFonts w:ascii="Arial Narrow" w:hAnsi="Arial Narrow"/>
                <w:sz w:val="20"/>
              </w:rPr>
              <w:t>OR</w:t>
            </w:r>
          </w:p>
          <w:p w:rsidR="00D159B1" w:rsidRDefault="00D159B1" w:rsidP="00D159B1">
            <w:pPr>
              <w:pStyle w:val="NoSpacing"/>
              <w:rPr>
                <w:rFonts w:ascii="Arial Narrow" w:hAnsi="Arial Narrow"/>
                <w:sz w:val="20"/>
              </w:rPr>
            </w:pPr>
            <w:r>
              <w:rPr>
                <w:rFonts w:ascii="Arial Narrow" w:hAnsi="Arial Narrow"/>
                <w:sz w:val="20"/>
              </w:rPr>
              <w:t xml:space="preserve">The condition must have progressed on or within 12 months of completion of </w:t>
            </w:r>
            <w:r w:rsidRPr="00737C3C">
              <w:rPr>
                <w:rFonts w:ascii="Arial Narrow" w:hAnsi="Arial Narrow"/>
                <w:sz w:val="20"/>
              </w:rPr>
              <w:t>adjuv</w:t>
            </w:r>
            <w:r>
              <w:rPr>
                <w:rFonts w:ascii="Arial Narrow" w:hAnsi="Arial Narrow"/>
                <w:sz w:val="20"/>
              </w:rPr>
              <w:t xml:space="preserve">ant platinum-containing chemotherapy </w:t>
            </w:r>
            <w:r w:rsidRPr="00737C3C">
              <w:rPr>
                <w:rFonts w:ascii="Arial Narrow" w:hAnsi="Arial Narrow"/>
                <w:sz w:val="20"/>
              </w:rPr>
              <w:t>following cystectomy for localised muscle-invasive urothelial cancer</w:t>
            </w:r>
          </w:p>
          <w:p w:rsidR="00D159B1" w:rsidRPr="00D34003" w:rsidRDefault="00D159B1" w:rsidP="00D159B1">
            <w:pPr>
              <w:pStyle w:val="NoSpacing"/>
              <w:rPr>
                <w:rFonts w:ascii="Arial Narrow" w:hAnsi="Arial Narrow"/>
                <w:sz w:val="20"/>
              </w:rPr>
            </w:pPr>
            <w:r w:rsidRPr="00D34003">
              <w:rPr>
                <w:rFonts w:ascii="Arial Narrow" w:hAnsi="Arial Narrow"/>
                <w:sz w:val="20"/>
              </w:rPr>
              <w:t>OR</w:t>
            </w:r>
          </w:p>
          <w:p w:rsidR="00D159B1" w:rsidRPr="00D34003" w:rsidRDefault="00D159B1" w:rsidP="00D159B1">
            <w:pPr>
              <w:pStyle w:val="NoSpacing"/>
              <w:rPr>
                <w:rFonts w:ascii="Arial Narrow" w:hAnsi="Arial Narrow"/>
                <w:sz w:val="20"/>
              </w:rPr>
            </w:pPr>
            <w:r>
              <w:rPr>
                <w:rFonts w:ascii="Arial Narrow" w:hAnsi="Arial Narrow"/>
                <w:sz w:val="20"/>
              </w:rPr>
              <w:t>The condition must have progressed on or within 12 months of completion of</w:t>
            </w:r>
            <w:r w:rsidRPr="0053118D">
              <w:rPr>
                <w:rFonts w:ascii="Arial Narrow" w:hAnsi="Arial Narrow"/>
                <w:sz w:val="20"/>
              </w:rPr>
              <w:t xml:space="preserve"> neoadju</w:t>
            </w:r>
            <w:r>
              <w:rPr>
                <w:rFonts w:ascii="Arial Narrow" w:hAnsi="Arial Narrow"/>
                <w:sz w:val="20"/>
              </w:rPr>
              <w:t>vant platinum-containing chemotherapy</w:t>
            </w:r>
            <w:r w:rsidRPr="0053118D">
              <w:rPr>
                <w:rFonts w:ascii="Arial Narrow" w:hAnsi="Arial Narrow"/>
                <w:sz w:val="20"/>
              </w:rPr>
              <w:t xml:space="preserve"> prior to cystectomy for localised muscle-invasive urothelial cancer</w:t>
            </w:r>
          </w:p>
          <w:p w:rsidR="00D159B1" w:rsidRPr="00D34003" w:rsidRDefault="00D159B1" w:rsidP="00D159B1">
            <w:pPr>
              <w:rPr>
                <w:rFonts w:ascii="Arial Narrow" w:hAnsi="Arial Narrow"/>
                <w:sz w:val="20"/>
                <w:szCs w:val="20"/>
              </w:rPr>
            </w:pPr>
            <w:r w:rsidRPr="00D34003">
              <w:rPr>
                <w:rFonts w:ascii="Arial Narrow" w:hAnsi="Arial Narrow"/>
                <w:sz w:val="20"/>
                <w:szCs w:val="20"/>
              </w:rPr>
              <w:t>AND</w:t>
            </w:r>
          </w:p>
          <w:p w:rsidR="002864EC" w:rsidRPr="00D34003" w:rsidRDefault="00D159B1" w:rsidP="00D159B1">
            <w:pPr>
              <w:rPr>
                <w:rFonts w:ascii="Arial Narrow" w:hAnsi="Arial Narrow"/>
                <w:sz w:val="20"/>
                <w:szCs w:val="20"/>
              </w:rPr>
            </w:pPr>
            <w:r w:rsidRPr="00D34003">
              <w:rPr>
                <w:rFonts w:ascii="Arial Narrow" w:hAnsi="Arial Narrow"/>
                <w:sz w:val="20"/>
                <w:szCs w:val="20"/>
              </w:rPr>
              <w:t>Patient must have WHO</w:t>
            </w:r>
            <w:r w:rsidRPr="00D34003">
              <w:rPr>
                <w:rFonts w:ascii="Arial Narrow" w:hAnsi="Arial Narrow"/>
                <w:i/>
                <w:sz w:val="20"/>
                <w:szCs w:val="20"/>
              </w:rPr>
              <w:t xml:space="preserve"> </w:t>
            </w:r>
            <w:r w:rsidRPr="00D34003">
              <w:rPr>
                <w:rFonts w:ascii="Arial Narrow" w:hAnsi="Arial Narrow"/>
                <w:sz w:val="20"/>
                <w:szCs w:val="20"/>
              </w:rPr>
              <w:t>performance status of 2 or less</w:t>
            </w:r>
          </w:p>
        </w:tc>
      </w:tr>
      <w:tr w:rsidR="002864EC" w:rsidRPr="00D34003" w:rsidTr="002864EC">
        <w:trPr>
          <w:cantSplit/>
          <w:trHeight w:val="360"/>
        </w:trPr>
        <w:tc>
          <w:tcPr>
            <w:tcW w:w="967"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Administrative Advice</w:t>
            </w:r>
          </w:p>
          <w:p w:rsidR="002864EC" w:rsidRPr="00D34003" w:rsidRDefault="002864EC" w:rsidP="001C3D78">
            <w:pPr>
              <w:rPr>
                <w:rFonts w:ascii="Arial Narrow" w:hAnsi="Arial Narrow"/>
                <w:sz w:val="20"/>
                <w:szCs w:val="20"/>
              </w:rPr>
            </w:pPr>
          </w:p>
        </w:tc>
        <w:tc>
          <w:tcPr>
            <w:tcW w:w="4033" w:type="pct"/>
            <w:gridSpan w:val="4"/>
            <w:tcBorders>
              <w:top w:val="single" w:sz="4" w:space="0" w:color="auto"/>
              <w:left w:val="single" w:sz="4" w:space="0" w:color="auto"/>
              <w:bottom w:val="single" w:sz="4" w:space="0" w:color="auto"/>
              <w:right w:val="single" w:sz="4" w:space="0" w:color="auto"/>
            </w:tcBorders>
          </w:tcPr>
          <w:p w:rsidR="00D41233" w:rsidRDefault="00D41233" w:rsidP="00D41233">
            <w:pPr>
              <w:rPr>
                <w:rFonts w:ascii="Arial Narrow" w:hAnsi="Arial Narrow"/>
                <w:sz w:val="20"/>
                <w:szCs w:val="20"/>
              </w:rPr>
            </w:pPr>
            <w:r w:rsidRPr="00D34003">
              <w:rPr>
                <w:rFonts w:ascii="Arial Narrow" w:hAnsi="Arial Narrow"/>
                <w:sz w:val="20"/>
                <w:szCs w:val="20"/>
              </w:rPr>
              <w:t xml:space="preserve">No increase in the </w:t>
            </w:r>
            <w:r w:rsidRPr="00D34003">
              <w:rPr>
                <w:rFonts w:ascii="Arial Narrow" w:hAnsi="Arial Narrow"/>
                <w:color w:val="000000"/>
                <w:sz w:val="20"/>
                <w:szCs w:val="20"/>
              </w:rPr>
              <w:t>maximum quantity or number of units</w:t>
            </w:r>
            <w:r w:rsidRPr="00D34003">
              <w:rPr>
                <w:rFonts w:ascii="Arial Narrow" w:hAnsi="Arial Narrow"/>
                <w:sz w:val="20"/>
                <w:szCs w:val="20"/>
              </w:rPr>
              <w:t xml:space="preserve"> will be authorised.</w:t>
            </w:r>
          </w:p>
          <w:p w:rsidR="00D41233" w:rsidRDefault="00D41233" w:rsidP="00D41233">
            <w:pPr>
              <w:rPr>
                <w:rFonts w:ascii="Arial Narrow" w:hAnsi="Arial Narrow"/>
                <w:sz w:val="20"/>
                <w:szCs w:val="20"/>
              </w:rPr>
            </w:pPr>
          </w:p>
          <w:p w:rsidR="00D41233" w:rsidRDefault="00D41233" w:rsidP="00D41233">
            <w:pPr>
              <w:rPr>
                <w:rFonts w:ascii="Arial Narrow" w:hAnsi="Arial Narrow"/>
                <w:sz w:val="20"/>
                <w:szCs w:val="20"/>
              </w:rPr>
            </w:pPr>
            <w:r w:rsidRPr="00C63C32">
              <w:rPr>
                <w:rFonts w:ascii="Arial Narrow" w:hAnsi="Arial Narrow"/>
                <w:sz w:val="20"/>
                <w:szCs w:val="20"/>
              </w:rPr>
              <w:t>No increase in the maximum number of repeats may be authorised.</w:t>
            </w:r>
          </w:p>
          <w:p w:rsidR="00D41233" w:rsidRPr="00D34003" w:rsidRDefault="00D41233" w:rsidP="00D41233">
            <w:pPr>
              <w:rPr>
                <w:rFonts w:ascii="Arial Narrow" w:hAnsi="Arial Narrow"/>
                <w:sz w:val="20"/>
                <w:szCs w:val="20"/>
              </w:rPr>
            </w:pPr>
          </w:p>
          <w:p w:rsidR="00D41233" w:rsidRPr="00D34003" w:rsidRDefault="00D41233" w:rsidP="00D41233">
            <w:pPr>
              <w:rPr>
                <w:rFonts w:ascii="Arial Narrow" w:hAnsi="Arial Narrow"/>
                <w:sz w:val="20"/>
                <w:szCs w:val="20"/>
              </w:rPr>
            </w:pPr>
            <w:r w:rsidRPr="00D34003">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D41233" w:rsidRPr="00D34003" w:rsidRDefault="00D41233" w:rsidP="00D41233">
            <w:pPr>
              <w:rPr>
                <w:rFonts w:ascii="Arial Narrow" w:hAnsi="Arial Narrow"/>
                <w:color w:val="000000"/>
                <w:sz w:val="20"/>
                <w:szCs w:val="20"/>
              </w:rPr>
            </w:pPr>
          </w:p>
          <w:p w:rsidR="002864EC" w:rsidRPr="00D34003" w:rsidRDefault="00D41233" w:rsidP="00D41233">
            <w:pPr>
              <w:rPr>
                <w:rFonts w:ascii="Arial Narrow" w:hAnsi="Arial Narrow"/>
                <w:color w:val="000000"/>
                <w:sz w:val="20"/>
                <w:szCs w:val="20"/>
              </w:rPr>
            </w:pPr>
            <w:r w:rsidRPr="00D34003">
              <w:rPr>
                <w:rFonts w:ascii="Arial Narrow" w:hAnsi="Arial Narrow"/>
                <w:color w:val="000000"/>
                <w:sz w:val="20"/>
                <w:szCs w:val="20"/>
              </w:rPr>
              <w:t>Special Pricing Arrangements apply.</w:t>
            </w:r>
          </w:p>
        </w:tc>
      </w:tr>
    </w:tbl>
    <w:p w:rsidR="002864EC" w:rsidRPr="00D34003" w:rsidRDefault="002864EC" w:rsidP="002864EC">
      <w:pPr>
        <w:pStyle w:val="Caption"/>
        <w:rPr>
          <w:rFonts w:ascii="Arial Narrow" w:hAnsi="Arial Narrow"/>
          <w:sz w:val="20"/>
          <w:szCs w:val="20"/>
        </w:rPr>
      </w:pPr>
    </w:p>
    <w:tbl>
      <w:tblPr>
        <w:tblW w:w="5000" w:type="pct"/>
        <w:tblLook w:val="0000" w:firstRow="0" w:lastRow="0" w:firstColumn="0" w:lastColumn="0" w:noHBand="0" w:noVBand="0"/>
      </w:tblPr>
      <w:tblGrid>
        <w:gridCol w:w="1785"/>
        <w:gridCol w:w="1409"/>
        <w:gridCol w:w="878"/>
        <w:gridCol w:w="625"/>
        <w:gridCol w:w="4546"/>
      </w:tblGrid>
      <w:tr w:rsidR="002864EC" w:rsidRPr="00D34003" w:rsidTr="002864EC">
        <w:trPr>
          <w:cantSplit/>
          <w:trHeight w:val="471"/>
        </w:trPr>
        <w:tc>
          <w:tcPr>
            <w:tcW w:w="1728" w:type="pct"/>
            <w:gridSpan w:val="2"/>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Name, Restriction,</w:t>
            </w:r>
          </w:p>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Manner of administration and form</w:t>
            </w:r>
          </w:p>
        </w:tc>
        <w:tc>
          <w:tcPr>
            <w:tcW w:w="475" w:type="pct"/>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Max.</w:t>
            </w:r>
          </w:p>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Amount</w:t>
            </w:r>
          </w:p>
        </w:tc>
        <w:tc>
          <w:tcPr>
            <w:tcW w:w="338" w:type="pct"/>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№.of</w:t>
            </w:r>
          </w:p>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Rpts</w:t>
            </w:r>
          </w:p>
        </w:tc>
        <w:tc>
          <w:tcPr>
            <w:tcW w:w="2459" w:type="pct"/>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Proprietary Name and Manufacturer</w:t>
            </w:r>
          </w:p>
        </w:tc>
      </w:tr>
      <w:tr w:rsidR="002864EC" w:rsidRPr="00D34003" w:rsidTr="002864EC">
        <w:trPr>
          <w:cantSplit/>
          <w:trHeight w:val="577"/>
        </w:trPr>
        <w:tc>
          <w:tcPr>
            <w:tcW w:w="1728" w:type="pct"/>
            <w:gridSpan w:val="2"/>
          </w:tcPr>
          <w:p w:rsidR="002864EC" w:rsidRPr="00D34003" w:rsidRDefault="00D34003" w:rsidP="001C3D78">
            <w:pPr>
              <w:jc w:val="left"/>
              <w:rPr>
                <w:rFonts w:ascii="Arial Narrow" w:hAnsi="Arial Narrow"/>
                <w:sz w:val="20"/>
                <w:szCs w:val="20"/>
              </w:rPr>
            </w:pPr>
            <w:r w:rsidRPr="00D34003">
              <w:rPr>
                <w:rFonts w:ascii="Arial Narrow" w:hAnsi="Arial Narrow"/>
                <w:sz w:val="20"/>
                <w:szCs w:val="20"/>
              </w:rPr>
              <w:t>PEMBROLIZUMAB</w:t>
            </w:r>
            <w:r w:rsidR="002864EC" w:rsidRPr="00D34003">
              <w:rPr>
                <w:rFonts w:ascii="Arial Narrow" w:hAnsi="Arial Narrow"/>
                <w:sz w:val="20"/>
                <w:szCs w:val="20"/>
              </w:rPr>
              <w:t xml:space="preserve"> </w:t>
            </w:r>
          </w:p>
          <w:p w:rsidR="002864EC" w:rsidRPr="00D34003" w:rsidRDefault="00E018C1" w:rsidP="001C3D78">
            <w:pPr>
              <w:jc w:val="left"/>
              <w:rPr>
                <w:rFonts w:ascii="Arial Narrow" w:hAnsi="Arial Narrow"/>
                <w:sz w:val="20"/>
                <w:szCs w:val="20"/>
              </w:rPr>
            </w:pPr>
            <w:r w:rsidRPr="00D34003">
              <w:rPr>
                <w:rFonts w:ascii="Arial Narrow" w:hAnsi="Arial Narrow"/>
                <w:sz w:val="20"/>
                <w:szCs w:val="20"/>
              </w:rPr>
              <w:t>100 mg/4 mL injection, 4 mL vial</w:t>
            </w:r>
          </w:p>
        </w:tc>
        <w:tc>
          <w:tcPr>
            <w:tcW w:w="475" w:type="pct"/>
          </w:tcPr>
          <w:p w:rsidR="002864EC" w:rsidRPr="00D34003" w:rsidRDefault="002864EC" w:rsidP="001C3D78">
            <w:pPr>
              <w:jc w:val="left"/>
              <w:rPr>
                <w:rFonts w:ascii="Arial Narrow" w:hAnsi="Arial Narrow"/>
                <w:sz w:val="20"/>
                <w:szCs w:val="20"/>
              </w:rPr>
            </w:pPr>
          </w:p>
          <w:p w:rsidR="002864EC" w:rsidRPr="00D34003" w:rsidRDefault="002864EC" w:rsidP="001C3D78">
            <w:pPr>
              <w:jc w:val="left"/>
              <w:rPr>
                <w:rFonts w:ascii="Arial Narrow" w:hAnsi="Arial Narrow"/>
                <w:sz w:val="20"/>
                <w:szCs w:val="20"/>
              </w:rPr>
            </w:pPr>
            <w:r w:rsidRPr="00D34003">
              <w:rPr>
                <w:rFonts w:ascii="Arial Narrow" w:hAnsi="Arial Narrow"/>
                <w:sz w:val="20"/>
                <w:szCs w:val="20"/>
              </w:rPr>
              <w:t>200 mg</w:t>
            </w:r>
          </w:p>
        </w:tc>
        <w:tc>
          <w:tcPr>
            <w:tcW w:w="338" w:type="pct"/>
            <w:tcBorders>
              <w:top w:val="single" w:sz="4" w:space="0" w:color="auto"/>
            </w:tcBorders>
          </w:tcPr>
          <w:p w:rsidR="002864EC" w:rsidRPr="00D34003" w:rsidRDefault="002864EC" w:rsidP="001C3D78">
            <w:pPr>
              <w:jc w:val="left"/>
              <w:rPr>
                <w:rFonts w:ascii="Arial Narrow" w:hAnsi="Arial Narrow"/>
                <w:sz w:val="20"/>
                <w:szCs w:val="20"/>
              </w:rPr>
            </w:pPr>
          </w:p>
          <w:p w:rsidR="002864EC" w:rsidRPr="00D34003" w:rsidRDefault="002864EC" w:rsidP="001C3D78">
            <w:pPr>
              <w:jc w:val="left"/>
              <w:rPr>
                <w:rFonts w:ascii="Arial Narrow" w:hAnsi="Arial Narrow"/>
                <w:sz w:val="20"/>
                <w:szCs w:val="20"/>
              </w:rPr>
            </w:pPr>
            <w:r w:rsidRPr="00D34003">
              <w:rPr>
                <w:rFonts w:ascii="Arial Narrow" w:hAnsi="Arial Narrow"/>
                <w:sz w:val="20"/>
                <w:szCs w:val="20"/>
              </w:rPr>
              <w:t>6</w:t>
            </w:r>
          </w:p>
        </w:tc>
        <w:tc>
          <w:tcPr>
            <w:tcW w:w="2459" w:type="pct"/>
            <w:tcBorders>
              <w:top w:val="single" w:sz="4" w:space="0" w:color="auto"/>
            </w:tcBorders>
          </w:tcPr>
          <w:p w:rsidR="002864EC" w:rsidRPr="00D34003" w:rsidRDefault="002864EC" w:rsidP="001C3D78">
            <w:pPr>
              <w:jc w:val="left"/>
              <w:rPr>
                <w:rFonts w:ascii="Arial Narrow" w:hAnsi="Arial Narrow"/>
                <w:sz w:val="20"/>
                <w:szCs w:val="20"/>
              </w:rPr>
            </w:pPr>
          </w:p>
          <w:p w:rsidR="002864EC" w:rsidRPr="00D34003" w:rsidRDefault="002864EC" w:rsidP="002864EC">
            <w:pPr>
              <w:jc w:val="left"/>
              <w:rPr>
                <w:rFonts w:ascii="Arial Narrow" w:hAnsi="Arial Narrow"/>
                <w:sz w:val="20"/>
                <w:szCs w:val="20"/>
              </w:rPr>
            </w:pPr>
            <w:proofErr w:type="spellStart"/>
            <w:r w:rsidRPr="00D34003">
              <w:rPr>
                <w:rFonts w:ascii="Arial Narrow" w:hAnsi="Arial Narrow"/>
                <w:sz w:val="20"/>
                <w:szCs w:val="20"/>
              </w:rPr>
              <w:t>Keytruda</w:t>
            </w:r>
            <w:proofErr w:type="spellEnd"/>
            <w:r w:rsidRPr="00D34003">
              <w:rPr>
                <w:rFonts w:ascii="Arial Narrow" w:hAnsi="Arial Narrow"/>
                <w:sz w:val="20"/>
                <w:szCs w:val="20"/>
              </w:rPr>
              <w:t>® Merck Sharp &amp; Dohme (Australia) Pty Ltd</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proofErr w:type="spellStart"/>
            <w:r w:rsidRPr="00D34003">
              <w:rPr>
                <w:rFonts w:ascii="Arial Narrow" w:hAnsi="Arial Narrow"/>
                <w:sz w:val="20"/>
                <w:szCs w:val="20"/>
              </w:rPr>
              <w:t>Episodicity</w:t>
            </w:r>
            <w:proofErr w:type="spellEnd"/>
            <w:r w:rsidRPr="00D34003">
              <w:rPr>
                <w:rFonts w:ascii="Arial Narrow" w:hAnsi="Arial Narrow"/>
                <w:sz w:val="20"/>
                <w:szCs w:val="20"/>
              </w:rPr>
              <w:t>:</w:t>
            </w:r>
          </w:p>
        </w:tc>
        <w:tc>
          <w:tcPr>
            <w:tcW w:w="4034"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N/A</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Category/program:</w:t>
            </w:r>
          </w:p>
        </w:tc>
        <w:tc>
          <w:tcPr>
            <w:tcW w:w="4034"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Section 100 (Public/Private), Efficient Funding of Chemotherapy</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Severity:</w:t>
            </w:r>
          </w:p>
        </w:tc>
        <w:tc>
          <w:tcPr>
            <w:tcW w:w="4034"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Advanced (Stage III) or metastatic (Stage IV)</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Condition:</w:t>
            </w:r>
          </w:p>
        </w:tc>
        <w:tc>
          <w:tcPr>
            <w:tcW w:w="4034"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Urothelial cancer</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PBS Indication:</w:t>
            </w:r>
          </w:p>
        </w:tc>
        <w:tc>
          <w:tcPr>
            <w:tcW w:w="4034"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Advanced (Stage III) or metastatic (Stage IV) urothelial cancer</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lastRenderedPageBreak/>
              <w:t>Treatment phase:</w:t>
            </w:r>
          </w:p>
        </w:tc>
        <w:tc>
          <w:tcPr>
            <w:tcW w:w="4034"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Continuing</w:t>
            </w:r>
            <w:r w:rsidR="00840099">
              <w:rPr>
                <w:rFonts w:ascii="Arial Narrow" w:hAnsi="Arial Narrow"/>
                <w:sz w:val="20"/>
                <w:szCs w:val="20"/>
              </w:rPr>
              <w:t xml:space="preserve"> treatment</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840099">
            <w:pPr>
              <w:rPr>
                <w:rFonts w:ascii="Arial Narrow" w:hAnsi="Arial Narrow"/>
                <w:sz w:val="20"/>
                <w:szCs w:val="20"/>
              </w:rPr>
            </w:pPr>
            <w:r w:rsidRPr="00D34003">
              <w:rPr>
                <w:rFonts w:ascii="Arial Narrow" w:hAnsi="Arial Narrow"/>
                <w:sz w:val="20"/>
                <w:szCs w:val="20"/>
              </w:rPr>
              <w:t>Restriction:</w:t>
            </w:r>
          </w:p>
        </w:tc>
        <w:tc>
          <w:tcPr>
            <w:tcW w:w="4034"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sym w:font="Wingdings" w:char="F0FC"/>
            </w:r>
            <w:r w:rsidRPr="00D34003">
              <w:rPr>
                <w:rFonts w:ascii="Arial Narrow" w:hAnsi="Arial Narrow"/>
                <w:sz w:val="20"/>
                <w:szCs w:val="20"/>
              </w:rPr>
              <w:t xml:space="preserve"> Streamlined</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Clinical criteria:</w:t>
            </w:r>
          </w:p>
          <w:p w:rsidR="002864EC" w:rsidRPr="00D34003" w:rsidRDefault="002864EC" w:rsidP="001C3D78">
            <w:pPr>
              <w:rPr>
                <w:rFonts w:ascii="Arial Narrow" w:hAnsi="Arial Narrow"/>
                <w:sz w:val="20"/>
                <w:szCs w:val="20"/>
              </w:rPr>
            </w:pPr>
          </w:p>
        </w:tc>
        <w:tc>
          <w:tcPr>
            <w:tcW w:w="4034" w:type="pct"/>
            <w:gridSpan w:val="4"/>
            <w:tcBorders>
              <w:top w:val="single" w:sz="4" w:space="0" w:color="auto"/>
              <w:left w:val="single" w:sz="4" w:space="0" w:color="auto"/>
              <w:bottom w:val="single" w:sz="4" w:space="0" w:color="auto"/>
              <w:right w:val="single" w:sz="4" w:space="0" w:color="auto"/>
            </w:tcBorders>
          </w:tcPr>
          <w:p w:rsidR="00C62615" w:rsidRDefault="00C62615" w:rsidP="00C62615">
            <w:pPr>
              <w:rPr>
                <w:rFonts w:ascii="Arial Narrow" w:hAnsi="Arial Narrow"/>
                <w:sz w:val="20"/>
                <w:szCs w:val="20"/>
              </w:rPr>
            </w:pPr>
            <w:r w:rsidRPr="002F05CD">
              <w:rPr>
                <w:rFonts w:ascii="Arial Narrow" w:hAnsi="Arial Narrow"/>
                <w:sz w:val="20"/>
                <w:szCs w:val="20"/>
              </w:rPr>
              <w:t>Patient must have previously received PBS-subsidised treatment with this drug for this condition,</w:t>
            </w:r>
          </w:p>
          <w:p w:rsidR="00C62615" w:rsidRPr="00D34003" w:rsidRDefault="00C62615" w:rsidP="00C62615">
            <w:pPr>
              <w:rPr>
                <w:rFonts w:ascii="Arial Narrow" w:hAnsi="Arial Narrow"/>
                <w:sz w:val="20"/>
                <w:szCs w:val="20"/>
              </w:rPr>
            </w:pPr>
            <w:r w:rsidRPr="00D34003">
              <w:rPr>
                <w:rFonts w:ascii="Arial Narrow" w:hAnsi="Arial Narrow"/>
                <w:sz w:val="20"/>
                <w:szCs w:val="20"/>
              </w:rPr>
              <w:t>AND</w:t>
            </w:r>
          </w:p>
          <w:p w:rsidR="00C62615" w:rsidRPr="00D34003" w:rsidRDefault="00C62615" w:rsidP="00C62615">
            <w:pPr>
              <w:rPr>
                <w:rFonts w:ascii="Arial Narrow" w:hAnsi="Arial Narrow"/>
                <w:sz w:val="20"/>
                <w:szCs w:val="20"/>
              </w:rPr>
            </w:pPr>
            <w:r w:rsidRPr="00D34003">
              <w:rPr>
                <w:rFonts w:ascii="Arial Narrow" w:hAnsi="Arial Narrow"/>
                <w:sz w:val="20"/>
                <w:szCs w:val="20"/>
              </w:rPr>
              <w:t>Treatment must be the sole PBS-subsidised t</w:t>
            </w:r>
            <w:r>
              <w:rPr>
                <w:rFonts w:ascii="Arial Narrow" w:hAnsi="Arial Narrow"/>
                <w:sz w:val="20"/>
                <w:szCs w:val="20"/>
              </w:rPr>
              <w:t>reatment</w:t>
            </w:r>
            <w:r w:rsidRPr="00D34003">
              <w:rPr>
                <w:rFonts w:ascii="Arial Narrow" w:hAnsi="Arial Narrow"/>
                <w:sz w:val="20"/>
                <w:szCs w:val="20"/>
              </w:rPr>
              <w:t xml:space="preserve"> for this condition, </w:t>
            </w:r>
          </w:p>
          <w:p w:rsidR="00C62615" w:rsidRPr="00D34003" w:rsidRDefault="00C62615" w:rsidP="00C62615">
            <w:pPr>
              <w:rPr>
                <w:rFonts w:ascii="Arial Narrow" w:hAnsi="Arial Narrow"/>
                <w:sz w:val="20"/>
                <w:szCs w:val="20"/>
              </w:rPr>
            </w:pPr>
            <w:r w:rsidRPr="00D34003">
              <w:rPr>
                <w:rFonts w:ascii="Arial Narrow" w:hAnsi="Arial Narrow"/>
                <w:sz w:val="20"/>
                <w:szCs w:val="20"/>
              </w:rPr>
              <w:t>AND</w:t>
            </w:r>
          </w:p>
          <w:p w:rsidR="00C62615" w:rsidRPr="00D34003" w:rsidRDefault="00C62615" w:rsidP="00C62615">
            <w:pPr>
              <w:rPr>
                <w:rFonts w:ascii="Arial Narrow" w:hAnsi="Arial Narrow"/>
                <w:sz w:val="20"/>
                <w:szCs w:val="20"/>
              </w:rPr>
            </w:pPr>
            <w:r w:rsidRPr="00D34003">
              <w:rPr>
                <w:rFonts w:ascii="Arial Narrow" w:hAnsi="Arial Narrow"/>
                <w:sz w:val="20"/>
                <w:szCs w:val="20"/>
              </w:rPr>
              <w:t xml:space="preserve">Patient must have stable or responding disease, </w:t>
            </w:r>
          </w:p>
          <w:p w:rsidR="00C62615" w:rsidRPr="00D34003" w:rsidRDefault="00C62615" w:rsidP="00C62615">
            <w:pPr>
              <w:rPr>
                <w:rFonts w:ascii="Arial Narrow" w:hAnsi="Arial Narrow"/>
                <w:sz w:val="20"/>
                <w:szCs w:val="20"/>
              </w:rPr>
            </w:pPr>
            <w:r w:rsidRPr="00D34003">
              <w:rPr>
                <w:rFonts w:ascii="Arial Narrow" w:hAnsi="Arial Narrow"/>
                <w:sz w:val="20"/>
                <w:szCs w:val="20"/>
              </w:rPr>
              <w:t>AND</w:t>
            </w:r>
          </w:p>
          <w:p w:rsidR="002864EC" w:rsidRPr="00D34003" w:rsidRDefault="00C62615" w:rsidP="00C62615">
            <w:pPr>
              <w:rPr>
                <w:rFonts w:ascii="Arial Narrow" w:hAnsi="Arial Narrow"/>
                <w:sz w:val="20"/>
                <w:szCs w:val="20"/>
              </w:rPr>
            </w:pPr>
            <w:r>
              <w:rPr>
                <w:rFonts w:ascii="Arial Narrow" w:hAnsi="Arial Narrow"/>
                <w:sz w:val="20"/>
                <w:szCs w:val="20"/>
              </w:rPr>
              <w:t>The treatment must not exceed 35</w:t>
            </w:r>
            <w:r w:rsidRPr="009035A3">
              <w:rPr>
                <w:rFonts w:ascii="Arial Narrow" w:hAnsi="Arial Narrow"/>
                <w:sz w:val="20"/>
                <w:szCs w:val="20"/>
              </w:rPr>
              <w:t xml:space="preserve"> cycles </w:t>
            </w:r>
            <w:r>
              <w:rPr>
                <w:rFonts w:ascii="Arial Narrow" w:hAnsi="Arial Narrow"/>
                <w:sz w:val="20"/>
                <w:szCs w:val="20"/>
              </w:rPr>
              <w:t xml:space="preserve">in total at a dose of 200 mg every 3 weeks </w:t>
            </w:r>
            <w:r w:rsidRPr="009035A3">
              <w:rPr>
                <w:rFonts w:ascii="Arial Narrow" w:hAnsi="Arial Narrow"/>
                <w:sz w:val="20"/>
                <w:szCs w:val="20"/>
              </w:rPr>
              <w:t xml:space="preserve">with this drug </w:t>
            </w:r>
            <w:r>
              <w:rPr>
                <w:rFonts w:ascii="Arial Narrow" w:hAnsi="Arial Narrow"/>
                <w:sz w:val="20"/>
                <w:szCs w:val="20"/>
              </w:rPr>
              <w:t>for this condition</w:t>
            </w:r>
          </w:p>
        </w:tc>
      </w:tr>
      <w:tr w:rsidR="002864EC" w:rsidRPr="00D34003" w:rsidTr="001C3D78">
        <w:trPr>
          <w:cantSplit/>
          <w:trHeight w:val="360"/>
        </w:trPr>
        <w:tc>
          <w:tcPr>
            <w:tcW w:w="966"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Administrative Advice</w:t>
            </w:r>
          </w:p>
          <w:p w:rsidR="002864EC" w:rsidRPr="00D34003" w:rsidRDefault="002864EC" w:rsidP="001C3D78">
            <w:pPr>
              <w:rPr>
                <w:rFonts w:ascii="Arial Narrow" w:hAnsi="Arial Narrow"/>
                <w:sz w:val="20"/>
                <w:szCs w:val="20"/>
              </w:rPr>
            </w:pPr>
          </w:p>
        </w:tc>
        <w:tc>
          <w:tcPr>
            <w:tcW w:w="4034" w:type="pct"/>
            <w:gridSpan w:val="4"/>
            <w:tcBorders>
              <w:top w:val="single" w:sz="4" w:space="0" w:color="auto"/>
              <w:left w:val="single" w:sz="4" w:space="0" w:color="auto"/>
              <w:bottom w:val="single" w:sz="4" w:space="0" w:color="auto"/>
              <w:right w:val="single" w:sz="4" w:space="0" w:color="auto"/>
            </w:tcBorders>
          </w:tcPr>
          <w:p w:rsidR="00C62615" w:rsidRDefault="00C62615" w:rsidP="00C62615">
            <w:pPr>
              <w:rPr>
                <w:rFonts w:ascii="Arial Narrow" w:hAnsi="Arial Narrow"/>
                <w:sz w:val="20"/>
                <w:szCs w:val="20"/>
              </w:rPr>
            </w:pPr>
            <w:r w:rsidRPr="00D34003">
              <w:rPr>
                <w:rFonts w:ascii="Arial Narrow" w:hAnsi="Arial Narrow"/>
                <w:sz w:val="20"/>
                <w:szCs w:val="20"/>
              </w:rPr>
              <w:t xml:space="preserve">No increase in the </w:t>
            </w:r>
            <w:r w:rsidRPr="00D34003">
              <w:rPr>
                <w:rFonts w:ascii="Arial Narrow" w:hAnsi="Arial Narrow"/>
                <w:color w:val="000000"/>
                <w:sz w:val="20"/>
                <w:szCs w:val="20"/>
              </w:rPr>
              <w:t xml:space="preserve">maximum quantity or number of units </w:t>
            </w:r>
            <w:r w:rsidRPr="00D34003">
              <w:rPr>
                <w:rFonts w:ascii="Arial Narrow" w:hAnsi="Arial Narrow"/>
                <w:sz w:val="20"/>
                <w:szCs w:val="20"/>
              </w:rPr>
              <w:t>will be authorised.</w:t>
            </w:r>
          </w:p>
          <w:p w:rsidR="00C62615" w:rsidRDefault="00C62615" w:rsidP="00C62615">
            <w:pPr>
              <w:rPr>
                <w:rFonts w:ascii="Arial Narrow" w:hAnsi="Arial Narrow"/>
                <w:sz w:val="20"/>
                <w:szCs w:val="20"/>
              </w:rPr>
            </w:pPr>
          </w:p>
          <w:p w:rsidR="00C62615" w:rsidRDefault="00C62615" w:rsidP="00C62615">
            <w:pPr>
              <w:rPr>
                <w:rFonts w:ascii="Arial Narrow" w:hAnsi="Arial Narrow"/>
                <w:sz w:val="20"/>
                <w:szCs w:val="20"/>
              </w:rPr>
            </w:pPr>
            <w:r w:rsidRPr="0046511F">
              <w:rPr>
                <w:rFonts w:ascii="Arial Narrow" w:hAnsi="Arial Narrow"/>
                <w:sz w:val="20"/>
                <w:szCs w:val="20"/>
              </w:rPr>
              <w:t>No increase in the maximum number of repeats may be authorised.</w:t>
            </w:r>
          </w:p>
          <w:p w:rsidR="00C62615" w:rsidRDefault="00C62615" w:rsidP="001C3D78">
            <w:pPr>
              <w:rPr>
                <w:rFonts w:ascii="Arial Narrow" w:hAnsi="Arial Narrow"/>
                <w:color w:val="000000"/>
                <w:sz w:val="20"/>
                <w:szCs w:val="20"/>
              </w:rPr>
            </w:pPr>
          </w:p>
          <w:p w:rsidR="002864EC" w:rsidRPr="00D34003" w:rsidRDefault="002864EC" w:rsidP="001C3D78">
            <w:pPr>
              <w:rPr>
                <w:rFonts w:ascii="Arial Narrow" w:hAnsi="Arial Narrow"/>
                <w:color w:val="000000"/>
                <w:sz w:val="20"/>
                <w:szCs w:val="20"/>
              </w:rPr>
            </w:pPr>
            <w:r w:rsidRPr="00D34003">
              <w:rPr>
                <w:rFonts w:ascii="Arial Narrow" w:hAnsi="Arial Narrow"/>
                <w:color w:val="000000"/>
                <w:sz w:val="20"/>
                <w:szCs w:val="20"/>
              </w:rPr>
              <w:t>Special Pricing Arrangements apply.</w:t>
            </w:r>
          </w:p>
        </w:tc>
      </w:tr>
    </w:tbl>
    <w:p w:rsidR="002864EC" w:rsidRPr="00D34003" w:rsidRDefault="002864EC" w:rsidP="002864EC">
      <w:pPr>
        <w:pStyle w:val="Caption"/>
        <w:rPr>
          <w:rFonts w:ascii="Arial Narrow" w:hAnsi="Arial Narrow"/>
          <w:sz w:val="20"/>
          <w:szCs w:val="20"/>
        </w:rPr>
      </w:pPr>
    </w:p>
    <w:tbl>
      <w:tblPr>
        <w:tblW w:w="5000" w:type="pct"/>
        <w:tblLook w:val="0000" w:firstRow="0" w:lastRow="0" w:firstColumn="0" w:lastColumn="0" w:noHBand="0" w:noVBand="0"/>
      </w:tblPr>
      <w:tblGrid>
        <w:gridCol w:w="1778"/>
        <w:gridCol w:w="1414"/>
        <w:gridCol w:w="878"/>
        <w:gridCol w:w="625"/>
        <w:gridCol w:w="4548"/>
      </w:tblGrid>
      <w:tr w:rsidR="002864EC" w:rsidRPr="00D34003" w:rsidTr="002864EC">
        <w:trPr>
          <w:cantSplit/>
          <w:trHeight w:val="471"/>
        </w:trPr>
        <w:tc>
          <w:tcPr>
            <w:tcW w:w="1727" w:type="pct"/>
            <w:gridSpan w:val="2"/>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Name, Restriction,</w:t>
            </w:r>
          </w:p>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Manner of administration and form</w:t>
            </w:r>
          </w:p>
        </w:tc>
        <w:tc>
          <w:tcPr>
            <w:tcW w:w="475" w:type="pct"/>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Max.</w:t>
            </w:r>
          </w:p>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Amount</w:t>
            </w:r>
          </w:p>
        </w:tc>
        <w:tc>
          <w:tcPr>
            <w:tcW w:w="338" w:type="pct"/>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№.of</w:t>
            </w:r>
          </w:p>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Rpts</w:t>
            </w:r>
          </w:p>
        </w:tc>
        <w:tc>
          <w:tcPr>
            <w:tcW w:w="2460" w:type="pct"/>
            <w:tcBorders>
              <w:bottom w:val="single" w:sz="4" w:space="0" w:color="auto"/>
            </w:tcBorders>
          </w:tcPr>
          <w:p w:rsidR="002864EC" w:rsidRPr="00D34003" w:rsidRDefault="002864EC" w:rsidP="001C3D78">
            <w:pPr>
              <w:jc w:val="left"/>
              <w:rPr>
                <w:rFonts w:ascii="Arial Narrow" w:hAnsi="Arial Narrow"/>
                <w:b/>
                <w:sz w:val="20"/>
                <w:szCs w:val="20"/>
              </w:rPr>
            </w:pPr>
            <w:r w:rsidRPr="00D34003">
              <w:rPr>
                <w:rFonts w:ascii="Arial Narrow" w:hAnsi="Arial Narrow"/>
                <w:b/>
                <w:sz w:val="20"/>
                <w:szCs w:val="20"/>
              </w:rPr>
              <w:t>Proprietary Name and Manufacturer</w:t>
            </w:r>
          </w:p>
        </w:tc>
      </w:tr>
      <w:tr w:rsidR="002864EC" w:rsidRPr="00D34003" w:rsidTr="002864EC">
        <w:trPr>
          <w:cantSplit/>
          <w:trHeight w:val="577"/>
        </w:trPr>
        <w:tc>
          <w:tcPr>
            <w:tcW w:w="1727" w:type="pct"/>
            <w:gridSpan w:val="2"/>
          </w:tcPr>
          <w:p w:rsidR="002864EC" w:rsidRPr="00D34003" w:rsidRDefault="00D34003" w:rsidP="001C3D78">
            <w:pPr>
              <w:jc w:val="left"/>
              <w:rPr>
                <w:rFonts w:ascii="Arial Narrow" w:hAnsi="Arial Narrow"/>
                <w:sz w:val="20"/>
                <w:szCs w:val="20"/>
              </w:rPr>
            </w:pPr>
            <w:r w:rsidRPr="00D34003">
              <w:rPr>
                <w:rFonts w:ascii="Arial Narrow" w:hAnsi="Arial Narrow"/>
                <w:sz w:val="20"/>
                <w:szCs w:val="20"/>
              </w:rPr>
              <w:t>PEMBROLIZUMAB</w:t>
            </w:r>
            <w:r w:rsidR="002864EC" w:rsidRPr="00D34003">
              <w:rPr>
                <w:rFonts w:ascii="Arial Narrow" w:hAnsi="Arial Narrow"/>
                <w:sz w:val="20"/>
                <w:szCs w:val="20"/>
              </w:rPr>
              <w:t xml:space="preserve"> </w:t>
            </w:r>
          </w:p>
          <w:p w:rsidR="002864EC" w:rsidRPr="00D34003" w:rsidRDefault="00E018C1" w:rsidP="001C3D78">
            <w:pPr>
              <w:jc w:val="left"/>
              <w:rPr>
                <w:rFonts w:ascii="Arial Narrow" w:hAnsi="Arial Narrow"/>
                <w:sz w:val="20"/>
                <w:szCs w:val="20"/>
              </w:rPr>
            </w:pPr>
            <w:r w:rsidRPr="00D34003">
              <w:rPr>
                <w:rFonts w:ascii="Arial Narrow" w:hAnsi="Arial Narrow"/>
                <w:sz w:val="20"/>
                <w:szCs w:val="20"/>
              </w:rPr>
              <w:t>100 mg/4 mL injection, 4 mL vial</w:t>
            </w:r>
          </w:p>
        </w:tc>
        <w:tc>
          <w:tcPr>
            <w:tcW w:w="475" w:type="pct"/>
          </w:tcPr>
          <w:p w:rsidR="002864EC" w:rsidRPr="00D34003" w:rsidRDefault="002864EC" w:rsidP="001C3D78">
            <w:pPr>
              <w:jc w:val="left"/>
              <w:rPr>
                <w:rFonts w:ascii="Arial Narrow" w:hAnsi="Arial Narrow"/>
                <w:sz w:val="20"/>
                <w:szCs w:val="20"/>
              </w:rPr>
            </w:pPr>
          </w:p>
          <w:p w:rsidR="002864EC" w:rsidRPr="00D34003" w:rsidRDefault="002864EC" w:rsidP="001C3D78">
            <w:pPr>
              <w:jc w:val="left"/>
              <w:rPr>
                <w:rFonts w:ascii="Arial Narrow" w:hAnsi="Arial Narrow"/>
                <w:sz w:val="20"/>
                <w:szCs w:val="20"/>
              </w:rPr>
            </w:pPr>
            <w:r w:rsidRPr="00D34003">
              <w:rPr>
                <w:rFonts w:ascii="Arial Narrow" w:hAnsi="Arial Narrow"/>
                <w:sz w:val="20"/>
                <w:szCs w:val="20"/>
              </w:rPr>
              <w:t>200 mg</w:t>
            </w:r>
          </w:p>
        </w:tc>
        <w:tc>
          <w:tcPr>
            <w:tcW w:w="338" w:type="pct"/>
            <w:tcBorders>
              <w:top w:val="single" w:sz="4" w:space="0" w:color="auto"/>
            </w:tcBorders>
          </w:tcPr>
          <w:p w:rsidR="002864EC" w:rsidRPr="00D34003" w:rsidRDefault="002864EC" w:rsidP="001C3D78">
            <w:pPr>
              <w:jc w:val="left"/>
              <w:rPr>
                <w:rFonts w:ascii="Arial Narrow" w:hAnsi="Arial Narrow"/>
                <w:sz w:val="20"/>
                <w:szCs w:val="20"/>
              </w:rPr>
            </w:pPr>
          </w:p>
          <w:p w:rsidR="002864EC" w:rsidRPr="00D34003" w:rsidRDefault="00385C45" w:rsidP="001C3D78">
            <w:pPr>
              <w:jc w:val="left"/>
              <w:rPr>
                <w:rFonts w:ascii="Arial Narrow" w:hAnsi="Arial Narrow"/>
                <w:sz w:val="20"/>
                <w:szCs w:val="20"/>
              </w:rPr>
            </w:pPr>
            <w:r>
              <w:rPr>
                <w:rFonts w:ascii="Arial Narrow" w:hAnsi="Arial Narrow"/>
                <w:sz w:val="20"/>
                <w:szCs w:val="20"/>
              </w:rPr>
              <w:t>6</w:t>
            </w:r>
          </w:p>
        </w:tc>
        <w:tc>
          <w:tcPr>
            <w:tcW w:w="2460" w:type="pct"/>
            <w:tcBorders>
              <w:top w:val="single" w:sz="4" w:space="0" w:color="auto"/>
            </w:tcBorders>
          </w:tcPr>
          <w:p w:rsidR="002864EC" w:rsidRPr="00D34003" w:rsidRDefault="002864EC" w:rsidP="001C3D78">
            <w:pPr>
              <w:jc w:val="left"/>
              <w:rPr>
                <w:rFonts w:ascii="Arial Narrow" w:hAnsi="Arial Narrow"/>
                <w:sz w:val="20"/>
                <w:szCs w:val="20"/>
              </w:rPr>
            </w:pPr>
          </w:p>
          <w:p w:rsidR="002864EC" w:rsidRPr="00D34003" w:rsidRDefault="002864EC" w:rsidP="002864EC">
            <w:pPr>
              <w:jc w:val="left"/>
              <w:rPr>
                <w:rFonts w:ascii="Arial Narrow" w:hAnsi="Arial Narrow"/>
                <w:sz w:val="20"/>
                <w:szCs w:val="20"/>
              </w:rPr>
            </w:pPr>
            <w:proofErr w:type="spellStart"/>
            <w:r w:rsidRPr="00D34003">
              <w:rPr>
                <w:rFonts w:ascii="Arial Narrow" w:hAnsi="Arial Narrow"/>
                <w:sz w:val="20"/>
                <w:szCs w:val="20"/>
              </w:rPr>
              <w:t>Keytruda</w:t>
            </w:r>
            <w:proofErr w:type="spellEnd"/>
            <w:r w:rsidRPr="00D34003">
              <w:rPr>
                <w:rFonts w:ascii="Arial Narrow" w:hAnsi="Arial Narrow"/>
                <w:sz w:val="20"/>
                <w:szCs w:val="20"/>
              </w:rPr>
              <w:t>® Merck Sharp &amp; Dohme (Australia) Pty Ltd</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proofErr w:type="spellStart"/>
            <w:r w:rsidRPr="00D34003">
              <w:rPr>
                <w:rFonts w:ascii="Arial Narrow" w:hAnsi="Arial Narrow"/>
                <w:sz w:val="20"/>
                <w:szCs w:val="20"/>
              </w:rPr>
              <w:t>Episodicity</w:t>
            </w:r>
            <w:proofErr w:type="spellEnd"/>
            <w:r w:rsidRPr="00D34003">
              <w:rPr>
                <w:rFonts w:ascii="Arial Narrow" w:hAnsi="Arial Narrow"/>
                <w:sz w:val="20"/>
                <w:szCs w:val="20"/>
              </w:rPr>
              <w:t>:</w:t>
            </w:r>
          </w:p>
        </w:tc>
        <w:tc>
          <w:tcPr>
            <w:tcW w:w="4038"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N/A</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Category/program:</w:t>
            </w:r>
          </w:p>
        </w:tc>
        <w:tc>
          <w:tcPr>
            <w:tcW w:w="4038"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Section 100 (Public/Private), Efficient Funding of Chemotherapy</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Severity:</w:t>
            </w:r>
          </w:p>
        </w:tc>
        <w:tc>
          <w:tcPr>
            <w:tcW w:w="4038"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Advanced (</w:t>
            </w:r>
            <w:proofErr w:type="spellStart"/>
            <w:r w:rsidRPr="00D34003">
              <w:rPr>
                <w:rFonts w:ascii="Arial Narrow" w:hAnsi="Arial Narrow"/>
                <w:sz w:val="20"/>
                <w:szCs w:val="20"/>
              </w:rPr>
              <w:t>unresectable</w:t>
            </w:r>
            <w:proofErr w:type="spellEnd"/>
            <w:r w:rsidRPr="00D34003">
              <w:rPr>
                <w:rFonts w:ascii="Arial Narrow" w:hAnsi="Arial Narrow"/>
                <w:sz w:val="20"/>
                <w:szCs w:val="20"/>
              </w:rPr>
              <w:t xml:space="preserve"> Stage III) or metastatic (Stage IV)</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Condition:</w:t>
            </w:r>
          </w:p>
        </w:tc>
        <w:tc>
          <w:tcPr>
            <w:tcW w:w="4038"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Urothelial cancer</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PBS Indication:</w:t>
            </w:r>
          </w:p>
        </w:tc>
        <w:tc>
          <w:tcPr>
            <w:tcW w:w="4038"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Advanced (</w:t>
            </w:r>
            <w:proofErr w:type="spellStart"/>
            <w:r w:rsidRPr="00D34003">
              <w:rPr>
                <w:rFonts w:ascii="Arial Narrow" w:hAnsi="Arial Narrow"/>
                <w:sz w:val="20"/>
                <w:szCs w:val="20"/>
              </w:rPr>
              <w:t>unresectable</w:t>
            </w:r>
            <w:proofErr w:type="spellEnd"/>
            <w:r w:rsidRPr="00D34003">
              <w:rPr>
                <w:rFonts w:ascii="Arial Narrow" w:hAnsi="Arial Narrow"/>
                <w:sz w:val="20"/>
                <w:szCs w:val="20"/>
              </w:rPr>
              <w:t xml:space="preserve"> Stage III) or metastatic (Stage IV) urothelial cancer</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Treatment phase:</w:t>
            </w:r>
          </w:p>
        </w:tc>
        <w:tc>
          <w:tcPr>
            <w:tcW w:w="4038"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Grandfathering treatment</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Restriction:</w:t>
            </w:r>
          </w:p>
        </w:tc>
        <w:tc>
          <w:tcPr>
            <w:tcW w:w="4038" w:type="pct"/>
            <w:gridSpan w:val="4"/>
            <w:tcBorders>
              <w:top w:val="single" w:sz="4" w:space="0" w:color="auto"/>
              <w:left w:val="single" w:sz="4" w:space="0" w:color="auto"/>
              <w:bottom w:val="single" w:sz="4" w:space="0" w:color="auto"/>
              <w:right w:val="single" w:sz="4" w:space="0" w:color="auto"/>
            </w:tcBorders>
          </w:tcPr>
          <w:p w:rsidR="002864EC" w:rsidRPr="00D34003" w:rsidRDefault="002864EC" w:rsidP="00385C45">
            <w:pPr>
              <w:rPr>
                <w:rFonts w:ascii="Arial Narrow" w:hAnsi="Arial Narrow"/>
                <w:sz w:val="20"/>
                <w:szCs w:val="20"/>
              </w:rPr>
            </w:pPr>
            <w:r w:rsidRPr="00D34003">
              <w:rPr>
                <w:rFonts w:ascii="Arial Narrow" w:hAnsi="Arial Narrow"/>
                <w:sz w:val="20"/>
                <w:szCs w:val="20"/>
              </w:rPr>
              <w:sym w:font="Wingdings" w:char="F0FC"/>
            </w:r>
            <w:r w:rsidRPr="00D34003">
              <w:rPr>
                <w:rFonts w:ascii="Arial Narrow" w:hAnsi="Arial Narrow"/>
                <w:sz w:val="20"/>
                <w:szCs w:val="20"/>
              </w:rPr>
              <w:t xml:space="preserve"> Streamlined</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lastRenderedPageBreak/>
              <w:t>Clinical criteria:</w:t>
            </w:r>
          </w:p>
          <w:p w:rsidR="002864EC" w:rsidRPr="00D34003" w:rsidRDefault="002864EC" w:rsidP="001C3D78">
            <w:pPr>
              <w:rPr>
                <w:rFonts w:ascii="Arial Narrow" w:hAnsi="Arial Narrow"/>
                <w:sz w:val="20"/>
                <w:szCs w:val="20"/>
              </w:rPr>
            </w:pPr>
          </w:p>
          <w:p w:rsidR="002864EC" w:rsidRPr="00D34003" w:rsidRDefault="002864EC" w:rsidP="001C3D78">
            <w:pPr>
              <w:rPr>
                <w:rFonts w:ascii="Arial Narrow" w:hAnsi="Arial Narrow"/>
                <w:sz w:val="20"/>
                <w:szCs w:val="20"/>
              </w:rPr>
            </w:pPr>
          </w:p>
        </w:tc>
        <w:tc>
          <w:tcPr>
            <w:tcW w:w="4038" w:type="pct"/>
            <w:gridSpan w:val="4"/>
            <w:tcBorders>
              <w:top w:val="single" w:sz="4" w:space="0" w:color="auto"/>
              <w:left w:val="single" w:sz="4" w:space="0" w:color="auto"/>
              <w:bottom w:val="single" w:sz="4" w:space="0" w:color="auto"/>
              <w:right w:val="single" w:sz="4" w:space="0" w:color="auto"/>
            </w:tcBorders>
          </w:tcPr>
          <w:p w:rsidR="006C69B7" w:rsidRPr="00D34003" w:rsidRDefault="006C69B7" w:rsidP="006C69B7">
            <w:pPr>
              <w:rPr>
                <w:rFonts w:ascii="Arial Narrow" w:hAnsi="Arial Narrow"/>
                <w:sz w:val="20"/>
                <w:szCs w:val="20"/>
              </w:rPr>
            </w:pPr>
            <w:r w:rsidRPr="00D34003">
              <w:rPr>
                <w:rFonts w:ascii="Arial Narrow" w:hAnsi="Arial Narrow"/>
                <w:sz w:val="20"/>
                <w:szCs w:val="20"/>
              </w:rPr>
              <w:t xml:space="preserve">Patient must have received non-PBS treatment with this drug for this condition prior to [date of PBS listing], </w:t>
            </w:r>
          </w:p>
          <w:p w:rsidR="006C69B7" w:rsidRPr="00D34003" w:rsidRDefault="006C69B7" w:rsidP="006C69B7">
            <w:pPr>
              <w:rPr>
                <w:rFonts w:ascii="Arial Narrow" w:hAnsi="Arial Narrow"/>
                <w:sz w:val="20"/>
                <w:szCs w:val="20"/>
              </w:rPr>
            </w:pPr>
            <w:r w:rsidRPr="00D34003">
              <w:rPr>
                <w:rFonts w:ascii="Arial Narrow" w:hAnsi="Arial Narrow"/>
                <w:sz w:val="20"/>
                <w:szCs w:val="20"/>
              </w:rPr>
              <w:t>AND</w:t>
            </w:r>
          </w:p>
          <w:p w:rsidR="006C69B7" w:rsidRPr="00D34003" w:rsidRDefault="006C69B7" w:rsidP="006C69B7">
            <w:pPr>
              <w:rPr>
                <w:rFonts w:ascii="Arial Narrow" w:hAnsi="Arial Narrow"/>
                <w:sz w:val="20"/>
                <w:szCs w:val="20"/>
              </w:rPr>
            </w:pPr>
            <w:r w:rsidRPr="00D34003">
              <w:rPr>
                <w:rFonts w:ascii="Arial Narrow" w:hAnsi="Arial Narrow"/>
                <w:sz w:val="20"/>
                <w:szCs w:val="20"/>
              </w:rPr>
              <w:t>Treatment must be the sole PBS-subsidised t</w:t>
            </w:r>
            <w:r>
              <w:rPr>
                <w:rFonts w:ascii="Arial Narrow" w:hAnsi="Arial Narrow"/>
                <w:sz w:val="20"/>
                <w:szCs w:val="20"/>
              </w:rPr>
              <w:t>reatment</w:t>
            </w:r>
            <w:r w:rsidRPr="00D34003">
              <w:rPr>
                <w:rFonts w:ascii="Arial Narrow" w:hAnsi="Arial Narrow"/>
                <w:sz w:val="20"/>
                <w:szCs w:val="20"/>
              </w:rPr>
              <w:t xml:space="preserve"> for this condition, </w:t>
            </w:r>
          </w:p>
          <w:p w:rsidR="006C69B7" w:rsidRDefault="006C69B7" w:rsidP="006C69B7">
            <w:pPr>
              <w:rPr>
                <w:rFonts w:ascii="Arial Narrow" w:hAnsi="Arial Narrow"/>
                <w:sz w:val="20"/>
                <w:szCs w:val="20"/>
              </w:rPr>
            </w:pPr>
            <w:r w:rsidRPr="00D34003">
              <w:rPr>
                <w:rFonts w:ascii="Arial Narrow" w:hAnsi="Arial Narrow"/>
                <w:sz w:val="20"/>
                <w:szCs w:val="20"/>
              </w:rPr>
              <w:t>AND</w:t>
            </w:r>
          </w:p>
          <w:p w:rsidR="006C69B7" w:rsidRPr="00D34003" w:rsidRDefault="006C69B7" w:rsidP="006C69B7">
            <w:pPr>
              <w:pStyle w:val="NoSpacing"/>
              <w:rPr>
                <w:rFonts w:ascii="Arial Narrow" w:hAnsi="Arial Narrow"/>
                <w:sz w:val="20"/>
              </w:rPr>
            </w:pPr>
            <w:r w:rsidRPr="007A216A">
              <w:rPr>
                <w:rFonts w:ascii="Arial Narrow" w:hAnsi="Arial Narrow"/>
                <w:sz w:val="20"/>
              </w:rPr>
              <w:t>The condition must have progressed on or after prior platinum based chemotherapy</w:t>
            </w:r>
            <w:r>
              <w:rPr>
                <w:rFonts w:ascii="Arial Narrow" w:hAnsi="Arial Narrow"/>
                <w:sz w:val="20"/>
              </w:rPr>
              <w:t xml:space="preserve"> prior to initiating treatment with this drug for this condition</w:t>
            </w:r>
          </w:p>
          <w:p w:rsidR="006C69B7" w:rsidRPr="00D34003" w:rsidRDefault="006C69B7" w:rsidP="006C69B7">
            <w:pPr>
              <w:pStyle w:val="NoSpacing"/>
              <w:rPr>
                <w:rFonts w:ascii="Arial Narrow" w:hAnsi="Arial Narrow"/>
                <w:sz w:val="20"/>
              </w:rPr>
            </w:pPr>
            <w:r w:rsidRPr="00D34003">
              <w:rPr>
                <w:rFonts w:ascii="Arial Narrow" w:hAnsi="Arial Narrow"/>
                <w:sz w:val="20"/>
              </w:rPr>
              <w:t>OR</w:t>
            </w:r>
          </w:p>
          <w:p w:rsidR="006C69B7" w:rsidRDefault="006C69B7" w:rsidP="006C69B7">
            <w:pPr>
              <w:pStyle w:val="NoSpacing"/>
              <w:rPr>
                <w:rFonts w:ascii="Arial Narrow" w:hAnsi="Arial Narrow"/>
                <w:sz w:val="20"/>
              </w:rPr>
            </w:pPr>
            <w:r>
              <w:rPr>
                <w:rFonts w:ascii="Arial Narrow" w:hAnsi="Arial Narrow"/>
                <w:sz w:val="20"/>
              </w:rPr>
              <w:t xml:space="preserve">The condition must have progressed on or within 12 months of completion of </w:t>
            </w:r>
            <w:r w:rsidRPr="00737C3C">
              <w:rPr>
                <w:rFonts w:ascii="Arial Narrow" w:hAnsi="Arial Narrow"/>
                <w:sz w:val="20"/>
              </w:rPr>
              <w:t>adjuv</w:t>
            </w:r>
            <w:r>
              <w:rPr>
                <w:rFonts w:ascii="Arial Narrow" w:hAnsi="Arial Narrow"/>
                <w:sz w:val="20"/>
              </w:rPr>
              <w:t xml:space="preserve">ant platinum-containing chemotherapy </w:t>
            </w:r>
            <w:r w:rsidRPr="00737C3C">
              <w:rPr>
                <w:rFonts w:ascii="Arial Narrow" w:hAnsi="Arial Narrow"/>
                <w:sz w:val="20"/>
              </w:rPr>
              <w:t>following cystectomy for localised muscle-invasive urothelial cancer</w:t>
            </w:r>
            <w:r>
              <w:rPr>
                <w:rFonts w:ascii="Arial Narrow" w:hAnsi="Arial Narrow"/>
                <w:sz w:val="20"/>
              </w:rPr>
              <w:t xml:space="preserve"> prior to initiating treatment with this drug for this condition</w:t>
            </w:r>
          </w:p>
          <w:p w:rsidR="006C69B7" w:rsidRPr="00D34003" w:rsidRDefault="006C69B7" w:rsidP="006C69B7">
            <w:pPr>
              <w:pStyle w:val="NoSpacing"/>
              <w:rPr>
                <w:rFonts w:ascii="Arial Narrow" w:hAnsi="Arial Narrow"/>
                <w:sz w:val="20"/>
              </w:rPr>
            </w:pPr>
            <w:r w:rsidRPr="00D34003">
              <w:rPr>
                <w:rFonts w:ascii="Arial Narrow" w:hAnsi="Arial Narrow"/>
                <w:sz w:val="20"/>
              </w:rPr>
              <w:t>OR</w:t>
            </w:r>
          </w:p>
          <w:p w:rsidR="006C69B7" w:rsidRPr="00D34003" w:rsidRDefault="006C69B7" w:rsidP="006C69B7">
            <w:pPr>
              <w:pStyle w:val="NoSpacing"/>
              <w:rPr>
                <w:rFonts w:ascii="Arial Narrow" w:hAnsi="Arial Narrow"/>
                <w:sz w:val="20"/>
              </w:rPr>
            </w:pPr>
            <w:r>
              <w:rPr>
                <w:rFonts w:ascii="Arial Narrow" w:hAnsi="Arial Narrow"/>
                <w:sz w:val="20"/>
              </w:rPr>
              <w:t>The condition must have progressed on or within 12 months of completion of</w:t>
            </w:r>
            <w:r w:rsidRPr="0053118D">
              <w:rPr>
                <w:rFonts w:ascii="Arial Narrow" w:hAnsi="Arial Narrow"/>
                <w:sz w:val="20"/>
              </w:rPr>
              <w:t xml:space="preserve"> neoadju</w:t>
            </w:r>
            <w:r>
              <w:rPr>
                <w:rFonts w:ascii="Arial Narrow" w:hAnsi="Arial Narrow"/>
                <w:sz w:val="20"/>
              </w:rPr>
              <w:t>vant platinum-containing chemotherapy</w:t>
            </w:r>
            <w:r w:rsidRPr="0053118D">
              <w:rPr>
                <w:rFonts w:ascii="Arial Narrow" w:hAnsi="Arial Narrow"/>
                <w:sz w:val="20"/>
              </w:rPr>
              <w:t xml:space="preserve"> prior to cystectomy for localised muscle-invasive urothelial cancer</w:t>
            </w:r>
            <w:r>
              <w:rPr>
                <w:rFonts w:ascii="Arial Narrow" w:hAnsi="Arial Narrow"/>
                <w:sz w:val="20"/>
              </w:rPr>
              <w:t xml:space="preserve"> prior to initiating treatment with this drug for this condition</w:t>
            </w:r>
          </w:p>
          <w:p w:rsidR="006C69B7" w:rsidRPr="00D34003" w:rsidRDefault="006C69B7" w:rsidP="006C69B7">
            <w:pPr>
              <w:rPr>
                <w:rFonts w:ascii="Arial Narrow" w:hAnsi="Arial Narrow"/>
                <w:sz w:val="20"/>
                <w:szCs w:val="20"/>
              </w:rPr>
            </w:pPr>
            <w:r w:rsidRPr="00D34003">
              <w:rPr>
                <w:rFonts w:ascii="Arial Narrow" w:hAnsi="Arial Narrow"/>
                <w:sz w:val="20"/>
                <w:szCs w:val="20"/>
              </w:rPr>
              <w:t>AND</w:t>
            </w:r>
          </w:p>
          <w:p w:rsidR="006C69B7" w:rsidRPr="00D34003" w:rsidRDefault="006C69B7" w:rsidP="006C69B7">
            <w:pPr>
              <w:rPr>
                <w:rFonts w:ascii="Arial Narrow" w:hAnsi="Arial Narrow"/>
                <w:sz w:val="20"/>
                <w:szCs w:val="20"/>
              </w:rPr>
            </w:pPr>
            <w:r w:rsidRPr="00D34003">
              <w:rPr>
                <w:rFonts w:ascii="Arial Narrow" w:hAnsi="Arial Narrow"/>
                <w:sz w:val="20"/>
                <w:szCs w:val="20"/>
              </w:rPr>
              <w:t xml:space="preserve">Patient must have </w:t>
            </w:r>
            <w:r w:rsidRPr="00DA1B98">
              <w:rPr>
                <w:rFonts w:ascii="Arial Narrow" w:hAnsi="Arial Narrow"/>
                <w:sz w:val="20"/>
                <w:szCs w:val="20"/>
              </w:rPr>
              <w:t>WHO</w:t>
            </w:r>
            <w:r w:rsidRPr="00D34003">
              <w:rPr>
                <w:rFonts w:ascii="Arial Narrow" w:hAnsi="Arial Narrow"/>
                <w:i/>
                <w:sz w:val="20"/>
                <w:szCs w:val="20"/>
              </w:rPr>
              <w:t xml:space="preserve"> </w:t>
            </w:r>
            <w:r w:rsidRPr="00D34003">
              <w:rPr>
                <w:rFonts w:ascii="Arial Narrow" w:hAnsi="Arial Narrow"/>
                <w:sz w:val="20"/>
                <w:szCs w:val="20"/>
              </w:rPr>
              <w:t>performance status of 2 or less</w:t>
            </w:r>
            <w:r>
              <w:rPr>
                <w:rFonts w:ascii="Arial Narrow" w:hAnsi="Arial Narrow"/>
                <w:sz w:val="20"/>
                <w:szCs w:val="20"/>
              </w:rPr>
              <w:t xml:space="preserve"> </w:t>
            </w:r>
            <w:r>
              <w:rPr>
                <w:rFonts w:ascii="Arial Narrow" w:hAnsi="Arial Narrow"/>
                <w:sz w:val="20"/>
              </w:rPr>
              <w:t>prior to initiating treatment with this drug for this condition</w:t>
            </w:r>
            <w:r w:rsidRPr="00D34003">
              <w:rPr>
                <w:rFonts w:ascii="Arial Narrow" w:hAnsi="Arial Narrow"/>
                <w:sz w:val="20"/>
                <w:szCs w:val="20"/>
              </w:rPr>
              <w:t>;</w:t>
            </w:r>
          </w:p>
          <w:p w:rsidR="006C69B7" w:rsidRPr="00D34003" w:rsidRDefault="006C69B7" w:rsidP="006C69B7">
            <w:pPr>
              <w:rPr>
                <w:rFonts w:ascii="Arial Narrow" w:hAnsi="Arial Narrow"/>
                <w:sz w:val="20"/>
                <w:szCs w:val="20"/>
              </w:rPr>
            </w:pPr>
            <w:r w:rsidRPr="00D34003">
              <w:rPr>
                <w:rFonts w:ascii="Arial Narrow" w:hAnsi="Arial Narrow"/>
                <w:sz w:val="20"/>
                <w:szCs w:val="20"/>
              </w:rPr>
              <w:t>AND</w:t>
            </w:r>
          </w:p>
          <w:p w:rsidR="006C69B7" w:rsidRPr="00D34003" w:rsidRDefault="006C69B7" w:rsidP="006C69B7">
            <w:pPr>
              <w:rPr>
                <w:rFonts w:ascii="Arial Narrow" w:hAnsi="Arial Narrow"/>
                <w:sz w:val="20"/>
                <w:szCs w:val="20"/>
              </w:rPr>
            </w:pPr>
            <w:r w:rsidRPr="00D34003">
              <w:rPr>
                <w:rFonts w:ascii="Arial Narrow" w:hAnsi="Arial Narrow"/>
                <w:sz w:val="20"/>
                <w:szCs w:val="20"/>
              </w:rPr>
              <w:t xml:space="preserve">Patient must have stable or responding disease, </w:t>
            </w:r>
          </w:p>
          <w:p w:rsidR="006C69B7" w:rsidRDefault="006C69B7" w:rsidP="006C69B7">
            <w:pPr>
              <w:rPr>
                <w:rFonts w:ascii="Arial Narrow" w:hAnsi="Arial Narrow"/>
                <w:sz w:val="20"/>
                <w:szCs w:val="20"/>
              </w:rPr>
            </w:pPr>
            <w:r w:rsidRPr="00D34003">
              <w:rPr>
                <w:rFonts w:ascii="Arial Narrow" w:hAnsi="Arial Narrow"/>
                <w:sz w:val="20"/>
                <w:szCs w:val="20"/>
              </w:rPr>
              <w:t>AND</w:t>
            </w:r>
          </w:p>
          <w:p w:rsidR="002864EC" w:rsidRPr="00D34003" w:rsidRDefault="006C69B7" w:rsidP="001C3D78">
            <w:pPr>
              <w:rPr>
                <w:rFonts w:ascii="Arial Narrow" w:hAnsi="Arial Narrow"/>
                <w:sz w:val="20"/>
                <w:szCs w:val="20"/>
              </w:rPr>
            </w:pPr>
            <w:r w:rsidRPr="00214F8B">
              <w:rPr>
                <w:rFonts w:ascii="Arial Narrow" w:hAnsi="Arial Narrow"/>
                <w:sz w:val="20"/>
                <w:szCs w:val="20"/>
              </w:rPr>
              <w:t xml:space="preserve">The treatment must not exceed 35 cycles </w:t>
            </w:r>
            <w:r>
              <w:rPr>
                <w:rFonts w:ascii="Arial Narrow" w:hAnsi="Arial Narrow"/>
                <w:sz w:val="20"/>
                <w:szCs w:val="20"/>
              </w:rPr>
              <w:t xml:space="preserve">in total </w:t>
            </w:r>
            <w:r w:rsidRPr="00214F8B">
              <w:rPr>
                <w:rFonts w:ascii="Arial Narrow" w:hAnsi="Arial Narrow"/>
                <w:sz w:val="20"/>
                <w:szCs w:val="20"/>
              </w:rPr>
              <w:t>at a dose of 200 mg every 3 weeks with this drug for this condition</w:t>
            </w:r>
          </w:p>
        </w:tc>
      </w:tr>
      <w:tr w:rsidR="002864EC" w:rsidRPr="00D34003" w:rsidTr="001C3D78">
        <w:trPr>
          <w:cantSplit/>
          <w:trHeight w:val="360"/>
        </w:trPr>
        <w:tc>
          <w:tcPr>
            <w:tcW w:w="962" w:type="pct"/>
            <w:tcBorders>
              <w:top w:val="single" w:sz="4" w:space="0" w:color="auto"/>
              <w:left w:val="single" w:sz="4" w:space="0" w:color="auto"/>
              <w:bottom w:val="single" w:sz="4" w:space="0" w:color="auto"/>
              <w:right w:val="single" w:sz="4" w:space="0" w:color="auto"/>
            </w:tcBorders>
          </w:tcPr>
          <w:p w:rsidR="002864EC" w:rsidRPr="00D34003" w:rsidRDefault="002864EC" w:rsidP="001C3D78">
            <w:pPr>
              <w:rPr>
                <w:rFonts w:ascii="Arial Narrow" w:hAnsi="Arial Narrow"/>
                <w:sz w:val="20"/>
                <w:szCs w:val="20"/>
              </w:rPr>
            </w:pPr>
            <w:r w:rsidRPr="00D34003">
              <w:rPr>
                <w:rFonts w:ascii="Arial Narrow" w:hAnsi="Arial Narrow"/>
                <w:sz w:val="20"/>
                <w:szCs w:val="20"/>
              </w:rPr>
              <w:t>Administrative Advice</w:t>
            </w:r>
          </w:p>
          <w:p w:rsidR="002864EC" w:rsidRPr="00D34003" w:rsidRDefault="002864EC" w:rsidP="001C3D78">
            <w:pPr>
              <w:rPr>
                <w:rFonts w:ascii="Arial Narrow" w:hAnsi="Arial Narrow"/>
                <w:sz w:val="20"/>
                <w:szCs w:val="20"/>
              </w:rPr>
            </w:pPr>
          </w:p>
        </w:tc>
        <w:tc>
          <w:tcPr>
            <w:tcW w:w="4038" w:type="pct"/>
            <w:gridSpan w:val="4"/>
            <w:tcBorders>
              <w:top w:val="single" w:sz="4" w:space="0" w:color="auto"/>
              <w:left w:val="single" w:sz="4" w:space="0" w:color="auto"/>
              <w:bottom w:val="single" w:sz="4" w:space="0" w:color="auto"/>
              <w:right w:val="single" w:sz="4" w:space="0" w:color="auto"/>
            </w:tcBorders>
          </w:tcPr>
          <w:p w:rsidR="00C45F2D" w:rsidRDefault="00C45F2D" w:rsidP="00C45F2D">
            <w:pPr>
              <w:rPr>
                <w:rFonts w:ascii="Arial Narrow" w:hAnsi="Arial Narrow"/>
                <w:sz w:val="20"/>
                <w:szCs w:val="20"/>
              </w:rPr>
            </w:pPr>
            <w:r w:rsidRPr="00D34003">
              <w:rPr>
                <w:rFonts w:ascii="Arial Narrow" w:hAnsi="Arial Narrow"/>
                <w:sz w:val="20"/>
                <w:szCs w:val="20"/>
              </w:rPr>
              <w:t xml:space="preserve">No increase in the </w:t>
            </w:r>
            <w:r w:rsidRPr="00D34003">
              <w:rPr>
                <w:rFonts w:ascii="Arial Narrow" w:hAnsi="Arial Narrow"/>
                <w:color w:val="000000"/>
                <w:sz w:val="20"/>
                <w:szCs w:val="20"/>
              </w:rPr>
              <w:t xml:space="preserve">maximum quantity or number of units </w:t>
            </w:r>
            <w:r w:rsidRPr="00D34003">
              <w:rPr>
                <w:rFonts w:ascii="Arial Narrow" w:hAnsi="Arial Narrow"/>
                <w:sz w:val="20"/>
                <w:szCs w:val="20"/>
              </w:rPr>
              <w:t>will be authorised.</w:t>
            </w:r>
          </w:p>
          <w:p w:rsidR="00C45F2D" w:rsidRDefault="00C45F2D" w:rsidP="00C45F2D">
            <w:pPr>
              <w:rPr>
                <w:rFonts w:ascii="Arial Narrow" w:hAnsi="Arial Narrow"/>
                <w:sz w:val="20"/>
                <w:szCs w:val="20"/>
              </w:rPr>
            </w:pPr>
          </w:p>
          <w:p w:rsidR="00C45F2D" w:rsidRDefault="00C45F2D" w:rsidP="00C45F2D">
            <w:pPr>
              <w:rPr>
                <w:rFonts w:ascii="Arial Narrow" w:hAnsi="Arial Narrow"/>
                <w:sz w:val="20"/>
                <w:szCs w:val="20"/>
              </w:rPr>
            </w:pPr>
            <w:r w:rsidRPr="0046511F">
              <w:rPr>
                <w:rFonts w:ascii="Arial Narrow" w:hAnsi="Arial Narrow"/>
                <w:sz w:val="20"/>
                <w:szCs w:val="20"/>
              </w:rPr>
              <w:t>No increase in the maximum number of repeats may be authorised.</w:t>
            </w:r>
          </w:p>
          <w:p w:rsidR="00C45F2D" w:rsidRDefault="00C45F2D" w:rsidP="00C45F2D">
            <w:pPr>
              <w:rPr>
                <w:rFonts w:ascii="Arial Narrow" w:hAnsi="Arial Narrow"/>
                <w:sz w:val="20"/>
                <w:szCs w:val="20"/>
              </w:rPr>
            </w:pPr>
          </w:p>
          <w:p w:rsidR="00C45F2D" w:rsidRDefault="00C45F2D" w:rsidP="00C45F2D">
            <w:pPr>
              <w:rPr>
                <w:rFonts w:ascii="Arial Narrow" w:hAnsi="Arial Narrow"/>
                <w:sz w:val="20"/>
                <w:szCs w:val="20"/>
              </w:rPr>
            </w:pPr>
            <w:r w:rsidRPr="00214F8B">
              <w:rPr>
                <w:rFonts w:ascii="Arial Narrow" w:hAnsi="Arial Narrow"/>
                <w:sz w:val="20"/>
                <w:szCs w:val="20"/>
              </w:rPr>
              <w:t>A patient may qualify for PBS-subsidised treatment under this restriction once only. For continuing PBS-subsidised treatment, a Grandfathered patient must qualify under the Continuing treatment criteria.</w:t>
            </w:r>
          </w:p>
          <w:p w:rsidR="00C45F2D" w:rsidRPr="00D34003" w:rsidRDefault="00C45F2D" w:rsidP="00C45F2D">
            <w:pPr>
              <w:rPr>
                <w:rFonts w:ascii="Arial Narrow" w:hAnsi="Arial Narrow"/>
                <w:color w:val="000000"/>
                <w:sz w:val="20"/>
                <w:szCs w:val="20"/>
              </w:rPr>
            </w:pPr>
          </w:p>
          <w:p w:rsidR="002864EC" w:rsidRPr="00D34003" w:rsidRDefault="00C45F2D" w:rsidP="00C45F2D">
            <w:pPr>
              <w:rPr>
                <w:rFonts w:ascii="Arial Narrow" w:hAnsi="Arial Narrow"/>
                <w:color w:val="000000"/>
                <w:sz w:val="20"/>
                <w:szCs w:val="20"/>
              </w:rPr>
            </w:pPr>
            <w:r w:rsidRPr="00D34003">
              <w:rPr>
                <w:rFonts w:ascii="Arial Narrow" w:hAnsi="Arial Narrow"/>
                <w:color w:val="000000"/>
                <w:sz w:val="20"/>
                <w:szCs w:val="20"/>
              </w:rPr>
              <w:t>Special Pricing Arrangements apply.</w:t>
            </w:r>
          </w:p>
        </w:tc>
      </w:tr>
    </w:tbl>
    <w:p w:rsidR="00680C1E" w:rsidRPr="00680C1E" w:rsidRDefault="00680C1E" w:rsidP="00680C1E">
      <w:pPr>
        <w:numPr>
          <w:ilvl w:val="0"/>
          <w:numId w:val="1"/>
        </w:numPr>
        <w:spacing w:before="240" w:after="120"/>
        <w:outlineLvl w:val="0"/>
        <w:rPr>
          <w:rFonts w:asciiTheme="minorHAnsi" w:hAnsiTheme="minorHAnsi"/>
          <w:b/>
          <w:bCs/>
          <w:sz w:val="32"/>
        </w:rPr>
      </w:pPr>
      <w:r w:rsidRPr="00680C1E">
        <w:rPr>
          <w:rFonts w:asciiTheme="minorHAnsi" w:hAnsiTheme="minorHAnsi"/>
          <w:b/>
          <w:bCs/>
          <w:sz w:val="32"/>
        </w:rPr>
        <w:t xml:space="preserve">Context for Decision </w:t>
      </w:r>
    </w:p>
    <w:p w:rsidR="00680C1E" w:rsidRPr="00C07617" w:rsidRDefault="00680C1E" w:rsidP="00680C1E">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97074" w:rsidRDefault="00A97074" w:rsidP="00A97074"/>
    <w:p w:rsidR="00A97074" w:rsidRPr="00A97074" w:rsidRDefault="00A97074" w:rsidP="00311F72">
      <w:pPr>
        <w:pStyle w:val="PBACHeading1"/>
        <w:spacing w:after="120"/>
        <w:outlineLvl w:val="0"/>
      </w:pPr>
      <w:r>
        <w:t>Sponsor’s Comment</w:t>
      </w:r>
    </w:p>
    <w:p w:rsidR="00A51038" w:rsidRPr="008C5DED" w:rsidRDefault="00A97074" w:rsidP="008C5DED">
      <w:pPr>
        <w:spacing w:after="120"/>
        <w:rPr>
          <w:rFonts w:asciiTheme="minorHAnsi" w:hAnsiTheme="minorHAnsi"/>
          <w:bCs/>
        </w:rPr>
      </w:pPr>
      <w:r w:rsidRPr="00C07617">
        <w:rPr>
          <w:rFonts w:asciiTheme="minorHAnsi" w:hAnsiTheme="minorHAnsi"/>
          <w:bCs/>
        </w:rPr>
        <w:t>The sponsor had no comment.</w:t>
      </w:r>
    </w:p>
    <w:sectPr w:rsidR="00A51038" w:rsidRPr="008C5DED" w:rsidSect="00DD1637">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FFE206" w15:done="0"/>
  <w15:commentEx w15:paraId="6F9BB605" w15:done="0"/>
  <w15:commentEx w15:paraId="760FB9CC" w15:done="0"/>
  <w15:commentEx w15:paraId="5BB9A49B" w15:done="0"/>
  <w15:commentEx w15:paraId="6BC642BF" w15:done="0"/>
  <w15:commentEx w15:paraId="5F3DAA43" w15:done="0"/>
  <w15:commentEx w15:paraId="5ADE5951" w15:done="0"/>
  <w15:commentEx w15:paraId="5DD3BEFC" w15:done="0"/>
  <w15:commentEx w15:paraId="09DF0FA1" w15:done="0"/>
  <w15:commentEx w15:paraId="43A39CAC" w15:done="0"/>
  <w15:commentEx w15:paraId="2C851F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FE206" w16cid:durableId="1F00AEF1"/>
  <w16cid:commentId w16cid:paraId="6F9BB605" w16cid:durableId="1F0090E7"/>
  <w16cid:commentId w16cid:paraId="760FB9CC" w16cid:durableId="1F00926B"/>
  <w16cid:commentId w16cid:paraId="5BB9A49B" w16cid:durableId="1F00975D"/>
  <w16cid:commentId w16cid:paraId="6BC642BF" w16cid:durableId="1F00974D"/>
  <w16cid:commentId w16cid:paraId="5F3DAA43" w16cid:durableId="1F0090E8"/>
  <w16cid:commentId w16cid:paraId="5DD3BEFC" w16cid:durableId="1F00B071"/>
  <w16cid:commentId w16cid:paraId="09DF0FA1" w16cid:durableId="1F0090E9"/>
  <w16cid:commentId w16cid:paraId="43A39CAC" w16cid:durableId="1F0090EA"/>
  <w16cid:commentId w16cid:paraId="2C851FE3" w16cid:durableId="1F00AD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5F" w:rsidRDefault="00680B5F" w:rsidP="00124A51">
      <w:r>
        <w:separator/>
      </w:r>
    </w:p>
    <w:p w:rsidR="00680B5F" w:rsidRDefault="00680B5F"/>
  </w:endnote>
  <w:endnote w:type="continuationSeparator" w:id="0">
    <w:p w:rsidR="00680B5F" w:rsidRDefault="00680B5F" w:rsidP="00124A51">
      <w:r>
        <w:continuationSeparator/>
      </w:r>
    </w:p>
    <w:p w:rsidR="00680B5F" w:rsidRDefault="00680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00"/>
    <w:family w:val="roman"/>
    <w:notTrueType/>
    <w:pitch w:val="default"/>
    <w:sig w:usb0="00000001"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5F" w:rsidRDefault="00680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5F" w:rsidRDefault="00680B5F" w:rsidP="00DF28B7">
    <w:pPr>
      <w:pStyle w:val="Footer"/>
      <w:jc w:val="center"/>
    </w:pPr>
  </w:p>
  <w:p w:rsidR="00680B5F" w:rsidRPr="007C1CD9" w:rsidRDefault="00680B5F" w:rsidP="00DF28B7">
    <w:pPr>
      <w:ind w:right="360"/>
      <w:jc w:val="center"/>
      <w:rPr>
        <w:szCs w:val="24"/>
      </w:rPr>
    </w:pPr>
    <w:r w:rsidRPr="00643B89">
      <w:rPr>
        <w:szCs w:val="24"/>
      </w:rPr>
      <w:fldChar w:fldCharType="begin"/>
    </w:r>
    <w:r w:rsidRPr="00643B89">
      <w:rPr>
        <w:szCs w:val="24"/>
      </w:rPr>
      <w:instrText xml:space="preserve"> PAGE   \* MERGEFORMAT </w:instrText>
    </w:r>
    <w:r w:rsidRPr="00643B89">
      <w:rPr>
        <w:szCs w:val="24"/>
      </w:rPr>
      <w:fldChar w:fldCharType="separate"/>
    </w:r>
    <w:r w:rsidR="00A32671">
      <w:rPr>
        <w:noProof/>
        <w:szCs w:val="24"/>
      </w:rPr>
      <w:t>35</w:t>
    </w:r>
    <w:r w:rsidRPr="00643B89">
      <w:rPr>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5F" w:rsidRDefault="0068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5F" w:rsidRDefault="00680B5F" w:rsidP="00124A51">
      <w:r>
        <w:separator/>
      </w:r>
    </w:p>
    <w:p w:rsidR="00680B5F" w:rsidRDefault="00680B5F"/>
  </w:footnote>
  <w:footnote w:type="continuationSeparator" w:id="0">
    <w:p w:rsidR="00680B5F" w:rsidRDefault="00680B5F" w:rsidP="00124A51">
      <w:r>
        <w:continuationSeparator/>
      </w:r>
    </w:p>
    <w:p w:rsidR="00680B5F" w:rsidRDefault="00680B5F"/>
  </w:footnote>
  <w:footnote w:id="1">
    <w:p w:rsidR="00680B5F" w:rsidRPr="00CA64E1" w:rsidRDefault="00680B5F">
      <w:pPr>
        <w:pStyle w:val="FootnoteText"/>
        <w:rPr>
          <w:rFonts w:cstheme="minorHAnsi"/>
        </w:rPr>
      </w:pPr>
      <w:r w:rsidRPr="00CA64E1">
        <w:rPr>
          <w:rStyle w:val="FootnoteReference"/>
          <w:rFonts w:cstheme="minorHAnsi"/>
        </w:rPr>
        <w:footnoteRef/>
      </w:r>
      <w:r w:rsidRPr="00CA64E1">
        <w:rPr>
          <w:rFonts w:cstheme="minorHAnsi"/>
        </w:rPr>
        <w:t xml:space="preserve"> </w:t>
      </w:r>
      <w:proofErr w:type="gramStart"/>
      <w:r w:rsidRPr="00CA64E1">
        <w:rPr>
          <w:rFonts w:cstheme="minorHAnsi"/>
        </w:rPr>
        <w:t>US Food and Drug Administration (2018).</w:t>
      </w:r>
      <w:proofErr w:type="gramEnd"/>
      <w:r w:rsidRPr="00CA64E1">
        <w:rPr>
          <w:rFonts w:cstheme="minorHAnsi"/>
        </w:rPr>
        <w:t xml:space="preserve"> </w:t>
      </w:r>
      <w:proofErr w:type="spellStart"/>
      <w:r w:rsidRPr="00CA64E1">
        <w:rPr>
          <w:rFonts w:cstheme="minorHAnsi"/>
          <w:color w:val="333333"/>
          <w:lang w:val="en"/>
        </w:rPr>
        <w:t>Keytruda</w:t>
      </w:r>
      <w:proofErr w:type="spellEnd"/>
      <w:r w:rsidRPr="00CA64E1">
        <w:rPr>
          <w:rFonts w:cstheme="minorHAnsi"/>
          <w:color w:val="333333"/>
          <w:lang w:val="en"/>
        </w:rPr>
        <w:t xml:space="preserve"> (pembrolizumab) or </w:t>
      </w:r>
      <w:proofErr w:type="spellStart"/>
      <w:r w:rsidRPr="00CA64E1">
        <w:rPr>
          <w:rFonts w:cstheme="minorHAnsi"/>
          <w:color w:val="333333"/>
          <w:lang w:val="en"/>
        </w:rPr>
        <w:t>Tecentriq</w:t>
      </w:r>
      <w:proofErr w:type="spellEnd"/>
      <w:r w:rsidRPr="00CA64E1">
        <w:rPr>
          <w:rFonts w:cstheme="minorHAnsi"/>
          <w:color w:val="333333"/>
          <w:lang w:val="en"/>
        </w:rPr>
        <w:t xml:space="preserve"> (</w:t>
      </w:r>
      <w:proofErr w:type="spellStart"/>
      <w:r w:rsidRPr="00CA64E1">
        <w:rPr>
          <w:rFonts w:cstheme="minorHAnsi"/>
          <w:color w:val="333333"/>
          <w:lang w:val="en"/>
        </w:rPr>
        <w:t>atezolizumab</w:t>
      </w:r>
      <w:proofErr w:type="spellEnd"/>
      <w:r w:rsidRPr="00CA64E1">
        <w:rPr>
          <w:rFonts w:cstheme="minorHAnsi"/>
          <w:color w:val="333333"/>
          <w:lang w:val="en"/>
        </w:rPr>
        <w:t xml:space="preserve">): FDA Alerts Health Care Professionals and Investigators: FDA Statement - Decreased Survival in Some Patients in Clinical Trials Associated with Monotherapy. </w:t>
      </w:r>
      <w:hyperlink r:id="rId1" w:history="1">
        <w:r w:rsidRPr="00CA64E1">
          <w:rPr>
            <w:rStyle w:val="Hyperlink"/>
            <w:rFonts w:cstheme="minorHAnsi"/>
            <w:lang w:val="en"/>
          </w:rPr>
          <w:t>https://www.fda.gov/Safety/MedWatch/SafetyInformation/SafetyAlertsforHumanMedicalProducts/ucm608253.htm</w:t>
        </w:r>
      </w:hyperlink>
    </w:p>
  </w:footnote>
  <w:footnote w:id="2">
    <w:p w:rsidR="00680B5F" w:rsidRPr="00CA64E1" w:rsidRDefault="00680B5F">
      <w:pPr>
        <w:pStyle w:val="FootnoteText"/>
        <w:rPr>
          <w:rFonts w:cstheme="minorHAnsi"/>
          <w:color w:val="004480"/>
          <w:szCs w:val="18"/>
          <w:u w:val="single"/>
        </w:rPr>
      </w:pPr>
      <w:r w:rsidRPr="00CA64E1">
        <w:rPr>
          <w:rStyle w:val="FootnoteReference"/>
          <w:rFonts w:cstheme="minorHAnsi"/>
        </w:rPr>
        <w:footnoteRef/>
      </w:r>
      <w:r w:rsidRPr="00CA64E1">
        <w:rPr>
          <w:rFonts w:cstheme="minorHAnsi"/>
        </w:rPr>
        <w:t xml:space="preserve"> </w:t>
      </w:r>
      <w:proofErr w:type="gramStart"/>
      <w:r w:rsidRPr="00CA64E1">
        <w:rPr>
          <w:rFonts w:cstheme="minorHAnsi"/>
        </w:rPr>
        <w:t>Gourd E (2018).</w:t>
      </w:r>
      <w:proofErr w:type="gramEnd"/>
      <w:r w:rsidRPr="00CA64E1">
        <w:rPr>
          <w:rFonts w:cstheme="minorHAnsi"/>
        </w:rPr>
        <w:t xml:space="preserve"> </w:t>
      </w:r>
      <w:r w:rsidRPr="00CA64E1">
        <w:rPr>
          <w:rFonts w:cstheme="minorHAnsi"/>
          <w:lang w:val="en"/>
        </w:rPr>
        <w:t xml:space="preserve">EMA restricts use of anti-PD-1 drugs for bladder cancer. </w:t>
      </w:r>
      <w:r w:rsidRPr="00CA64E1">
        <w:rPr>
          <w:rFonts w:cstheme="minorHAnsi"/>
          <w:i/>
          <w:lang w:val="en"/>
        </w:rPr>
        <w:t xml:space="preserve">Lancet Oncology 19, 7:e341, DOI: </w:t>
      </w:r>
      <w:hyperlink r:id="rId2" w:history="1">
        <w:r w:rsidRPr="00CA64E1">
          <w:rPr>
            <w:rStyle w:val="Hyperlink"/>
            <w:rFonts w:cstheme="minorHAnsi"/>
            <w:color w:val="004480"/>
            <w:szCs w:val="18"/>
          </w:rPr>
          <w:t>https://doi.org/10.1016/S1470-2045(18)30433-9</w:t>
        </w:r>
      </w:hyperlink>
    </w:p>
  </w:footnote>
  <w:footnote w:id="3">
    <w:p w:rsidR="00680B5F" w:rsidRDefault="00680B5F">
      <w:pPr>
        <w:pStyle w:val="FootnoteText"/>
      </w:pPr>
      <w:r w:rsidRPr="00CA64E1">
        <w:rPr>
          <w:rStyle w:val="FootnoteReference"/>
          <w:rFonts w:cstheme="minorHAnsi"/>
        </w:rPr>
        <w:footnoteRef/>
      </w:r>
      <w:r w:rsidRPr="00CA64E1">
        <w:rPr>
          <w:rFonts w:cstheme="minorHAnsi"/>
        </w:rPr>
        <w:t xml:space="preserve"> </w:t>
      </w:r>
      <w:proofErr w:type="gramStart"/>
      <w:r w:rsidRPr="00CA64E1">
        <w:rPr>
          <w:rFonts w:cstheme="minorHAnsi"/>
        </w:rPr>
        <w:t>European Medicines Agency (2018).</w:t>
      </w:r>
      <w:proofErr w:type="gramEnd"/>
      <w:r w:rsidRPr="00CA64E1">
        <w:rPr>
          <w:rFonts w:cstheme="minorHAnsi"/>
        </w:rPr>
        <w:t xml:space="preserve"> EMA restricts use of </w:t>
      </w:r>
      <w:proofErr w:type="spellStart"/>
      <w:r w:rsidRPr="00CA64E1">
        <w:rPr>
          <w:rFonts w:cstheme="minorHAnsi"/>
        </w:rPr>
        <w:t>Keytruda</w:t>
      </w:r>
      <w:proofErr w:type="spellEnd"/>
      <w:r w:rsidRPr="00CA64E1">
        <w:rPr>
          <w:rFonts w:cstheme="minorHAnsi"/>
        </w:rPr>
        <w:t xml:space="preserve"> and </w:t>
      </w:r>
      <w:proofErr w:type="spellStart"/>
      <w:r w:rsidRPr="00CA64E1">
        <w:rPr>
          <w:rFonts w:cstheme="minorHAnsi"/>
        </w:rPr>
        <w:t>Tecentriq</w:t>
      </w:r>
      <w:proofErr w:type="spellEnd"/>
      <w:r w:rsidRPr="00CA64E1">
        <w:rPr>
          <w:rFonts w:cstheme="minorHAnsi"/>
        </w:rPr>
        <w:t xml:space="preserve"> in bladder cancer. </w:t>
      </w:r>
      <w:hyperlink r:id="rId3" w:history="1">
        <w:r w:rsidRPr="00CA64E1">
          <w:rPr>
            <w:rStyle w:val="Hyperlink"/>
            <w:rFonts w:cstheme="minorHAnsi"/>
          </w:rPr>
          <w:t>http://www.ema.europa.eu/docs/en_GB/document_library/Press_release/2018/05/WC500249798.pdf</w:t>
        </w:r>
      </w:hyperlink>
      <w:r>
        <w:t xml:space="preserve"> </w:t>
      </w:r>
    </w:p>
  </w:footnote>
  <w:footnote w:id="4">
    <w:p w:rsidR="00680B5F" w:rsidRPr="000358B1" w:rsidRDefault="00680B5F">
      <w:pPr>
        <w:pStyle w:val="FootnoteText"/>
        <w:rPr>
          <w:sz w:val="24"/>
          <w:szCs w:val="24"/>
        </w:rPr>
      </w:pPr>
      <w:r w:rsidRPr="00070103">
        <w:rPr>
          <w:rStyle w:val="FootnoteReference"/>
          <w:sz w:val="22"/>
          <w:szCs w:val="24"/>
        </w:rPr>
        <w:footnoteRef/>
      </w:r>
      <w:r w:rsidRPr="00070103">
        <w:rPr>
          <w:sz w:val="22"/>
          <w:szCs w:val="24"/>
        </w:rPr>
        <w:t xml:space="preserve"> </w:t>
      </w:r>
      <w:proofErr w:type="spellStart"/>
      <w:r w:rsidRPr="00070103">
        <w:rPr>
          <w:bCs/>
          <w:sz w:val="22"/>
          <w:szCs w:val="24"/>
        </w:rPr>
        <w:t>Cherny</w:t>
      </w:r>
      <w:proofErr w:type="spellEnd"/>
      <w:r w:rsidRPr="00070103">
        <w:rPr>
          <w:bCs/>
          <w:sz w:val="22"/>
          <w:szCs w:val="24"/>
        </w:rPr>
        <w:t xml:space="preserve"> NI, Dafni U, </w:t>
      </w:r>
      <w:proofErr w:type="spellStart"/>
      <w:r w:rsidRPr="00070103">
        <w:rPr>
          <w:bCs/>
          <w:sz w:val="22"/>
          <w:szCs w:val="24"/>
        </w:rPr>
        <w:t>Bogaerts</w:t>
      </w:r>
      <w:proofErr w:type="spellEnd"/>
      <w:r w:rsidRPr="00070103">
        <w:rPr>
          <w:bCs/>
          <w:sz w:val="22"/>
          <w:szCs w:val="24"/>
        </w:rPr>
        <w:t xml:space="preserve"> J, et al: ESMO-Magnitude of Clinical Benefit Scale version 1.1. Annals of Oncology 28:2340-2366, 2017</w:t>
      </w:r>
    </w:p>
  </w:footnote>
  <w:footnote w:id="5">
    <w:p w:rsidR="00680B5F" w:rsidRDefault="00680B5F">
      <w:pPr>
        <w:pStyle w:val="FootnoteText"/>
      </w:pPr>
      <w:r>
        <w:rPr>
          <w:rStyle w:val="FootnoteReference"/>
        </w:rPr>
        <w:footnoteRef/>
      </w:r>
      <w:r>
        <w:t xml:space="preserve"> </w:t>
      </w:r>
      <w:proofErr w:type="spellStart"/>
      <w:r>
        <w:t>Andreassen</w:t>
      </w:r>
      <w:proofErr w:type="spellEnd"/>
      <w:r>
        <w:t xml:space="preserve"> BK, </w:t>
      </w:r>
      <w:proofErr w:type="spellStart"/>
      <w:r>
        <w:t>Myklebust</w:t>
      </w:r>
      <w:proofErr w:type="spellEnd"/>
      <w:r>
        <w:t xml:space="preserve"> TA</w:t>
      </w:r>
      <w:r w:rsidRPr="00EC5D0E">
        <w:t xml:space="preserve">, </w:t>
      </w:r>
      <w:proofErr w:type="spellStart"/>
      <w:r w:rsidRPr="00EC5D0E">
        <w:t>Haug</w:t>
      </w:r>
      <w:proofErr w:type="spellEnd"/>
      <w:r w:rsidRPr="00EC5D0E">
        <w:t xml:space="preserve"> ES</w:t>
      </w:r>
      <w:r>
        <w:t xml:space="preserve">, </w:t>
      </w:r>
      <w:r w:rsidRPr="00EC5D0E">
        <w:t xml:space="preserve">Crude mortality and loss of life expectancy of patients diagnosed with urothelial carcinoma of the urinary bladder in Norway. </w:t>
      </w:r>
      <w:proofErr w:type="spellStart"/>
      <w:r w:rsidRPr="00EC5D0E">
        <w:t>Scand</w:t>
      </w:r>
      <w:proofErr w:type="spellEnd"/>
      <w:r w:rsidRPr="00EC5D0E">
        <w:t xml:space="preserve"> J Urol. 2017 Feb</w:t>
      </w:r>
      <w:proofErr w:type="gramStart"/>
      <w:r w:rsidRPr="00EC5D0E">
        <w:t>;51</w:t>
      </w:r>
      <w:proofErr w:type="gramEnd"/>
      <w:r w:rsidRPr="00EC5D0E">
        <w:t>(1):38-43.</w:t>
      </w:r>
    </w:p>
  </w:footnote>
  <w:footnote w:id="6">
    <w:p w:rsidR="00680B5F" w:rsidRPr="00660C09" w:rsidRDefault="00680B5F" w:rsidP="00660C09">
      <w:pPr>
        <w:pStyle w:val="FootnoteText"/>
        <w:rPr>
          <w:rFonts w:cstheme="minorHAnsi"/>
        </w:rPr>
      </w:pPr>
      <w:r w:rsidRPr="00660C09">
        <w:rPr>
          <w:rStyle w:val="FootnoteReference"/>
          <w:rFonts w:cstheme="minorHAnsi"/>
        </w:rPr>
        <w:footnoteRef/>
      </w:r>
      <w:r w:rsidRPr="00660C09">
        <w:rPr>
          <w:rFonts w:cstheme="minorHAnsi"/>
        </w:rPr>
        <w:t xml:space="preserve"> </w:t>
      </w:r>
      <w:proofErr w:type="gramStart"/>
      <w:r w:rsidRPr="00660C09">
        <w:rPr>
          <w:rFonts w:cstheme="minorHAnsi"/>
        </w:rPr>
        <w:t>US Food and Drug Administration (2018).</w:t>
      </w:r>
      <w:proofErr w:type="gramEnd"/>
      <w:r w:rsidRPr="00660C09">
        <w:rPr>
          <w:rFonts w:cstheme="minorHAnsi"/>
        </w:rPr>
        <w:t xml:space="preserve"> </w:t>
      </w:r>
      <w:proofErr w:type="spellStart"/>
      <w:r w:rsidRPr="00660C09">
        <w:rPr>
          <w:rFonts w:cstheme="minorHAnsi"/>
          <w:color w:val="333333"/>
          <w:lang w:val="en"/>
        </w:rPr>
        <w:t>Keytruda</w:t>
      </w:r>
      <w:proofErr w:type="spellEnd"/>
      <w:r w:rsidRPr="00660C09">
        <w:rPr>
          <w:rFonts w:cstheme="minorHAnsi"/>
          <w:color w:val="333333"/>
          <w:lang w:val="en"/>
        </w:rPr>
        <w:t xml:space="preserve"> (pembrolizumab) or </w:t>
      </w:r>
      <w:proofErr w:type="spellStart"/>
      <w:r w:rsidRPr="00660C09">
        <w:rPr>
          <w:rFonts w:cstheme="minorHAnsi"/>
          <w:color w:val="333333"/>
          <w:lang w:val="en"/>
        </w:rPr>
        <w:t>Tecentriq</w:t>
      </w:r>
      <w:proofErr w:type="spellEnd"/>
      <w:r w:rsidRPr="00660C09">
        <w:rPr>
          <w:rFonts w:cstheme="minorHAnsi"/>
          <w:color w:val="333333"/>
          <w:lang w:val="en"/>
        </w:rPr>
        <w:t xml:space="preserve"> (</w:t>
      </w:r>
      <w:proofErr w:type="spellStart"/>
      <w:r w:rsidRPr="00660C09">
        <w:rPr>
          <w:rFonts w:cstheme="minorHAnsi"/>
          <w:color w:val="333333"/>
          <w:lang w:val="en"/>
        </w:rPr>
        <w:t>atezolizumab</w:t>
      </w:r>
      <w:proofErr w:type="spellEnd"/>
      <w:r w:rsidRPr="00660C09">
        <w:rPr>
          <w:rFonts w:cstheme="minorHAnsi"/>
          <w:color w:val="333333"/>
          <w:lang w:val="en"/>
        </w:rPr>
        <w:t xml:space="preserve">): FDA Alerts Health Care Professionals and Investigators: FDA Statement - Decreased Survival in Some Patients in Clinical Trials Associated with Monotherapy. </w:t>
      </w:r>
      <w:hyperlink r:id="rId4" w:history="1">
        <w:r w:rsidRPr="00660C09">
          <w:rPr>
            <w:rStyle w:val="Hyperlink"/>
            <w:rFonts w:cstheme="minorHAnsi"/>
            <w:lang w:val="en"/>
          </w:rPr>
          <w:t>https://www.fda.gov/Safety/MedWatch/SafetyInformation/SafetyAlertsforHumanMedicalProducts/ucm608253.htm</w:t>
        </w:r>
      </w:hyperlink>
    </w:p>
  </w:footnote>
  <w:footnote w:id="7">
    <w:p w:rsidR="00680B5F" w:rsidRPr="00660C09" w:rsidRDefault="00680B5F" w:rsidP="00660C09">
      <w:pPr>
        <w:pStyle w:val="FootnoteText"/>
        <w:rPr>
          <w:rFonts w:cstheme="minorHAnsi"/>
        </w:rPr>
      </w:pPr>
      <w:r w:rsidRPr="00660C09">
        <w:rPr>
          <w:rStyle w:val="FootnoteReference"/>
          <w:rFonts w:cstheme="minorHAnsi"/>
        </w:rPr>
        <w:footnoteRef/>
      </w:r>
      <w:r w:rsidRPr="00660C09">
        <w:rPr>
          <w:rFonts w:cstheme="minorHAnsi"/>
        </w:rPr>
        <w:t xml:space="preserve"> </w:t>
      </w:r>
      <w:proofErr w:type="gramStart"/>
      <w:r w:rsidRPr="00660C09">
        <w:rPr>
          <w:rFonts w:cstheme="minorHAnsi"/>
        </w:rPr>
        <w:t>Gourd E (2018).</w:t>
      </w:r>
      <w:proofErr w:type="gramEnd"/>
      <w:r w:rsidRPr="00660C09">
        <w:rPr>
          <w:rFonts w:cstheme="minorHAnsi"/>
        </w:rPr>
        <w:t xml:space="preserve"> </w:t>
      </w:r>
      <w:r w:rsidRPr="00660C09">
        <w:rPr>
          <w:rFonts w:cstheme="minorHAnsi"/>
          <w:lang w:val="en"/>
        </w:rPr>
        <w:t xml:space="preserve">EMA restricts use of anti-PD-1 drugs for bladder cancer. </w:t>
      </w:r>
      <w:r w:rsidRPr="00660C09">
        <w:rPr>
          <w:rFonts w:cstheme="minorHAnsi"/>
          <w:i/>
          <w:lang w:val="en"/>
        </w:rPr>
        <w:t xml:space="preserve">Lancet Oncology 19, 7:e341, DOI: </w:t>
      </w:r>
      <w:hyperlink r:id="rId5" w:history="1">
        <w:r w:rsidRPr="00660C09">
          <w:rPr>
            <w:rStyle w:val="Hyperlink"/>
            <w:rFonts w:cstheme="minorHAnsi"/>
            <w:color w:val="004480"/>
            <w:szCs w:val="18"/>
          </w:rPr>
          <w:t>https://doi.org/10.1016/S1470-2045(18)30433-9</w:t>
        </w:r>
      </w:hyperlink>
    </w:p>
  </w:footnote>
  <w:footnote w:id="8">
    <w:p w:rsidR="00680B5F" w:rsidRDefault="00680B5F">
      <w:pPr>
        <w:pStyle w:val="FootnoteText"/>
      </w:pPr>
      <w:r w:rsidRPr="00660C09">
        <w:rPr>
          <w:rStyle w:val="FootnoteReference"/>
          <w:rFonts w:cstheme="minorHAnsi"/>
        </w:rPr>
        <w:footnoteRef/>
      </w:r>
      <w:r w:rsidRPr="00660C09">
        <w:rPr>
          <w:rFonts w:cstheme="minorHAnsi"/>
        </w:rPr>
        <w:t xml:space="preserve"> </w:t>
      </w:r>
      <w:proofErr w:type="gramStart"/>
      <w:r w:rsidRPr="00660C09">
        <w:rPr>
          <w:rFonts w:cstheme="minorHAnsi"/>
        </w:rPr>
        <w:t>European Medicines Agency (2018).</w:t>
      </w:r>
      <w:proofErr w:type="gramEnd"/>
      <w:r w:rsidRPr="00660C09">
        <w:rPr>
          <w:rFonts w:cstheme="minorHAnsi"/>
        </w:rPr>
        <w:t xml:space="preserve"> EMA restricts use of </w:t>
      </w:r>
      <w:proofErr w:type="spellStart"/>
      <w:r w:rsidRPr="00660C09">
        <w:rPr>
          <w:rFonts w:cstheme="minorHAnsi"/>
        </w:rPr>
        <w:t>Keytruda</w:t>
      </w:r>
      <w:proofErr w:type="spellEnd"/>
      <w:r w:rsidRPr="00660C09">
        <w:rPr>
          <w:rFonts w:cstheme="minorHAnsi"/>
        </w:rPr>
        <w:t xml:space="preserve"> and </w:t>
      </w:r>
      <w:proofErr w:type="spellStart"/>
      <w:r w:rsidRPr="00660C09">
        <w:rPr>
          <w:rFonts w:cstheme="minorHAnsi"/>
        </w:rPr>
        <w:t>Tecentriq</w:t>
      </w:r>
      <w:proofErr w:type="spellEnd"/>
      <w:r w:rsidRPr="00660C09">
        <w:rPr>
          <w:rFonts w:cstheme="minorHAnsi"/>
        </w:rPr>
        <w:t xml:space="preserve"> in bladder cancer. </w:t>
      </w:r>
      <w:hyperlink r:id="rId6" w:history="1">
        <w:r w:rsidRPr="00660C09">
          <w:rPr>
            <w:rStyle w:val="Hyperlink"/>
            <w:rFonts w:cstheme="minorHAnsi"/>
          </w:rPr>
          <w:t>http://www.ema.europa.eu/docs/en_GB/document_library/Press_release/2018/05/WC500249798.pdf</w:t>
        </w:r>
      </w:hyperlink>
    </w:p>
  </w:footnote>
  <w:footnote w:id="9">
    <w:p w:rsidR="00680B5F" w:rsidRPr="00660C09" w:rsidRDefault="00680B5F" w:rsidP="00735AF3">
      <w:pPr>
        <w:pStyle w:val="FootnoteText"/>
        <w:rPr>
          <w:rFonts w:cstheme="minorHAnsi"/>
        </w:rPr>
      </w:pPr>
      <w:r w:rsidRPr="00660C09">
        <w:rPr>
          <w:rStyle w:val="FootnoteReference"/>
          <w:rFonts w:cstheme="minorHAnsi"/>
        </w:rPr>
        <w:footnoteRef/>
      </w:r>
      <w:r w:rsidRPr="00660C09">
        <w:rPr>
          <w:rFonts w:cstheme="minorHAnsi"/>
        </w:rPr>
        <w:t xml:space="preserve"> </w:t>
      </w:r>
      <w:proofErr w:type="gramStart"/>
      <w:r w:rsidRPr="00660C09">
        <w:rPr>
          <w:rFonts w:cstheme="minorHAnsi"/>
        </w:rPr>
        <w:t>US Food and Drug Administration (2018).</w:t>
      </w:r>
      <w:proofErr w:type="gramEnd"/>
      <w:r w:rsidRPr="00660C09">
        <w:rPr>
          <w:rFonts w:cstheme="minorHAnsi"/>
        </w:rPr>
        <w:t xml:space="preserve"> </w:t>
      </w:r>
      <w:proofErr w:type="spellStart"/>
      <w:r w:rsidRPr="00660C09">
        <w:rPr>
          <w:rFonts w:cstheme="minorHAnsi"/>
          <w:color w:val="333333"/>
          <w:lang w:val="en"/>
        </w:rPr>
        <w:t>Keytruda</w:t>
      </w:r>
      <w:proofErr w:type="spellEnd"/>
      <w:r w:rsidRPr="00660C09">
        <w:rPr>
          <w:rFonts w:cstheme="minorHAnsi"/>
          <w:color w:val="333333"/>
          <w:lang w:val="en"/>
        </w:rPr>
        <w:t xml:space="preserve"> (pembrolizumab) or </w:t>
      </w:r>
      <w:proofErr w:type="spellStart"/>
      <w:r w:rsidRPr="00660C09">
        <w:rPr>
          <w:rFonts w:cstheme="minorHAnsi"/>
          <w:color w:val="333333"/>
          <w:lang w:val="en"/>
        </w:rPr>
        <w:t>Tecentriq</w:t>
      </w:r>
      <w:proofErr w:type="spellEnd"/>
      <w:r w:rsidRPr="00660C09">
        <w:rPr>
          <w:rFonts w:cstheme="minorHAnsi"/>
          <w:color w:val="333333"/>
          <w:lang w:val="en"/>
        </w:rPr>
        <w:t xml:space="preserve"> (</w:t>
      </w:r>
      <w:proofErr w:type="spellStart"/>
      <w:r w:rsidRPr="00660C09">
        <w:rPr>
          <w:rFonts w:cstheme="minorHAnsi"/>
          <w:color w:val="333333"/>
          <w:lang w:val="en"/>
        </w:rPr>
        <w:t>atezolizumab</w:t>
      </w:r>
      <w:proofErr w:type="spellEnd"/>
      <w:r w:rsidRPr="00660C09">
        <w:rPr>
          <w:rFonts w:cstheme="minorHAnsi"/>
          <w:color w:val="333333"/>
          <w:lang w:val="en"/>
        </w:rPr>
        <w:t xml:space="preserve">): FDA Alerts Health Care Professionals and Investigators: FDA Statement - Decreased Survival in Some Patients in Clinical Trials Associated with Monotherapy. </w:t>
      </w:r>
      <w:hyperlink r:id="rId7" w:history="1">
        <w:r w:rsidRPr="00660C09">
          <w:rPr>
            <w:rStyle w:val="Hyperlink"/>
            <w:rFonts w:cstheme="minorHAnsi"/>
            <w:lang w:val="en"/>
          </w:rPr>
          <w:t>https://www.fda.gov/Safety/MedWatch/SafetyInformation/SafetyAlertsforHumanMedicalProducts/ucm608253.htm</w:t>
        </w:r>
      </w:hyperlink>
    </w:p>
  </w:footnote>
  <w:footnote w:id="10">
    <w:p w:rsidR="00680B5F" w:rsidRPr="00660C09" w:rsidRDefault="00680B5F" w:rsidP="00735AF3">
      <w:pPr>
        <w:pStyle w:val="FootnoteText"/>
        <w:rPr>
          <w:rFonts w:cstheme="minorHAnsi"/>
        </w:rPr>
      </w:pPr>
      <w:r w:rsidRPr="00660C09">
        <w:rPr>
          <w:rStyle w:val="FootnoteReference"/>
          <w:rFonts w:cstheme="minorHAnsi"/>
        </w:rPr>
        <w:footnoteRef/>
      </w:r>
      <w:r w:rsidRPr="00660C09">
        <w:rPr>
          <w:rFonts w:cstheme="minorHAnsi"/>
        </w:rPr>
        <w:t xml:space="preserve"> </w:t>
      </w:r>
      <w:proofErr w:type="gramStart"/>
      <w:r w:rsidRPr="00660C09">
        <w:rPr>
          <w:rFonts w:cstheme="minorHAnsi"/>
        </w:rPr>
        <w:t>Gourd E (2018).</w:t>
      </w:r>
      <w:proofErr w:type="gramEnd"/>
      <w:r w:rsidRPr="00660C09">
        <w:rPr>
          <w:rFonts w:cstheme="minorHAnsi"/>
        </w:rPr>
        <w:t xml:space="preserve"> </w:t>
      </w:r>
      <w:r w:rsidRPr="00660C09">
        <w:rPr>
          <w:rFonts w:cstheme="minorHAnsi"/>
          <w:lang w:val="en"/>
        </w:rPr>
        <w:t xml:space="preserve">EMA restricts use of anti-PD-1 drugs for bladder cancer. </w:t>
      </w:r>
      <w:r w:rsidRPr="00660C09">
        <w:rPr>
          <w:rFonts w:cstheme="minorHAnsi"/>
          <w:i/>
          <w:lang w:val="en"/>
        </w:rPr>
        <w:t xml:space="preserve">Lancet Oncology 19, 7:e341, DOI: </w:t>
      </w:r>
      <w:hyperlink r:id="rId8" w:history="1">
        <w:r w:rsidRPr="00660C09">
          <w:rPr>
            <w:rStyle w:val="Hyperlink"/>
            <w:rFonts w:cstheme="minorHAnsi"/>
            <w:color w:val="004480"/>
            <w:szCs w:val="18"/>
          </w:rPr>
          <w:t>https://doi.org/10.1016/S1470-2045(18)30433-9</w:t>
        </w:r>
      </w:hyperlink>
    </w:p>
  </w:footnote>
  <w:footnote w:id="11">
    <w:p w:rsidR="00680B5F" w:rsidRDefault="00680B5F" w:rsidP="00735AF3">
      <w:pPr>
        <w:pStyle w:val="FootnoteText"/>
      </w:pPr>
      <w:r w:rsidRPr="00660C09">
        <w:rPr>
          <w:rStyle w:val="FootnoteReference"/>
          <w:rFonts w:cstheme="minorHAnsi"/>
        </w:rPr>
        <w:footnoteRef/>
      </w:r>
      <w:r w:rsidRPr="00660C09">
        <w:rPr>
          <w:rFonts w:cstheme="minorHAnsi"/>
        </w:rPr>
        <w:t xml:space="preserve"> </w:t>
      </w:r>
      <w:proofErr w:type="gramStart"/>
      <w:r w:rsidRPr="00660C09">
        <w:rPr>
          <w:rFonts w:cstheme="minorHAnsi"/>
        </w:rPr>
        <w:t>European Medicines Agency (2018).</w:t>
      </w:r>
      <w:proofErr w:type="gramEnd"/>
      <w:r w:rsidRPr="00660C09">
        <w:rPr>
          <w:rFonts w:cstheme="minorHAnsi"/>
        </w:rPr>
        <w:t xml:space="preserve"> EMA restricts use of </w:t>
      </w:r>
      <w:proofErr w:type="spellStart"/>
      <w:r w:rsidRPr="00660C09">
        <w:rPr>
          <w:rFonts w:cstheme="minorHAnsi"/>
        </w:rPr>
        <w:t>Keytruda</w:t>
      </w:r>
      <w:proofErr w:type="spellEnd"/>
      <w:r w:rsidRPr="00660C09">
        <w:rPr>
          <w:rFonts w:cstheme="minorHAnsi"/>
        </w:rPr>
        <w:t xml:space="preserve"> and </w:t>
      </w:r>
      <w:proofErr w:type="spellStart"/>
      <w:r w:rsidRPr="00660C09">
        <w:rPr>
          <w:rFonts w:cstheme="minorHAnsi"/>
        </w:rPr>
        <w:t>Tecentriq</w:t>
      </w:r>
      <w:proofErr w:type="spellEnd"/>
      <w:r w:rsidRPr="00660C09">
        <w:rPr>
          <w:rFonts w:cstheme="minorHAnsi"/>
        </w:rPr>
        <w:t xml:space="preserve"> in bladder cancer. </w:t>
      </w:r>
      <w:hyperlink r:id="rId9" w:history="1">
        <w:r w:rsidRPr="00660C09">
          <w:rPr>
            <w:rStyle w:val="Hyperlink"/>
            <w:rFonts w:cstheme="minorHAnsi"/>
          </w:rPr>
          <w:t>http://www.ema.europa.eu/docs/en_GB/document_library/Press_release/2018/05/WC500249798.pdf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5F" w:rsidRDefault="00680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5F" w:rsidRPr="006C0518" w:rsidRDefault="00680B5F" w:rsidP="006C0518">
    <w:pPr>
      <w:widowControl/>
      <w:tabs>
        <w:tab w:val="center" w:pos="4513"/>
        <w:tab w:val="right" w:pos="9026"/>
      </w:tabs>
      <w:jc w:val="center"/>
      <w:rPr>
        <w:rFonts w:asciiTheme="minorHAnsi" w:eastAsiaTheme="minorHAnsi" w:hAnsiTheme="minorHAnsi" w:cstheme="minorHAnsi"/>
        <w:i/>
        <w:snapToGrid/>
        <w:color w:val="808080"/>
        <w:sz w:val="22"/>
      </w:rPr>
    </w:pPr>
    <w:r w:rsidRPr="006C0518">
      <w:rPr>
        <w:rFonts w:asciiTheme="minorHAnsi" w:eastAsiaTheme="minorHAnsi" w:hAnsiTheme="minorHAnsi" w:cstheme="minorHAnsi"/>
        <w:i/>
        <w:snapToGrid/>
        <w:color w:val="808080"/>
        <w:sz w:val="22"/>
      </w:rPr>
      <w:t>Publ</w:t>
    </w:r>
    <w:r>
      <w:rPr>
        <w:rFonts w:asciiTheme="minorHAnsi" w:eastAsiaTheme="minorHAnsi" w:hAnsiTheme="minorHAnsi" w:cstheme="minorHAnsi"/>
        <w:i/>
        <w:snapToGrid/>
        <w:color w:val="808080"/>
        <w:sz w:val="22"/>
      </w:rPr>
      <w:t>ic Summary Document – July 2018</w:t>
    </w:r>
    <w:r w:rsidRPr="006C0518">
      <w:rPr>
        <w:rFonts w:asciiTheme="minorHAnsi" w:eastAsiaTheme="minorHAnsi" w:hAnsiTheme="minorHAnsi" w:cstheme="minorHAnsi"/>
        <w:i/>
        <w:snapToGrid/>
        <w:color w:val="808080"/>
        <w:sz w:val="22"/>
      </w:rPr>
      <w:t xml:space="preserve"> PBAC Meeting</w:t>
    </w:r>
  </w:p>
  <w:p w:rsidR="00680B5F" w:rsidRDefault="00680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5F" w:rsidRDefault="00680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866791"/>
    <w:multiLevelType w:val="hybridMultilevel"/>
    <w:tmpl w:val="0FF6B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5A0F16"/>
    <w:multiLevelType w:val="hybridMultilevel"/>
    <w:tmpl w:val="4E70ACD8"/>
    <w:lvl w:ilvl="0" w:tplc="C28E4D6A">
      <w:numFmt w:val="bullet"/>
      <w:lvlText w:val="-"/>
      <w:lvlJc w:val="left"/>
      <w:pPr>
        <w:ind w:left="720" w:hanging="360"/>
      </w:pPr>
      <w:rPr>
        <w:rFonts w:ascii="Courier New" w:eastAsia="Courier New" w:hAnsi="Courier New" w:cs="Courier New"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2106D79"/>
    <w:multiLevelType w:val="hybridMultilevel"/>
    <w:tmpl w:val="10A270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6B57B2"/>
    <w:multiLevelType w:val="hybridMultilevel"/>
    <w:tmpl w:val="CCB843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284E6825"/>
    <w:multiLevelType w:val="multilevel"/>
    <w:tmpl w:val="18A2853C"/>
    <w:lvl w:ilvl="0">
      <w:start w:val="1"/>
      <w:numFmt w:val="decimal"/>
      <w:lvlText w:val="%1"/>
      <w:lvlJc w:val="left"/>
      <w:pPr>
        <w:ind w:left="432" w:hanging="432"/>
      </w:pPr>
      <w:rPr>
        <w:rFonts w:hint="default"/>
        <w:b/>
        <w:i w:val="0"/>
      </w:rPr>
    </w:lvl>
    <w:lvl w:ilvl="1">
      <w:start w:val="1"/>
      <w:numFmt w:val="decimal"/>
      <w:lvlText w:val="%2."/>
      <w:lvlJc w:val="left"/>
      <w:pPr>
        <w:ind w:left="576" w:hanging="576"/>
      </w:pPr>
      <w:rPr>
        <w:rFonts w:ascii="Calibri" w:eastAsia="Times New Roman" w:hAnsi="Calibri"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445F4"/>
    <w:multiLevelType w:val="multilevel"/>
    <w:tmpl w:val="39304578"/>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ABF02A4"/>
    <w:multiLevelType w:val="hybridMultilevel"/>
    <w:tmpl w:val="03CAA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AC29A4"/>
    <w:multiLevelType w:val="hybridMultilevel"/>
    <w:tmpl w:val="48B0E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69E5A9B"/>
    <w:multiLevelType w:val="hybridMultilevel"/>
    <w:tmpl w:val="5D5C0B8E"/>
    <w:lvl w:ilvl="0" w:tplc="28580EA4">
      <w:start w:val="1"/>
      <w:numFmt w:val="bullet"/>
      <w:pStyle w:val="Tablebullets"/>
      <w:lvlText w:val=""/>
      <w:lvlJc w:val="left"/>
      <w:pPr>
        <w:ind w:left="360" w:hanging="360"/>
      </w:pPr>
      <w:rPr>
        <w:rFonts w:ascii="Symbol" w:hAnsi="Symbol" w:hint="default"/>
      </w:rPr>
    </w:lvl>
    <w:lvl w:ilvl="1" w:tplc="FE466306" w:tentative="1">
      <w:start w:val="1"/>
      <w:numFmt w:val="bullet"/>
      <w:lvlText w:val="o"/>
      <w:lvlJc w:val="left"/>
      <w:pPr>
        <w:ind w:left="1080" w:hanging="360"/>
      </w:pPr>
      <w:rPr>
        <w:rFonts w:ascii="Courier New" w:hAnsi="Courier New" w:hint="default"/>
      </w:rPr>
    </w:lvl>
    <w:lvl w:ilvl="2" w:tplc="39084632" w:tentative="1">
      <w:start w:val="1"/>
      <w:numFmt w:val="bullet"/>
      <w:lvlText w:val=""/>
      <w:lvlJc w:val="left"/>
      <w:pPr>
        <w:ind w:left="1800" w:hanging="360"/>
      </w:pPr>
      <w:rPr>
        <w:rFonts w:ascii="Wingdings" w:hAnsi="Wingdings" w:hint="default"/>
      </w:rPr>
    </w:lvl>
    <w:lvl w:ilvl="3" w:tplc="57EC5608" w:tentative="1">
      <w:start w:val="1"/>
      <w:numFmt w:val="bullet"/>
      <w:lvlText w:val=""/>
      <w:lvlJc w:val="left"/>
      <w:pPr>
        <w:ind w:left="2520" w:hanging="360"/>
      </w:pPr>
      <w:rPr>
        <w:rFonts w:ascii="Symbol" w:hAnsi="Symbol" w:hint="default"/>
      </w:rPr>
    </w:lvl>
    <w:lvl w:ilvl="4" w:tplc="C17E873A" w:tentative="1">
      <w:start w:val="1"/>
      <w:numFmt w:val="bullet"/>
      <w:lvlText w:val="o"/>
      <w:lvlJc w:val="left"/>
      <w:pPr>
        <w:ind w:left="3240" w:hanging="360"/>
      </w:pPr>
      <w:rPr>
        <w:rFonts w:ascii="Courier New" w:hAnsi="Courier New" w:hint="default"/>
      </w:rPr>
    </w:lvl>
    <w:lvl w:ilvl="5" w:tplc="4954A2FA" w:tentative="1">
      <w:start w:val="1"/>
      <w:numFmt w:val="bullet"/>
      <w:lvlText w:val=""/>
      <w:lvlJc w:val="left"/>
      <w:pPr>
        <w:ind w:left="3960" w:hanging="360"/>
      </w:pPr>
      <w:rPr>
        <w:rFonts w:ascii="Wingdings" w:hAnsi="Wingdings" w:hint="default"/>
      </w:rPr>
    </w:lvl>
    <w:lvl w:ilvl="6" w:tplc="C680C8EC" w:tentative="1">
      <w:start w:val="1"/>
      <w:numFmt w:val="bullet"/>
      <w:lvlText w:val=""/>
      <w:lvlJc w:val="left"/>
      <w:pPr>
        <w:ind w:left="4680" w:hanging="360"/>
      </w:pPr>
      <w:rPr>
        <w:rFonts w:ascii="Symbol" w:hAnsi="Symbol" w:hint="default"/>
      </w:rPr>
    </w:lvl>
    <w:lvl w:ilvl="7" w:tplc="794E0DC4" w:tentative="1">
      <w:start w:val="1"/>
      <w:numFmt w:val="bullet"/>
      <w:lvlText w:val="o"/>
      <w:lvlJc w:val="left"/>
      <w:pPr>
        <w:ind w:left="5400" w:hanging="360"/>
      </w:pPr>
      <w:rPr>
        <w:rFonts w:ascii="Courier New" w:hAnsi="Courier New" w:hint="default"/>
      </w:rPr>
    </w:lvl>
    <w:lvl w:ilvl="8" w:tplc="55F0577E" w:tentative="1">
      <w:start w:val="1"/>
      <w:numFmt w:val="bullet"/>
      <w:lvlText w:val=""/>
      <w:lvlJc w:val="left"/>
      <w:pPr>
        <w:ind w:left="6120" w:hanging="360"/>
      </w:pPr>
      <w:rPr>
        <w:rFonts w:ascii="Wingdings" w:hAnsi="Wingdings" w:hint="default"/>
      </w:rPr>
    </w:lvl>
  </w:abstractNum>
  <w:abstractNum w:abstractNumId="19">
    <w:nsid w:val="784D033C"/>
    <w:multiLevelType w:val="multilevel"/>
    <w:tmpl w:val="61989BC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color w:val="auto"/>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1"/>
  </w:num>
  <w:num w:numId="3">
    <w:abstractNumId w:val="12"/>
  </w:num>
  <w:num w:numId="4">
    <w:abstractNumId w:val="10"/>
  </w:num>
  <w:num w:numId="5">
    <w:abstractNumId w:val="9"/>
  </w:num>
  <w:num w:numId="6">
    <w:abstractNumId w:val="15"/>
  </w:num>
  <w:num w:numId="7">
    <w:abstractNumId w:val="4"/>
  </w:num>
  <w:num w:numId="8">
    <w:abstractNumId w:val="18"/>
  </w:num>
  <w:num w:numId="9">
    <w:abstractNumId w:val="5"/>
  </w:num>
  <w:num w:numId="10">
    <w:abstractNumId w:val="1"/>
  </w:num>
  <w:num w:numId="11">
    <w:abstractNumId w:val="16"/>
  </w:num>
  <w:num w:numId="12">
    <w:abstractNumId w:val="19"/>
  </w:num>
  <w:num w:numId="13">
    <w:abstractNumId w:val="19"/>
  </w:num>
  <w:num w:numId="14">
    <w:abstractNumId w:val="11"/>
  </w:num>
  <w:num w:numId="15">
    <w:abstractNumId w:val="11"/>
  </w:num>
  <w:num w:numId="16">
    <w:abstractNumId w:val="19"/>
  </w:num>
  <w:num w:numId="17">
    <w:abstractNumId w:val="17"/>
  </w:num>
  <w:num w:numId="18">
    <w:abstractNumId w:val="13"/>
  </w:num>
  <w:num w:numId="19">
    <w:abstractNumId w:val="14"/>
  </w:num>
  <w:num w:numId="20">
    <w:abstractNumId w:val="3"/>
  </w:num>
  <w:num w:numId="21">
    <w:abstractNumId w:val="0"/>
  </w:num>
  <w:num w:numId="22">
    <w:abstractNumId w:val="6"/>
  </w:num>
  <w:num w:numId="23">
    <w:abstractNumId w:val="2"/>
  </w:num>
  <w:num w:numId="24">
    <w:abstractNumId w:val="7"/>
  </w:num>
  <w:num w:numId="25">
    <w:abstractNumId w:val="8"/>
  </w:num>
  <w:num w:numId="26">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doNotTrackFormattin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302"/>
    <w:rsid w:val="000031C0"/>
    <w:rsid w:val="00003499"/>
    <w:rsid w:val="00003636"/>
    <w:rsid w:val="000039B7"/>
    <w:rsid w:val="00003C75"/>
    <w:rsid w:val="00003E24"/>
    <w:rsid w:val="00004F83"/>
    <w:rsid w:val="0000557C"/>
    <w:rsid w:val="00005607"/>
    <w:rsid w:val="000056CF"/>
    <w:rsid w:val="000060C8"/>
    <w:rsid w:val="0000639E"/>
    <w:rsid w:val="00006474"/>
    <w:rsid w:val="000077A0"/>
    <w:rsid w:val="0001029D"/>
    <w:rsid w:val="00011738"/>
    <w:rsid w:val="00011CC2"/>
    <w:rsid w:val="00011DD3"/>
    <w:rsid w:val="00012034"/>
    <w:rsid w:val="000126AD"/>
    <w:rsid w:val="00013247"/>
    <w:rsid w:val="0001345F"/>
    <w:rsid w:val="0001365D"/>
    <w:rsid w:val="00013AFE"/>
    <w:rsid w:val="00014108"/>
    <w:rsid w:val="00014D11"/>
    <w:rsid w:val="0001533C"/>
    <w:rsid w:val="00015886"/>
    <w:rsid w:val="00015F3D"/>
    <w:rsid w:val="0001606E"/>
    <w:rsid w:val="000162EF"/>
    <w:rsid w:val="0001681A"/>
    <w:rsid w:val="00017ADD"/>
    <w:rsid w:val="00020220"/>
    <w:rsid w:val="00020719"/>
    <w:rsid w:val="000217EF"/>
    <w:rsid w:val="0002225F"/>
    <w:rsid w:val="00022488"/>
    <w:rsid w:val="00022BE8"/>
    <w:rsid w:val="00023763"/>
    <w:rsid w:val="00023BA2"/>
    <w:rsid w:val="00023E76"/>
    <w:rsid w:val="00024F41"/>
    <w:rsid w:val="000256CC"/>
    <w:rsid w:val="00026BF7"/>
    <w:rsid w:val="00027255"/>
    <w:rsid w:val="000272B5"/>
    <w:rsid w:val="000275CF"/>
    <w:rsid w:val="00027C50"/>
    <w:rsid w:val="0003003E"/>
    <w:rsid w:val="000303BB"/>
    <w:rsid w:val="00031C4F"/>
    <w:rsid w:val="000331A9"/>
    <w:rsid w:val="00033427"/>
    <w:rsid w:val="0003378D"/>
    <w:rsid w:val="00033863"/>
    <w:rsid w:val="00033A7F"/>
    <w:rsid w:val="00033D04"/>
    <w:rsid w:val="00034747"/>
    <w:rsid w:val="00034764"/>
    <w:rsid w:val="000347CB"/>
    <w:rsid w:val="00034E09"/>
    <w:rsid w:val="00035230"/>
    <w:rsid w:val="000358B1"/>
    <w:rsid w:val="00035DC0"/>
    <w:rsid w:val="00036096"/>
    <w:rsid w:val="00036829"/>
    <w:rsid w:val="00040895"/>
    <w:rsid w:val="00041080"/>
    <w:rsid w:val="00042240"/>
    <w:rsid w:val="00042942"/>
    <w:rsid w:val="00043C37"/>
    <w:rsid w:val="00045017"/>
    <w:rsid w:val="000458C9"/>
    <w:rsid w:val="00045A2B"/>
    <w:rsid w:val="0004698F"/>
    <w:rsid w:val="00050BAD"/>
    <w:rsid w:val="00050C5C"/>
    <w:rsid w:val="00052CF7"/>
    <w:rsid w:val="000537E0"/>
    <w:rsid w:val="0005386F"/>
    <w:rsid w:val="000539D0"/>
    <w:rsid w:val="0005419C"/>
    <w:rsid w:val="00054621"/>
    <w:rsid w:val="000546D7"/>
    <w:rsid w:val="00056857"/>
    <w:rsid w:val="00056D5A"/>
    <w:rsid w:val="00056FE5"/>
    <w:rsid w:val="00057049"/>
    <w:rsid w:val="000574B5"/>
    <w:rsid w:val="0005788B"/>
    <w:rsid w:val="000600C0"/>
    <w:rsid w:val="0006017F"/>
    <w:rsid w:val="000607CC"/>
    <w:rsid w:val="000608F2"/>
    <w:rsid w:val="00060DE5"/>
    <w:rsid w:val="00060E27"/>
    <w:rsid w:val="00062A38"/>
    <w:rsid w:val="000638F5"/>
    <w:rsid w:val="000648B9"/>
    <w:rsid w:val="00065684"/>
    <w:rsid w:val="00066360"/>
    <w:rsid w:val="00066CA5"/>
    <w:rsid w:val="000676F8"/>
    <w:rsid w:val="000677A5"/>
    <w:rsid w:val="00067A1B"/>
    <w:rsid w:val="00070103"/>
    <w:rsid w:val="00070681"/>
    <w:rsid w:val="00070D96"/>
    <w:rsid w:val="00070DC2"/>
    <w:rsid w:val="00070DE2"/>
    <w:rsid w:val="00070E48"/>
    <w:rsid w:val="0007109C"/>
    <w:rsid w:val="00071248"/>
    <w:rsid w:val="00071613"/>
    <w:rsid w:val="000720B9"/>
    <w:rsid w:val="000721B9"/>
    <w:rsid w:val="000735FA"/>
    <w:rsid w:val="000737F7"/>
    <w:rsid w:val="00074CC8"/>
    <w:rsid w:val="000755ED"/>
    <w:rsid w:val="00075EE4"/>
    <w:rsid w:val="00075FC7"/>
    <w:rsid w:val="0007672F"/>
    <w:rsid w:val="00076F9F"/>
    <w:rsid w:val="000774F0"/>
    <w:rsid w:val="00080132"/>
    <w:rsid w:val="00080909"/>
    <w:rsid w:val="000812CA"/>
    <w:rsid w:val="0008258D"/>
    <w:rsid w:val="00083AFB"/>
    <w:rsid w:val="00083E99"/>
    <w:rsid w:val="0008418C"/>
    <w:rsid w:val="00084321"/>
    <w:rsid w:val="00084490"/>
    <w:rsid w:val="0008460E"/>
    <w:rsid w:val="00084E41"/>
    <w:rsid w:val="00085020"/>
    <w:rsid w:val="000853F6"/>
    <w:rsid w:val="000856C5"/>
    <w:rsid w:val="00085F54"/>
    <w:rsid w:val="000866A8"/>
    <w:rsid w:val="00086AE9"/>
    <w:rsid w:val="00087647"/>
    <w:rsid w:val="00087F16"/>
    <w:rsid w:val="0009068D"/>
    <w:rsid w:val="0009081E"/>
    <w:rsid w:val="00090C7E"/>
    <w:rsid w:val="00091E14"/>
    <w:rsid w:val="00092600"/>
    <w:rsid w:val="0009262B"/>
    <w:rsid w:val="000926B0"/>
    <w:rsid w:val="00092B3E"/>
    <w:rsid w:val="00093310"/>
    <w:rsid w:val="00093324"/>
    <w:rsid w:val="000937E7"/>
    <w:rsid w:val="0009445C"/>
    <w:rsid w:val="00094D34"/>
    <w:rsid w:val="00095FE5"/>
    <w:rsid w:val="00096284"/>
    <w:rsid w:val="000968CD"/>
    <w:rsid w:val="00096DF9"/>
    <w:rsid w:val="000A077B"/>
    <w:rsid w:val="000A0A14"/>
    <w:rsid w:val="000A1F0A"/>
    <w:rsid w:val="000A2981"/>
    <w:rsid w:val="000A31CB"/>
    <w:rsid w:val="000A3AD6"/>
    <w:rsid w:val="000A4FE8"/>
    <w:rsid w:val="000A535D"/>
    <w:rsid w:val="000A5715"/>
    <w:rsid w:val="000A75FE"/>
    <w:rsid w:val="000A7D08"/>
    <w:rsid w:val="000B0670"/>
    <w:rsid w:val="000B0E75"/>
    <w:rsid w:val="000B164D"/>
    <w:rsid w:val="000B229F"/>
    <w:rsid w:val="000B2372"/>
    <w:rsid w:val="000B2F17"/>
    <w:rsid w:val="000B31EB"/>
    <w:rsid w:val="000B3280"/>
    <w:rsid w:val="000B3C76"/>
    <w:rsid w:val="000B43CA"/>
    <w:rsid w:val="000B55B6"/>
    <w:rsid w:val="000B6262"/>
    <w:rsid w:val="000B6CAC"/>
    <w:rsid w:val="000B7612"/>
    <w:rsid w:val="000B7E1E"/>
    <w:rsid w:val="000C27BB"/>
    <w:rsid w:val="000C3DF9"/>
    <w:rsid w:val="000C3F1E"/>
    <w:rsid w:val="000C4659"/>
    <w:rsid w:val="000C5026"/>
    <w:rsid w:val="000C6042"/>
    <w:rsid w:val="000C6713"/>
    <w:rsid w:val="000C6743"/>
    <w:rsid w:val="000C6F1C"/>
    <w:rsid w:val="000C7824"/>
    <w:rsid w:val="000D1AD6"/>
    <w:rsid w:val="000D1BFC"/>
    <w:rsid w:val="000D281A"/>
    <w:rsid w:val="000D326A"/>
    <w:rsid w:val="000D35C7"/>
    <w:rsid w:val="000D37B2"/>
    <w:rsid w:val="000D383B"/>
    <w:rsid w:val="000D40BD"/>
    <w:rsid w:val="000D491F"/>
    <w:rsid w:val="000D51FB"/>
    <w:rsid w:val="000D609D"/>
    <w:rsid w:val="000D694B"/>
    <w:rsid w:val="000E135D"/>
    <w:rsid w:val="000E146C"/>
    <w:rsid w:val="000E192C"/>
    <w:rsid w:val="000E2062"/>
    <w:rsid w:val="000E46FB"/>
    <w:rsid w:val="000E478A"/>
    <w:rsid w:val="000E49EF"/>
    <w:rsid w:val="000E4C78"/>
    <w:rsid w:val="000E5F00"/>
    <w:rsid w:val="000E72FD"/>
    <w:rsid w:val="000E7732"/>
    <w:rsid w:val="000F00BA"/>
    <w:rsid w:val="000F1107"/>
    <w:rsid w:val="000F1D63"/>
    <w:rsid w:val="000F316A"/>
    <w:rsid w:val="000F3B36"/>
    <w:rsid w:val="000F3C74"/>
    <w:rsid w:val="000F4B07"/>
    <w:rsid w:val="000F4BB8"/>
    <w:rsid w:val="000F4DD8"/>
    <w:rsid w:val="000F5066"/>
    <w:rsid w:val="000F56DC"/>
    <w:rsid w:val="000F673C"/>
    <w:rsid w:val="000F7127"/>
    <w:rsid w:val="000F7A14"/>
    <w:rsid w:val="001001F9"/>
    <w:rsid w:val="001008AE"/>
    <w:rsid w:val="00100F8A"/>
    <w:rsid w:val="001039EB"/>
    <w:rsid w:val="0010486B"/>
    <w:rsid w:val="00104AD4"/>
    <w:rsid w:val="00104B70"/>
    <w:rsid w:val="00105AE2"/>
    <w:rsid w:val="00105BA9"/>
    <w:rsid w:val="00106B80"/>
    <w:rsid w:val="0011032E"/>
    <w:rsid w:val="00110922"/>
    <w:rsid w:val="00112007"/>
    <w:rsid w:val="00113206"/>
    <w:rsid w:val="0011348B"/>
    <w:rsid w:val="00114ABD"/>
    <w:rsid w:val="00115234"/>
    <w:rsid w:val="00115982"/>
    <w:rsid w:val="00116023"/>
    <w:rsid w:val="0011681F"/>
    <w:rsid w:val="00116C53"/>
    <w:rsid w:val="00116F53"/>
    <w:rsid w:val="00121799"/>
    <w:rsid w:val="00121BA9"/>
    <w:rsid w:val="00121CE5"/>
    <w:rsid w:val="001222FC"/>
    <w:rsid w:val="00122B28"/>
    <w:rsid w:val="00122E30"/>
    <w:rsid w:val="001235E9"/>
    <w:rsid w:val="00124122"/>
    <w:rsid w:val="00124A51"/>
    <w:rsid w:val="00125264"/>
    <w:rsid w:val="00125322"/>
    <w:rsid w:val="0012602C"/>
    <w:rsid w:val="001264FC"/>
    <w:rsid w:val="00126619"/>
    <w:rsid w:val="00126621"/>
    <w:rsid w:val="0012775C"/>
    <w:rsid w:val="00127D44"/>
    <w:rsid w:val="001301E9"/>
    <w:rsid w:val="001303FE"/>
    <w:rsid w:val="0013063A"/>
    <w:rsid w:val="00131163"/>
    <w:rsid w:val="00131CC0"/>
    <w:rsid w:val="00131D82"/>
    <w:rsid w:val="00132366"/>
    <w:rsid w:val="0013379E"/>
    <w:rsid w:val="00133D36"/>
    <w:rsid w:val="00134271"/>
    <w:rsid w:val="00134DBB"/>
    <w:rsid w:val="00137645"/>
    <w:rsid w:val="00137C8B"/>
    <w:rsid w:val="0014015A"/>
    <w:rsid w:val="001409AE"/>
    <w:rsid w:val="00140E99"/>
    <w:rsid w:val="001410A9"/>
    <w:rsid w:val="00141BBA"/>
    <w:rsid w:val="00143686"/>
    <w:rsid w:val="0014446D"/>
    <w:rsid w:val="00144E97"/>
    <w:rsid w:val="00145515"/>
    <w:rsid w:val="00145540"/>
    <w:rsid w:val="001456B0"/>
    <w:rsid w:val="0014603A"/>
    <w:rsid w:val="00146A96"/>
    <w:rsid w:val="001501F9"/>
    <w:rsid w:val="00150959"/>
    <w:rsid w:val="00150CDF"/>
    <w:rsid w:val="0015164C"/>
    <w:rsid w:val="0015167D"/>
    <w:rsid w:val="00151FA9"/>
    <w:rsid w:val="00152FF6"/>
    <w:rsid w:val="00153086"/>
    <w:rsid w:val="001530ED"/>
    <w:rsid w:val="00154B70"/>
    <w:rsid w:val="0015588B"/>
    <w:rsid w:val="00155AAF"/>
    <w:rsid w:val="00155CDE"/>
    <w:rsid w:val="001567D2"/>
    <w:rsid w:val="00157130"/>
    <w:rsid w:val="001576B1"/>
    <w:rsid w:val="001609D0"/>
    <w:rsid w:val="00160A4C"/>
    <w:rsid w:val="00160AED"/>
    <w:rsid w:val="00160D5B"/>
    <w:rsid w:val="00161555"/>
    <w:rsid w:val="00162913"/>
    <w:rsid w:val="0016361E"/>
    <w:rsid w:val="00163EFF"/>
    <w:rsid w:val="00164504"/>
    <w:rsid w:val="0016456D"/>
    <w:rsid w:val="0016463E"/>
    <w:rsid w:val="0016585B"/>
    <w:rsid w:val="001661FB"/>
    <w:rsid w:val="00166820"/>
    <w:rsid w:val="00167501"/>
    <w:rsid w:val="001678C6"/>
    <w:rsid w:val="00167DF1"/>
    <w:rsid w:val="001700E6"/>
    <w:rsid w:val="0017048E"/>
    <w:rsid w:val="0017097A"/>
    <w:rsid w:val="00171539"/>
    <w:rsid w:val="0017161D"/>
    <w:rsid w:val="00173565"/>
    <w:rsid w:val="00173B07"/>
    <w:rsid w:val="00177403"/>
    <w:rsid w:val="00180703"/>
    <w:rsid w:val="001814DD"/>
    <w:rsid w:val="00181D9C"/>
    <w:rsid w:val="001825BB"/>
    <w:rsid w:val="00184CD2"/>
    <w:rsid w:val="00186D11"/>
    <w:rsid w:val="00187137"/>
    <w:rsid w:val="0018752F"/>
    <w:rsid w:val="001909CE"/>
    <w:rsid w:val="00191FB1"/>
    <w:rsid w:val="00193969"/>
    <w:rsid w:val="0019505D"/>
    <w:rsid w:val="00195222"/>
    <w:rsid w:val="001952E7"/>
    <w:rsid w:val="00195CC4"/>
    <w:rsid w:val="001965BA"/>
    <w:rsid w:val="00197127"/>
    <w:rsid w:val="001975D8"/>
    <w:rsid w:val="001A0103"/>
    <w:rsid w:val="001A095E"/>
    <w:rsid w:val="001A19DD"/>
    <w:rsid w:val="001A1D8C"/>
    <w:rsid w:val="001A2000"/>
    <w:rsid w:val="001A24A4"/>
    <w:rsid w:val="001A361B"/>
    <w:rsid w:val="001A39EA"/>
    <w:rsid w:val="001A3BF6"/>
    <w:rsid w:val="001A43FA"/>
    <w:rsid w:val="001A4768"/>
    <w:rsid w:val="001A5948"/>
    <w:rsid w:val="001A59FB"/>
    <w:rsid w:val="001A5DDF"/>
    <w:rsid w:val="001A5F62"/>
    <w:rsid w:val="001A6354"/>
    <w:rsid w:val="001A7483"/>
    <w:rsid w:val="001A77F7"/>
    <w:rsid w:val="001A7AE8"/>
    <w:rsid w:val="001B07CC"/>
    <w:rsid w:val="001B0857"/>
    <w:rsid w:val="001B10FE"/>
    <w:rsid w:val="001B14A4"/>
    <w:rsid w:val="001B204E"/>
    <w:rsid w:val="001B277B"/>
    <w:rsid w:val="001B3443"/>
    <w:rsid w:val="001B366D"/>
    <w:rsid w:val="001B398C"/>
    <w:rsid w:val="001B3CE2"/>
    <w:rsid w:val="001B48E4"/>
    <w:rsid w:val="001B4C2A"/>
    <w:rsid w:val="001B4D20"/>
    <w:rsid w:val="001B4D52"/>
    <w:rsid w:val="001B52D8"/>
    <w:rsid w:val="001B6BFC"/>
    <w:rsid w:val="001B7462"/>
    <w:rsid w:val="001C0445"/>
    <w:rsid w:val="001C07B2"/>
    <w:rsid w:val="001C1470"/>
    <w:rsid w:val="001C14F6"/>
    <w:rsid w:val="001C177E"/>
    <w:rsid w:val="001C2926"/>
    <w:rsid w:val="001C2A9B"/>
    <w:rsid w:val="001C2EFB"/>
    <w:rsid w:val="001C3D78"/>
    <w:rsid w:val="001C4299"/>
    <w:rsid w:val="001C48BF"/>
    <w:rsid w:val="001C4D12"/>
    <w:rsid w:val="001C5104"/>
    <w:rsid w:val="001C5301"/>
    <w:rsid w:val="001C594B"/>
    <w:rsid w:val="001C5F94"/>
    <w:rsid w:val="001C6794"/>
    <w:rsid w:val="001C6E66"/>
    <w:rsid w:val="001C739F"/>
    <w:rsid w:val="001C7C4B"/>
    <w:rsid w:val="001D1238"/>
    <w:rsid w:val="001D17D3"/>
    <w:rsid w:val="001D4385"/>
    <w:rsid w:val="001D5BE6"/>
    <w:rsid w:val="001D720D"/>
    <w:rsid w:val="001D7619"/>
    <w:rsid w:val="001D7685"/>
    <w:rsid w:val="001E08D7"/>
    <w:rsid w:val="001E0F10"/>
    <w:rsid w:val="001E238E"/>
    <w:rsid w:val="001E241A"/>
    <w:rsid w:val="001E2483"/>
    <w:rsid w:val="001E2B1E"/>
    <w:rsid w:val="001E30D4"/>
    <w:rsid w:val="001E45C9"/>
    <w:rsid w:val="001E4CA4"/>
    <w:rsid w:val="001E52EB"/>
    <w:rsid w:val="001E61D2"/>
    <w:rsid w:val="001E6E4D"/>
    <w:rsid w:val="001E740C"/>
    <w:rsid w:val="001E7DEF"/>
    <w:rsid w:val="001F0C5D"/>
    <w:rsid w:val="001F1235"/>
    <w:rsid w:val="001F1CB3"/>
    <w:rsid w:val="001F2010"/>
    <w:rsid w:val="001F239D"/>
    <w:rsid w:val="001F2611"/>
    <w:rsid w:val="001F2AA3"/>
    <w:rsid w:val="001F2B19"/>
    <w:rsid w:val="001F2E19"/>
    <w:rsid w:val="001F38B5"/>
    <w:rsid w:val="001F5221"/>
    <w:rsid w:val="001F697C"/>
    <w:rsid w:val="001F7361"/>
    <w:rsid w:val="001F774C"/>
    <w:rsid w:val="002007F3"/>
    <w:rsid w:val="002011B0"/>
    <w:rsid w:val="0020221E"/>
    <w:rsid w:val="002022FB"/>
    <w:rsid w:val="00202304"/>
    <w:rsid w:val="00203181"/>
    <w:rsid w:val="00203783"/>
    <w:rsid w:val="0020385F"/>
    <w:rsid w:val="00207021"/>
    <w:rsid w:val="002070AC"/>
    <w:rsid w:val="0020732F"/>
    <w:rsid w:val="0020766A"/>
    <w:rsid w:val="00207D00"/>
    <w:rsid w:val="002105C1"/>
    <w:rsid w:val="00210727"/>
    <w:rsid w:val="00210D7A"/>
    <w:rsid w:val="002125A2"/>
    <w:rsid w:val="00212C6D"/>
    <w:rsid w:val="00212D60"/>
    <w:rsid w:val="00213334"/>
    <w:rsid w:val="00213EBB"/>
    <w:rsid w:val="002146C6"/>
    <w:rsid w:val="00214A89"/>
    <w:rsid w:val="00216A14"/>
    <w:rsid w:val="00216D05"/>
    <w:rsid w:val="002171E9"/>
    <w:rsid w:val="002224E4"/>
    <w:rsid w:val="00222656"/>
    <w:rsid w:val="00223326"/>
    <w:rsid w:val="00223B49"/>
    <w:rsid w:val="00223CB2"/>
    <w:rsid w:val="00224DD4"/>
    <w:rsid w:val="00224F5C"/>
    <w:rsid w:val="0022612E"/>
    <w:rsid w:val="002263E2"/>
    <w:rsid w:val="00226E0B"/>
    <w:rsid w:val="00227E3F"/>
    <w:rsid w:val="00230201"/>
    <w:rsid w:val="002308F4"/>
    <w:rsid w:val="002309CC"/>
    <w:rsid w:val="00230BA2"/>
    <w:rsid w:val="00230DC5"/>
    <w:rsid w:val="0023130F"/>
    <w:rsid w:val="0023209F"/>
    <w:rsid w:val="0023262A"/>
    <w:rsid w:val="002330D5"/>
    <w:rsid w:val="002344D9"/>
    <w:rsid w:val="00235486"/>
    <w:rsid w:val="00235D4D"/>
    <w:rsid w:val="0023629D"/>
    <w:rsid w:val="00237255"/>
    <w:rsid w:val="0023752A"/>
    <w:rsid w:val="002376FE"/>
    <w:rsid w:val="00241496"/>
    <w:rsid w:val="00241E7E"/>
    <w:rsid w:val="002424AF"/>
    <w:rsid w:val="002439DC"/>
    <w:rsid w:val="00244CAC"/>
    <w:rsid w:val="00244DC8"/>
    <w:rsid w:val="002458BA"/>
    <w:rsid w:val="00245F82"/>
    <w:rsid w:val="00245FE7"/>
    <w:rsid w:val="0024636C"/>
    <w:rsid w:val="002465F1"/>
    <w:rsid w:val="00247925"/>
    <w:rsid w:val="0025002F"/>
    <w:rsid w:val="002506EF"/>
    <w:rsid w:val="00251F3C"/>
    <w:rsid w:val="00252343"/>
    <w:rsid w:val="00254DCF"/>
    <w:rsid w:val="0025534B"/>
    <w:rsid w:val="00255A28"/>
    <w:rsid w:val="00255BA8"/>
    <w:rsid w:val="00255BB7"/>
    <w:rsid w:val="00256606"/>
    <w:rsid w:val="00257541"/>
    <w:rsid w:val="00257EE4"/>
    <w:rsid w:val="00257F41"/>
    <w:rsid w:val="00260AE9"/>
    <w:rsid w:val="00261DB8"/>
    <w:rsid w:val="002627BD"/>
    <w:rsid w:val="00262A1A"/>
    <w:rsid w:val="00262A87"/>
    <w:rsid w:val="002631A2"/>
    <w:rsid w:val="00263332"/>
    <w:rsid w:val="00263701"/>
    <w:rsid w:val="00264061"/>
    <w:rsid w:val="00264586"/>
    <w:rsid w:val="00264D26"/>
    <w:rsid w:val="00264E0E"/>
    <w:rsid w:val="00264F27"/>
    <w:rsid w:val="00265CD0"/>
    <w:rsid w:val="00265FDF"/>
    <w:rsid w:val="00266EC5"/>
    <w:rsid w:val="00267642"/>
    <w:rsid w:val="00267AEA"/>
    <w:rsid w:val="00267C7F"/>
    <w:rsid w:val="002700E6"/>
    <w:rsid w:val="00270647"/>
    <w:rsid w:val="0027294B"/>
    <w:rsid w:val="00272E8F"/>
    <w:rsid w:val="00273D83"/>
    <w:rsid w:val="002748E9"/>
    <w:rsid w:val="002749D9"/>
    <w:rsid w:val="00275C5A"/>
    <w:rsid w:val="00275DD1"/>
    <w:rsid w:val="002761EB"/>
    <w:rsid w:val="00276932"/>
    <w:rsid w:val="00276EC7"/>
    <w:rsid w:val="00277074"/>
    <w:rsid w:val="00281014"/>
    <w:rsid w:val="0028137C"/>
    <w:rsid w:val="0028151D"/>
    <w:rsid w:val="00281796"/>
    <w:rsid w:val="00281AC3"/>
    <w:rsid w:val="00281DB0"/>
    <w:rsid w:val="002827D3"/>
    <w:rsid w:val="00284EB7"/>
    <w:rsid w:val="00284F1E"/>
    <w:rsid w:val="002864EC"/>
    <w:rsid w:val="00287163"/>
    <w:rsid w:val="002873AE"/>
    <w:rsid w:val="00287B86"/>
    <w:rsid w:val="00290D93"/>
    <w:rsid w:val="00291ED5"/>
    <w:rsid w:val="002929E5"/>
    <w:rsid w:val="00292C49"/>
    <w:rsid w:val="00292DB5"/>
    <w:rsid w:val="00295705"/>
    <w:rsid w:val="0029694B"/>
    <w:rsid w:val="00296AF0"/>
    <w:rsid w:val="00296BAB"/>
    <w:rsid w:val="002A01DB"/>
    <w:rsid w:val="002A06D2"/>
    <w:rsid w:val="002A14AB"/>
    <w:rsid w:val="002A1D58"/>
    <w:rsid w:val="002A2A19"/>
    <w:rsid w:val="002A2F50"/>
    <w:rsid w:val="002A39A9"/>
    <w:rsid w:val="002A4047"/>
    <w:rsid w:val="002A555B"/>
    <w:rsid w:val="002A6949"/>
    <w:rsid w:val="002A6E94"/>
    <w:rsid w:val="002A7835"/>
    <w:rsid w:val="002A7BE0"/>
    <w:rsid w:val="002B09A4"/>
    <w:rsid w:val="002B0FD7"/>
    <w:rsid w:val="002B19E8"/>
    <w:rsid w:val="002B1A65"/>
    <w:rsid w:val="002B1C1F"/>
    <w:rsid w:val="002B242F"/>
    <w:rsid w:val="002B2687"/>
    <w:rsid w:val="002B2866"/>
    <w:rsid w:val="002B2EAD"/>
    <w:rsid w:val="002B3D13"/>
    <w:rsid w:val="002B432F"/>
    <w:rsid w:val="002B5A7F"/>
    <w:rsid w:val="002B5E2B"/>
    <w:rsid w:val="002B62B3"/>
    <w:rsid w:val="002B6754"/>
    <w:rsid w:val="002B6CCE"/>
    <w:rsid w:val="002B7ACF"/>
    <w:rsid w:val="002C1062"/>
    <w:rsid w:val="002C2510"/>
    <w:rsid w:val="002C2775"/>
    <w:rsid w:val="002C27C1"/>
    <w:rsid w:val="002C2E61"/>
    <w:rsid w:val="002C470E"/>
    <w:rsid w:val="002C5099"/>
    <w:rsid w:val="002C5889"/>
    <w:rsid w:val="002C58AE"/>
    <w:rsid w:val="002C65C3"/>
    <w:rsid w:val="002C69B2"/>
    <w:rsid w:val="002C6BF5"/>
    <w:rsid w:val="002C71CE"/>
    <w:rsid w:val="002C727C"/>
    <w:rsid w:val="002C79D4"/>
    <w:rsid w:val="002C7B1B"/>
    <w:rsid w:val="002D006D"/>
    <w:rsid w:val="002D306D"/>
    <w:rsid w:val="002D54C4"/>
    <w:rsid w:val="002D55CD"/>
    <w:rsid w:val="002D577C"/>
    <w:rsid w:val="002D68F1"/>
    <w:rsid w:val="002D70ED"/>
    <w:rsid w:val="002D76BE"/>
    <w:rsid w:val="002D7A20"/>
    <w:rsid w:val="002E04F0"/>
    <w:rsid w:val="002E15B9"/>
    <w:rsid w:val="002E1961"/>
    <w:rsid w:val="002E2158"/>
    <w:rsid w:val="002E2AEF"/>
    <w:rsid w:val="002E7454"/>
    <w:rsid w:val="002E7722"/>
    <w:rsid w:val="002E7EEB"/>
    <w:rsid w:val="002F0177"/>
    <w:rsid w:val="002F07BA"/>
    <w:rsid w:val="002F0DA9"/>
    <w:rsid w:val="002F2240"/>
    <w:rsid w:val="002F26F5"/>
    <w:rsid w:val="002F3D04"/>
    <w:rsid w:val="002F42A8"/>
    <w:rsid w:val="002F4388"/>
    <w:rsid w:val="002F4549"/>
    <w:rsid w:val="002F4770"/>
    <w:rsid w:val="002F643C"/>
    <w:rsid w:val="002F65F5"/>
    <w:rsid w:val="002F678A"/>
    <w:rsid w:val="002F71C0"/>
    <w:rsid w:val="002F7500"/>
    <w:rsid w:val="00301017"/>
    <w:rsid w:val="0030155F"/>
    <w:rsid w:val="003037B2"/>
    <w:rsid w:val="00303FBC"/>
    <w:rsid w:val="003048A0"/>
    <w:rsid w:val="0030587B"/>
    <w:rsid w:val="003058D7"/>
    <w:rsid w:val="00305A59"/>
    <w:rsid w:val="00306306"/>
    <w:rsid w:val="00306D98"/>
    <w:rsid w:val="0030768D"/>
    <w:rsid w:val="0030786C"/>
    <w:rsid w:val="003100FD"/>
    <w:rsid w:val="0031031A"/>
    <w:rsid w:val="00310981"/>
    <w:rsid w:val="00311F72"/>
    <w:rsid w:val="0031276A"/>
    <w:rsid w:val="00312CF9"/>
    <w:rsid w:val="00313574"/>
    <w:rsid w:val="003149B8"/>
    <w:rsid w:val="00315184"/>
    <w:rsid w:val="00315498"/>
    <w:rsid w:val="003157CD"/>
    <w:rsid w:val="00315A4D"/>
    <w:rsid w:val="003208B7"/>
    <w:rsid w:val="003210A0"/>
    <w:rsid w:val="003214B5"/>
    <w:rsid w:val="00321524"/>
    <w:rsid w:val="00321F5C"/>
    <w:rsid w:val="00322107"/>
    <w:rsid w:val="00322846"/>
    <w:rsid w:val="00323BFA"/>
    <w:rsid w:val="00323C23"/>
    <w:rsid w:val="00323FAF"/>
    <w:rsid w:val="00324A71"/>
    <w:rsid w:val="00325DF9"/>
    <w:rsid w:val="003260E9"/>
    <w:rsid w:val="00326AD7"/>
    <w:rsid w:val="00326DA7"/>
    <w:rsid w:val="00326DD1"/>
    <w:rsid w:val="00326DF8"/>
    <w:rsid w:val="003270E4"/>
    <w:rsid w:val="00327C19"/>
    <w:rsid w:val="0033081F"/>
    <w:rsid w:val="00330F5C"/>
    <w:rsid w:val="003327BF"/>
    <w:rsid w:val="0033283A"/>
    <w:rsid w:val="00333DFF"/>
    <w:rsid w:val="00334446"/>
    <w:rsid w:val="00335032"/>
    <w:rsid w:val="003364CF"/>
    <w:rsid w:val="003366C9"/>
    <w:rsid w:val="0033698D"/>
    <w:rsid w:val="003371B0"/>
    <w:rsid w:val="00340003"/>
    <w:rsid w:val="003402DE"/>
    <w:rsid w:val="003408FD"/>
    <w:rsid w:val="00340DF1"/>
    <w:rsid w:val="00340E61"/>
    <w:rsid w:val="003412EB"/>
    <w:rsid w:val="0034145C"/>
    <w:rsid w:val="00341717"/>
    <w:rsid w:val="0034238E"/>
    <w:rsid w:val="00342664"/>
    <w:rsid w:val="00343A18"/>
    <w:rsid w:val="00343BF2"/>
    <w:rsid w:val="00344A0D"/>
    <w:rsid w:val="00344FF3"/>
    <w:rsid w:val="003462A1"/>
    <w:rsid w:val="00346603"/>
    <w:rsid w:val="00347681"/>
    <w:rsid w:val="00347876"/>
    <w:rsid w:val="00347C9B"/>
    <w:rsid w:val="00347E23"/>
    <w:rsid w:val="003500A5"/>
    <w:rsid w:val="00350A97"/>
    <w:rsid w:val="003517F9"/>
    <w:rsid w:val="00352EDB"/>
    <w:rsid w:val="00353A32"/>
    <w:rsid w:val="00353AFA"/>
    <w:rsid w:val="00353D7A"/>
    <w:rsid w:val="00355086"/>
    <w:rsid w:val="003550E7"/>
    <w:rsid w:val="0035620E"/>
    <w:rsid w:val="0035668A"/>
    <w:rsid w:val="00356E51"/>
    <w:rsid w:val="0035711C"/>
    <w:rsid w:val="003576BA"/>
    <w:rsid w:val="00360666"/>
    <w:rsid w:val="00360AB6"/>
    <w:rsid w:val="00361A3F"/>
    <w:rsid w:val="003624C4"/>
    <w:rsid w:val="00362932"/>
    <w:rsid w:val="00364241"/>
    <w:rsid w:val="00364A9C"/>
    <w:rsid w:val="003654AC"/>
    <w:rsid w:val="003655AA"/>
    <w:rsid w:val="00365FB4"/>
    <w:rsid w:val="00366F30"/>
    <w:rsid w:val="00367309"/>
    <w:rsid w:val="003705D5"/>
    <w:rsid w:val="003710CF"/>
    <w:rsid w:val="0037358A"/>
    <w:rsid w:val="00373F1B"/>
    <w:rsid w:val="00374230"/>
    <w:rsid w:val="003745F4"/>
    <w:rsid w:val="0037474D"/>
    <w:rsid w:val="00374B81"/>
    <w:rsid w:val="00374C12"/>
    <w:rsid w:val="003750F6"/>
    <w:rsid w:val="003760FC"/>
    <w:rsid w:val="00376264"/>
    <w:rsid w:val="0037626B"/>
    <w:rsid w:val="0037779F"/>
    <w:rsid w:val="003807C7"/>
    <w:rsid w:val="00380DD7"/>
    <w:rsid w:val="00380F00"/>
    <w:rsid w:val="003817B6"/>
    <w:rsid w:val="003818FE"/>
    <w:rsid w:val="00381AF3"/>
    <w:rsid w:val="00381B93"/>
    <w:rsid w:val="0038270B"/>
    <w:rsid w:val="0038365C"/>
    <w:rsid w:val="0038369B"/>
    <w:rsid w:val="00383B78"/>
    <w:rsid w:val="00384E5A"/>
    <w:rsid w:val="003855FD"/>
    <w:rsid w:val="00385A9D"/>
    <w:rsid w:val="00385B93"/>
    <w:rsid w:val="00385C45"/>
    <w:rsid w:val="003902B1"/>
    <w:rsid w:val="003915AF"/>
    <w:rsid w:val="00391675"/>
    <w:rsid w:val="003938C5"/>
    <w:rsid w:val="00394C51"/>
    <w:rsid w:val="003951F9"/>
    <w:rsid w:val="00395510"/>
    <w:rsid w:val="003961A2"/>
    <w:rsid w:val="00396896"/>
    <w:rsid w:val="00396FD0"/>
    <w:rsid w:val="00397F86"/>
    <w:rsid w:val="003A1308"/>
    <w:rsid w:val="003A1A7A"/>
    <w:rsid w:val="003A1AB2"/>
    <w:rsid w:val="003A224C"/>
    <w:rsid w:val="003A237C"/>
    <w:rsid w:val="003A2392"/>
    <w:rsid w:val="003A242C"/>
    <w:rsid w:val="003A2831"/>
    <w:rsid w:val="003A34D9"/>
    <w:rsid w:val="003A3EBD"/>
    <w:rsid w:val="003A3ED1"/>
    <w:rsid w:val="003A56FE"/>
    <w:rsid w:val="003A60D4"/>
    <w:rsid w:val="003A71A8"/>
    <w:rsid w:val="003A7DB7"/>
    <w:rsid w:val="003B07FF"/>
    <w:rsid w:val="003B0CD7"/>
    <w:rsid w:val="003B12D3"/>
    <w:rsid w:val="003B1A6D"/>
    <w:rsid w:val="003B2761"/>
    <w:rsid w:val="003B299C"/>
    <w:rsid w:val="003B5B61"/>
    <w:rsid w:val="003B5C4F"/>
    <w:rsid w:val="003B5ED2"/>
    <w:rsid w:val="003B69BD"/>
    <w:rsid w:val="003C1654"/>
    <w:rsid w:val="003C1A0B"/>
    <w:rsid w:val="003C2346"/>
    <w:rsid w:val="003C379B"/>
    <w:rsid w:val="003C42B9"/>
    <w:rsid w:val="003C4AA7"/>
    <w:rsid w:val="003C53A4"/>
    <w:rsid w:val="003C5474"/>
    <w:rsid w:val="003C5540"/>
    <w:rsid w:val="003C5760"/>
    <w:rsid w:val="003C6B19"/>
    <w:rsid w:val="003C6B98"/>
    <w:rsid w:val="003C72D9"/>
    <w:rsid w:val="003C7D13"/>
    <w:rsid w:val="003C7D19"/>
    <w:rsid w:val="003D1828"/>
    <w:rsid w:val="003D1DE4"/>
    <w:rsid w:val="003D1E67"/>
    <w:rsid w:val="003D2422"/>
    <w:rsid w:val="003D39A1"/>
    <w:rsid w:val="003D3CA4"/>
    <w:rsid w:val="003D3FBF"/>
    <w:rsid w:val="003D429D"/>
    <w:rsid w:val="003D4A30"/>
    <w:rsid w:val="003D5B7D"/>
    <w:rsid w:val="003D7475"/>
    <w:rsid w:val="003D79BB"/>
    <w:rsid w:val="003D7C98"/>
    <w:rsid w:val="003E0543"/>
    <w:rsid w:val="003E08D4"/>
    <w:rsid w:val="003E1B03"/>
    <w:rsid w:val="003E1BCD"/>
    <w:rsid w:val="003E216F"/>
    <w:rsid w:val="003E24E1"/>
    <w:rsid w:val="003E2E18"/>
    <w:rsid w:val="003E34AF"/>
    <w:rsid w:val="003E34EE"/>
    <w:rsid w:val="003E37ED"/>
    <w:rsid w:val="003E482E"/>
    <w:rsid w:val="003E5880"/>
    <w:rsid w:val="003E5C85"/>
    <w:rsid w:val="003E6E56"/>
    <w:rsid w:val="003E71A1"/>
    <w:rsid w:val="003E71BE"/>
    <w:rsid w:val="003E777D"/>
    <w:rsid w:val="003F02F8"/>
    <w:rsid w:val="003F039D"/>
    <w:rsid w:val="003F0DBD"/>
    <w:rsid w:val="003F1607"/>
    <w:rsid w:val="003F1E61"/>
    <w:rsid w:val="003F2572"/>
    <w:rsid w:val="003F2708"/>
    <w:rsid w:val="003F29FF"/>
    <w:rsid w:val="003F3B51"/>
    <w:rsid w:val="003F3CA2"/>
    <w:rsid w:val="003F4156"/>
    <w:rsid w:val="003F5A4A"/>
    <w:rsid w:val="003F5B6E"/>
    <w:rsid w:val="003F5D3D"/>
    <w:rsid w:val="003F6D2C"/>
    <w:rsid w:val="003F7727"/>
    <w:rsid w:val="003F7941"/>
    <w:rsid w:val="00400280"/>
    <w:rsid w:val="00400B29"/>
    <w:rsid w:val="00403641"/>
    <w:rsid w:val="0040407A"/>
    <w:rsid w:val="0040435D"/>
    <w:rsid w:val="0040504B"/>
    <w:rsid w:val="0040569D"/>
    <w:rsid w:val="0040578C"/>
    <w:rsid w:val="0040589F"/>
    <w:rsid w:val="00405A08"/>
    <w:rsid w:val="00405BD4"/>
    <w:rsid w:val="00405DA3"/>
    <w:rsid w:val="00406421"/>
    <w:rsid w:val="00410708"/>
    <w:rsid w:val="0041076E"/>
    <w:rsid w:val="00410A3B"/>
    <w:rsid w:val="00410EC7"/>
    <w:rsid w:val="00410FE4"/>
    <w:rsid w:val="00411B39"/>
    <w:rsid w:val="00412446"/>
    <w:rsid w:val="00413591"/>
    <w:rsid w:val="0041366F"/>
    <w:rsid w:val="00413A1E"/>
    <w:rsid w:val="00413DCF"/>
    <w:rsid w:val="00413E74"/>
    <w:rsid w:val="0041442F"/>
    <w:rsid w:val="00414466"/>
    <w:rsid w:val="00414476"/>
    <w:rsid w:val="00414A1F"/>
    <w:rsid w:val="00414C2E"/>
    <w:rsid w:val="004151CF"/>
    <w:rsid w:val="00415740"/>
    <w:rsid w:val="00416364"/>
    <w:rsid w:val="004166B1"/>
    <w:rsid w:val="0041678A"/>
    <w:rsid w:val="00416799"/>
    <w:rsid w:val="0041764D"/>
    <w:rsid w:val="00420870"/>
    <w:rsid w:val="00420A57"/>
    <w:rsid w:val="00420AA6"/>
    <w:rsid w:val="00420B9F"/>
    <w:rsid w:val="004219D8"/>
    <w:rsid w:val="00421CB0"/>
    <w:rsid w:val="00422260"/>
    <w:rsid w:val="004236CE"/>
    <w:rsid w:val="00423EDE"/>
    <w:rsid w:val="0042413F"/>
    <w:rsid w:val="00424578"/>
    <w:rsid w:val="004247B7"/>
    <w:rsid w:val="00424ED0"/>
    <w:rsid w:val="0042500A"/>
    <w:rsid w:val="00425E5C"/>
    <w:rsid w:val="004271CE"/>
    <w:rsid w:val="00427454"/>
    <w:rsid w:val="0042765C"/>
    <w:rsid w:val="00431054"/>
    <w:rsid w:val="004312BE"/>
    <w:rsid w:val="004319F8"/>
    <w:rsid w:val="00431E55"/>
    <w:rsid w:val="004321F6"/>
    <w:rsid w:val="00433044"/>
    <w:rsid w:val="00433EB6"/>
    <w:rsid w:val="0043567C"/>
    <w:rsid w:val="00435D73"/>
    <w:rsid w:val="004362D9"/>
    <w:rsid w:val="004375B9"/>
    <w:rsid w:val="00437994"/>
    <w:rsid w:val="004409E3"/>
    <w:rsid w:val="00440A3D"/>
    <w:rsid w:val="00440F87"/>
    <w:rsid w:val="004413A1"/>
    <w:rsid w:val="0044192A"/>
    <w:rsid w:val="0044227E"/>
    <w:rsid w:val="0044234B"/>
    <w:rsid w:val="004428D0"/>
    <w:rsid w:val="004443A7"/>
    <w:rsid w:val="0044442C"/>
    <w:rsid w:val="004449CD"/>
    <w:rsid w:val="00444FA3"/>
    <w:rsid w:val="00445941"/>
    <w:rsid w:val="00445C25"/>
    <w:rsid w:val="00446205"/>
    <w:rsid w:val="004464EB"/>
    <w:rsid w:val="004466D3"/>
    <w:rsid w:val="00447286"/>
    <w:rsid w:val="00447D26"/>
    <w:rsid w:val="00447ED5"/>
    <w:rsid w:val="00450400"/>
    <w:rsid w:val="00451D3D"/>
    <w:rsid w:val="0045345F"/>
    <w:rsid w:val="00455840"/>
    <w:rsid w:val="00455D45"/>
    <w:rsid w:val="00455FBD"/>
    <w:rsid w:val="00456ACA"/>
    <w:rsid w:val="004602E6"/>
    <w:rsid w:val="004606C0"/>
    <w:rsid w:val="00460B19"/>
    <w:rsid w:val="0046186B"/>
    <w:rsid w:val="00462170"/>
    <w:rsid w:val="0046234E"/>
    <w:rsid w:val="00462625"/>
    <w:rsid w:val="00464595"/>
    <w:rsid w:val="004665BB"/>
    <w:rsid w:val="004666A2"/>
    <w:rsid w:val="004705AD"/>
    <w:rsid w:val="004706C2"/>
    <w:rsid w:val="00471842"/>
    <w:rsid w:val="00471ABB"/>
    <w:rsid w:val="00472A79"/>
    <w:rsid w:val="00473F19"/>
    <w:rsid w:val="00475E22"/>
    <w:rsid w:val="00477210"/>
    <w:rsid w:val="0048088E"/>
    <w:rsid w:val="00480A30"/>
    <w:rsid w:val="0048159A"/>
    <w:rsid w:val="004815CD"/>
    <w:rsid w:val="00481BC3"/>
    <w:rsid w:val="00482720"/>
    <w:rsid w:val="004835E7"/>
    <w:rsid w:val="00483BB7"/>
    <w:rsid w:val="004841B0"/>
    <w:rsid w:val="00484622"/>
    <w:rsid w:val="00485720"/>
    <w:rsid w:val="00485BE9"/>
    <w:rsid w:val="004867E2"/>
    <w:rsid w:val="00487CC0"/>
    <w:rsid w:val="00491B3A"/>
    <w:rsid w:val="00491D3B"/>
    <w:rsid w:val="00492241"/>
    <w:rsid w:val="00492AA3"/>
    <w:rsid w:val="00492CFD"/>
    <w:rsid w:val="00493444"/>
    <w:rsid w:val="00493D1D"/>
    <w:rsid w:val="00494244"/>
    <w:rsid w:val="004944BC"/>
    <w:rsid w:val="00494906"/>
    <w:rsid w:val="00494B55"/>
    <w:rsid w:val="00494DD5"/>
    <w:rsid w:val="004956B3"/>
    <w:rsid w:val="004962D2"/>
    <w:rsid w:val="0049787A"/>
    <w:rsid w:val="004A077E"/>
    <w:rsid w:val="004A0DA1"/>
    <w:rsid w:val="004A0E0F"/>
    <w:rsid w:val="004A16E3"/>
    <w:rsid w:val="004A2921"/>
    <w:rsid w:val="004A2BFC"/>
    <w:rsid w:val="004A3259"/>
    <w:rsid w:val="004A35E5"/>
    <w:rsid w:val="004A376B"/>
    <w:rsid w:val="004A3962"/>
    <w:rsid w:val="004A52E9"/>
    <w:rsid w:val="004A6597"/>
    <w:rsid w:val="004A684D"/>
    <w:rsid w:val="004A69EF"/>
    <w:rsid w:val="004A7848"/>
    <w:rsid w:val="004B1209"/>
    <w:rsid w:val="004B1CB4"/>
    <w:rsid w:val="004B246F"/>
    <w:rsid w:val="004B2F18"/>
    <w:rsid w:val="004B3D3C"/>
    <w:rsid w:val="004B3DDB"/>
    <w:rsid w:val="004B44FD"/>
    <w:rsid w:val="004B4C13"/>
    <w:rsid w:val="004B4CFB"/>
    <w:rsid w:val="004B5CFC"/>
    <w:rsid w:val="004B6EC1"/>
    <w:rsid w:val="004B72BE"/>
    <w:rsid w:val="004B774D"/>
    <w:rsid w:val="004C0092"/>
    <w:rsid w:val="004C16F0"/>
    <w:rsid w:val="004C2F39"/>
    <w:rsid w:val="004C4AED"/>
    <w:rsid w:val="004C4DC7"/>
    <w:rsid w:val="004C4E72"/>
    <w:rsid w:val="004C62E6"/>
    <w:rsid w:val="004C639C"/>
    <w:rsid w:val="004C64A5"/>
    <w:rsid w:val="004C745B"/>
    <w:rsid w:val="004C7D26"/>
    <w:rsid w:val="004D198D"/>
    <w:rsid w:val="004D1F65"/>
    <w:rsid w:val="004D2C2D"/>
    <w:rsid w:val="004D4B7A"/>
    <w:rsid w:val="004D4EEB"/>
    <w:rsid w:val="004D5C6D"/>
    <w:rsid w:val="004D6AD7"/>
    <w:rsid w:val="004D7227"/>
    <w:rsid w:val="004E078C"/>
    <w:rsid w:val="004E0AFD"/>
    <w:rsid w:val="004E0E7F"/>
    <w:rsid w:val="004E0EB8"/>
    <w:rsid w:val="004E200A"/>
    <w:rsid w:val="004E2598"/>
    <w:rsid w:val="004E2ADC"/>
    <w:rsid w:val="004E2B9D"/>
    <w:rsid w:val="004E3CA7"/>
    <w:rsid w:val="004E3FC3"/>
    <w:rsid w:val="004E43B2"/>
    <w:rsid w:val="004E45F6"/>
    <w:rsid w:val="004E4993"/>
    <w:rsid w:val="004E4E5E"/>
    <w:rsid w:val="004E6A3A"/>
    <w:rsid w:val="004E7F94"/>
    <w:rsid w:val="004F005B"/>
    <w:rsid w:val="004F06A0"/>
    <w:rsid w:val="004F1998"/>
    <w:rsid w:val="004F1BF2"/>
    <w:rsid w:val="004F1C83"/>
    <w:rsid w:val="004F1D02"/>
    <w:rsid w:val="004F2679"/>
    <w:rsid w:val="004F2876"/>
    <w:rsid w:val="004F2F21"/>
    <w:rsid w:val="004F32DF"/>
    <w:rsid w:val="004F3BF6"/>
    <w:rsid w:val="004F3F3D"/>
    <w:rsid w:val="004F42EC"/>
    <w:rsid w:val="004F4352"/>
    <w:rsid w:val="004F4614"/>
    <w:rsid w:val="004F48A8"/>
    <w:rsid w:val="004F5A82"/>
    <w:rsid w:val="004F5F9E"/>
    <w:rsid w:val="004F633D"/>
    <w:rsid w:val="004F6913"/>
    <w:rsid w:val="004F6D9A"/>
    <w:rsid w:val="004F775F"/>
    <w:rsid w:val="004F7865"/>
    <w:rsid w:val="005001BA"/>
    <w:rsid w:val="00501214"/>
    <w:rsid w:val="00501FAF"/>
    <w:rsid w:val="0050219B"/>
    <w:rsid w:val="0050234E"/>
    <w:rsid w:val="00503F17"/>
    <w:rsid w:val="00504A50"/>
    <w:rsid w:val="00504C28"/>
    <w:rsid w:val="005059E6"/>
    <w:rsid w:val="00505D65"/>
    <w:rsid w:val="0050645C"/>
    <w:rsid w:val="00506928"/>
    <w:rsid w:val="005069FF"/>
    <w:rsid w:val="00507738"/>
    <w:rsid w:val="005079CD"/>
    <w:rsid w:val="005126CD"/>
    <w:rsid w:val="005129A9"/>
    <w:rsid w:val="0051377C"/>
    <w:rsid w:val="005137D5"/>
    <w:rsid w:val="00513D54"/>
    <w:rsid w:val="005152B5"/>
    <w:rsid w:val="00515A56"/>
    <w:rsid w:val="005167AE"/>
    <w:rsid w:val="00521319"/>
    <w:rsid w:val="0052258D"/>
    <w:rsid w:val="00522BC8"/>
    <w:rsid w:val="00523239"/>
    <w:rsid w:val="00523C28"/>
    <w:rsid w:val="005240D9"/>
    <w:rsid w:val="00524E57"/>
    <w:rsid w:val="005255E2"/>
    <w:rsid w:val="00525D32"/>
    <w:rsid w:val="00525FEA"/>
    <w:rsid w:val="00527726"/>
    <w:rsid w:val="00527E2B"/>
    <w:rsid w:val="00530400"/>
    <w:rsid w:val="0053056E"/>
    <w:rsid w:val="0053113B"/>
    <w:rsid w:val="005315A8"/>
    <w:rsid w:val="00531DB4"/>
    <w:rsid w:val="00534FC8"/>
    <w:rsid w:val="0053601A"/>
    <w:rsid w:val="00536E8E"/>
    <w:rsid w:val="00536F42"/>
    <w:rsid w:val="00537182"/>
    <w:rsid w:val="00537271"/>
    <w:rsid w:val="00540DDE"/>
    <w:rsid w:val="00541B37"/>
    <w:rsid w:val="00542743"/>
    <w:rsid w:val="00542C2D"/>
    <w:rsid w:val="00543B0D"/>
    <w:rsid w:val="0054463D"/>
    <w:rsid w:val="00545E74"/>
    <w:rsid w:val="00545FD9"/>
    <w:rsid w:val="00546370"/>
    <w:rsid w:val="00547771"/>
    <w:rsid w:val="00547C2E"/>
    <w:rsid w:val="00547DA3"/>
    <w:rsid w:val="0055090C"/>
    <w:rsid w:val="00551985"/>
    <w:rsid w:val="00551C5C"/>
    <w:rsid w:val="00551ED1"/>
    <w:rsid w:val="00552BD3"/>
    <w:rsid w:val="00554310"/>
    <w:rsid w:val="00554A8D"/>
    <w:rsid w:val="00555109"/>
    <w:rsid w:val="00555976"/>
    <w:rsid w:val="00557A22"/>
    <w:rsid w:val="0056149A"/>
    <w:rsid w:val="00561A6C"/>
    <w:rsid w:val="00561AC2"/>
    <w:rsid w:val="00561D1E"/>
    <w:rsid w:val="00561D52"/>
    <w:rsid w:val="00562BBE"/>
    <w:rsid w:val="00563A08"/>
    <w:rsid w:val="00563FCD"/>
    <w:rsid w:val="005647CE"/>
    <w:rsid w:val="005656F8"/>
    <w:rsid w:val="005658F8"/>
    <w:rsid w:val="005660F2"/>
    <w:rsid w:val="00566772"/>
    <w:rsid w:val="0056696F"/>
    <w:rsid w:val="00566AD9"/>
    <w:rsid w:val="0056756D"/>
    <w:rsid w:val="0056791A"/>
    <w:rsid w:val="00570D78"/>
    <w:rsid w:val="00571047"/>
    <w:rsid w:val="00572269"/>
    <w:rsid w:val="005722BE"/>
    <w:rsid w:val="0057244A"/>
    <w:rsid w:val="00572900"/>
    <w:rsid w:val="005730BD"/>
    <w:rsid w:val="005733E4"/>
    <w:rsid w:val="0057484B"/>
    <w:rsid w:val="00575327"/>
    <w:rsid w:val="00575D8D"/>
    <w:rsid w:val="00576883"/>
    <w:rsid w:val="00576972"/>
    <w:rsid w:val="00577AB3"/>
    <w:rsid w:val="00577C4C"/>
    <w:rsid w:val="00580245"/>
    <w:rsid w:val="0058132B"/>
    <w:rsid w:val="00582994"/>
    <w:rsid w:val="00583699"/>
    <w:rsid w:val="00583BAE"/>
    <w:rsid w:val="00584C51"/>
    <w:rsid w:val="00584F51"/>
    <w:rsid w:val="00585914"/>
    <w:rsid w:val="00585CDD"/>
    <w:rsid w:val="00587058"/>
    <w:rsid w:val="00587079"/>
    <w:rsid w:val="00587959"/>
    <w:rsid w:val="005903FA"/>
    <w:rsid w:val="00591957"/>
    <w:rsid w:val="0059262C"/>
    <w:rsid w:val="00593AD6"/>
    <w:rsid w:val="00594773"/>
    <w:rsid w:val="005961E0"/>
    <w:rsid w:val="00597BF9"/>
    <w:rsid w:val="005A057F"/>
    <w:rsid w:val="005A1C3A"/>
    <w:rsid w:val="005A2A78"/>
    <w:rsid w:val="005A2E99"/>
    <w:rsid w:val="005A373D"/>
    <w:rsid w:val="005A3E35"/>
    <w:rsid w:val="005A4550"/>
    <w:rsid w:val="005A6A4D"/>
    <w:rsid w:val="005A7922"/>
    <w:rsid w:val="005A79FC"/>
    <w:rsid w:val="005B01F9"/>
    <w:rsid w:val="005B1906"/>
    <w:rsid w:val="005B193D"/>
    <w:rsid w:val="005B2889"/>
    <w:rsid w:val="005B2F2D"/>
    <w:rsid w:val="005B33C3"/>
    <w:rsid w:val="005B45DC"/>
    <w:rsid w:val="005B5857"/>
    <w:rsid w:val="005B6466"/>
    <w:rsid w:val="005B649A"/>
    <w:rsid w:val="005B67AA"/>
    <w:rsid w:val="005C065B"/>
    <w:rsid w:val="005C1155"/>
    <w:rsid w:val="005C149F"/>
    <w:rsid w:val="005C1B83"/>
    <w:rsid w:val="005C2B13"/>
    <w:rsid w:val="005C2D55"/>
    <w:rsid w:val="005C346B"/>
    <w:rsid w:val="005C3CEA"/>
    <w:rsid w:val="005C4353"/>
    <w:rsid w:val="005C4B70"/>
    <w:rsid w:val="005C56DD"/>
    <w:rsid w:val="005C5C73"/>
    <w:rsid w:val="005C7333"/>
    <w:rsid w:val="005D00AC"/>
    <w:rsid w:val="005D01D7"/>
    <w:rsid w:val="005D044D"/>
    <w:rsid w:val="005D0529"/>
    <w:rsid w:val="005D0ABD"/>
    <w:rsid w:val="005D18AD"/>
    <w:rsid w:val="005D19DF"/>
    <w:rsid w:val="005D26B4"/>
    <w:rsid w:val="005D27E5"/>
    <w:rsid w:val="005D2A76"/>
    <w:rsid w:val="005D2C10"/>
    <w:rsid w:val="005D3B52"/>
    <w:rsid w:val="005D4E3B"/>
    <w:rsid w:val="005D61B7"/>
    <w:rsid w:val="005D6755"/>
    <w:rsid w:val="005D68E1"/>
    <w:rsid w:val="005D697A"/>
    <w:rsid w:val="005D6F14"/>
    <w:rsid w:val="005D7639"/>
    <w:rsid w:val="005E02A6"/>
    <w:rsid w:val="005E0C31"/>
    <w:rsid w:val="005E1AF8"/>
    <w:rsid w:val="005E1BFB"/>
    <w:rsid w:val="005E2A41"/>
    <w:rsid w:val="005E2FB1"/>
    <w:rsid w:val="005E48AA"/>
    <w:rsid w:val="005E4A57"/>
    <w:rsid w:val="005E672D"/>
    <w:rsid w:val="005E6ABD"/>
    <w:rsid w:val="005E6CBC"/>
    <w:rsid w:val="005E73C0"/>
    <w:rsid w:val="005E7BD4"/>
    <w:rsid w:val="005E7E3D"/>
    <w:rsid w:val="005F0CD1"/>
    <w:rsid w:val="005F2706"/>
    <w:rsid w:val="005F430D"/>
    <w:rsid w:val="005F50A6"/>
    <w:rsid w:val="005F669C"/>
    <w:rsid w:val="005F6A8F"/>
    <w:rsid w:val="005F7A49"/>
    <w:rsid w:val="00600271"/>
    <w:rsid w:val="00600585"/>
    <w:rsid w:val="00601644"/>
    <w:rsid w:val="00602C55"/>
    <w:rsid w:val="006035F9"/>
    <w:rsid w:val="0060376C"/>
    <w:rsid w:val="00603DB9"/>
    <w:rsid w:val="0060423E"/>
    <w:rsid w:val="00604B12"/>
    <w:rsid w:val="00605B62"/>
    <w:rsid w:val="0060610F"/>
    <w:rsid w:val="00606205"/>
    <w:rsid w:val="00606E4B"/>
    <w:rsid w:val="00607669"/>
    <w:rsid w:val="00607AFD"/>
    <w:rsid w:val="00607B86"/>
    <w:rsid w:val="00610D3D"/>
    <w:rsid w:val="00610DB1"/>
    <w:rsid w:val="006114C2"/>
    <w:rsid w:val="00611619"/>
    <w:rsid w:val="0061173A"/>
    <w:rsid w:val="0061227A"/>
    <w:rsid w:val="0061246D"/>
    <w:rsid w:val="00612645"/>
    <w:rsid w:val="00612E45"/>
    <w:rsid w:val="00612F97"/>
    <w:rsid w:val="00613433"/>
    <w:rsid w:val="0061345D"/>
    <w:rsid w:val="00613DF2"/>
    <w:rsid w:val="006153F3"/>
    <w:rsid w:val="00616802"/>
    <w:rsid w:val="00616E53"/>
    <w:rsid w:val="006176D4"/>
    <w:rsid w:val="00617BFC"/>
    <w:rsid w:val="00617E12"/>
    <w:rsid w:val="00620F59"/>
    <w:rsid w:val="00621477"/>
    <w:rsid w:val="00623653"/>
    <w:rsid w:val="0062464A"/>
    <w:rsid w:val="006256A7"/>
    <w:rsid w:val="00625DE2"/>
    <w:rsid w:val="00626103"/>
    <w:rsid w:val="00626909"/>
    <w:rsid w:val="00626F4C"/>
    <w:rsid w:val="0062711A"/>
    <w:rsid w:val="006272E6"/>
    <w:rsid w:val="00630934"/>
    <w:rsid w:val="0063158F"/>
    <w:rsid w:val="006316A9"/>
    <w:rsid w:val="00631D6B"/>
    <w:rsid w:val="006320AD"/>
    <w:rsid w:val="00632C8F"/>
    <w:rsid w:val="006330A1"/>
    <w:rsid w:val="00634720"/>
    <w:rsid w:val="0063479F"/>
    <w:rsid w:val="00635134"/>
    <w:rsid w:val="006353F0"/>
    <w:rsid w:val="006364A1"/>
    <w:rsid w:val="0063729F"/>
    <w:rsid w:val="00637ADB"/>
    <w:rsid w:val="00637BFD"/>
    <w:rsid w:val="00640646"/>
    <w:rsid w:val="00641C4E"/>
    <w:rsid w:val="00642C59"/>
    <w:rsid w:val="006430CC"/>
    <w:rsid w:val="006433C7"/>
    <w:rsid w:val="00643A50"/>
    <w:rsid w:val="00643B89"/>
    <w:rsid w:val="00643D7A"/>
    <w:rsid w:val="0064483B"/>
    <w:rsid w:val="00644A1F"/>
    <w:rsid w:val="00646084"/>
    <w:rsid w:val="00646CB1"/>
    <w:rsid w:val="006471CC"/>
    <w:rsid w:val="00647AC9"/>
    <w:rsid w:val="00647E9A"/>
    <w:rsid w:val="0065079F"/>
    <w:rsid w:val="00652100"/>
    <w:rsid w:val="00652F3C"/>
    <w:rsid w:val="0065379F"/>
    <w:rsid w:val="006537DF"/>
    <w:rsid w:val="0065618C"/>
    <w:rsid w:val="00657173"/>
    <w:rsid w:val="0065765A"/>
    <w:rsid w:val="00660287"/>
    <w:rsid w:val="00660C09"/>
    <w:rsid w:val="00660F6D"/>
    <w:rsid w:val="0066151A"/>
    <w:rsid w:val="00661C6B"/>
    <w:rsid w:val="00661C99"/>
    <w:rsid w:val="00661EBC"/>
    <w:rsid w:val="006622A3"/>
    <w:rsid w:val="00662D0A"/>
    <w:rsid w:val="00664071"/>
    <w:rsid w:val="00665A7E"/>
    <w:rsid w:val="00667191"/>
    <w:rsid w:val="00667510"/>
    <w:rsid w:val="006703D5"/>
    <w:rsid w:val="006705FC"/>
    <w:rsid w:val="006714A5"/>
    <w:rsid w:val="006733B4"/>
    <w:rsid w:val="00674E42"/>
    <w:rsid w:val="0067664F"/>
    <w:rsid w:val="00676E15"/>
    <w:rsid w:val="0067710B"/>
    <w:rsid w:val="00677510"/>
    <w:rsid w:val="00677F10"/>
    <w:rsid w:val="0068040B"/>
    <w:rsid w:val="0068067F"/>
    <w:rsid w:val="00680B5F"/>
    <w:rsid w:val="00680C1E"/>
    <w:rsid w:val="00681575"/>
    <w:rsid w:val="00682112"/>
    <w:rsid w:val="00682E83"/>
    <w:rsid w:val="00683C6F"/>
    <w:rsid w:val="00684A3B"/>
    <w:rsid w:val="0068587A"/>
    <w:rsid w:val="00686957"/>
    <w:rsid w:val="006872BA"/>
    <w:rsid w:val="00690B26"/>
    <w:rsid w:val="00691648"/>
    <w:rsid w:val="006917A5"/>
    <w:rsid w:val="006917D7"/>
    <w:rsid w:val="0069344E"/>
    <w:rsid w:val="006947AD"/>
    <w:rsid w:val="00694F44"/>
    <w:rsid w:val="00695239"/>
    <w:rsid w:val="00695E15"/>
    <w:rsid w:val="0069606B"/>
    <w:rsid w:val="006971A0"/>
    <w:rsid w:val="00697C45"/>
    <w:rsid w:val="006A4956"/>
    <w:rsid w:val="006A4BB6"/>
    <w:rsid w:val="006A532A"/>
    <w:rsid w:val="006A56C8"/>
    <w:rsid w:val="006A7E5F"/>
    <w:rsid w:val="006B07C3"/>
    <w:rsid w:val="006B12C4"/>
    <w:rsid w:val="006B1806"/>
    <w:rsid w:val="006B18DF"/>
    <w:rsid w:val="006B261B"/>
    <w:rsid w:val="006B2C90"/>
    <w:rsid w:val="006B485B"/>
    <w:rsid w:val="006B5BDA"/>
    <w:rsid w:val="006B6DD0"/>
    <w:rsid w:val="006B6F6D"/>
    <w:rsid w:val="006B75EE"/>
    <w:rsid w:val="006C0518"/>
    <w:rsid w:val="006C0F2F"/>
    <w:rsid w:val="006C2206"/>
    <w:rsid w:val="006C27BC"/>
    <w:rsid w:val="006C2A8E"/>
    <w:rsid w:val="006C2DD4"/>
    <w:rsid w:val="006C3C87"/>
    <w:rsid w:val="006C3DFF"/>
    <w:rsid w:val="006C4D30"/>
    <w:rsid w:val="006C5C03"/>
    <w:rsid w:val="006C6463"/>
    <w:rsid w:val="006C69B7"/>
    <w:rsid w:val="006D1DDB"/>
    <w:rsid w:val="006D2BEB"/>
    <w:rsid w:val="006D3C7D"/>
    <w:rsid w:val="006D3D79"/>
    <w:rsid w:val="006D3E1F"/>
    <w:rsid w:val="006D441B"/>
    <w:rsid w:val="006D45BB"/>
    <w:rsid w:val="006D5D5F"/>
    <w:rsid w:val="006D699C"/>
    <w:rsid w:val="006D6B3B"/>
    <w:rsid w:val="006D6BAD"/>
    <w:rsid w:val="006D6BCC"/>
    <w:rsid w:val="006D75DA"/>
    <w:rsid w:val="006D77C7"/>
    <w:rsid w:val="006E0528"/>
    <w:rsid w:val="006E0FDA"/>
    <w:rsid w:val="006E101C"/>
    <w:rsid w:val="006E1891"/>
    <w:rsid w:val="006E1921"/>
    <w:rsid w:val="006E2316"/>
    <w:rsid w:val="006E29E0"/>
    <w:rsid w:val="006E2CBC"/>
    <w:rsid w:val="006E306A"/>
    <w:rsid w:val="006E3316"/>
    <w:rsid w:val="006E3AE8"/>
    <w:rsid w:val="006E4FAA"/>
    <w:rsid w:val="006E62A8"/>
    <w:rsid w:val="006E6BA6"/>
    <w:rsid w:val="006E71DD"/>
    <w:rsid w:val="006E776A"/>
    <w:rsid w:val="006E78AC"/>
    <w:rsid w:val="006E7FE0"/>
    <w:rsid w:val="006F0264"/>
    <w:rsid w:val="006F1D97"/>
    <w:rsid w:val="006F1F8C"/>
    <w:rsid w:val="006F2DEF"/>
    <w:rsid w:val="006F306C"/>
    <w:rsid w:val="006F345B"/>
    <w:rsid w:val="006F43C3"/>
    <w:rsid w:val="006F509A"/>
    <w:rsid w:val="006F5E2F"/>
    <w:rsid w:val="006F5FB1"/>
    <w:rsid w:val="006F638C"/>
    <w:rsid w:val="006F63A5"/>
    <w:rsid w:val="006F78CD"/>
    <w:rsid w:val="00700A24"/>
    <w:rsid w:val="0070142B"/>
    <w:rsid w:val="007020C2"/>
    <w:rsid w:val="0070276E"/>
    <w:rsid w:val="00702F8F"/>
    <w:rsid w:val="007032D2"/>
    <w:rsid w:val="007033E2"/>
    <w:rsid w:val="0070558E"/>
    <w:rsid w:val="00706810"/>
    <w:rsid w:val="00707A92"/>
    <w:rsid w:val="00707F96"/>
    <w:rsid w:val="00710CC7"/>
    <w:rsid w:val="00711617"/>
    <w:rsid w:val="00711A36"/>
    <w:rsid w:val="00713154"/>
    <w:rsid w:val="0071369A"/>
    <w:rsid w:val="00714581"/>
    <w:rsid w:val="00714BA0"/>
    <w:rsid w:val="00715174"/>
    <w:rsid w:val="0071529C"/>
    <w:rsid w:val="007171E0"/>
    <w:rsid w:val="007172AD"/>
    <w:rsid w:val="007173DA"/>
    <w:rsid w:val="0071795F"/>
    <w:rsid w:val="00722B1B"/>
    <w:rsid w:val="0072416F"/>
    <w:rsid w:val="00724DDC"/>
    <w:rsid w:val="00725872"/>
    <w:rsid w:val="00725B53"/>
    <w:rsid w:val="00726152"/>
    <w:rsid w:val="00727C94"/>
    <w:rsid w:val="00727F4E"/>
    <w:rsid w:val="007303EA"/>
    <w:rsid w:val="00730D50"/>
    <w:rsid w:val="00731036"/>
    <w:rsid w:val="0073179B"/>
    <w:rsid w:val="00731E8D"/>
    <w:rsid w:val="00731EAE"/>
    <w:rsid w:val="00735033"/>
    <w:rsid w:val="00735328"/>
    <w:rsid w:val="00735AB5"/>
    <w:rsid w:val="00735AF3"/>
    <w:rsid w:val="00735F72"/>
    <w:rsid w:val="0073685B"/>
    <w:rsid w:val="007368AD"/>
    <w:rsid w:val="00736EBC"/>
    <w:rsid w:val="007418B4"/>
    <w:rsid w:val="00742C98"/>
    <w:rsid w:val="00746225"/>
    <w:rsid w:val="00746A6F"/>
    <w:rsid w:val="00746F02"/>
    <w:rsid w:val="00750200"/>
    <w:rsid w:val="00750322"/>
    <w:rsid w:val="00750404"/>
    <w:rsid w:val="00750C09"/>
    <w:rsid w:val="00751871"/>
    <w:rsid w:val="00752142"/>
    <w:rsid w:val="007523F9"/>
    <w:rsid w:val="00753250"/>
    <w:rsid w:val="007534CA"/>
    <w:rsid w:val="00754636"/>
    <w:rsid w:val="00754CCF"/>
    <w:rsid w:val="00755922"/>
    <w:rsid w:val="00755F90"/>
    <w:rsid w:val="0075603B"/>
    <w:rsid w:val="007573E8"/>
    <w:rsid w:val="007574C9"/>
    <w:rsid w:val="007579B2"/>
    <w:rsid w:val="00760C4E"/>
    <w:rsid w:val="007624F1"/>
    <w:rsid w:val="00763065"/>
    <w:rsid w:val="0076398D"/>
    <w:rsid w:val="00763DE4"/>
    <w:rsid w:val="00764A7A"/>
    <w:rsid w:val="00764BAE"/>
    <w:rsid w:val="00764E00"/>
    <w:rsid w:val="00765640"/>
    <w:rsid w:val="00765B1A"/>
    <w:rsid w:val="00766EB6"/>
    <w:rsid w:val="00770ADB"/>
    <w:rsid w:val="00770B61"/>
    <w:rsid w:val="00771EB3"/>
    <w:rsid w:val="007722A1"/>
    <w:rsid w:val="007739FE"/>
    <w:rsid w:val="00773CC0"/>
    <w:rsid w:val="007759B6"/>
    <w:rsid w:val="00775EC3"/>
    <w:rsid w:val="0077768B"/>
    <w:rsid w:val="00777891"/>
    <w:rsid w:val="00777F0E"/>
    <w:rsid w:val="0078112E"/>
    <w:rsid w:val="00781C83"/>
    <w:rsid w:val="007843F2"/>
    <w:rsid w:val="007845EA"/>
    <w:rsid w:val="007849D1"/>
    <w:rsid w:val="007902EA"/>
    <w:rsid w:val="00790CCE"/>
    <w:rsid w:val="0079158D"/>
    <w:rsid w:val="00791779"/>
    <w:rsid w:val="007919C7"/>
    <w:rsid w:val="007934AC"/>
    <w:rsid w:val="00794082"/>
    <w:rsid w:val="00794EB2"/>
    <w:rsid w:val="00794F0A"/>
    <w:rsid w:val="007950C4"/>
    <w:rsid w:val="007977D7"/>
    <w:rsid w:val="007979E5"/>
    <w:rsid w:val="007A0A12"/>
    <w:rsid w:val="007A132D"/>
    <w:rsid w:val="007A2A79"/>
    <w:rsid w:val="007A2EF0"/>
    <w:rsid w:val="007A4BAC"/>
    <w:rsid w:val="007A52DB"/>
    <w:rsid w:val="007A587E"/>
    <w:rsid w:val="007A7200"/>
    <w:rsid w:val="007A7B25"/>
    <w:rsid w:val="007A7E9A"/>
    <w:rsid w:val="007B0D68"/>
    <w:rsid w:val="007B2062"/>
    <w:rsid w:val="007B251D"/>
    <w:rsid w:val="007B3505"/>
    <w:rsid w:val="007B4F58"/>
    <w:rsid w:val="007B528D"/>
    <w:rsid w:val="007B59A0"/>
    <w:rsid w:val="007B77D1"/>
    <w:rsid w:val="007C0E07"/>
    <w:rsid w:val="007C0FED"/>
    <w:rsid w:val="007C1CD9"/>
    <w:rsid w:val="007C2554"/>
    <w:rsid w:val="007C2817"/>
    <w:rsid w:val="007C361D"/>
    <w:rsid w:val="007C3B28"/>
    <w:rsid w:val="007C4B1C"/>
    <w:rsid w:val="007C4B84"/>
    <w:rsid w:val="007C56DE"/>
    <w:rsid w:val="007C58A8"/>
    <w:rsid w:val="007C61BF"/>
    <w:rsid w:val="007C6392"/>
    <w:rsid w:val="007C6848"/>
    <w:rsid w:val="007C6E91"/>
    <w:rsid w:val="007C7350"/>
    <w:rsid w:val="007C7466"/>
    <w:rsid w:val="007D004F"/>
    <w:rsid w:val="007D0B38"/>
    <w:rsid w:val="007D3798"/>
    <w:rsid w:val="007D3C3B"/>
    <w:rsid w:val="007D4C86"/>
    <w:rsid w:val="007D5105"/>
    <w:rsid w:val="007D5440"/>
    <w:rsid w:val="007D6430"/>
    <w:rsid w:val="007D656D"/>
    <w:rsid w:val="007D7F73"/>
    <w:rsid w:val="007E0463"/>
    <w:rsid w:val="007E105A"/>
    <w:rsid w:val="007E3454"/>
    <w:rsid w:val="007E3B1F"/>
    <w:rsid w:val="007E452C"/>
    <w:rsid w:val="007E4665"/>
    <w:rsid w:val="007E78B7"/>
    <w:rsid w:val="007E7B14"/>
    <w:rsid w:val="007E7C77"/>
    <w:rsid w:val="007E7CD4"/>
    <w:rsid w:val="007F08A8"/>
    <w:rsid w:val="007F0A14"/>
    <w:rsid w:val="007F1017"/>
    <w:rsid w:val="007F1157"/>
    <w:rsid w:val="007F364A"/>
    <w:rsid w:val="007F4A3F"/>
    <w:rsid w:val="007F4A61"/>
    <w:rsid w:val="007F53B1"/>
    <w:rsid w:val="007F61C2"/>
    <w:rsid w:val="007F6E31"/>
    <w:rsid w:val="00800110"/>
    <w:rsid w:val="00800C04"/>
    <w:rsid w:val="00800F30"/>
    <w:rsid w:val="00801C48"/>
    <w:rsid w:val="00802D5F"/>
    <w:rsid w:val="008033A5"/>
    <w:rsid w:val="008039C5"/>
    <w:rsid w:val="00805142"/>
    <w:rsid w:val="0080659B"/>
    <w:rsid w:val="00806D17"/>
    <w:rsid w:val="00807A8B"/>
    <w:rsid w:val="00807EB7"/>
    <w:rsid w:val="00810D63"/>
    <w:rsid w:val="00811383"/>
    <w:rsid w:val="00811AF9"/>
    <w:rsid w:val="00812149"/>
    <w:rsid w:val="00812714"/>
    <w:rsid w:val="00812CAC"/>
    <w:rsid w:val="00815D02"/>
    <w:rsid w:val="00815E61"/>
    <w:rsid w:val="008166EF"/>
    <w:rsid w:val="008167A8"/>
    <w:rsid w:val="00816C61"/>
    <w:rsid w:val="008176D3"/>
    <w:rsid w:val="00817749"/>
    <w:rsid w:val="008177FF"/>
    <w:rsid w:val="00817A17"/>
    <w:rsid w:val="00817B25"/>
    <w:rsid w:val="00817B8E"/>
    <w:rsid w:val="00820D87"/>
    <w:rsid w:val="00821657"/>
    <w:rsid w:val="00822E20"/>
    <w:rsid w:val="00824416"/>
    <w:rsid w:val="008250EE"/>
    <w:rsid w:val="00825751"/>
    <w:rsid w:val="008264EB"/>
    <w:rsid w:val="0082696E"/>
    <w:rsid w:val="00826BDB"/>
    <w:rsid w:val="00826F29"/>
    <w:rsid w:val="00827421"/>
    <w:rsid w:val="00827B66"/>
    <w:rsid w:val="008305AE"/>
    <w:rsid w:val="0083090C"/>
    <w:rsid w:val="008309B0"/>
    <w:rsid w:val="008322D6"/>
    <w:rsid w:val="008337AB"/>
    <w:rsid w:val="00833B05"/>
    <w:rsid w:val="008362B4"/>
    <w:rsid w:val="00837260"/>
    <w:rsid w:val="0083733A"/>
    <w:rsid w:val="00837F69"/>
    <w:rsid w:val="00840099"/>
    <w:rsid w:val="008403E8"/>
    <w:rsid w:val="00840BEA"/>
    <w:rsid w:val="00840CA2"/>
    <w:rsid w:val="008410B8"/>
    <w:rsid w:val="00841483"/>
    <w:rsid w:val="008416FF"/>
    <w:rsid w:val="00841700"/>
    <w:rsid w:val="0084374F"/>
    <w:rsid w:val="00843933"/>
    <w:rsid w:val="008439CB"/>
    <w:rsid w:val="008454E5"/>
    <w:rsid w:val="00846CA2"/>
    <w:rsid w:val="008471C2"/>
    <w:rsid w:val="00847DF5"/>
    <w:rsid w:val="008522A3"/>
    <w:rsid w:val="008524AE"/>
    <w:rsid w:val="00852B38"/>
    <w:rsid w:val="00852EF2"/>
    <w:rsid w:val="0085309D"/>
    <w:rsid w:val="00853D19"/>
    <w:rsid w:val="008547B3"/>
    <w:rsid w:val="00854BAF"/>
    <w:rsid w:val="00854D47"/>
    <w:rsid w:val="00855CCF"/>
    <w:rsid w:val="0085655B"/>
    <w:rsid w:val="00856637"/>
    <w:rsid w:val="00856897"/>
    <w:rsid w:val="00856E9A"/>
    <w:rsid w:val="00857191"/>
    <w:rsid w:val="008604E2"/>
    <w:rsid w:val="0086075D"/>
    <w:rsid w:val="00861FA7"/>
    <w:rsid w:val="00862502"/>
    <w:rsid w:val="00862963"/>
    <w:rsid w:val="00862ACE"/>
    <w:rsid w:val="00864114"/>
    <w:rsid w:val="0086422F"/>
    <w:rsid w:val="008660D4"/>
    <w:rsid w:val="008667DD"/>
    <w:rsid w:val="00870047"/>
    <w:rsid w:val="00870F42"/>
    <w:rsid w:val="00871FA9"/>
    <w:rsid w:val="008722A1"/>
    <w:rsid w:val="008728E9"/>
    <w:rsid w:val="0087438B"/>
    <w:rsid w:val="0087488B"/>
    <w:rsid w:val="00875B58"/>
    <w:rsid w:val="00875C27"/>
    <w:rsid w:val="008769D2"/>
    <w:rsid w:val="0087740C"/>
    <w:rsid w:val="00880110"/>
    <w:rsid w:val="00880FEB"/>
    <w:rsid w:val="00881105"/>
    <w:rsid w:val="00881450"/>
    <w:rsid w:val="008815FD"/>
    <w:rsid w:val="00882874"/>
    <w:rsid w:val="00883787"/>
    <w:rsid w:val="00884669"/>
    <w:rsid w:val="00884D96"/>
    <w:rsid w:val="008853D9"/>
    <w:rsid w:val="00886AAF"/>
    <w:rsid w:val="00886CA6"/>
    <w:rsid w:val="00886CD2"/>
    <w:rsid w:val="00887BB9"/>
    <w:rsid w:val="008905EC"/>
    <w:rsid w:val="008909A3"/>
    <w:rsid w:val="00890EA2"/>
    <w:rsid w:val="00891125"/>
    <w:rsid w:val="00892A36"/>
    <w:rsid w:val="00892D51"/>
    <w:rsid w:val="00893239"/>
    <w:rsid w:val="00893C06"/>
    <w:rsid w:val="00893E7E"/>
    <w:rsid w:val="008941DE"/>
    <w:rsid w:val="008941F1"/>
    <w:rsid w:val="00894489"/>
    <w:rsid w:val="00895E05"/>
    <w:rsid w:val="00895EB6"/>
    <w:rsid w:val="008963A5"/>
    <w:rsid w:val="00896F8A"/>
    <w:rsid w:val="0089722B"/>
    <w:rsid w:val="008A019C"/>
    <w:rsid w:val="008A2126"/>
    <w:rsid w:val="008A23A2"/>
    <w:rsid w:val="008A2ED6"/>
    <w:rsid w:val="008A3363"/>
    <w:rsid w:val="008A3371"/>
    <w:rsid w:val="008A3C3E"/>
    <w:rsid w:val="008A469F"/>
    <w:rsid w:val="008A50ED"/>
    <w:rsid w:val="008A607F"/>
    <w:rsid w:val="008A6595"/>
    <w:rsid w:val="008A71A4"/>
    <w:rsid w:val="008A77DC"/>
    <w:rsid w:val="008A79DE"/>
    <w:rsid w:val="008A7CB0"/>
    <w:rsid w:val="008B0DB3"/>
    <w:rsid w:val="008B1757"/>
    <w:rsid w:val="008B29B2"/>
    <w:rsid w:val="008B327E"/>
    <w:rsid w:val="008B45D0"/>
    <w:rsid w:val="008B4D90"/>
    <w:rsid w:val="008B522E"/>
    <w:rsid w:val="008B6914"/>
    <w:rsid w:val="008B6DBD"/>
    <w:rsid w:val="008B7D7E"/>
    <w:rsid w:val="008C019A"/>
    <w:rsid w:val="008C0702"/>
    <w:rsid w:val="008C0BE2"/>
    <w:rsid w:val="008C24C7"/>
    <w:rsid w:val="008C2BDD"/>
    <w:rsid w:val="008C2BE6"/>
    <w:rsid w:val="008C31C6"/>
    <w:rsid w:val="008C3862"/>
    <w:rsid w:val="008C4F46"/>
    <w:rsid w:val="008C4F48"/>
    <w:rsid w:val="008C5DED"/>
    <w:rsid w:val="008C7ECB"/>
    <w:rsid w:val="008D1252"/>
    <w:rsid w:val="008D2F34"/>
    <w:rsid w:val="008D35CD"/>
    <w:rsid w:val="008D42C6"/>
    <w:rsid w:val="008D4755"/>
    <w:rsid w:val="008D47BF"/>
    <w:rsid w:val="008D4C3D"/>
    <w:rsid w:val="008D61DA"/>
    <w:rsid w:val="008D6CED"/>
    <w:rsid w:val="008D70F8"/>
    <w:rsid w:val="008E07BD"/>
    <w:rsid w:val="008E0A88"/>
    <w:rsid w:val="008E0D3C"/>
    <w:rsid w:val="008E0E7D"/>
    <w:rsid w:val="008E1395"/>
    <w:rsid w:val="008E1B9E"/>
    <w:rsid w:val="008E1E5F"/>
    <w:rsid w:val="008E2202"/>
    <w:rsid w:val="008E29FF"/>
    <w:rsid w:val="008E2AE9"/>
    <w:rsid w:val="008E32A1"/>
    <w:rsid w:val="008E33C7"/>
    <w:rsid w:val="008E37CE"/>
    <w:rsid w:val="008E3963"/>
    <w:rsid w:val="008E4585"/>
    <w:rsid w:val="008E471C"/>
    <w:rsid w:val="008E4943"/>
    <w:rsid w:val="008E4C80"/>
    <w:rsid w:val="008E55AB"/>
    <w:rsid w:val="008E572A"/>
    <w:rsid w:val="008E71FD"/>
    <w:rsid w:val="008E776A"/>
    <w:rsid w:val="008F03D6"/>
    <w:rsid w:val="008F089A"/>
    <w:rsid w:val="008F0CD8"/>
    <w:rsid w:val="008F120A"/>
    <w:rsid w:val="008F2099"/>
    <w:rsid w:val="008F27E0"/>
    <w:rsid w:val="008F3AC6"/>
    <w:rsid w:val="008F3D9F"/>
    <w:rsid w:val="008F48EB"/>
    <w:rsid w:val="008F4F0B"/>
    <w:rsid w:val="008F572D"/>
    <w:rsid w:val="008F576D"/>
    <w:rsid w:val="008F590F"/>
    <w:rsid w:val="008F59C0"/>
    <w:rsid w:val="008F6035"/>
    <w:rsid w:val="008F74BA"/>
    <w:rsid w:val="0090118E"/>
    <w:rsid w:val="00901631"/>
    <w:rsid w:val="00901D8F"/>
    <w:rsid w:val="00902366"/>
    <w:rsid w:val="00903550"/>
    <w:rsid w:val="00903A7F"/>
    <w:rsid w:val="00903B09"/>
    <w:rsid w:val="00904059"/>
    <w:rsid w:val="009046C4"/>
    <w:rsid w:val="0090562C"/>
    <w:rsid w:val="00905E64"/>
    <w:rsid w:val="009062A5"/>
    <w:rsid w:val="009100F2"/>
    <w:rsid w:val="009106E7"/>
    <w:rsid w:val="00911272"/>
    <w:rsid w:val="00912170"/>
    <w:rsid w:val="009133B9"/>
    <w:rsid w:val="009135D6"/>
    <w:rsid w:val="00914497"/>
    <w:rsid w:val="00914C77"/>
    <w:rsid w:val="00915607"/>
    <w:rsid w:val="009163E6"/>
    <w:rsid w:val="009170D5"/>
    <w:rsid w:val="00917E9C"/>
    <w:rsid w:val="009210C6"/>
    <w:rsid w:val="009210F1"/>
    <w:rsid w:val="00922B92"/>
    <w:rsid w:val="00923677"/>
    <w:rsid w:val="0092369B"/>
    <w:rsid w:val="00926FB7"/>
    <w:rsid w:val="00930049"/>
    <w:rsid w:val="009317C7"/>
    <w:rsid w:val="0093243F"/>
    <w:rsid w:val="00933F7E"/>
    <w:rsid w:val="009340E0"/>
    <w:rsid w:val="0093435B"/>
    <w:rsid w:val="009349D9"/>
    <w:rsid w:val="00934B9B"/>
    <w:rsid w:val="00935113"/>
    <w:rsid w:val="00935CFB"/>
    <w:rsid w:val="00936C42"/>
    <w:rsid w:val="00936F9A"/>
    <w:rsid w:val="00937BBF"/>
    <w:rsid w:val="00937F3D"/>
    <w:rsid w:val="0094001E"/>
    <w:rsid w:val="0094082D"/>
    <w:rsid w:val="0094278C"/>
    <w:rsid w:val="00942C4E"/>
    <w:rsid w:val="00943CDB"/>
    <w:rsid w:val="009440C1"/>
    <w:rsid w:val="0094619D"/>
    <w:rsid w:val="00946919"/>
    <w:rsid w:val="00946F96"/>
    <w:rsid w:val="009475FD"/>
    <w:rsid w:val="009510A2"/>
    <w:rsid w:val="00953257"/>
    <w:rsid w:val="00953834"/>
    <w:rsid w:val="00953B5F"/>
    <w:rsid w:val="00954E0D"/>
    <w:rsid w:val="009555F3"/>
    <w:rsid w:val="00957890"/>
    <w:rsid w:val="00957C1E"/>
    <w:rsid w:val="00961818"/>
    <w:rsid w:val="00961838"/>
    <w:rsid w:val="0096218E"/>
    <w:rsid w:val="0096290A"/>
    <w:rsid w:val="00962CB9"/>
    <w:rsid w:val="00963215"/>
    <w:rsid w:val="00963F6A"/>
    <w:rsid w:val="00964312"/>
    <w:rsid w:val="00964904"/>
    <w:rsid w:val="00964C36"/>
    <w:rsid w:val="00965AE3"/>
    <w:rsid w:val="00965B8A"/>
    <w:rsid w:val="00966001"/>
    <w:rsid w:val="00966E68"/>
    <w:rsid w:val="00966E6F"/>
    <w:rsid w:val="00967E33"/>
    <w:rsid w:val="009717AC"/>
    <w:rsid w:val="0097265B"/>
    <w:rsid w:val="00972AE2"/>
    <w:rsid w:val="009731F4"/>
    <w:rsid w:val="00973E57"/>
    <w:rsid w:val="00974549"/>
    <w:rsid w:val="00974A11"/>
    <w:rsid w:val="00974E06"/>
    <w:rsid w:val="00974FF2"/>
    <w:rsid w:val="0097607E"/>
    <w:rsid w:val="009762F7"/>
    <w:rsid w:val="00980FC7"/>
    <w:rsid w:val="009831FF"/>
    <w:rsid w:val="00983B9E"/>
    <w:rsid w:val="00983E57"/>
    <w:rsid w:val="0098438C"/>
    <w:rsid w:val="00984C14"/>
    <w:rsid w:val="009857E1"/>
    <w:rsid w:val="009858DE"/>
    <w:rsid w:val="009865FC"/>
    <w:rsid w:val="0098675D"/>
    <w:rsid w:val="00986BFD"/>
    <w:rsid w:val="00987E6E"/>
    <w:rsid w:val="00990BA7"/>
    <w:rsid w:val="00990FA2"/>
    <w:rsid w:val="00991495"/>
    <w:rsid w:val="00991664"/>
    <w:rsid w:val="009916F7"/>
    <w:rsid w:val="00991A8E"/>
    <w:rsid w:val="0099357D"/>
    <w:rsid w:val="009936A4"/>
    <w:rsid w:val="009947C9"/>
    <w:rsid w:val="00995679"/>
    <w:rsid w:val="00995ABF"/>
    <w:rsid w:val="00996B1A"/>
    <w:rsid w:val="00997264"/>
    <w:rsid w:val="009A075E"/>
    <w:rsid w:val="009A0AD1"/>
    <w:rsid w:val="009A0B70"/>
    <w:rsid w:val="009A149D"/>
    <w:rsid w:val="009A1D49"/>
    <w:rsid w:val="009A28EE"/>
    <w:rsid w:val="009A3005"/>
    <w:rsid w:val="009A3D1A"/>
    <w:rsid w:val="009A576B"/>
    <w:rsid w:val="009A5919"/>
    <w:rsid w:val="009A5AA3"/>
    <w:rsid w:val="009A69D1"/>
    <w:rsid w:val="009A7F10"/>
    <w:rsid w:val="009B1044"/>
    <w:rsid w:val="009B1113"/>
    <w:rsid w:val="009B225E"/>
    <w:rsid w:val="009B2314"/>
    <w:rsid w:val="009B3868"/>
    <w:rsid w:val="009B3E26"/>
    <w:rsid w:val="009B3F4B"/>
    <w:rsid w:val="009B429F"/>
    <w:rsid w:val="009B6B64"/>
    <w:rsid w:val="009B6B82"/>
    <w:rsid w:val="009B6FA7"/>
    <w:rsid w:val="009C158D"/>
    <w:rsid w:val="009C2188"/>
    <w:rsid w:val="009C27A8"/>
    <w:rsid w:val="009C2A25"/>
    <w:rsid w:val="009C46BA"/>
    <w:rsid w:val="009C6332"/>
    <w:rsid w:val="009C6A7C"/>
    <w:rsid w:val="009C6CEA"/>
    <w:rsid w:val="009C7B85"/>
    <w:rsid w:val="009D019B"/>
    <w:rsid w:val="009D12E4"/>
    <w:rsid w:val="009D48B9"/>
    <w:rsid w:val="009D4F7C"/>
    <w:rsid w:val="009D4FB6"/>
    <w:rsid w:val="009D5B91"/>
    <w:rsid w:val="009D5F63"/>
    <w:rsid w:val="009D7082"/>
    <w:rsid w:val="009D7856"/>
    <w:rsid w:val="009D792E"/>
    <w:rsid w:val="009E0C94"/>
    <w:rsid w:val="009E0DFE"/>
    <w:rsid w:val="009E12DE"/>
    <w:rsid w:val="009E1749"/>
    <w:rsid w:val="009E1A70"/>
    <w:rsid w:val="009E3C39"/>
    <w:rsid w:val="009E4C07"/>
    <w:rsid w:val="009E4CDB"/>
    <w:rsid w:val="009E5334"/>
    <w:rsid w:val="009E54FA"/>
    <w:rsid w:val="009E62C2"/>
    <w:rsid w:val="009E69BF"/>
    <w:rsid w:val="009E6A2A"/>
    <w:rsid w:val="009E7EE9"/>
    <w:rsid w:val="009F0E31"/>
    <w:rsid w:val="009F3814"/>
    <w:rsid w:val="009F3E32"/>
    <w:rsid w:val="009F44C2"/>
    <w:rsid w:val="009F51F9"/>
    <w:rsid w:val="009F69F4"/>
    <w:rsid w:val="00A0040E"/>
    <w:rsid w:val="00A01057"/>
    <w:rsid w:val="00A01078"/>
    <w:rsid w:val="00A01184"/>
    <w:rsid w:val="00A01365"/>
    <w:rsid w:val="00A031D7"/>
    <w:rsid w:val="00A034D9"/>
    <w:rsid w:val="00A03D43"/>
    <w:rsid w:val="00A04232"/>
    <w:rsid w:val="00A04380"/>
    <w:rsid w:val="00A04976"/>
    <w:rsid w:val="00A051B1"/>
    <w:rsid w:val="00A05359"/>
    <w:rsid w:val="00A0592F"/>
    <w:rsid w:val="00A0612B"/>
    <w:rsid w:val="00A06C74"/>
    <w:rsid w:val="00A07F8B"/>
    <w:rsid w:val="00A102C2"/>
    <w:rsid w:val="00A10909"/>
    <w:rsid w:val="00A10A43"/>
    <w:rsid w:val="00A10DEA"/>
    <w:rsid w:val="00A10E98"/>
    <w:rsid w:val="00A11B61"/>
    <w:rsid w:val="00A11CD0"/>
    <w:rsid w:val="00A126A7"/>
    <w:rsid w:val="00A12777"/>
    <w:rsid w:val="00A13948"/>
    <w:rsid w:val="00A14826"/>
    <w:rsid w:val="00A14B8A"/>
    <w:rsid w:val="00A15128"/>
    <w:rsid w:val="00A1526A"/>
    <w:rsid w:val="00A1555B"/>
    <w:rsid w:val="00A155C5"/>
    <w:rsid w:val="00A1582E"/>
    <w:rsid w:val="00A15C70"/>
    <w:rsid w:val="00A16AD8"/>
    <w:rsid w:val="00A17967"/>
    <w:rsid w:val="00A20118"/>
    <w:rsid w:val="00A20BFF"/>
    <w:rsid w:val="00A21A63"/>
    <w:rsid w:val="00A21BF3"/>
    <w:rsid w:val="00A21CF3"/>
    <w:rsid w:val="00A22764"/>
    <w:rsid w:val="00A23FFF"/>
    <w:rsid w:val="00A24031"/>
    <w:rsid w:val="00A250D6"/>
    <w:rsid w:val="00A2607D"/>
    <w:rsid w:val="00A2666D"/>
    <w:rsid w:val="00A27AEC"/>
    <w:rsid w:val="00A30034"/>
    <w:rsid w:val="00A30C65"/>
    <w:rsid w:val="00A30C77"/>
    <w:rsid w:val="00A3109D"/>
    <w:rsid w:val="00A31B4D"/>
    <w:rsid w:val="00A320DB"/>
    <w:rsid w:val="00A32671"/>
    <w:rsid w:val="00A34626"/>
    <w:rsid w:val="00A34F82"/>
    <w:rsid w:val="00A35D16"/>
    <w:rsid w:val="00A36B51"/>
    <w:rsid w:val="00A370BD"/>
    <w:rsid w:val="00A37BCD"/>
    <w:rsid w:val="00A37C48"/>
    <w:rsid w:val="00A414FD"/>
    <w:rsid w:val="00A427EF"/>
    <w:rsid w:val="00A429FA"/>
    <w:rsid w:val="00A42AC5"/>
    <w:rsid w:val="00A43C59"/>
    <w:rsid w:val="00A443B9"/>
    <w:rsid w:val="00A4678D"/>
    <w:rsid w:val="00A50ECD"/>
    <w:rsid w:val="00A51038"/>
    <w:rsid w:val="00A511A6"/>
    <w:rsid w:val="00A518F3"/>
    <w:rsid w:val="00A51DE3"/>
    <w:rsid w:val="00A5268A"/>
    <w:rsid w:val="00A52729"/>
    <w:rsid w:val="00A53675"/>
    <w:rsid w:val="00A538DA"/>
    <w:rsid w:val="00A545A1"/>
    <w:rsid w:val="00A5553E"/>
    <w:rsid w:val="00A564D7"/>
    <w:rsid w:val="00A56B6A"/>
    <w:rsid w:val="00A578DC"/>
    <w:rsid w:val="00A57A44"/>
    <w:rsid w:val="00A57E03"/>
    <w:rsid w:val="00A607A7"/>
    <w:rsid w:val="00A619D3"/>
    <w:rsid w:val="00A61D64"/>
    <w:rsid w:val="00A62ED2"/>
    <w:rsid w:val="00A62F6F"/>
    <w:rsid w:val="00A63744"/>
    <w:rsid w:val="00A6380C"/>
    <w:rsid w:val="00A65D5D"/>
    <w:rsid w:val="00A671CD"/>
    <w:rsid w:val="00A6725B"/>
    <w:rsid w:val="00A6735D"/>
    <w:rsid w:val="00A67C5C"/>
    <w:rsid w:val="00A70605"/>
    <w:rsid w:val="00A713E9"/>
    <w:rsid w:val="00A72FB4"/>
    <w:rsid w:val="00A73134"/>
    <w:rsid w:val="00A735C8"/>
    <w:rsid w:val="00A7525D"/>
    <w:rsid w:val="00A76197"/>
    <w:rsid w:val="00A772D0"/>
    <w:rsid w:val="00A774EA"/>
    <w:rsid w:val="00A7769F"/>
    <w:rsid w:val="00A777B2"/>
    <w:rsid w:val="00A77C4E"/>
    <w:rsid w:val="00A77DBE"/>
    <w:rsid w:val="00A80B92"/>
    <w:rsid w:val="00A81169"/>
    <w:rsid w:val="00A81406"/>
    <w:rsid w:val="00A8169A"/>
    <w:rsid w:val="00A81A46"/>
    <w:rsid w:val="00A84F00"/>
    <w:rsid w:val="00A85436"/>
    <w:rsid w:val="00A868A3"/>
    <w:rsid w:val="00A869A8"/>
    <w:rsid w:val="00A869BC"/>
    <w:rsid w:val="00A86E8B"/>
    <w:rsid w:val="00A87164"/>
    <w:rsid w:val="00A8741D"/>
    <w:rsid w:val="00A877D3"/>
    <w:rsid w:val="00A87A2A"/>
    <w:rsid w:val="00A90522"/>
    <w:rsid w:val="00A90EBB"/>
    <w:rsid w:val="00A927E1"/>
    <w:rsid w:val="00A92BBA"/>
    <w:rsid w:val="00A93072"/>
    <w:rsid w:val="00A93953"/>
    <w:rsid w:val="00A93AA2"/>
    <w:rsid w:val="00A941EE"/>
    <w:rsid w:val="00A957AB"/>
    <w:rsid w:val="00A959D8"/>
    <w:rsid w:val="00A96C25"/>
    <w:rsid w:val="00A96FD5"/>
    <w:rsid w:val="00A97074"/>
    <w:rsid w:val="00A97538"/>
    <w:rsid w:val="00A97AEF"/>
    <w:rsid w:val="00AA113D"/>
    <w:rsid w:val="00AA18DF"/>
    <w:rsid w:val="00AA1E62"/>
    <w:rsid w:val="00AA3D69"/>
    <w:rsid w:val="00AA4056"/>
    <w:rsid w:val="00AA6C7D"/>
    <w:rsid w:val="00AA7FD6"/>
    <w:rsid w:val="00AB042A"/>
    <w:rsid w:val="00AB0778"/>
    <w:rsid w:val="00AB0CE5"/>
    <w:rsid w:val="00AB10A0"/>
    <w:rsid w:val="00AB2732"/>
    <w:rsid w:val="00AB2D34"/>
    <w:rsid w:val="00AB3430"/>
    <w:rsid w:val="00AB38A3"/>
    <w:rsid w:val="00AB4AD1"/>
    <w:rsid w:val="00AB4E49"/>
    <w:rsid w:val="00AB5390"/>
    <w:rsid w:val="00AB557A"/>
    <w:rsid w:val="00AB66DC"/>
    <w:rsid w:val="00AB7CFA"/>
    <w:rsid w:val="00AB7F64"/>
    <w:rsid w:val="00AC1A49"/>
    <w:rsid w:val="00AC1A7F"/>
    <w:rsid w:val="00AC229C"/>
    <w:rsid w:val="00AC5471"/>
    <w:rsid w:val="00AC5772"/>
    <w:rsid w:val="00AC5B48"/>
    <w:rsid w:val="00AC5C15"/>
    <w:rsid w:val="00AC5F1E"/>
    <w:rsid w:val="00AC6225"/>
    <w:rsid w:val="00AC74D6"/>
    <w:rsid w:val="00AC78EC"/>
    <w:rsid w:val="00AD2A5D"/>
    <w:rsid w:val="00AD2D60"/>
    <w:rsid w:val="00AD3225"/>
    <w:rsid w:val="00AD3D83"/>
    <w:rsid w:val="00AD453A"/>
    <w:rsid w:val="00AD45C2"/>
    <w:rsid w:val="00AD45E1"/>
    <w:rsid w:val="00AD58DA"/>
    <w:rsid w:val="00AD6502"/>
    <w:rsid w:val="00AD7968"/>
    <w:rsid w:val="00AE29CE"/>
    <w:rsid w:val="00AE6620"/>
    <w:rsid w:val="00AE6A71"/>
    <w:rsid w:val="00AE75F3"/>
    <w:rsid w:val="00AE763A"/>
    <w:rsid w:val="00AF0425"/>
    <w:rsid w:val="00AF1315"/>
    <w:rsid w:val="00AF19BF"/>
    <w:rsid w:val="00AF2DC3"/>
    <w:rsid w:val="00AF3879"/>
    <w:rsid w:val="00AF3F92"/>
    <w:rsid w:val="00AF44D0"/>
    <w:rsid w:val="00AF47F9"/>
    <w:rsid w:val="00AF6004"/>
    <w:rsid w:val="00AF61A0"/>
    <w:rsid w:val="00AF6691"/>
    <w:rsid w:val="00AF6E07"/>
    <w:rsid w:val="00B006F6"/>
    <w:rsid w:val="00B01908"/>
    <w:rsid w:val="00B020D0"/>
    <w:rsid w:val="00B033E5"/>
    <w:rsid w:val="00B03A63"/>
    <w:rsid w:val="00B06A0F"/>
    <w:rsid w:val="00B0702C"/>
    <w:rsid w:val="00B111BB"/>
    <w:rsid w:val="00B11280"/>
    <w:rsid w:val="00B11461"/>
    <w:rsid w:val="00B11AAF"/>
    <w:rsid w:val="00B12BA6"/>
    <w:rsid w:val="00B135F4"/>
    <w:rsid w:val="00B14086"/>
    <w:rsid w:val="00B14426"/>
    <w:rsid w:val="00B1471E"/>
    <w:rsid w:val="00B15624"/>
    <w:rsid w:val="00B16B7A"/>
    <w:rsid w:val="00B201A4"/>
    <w:rsid w:val="00B201E4"/>
    <w:rsid w:val="00B2118F"/>
    <w:rsid w:val="00B213A6"/>
    <w:rsid w:val="00B21B93"/>
    <w:rsid w:val="00B21C33"/>
    <w:rsid w:val="00B22CBC"/>
    <w:rsid w:val="00B232BD"/>
    <w:rsid w:val="00B24DF6"/>
    <w:rsid w:val="00B25957"/>
    <w:rsid w:val="00B25A6B"/>
    <w:rsid w:val="00B27996"/>
    <w:rsid w:val="00B301FC"/>
    <w:rsid w:val="00B303F7"/>
    <w:rsid w:val="00B319A8"/>
    <w:rsid w:val="00B31B88"/>
    <w:rsid w:val="00B32121"/>
    <w:rsid w:val="00B323DB"/>
    <w:rsid w:val="00B32428"/>
    <w:rsid w:val="00B349A6"/>
    <w:rsid w:val="00B34FE2"/>
    <w:rsid w:val="00B35661"/>
    <w:rsid w:val="00B357D8"/>
    <w:rsid w:val="00B359C0"/>
    <w:rsid w:val="00B373BB"/>
    <w:rsid w:val="00B37491"/>
    <w:rsid w:val="00B3775C"/>
    <w:rsid w:val="00B37BFC"/>
    <w:rsid w:val="00B37CDF"/>
    <w:rsid w:val="00B40358"/>
    <w:rsid w:val="00B406BF"/>
    <w:rsid w:val="00B40901"/>
    <w:rsid w:val="00B40C9C"/>
    <w:rsid w:val="00B40E81"/>
    <w:rsid w:val="00B41614"/>
    <w:rsid w:val="00B420B2"/>
    <w:rsid w:val="00B42851"/>
    <w:rsid w:val="00B42F80"/>
    <w:rsid w:val="00B435CB"/>
    <w:rsid w:val="00B446C0"/>
    <w:rsid w:val="00B44E28"/>
    <w:rsid w:val="00B44E32"/>
    <w:rsid w:val="00B458E0"/>
    <w:rsid w:val="00B46BFD"/>
    <w:rsid w:val="00B46E7D"/>
    <w:rsid w:val="00B4730E"/>
    <w:rsid w:val="00B47CC3"/>
    <w:rsid w:val="00B50DB8"/>
    <w:rsid w:val="00B50E49"/>
    <w:rsid w:val="00B5122B"/>
    <w:rsid w:val="00B51672"/>
    <w:rsid w:val="00B52E19"/>
    <w:rsid w:val="00B52E4E"/>
    <w:rsid w:val="00B53654"/>
    <w:rsid w:val="00B53905"/>
    <w:rsid w:val="00B53DD7"/>
    <w:rsid w:val="00B5412B"/>
    <w:rsid w:val="00B548DF"/>
    <w:rsid w:val="00B54B5B"/>
    <w:rsid w:val="00B5562E"/>
    <w:rsid w:val="00B561CD"/>
    <w:rsid w:val="00B56FA2"/>
    <w:rsid w:val="00B57000"/>
    <w:rsid w:val="00B572A6"/>
    <w:rsid w:val="00B57F5C"/>
    <w:rsid w:val="00B57FAB"/>
    <w:rsid w:val="00B60939"/>
    <w:rsid w:val="00B60AFD"/>
    <w:rsid w:val="00B6180E"/>
    <w:rsid w:val="00B61C39"/>
    <w:rsid w:val="00B62656"/>
    <w:rsid w:val="00B62715"/>
    <w:rsid w:val="00B63633"/>
    <w:rsid w:val="00B643B9"/>
    <w:rsid w:val="00B643F7"/>
    <w:rsid w:val="00B6482D"/>
    <w:rsid w:val="00B65B55"/>
    <w:rsid w:val="00B663C2"/>
    <w:rsid w:val="00B669AF"/>
    <w:rsid w:val="00B66CB0"/>
    <w:rsid w:val="00B66FC2"/>
    <w:rsid w:val="00B67276"/>
    <w:rsid w:val="00B70BAB"/>
    <w:rsid w:val="00B70BE1"/>
    <w:rsid w:val="00B70E4E"/>
    <w:rsid w:val="00B71ABB"/>
    <w:rsid w:val="00B7233F"/>
    <w:rsid w:val="00B7301E"/>
    <w:rsid w:val="00B7748A"/>
    <w:rsid w:val="00B775F6"/>
    <w:rsid w:val="00B818A4"/>
    <w:rsid w:val="00B81D3D"/>
    <w:rsid w:val="00B8391A"/>
    <w:rsid w:val="00B83BCA"/>
    <w:rsid w:val="00B84117"/>
    <w:rsid w:val="00B848E8"/>
    <w:rsid w:val="00B849A5"/>
    <w:rsid w:val="00B85628"/>
    <w:rsid w:val="00B858E3"/>
    <w:rsid w:val="00B858EE"/>
    <w:rsid w:val="00B85AA2"/>
    <w:rsid w:val="00B86041"/>
    <w:rsid w:val="00B8649C"/>
    <w:rsid w:val="00B86AE4"/>
    <w:rsid w:val="00B87369"/>
    <w:rsid w:val="00B874C9"/>
    <w:rsid w:val="00B8799E"/>
    <w:rsid w:val="00B879A9"/>
    <w:rsid w:val="00B87B22"/>
    <w:rsid w:val="00B87F0A"/>
    <w:rsid w:val="00B9067A"/>
    <w:rsid w:val="00B91907"/>
    <w:rsid w:val="00B91ED1"/>
    <w:rsid w:val="00B922F2"/>
    <w:rsid w:val="00B92413"/>
    <w:rsid w:val="00B924C9"/>
    <w:rsid w:val="00B92521"/>
    <w:rsid w:val="00B925AC"/>
    <w:rsid w:val="00B92D0B"/>
    <w:rsid w:val="00B938BD"/>
    <w:rsid w:val="00B94945"/>
    <w:rsid w:val="00B96457"/>
    <w:rsid w:val="00B97CE3"/>
    <w:rsid w:val="00BA11FA"/>
    <w:rsid w:val="00BA1A33"/>
    <w:rsid w:val="00BA2A0A"/>
    <w:rsid w:val="00BA2CD0"/>
    <w:rsid w:val="00BA322D"/>
    <w:rsid w:val="00BA3696"/>
    <w:rsid w:val="00BA369A"/>
    <w:rsid w:val="00BA370C"/>
    <w:rsid w:val="00BA37F8"/>
    <w:rsid w:val="00BA3B7D"/>
    <w:rsid w:val="00BA483A"/>
    <w:rsid w:val="00BA60D3"/>
    <w:rsid w:val="00BA6A60"/>
    <w:rsid w:val="00BA7602"/>
    <w:rsid w:val="00BA7F6B"/>
    <w:rsid w:val="00BB00FE"/>
    <w:rsid w:val="00BB0BDD"/>
    <w:rsid w:val="00BB1729"/>
    <w:rsid w:val="00BB222E"/>
    <w:rsid w:val="00BB2A73"/>
    <w:rsid w:val="00BB2B58"/>
    <w:rsid w:val="00BB2C47"/>
    <w:rsid w:val="00BB32A9"/>
    <w:rsid w:val="00BB41F8"/>
    <w:rsid w:val="00BB45B8"/>
    <w:rsid w:val="00BB4ACC"/>
    <w:rsid w:val="00BB4E8E"/>
    <w:rsid w:val="00BB6510"/>
    <w:rsid w:val="00BB66FE"/>
    <w:rsid w:val="00BB703E"/>
    <w:rsid w:val="00BB7405"/>
    <w:rsid w:val="00BC157F"/>
    <w:rsid w:val="00BC184C"/>
    <w:rsid w:val="00BC2537"/>
    <w:rsid w:val="00BC2CB4"/>
    <w:rsid w:val="00BC30D0"/>
    <w:rsid w:val="00BC3631"/>
    <w:rsid w:val="00BC40E2"/>
    <w:rsid w:val="00BC57D2"/>
    <w:rsid w:val="00BC5994"/>
    <w:rsid w:val="00BC69DD"/>
    <w:rsid w:val="00BC6ADA"/>
    <w:rsid w:val="00BC6CDD"/>
    <w:rsid w:val="00BC706B"/>
    <w:rsid w:val="00BC710C"/>
    <w:rsid w:val="00BD25BB"/>
    <w:rsid w:val="00BD2BAD"/>
    <w:rsid w:val="00BD3068"/>
    <w:rsid w:val="00BD3755"/>
    <w:rsid w:val="00BD4229"/>
    <w:rsid w:val="00BD4353"/>
    <w:rsid w:val="00BD444A"/>
    <w:rsid w:val="00BD68A3"/>
    <w:rsid w:val="00BD6938"/>
    <w:rsid w:val="00BD6CF3"/>
    <w:rsid w:val="00BD7BA1"/>
    <w:rsid w:val="00BD7D52"/>
    <w:rsid w:val="00BE01E2"/>
    <w:rsid w:val="00BE0FF7"/>
    <w:rsid w:val="00BE1817"/>
    <w:rsid w:val="00BE2180"/>
    <w:rsid w:val="00BE21F2"/>
    <w:rsid w:val="00BE3862"/>
    <w:rsid w:val="00BE4275"/>
    <w:rsid w:val="00BE48F8"/>
    <w:rsid w:val="00BE49A6"/>
    <w:rsid w:val="00BE6B26"/>
    <w:rsid w:val="00BF007E"/>
    <w:rsid w:val="00BF0C47"/>
    <w:rsid w:val="00BF0F95"/>
    <w:rsid w:val="00BF11E3"/>
    <w:rsid w:val="00BF1D26"/>
    <w:rsid w:val="00BF1F9E"/>
    <w:rsid w:val="00BF2433"/>
    <w:rsid w:val="00BF252C"/>
    <w:rsid w:val="00BF3458"/>
    <w:rsid w:val="00BF37D5"/>
    <w:rsid w:val="00BF4316"/>
    <w:rsid w:val="00BF48A0"/>
    <w:rsid w:val="00BF4D49"/>
    <w:rsid w:val="00BF5165"/>
    <w:rsid w:val="00BF5952"/>
    <w:rsid w:val="00BF61C9"/>
    <w:rsid w:val="00BF6C94"/>
    <w:rsid w:val="00BF7FC7"/>
    <w:rsid w:val="00C00424"/>
    <w:rsid w:val="00C02205"/>
    <w:rsid w:val="00C03F1C"/>
    <w:rsid w:val="00C04CE7"/>
    <w:rsid w:val="00C05B8C"/>
    <w:rsid w:val="00C05BAC"/>
    <w:rsid w:val="00C05E79"/>
    <w:rsid w:val="00C05EA7"/>
    <w:rsid w:val="00C06DDC"/>
    <w:rsid w:val="00C06E6E"/>
    <w:rsid w:val="00C07A81"/>
    <w:rsid w:val="00C1024A"/>
    <w:rsid w:val="00C1044A"/>
    <w:rsid w:val="00C10855"/>
    <w:rsid w:val="00C113D2"/>
    <w:rsid w:val="00C11D13"/>
    <w:rsid w:val="00C12510"/>
    <w:rsid w:val="00C126EA"/>
    <w:rsid w:val="00C12C14"/>
    <w:rsid w:val="00C13DD4"/>
    <w:rsid w:val="00C13FDB"/>
    <w:rsid w:val="00C142D6"/>
    <w:rsid w:val="00C14EF7"/>
    <w:rsid w:val="00C15A0B"/>
    <w:rsid w:val="00C15BD6"/>
    <w:rsid w:val="00C15EEA"/>
    <w:rsid w:val="00C2007F"/>
    <w:rsid w:val="00C200AA"/>
    <w:rsid w:val="00C22BC7"/>
    <w:rsid w:val="00C237ED"/>
    <w:rsid w:val="00C24632"/>
    <w:rsid w:val="00C2477C"/>
    <w:rsid w:val="00C24C48"/>
    <w:rsid w:val="00C25418"/>
    <w:rsid w:val="00C25D9C"/>
    <w:rsid w:val="00C25F7C"/>
    <w:rsid w:val="00C26745"/>
    <w:rsid w:val="00C2778B"/>
    <w:rsid w:val="00C27802"/>
    <w:rsid w:val="00C2793E"/>
    <w:rsid w:val="00C30800"/>
    <w:rsid w:val="00C30CBF"/>
    <w:rsid w:val="00C314A7"/>
    <w:rsid w:val="00C31649"/>
    <w:rsid w:val="00C3164F"/>
    <w:rsid w:val="00C3220E"/>
    <w:rsid w:val="00C32741"/>
    <w:rsid w:val="00C3365A"/>
    <w:rsid w:val="00C356B3"/>
    <w:rsid w:val="00C35983"/>
    <w:rsid w:val="00C360DD"/>
    <w:rsid w:val="00C36460"/>
    <w:rsid w:val="00C37258"/>
    <w:rsid w:val="00C37FF4"/>
    <w:rsid w:val="00C4015E"/>
    <w:rsid w:val="00C40385"/>
    <w:rsid w:val="00C404B8"/>
    <w:rsid w:val="00C4080E"/>
    <w:rsid w:val="00C4167E"/>
    <w:rsid w:val="00C429EE"/>
    <w:rsid w:val="00C4383C"/>
    <w:rsid w:val="00C44331"/>
    <w:rsid w:val="00C45573"/>
    <w:rsid w:val="00C45F2D"/>
    <w:rsid w:val="00C4614C"/>
    <w:rsid w:val="00C475AA"/>
    <w:rsid w:val="00C506BF"/>
    <w:rsid w:val="00C5089D"/>
    <w:rsid w:val="00C52635"/>
    <w:rsid w:val="00C526E5"/>
    <w:rsid w:val="00C5368E"/>
    <w:rsid w:val="00C542DE"/>
    <w:rsid w:val="00C5581E"/>
    <w:rsid w:val="00C55B80"/>
    <w:rsid w:val="00C60F9F"/>
    <w:rsid w:val="00C613DE"/>
    <w:rsid w:val="00C622F9"/>
    <w:rsid w:val="00C62615"/>
    <w:rsid w:val="00C63D0E"/>
    <w:rsid w:val="00C6400C"/>
    <w:rsid w:val="00C64D4F"/>
    <w:rsid w:val="00C65576"/>
    <w:rsid w:val="00C65688"/>
    <w:rsid w:val="00C66165"/>
    <w:rsid w:val="00C664E6"/>
    <w:rsid w:val="00C66589"/>
    <w:rsid w:val="00C66838"/>
    <w:rsid w:val="00C679BA"/>
    <w:rsid w:val="00C70328"/>
    <w:rsid w:val="00C7151A"/>
    <w:rsid w:val="00C71F60"/>
    <w:rsid w:val="00C72241"/>
    <w:rsid w:val="00C725BA"/>
    <w:rsid w:val="00C72BAD"/>
    <w:rsid w:val="00C7338F"/>
    <w:rsid w:val="00C74FF1"/>
    <w:rsid w:val="00C750C8"/>
    <w:rsid w:val="00C7560F"/>
    <w:rsid w:val="00C76430"/>
    <w:rsid w:val="00C80547"/>
    <w:rsid w:val="00C80A0E"/>
    <w:rsid w:val="00C8213F"/>
    <w:rsid w:val="00C84C2E"/>
    <w:rsid w:val="00C84F0F"/>
    <w:rsid w:val="00C86F49"/>
    <w:rsid w:val="00C8797A"/>
    <w:rsid w:val="00C87A4C"/>
    <w:rsid w:val="00C87DEA"/>
    <w:rsid w:val="00C900B8"/>
    <w:rsid w:val="00C90C71"/>
    <w:rsid w:val="00C91363"/>
    <w:rsid w:val="00C91942"/>
    <w:rsid w:val="00C9271A"/>
    <w:rsid w:val="00C92A24"/>
    <w:rsid w:val="00C931CF"/>
    <w:rsid w:val="00C938CF"/>
    <w:rsid w:val="00C9397D"/>
    <w:rsid w:val="00C9427E"/>
    <w:rsid w:val="00C9483B"/>
    <w:rsid w:val="00C94B44"/>
    <w:rsid w:val="00C94D14"/>
    <w:rsid w:val="00C951CD"/>
    <w:rsid w:val="00C9624D"/>
    <w:rsid w:val="00C9659E"/>
    <w:rsid w:val="00C96611"/>
    <w:rsid w:val="00C9663C"/>
    <w:rsid w:val="00C969DA"/>
    <w:rsid w:val="00C96B99"/>
    <w:rsid w:val="00C97056"/>
    <w:rsid w:val="00CA0AB1"/>
    <w:rsid w:val="00CA1676"/>
    <w:rsid w:val="00CA2005"/>
    <w:rsid w:val="00CA2C77"/>
    <w:rsid w:val="00CA3ED8"/>
    <w:rsid w:val="00CA444F"/>
    <w:rsid w:val="00CA478C"/>
    <w:rsid w:val="00CA48A0"/>
    <w:rsid w:val="00CA4A98"/>
    <w:rsid w:val="00CA5245"/>
    <w:rsid w:val="00CA638D"/>
    <w:rsid w:val="00CA64E1"/>
    <w:rsid w:val="00CA71F4"/>
    <w:rsid w:val="00CA7B09"/>
    <w:rsid w:val="00CB0303"/>
    <w:rsid w:val="00CB113B"/>
    <w:rsid w:val="00CB1908"/>
    <w:rsid w:val="00CB25B5"/>
    <w:rsid w:val="00CB2EBC"/>
    <w:rsid w:val="00CB2F2A"/>
    <w:rsid w:val="00CB3A53"/>
    <w:rsid w:val="00CB4B70"/>
    <w:rsid w:val="00CB5B1A"/>
    <w:rsid w:val="00CB684D"/>
    <w:rsid w:val="00CB6B22"/>
    <w:rsid w:val="00CB7F5F"/>
    <w:rsid w:val="00CC15F5"/>
    <w:rsid w:val="00CC1B39"/>
    <w:rsid w:val="00CC1BF4"/>
    <w:rsid w:val="00CC4F72"/>
    <w:rsid w:val="00CC6268"/>
    <w:rsid w:val="00CC66AA"/>
    <w:rsid w:val="00CC7F26"/>
    <w:rsid w:val="00CD13F6"/>
    <w:rsid w:val="00CD16B4"/>
    <w:rsid w:val="00CD1F09"/>
    <w:rsid w:val="00CD2A52"/>
    <w:rsid w:val="00CD3274"/>
    <w:rsid w:val="00CD38F5"/>
    <w:rsid w:val="00CD3FB0"/>
    <w:rsid w:val="00CD4022"/>
    <w:rsid w:val="00CD45B4"/>
    <w:rsid w:val="00CD58B2"/>
    <w:rsid w:val="00CD68AA"/>
    <w:rsid w:val="00CD6ADC"/>
    <w:rsid w:val="00CD6F70"/>
    <w:rsid w:val="00CD7A62"/>
    <w:rsid w:val="00CE2DBD"/>
    <w:rsid w:val="00CE5A99"/>
    <w:rsid w:val="00CE6274"/>
    <w:rsid w:val="00CE6279"/>
    <w:rsid w:val="00CF142E"/>
    <w:rsid w:val="00CF2B8D"/>
    <w:rsid w:val="00CF3CC3"/>
    <w:rsid w:val="00CF456B"/>
    <w:rsid w:val="00CF5A22"/>
    <w:rsid w:val="00CF66C7"/>
    <w:rsid w:val="00CF68C4"/>
    <w:rsid w:val="00CF6AD1"/>
    <w:rsid w:val="00CF6B28"/>
    <w:rsid w:val="00D00A1F"/>
    <w:rsid w:val="00D014C6"/>
    <w:rsid w:val="00D01797"/>
    <w:rsid w:val="00D0262E"/>
    <w:rsid w:val="00D028C6"/>
    <w:rsid w:val="00D033AD"/>
    <w:rsid w:val="00D06399"/>
    <w:rsid w:val="00D06621"/>
    <w:rsid w:val="00D10F15"/>
    <w:rsid w:val="00D110BD"/>
    <w:rsid w:val="00D12495"/>
    <w:rsid w:val="00D13675"/>
    <w:rsid w:val="00D13BE1"/>
    <w:rsid w:val="00D13C5C"/>
    <w:rsid w:val="00D13F40"/>
    <w:rsid w:val="00D141E1"/>
    <w:rsid w:val="00D14754"/>
    <w:rsid w:val="00D153F8"/>
    <w:rsid w:val="00D159B1"/>
    <w:rsid w:val="00D166E7"/>
    <w:rsid w:val="00D1754E"/>
    <w:rsid w:val="00D17D6C"/>
    <w:rsid w:val="00D203F8"/>
    <w:rsid w:val="00D21E29"/>
    <w:rsid w:val="00D22AEA"/>
    <w:rsid w:val="00D242A9"/>
    <w:rsid w:val="00D244E7"/>
    <w:rsid w:val="00D25D24"/>
    <w:rsid w:val="00D269CA"/>
    <w:rsid w:val="00D2754D"/>
    <w:rsid w:val="00D27B27"/>
    <w:rsid w:val="00D315BC"/>
    <w:rsid w:val="00D32168"/>
    <w:rsid w:val="00D33BE9"/>
    <w:rsid w:val="00D33CF5"/>
    <w:rsid w:val="00D33E23"/>
    <w:rsid w:val="00D34003"/>
    <w:rsid w:val="00D34209"/>
    <w:rsid w:val="00D3485F"/>
    <w:rsid w:val="00D357FF"/>
    <w:rsid w:val="00D362A6"/>
    <w:rsid w:val="00D37363"/>
    <w:rsid w:val="00D37AAB"/>
    <w:rsid w:val="00D405B1"/>
    <w:rsid w:val="00D40620"/>
    <w:rsid w:val="00D4111C"/>
    <w:rsid w:val="00D41233"/>
    <w:rsid w:val="00D412F7"/>
    <w:rsid w:val="00D41597"/>
    <w:rsid w:val="00D4160E"/>
    <w:rsid w:val="00D41BAC"/>
    <w:rsid w:val="00D41E76"/>
    <w:rsid w:val="00D424C7"/>
    <w:rsid w:val="00D434B9"/>
    <w:rsid w:val="00D43B2A"/>
    <w:rsid w:val="00D44E5A"/>
    <w:rsid w:val="00D45B57"/>
    <w:rsid w:val="00D46053"/>
    <w:rsid w:val="00D46158"/>
    <w:rsid w:val="00D46899"/>
    <w:rsid w:val="00D46B44"/>
    <w:rsid w:val="00D47575"/>
    <w:rsid w:val="00D47BE5"/>
    <w:rsid w:val="00D515E4"/>
    <w:rsid w:val="00D51E2F"/>
    <w:rsid w:val="00D533E2"/>
    <w:rsid w:val="00D536FA"/>
    <w:rsid w:val="00D53883"/>
    <w:rsid w:val="00D549AA"/>
    <w:rsid w:val="00D54A5E"/>
    <w:rsid w:val="00D558F6"/>
    <w:rsid w:val="00D55DB7"/>
    <w:rsid w:val="00D56AB9"/>
    <w:rsid w:val="00D56EDF"/>
    <w:rsid w:val="00D56F07"/>
    <w:rsid w:val="00D61341"/>
    <w:rsid w:val="00D6199E"/>
    <w:rsid w:val="00D61CF3"/>
    <w:rsid w:val="00D626E7"/>
    <w:rsid w:val="00D6371F"/>
    <w:rsid w:val="00D6383F"/>
    <w:rsid w:val="00D6408B"/>
    <w:rsid w:val="00D64239"/>
    <w:rsid w:val="00D64A03"/>
    <w:rsid w:val="00D64E5E"/>
    <w:rsid w:val="00D66A14"/>
    <w:rsid w:val="00D67138"/>
    <w:rsid w:val="00D702CE"/>
    <w:rsid w:val="00D70F16"/>
    <w:rsid w:val="00D71440"/>
    <w:rsid w:val="00D717D1"/>
    <w:rsid w:val="00D71A16"/>
    <w:rsid w:val="00D72B30"/>
    <w:rsid w:val="00D72FCB"/>
    <w:rsid w:val="00D73376"/>
    <w:rsid w:val="00D73F46"/>
    <w:rsid w:val="00D7418F"/>
    <w:rsid w:val="00D74A00"/>
    <w:rsid w:val="00D75577"/>
    <w:rsid w:val="00D765CB"/>
    <w:rsid w:val="00D76A44"/>
    <w:rsid w:val="00D80361"/>
    <w:rsid w:val="00D80AC5"/>
    <w:rsid w:val="00D815EF"/>
    <w:rsid w:val="00D82997"/>
    <w:rsid w:val="00D82D15"/>
    <w:rsid w:val="00D843A2"/>
    <w:rsid w:val="00D84D8E"/>
    <w:rsid w:val="00D84E02"/>
    <w:rsid w:val="00D85E4D"/>
    <w:rsid w:val="00D863FE"/>
    <w:rsid w:val="00D86932"/>
    <w:rsid w:val="00D87E78"/>
    <w:rsid w:val="00D90E8A"/>
    <w:rsid w:val="00D90E91"/>
    <w:rsid w:val="00D91923"/>
    <w:rsid w:val="00D925A4"/>
    <w:rsid w:val="00D9285B"/>
    <w:rsid w:val="00D93753"/>
    <w:rsid w:val="00D93822"/>
    <w:rsid w:val="00D954EE"/>
    <w:rsid w:val="00D9757E"/>
    <w:rsid w:val="00D977E6"/>
    <w:rsid w:val="00D9783F"/>
    <w:rsid w:val="00DA18DE"/>
    <w:rsid w:val="00DA1B51"/>
    <w:rsid w:val="00DA2239"/>
    <w:rsid w:val="00DA3167"/>
    <w:rsid w:val="00DA323F"/>
    <w:rsid w:val="00DA3B94"/>
    <w:rsid w:val="00DA43ED"/>
    <w:rsid w:val="00DA4DC3"/>
    <w:rsid w:val="00DA6658"/>
    <w:rsid w:val="00DA6F7D"/>
    <w:rsid w:val="00DA6FF8"/>
    <w:rsid w:val="00DA74B2"/>
    <w:rsid w:val="00DA77A5"/>
    <w:rsid w:val="00DB1040"/>
    <w:rsid w:val="00DB108A"/>
    <w:rsid w:val="00DB1898"/>
    <w:rsid w:val="00DB1D00"/>
    <w:rsid w:val="00DB484F"/>
    <w:rsid w:val="00DB5078"/>
    <w:rsid w:val="00DB5B3E"/>
    <w:rsid w:val="00DB620B"/>
    <w:rsid w:val="00DB6D99"/>
    <w:rsid w:val="00DB74A0"/>
    <w:rsid w:val="00DC0134"/>
    <w:rsid w:val="00DC04F6"/>
    <w:rsid w:val="00DC08F5"/>
    <w:rsid w:val="00DC0F47"/>
    <w:rsid w:val="00DC1776"/>
    <w:rsid w:val="00DC1F49"/>
    <w:rsid w:val="00DC2196"/>
    <w:rsid w:val="00DC2933"/>
    <w:rsid w:val="00DC3C57"/>
    <w:rsid w:val="00DC3CD4"/>
    <w:rsid w:val="00DC472E"/>
    <w:rsid w:val="00DC5501"/>
    <w:rsid w:val="00DC6399"/>
    <w:rsid w:val="00DC74D7"/>
    <w:rsid w:val="00DD0697"/>
    <w:rsid w:val="00DD0A23"/>
    <w:rsid w:val="00DD0A8E"/>
    <w:rsid w:val="00DD10E1"/>
    <w:rsid w:val="00DD12A7"/>
    <w:rsid w:val="00DD1637"/>
    <w:rsid w:val="00DD273C"/>
    <w:rsid w:val="00DD33EA"/>
    <w:rsid w:val="00DD368E"/>
    <w:rsid w:val="00DD3734"/>
    <w:rsid w:val="00DD3BB7"/>
    <w:rsid w:val="00DD3F28"/>
    <w:rsid w:val="00DD4537"/>
    <w:rsid w:val="00DD4E15"/>
    <w:rsid w:val="00DD5359"/>
    <w:rsid w:val="00DD5C98"/>
    <w:rsid w:val="00DD7EF1"/>
    <w:rsid w:val="00DE0480"/>
    <w:rsid w:val="00DE1237"/>
    <w:rsid w:val="00DE2CF4"/>
    <w:rsid w:val="00DE3138"/>
    <w:rsid w:val="00DE3240"/>
    <w:rsid w:val="00DE37F8"/>
    <w:rsid w:val="00DE3A12"/>
    <w:rsid w:val="00DE480B"/>
    <w:rsid w:val="00DE4858"/>
    <w:rsid w:val="00DE4FCB"/>
    <w:rsid w:val="00DE6089"/>
    <w:rsid w:val="00DE6177"/>
    <w:rsid w:val="00DE67DD"/>
    <w:rsid w:val="00DE7832"/>
    <w:rsid w:val="00DF18FC"/>
    <w:rsid w:val="00DF229A"/>
    <w:rsid w:val="00DF28B7"/>
    <w:rsid w:val="00DF2B04"/>
    <w:rsid w:val="00DF4100"/>
    <w:rsid w:val="00DF48FB"/>
    <w:rsid w:val="00DF5D2B"/>
    <w:rsid w:val="00DF5D8A"/>
    <w:rsid w:val="00DF6053"/>
    <w:rsid w:val="00DF735E"/>
    <w:rsid w:val="00DF7921"/>
    <w:rsid w:val="00E009CC"/>
    <w:rsid w:val="00E00E8E"/>
    <w:rsid w:val="00E016FA"/>
    <w:rsid w:val="00E018C1"/>
    <w:rsid w:val="00E0410B"/>
    <w:rsid w:val="00E042C5"/>
    <w:rsid w:val="00E048AE"/>
    <w:rsid w:val="00E04A5F"/>
    <w:rsid w:val="00E05630"/>
    <w:rsid w:val="00E05DBF"/>
    <w:rsid w:val="00E06055"/>
    <w:rsid w:val="00E06DBB"/>
    <w:rsid w:val="00E10149"/>
    <w:rsid w:val="00E12196"/>
    <w:rsid w:val="00E12E97"/>
    <w:rsid w:val="00E140FA"/>
    <w:rsid w:val="00E15D1D"/>
    <w:rsid w:val="00E1603E"/>
    <w:rsid w:val="00E161DC"/>
    <w:rsid w:val="00E16372"/>
    <w:rsid w:val="00E16B66"/>
    <w:rsid w:val="00E1740C"/>
    <w:rsid w:val="00E2038B"/>
    <w:rsid w:val="00E20E4D"/>
    <w:rsid w:val="00E20ED6"/>
    <w:rsid w:val="00E21358"/>
    <w:rsid w:val="00E21A39"/>
    <w:rsid w:val="00E2249B"/>
    <w:rsid w:val="00E22A0D"/>
    <w:rsid w:val="00E258BA"/>
    <w:rsid w:val="00E25B75"/>
    <w:rsid w:val="00E2717A"/>
    <w:rsid w:val="00E2771E"/>
    <w:rsid w:val="00E27927"/>
    <w:rsid w:val="00E27A83"/>
    <w:rsid w:val="00E27B15"/>
    <w:rsid w:val="00E302F4"/>
    <w:rsid w:val="00E33CC4"/>
    <w:rsid w:val="00E347F3"/>
    <w:rsid w:val="00E348F8"/>
    <w:rsid w:val="00E34948"/>
    <w:rsid w:val="00E35332"/>
    <w:rsid w:val="00E3545D"/>
    <w:rsid w:val="00E35471"/>
    <w:rsid w:val="00E35C25"/>
    <w:rsid w:val="00E35F0B"/>
    <w:rsid w:val="00E36B42"/>
    <w:rsid w:val="00E36B45"/>
    <w:rsid w:val="00E36BD5"/>
    <w:rsid w:val="00E37441"/>
    <w:rsid w:val="00E37569"/>
    <w:rsid w:val="00E37655"/>
    <w:rsid w:val="00E3778A"/>
    <w:rsid w:val="00E37B01"/>
    <w:rsid w:val="00E37E39"/>
    <w:rsid w:val="00E4042E"/>
    <w:rsid w:val="00E41E30"/>
    <w:rsid w:val="00E42209"/>
    <w:rsid w:val="00E42403"/>
    <w:rsid w:val="00E4293A"/>
    <w:rsid w:val="00E43D70"/>
    <w:rsid w:val="00E44BF4"/>
    <w:rsid w:val="00E456A4"/>
    <w:rsid w:val="00E45F62"/>
    <w:rsid w:val="00E466F3"/>
    <w:rsid w:val="00E4681D"/>
    <w:rsid w:val="00E46905"/>
    <w:rsid w:val="00E46E12"/>
    <w:rsid w:val="00E477F7"/>
    <w:rsid w:val="00E47B2C"/>
    <w:rsid w:val="00E47DB4"/>
    <w:rsid w:val="00E50497"/>
    <w:rsid w:val="00E511A4"/>
    <w:rsid w:val="00E51560"/>
    <w:rsid w:val="00E51EF0"/>
    <w:rsid w:val="00E5285B"/>
    <w:rsid w:val="00E52C1F"/>
    <w:rsid w:val="00E54347"/>
    <w:rsid w:val="00E55311"/>
    <w:rsid w:val="00E55424"/>
    <w:rsid w:val="00E55635"/>
    <w:rsid w:val="00E55B90"/>
    <w:rsid w:val="00E55BB5"/>
    <w:rsid w:val="00E569F4"/>
    <w:rsid w:val="00E6018B"/>
    <w:rsid w:val="00E60213"/>
    <w:rsid w:val="00E60CD2"/>
    <w:rsid w:val="00E614E5"/>
    <w:rsid w:val="00E61CD3"/>
    <w:rsid w:val="00E628B2"/>
    <w:rsid w:val="00E62BB0"/>
    <w:rsid w:val="00E6329A"/>
    <w:rsid w:val="00E65150"/>
    <w:rsid w:val="00E653DF"/>
    <w:rsid w:val="00E6585F"/>
    <w:rsid w:val="00E658ED"/>
    <w:rsid w:val="00E65E79"/>
    <w:rsid w:val="00E660CF"/>
    <w:rsid w:val="00E66BA2"/>
    <w:rsid w:val="00E67416"/>
    <w:rsid w:val="00E6749A"/>
    <w:rsid w:val="00E67CA9"/>
    <w:rsid w:val="00E70B2B"/>
    <w:rsid w:val="00E712ED"/>
    <w:rsid w:val="00E718B6"/>
    <w:rsid w:val="00E723BA"/>
    <w:rsid w:val="00E72C72"/>
    <w:rsid w:val="00E73581"/>
    <w:rsid w:val="00E73991"/>
    <w:rsid w:val="00E74E6F"/>
    <w:rsid w:val="00E76874"/>
    <w:rsid w:val="00E772A9"/>
    <w:rsid w:val="00E77CFF"/>
    <w:rsid w:val="00E77FC1"/>
    <w:rsid w:val="00E80880"/>
    <w:rsid w:val="00E811EF"/>
    <w:rsid w:val="00E82FF5"/>
    <w:rsid w:val="00E833F7"/>
    <w:rsid w:val="00E83BDF"/>
    <w:rsid w:val="00E847DF"/>
    <w:rsid w:val="00E84EDA"/>
    <w:rsid w:val="00E857D2"/>
    <w:rsid w:val="00E874AC"/>
    <w:rsid w:val="00E877D4"/>
    <w:rsid w:val="00E87A1D"/>
    <w:rsid w:val="00E90DC5"/>
    <w:rsid w:val="00E910F4"/>
    <w:rsid w:val="00E926A5"/>
    <w:rsid w:val="00E92E9C"/>
    <w:rsid w:val="00E935EE"/>
    <w:rsid w:val="00E93767"/>
    <w:rsid w:val="00E95A87"/>
    <w:rsid w:val="00E95E65"/>
    <w:rsid w:val="00E97016"/>
    <w:rsid w:val="00E9709D"/>
    <w:rsid w:val="00E97F72"/>
    <w:rsid w:val="00EA0658"/>
    <w:rsid w:val="00EA0E24"/>
    <w:rsid w:val="00EA1518"/>
    <w:rsid w:val="00EA17C3"/>
    <w:rsid w:val="00EA1978"/>
    <w:rsid w:val="00EA2A6D"/>
    <w:rsid w:val="00EA2CAA"/>
    <w:rsid w:val="00EA30B4"/>
    <w:rsid w:val="00EA3864"/>
    <w:rsid w:val="00EA41B9"/>
    <w:rsid w:val="00EA461E"/>
    <w:rsid w:val="00EA67EE"/>
    <w:rsid w:val="00EA75DE"/>
    <w:rsid w:val="00EB00E8"/>
    <w:rsid w:val="00EB09E6"/>
    <w:rsid w:val="00EB0FFB"/>
    <w:rsid w:val="00EB1322"/>
    <w:rsid w:val="00EB15B6"/>
    <w:rsid w:val="00EB18D5"/>
    <w:rsid w:val="00EB1C25"/>
    <w:rsid w:val="00EB2483"/>
    <w:rsid w:val="00EB3077"/>
    <w:rsid w:val="00EB46DE"/>
    <w:rsid w:val="00EB4916"/>
    <w:rsid w:val="00EB5448"/>
    <w:rsid w:val="00EB5C71"/>
    <w:rsid w:val="00EB6A0B"/>
    <w:rsid w:val="00EB783E"/>
    <w:rsid w:val="00EB7C39"/>
    <w:rsid w:val="00EC0004"/>
    <w:rsid w:val="00EC00C9"/>
    <w:rsid w:val="00EC0506"/>
    <w:rsid w:val="00EC25CA"/>
    <w:rsid w:val="00EC2649"/>
    <w:rsid w:val="00EC34E6"/>
    <w:rsid w:val="00EC388D"/>
    <w:rsid w:val="00EC418F"/>
    <w:rsid w:val="00EC5694"/>
    <w:rsid w:val="00EC5D0E"/>
    <w:rsid w:val="00EC6301"/>
    <w:rsid w:val="00EC6FE5"/>
    <w:rsid w:val="00EC7240"/>
    <w:rsid w:val="00EC7733"/>
    <w:rsid w:val="00ED07EC"/>
    <w:rsid w:val="00ED1559"/>
    <w:rsid w:val="00ED1E22"/>
    <w:rsid w:val="00ED379C"/>
    <w:rsid w:val="00ED4263"/>
    <w:rsid w:val="00ED42F2"/>
    <w:rsid w:val="00ED4CA8"/>
    <w:rsid w:val="00ED57EA"/>
    <w:rsid w:val="00ED6233"/>
    <w:rsid w:val="00ED6AD0"/>
    <w:rsid w:val="00ED716B"/>
    <w:rsid w:val="00ED7465"/>
    <w:rsid w:val="00ED75D8"/>
    <w:rsid w:val="00ED77A3"/>
    <w:rsid w:val="00ED7FAB"/>
    <w:rsid w:val="00EE0101"/>
    <w:rsid w:val="00EE07D3"/>
    <w:rsid w:val="00EE1295"/>
    <w:rsid w:val="00EE1DE0"/>
    <w:rsid w:val="00EE1F6B"/>
    <w:rsid w:val="00EE22AF"/>
    <w:rsid w:val="00EE262B"/>
    <w:rsid w:val="00EE3881"/>
    <w:rsid w:val="00EE3A94"/>
    <w:rsid w:val="00EE4D2F"/>
    <w:rsid w:val="00EE538A"/>
    <w:rsid w:val="00EE573D"/>
    <w:rsid w:val="00EE5D30"/>
    <w:rsid w:val="00EE5D86"/>
    <w:rsid w:val="00EE5F96"/>
    <w:rsid w:val="00EE6AA9"/>
    <w:rsid w:val="00EE6D68"/>
    <w:rsid w:val="00EE70AA"/>
    <w:rsid w:val="00EE7EBB"/>
    <w:rsid w:val="00EF0171"/>
    <w:rsid w:val="00EF05EA"/>
    <w:rsid w:val="00EF0BF4"/>
    <w:rsid w:val="00EF18CE"/>
    <w:rsid w:val="00EF1A26"/>
    <w:rsid w:val="00EF1B25"/>
    <w:rsid w:val="00EF2223"/>
    <w:rsid w:val="00EF297A"/>
    <w:rsid w:val="00EF2A6B"/>
    <w:rsid w:val="00EF2E4A"/>
    <w:rsid w:val="00EF333F"/>
    <w:rsid w:val="00EF4747"/>
    <w:rsid w:val="00EF4BF8"/>
    <w:rsid w:val="00EF5B92"/>
    <w:rsid w:val="00EF5D5B"/>
    <w:rsid w:val="00F00942"/>
    <w:rsid w:val="00F00E4D"/>
    <w:rsid w:val="00F02253"/>
    <w:rsid w:val="00F02DEC"/>
    <w:rsid w:val="00F03151"/>
    <w:rsid w:val="00F034C5"/>
    <w:rsid w:val="00F03C2E"/>
    <w:rsid w:val="00F04A66"/>
    <w:rsid w:val="00F0516C"/>
    <w:rsid w:val="00F055B8"/>
    <w:rsid w:val="00F05E18"/>
    <w:rsid w:val="00F066E0"/>
    <w:rsid w:val="00F067A2"/>
    <w:rsid w:val="00F06C36"/>
    <w:rsid w:val="00F10027"/>
    <w:rsid w:val="00F100A6"/>
    <w:rsid w:val="00F11225"/>
    <w:rsid w:val="00F1194D"/>
    <w:rsid w:val="00F11B6D"/>
    <w:rsid w:val="00F12289"/>
    <w:rsid w:val="00F1263A"/>
    <w:rsid w:val="00F129C5"/>
    <w:rsid w:val="00F1301C"/>
    <w:rsid w:val="00F13442"/>
    <w:rsid w:val="00F1349E"/>
    <w:rsid w:val="00F13702"/>
    <w:rsid w:val="00F13B15"/>
    <w:rsid w:val="00F14A62"/>
    <w:rsid w:val="00F15D13"/>
    <w:rsid w:val="00F179B4"/>
    <w:rsid w:val="00F212CE"/>
    <w:rsid w:val="00F2313D"/>
    <w:rsid w:val="00F236ED"/>
    <w:rsid w:val="00F245CB"/>
    <w:rsid w:val="00F246C6"/>
    <w:rsid w:val="00F24837"/>
    <w:rsid w:val="00F2531D"/>
    <w:rsid w:val="00F2575F"/>
    <w:rsid w:val="00F2656B"/>
    <w:rsid w:val="00F27029"/>
    <w:rsid w:val="00F27565"/>
    <w:rsid w:val="00F279C1"/>
    <w:rsid w:val="00F310D4"/>
    <w:rsid w:val="00F31D5A"/>
    <w:rsid w:val="00F33DE9"/>
    <w:rsid w:val="00F34CB9"/>
    <w:rsid w:val="00F35D36"/>
    <w:rsid w:val="00F3619A"/>
    <w:rsid w:val="00F36498"/>
    <w:rsid w:val="00F37362"/>
    <w:rsid w:val="00F37678"/>
    <w:rsid w:val="00F40AAA"/>
    <w:rsid w:val="00F40BA7"/>
    <w:rsid w:val="00F4167C"/>
    <w:rsid w:val="00F4194C"/>
    <w:rsid w:val="00F4289A"/>
    <w:rsid w:val="00F44890"/>
    <w:rsid w:val="00F44B57"/>
    <w:rsid w:val="00F44C69"/>
    <w:rsid w:val="00F456C7"/>
    <w:rsid w:val="00F457CF"/>
    <w:rsid w:val="00F46CB6"/>
    <w:rsid w:val="00F46FBF"/>
    <w:rsid w:val="00F471F5"/>
    <w:rsid w:val="00F47746"/>
    <w:rsid w:val="00F47DE8"/>
    <w:rsid w:val="00F503D6"/>
    <w:rsid w:val="00F50444"/>
    <w:rsid w:val="00F50B80"/>
    <w:rsid w:val="00F512F4"/>
    <w:rsid w:val="00F52D54"/>
    <w:rsid w:val="00F53127"/>
    <w:rsid w:val="00F5383F"/>
    <w:rsid w:val="00F542C1"/>
    <w:rsid w:val="00F5459C"/>
    <w:rsid w:val="00F55E73"/>
    <w:rsid w:val="00F55EDA"/>
    <w:rsid w:val="00F55F03"/>
    <w:rsid w:val="00F56322"/>
    <w:rsid w:val="00F56CD2"/>
    <w:rsid w:val="00F60092"/>
    <w:rsid w:val="00F60229"/>
    <w:rsid w:val="00F6088C"/>
    <w:rsid w:val="00F63245"/>
    <w:rsid w:val="00F63376"/>
    <w:rsid w:val="00F6428B"/>
    <w:rsid w:val="00F64500"/>
    <w:rsid w:val="00F64BB7"/>
    <w:rsid w:val="00F65E6D"/>
    <w:rsid w:val="00F65F4B"/>
    <w:rsid w:val="00F70C9D"/>
    <w:rsid w:val="00F71658"/>
    <w:rsid w:val="00F7177E"/>
    <w:rsid w:val="00F72979"/>
    <w:rsid w:val="00F73946"/>
    <w:rsid w:val="00F7466D"/>
    <w:rsid w:val="00F74783"/>
    <w:rsid w:val="00F749BC"/>
    <w:rsid w:val="00F74CD9"/>
    <w:rsid w:val="00F75A5F"/>
    <w:rsid w:val="00F75D52"/>
    <w:rsid w:val="00F76024"/>
    <w:rsid w:val="00F771AF"/>
    <w:rsid w:val="00F77EEE"/>
    <w:rsid w:val="00F77F7F"/>
    <w:rsid w:val="00F80A7B"/>
    <w:rsid w:val="00F80BBB"/>
    <w:rsid w:val="00F80E5D"/>
    <w:rsid w:val="00F816D1"/>
    <w:rsid w:val="00F8200A"/>
    <w:rsid w:val="00F851CE"/>
    <w:rsid w:val="00F86402"/>
    <w:rsid w:val="00F91219"/>
    <w:rsid w:val="00F9125D"/>
    <w:rsid w:val="00F91AE3"/>
    <w:rsid w:val="00F93BBA"/>
    <w:rsid w:val="00F95B0F"/>
    <w:rsid w:val="00F96809"/>
    <w:rsid w:val="00F97A78"/>
    <w:rsid w:val="00FA0B20"/>
    <w:rsid w:val="00FA1E58"/>
    <w:rsid w:val="00FA24E7"/>
    <w:rsid w:val="00FA39D2"/>
    <w:rsid w:val="00FA3A17"/>
    <w:rsid w:val="00FA4045"/>
    <w:rsid w:val="00FA4705"/>
    <w:rsid w:val="00FA5647"/>
    <w:rsid w:val="00FA5C37"/>
    <w:rsid w:val="00FA6C0E"/>
    <w:rsid w:val="00FA70E9"/>
    <w:rsid w:val="00FA7B1E"/>
    <w:rsid w:val="00FB156A"/>
    <w:rsid w:val="00FB1D3B"/>
    <w:rsid w:val="00FB216A"/>
    <w:rsid w:val="00FB21FF"/>
    <w:rsid w:val="00FB2353"/>
    <w:rsid w:val="00FB2FCB"/>
    <w:rsid w:val="00FB49BA"/>
    <w:rsid w:val="00FB52AD"/>
    <w:rsid w:val="00FB64EB"/>
    <w:rsid w:val="00FB6F42"/>
    <w:rsid w:val="00FB728C"/>
    <w:rsid w:val="00FB7488"/>
    <w:rsid w:val="00FC1074"/>
    <w:rsid w:val="00FC1884"/>
    <w:rsid w:val="00FC1D07"/>
    <w:rsid w:val="00FC1F34"/>
    <w:rsid w:val="00FC2278"/>
    <w:rsid w:val="00FC2BF2"/>
    <w:rsid w:val="00FC2D52"/>
    <w:rsid w:val="00FC2FC2"/>
    <w:rsid w:val="00FC371D"/>
    <w:rsid w:val="00FC3932"/>
    <w:rsid w:val="00FC40EA"/>
    <w:rsid w:val="00FC436E"/>
    <w:rsid w:val="00FC4FAF"/>
    <w:rsid w:val="00FC5C19"/>
    <w:rsid w:val="00FC5F0B"/>
    <w:rsid w:val="00FC6B04"/>
    <w:rsid w:val="00FC747A"/>
    <w:rsid w:val="00FC767C"/>
    <w:rsid w:val="00FD012B"/>
    <w:rsid w:val="00FD08D9"/>
    <w:rsid w:val="00FD108B"/>
    <w:rsid w:val="00FD13A1"/>
    <w:rsid w:val="00FD1830"/>
    <w:rsid w:val="00FD1DB4"/>
    <w:rsid w:val="00FD2100"/>
    <w:rsid w:val="00FD436C"/>
    <w:rsid w:val="00FD446D"/>
    <w:rsid w:val="00FD4ABB"/>
    <w:rsid w:val="00FD56EC"/>
    <w:rsid w:val="00FD5FC3"/>
    <w:rsid w:val="00FD6394"/>
    <w:rsid w:val="00FD6790"/>
    <w:rsid w:val="00FD6F28"/>
    <w:rsid w:val="00FD7619"/>
    <w:rsid w:val="00FD7788"/>
    <w:rsid w:val="00FD7F18"/>
    <w:rsid w:val="00FE0ACF"/>
    <w:rsid w:val="00FE0E6C"/>
    <w:rsid w:val="00FE0EB5"/>
    <w:rsid w:val="00FE186B"/>
    <w:rsid w:val="00FE1ECB"/>
    <w:rsid w:val="00FE2E7C"/>
    <w:rsid w:val="00FE34EE"/>
    <w:rsid w:val="00FE3A95"/>
    <w:rsid w:val="00FE4502"/>
    <w:rsid w:val="00FE50C6"/>
    <w:rsid w:val="00FE54CD"/>
    <w:rsid w:val="00FE593B"/>
    <w:rsid w:val="00FE5B0D"/>
    <w:rsid w:val="00FE5D8D"/>
    <w:rsid w:val="00FE61EF"/>
    <w:rsid w:val="00FE70C3"/>
    <w:rsid w:val="00FE73D4"/>
    <w:rsid w:val="00FF14FB"/>
    <w:rsid w:val="00FF1AB1"/>
    <w:rsid w:val="00FF2D1B"/>
    <w:rsid w:val="00FF3DCF"/>
    <w:rsid w:val="00FF462E"/>
    <w:rsid w:val="00FF492C"/>
    <w:rsid w:val="00FF4A21"/>
    <w:rsid w:val="00FF4FD2"/>
    <w:rsid w:val="00FF5AA3"/>
    <w:rsid w:val="00FF5AD8"/>
    <w:rsid w:val="00FF6211"/>
    <w:rsid w:val="00FF780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7"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endnote reference" w:uiPriority="99"/>
    <w:lsdException w:name="endnote text" w:uiPriority="99"/>
    <w:lsdException w:name="List Bullet" w:uiPriority="16" w:qFormat="1"/>
    <w:lsdException w:name="List Number" w:semiHidden="0" w:uiPriority="16" w:unhideWhenUsed="0" w:qFormat="1"/>
    <w:lsdException w:name="List 4" w:semiHidden="0" w:unhideWhenUsed="0"/>
    <w:lsdException w:name="List 5" w:semiHidden="0" w:unhideWhenUsed="0"/>
    <w:lsdException w:name="List Bullet 2" w:uiPriority="16" w:qFormat="1"/>
    <w:lsdException w:name="List Bullet 3" w:uiPriority="16" w:qFormat="1"/>
    <w:lsdException w:name="List Bullet 4" w:uiPriority="16" w:qFormat="1"/>
    <w:lsdException w:name="List Number 2" w:uiPriority="16" w:qFormat="1"/>
    <w:lsdException w:name="List Number 3" w:uiPriority="16" w:qFormat="1"/>
    <w:lsdException w:name="List Number 4" w:uiPriority="16" w:qFormat="1"/>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Strong" w:semiHidden="0" w:unhideWhenUsed="0"/>
    <w:lsdException w:name="Emphasis" w:semiHidden="0" w:uiPriority="20" w:unhideWhenUsed="0" w:qFormat="1"/>
    <w:lsdException w:name="Document Map" w:uiPriority="99"/>
    <w:lsdException w:name="Normal (Web)"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7891"/>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aliases w:val="Heading 1 - Body"/>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nhideWhenUsed/>
    <w:rsid w:val="00B34FE2"/>
    <w:rPr>
      <w:rFonts w:ascii="Tahoma" w:hAnsi="Tahoma" w:cs="Tahoma"/>
      <w:sz w:val="16"/>
      <w:szCs w:val="16"/>
    </w:rPr>
  </w:style>
  <w:style w:type="character" w:customStyle="1" w:styleId="BalloonTextChar">
    <w:name w:val="Balloon Text Char"/>
    <w:basedOn w:val="DefaultParagraphFont"/>
    <w:link w:val="BalloonText"/>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4F48A8"/>
    <w:pPr>
      <w:keepNext/>
      <w:widowControl/>
      <w:spacing w:before="40" w:after="40"/>
      <w:jc w:val="left"/>
    </w:pPr>
    <w:rPr>
      <w:rFonts w:ascii="Arial Narrow" w:eastAsiaTheme="minorHAnsi" w:hAnsi="Arial Narrow" w:cstheme="minorBidi"/>
      <w:snapToGrid/>
      <w:sz w:val="20"/>
    </w:rPr>
  </w:style>
  <w:style w:type="paragraph" w:customStyle="1" w:styleId="V50Instructions">
    <w:name w:val="V5.0 Instructions"/>
    <w:basedOn w:val="Normal"/>
    <w:link w:val="V50InstructionsChar"/>
    <w:qFormat/>
    <w:rsid w:val="004F48A8"/>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F48A8"/>
    <w:rPr>
      <w:rFonts w:asciiTheme="minorHAnsi" w:eastAsiaTheme="minorHAnsi" w:hAnsiTheme="minorHAnsi" w:cstheme="minorBidi"/>
      <w:color w:val="4BACC6" w:themeColor="accent5"/>
      <w:sz w:val="24"/>
      <w:szCs w:val="22"/>
      <w:lang w:eastAsia="en-US"/>
    </w:rPr>
  </w:style>
  <w:style w:type="paragraph" w:styleId="FootnoteText">
    <w:name w:val="footnote text"/>
    <w:aliases w:val=" Char,wcp_Footnote,Footnote_Bas Page,Footnote Text Char1,Footnote Text Char Char,Footnote Text Char2,Footnote Text Char Char1"/>
    <w:basedOn w:val="Normal"/>
    <w:link w:val="FootnoteTextChar"/>
    <w:uiPriority w:val="99"/>
    <w:unhideWhenUsed/>
    <w:rsid w:val="00C951CD"/>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 Char Char,wcp_Footnote Char,Footnote_Bas Page Char,Footnote Text Char1 Char,Footnote Text Char Char Char,Footnote Text Char2 Char,Footnote Text Char Char1 Char"/>
    <w:basedOn w:val="DefaultParagraphFont"/>
    <w:link w:val="FootnoteText"/>
    <w:uiPriority w:val="99"/>
    <w:rsid w:val="00C951CD"/>
    <w:rPr>
      <w:rFonts w:asciiTheme="minorHAnsi" w:eastAsiaTheme="minorHAnsi" w:hAnsiTheme="minorHAnsi" w:cstheme="minorBidi"/>
      <w:sz w:val="18"/>
      <w:lang w:eastAsia="en-US"/>
    </w:rPr>
  </w:style>
  <w:style w:type="table" w:customStyle="1" w:styleId="TableGrid2">
    <w:name w:val="Table Grid2"/>
    <w:basedOn w:val="TableNormal"/>
    <w:next w:val="TableGrid"/>
    <w:uiPriority w:val="39"/>
    <w:rsid w:val="00D242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14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1C1470"/>
    <w:rPr>
      <w:vertAlign w:val="superscript"/>
    </w:rPr>
  </w:style>
  <w:style w:type="paragraph" w:customStyle="1" w:styleId="Tablenote">
    <w:name w:val="Table note"/>
    <w:basedOn w:val="Normal"/>
    <w:next w:val="Normal"/>
    <w:qFormat/>
    <w:rsid w:val="001C1470"/>
    <w:pPr>
      <w:widowControl/>
      <w:spacing w:before="120" w:after="240" w:line="312" w:lineRule="auto"/>
    </w:pPr>
    <w:rPr>
      <w:rFonts w:ascii="Verdana" w:eastAsia="Calibri" w:hAnsi="Verdana" w:cs="Times New Roman"/>
      <w:snapToGrid/>
      <w:sz w:val="18"/>
    </w:rPr>
  </w:style>
  <w:style w:type="paragraph" w:customStyle="1" w:styleId="Tablebold">
    <w:name w:val="Table bold"/>
    <w:basedOn w:val="Tabletext"/>
    <w:qFormat/>
    <w:rsid w:val="001C1470"/>
    <w:pPr>
      <w:keepNext/>
      <w:spacing w:before="60" w:after="60"/>
    </w:pPr>
    <w:rPr>
      <w:rFonts w:ascii="Verdana" w:eastAsia="Calibri" w:hAnsi="Verdana"/>
      <w:b/>
      <w:sz w:val="18"/>
    </w:rPr>
  </w:style>
  <w:style w:type="paragraph" w:customStyle="1" w:styleId="TableHeading0">
    <w:name w:val="Table Heading"/>
    <w:basedOn w:val="Normal"/>
    <w:qFormat/>
    <w:rsid w:val="001C1470"/>
    <w:pPr>
      <w:keepNext/>
      <w:widowControl/>
      <w:spacing w:after="60"/>
      <w:jc w:val="left"/>
    </w:pPr>
    <w:rPr>
      <w:rFonts w:ascii="Arial Narrow" w:eastAsiaTheme="minorHAnsi" w:hAnsi="Arial Narrow" w:cstheme="minorBidi"/>
      <w:b/>
      <w:snapToGrid/>
      <w:sz w:val="20"/>
    </w:rPr>
  </w:style>
  <w:style w:type="table" w:customStyle="1" w:styleId="TableGrid5">
    <w:name w:val="Table Grid5"/>
    <w:basedOn w:val="TableNormal"/>
    <w:next w:val="TableGrid"/>
    <w:uiPriority w:val="39"/>
    <w:rsid w:val="001C14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Australia">
    <w:name w:val="MSD Australia"/>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Lists">
    <w:name w:val="Lists"/>
    <w:uiPriority w:val="99"/>
    <w:rsid w:val="001C1470"/>
    <w:pPr>
      <w:numPr>
        <w:numId w:val="3"/>
      </w:numPr>
    </w:pPr>
  </w:style>
  <w:style w:type="table" w:customStyle="1" w:styleId="MSDAustralia1">
    <w:name w:val="MSD Australia1"/>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TableGrid9">
    <w:name w:val="Table Grid9"/>
    <w:basedOn w:val="TableNormal"/>
    <w:next w:val="TableGrid"/>
    <w:uiPriority w:val="39"/>
    <w:rsid w:val="001C14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Australia2">
    <w:name w:val="MSD Australia2"/>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3">
    <w:name w:val="MSD Australia3"/>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4">
    <w:name w:val="MSD Australia4"/>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V50Heading2nonumbers">
    <w:name w:val="V5.0 Heading 2 no numbers"/>
    <w:basedOn w:val="Heading2"/>
    <w:qFormat/>
    <w:rsid w:val="001C1470"/>
    <w:pPr>
      <w:keepNext/>
      <w:keepLines/>
      <w:widowControl/>
      <w:spacing w:before="240" w:after="120"/>
      <w:ind w:left="578" w:hanging="578"/>
      <w:jc w:val="left"/>
    </w:pPr>
    <w:rPr>
      <w:rFonts w:asciiTheme="minorHAnsi" w:eastAsiaTheme="majorEastAsia" w:hAnsiTheme="minorHAnsi" w:cstheme="majorBidi"/>
      <w:snapToGrid/>
      <w:szCs w:val="28"/>
    </w:rPr>
  </w:style>
  <w:style w:type="paragraph" w:styleId="ListBullet">
    <w:name w:val="List Bullet"/>
    <w:basedOn w:val="Normal"/>
    <w:uiPriority w:val="16"/>
    <w:qFormat/>
    <w:rsid w:val="001C1470"/>
    <w:pPr>
      <w:keepLines/>
      <w:widowControl/>
      <w:numPr>
        <w:numId w:val="4"/>
      </w:numPr>
      <w:spacing w:after="36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1C1470"/>
    <w:pPr>
      <w:numPr>
        <w:ilvl w:val="1"/>
      </w:numPr>
    </w:pPr>
  </w:style>
  <w:style w:type="paragraph" w:styleId="ListBullet3">
    <w:name w:val="List Bullet 3"/>
    <w:basedOn w:val="Normal"/>
    <w:uiPriority w:val="16"/>
    <w:qFormat/>
    <w:rsid w:val="001C1470"/>
    <w:pPr>
      <w:keepLines/>
      <w:widowControl/>
      <w:numPr>
        <w:ilvl w:val="2"/>
        <w:numId w:val="4"/>
      </w:numPr>
      <w:spacing w:after="36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1C1470"/>
    <w:pPr>
      <w:keepLines/>
      <w:widowControl/>
      <w:numPr>
        <w:ilvl w:val="3"/>
        <w:numId w:val="4"/>
      </w:numPr>
      <w:spacing w:after="360" w:line="360" w:lineRule="auto"/>
      <w:contextualSpacing/>
      <w:jc w:val="left"/>
    </w:pPr>
    <w:rPr>
      <w:rFonts w:ascii="Arial" w:eastAsiaTheme="minorHAnsi" w:hAnsi="Arial" w:cstheme="minorBidi"/>
      <w:snapToGrid/>
      <w:sz w:val="20"/>
      <w:szCs w:val="20"/>
    </w:rPr>
  </w:style>
  <w:style w:type="character" w:customStyle="1" w:styleId="Heading1Char">
    <w:name w:val="Heading 1 Char"/>
    <w:basedOn w:val="DefaultParagraphFont"/>
    <w:link w:val="Heading1"/>
    <w:uiPriority w:val="1"/>
    <w:rsid w:val="00313574"/>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313574"/>
    <w:rPr>
      <w:rFonts w:ascii="Calibri" w:hAnsi="Calibri" w:cs="Arial"/>
      <w:snapToGrid w:val="0"/>
      <w:sz w:val="24"/>
      <w:szCs w:val="22"/>
      <w:u w:val="single"/>
      <w:lang w:eastAsia="en-US"/>
    </w:rPr>
  </w:style>
  <w:style w:type="character" w:customStyle="1" w:styleId="Heading4Char">
    <w:name w:val="Heading 4 Char"/>
    <w:aliases w:val="Heading 1 - Body Char"/>
    <w:basedOn w:val="DefaultParagraphFont"/>
    <w:link w:val="Heading4"/>
    <w:uiPriority w:val="5"/>
    <w:rsid w:val="00313574"/>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313574"/>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313574"/>
    <w:rPr>
      <w:rFonts w:ascii="Calibri" w:hAnsi="Calibri" w:cs="Arial"/>
      <w:b/>
      <w:bCs/>
      <w:i/>
      <w:snapToGrid w:val="0"/>
      <w:sz w:val="24"/>
      <w:szCs w:val="22"/>
      <w:lang w:eastAsia="en-US"/>
    </w:rPr>
  </w:style>
  <w:style w:type="paragraph" w:customStyle="1" w:styleId="V50Heading1nonumbers">
    <w:name w:val="V5.0 Heading 1 no numbers"/>
    <w:basedOn w:val="Heading1"/>
    <w:qFormat/>
    <w:rsid w:val="00313574"/>
    <w:pPr>
      <w:keepNext/>
      <w:keepLines/>
      <w:widowControl/>
      <w:spacing w:before="240" w:after="120"/>
      <w:ind w:left="0" w:firstLine="0"/>
      <w:jc w:val="left"/>
    </w:pPr>
    <w:rPr>
      <w:rFonts w:asciiTheme="minorHAnsi" w:eastAsiaTheme="majorEastAsia" w:hAnsiTheme="minorHAnsi" w:cstheme="majorBidi"/>
      <w:caps w:val="0"/>
      <w:snapToGrid/>
      <w:szCs w:val="28"/>
    </w:rPr>
  </w:style>
  <w:style w:type="paragraph" w:customStyle="1" w:styleId="V50TableText">
    <w:name w:val="V5.0 TableText"/>
    <w:link w:val="V50TableTextChar"/>
    <w:qFormat/>
    <w:rsid w:val="00313574"/>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313574"/>
    <w:rPr>
      <w:b/>
      <w:color w:val="4BACC6" w:themeColor="accent5"/>
    </w:rPr>
  </w:style>
  <w:style w:type="paragraph" w:customStyle="1" w:styleId="V50InstructionsBullets">
    <w:name w:val="V5.0 Instructions Bullets"/>
    <w:basedOn w:val="V50Instructions"/>
    <w:qFormat/>
    <w:rsid w:val="00313574"/>
    <w:pPr>
      <w:spacing w:before="0" w:after="0"/>
      <w:ind w:left="714" w:hanging="357"/>
    </w:pPr>
  </w:style>
  <w:style w:type="table" w:customStyle="1" w:styleId="TableGridLight1">
    <w:name w:val="Table Grid Light1"/>
    <w:basedOn w:val="TableNormal"/>
    <w:uiPriority w:val="40"/>
    <w:rsid w:val="003135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gNoteLast">
    <w:name w:val="TableFigNote Last"/>
    <w:basedOn w:val="Normal"/>
    <w:qFormat/>
    <w:rsid w:val="00313574"/>
    <w:pPr>
      <w:widowControl/>
      <w:spacing w:after="360"/>
      <w:jc w:val="left"/>
    </w:pPr>
    <w:rPr>
      <w:rFonts w:asciiTheme="minorHAnsi" w:eastAsiaTheme="minorHAnsi" w:hAnsiTheme="minorHAnsi" w:cstheme="minorBidi"/>
      <w:snapToGrid/>
      <w:sz w:val="18"/>
    </w:rPr>
  </w:style>
  <w:style w:type="character" w:styleId="Emphasis">
    <w:name w:val="Emphasis"/>
    <w:basedOn w:val="DefaultParagraphFont"/>
    <w:uiPriority w:val="20"/>
    <w:qFormat/>
    <w:rsid w:val="00313574"/>
    <w:rPr>
      <w:b w:val="0"/>
      <w:i/>
      <w:iCs/>
    </w:rPr>
  </w:style>
  <w:style w:type="character" w:customStyle="1" w:styleId="V50TableTextChar">
    <w:name w:val="V5.0 TableText Char"/>
    <w:basedOn w:val="DefaultParagraphFont"/>
    <w:link w:val="V50TableText"/>
    <w:rsid w:val="00313574"/>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313574"/>
    <w:pPr>
      <w:keepNext/>
    </w:pPr>
    <w:rPr>
      <w:b/>
    </w:rPr>
  </w:style>
  <w:style w:type="character" w:customStyle="1" w:styleId="V50TablenameChar">
    <w:name w:val="V5.0 Table name Char"/>
    <w:basedOn w:val="DefaultParagraphFont"/>
    <w:link w:val="V50Tablename"/>
    <w:rsid w:val="00313574"/>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313574"/>
    <w:pPr>
      <w:spacing w:after="120"/>
      <w:contextualSpacing/>
      <w:jc w:val="both"/>
    </w:pPr>
    <w:rPr>
      <w:sz w:val="18"/>
      <w:szCs w:val="18"/>
    </w:rPr>
  </w:style>
  <w:style w:type="character" w:customStyle="1" w:styleId="V50TablenoteChar">
    <w:name w:val="V5.0 Tablenote Char"/>
    <w:basedOn w:val="DefaultParagraphFont"/>
    <w:link w:val="V50Tablenote"/>
    <w:rsid w:val="00313574"/>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313574"/>
    <w:pPr>
      <w:widowControl/>
      <w:spacing w:after="60"/>
      <w:jc w:val="left"/>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rsid w:val="00313574"/>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313574"/>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rsid w:val="00313574"/>
    <w:pPr>
      <w:spacing w:after="120"/>
    </w:pPr>
    <w:rPr>
      <w:rFonts w:ascii="Arial" w:hAnsi="Arial"/>
      <w:sz w:val="16"/>
      <w:szCs w:val="16"/>
    </w:rPr>
  </w:style>
  <w:style w:type="character" w:customStyle="1" w:styleId="BodyText3Char">
    <w:name w:val="Body Text 3 Char"/>
    <w:basedOn w:val="DefaultParagraphFont"/>
    <w:link w:val="BodyText3"/>
    <w:uiPriority w:val="9"/>
    <w:rsid w:val="00313574"/>
    <w:rPr>
      <w:rFonts w:ascii="Arial" w:hAnsi="Arial" w:cs="Arial"/>
      <w:snapToGrid w:val="0"/>
      <w:sz w:val="16"/>
      <w:szCs w:val="16"/>
      <w:lang w:eastAsia="en-US"/>
    </w:rPr>
  </w:style>
  <w:style w:type="paragraph" w:styleId="BodyText2">
    <w:name w:val="Body Text 2"/>
    <w:basedOn w:val="Normal"/>
    <w:link w:val="BodyText2Char"/>
    <w:uiPriority w:val="9"/>
    <w:rsid w:val="00313574"/>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313574"/>
    <w:rPr>
      <w:rFonts w:ascii="Arial" w:hAnsi="Arial" w:cs="Arial"/>
      <w:snapToGrid w:val="0"/>
      <w:sz w:val="22"/>
      <w:lang w:eastAsia="en-US"/>
    </w:rPr>
  </w:style>
  <w:style w:type="paragraph" w:customStyle="1" w:styleId="TableText1">
    <w:name w:val="TableText"/>
    <w:basedOn w:val="Normal"/>
    <w:uiPriority w:val="9"/>
    <w:rsid w:val="00313574"/>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313574"/>
    <w:rPr>
      <w:rFonts w:ascii="Arial" w:hAnsi="Arial"/>
      <w:sz w:val="22"/>
      <w:szCs w:val="20"/>
    </w:rPr>
  </w:style>
  <w:style w:type="paragraph" w:customStyle="1" w:styleId="PBACheading10">
    <w:name w:val="PBAC heading 1"/>
    <w:qFormat/>
    <w:rsid w:val="00313574"/>
    <w:pPr>
      <w:ind w:left="720" w:hanging="720"/>
    </w:pPr>
    <w:rPr>
      <w:rFonts w:ascii="Arial" w:hAnsi="Arial" w:cs="Arial"/>
      <w:snapToGrid w:val="0"/>
      <w:sz w:val="22"/>
      <w:szCs w:val="22"/>
      <w:lang w:eastAsia="en-US"/>
    </w:rPr>
  </w:style>
  <w:style w:type="numbering" w:customStyle="1" w:styleId="Headings">
    <w:name w:val="Headings"/>
    <w:uiPriority w:val="99"/>
    <w:rsid w:val="00313574"/>
    <w:pPr>
      <w:numPr>
        <w:numId w:val="5"/>
      </w:numPr>
    </w:pPr>
  </w:style>
  <w:style w:type="paragraph" w:customStyle="1" w:styleId="BulletLast">
    <w:name w:val="Bullet Last"/>
    <w:basedOn w:val="Normal"/>
    <w:qFormat/>
    <w:rsid w:val="00313574"/>
    <w:pPr>
      <w:widowControl/>
      <w:numPr>
        <w:numId w:val="6"/>
      </w:numPr>
      <w:spacing w:after="240"/>
      <w:ind w:left="357" w:hanging="357"/>
      <w:jc w:val="left"/>
    </w:pPr>
    <w:rPr>
      <w:rFonts w:asciiTheme="minorHAnsi" w:eastAsiaTheme="minorHAnsi" w:hAnsiTheme="minorHAnsi" w:cstheme="minorBidi"/>
      <w:snapToGrid/>
      <w:sz w:val="22"/>
    </w:rPr>
  </w:style>
  <w:style w:type="paragraph" w:customStyle="1" w:styleId="TableFigNote">
    <w:name w:val="TableFigNote"/>
    <w:basedOn w:val="Normal"/>
    <w:qFormat/>
    <w:rsid w:val="00313574"/>
    <w:pPr>
      <w:widowControl/>
      <w:jc w:val="left"/>
    </w:pPr>
    <w:rPr>
      <w:rFonts w:asciiTheme="minorHAnsi" w:eastAsiaTheme="minorHAnsi" w:hAnsiTheme="minorHAnsi" w:cstheme="minorBidi"/>
      <w:snapToGrid/>
      <w:sz w:val="18"/>
    </w:rPr>
  </w:style>
  <w:style w:type="character" w:customStyle="1" w:styleId="StyleArial11pt">
    <w:name w:val="Style Arial 11 pt"/>
    <w:basedOn w:val="DefaultParagraphFont"/>
    <w:rsid w:val="00313574"/>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13574"/>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313574"/>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313574"/>
    <w:pPr>
      <w:widowControl/>
      <w:spacing w:after="120"/>
      <w:ind w:left="720" w:hanging="720"/>
    </w:pPr>
    <w:rPr>
      <w:rFonts w:eastAsiaTheme="minorHAnsi" w:cstheme="minorBidi"/>
      <w:snapToGrid/>
    </w:rPr>
  </w:style>
  <w:style w:type="table" w:customStyle="1" w:styleId="TableGrid1">
    <w:name w:val="Table Grid1"/>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13574"/>
    <w:pPr>
      <w:widowControl/>
      <w:jc w:val="left"/>
    </w:pPr>
    <w:rPr>
      <w:rFonts w:asciiTheme="minorHAnsi" w:eastAsiaTheme="minorHAnsi" w:hAnsiTheme="minorHAnsi" w:cstheme="minorBidi"/>
      <w:snapToGrid/>
      <w:sz w:val="20"/>
      <w:szCs w:val="20"/>
    </w:rPr>
  </w:style>
  <w:style w:type="character" w:customStyle="1" w:styleId="EndnoteTextChar">
    <w:name w:val="Endnote Text Char"/>
    <w:basedOn w:val="DefaultParagraphFont"/>
    <w:link w:val="EndnoteText"/>
    <w:uiPriority w:val="99"/>
    <w:semiHidden/>
    <w:rsid w:val="00313574"/>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313574"/>
    <w:rPr>
      <w:vertAlign w:val="superscript"/>
    </w:rPr>
  </w:style>
  <w:style w:type="table" w:customStyle="1" w:styleId="TableGrid4">
    <w:name w:val="Table Grid4"/>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
    <w:qFormat/>
    <w:rsid w:val="00313574"/>
    <w:pPr>
      <w:keepNext/>
      <w:spacing w:before="60" w:after="60"/>
      <w:ind w:left="170"/>
    </w:pPr>
    <w:rPr>
      <w:rFonts w:ascii="Verdana" w:eastAsia="Calibri" w:hAnsi="Verdana"/>
      <w:sz w:val="18"/>
    </w:rPr>
  </w:style>
  <w:style w:type="table" w:customStyle="1" w:styleId="TableGrid7">
    <w:name w:val="Table Grid7"/>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6"/>
    <w:qFormat/>
    <w:rsid w:val="00313574"/>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basedOn w:val="Normal"/>
    <w:uiPriority w:val="16"/>
    <w:qFormat/>
    <w:rsid w:val="00313574"/>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paragraph" w:styleId="ListNumber3">
    <w:name w:val="List Number 3"/>
    <w:basedOn w:val="Normal"/>
    <w:uiPriority w:val="16"/>
    <w:qFormat/>
    <w:rsid w:val="00313574"/>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313574"/>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313574"/>
    <w:pPr>
      <w:keepLines/>
      <w:widowControl/>
      <w:tabs>
        <w:tab w:val="left" w:pos="284"/>
      </w:tabs>
      <w:spacing w:before="60" w:after="360" w:line="360" w:lineRule="auto"/>
      <w:contextualSpacing/>
      <w:jc w:val="left"/>
    </w:pPr>
    <w:rPr>
      <w:rFonts w:ascii="Arial" w:eastAsiaTheme="minorHAnsi" w:hAnsi="Arial" w:cstheme="minorBidi"/>
      <w:snapToGrid/>
      <w:sz w:val="18"/>
      <w:szCs w:val="20"/>
    </w:rPr>
  </w:style>
  <w:style w:type="table" w:styleId="ColorfulList-Accent4">
    <w:name w:val="Colorful List Accent 4"/>
    <w:basedOn w:val="TableNormal"/>
    <w:uiPriority w:val="72"/>
    <w:rsid w:val="00313574"/>
    <w:rPr>
      <w:rFonts w:ascii="Arial" w:eastAsiaTheme="minorHAnsi" w:hAnsi="Arial" w:cstheme="minorBidi"/>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numbering" w:customStyle="1" w:styleId="CustomHeadingList">
    <w:name w:val="Custom Heading List"/>
    <w:uiPriority w:val="99"/>
    <w:rsid w:val="00313574"/>
    <w:pPr>
      <w:numPr>
        <w:numId w:val="7"/>
      </w:numPr>
    </w:pPr>
  </w:style>
  <w:style w:type="table" w:customStyle="1" w:styleId="TableGrid12">
    <w:name w:val="Table Grid12"/>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Text1"/>
    <w:rsid w:val="00313574"/>
    <w:pPr>
      <w:numPr>
        <w:numId w:val="8"/>
      </w:numPr>
      <w:spacing w:before="0" w:after="0"/>
    </w:pPr>
    <w:rPr>
      <w:rFonts w:eastAsia="Batang"/>
      <w:lang w:val="en-US"/>
    </w:rPr>
  </w:style>
  <w:style w:type="paragraph" w:customStyle="1" w:styleId="Tablenotes1">
    <w:name w:val="Table notes"/>
    <w:basedOn w:val="Normal"/>
    <w:rsid w:val="00313574"/>
    <w:pPr>
      <w:widowControl/>
      <w:tabs>
        <w:tab w:val="left" w:pos="416"/>
        <w:tab w:val="left" w:pos="582"/>
      </w:tabs>
    </w:pPr>
    <w:rPr>
      <w:rFonts w:ascii="Arial Narrow" w:eastAsia="TimesNewRoman" w:hAnsi="Arial Narrow" w:cs="Arial Narrow"/>
      <w:snapToGrid/>
      <w:sz w:val="18"/>
      <w:szCs w:val="18"/>
    </w:rPr>
  </w:style>
  <w:style w:type="table" w:customStyle="1" w:styleId="TableGrid15">
    <w:name w:val="Table Grid15"/>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13574"/>
    <w:pPr>
      <w:widowControl/>
      <w:jc w:val="left"/>
    </w:pPr>
    <w:rPr>
      <w:rFonts w:ascii="Helvetica" w:eastAsiaTheme="minorHAnsi" w:hAnsi="Helvetica" w:cs="Times New Roman"/>
      <w:snapToGrid/>
      <w:sz w:val="14"/>
      <w:szCs w:val="14"/>
      <w:lang w:val="en-GB" w:eastAsia="en-GB"/>
    </w:rPr>
  </w:style>
  <w:style w:type="table" w:customStyle="1" w:styleId="TableGrid20">
    <w:name w:val="Table Grid20"/>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3574"/>
    <w:rPr>
      <w:color w:val="808080"/>
      <w:shd w:val="clear" w:color="auto" w:fill="E6E6E6"/>
    </w:rPr>
  </w:style>
  <w:style w:type="table" w:customStyle="1" w:styleId="ExecSummTable">
    <w:name w:val="Exec Summ Table"/>
    <w:basedOn w:val="MSDAustralia"/>
    <w:uiPriority w:val="99"/>
    <w:rsid w:val="00313574"/>
    <w:rPr>
      <w:sz w:val="18"/>
      <w:lang w:eastAsia="en-AU" w:bidi="th-TH"/>
    </w:rP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SubHeading">
    <w:name w:val="Sub Heading"/>
    <w:basedOn w:val="Normal"/>
    <w:next w:val="Normal"/>
    <w:uiPriority w:val="9"/>
    <w:qFormat/>
    <w:rsid w:val="00313574"/>
    <w:pPr>
      <w:keepLines/>
      <w:widowControl/>
      <w:spacing w:before="360" w:line="360" w:lineRule="auto"/>
      <w:ind w:left="432" w:hanging="432"/>
      <w:jc w:val="left"/>
    </w:pPr>
    <w:rPr>
      <w:rFonts w:ascii="Arial" w:eastAsiaTheme="minorHAnsi" w:hAnsi="Arial" w:cstheme="minorBidi"/>
      <w:b/>
      <w:snapToGrid/>
      <w:sz w:val="20"/>
      <w:szCs w:val="20"/>
    </w:rPr>
  </w:style>
  <w:style w:type="character" w:customStyle="1" w:styleId="UnresolvedMention11">
    <w:name w:val="Unresolved Mention11"/>
    <w:basedOn w:val="DefaultParagraphFont"/>
    <w:uiPriority w:val="99"/>
    <w:rsid w:val="00313574"/>
    <w:rPr>
      <w:color w:val="808080"/>
      <w:shd w:val="clear" w:color="auto" w:fill="E6E6E6"/>
    </w:rPr>
  </w:style>
  <w:style w:type="table" w:customStyle="1" w:styleId="TableGrid21">
    <w:name w:val="Table Grid21"/>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ecSummTable1">
    <w:name w:val="Exec Summ Table1"/>
    <w:basedOn w:val="MSDAustralia"/>
    <w:uiPriority w:val="99"/>
    <w:rsid w:val="00313574"/>
    <w:rPr>
      <w:sz w:val="18"/>
      <w:lang w:eastAsia="en-AU" w:bidi="th-TH"/>
    </w:rP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styleId="DocumentMap">
    <w:name w:val="Document Map"/>
    <w:basedOn w:val="Normal"/>
    <w:link w:val="DocumentMapChar"/>
    <w:uiPriority w:val="99"/>
    <w:semiHidden/>
    <w:unhideWhenUsed/>
    <w:rsid w:val="00313574"/>
    <w:pPr>
      <w:widowControl/>
      <w:jc w:val="left"/>
    </w:pPr>
    <w:rPr>
      <w:rFonts w:ascii="Times New Roman" w:eastAsiaTheme="minorHAnsi" w:hAnsi="Times New Roman" w:cs="Times New Roman"/>
      <w:snapToGrid/>
      <w:szCs w:val="24"/>
    </w:rPr>
  </w:style>
  <w:style w:type="character" w:customStyle="1" w:styleId="DocumentMapChar">
    <w:name w:val="Document Map Char"/>
    <w:basedOn w:val="DefaultParagraphFont"/>
    <w:link w:val="DocumentMap"/>
    <w:uiPriority w:val="99"/>
    <w:semiHidden/>
    <w:rsid w:val="00313574"/>
    <w:rPr>
      <w:rFonts w:eastAsiaTheme="minorHAnsi"/>
      <w:sz w:val="24"/>
      <w:szCs w:val="24"/>
      <w:lang w:eastAsia="en-US"/>
    </w:rPr>
  </w:style>
  <w:style w:type="character" w:customStyle="1" w:styleId="tgc">
    <w:name w:val="_tgc"/>
    <w:basedOn w:val="DefaultParagraphFont"/>
    <w:rsid w:val="00313574"/>
  </w:style>
  <w:style w:type="paragraph" w:customStyle="1" w:styleId="Default">
    <w:name w:val="Default"/>
    <w:rsid w:val="00313574"/>
    <w:pPr>
      <w:autoSpaceDE w:val="0"/>
      <w:autoSpaceDN w:val="0"/>
      <w:adjustRightInd w:val="0"/>
    </w:pPr>
    <w:rPr>
      <w:rFonts w:ascii="Cambria" w:eastAsiaTheme="minorHAnsi" w:hAnsi="Cambria" w:cs="Cambria"/>
      <w:color w:val="000000"/>
      <w:sz w:val="24"/>
      <w:szCs w:val="24"/>
      <w:lang w:eastAsia="en-US"/>
    </w:rPr>
  </w:style>
  <w:style w:type="table" w:styleId="TableWeb3">
    <w:name w:val="Table Web 3"/>
    <w:basedOn w:val="TableNormal"/>
    <w:rsid w:val="00764E00"/>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Light2">
    <w:name w:val="Table Grid Light2"/>
    <w:basedOn w:val="TableNormal"/>
    <w:uiPriority w:val="40"/>
    <w:rsid w:val="00764E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TextChar0">
    <w:name w:val="Table Text Char"/>
    <w:link w:val="TableText0"/>
    <w:rsid w:val="000458C9"/>
    <w:rPr>
      <w:rFonts w:ascii="Arial Narrow" w:eastAsiaTheme="minorHAnsi" w:hAnsi="Arial Narrow" w:cstheme="minorBidi"/>
      <w:szCs w:val="22"/>
      <w:lang w:eastAsia="en-US"/>
    </w:rPr>
  </w:style>
  <w:style w:type="character" w:customStyle="1" w:styleId="bibref">
    <w:name w:val="bibref"/>
    <w:basedOn w:val="DefaultParagraphFont"/>
    <w:rsid w:val="00CC15F5"/>
  </w:style>
  <w:style w:type="character" w:customStyle="1" w:styleId="st1">
    <w:name w:val="st1"/>
    <w:basedOn w:val="DefaultParagraphFont"/>
    <w:rsid w:val="00BD7BA1"/>
  </w:style>
  <w:style w:type="paragraph" w:styleId="BodyTextFirstIndent">
    <w:name w:val="Body Text First Indent"/>
    <w:basedOn w:val="BodyText"/>
    <w:link w:val="BodyTextFirstIndentChar"/>
    <w:rsid w:val="00B4730E"/>
    <w:pPr>
      <w:ind w:firstLine="360"/>
      <w:jc w:val="both"/>
    </w:pPr>
  </w:style>
  <w:style w:type="character" w:customStyle="1" w:styleId="BodyTextFirstIndentChar">
    <w:name w:val="Body Text First Indent Char"/>
    <w:basedOn w:val="BodyTextChar"/>
    <w:link w:val="BodyTextFirstIndent"/>
    <w:uiPriority w:val="99"/>
    <w:rsid w:val="00B4730E"/>
    <w:rPr>
      <w:rFonts w:ascii="Calibri" w:hAnsi="Calibri" w:cs="Arial"/>
      <w:snapToGrid w:val="0"/>
      <w:sz w:val="24"/>
      <w:szCs w:val="22"/>
      <w:lang w:eastAsia="en-US"/>
    </w:rPr>
  </w:style>
  <w:style w:type="character" w:customStyle="1" w:styleId="il">
    <w:name w:val="il"/>
    <w:basedOn w:val="DefaultParagraphFont"/>
    <w:rsid w:val="008853D9"/>
  </w:style>
  <w:style w:type="character" w:customStyle="1" w:styleId="apple-converted-space">
    <w:name w:val="apple-converted-space"/>
    <w:basedOn w:val="DefaultParagraphFont"/>
    <w:rsid w:val="001B0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7"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endnote reference" w:uiPriority="99"/>
    <w:lsdException w:name="endnote text" w:uiPriority="99"/>
    <w:lsdException w:name="List Bullet" w:uiPriority="16" w:qFormat="1"/>
    <w:lsdException w:name="List Number" w:semiHidden="0" w:uiPriority="16" w:unhideWhenUsed="0" w:qFormat="1"/>
    <w:lsdException w:name="List 4" w:semiHidden="0" w:unhideWhenUsed="0"/>
    <w:lsdException w:name="List 5" w:semiHidden="0" w:unhideWhenUsed="0"/>
    <w:lsdException w:name="List Bullet 2" w:uiPriority="16" w:qFormat="1"/>
    <w:lsdException w:name="List Bullet 3" w:uiPriority="16" w:qFormat="1"/>
    <w:lsdException w:name="List Bullet 4" w:uiPriority="16" w:qFormat="1"/>
    <w:lsdException w:name="List Number 2" w:uiPriority="16" w:qFormat="1"/>
    <w:lsdException w:name="List Number 3" w:uiPriority="16" w:qFormat="1"/>
    <w:lsdException w:name="List Number 4" w:uiPriority="16" w:qFormat="1"/>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Strong" w:semiHidden="0" w:unhideWhenUsed="0"/>
    <w:lsdException w:name="Emphasis" w:semiHidden="0" w:uiPriority="20" w:unhideWhenUsed="0" w:qFormat="1"/>
    <w:lsdException w:name="Document Map" w:uiPriority="99"/>
    <w:lsdException w:name="Normal (Web)"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7891"/>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aliases w:val="Heading 1 - Body"/>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nhideWhenUsed/>
    <w:rsid w:val="00B34FE2"/>
    <w:rPr>
      <w:rFonts w:ascii="Tahoma" w:hAnsi="Tahoma" w:cs="Tahoma"/>
      <w:sz w:val="16"/>
      <w:szCs w:val="16"/>
    </w:rPr>
  </w:style>
  <w:style w:type="character" w:customStyle="1" w:styleId="BalloonTextChar">
    <w:name w:val="Balloon Text Char"/>
    <w:basedOn w:val="DefaultParagraphFont"/>
    <w:link w:val="BalloonText"/>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4F48A8"/>
    <w:pPr>
      <w:keepNext/>
      <w:widowControl/>
      <w:spacing w:before="40" w:after="40"/>
      <w:jc w:val="left"/>
    </w:pPr>
    <w:rPr>
      <w:rFonts w:ascii="Arial Narrow" w:eastAsiaTheme="minorHAnsi" w:hAnsi="Arial Narrow" w:cstheme="minorBidi"/>
      <w:snapToGrid/>
      <w:sz w:val="20"/>
    </w:rPr>
  </w:style>
  <w:style w:type="paragraph" w:customStyle="1" w:styleId="V50Instructions">
    <w:name w:val="V5.0 Instructions"/>
    <w:basedOn w:val="Normal"/>
    <w:link w:val="V50InstructionsChar"/>
    <w:qFormat/>
    <w:rsid w:val="004F48A8"/>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F48A8"/>
    <w:rPr>
      <w:rFonts w:asciiTheme="minorHAnsi" w:eastAsiaTheme="minorHAnsi" w:hAnsiTheme="minorHAnsi" w:cstheme="minorBidi"/>
      <w:color w:val="4BACC6" w:themeColor="accent5"/>
      <w:sz w:val="24"/>
      <w:szCs w:val="22"/>
      <w:lang w:eastAsia="en-US"/>
    </w:rPr>
  </w:style>
  <w:style w:type="paragraph" w:styleId="FootnoteText">
    <w:name w:val="footnote text"/>
    <w:aliases w:val=" Char,wcp_Footnote,Footnote_Bas Page,Footnote Text Char1,Footnote Text Char Char,Footnote Text Char2,Footnote Text Char Char1"/>
    <w:basedOn w:val="Normal"/>
    <w:link w:val="FootnoteTextChar"/>
    <w:uiPriority w:val="99"/>
    <w:unhideWhenUsed/>
    <w:rsid w:val="00C951CD"/>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 Char Char,wcp_Footnote Char,Footnote_Bas Page Char,Footnote Text Char1 Char,Footnote Text Char Char Char,Footnote Text Char2 Char,Footnote Text Char Char1 Char"/>
    <w:basedOn w:val="DefaultParagraphFont"/>
    <w:link w:val="FootnoteText"/>
    <w:uiPriority w:val="99"/>
    <w:rsid w:val="00C951CD"/>
    <w:rPr>
      <w:rFonts w:asciiTheme="minorHAnsi" w:eastAsiaTheme="minorHAnsi" w:hAnsiTheme="minorHAnsi" w:cstheme="minorBidi"/>
      <w:sz w:val="18"/>
      <w:lang w:eastAsia="en-US"/>
    </w:rPr>
  </w:style>
  <w:style w:type="table" w:customStyle="1" w:styleId="TableGrid2">
    <w:name w:val="Table Grid2"/>
    <w:basedOn w:val="TableNormal"/>
    <w:next w:val="TableGrid"/>
    <w:uiPriority w:val="39"/>
    <w:rsid w:val="00D242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14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1C1470"/>
    <w:rPr>
      <w:vertAlign w:val="superscript"/>
    </w:rPr>
  </w:style>
  <w:style w:type="paragraph" w:customStyle="1" w:styleId="Tablenote">
    <w:name w:val="Table note"/>
    <w:basedOn w:val="Normal"/>
    <w:next w:val="Normal"/>
    <w:qFormat/>
    <w:rsid w:val="001C1470"/>
    <w:pPr>
      <w:widowControl/>
      <w:spacing w:before="120" w:after="240" w:line="312" w:lineRule="auto"/>
    </w:pPr>
    <w:rPr>
      <w:rFonts w:ascii="Verdana" w:eastAsia="Calibri" w:hAnsi="Verdana" w:cs="Times New Roman"/>
      <w:snapToGrid/>
      <w:sz w:val="18"/>
    </w:rPr>
  </w:style>
  <w:style w:type="paragraph" w:customStyle="1" w:styleId="Tablebold">
    <w:name w:val="Table bold"/>
    <w:basedOn w:val="Tabletext"/>
    <w:qFormat/>
    <w:rsid w:val="001C1470"/>
    <w:pPr>
      <w:keepNext/>
      <w:spacing w:before="60" w:after="60"/>
    </w:pPr>
    <w:rPr>
      <w:rFonts w:ascii="Verdana" w:eastAsia="Calibri" w:hAnsi="Verdana"/>
      <w:b/>
      <w:sz w:val="18"/>
    </w:rPr>
  </w:style>
  <w:style w:type="paragraph" w:customStyle="1" w:styleId="TableHeading0">
    <w:name w:val="Table Heading"/>
    <w:basedOn w:val="Normal"/>
    <w:qFormat/>
    <w:rsid w:val="001C1470"/>
    <w:pPr>
      <w:keepNext/>
      <w:widowControl/>
      <w:spacing w:after="60"/>
      <w:jc w:val="left"/>
    </w:pPr>
    <w:rPr>
      <w:rFonts w:ascii="Arial Narrow" w:eastAsiaTheme="minorHAnsi" w:hAnsi="Arial Narrow" w:cstheme="minorBidi"/>
      <w:b/>
      <w:snapToGrid/>
      <w:sz w:val="20"/>
    </w:rPr>
  </w:style>
  <w:style w:type="table" w:customStyle="1" w:styleId="TableGrid5">
    <w:name w:val="Table Grid5"/>
    <w:basedOn w:val="TableNormal"/>
    <w:next w:val="TableGrid"/>
    <w:uiPriority w:val="39"/>
    <w:rsid w:val="001C14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Australia">
    <w:name w:val="MSD Australia"/>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Lists">
    <w:name w:val="Lists"/>
    <w:uiPriority w:val="99"/>
    <w:rsid w:val="001C1470"/>
    <w:pPr>
      <w:numPr>
        <w:numId w:val="3"/>
      </w:numPr>
    </w:pPr>
  </w:style>
  <w:style w:type="table" w:customStyle="1" w:styleId="MSDAustralia1">
    <w:name w:val="MSD Australia1"/>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TableGrid9">
    <w:name w:val="Table Grid9"/>
    <w:basedOn w:val="TableNormal"/>
    <w:next w:val="TableGrid"/>
    <w:uiPriority w:val="39"/>
    <w:rsid w:val="001C14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Australia2">
    <w:name w:val="MSD Australia2"/>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3">
    <w:name w:val="MSD Australia3"/>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4">
    <w:name w:val="MSD Australia4"/>
    <w:basedOn w:val="TableGrid"/>
    <w:uiPriority w:val="99"/>
    <w:rsid w:val="001C1470"/>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V50Heading2nonumbers">
    <w:name w:val="V5.0 Heading 2 no numbers"/>
    <w:basedOn w:val="Heading2"/>
    <w:qFormat/>
    <w:rsid w:val="001C1470"/>
    <w:pPr>
      <w:keepNext/>
      <w:keepLines/>
      <w:widowControl/>
      <w:spacing w:before="240" w:after="120"/>
      <w:ind w:left="578" w:hanging="578"/>
      <w:jc w:val="left"/>
    </w:pPr>
    <w:rPr>
      <w:rFonts w:asciiTheme="minorHAnsi" w:eastAsiaTheme="majorEastAsia" w:hAnsiTheme="minorHAnsi" w:cstheme="majorBidi"/>
      <w:snapToGrid/>
      <w:szCs w:val="28"/>
    </w:rPr>
  </w:style>
  <w:style w:type="paragraph" w:styleId="ListBullet">
    <w:name w:val="List Bullet"/>
    <w:basedOn w:val="Normal"/>
    <w:uiPriority w:val="16"/>
    <w:qFormat/>
    <w:rsid w:val="001C1470"/>
    <w:pPr>
      <w:keepLines/>
      <w:widowControl/>
      <w:numPr>
        <w:numId w:val="4"/>
      </w:numPr>
      <w:spacing w:after="36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1C1470"/>
    <w:pPr>
      <w:numPr>
        <w:ilvl w:val="1"/>
      </w:numPr>
    </w:pPr>
  </w:style>
  <w:style w:type="paragraph" w:styleId="ListBullet3">
    <w:name w:val="List Bullet 3"/>
    <w:basedOn w:val="Normal"/>
    <w:uiPriority w:val="16"/>
    <w:qFormat/>
    <w:rsid w:val="001C1470"/>
    <w:pPr>
      <w:keepLines/>
      <w:widowControl/>
      <w:numPr>
        <w:ilvl w:val="2"/>
        <w:numId w:val="4"/>
      </w:numPr>
      <w:spacing w:after="36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1C1470"/>
    <w:pPr>
      <w:keepLines/>
      <w:widowControl/>
      <w:numPr>
        <w:ilvl w:val="3"/>
        <w:numId w:val="4"/>
      </w:numPr>
      <w:spacing w:after="360" w:line="360" w:lineRule="auto"/>
      <w:contextualSpacing/>
      <w:jc w:val="left"/>
    </w:pPr>
    <w:rPr>
      <w:rFonts w:ascii="Arial" w:eastAsiaTheme="minorHAnsi" w:hAnsi="Arial" w:cstheme="minorBidi"/>
      <w:snapToGrid/>
      <w:sz w:val="20"/>
      <w:szCs w:val="20"/>
    </w:rPr>
  </w:style>
  <w:style w:type="character" w:customStyle="1" w:styleId="Heading1Char">
    <w:name w:val="Heading 1 Char"/>
    <w:basedOn w:val="DefaultParagraphFont"/>
    <w:link w:val="Heading1"/>
    <w:uiPriority w:val="1"/>
    <w:rsid w:val="00313574"/>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313574"/>
    <w:rPr>
      <w:rFonts w:ascii="Calibri" w:hAnsi="Calibri" w:cs="Arial"/>
      <w:snapToGrid w:val="0"/>
      <w:sz w:val="24"/>
      <w:szCs w:val="22"/>
      <w:u w:val="single"/>
      <w:lang w:eastAsia="en-US"/>
    </w:rPr>
  </w:style>
  <w:style w:type="character" w:customStyle="1" w:styleId="Heading4Char">
    <w:name w:val="Heading 4 Char"/>
    <w:aliases w:val="Heading 1 - Body Char"/>
    <w:basedOn w:val="DefaultParagraphFont"/>
    <w:link w:val="Heading4"/>
    <w:uiPriority w:val="5"/>
    <w:rsid w:val="00313574"/>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313574"/>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313574"/>
    <w:rPr>
      <w:rFonts w:ascii="Calibri" w:hAnsi="Calibri" w:cs="Arial"/>
      <w:b/>
      <w:bCs/>
      <w:i/>
      <w:snapToGrid w:val="0"/>
      <w:sz w:val="24"/>
      <w:szCs w:val="22"/>
      <w:lang w:eastAsia="en-US"/>
    </w:rPr>
  </w:style>
  <w:style w:type="paragraph" w:customStyle="1" w:styleId="V50Heading1nonumbers">
    <w:name w:val="V5.0 Heading 1 no numbers"/>
    <w:basedOn w:val="Heading1"/>
    <w:qFormat/>
    <w:rsid w:val="00313574"/>
    <w:pPr>
      <w:keepNext/>
      <w:keepLines/>
      <w:widowControl/>
      <w:spacing w:before="240" w:after="120"/>
      <w:ind w:left="0" w:firstLine="0"/>
      <w:jc w:val="left"/>
    </w:pPr>
    <w:rPr>
      <w:rFonts w:asciiTheme="minorHAnsi" w:eastAsiaTheme="majorEastAsia" w:hAnsiTheme="minorHAnsi" w:cstheme="majorBidi"/>
      <w:caps w:val="0"/>
      <w:snapToGrid/>
      <w:szCs w:val="28"/>
    </w:rPr>
  </w:style>
  <w:style w:type="paragraph" w:customStyle="1" w:styleId="V50TableText">
    <w:name w:val="V5.0 TableText"/>
    <w:link w:val="V50TableTextChar"/>
    <w:qFormat/>
    <w:rsid w:val="00313574"/>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313574"/>
    <w:rPr>
      <w:b/>
      <w:color w:val="4BACC6" w:themeColor="accent5"/>
    </w:rPr>
  </w:style>
  <w:style w:type="paragraph" w:customStyle="1" w:styleId="V50InstructionsBullets">
    <w:name w:val="V5.0 Instructions Bullets"/>
    <w:basedOn w:val="V50Instructions"/>
    <w:qFormat/>
    <w:rsid w:val="00313574"/>
    <w:pPr>
      <w:spacing w:before="0" w:after="0"/>
      <w:ind w:left="714" w:hanging="357"/>
    </w:pPr>
  </w:style>
  <w:style w:type="table" w:customStyle="1" w:styleId="TableGridLight1">
    <w:name w:val="Table Grid Light1"/>
    <w:basedOn w:val="TableNormal"/>
    <w:uiPriority w:val="40"/>
    <w:rsid w:val="003135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gNoteLast">
    <w:name w:val="TableFigNote Last"/>
    <w:basedOn w:val="Normal"/>
    <w:qFormat/>
    <w:rsid w:val="00313574"/>
    <w:pPr>
      <w:widowControl/>
      <w:spacing w:after="360"/>
      <w:jc w:val="left"/>
    </w:pPr>
    <w:rPr>
      <w:rFonts w:asciiTheme="minorHAnsi" w:eastAsiaTheme="minorHAnsi" w:hAnsiTheme="minorHAnsi" w:cstheme="minorBidi"/>
      <w:snapToGrid/>
      <w:sz w:val="18"/>
    </w:rPr>
  </w:style>
  <w:style w:type="character" w:styleId="Emphasis">
    <w:name w:val="Emphasis"/>
    <w:basedOn w:val="DefaultParagraphFont"/>
    <w:uiPriority w:val="20"/>
    <w:qFormat/>
    <w:rsid w:val="00313574"/>
    <w:rPr>
      <w:b w:val="0"/>
      <w:i/>
      <w:iCs/>
    </w:rPr>
  </w:style>
  <w:style w:type="character" w:customStyle="1" w:styleId="V50TableTextChar">
    <w:name w:val="V5.0 TableText Char"/>
    <w:basedOn w:val="DefaultParagraphFont"/>
    <w:link w:val="V50TableText"/>
    <w:rsid w:val="00313574"/>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313574"/>
    <w:pPr>
      <w:keepNext/>
    </w:pPr>
    <w:rPr>
      <w:b/>
    </w:rPr>
  </w:style>
  <w:style w:type="character" w:customStyle="1" w:styleId="V50TablenameChar">
    <w:name w:val="V5.0 Table name Char"/>
    <w:basedOn w:val="DefaultParagraphFont"/>
    <w:link w:val="V50Tablename"/>
    <w:rsid w:val="00313574"/>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313574"/>
    <w:pPr>
      <w:spacing w:after="120"/>
      <w:contextualSpacing/>
      <w:jc w:val="both"/>
    </w:pPr>
    <w:rPr>
      <w:sz w:val="18"/>
      <w:szCs w:val="18"/>
    </w:rPr>
  </w:style>
  <w:style w:type="character" w:customStyle="1" w:styleId="V50TablenoteChar">
    <w:name w:val="V5.0 Tablenote Char"/>
    <w:basedOn w:val="DefaultParagraphFont"/>
    <w:link w:val="V50Tablenote"/>
    <w:rsid w:val="00313574"/>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313574"/>
    <w:pPr>
      <w:widowControl/>
      <w:spacing w:after="60"/>
      <w:jc w:val="left"/>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rsid w:val="00313574"/>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313574"/>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rsid w:val="00313574"/>
    <w:pPr>
      <w:spacing w:after="120"/>
    </w:pPr>
    <w:rPr>
      <w:rFonts w:ascii="Arial" w:hAnsi="Arial"/>
      <w:sz w:val="16"/>
      <w:szCs w:val="16"/>
    </w:rPr>
  </w:style>
  <w:style w:type="character" w:customStyle="1" w:styleId="BodyText3Char">
    <w:name w:val="Body Text 3 Char"/>
    <w:basedOn w:val="DefaultParagraphFont"/>
    <w:link w:val="BodyText3"/>
    <w:uiPriority w:val="9"/>
    <w:rsid w:val="00313574"/>
    <w:rPr>
      <w:rFonts w:ascii="Arial" w:hAnsi="Arial" w:cs="Arial"/>
      <w:snapToGrid w:val="0"/>
      <w:sz w:val="16"/>
      <w:szCs w:val="16"/>
      <w:lang w:eastAsia="en-US"/>
    </w:rPr>
  </w:style>
  <w:style w:type="paragraph" w:styleId="BodyText2">
    <w:name w:val="Body Text 2"/>
    <w:basedOn w:val="Normal"/>
    <w:link w:val="BodyText2Char"/>
    <w:uiPriority w:val="9"/>
    <w:rsid w:val="00313574"/>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313574"/>
    <w:rPr>
      <w:rFonts w:ascii="Arial" w:hAnsi="Arial" w:cs="Arial"/>
      <w:snapToGrid w:val="0"/>
      <w:sz w:val="22"/>
      <w:lang w:eastAsia="en-US"/>
    </w:rPr>
  </w:style>
  <w:style w:type="paragraph" w:customStyle="1" w:styleId="TableText1">
    <w:name w:val="TableText"/>
    <w:basedOn w:val="Normal"/>
    <w:uiPriority w:val="9"/>
    <w:rsid w:val="00313574"/>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313574"/>
    <w:rPr>
      <w:rFonts w:ascii="Arial" w:hAnsi="Arial"/>
      <w:sz w:val="22"/>
      <w:szCs w:val="20"/>
    </w:rPr>
  </w:style>
  <w:style w:type="paragraph" w:customStyle="1" w:styleId="PBACheading10">
    <w:name w:val="PBAC heading 1"/>
    <w:qFormat/>
    <w:rsid w:val="00313574"/>
    <w:pPr>
      <w:ind w:left="720" w:hanging="720"/>
    </w:pPr>
    <w:rPr>
      <w:rFonts w:ascii="Arial" w:hAnsi="Arial" w:cs="Arial"/>
      <w:snapToGrid w:val="0"/>
      <w:sz w:val="22"/>
      <w:szCs w:val="22"/>
      <w:lang w:eastAsia="en-US"/>
    </w:rPr>
  </w:style>
  <w:style w:type="numbering" w:customStyle="1" w:styleId="Headings">
    <w:name w:val="Headings"/>
    <w:uiPriority w:val="99"/>
    <w:rsid w:val="00313574"/>
    <w:pPr>
      <w:numPr>
        <w:numId w:val="5"/>
      </w:numPr>
    </w:pPr>
  </w:style>
  <w:style w:type="paragraph" w:customStyle="1" w:styleId="BulletLast">
    <w:name w:val="Bullet Last"/>
    <w:basedOn w:val="Normal"/>
    <w:qFormat/>
    <w:rsid w:val="00313574"/>
    <w:pPr>
      <w:widowControl/>
      <w:numPr>
        <w:numId w:val="6"/>
      </w:numPr>
      <w:spacing w:after="240"/>
      <w:ind w:left="357" w:hanging="357"/>
      <w:jc w:val="left"/>
    </w:pPr>
    <w:rPr>
      <w:rFonts w:asciiTheme="minorHAnsi" w:eastAsiaTheme="minorHAnsi" w:hAnsiTheme="minorHAnsi" w:cstheme="minorBidi"/>
      <w:snapToGrid/>
      <w:sz w:val="22"/>
    </w:rPr>
  </w:style>
  <w:style w:type="paragraph" w:customStyle="1" w:styleId="TableFigNote">
    <w:name w:val="TableFigNote"/>
    <w:basedOn w:val="Normal"/>
    <w:qFormat/>
    <w:rsid w:val="00313574"/>
    <w:pPr>
      <w:widowControl/>
      <w:jc w:val="left"/>
    </w:pPr>
    <w:rPr>
      <w:rFonts w:asciiTheme="minorHAnsi" w:eastAsiaTheme="minorHAnsi" w:hAnsiTheme="minorHAnsi" w:cstheme="minorBidi"/>
      <w:snapToGrid/>
      <w:sz w:val="18"/>
    </w:rPr>
  </w:style>
  <w:style w:type="character" w:customStyle="1" w:styleId="StyleArial11pt">
    <w:name w:val="Style Arial 11 pt"/>
    <w:basedOn w:val="DefaultParagraphFont"/>
    <w:rsid w:val="00313574"/>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13574"/>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313574"/>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313574"/>
    <w:pPr>
      <w:widowControl/>
      <w:spacing w:after="120"/>
      <w:ind w:left="720" w:hanging="720"/>
    </w:pPr>
    <w:rPr>
      <w:rFonts w:eastAsiaTheme="minorHAnsi" w:cstheme="minorBidi"/>
      <w:snapToGrid/>
    </w:rPr>
  </w:style>
  <w:style w:type="table" w:customStyle="1" w:styleId="TableGrid1">
    <w:name w:val="Table Grid1"/>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13574"/>
    <w:pPr>
      <w:widowControl/>
      <w:jc w:val="left"/>
    </w:pPr>
    <w:rPr>
      <w:rFonts w:asciiTheme="minorHAnsi" w:eastAsiaTheme="minorHAnsi" w:hAnsiTheme="minorHAnsi" w:cstheme="minorBidi"/>
      <w:snapToGrid/>
      <w:sz w:val="20"/>
      <w:szCs w:val="20"/>
    </w:rPr>
  </w:style>
  <w:style w:type="character" w:customStyle="1" w:styleId="EndnoteTextChar">
    <w:name w:val="Endnote Text Char"/>
    <w:basedOn w:val="DefaultParagraphFont"/>
    <w:link w:val="EndnoteText"/>
    <w:uiPriority w:val="99"/>
    <w:semiHidden/>
    <w:rsid w:val="00313574"/>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313574"/>
    <w:rPr>
      <w:vertAlign w:val="superscript"/>
    </w:rPr>
  </w:style>
  <w:style w:type="table" w:customStyle="1" w:styleId="TableGrid4">
    <w:name w:val="Table Grid4"/>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
    <w:qFormat/>
    <w:rsid w:val="00313574"/>
    <w:pPr>
      <w:keepNext/>
      <w:spacing w:before="60" w:after="60"/>
      <w:ind w:left="170"/>
    </w:pPr>
    <w:rPr>
      <w:rFonts w:ascii="Verdana" w:eastAsia="Calibri" w:hAnsi="Verdana"/>
      <w:sz w:val="18"/>
    </w:rPr>
  </w:style>
  <w:style w:type="table" w:customStyle="1" w:styleId="TableGrid7">
    <w:name w:val="Table Grid7"/>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6"/>
    <w:qFormat/>
    <w:rsid w:val="00313574"/>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basedOn w:val="Normal"/>
    <w:uiPriority w:val="16"/>
    <w:qFormat/>
    <w:rsid w:val="00313574"/>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paragraph" w:styleId="ListNumber3">
    <w:name w:val="List Number 3"/>
    <w:basedOn w:val="Normal"/>
    <w:uiPriority w:val="16"/>
    <w:qFormat/>
    <w:rsid w:val="00313574"/>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313574"/>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313574"/>
    <w:pPr>
      <w:keepLines/>
      <w:widowControl/>
      <w:tabs>
        <w:tab w:val="left" w:pos="284"/>
      </w:tabs>
      <w:spacing w:before="60" w:after="360" w:line="360" w:lineRule="auto"/>
      <w:contextualSpacing/>
      <w:jc w:val="left"/>
    </w:pPr>
    <w:rPr>
      <w:rFonts w:ascii="Arial" w:eastAsiaTheme="minorHAnsi" w:hAnsi="Arial" w:cstheme="minorBidi"/>
      <w:snapToGrid/>
      <w:sz w:val="18"/>
      <w:szCs w:val="20"/>
    </w:rPr>
  </w:style>
  <w:style w:type="table" w:styleId="ColorfulList-Accent4">
    <w:name w:val="Colorful List Accent 4"/>
    <w:basedOn w:val="TableNormal"/>
    <w:uiPriority w:val="72"/>
    <w:rsid w:val="00313574"/>
    <w:rPr>
      <w:rFonts w:ascii="Arial" w:eastAsiaTheme="minorHAnsi" w:hAnsi="Arial" w:cstheme="minorBidi"/>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numbering" w:customStyle="1" w:styleId="CustomHeadingList">
    <w:name w:val="Custom Heading List"/>
    <w:uiPriority w:val="99"/>
    <w:rsid w:val="00313574"/>
    <w:pPr>
      <w:numPr>
        <w:numId w:val="7"/>
      </w:numPr>
    </w:pPr>
  </w:style>
  <w:style w:type="table" w:customStyle="1" w:styleId="TableGrid12">
    <w:name w:val="Table Grid12"/>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Text1"/>
    <w:rsid w:val="00313574"/>
    <w:pPr>
      <w:numPr>
        <w:numId w:val="8"/>
      </w:numPr>
      <w:spacing w:before="0" w:after="0"/>
    </w:pPr>
    <w:rPr>
      <w:rFonts w:eastAsia="Batang"/>
      <w:lang w:val="en-US"/>
    </w:rPr>
  </w:style>
  <w:style w:type="paragraph" w:customStyle="1" w:styleId="Tablenotes1">
    <w:name w:val="Table notes"/>
    <w:basedOn w:val="Normal"/>
    <w:rsid w:val="00313574"/>
    <w:pPr>
      <w:widowControl/>
      <w:tabs>
        <w:tab w:val="left" w:pos="416"/>
        <w:tab w:val="left" w:pos="582"/>
      </w:tabs>
    </w:pPr>
    <w:rPr>
      <w:rFonts w:ascii="Arial Narrow" w:eastAsia="TimesNewRoman" w:hAnsi="Arial Narrow" w:cs="Arial Narrow"/>
      <w:snapToGrid/>
      <w:sz w:val="18"/>
      <w:szCs w:val="18"/>
    </w:rPr>
  </w:style>
  <w:style w:type="table" w:customStyle="1" w:styleId="TableGrid15">
    <w:name w:val="Table Grid15"/>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13574"/>
    <w:pPr>
      <w:widowControl/>
      <w:jc w:val="left"/>
    </w:pPr>
    <w:rPr>
      <w:rFonts w:ascii="Helvetica" w:eastAsiaTheme="minorHAnsi" w:hAnsi="Helvetica" w:cs="Times New Roman"/>
      <w:snapToGrid/>
      <w:sz w:val="14"/>
      <w:szCs w:val="14"/>
      <w:lang w:val="en-GB" w:eastAsia="en-GB"/>
    </w:rPr>
  </w:style>
  <w:style w:type="table" w:customStyle="1" w:styleId="TableGrid20">
    <w:name w:val="Table Grid20"/>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3574"/>
    <w:rPr>
      <w:color w:val="808080"/>
      <w:shd w:val="clear" w:color="auto" w:fill="E6E6E6"/>
    </w:rPr>
  </w:style>
  <w:style w:type="table" w:customStyle="1" w:styleId="ExecSummTable">
    <w:name w:val="Exec Summ Table"/>
    <w:basedOn w:val="MSDAustralia"/>
    <w:uiPriority w:val="99"/>
    <w:rsid w:val="00313574"/>
    <w:rPr>
      <w:sz w:val="18"/>
      <w:lang w:eastAsia="en-AU" w:bidi="th-TH"/>
    </w:rP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SubHeading">
    <w:name w:val="Sub Heading"/>
    <w:basedOn w:val="Normal"/>
    <w:next w:val="Normal"/>
    <w:uiPriority w:val="9"/>
    <w:qFormat/>
    <w:rsid w:val="00313574"/>
    <w:pPr>
      <w:keepLines/>
      <w:widowControl/>
      <w:spacing w:before="360" w:line="360" w:lineRule="auto"/>
      <w:ind w:left="432" w:hanging="432"/>
      <w:jc w:val="left"/>
    </w:pPr>
    <w:rPr>
      <w:rFonts w:ascii="Arial" w:eastAsiaTheme="minorHAnsi" w:hAnsi="Arial" w:cstheme="minorBidi"/>
      <w:b/>
      <w:snapToGrid/>
      <w:sz w:val="20"/>
      <w:szCs w:val="20"/>
    </w:rPr>
  </w:style>
  <w:style w:type="character" w:customStyle="1" w:styleId="UnresolvedMention11">
    <w:name w:val="Unresolved Mention11"/>
    <w:basedOn w:val="DefaultParagraphFont"/>
    <w:uiPriority w:val="99"/>
    <w:rsid w:val="00313574"/>
    <w:rPr>
      <w:color w:val="808080"/>
      <w:shd w:val="clear" w:color="auto" w:fill="E6E6E6"/>
    </w:rPr>
  </w:style>
  <w:style w:type="table" w:customStyle="1" w:styleId="TableGrid21">
    <w:name w:val="Table Grid21"/>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313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ecSummTable1">
    <w:name w:val="Exec Summ Table1"/>
    <w:basedOn w:val="MSDAustralia"/>
    <w:uiPriority w:val="99"/>
    <w:rsid w:val="00313574"/>
    <w:rPr>
      <w:sz w:val="18"/>
      <w:lang w:eastAsia="en-AU" w:bidi="th-TH"/>
    </w:rP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styleId="DocumentMap">
    <w:name w:val="Document Map"/>
    <w:basedOn w:val="Normal"/>
    <w:link w:val="DocumentMapChar"/>
    <w:uiPriority w:val="99"/>
    <w:semiHidden/>
    <w:unhideWhenUsed/>
    <w:rsid w:val="00313574"/>
    <w:pPr>
      <w:widowControl/>
      <w:jc w:val="left"/>
    </w:pPr>
    <w:rPr>
      <w:rFonts w:ascii="Times New Roman" w:eastAsiaTheme="minorHAnsi" w:hAnsi="Times New Roman" w:cs="Times New Roman"/>
      <w:snapToGrid/>
      <w:szCs w:val="24"/>
    </w:rPr>
  </w:style>
  <w:style w:type="character" w:customStyle="1" w:styleId="DocumentMapChar">
    <w:name w:val="Document Map Char"/>
    <w:basedOn w:val="DefaultParagraphFont"/>
    <w:link w:val="DocumentMap"/>
    <w:uiPriority w:val="99"/>
    <w:semiHidden/>
    <w:rsid w:val="00313574"/>
    <w:rPr>
      <w:rFonts w:eastAsiaTheme="minorHAnsi"/>
      <w:sz w:val="24"/>
      <w:szCs w:val="24"/>
      <w:lang w:eastAsia="en-US"/>
    </w:rPr>
  </w:style>
  <w:style w:type="character" w:customStyle="1" w:styleId="tgc">
    <w:name w:val="_tgc"/>
    <w:basedOn w:val="DefaultParagraphFont"/>
    <w:rsid w:val="00313574"/>
  </w:style>
  <w:style w:type="paragraph" w:customStyle="1" w:styleId="Default">
    <w:name w:val="Default"/>
    <w:rsid w:val="00313574"/>
    <w:pPr>
      <w:autoSpaceDE w:val="0"/>
      <w:autoSpaceDN w:val="0"/>
      <w:adjustRightInd w:val="0"/>
    </w:pPr>
    <w:rPr>
      <w:rFonts w:ascii="Cambria" w:eastAsiaTheme="minorHAnsi" w:hAnsi="Cambria" w:cs="Cambria"/>
      <w:color w:val="000000"/>
      <w:sz w:val="24"/>
      <w:szCs w:val="24"/>
      <w:lang w:eastAsia="en-US"/>
    </w:rPr>
  </w:style>
  <w:style w:type="table" w:styleId="TableWeb3">
    <w:name w:val="Table Web 3"/>
    <w:basedOn w:val="TableNormal"/>
    <w:rsid w:val="00764E00"/>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Light2">
    <w:name w:val="Table Grid Light2"/>
    <w:basedOn w:val="TableNormal"/>
    <w:uiPriority w:val="40"/>
    <w:rsid w:val="00764E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TextChar0">
    <w:name w:val="Table Text Char"/>
    <w:link w:val="TableText0"/>
    <w:rsid w:val="000458C9"/>
    <w:rPr>
      <w:rFonts w:ascii="Arial Narrow" w:eastAsiaTheme="minorHAnsi" w:hAnsi="Arial Narrow" w:cstheme="minorBidi"/>
      <w:szCs w:val="22"/>
      <w:lang w:eastAsia="en-US"/>
    </w:rPr>
  </w:style>
  <w:style w:type="character" w:customStyle="1" w:styleId="bibref">
    <w:name w:val="bibref"/>
    <w:basedOn w:val="DefaultParagraphFont"/>
    <w:rsid w:val="00CC15F5"/>
  </w:style>
  <w:style w:type="character" w:customStyle="1" w:styleId="st1">
    <w:name w:val="st1"/>
    <w:basedOn w:val="DefaultParagraphFont"/>
    <w:rsid w:val="00BD7BA1"/>
  </w:style>
  <w:style w:type="paragraph" w:styleId="BodyTextFirstIndent">
    <w:name w:val="Body Text First Indent"/>
    <w:basedOn w:val="BodyText"/>
    <w:link w:val="BodyTextFirstIndentChar"/>
    <w:rsid w:val="00B4730E"/>
    <w:pPr>
      <w:ind w:firstLine="360"/>
      <w:jc w:val="both"/>
    </w:pPr>
  </w:style>
  <w:style w:type="character" w:customStyle="1" w:styleId="BodyTextFirstIndentChar">
    <w:name w:val="Body Text First Indent Char"/>
    <w:basedOn w:val="BodyTextChar"/>
    <w:link w:val="BodyTextFirstIndent"/>
    <w:uiPriority w:val="99"/>
    <w:rsid w:val="00B4730E"/>
    <w:rPr>
      <w:rFonts w:ascii="Calibri" w:hAnsi="Calibri" w:cs="Arial"/>
      <w:snapToGrid w:val="0"/>
      <w:sz w:val="24"/>
      <w:szCs w:val="22"/>
      <w:lang w:eastAsia="en-US"/>
    </w:rPr>
  </w:style>
  <w:style w:type="character" w:customStyle="1" w:styleId="il">
    <w:name w:val="il"/>
    <w:basedOn w:val="DefaultParagraphFont"/>
    <w:rsid w:val="008853D9"/>
  </w:style>
  <w:style w:type="character" w:customStyle="1" w:styleId="apple-converted-space">
    <w:name w:val="apple-converted-space"/>
    <w:basedOn w:val="DefaultParagraphFont"/>
    <w:rsid w:val="001B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54">
      <w:bodyDiv w:val="1"/>
      <w:marLeft w:val="0"/>
      <w:marRight w:val="0"/>
      <w:marTop w:val="0"/>
      <w:marBottom w:val="0"/>
      <w:divBdr>
        <w:top w:val="none" w:sz="0" w:space="0" w:color="auto"/>
        <w:left w:val="none" w:sz="0" w:space="0" w:color="auto"/>
        <w:bottom w:val="none" w:sz="0" w:space="0" w:color="auto"/>
        <w:right w:val="none" w:sz="0" w:space="0" w:color="auto"/>
      </w:divBdr>
      <w:divsChild>
        <w:div w:id="1270893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747380">
              <w:marLeft w:val="0"/>
              <w:marRight w:val="0"/>
              <w:marTop w:val="0"/>
              <w:marBottom w:val="0"/>
              <w:divBdr>
                <w:top w:val="none" w:sz="0" w:space="0" w:color="auto"/>
                <w:left w:val="none" w:sz="0" w:space="0" w:color="auto"/>
                <w:bottom w:val="none" w:sz="0" w:space="0" w:color="auto"/>
                <w:right w:val="none" w:sz="0" w:space="0" w:color="auto"/>
              </w:divBdr>
              <w:divsChild>
                <w:div w:id="2042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5168">
      <w:bodyDiv w:val="1"/>
      <w:marLeft w:val="0"/>
      <w:marRight w:val="0"/>
      <w:marTop w:val="0"/>
      <w:marBottom w:val="0"/>
      <w:divBdr>
        <w:top w:val="none" w:sz="0" w:space="0" w:color="auto"/>
        <w:left w:val="none" w:sz="0" w:space="0" w:color="auto"/>
        <w:bottom w:val="none" w:sz="0" w:space="0" w:color="auto"/>
        <w:right w:val="none" w:sz="0" w:space="0" w:color="auto"/>
      </w:divBdr>
    </w:div>
    <w:div w:id="95370860">
      <w:bodyDiv w:val="1"/>
      <w:marLeft w:val="0"/>
      <w:marRight w:val="0"/>
      <w:marTop w:val="0"/>
      <w:marBottom w:val="0"/>
      <w:divBdr>
        <w:top w:val="none" w:sz="0" w:space="0" w:color="auto"/>
        <w:left w:val="none" w:sz="0" w:space="0" w:color="auto"/>
        <w:bottom w:val="none" w:sz="0" w:space="0" w:color="auto"/>
        <w:right w:val="none" w:sz="0" w:space="0" w:color="auto"/>
      </w:divBdr>
    </w:div>
    <w:div w:id="95448186">
      <w:bodyDiv w:val="1"/>
      <w:marLeft w:val="0"/>
      <w:marRight w:val="0"/>
      <w:marTop w:val="0"/>
      <w:marBottom w:val="0"/>
      <w:divBdr>
        <w:top w:val="none" w:sz="0" w:space="0" w:color="auto"/>
        <w:left w:val="none" w:sz="0" w:space="0" w:color="auto"/>
        <w:bottom w:val="none" w:sz="0" w:space="0" w:color="auto"/>
        <w:right w:val="none" w:sz="0" w:space="0" w:color="auto"/>
      </w:divBdr>
    </w:div>
    <w:div w:id="583146245">
      <w:bodyDiv w:val="1"/>
      <w:marLeft w:val="0"/>
      <w:marRight w:val="0"/>
      <w:marTop w:val="0"/>
      <w:marBottom w:val="0"/>
      <w:divBdr>
        <w:top w:val="none" w:sz="0" w:space="0" w:color="auto"/>
        <w:left w:val="none" w:sz="0" w:space="0" w:color="auto"/>
        <w:bottom w:val="none" w:sz="0" w:space="0" w:color="auto"/>
        <w:right w:val="none" w:sz="0" w:space="0" w:color="auto"/>
      </w:divBdr>
    </w:div>
    <w:div w:id="816454894">
      <w:bodyDiv w:val="1"/>
      <w:marLeft w:val="0"/>
      <w:marRight w:val="0"/>
      <w:marTop w:val="0"/>
      <w:marBottom w:val="0"/>
      <w:divBdr>
        <w:top w:val="none" w:sz="0" w:space="0" w:color="auto"/>
        <w:left w:val="none" w:sz="0" w:space="0" w:color="auto"/>
        <w:bottom w:val="none" w:sz="0" w:space="0" w:color="auto"/>
        <w:right w:val="none" w:sz="0" w:space="0" w:color="auto"/>
      </w:divBdr>
    </w:div>
    <w:div w:id="1142383824">
      <w:bodyDiv w:val="1"/>
      <w:marLeft w:val="0"/>
      <w:marRight w:val="0"/>
      <w:marTop w:val="0"/>
      <w:marBottom w:val="0"/>
      <w:divBdr>
        <w:top w:val="none" w:sz="0" w:space="0" w:color="auto"/>
        <w:left w:val="none" w:sz="0" w:space="0" w:color="auto"/>
        <w:bottom w:val="none" w:sz="0" w:space="0" w:color="auto"/>
        <w:right w:val="none" w:sz="0" w:space="0" w:color="auto"/>
      </w:divBdr>
    </w:div>
    <w:div w:id="1174031524">
      <w:bodyDiv w:val="1"/>
      <w:marLeft w:val="0"/>
      <w:marRight w:val="0"/>
      <w:marTop w:val="0"/>
      <w:marBottom w:val="0"/>
      <w:divBdr>
        <w:top w:val="none" w:sz="0" w:space="0" w:color="auto"/>
        <w:left w:val="none" w:sz="0" w:space="0" w:color="auto"/>
        <w:bottom w:val="none" w:sz="0" w:space="0" w:color="auto"/>
        <w:right w:val="none" w:sz="0" w:space="0" w:color="auto"/>
      </w:divBdr>
    </w:div>
    <w:div w:id="1303079883">
      <w:bodyDiv w:val="1"/>
      <w:marLeft w:val="0"/>
      <w:marRight w:val="0"/>
      <w:marTop w:val="0"/>
      <w:marBottom w:val="0"/>
      <w:divBdr>
        <w:top w:val="none" w:sz="0" w:space="0" w:color="auto"/>
        <w:left w:val="none" w:sz="0" w:space="0" w:color="auto"/>
        <w:bottom w:val="none" w:sz="0" w:space="0" w:color="auto"/>
        <w:right w:val="none" w:sz="0" w:space="0" w:color="auto"/>
      </w:divBdr>
      <w:divsChild>
        <w:div w:id="112381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063131">
      <w:bodyDiv w:val="1"/>
      <w:marLeft w:val="0"/>
      <w:marRight w:val="0"/>
      <w:marTop w:val="0"/>
      <w:marBottom w:val="0"/>
      <w:divBdr>
        <w:top w:val="none" w:sz="0" w:space="0" w:color="auto"/>
        <w:left w:val="none" w:sz="0" w:space="0" w:color="auto"/>
        <w:bottom w:val="none" w:sz="0" w:space="0" w:color="auto"/>
        <w:right w:val="none" w:sz="0" w:space="0" w:color="auto"/>
      </w:divBdr>
    </w:div>
    <w:div w:id="1426534679">
      <w:bodyDiv w:val="1"/>
      <w:marLeft w:val="0"/>
      <w:marRight w:val="0"/>
      <w:marTop w:val="0"/>
      <w:marBottom w:val="0"/>
      <w:divBdr>
        <w:top w:val="none" w:sz="0" w:space="0" w:color="auto"/>
        <w:left w:val="none" w:sz="0" w:space="0" w:color="auto"/>
        <w:bottom w:val="none" w:sz="0" w:space="0" w:color="auto"/>
        <w:right w:val="none" w:sz="0" w:space="0" w:color="auto"/>
      </w:divBdr>
    </w:div>
    <w:div w:id="20216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S1470-2045(18)30433-9" TargetMode="External"/><Relationship Id="rId3" Type="http://schemas.openxmlformats.org/officeDocument/2006/relationships/hyperlink" Target="http://www.ema.europa.eu/docs/en_GB/document_library/Press_release/2018/05/WC500249798.pdf" TargetMode="External"/><Relationship Id="rId7" Type="http://schemas.openxmlformats.org/officeDocument/2006/relationships/hyperlink" Target="https://www.fda.gov/Safety/MedWatch/SafetyInformation/SafetyAlertsforHumanMedicalProducts/ucm608253.htm" TargetMode="External"/><Relationship Id="rId2" Type="http://schemas.openxmlformats.org/officeDocument/2006/relationships/hyperlink" Target="https://doi.org/10.1016/S1470-2045(18)30433-9" TargetMode="External"/><Relationship Id="rId1" Type="http://schemas.openxmlformats.org/officeDocument/2006/relationships/hyperlink" Target="https://www.fda.gov/Safety/MedWatch/SafetyInformation/SafetyAlertsforHumanMedicalProducts/ucm608253.htm" TargetMode="External"/><Relationship Id="rId6" Type="http://schemas.openxmlformats.org/officeDocument/2006/relationships/hyperlink" Target="http://www.ema.europa.eu/docs/en_GB/document_library/Press_release/2018/05/WC500249798.pdf" TargetMode="External"/><Relationship Id="rId5" Type="http://schemas.openxmlformats.org/officeDocument/2006/relationships/hyperlink" Target="https://doi.org/10.1016/S1470-2045(18)30433-9" TargetMode="External"/><Relationship Id="rId4" Type="http://schemas.openxmlformats.org/officeDocument/2006/relationships/hyperlink" Target="https://www.fda.gov/Safety/MedWatch/SafetyInformation/SafetyAlertsforHumanMedicalProducts/ucm608253.htm" TargetMode="External"/><Relationship Id="rId9" Type="http://schemas.openxmlformats.org/officeDocument/2006/relationships/hyperlink" Target="http://www.ema.europa.eu/docs/en_GB/document_library/Press_release/2018/05/WC5002497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C55FB-A7AC-46B5-B79F-BE5D6841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12601</Words>
  <Characters>74227</Characters>
  <Application>Microsoft Office Word</Application>
  <DocSecurity>0</DocSecurity>
  <Lines>618</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2018-10-09T12:32:00Z</dcterms:created>
  <dcterms:modified xsi:type="dcterms:W3CDTF">2018-10-18T07:05:00Z</dcterms:modified>
</cp:coreProperties>
</file>