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F7C" w:rsidRPr="00435E91" w:rsidRDefault="00AE3F7C" w:rsidP="00AE3F7C">
      <w:pPr>
        <w:pStyle w:val="Title"/>
        <w:spacing w:after="120"/>
        <w:ind w:left="720" w:hanging="720"/>
        <w:outlineLvl w:val="9"/>
        <w:rPr>
          <w:rFonts w:asciiTheme="minorHAnsi" w:hAnsiTheme="minorHAnsi"/>
          <w:sz w:val="36"/>
          <w:szCs w:val="36"/>
        </w:rPr>
      </w:pPr>
      <w:bookmarkStart w:id="0" w:name="_GoBack"/>
      <w:bookmarkEnd w:id="0"/>
      <w:r>
        <w:rPr>
          <w:rFonts w:asciiTheme="minorHAnsi" w:hAnsiTheme="minorHAnsi"/>
          <w:sz w:val="36"/>
          <w:szCs w:val="36"/>
        </w:rPr>
        <w:t>5.23</w:t>
      </w:r>
      <w:r w:rsidRPr="002B5596">
        <w:rPr>
          <w:rFonts w:asciiTheme="minorHAnsi" w:hAnsiTheme="minorHAnsi"/>
          <w:sz w:val="36"/>
          <w:szCs w:val="36"/>
        </w:rPr>
        <w:tab/>
      </w:r>
      <w:r>
        <w:rPr>
          <w:rFonts w:asciiTheme="minorHAnsi" w:hAnsiTheme="minorHAnsi"/>
          <w:sz w:val="36"/>
          <w:szCs w:val="36"/>
        </w:rPr>
        <w:t>PEGFILGRASTIM</w:t>
      </w:r>
      <w:r w:rsidRPr="002B5596">
        <w:rPr>
          <w:rFonts w:asciiTheme="minorHAnsi" w:hAnsiTheme="minorHAnsi"/>
          <w:sz w:val="36"/>
          <w:szCs w:val="36"/>
        </w:rPr>
        <w:t xml:space="preserve"> </w:t>
      </w:r>
      <w:r w:rsidRPr="002B5596">
        <w:rPr>
          <w:rFonts w:asciiTheme="minorHAnsi" w:hAnsiTheme="minorHAnsi"/>
          <w:sz w:val="36"/>
          <w:szCs w:val="36"/>
        </w:rPr>
        <w:br/>
      </w:r>
      <w:r w:rsidRPr="00785B3D">
        <w:rPr>
          <w:rFonts w:asciiTheme="minorHAnsi" w:hAnsiTheme="minorHAnsi"/>
          <w:sz w:val="36"/>
          <w:szCs w:val="36"/>
        </w:rPr>
        <w:t>Injection 6 mg in 0.6 mL single use pre-filled syringe</w:t>
      </w:r>
      <w:r w:rsidRPr="002B5596">
        <w:rPr>
          <w:rFonts w:asciiTheme="minorHAnsi" w:hAnsiTheme="minorHAnsi"/>
          <w:sz w:val="36"/>
          <w:szCs w:val="36"/>
        </w:rPr>
        <w:t xml:space="preserve"> </w:t>
      </w:r>
      <w:r w:rsidRPr="002B5596">
        <w:rPr>
          <w:rFonts w:asciiTheme="minorHAnsi" w:hAnsiTheme="minorHAnsi"/>
          <w:sz w:val="36"/>
          <w:szCs w:val="36"/>
        </w:rPr>
        <w:br/>
      </w:r>
      <w:r>
        <w:rPr>
          <w:rFonts w:asciiTheme="minorHAnsi" w:hAnsiTheme="minorHAnsi"/>
          <w:sz w:val="36"/>
          <w:szCs w:val="36"/>
        </w:rPr>
        <w:t>Fulphila</w:t>
      </w:r>
      <w:r w:rsidRPr="002B5596">
        <w:rPr>
          <w:rFonts w:asciiTheme="minorHAnsi" w:hAnsiTheme="minorHAnsi"/>
          <w:sz w:val="36"/>
          <w:szCs w:val="36"/>
          <w:vertAlign w:val="superscript"/>
        </w:rPr>
        <w:t>®</w:t>
      </w:r>
      <w:r w:rsidRPr="002B5596">
        <w:rPr>
          <w:rFonts w:asciiTheme="minorHAnsi" w:hAnsiTheme="minorHAnsi"/>
          <w:sz w:val="36"/>
          <w:szCs w:val="36"/>
        </w:rPr>
        <w:t xml:space="preserve">, </w:t>
      </w:r>
      <w:r>
        <w:rPr>
          <w:rFonts w:asciiTheme="minorHAnsi" w:hAnsiTheme="minorHAnsi"/>
          <w:sz w:val="36"/>
          <w:szCs w:val="36"/>
        </w:rPr>
        <w:br/>
      </w:r>
      <w:r w:rsidRPr="00785B3D">
        <w:rPr>
          <w:rFonts w:asciiTheme="minorHAnsi" w:hAnsiTheme="minorHAnsi"/>
          <w:sz w:val="36"/>
          <w:szCs w:val="36"/>
        </w:rPr>
        <w:t>Alphapharm Pty Ltd</w:t>
      </w:r>
      <w:r>
        <w:rPr>
          <w:rFonts w:asciiTheme="minorHAnsi" w:hAnsiTheme="minorHAnsi"/>
          <w:sz w:val="36"/>
          <w:szCs w:val="36"/>
        </w:rPr>
        <w:t>.</w:t>
      </w:r>
    </w:p>
    <w:p w:rsidR="00AE3F7C" w:rsidRPr="00D4572C" w:rsidRDefault="00AE3F7C" w:rsidP="00AE3F7C">
      <w:pPr>
        <w:pStyle w:val="PBACHeading1"/>
        <w:spacing w:after="120"/>
        <w:ind w:left="709" w:hanging="709"/>
        <w:rPr>
          <w:rFonts w:asciiTheme="minorHAnsi" w:hAnsiTheme="minorHAnsi"/>
          <w:sz w:val="32"/>
          <w:szCs w:val="32"/>
        </w:rPr>
      </w:pPr>
      <w:r w:rsidRPr="002B5596">
        <w:rPr>
          <w:rFonts w:asciiTheme="minorHAnsi" w:hAnsiTheme="minorHAnsi"/>
          <w:sz w:val="32"/>
          <w:szCs w:val="32"/>
        </w:rPr>
        <w:t>Purpose of Application</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minor submission sought listing for a new biosimilar brand of pegfilgrastim (Fulphila®) for all indications for which the pegfilgrastim reference brand (Neulasta®) is currently PBS listed, on the Section 100 Highly Specialised Drug</w:t>
      </w:r>
      <w:r>
        <w:rPr>
          <w:rFonts w:asciiTheme="minorHAnsi" w:eastAsiaTheme="minorHAnsi" w:hAnsiTheme="minorHAnsi" w:cstheme="minorBidi"/>
          <w:snapToGrid/>
          <w:szCs w:val="22"/>
        </w:rPr>
        <w:t>s (HSD)</w:t>
      </w:r>
      <w:r w:rsidRPr="006B50B9">
        <w:rPr>
          <w:rFonts w:asciiTheme="minorHAnsi" w:eastAsiaTheme="minorHAnsi" w:hAnsiTheme="minorHAnsi" w:cstheme="minorBidi"/>
          <w:snapToGrid/>
          <w:szCs w:val="22"/>
        </w:rPr>
        <w:t xml:space="preserve"> program.</w:t>
      </w:r>
    </w:p>
    <w:p w:rsidR="00AE3F7C" w:rsidRPr="00577C4D" w:rsidRDefault="00AE3F7C" w:rsidP="00AE3F7C">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r>
        <w:rPr>
          <w:rFonts w:asciiTheme="minorHAnsi" w:hAnsiTheme="minorHAnsi"/>
          <w:sz w:val="32"/>
          <w:szCs w:val="32"/>
        </w:rPr>
        <w:t xml:space="preserve"> </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 xml:space="preserve">The submission requested listing for pegfilgrastim (Fulphila) 6 mg in 0.6 mL single use pre-filled syringe for all indications for which the reference brand Neulasta is currently PBS listed. This includes the treatment of chemotherapy-induced neutropenia in patients who meet specified clinical criteria with the following conditions: </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Acute myeloid leukaemia</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Breast cancer</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B-cell chronic lymphocytic leukaemia</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Hodgkin disease</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Myeloma</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Pr>
          <w:rFonts w:asciiTheme="minorHAnsi" w:eastAsiaTheme="minorHAnsi" w:hAnsiTheme="minorHAnsi" w:cstheme="minorBidi"/>
          <w:snapToGrid/>
          <w:szCs w:val="22"/>
        </w:rPr>
        <w:t>Inoperable stage III, IV</w:t>
      </w:r>
      <w:r w:rsidRPr="006B50B9">
        <w:rPr>
          <w:rFonts w:asciiTheme="minorHAnsi" w:eastAsiaTheme="minorHAnsi" w:hAnsiTheme="minorHAnsi" w:cstheme="minorBidi"/>
          <w:snapToGrid/>
          <w:szCs w:val="22"/>
        </w:rPr>
        <w:t>a or IVb squamous cell carcinoma of the oral cavity, larynx, oropharynx or hypopharynx</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Germ cell tumours</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Non-Hodgkin lymphoma</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Sarcoma</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Central nervous system tumours</w:t>
      </w:r>
    </w:p>
    <w:p w:rsidR="00AE3F7C" w:rsidRPr="006B50B9" w:rsidRDefault="00AE3F7C" w:rsidP="00AE3F7C">
      <w:pPr>
        <w:pStyle w:val="ListParagraph"/>
        <w:widowControl/>
        <w:numPr>
          <w:ilvl w:val="0"/>
          <w:numId w:val="2"/>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 xml:space="preserve">Neuroblastoma </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submission anticipated that the Fulphila brand of pegfilgrastim</w:t>
      </w:r>
      <w:r>
        <w:rPr>
          <w:rFonts w:asciiTheme="minorHAnsi" w:eastAsiaTheme="minorHAnsi" w:hAnsiTheme="minorHAnsi" w:cstheme="minorBidi"/>
          <w:snapToGrid/>
          <w:szCs w:val="22"/>
        </w:rPr>
        <w:t xml:space="preserve"> would</w:t>
      </w:r>
      <w:r w:rsidRPr="006B50B9">
        <w:rPr>
          <w:rFonts w:asciiTheme="minorHAnsi" w:eastAsiaTheme="minorHAnsi" w:hAnsiTheme="minorHAnsi" w:cstheme="minorBidi"/>
          <w:snapToGrid/>
          <w:szCs w:val="22"/>
        </w:rPr>
        <w:t xml:space="preserve"> be </w:t>
      </w:r>
      <w:r>
        <w:rPr>
          <w:rFonts w:asciiTheme="minorHAnsi" w:eastAsiaTheme="minorHAnsi" w:hAnsiTheme="minorHAnsi" w:cstheme="minorBidi"/>
          <w:snapToGrid/>
          <w:szCs w:val="22"/>
        </w:rPr>
        <w:t xml:space="preserve">brand </w:t>
      </w:r>
      <w:r w:rsidRPr="00107E43">
        <w:rPr>
          <w:rFonts w:asciiTheme="minorHAnsi" w:eastAsiaTheme="minorHAnsi" w:hAnsiTheme="minorHAnsi" w:cstheme="minorBidi"/>
          <w:snapToGrid/>
          <w:szCs w:val="22"/>
        </w:rPr>
        <w:t>equivalent</w:t>
      </w:r>
      <w:r>
        <w:rPr>
          <w:rFonts w:asciiTheme="minorHAnsi" w:eastAsiaTheme="minorHAnsi" w:hAnsiTheme="minorHAnsi" w:cstheme="minorBidi"/>
          <w:snapToGrid/>
          <w:szCs w:val="22"/>
        </w:rPr>
        <w:t xml:space="preserve"> (</w:t>
      </w:r>
      <w:r w:rsidRPr="006B50B9">
        <w:rPr>
          <w:rFonts w:asciiTheme="minorHAnsi" w:eastAsiaTheme="minorHAnsi" w:hAnsiTheme="minorHAnsi" w:cstheme="minorBidi"/>
          <w:snapToGrid/>
          <w:szCs w:val="22"/>
        </w:rPr>
        <w:t>‘a’ flagged</w:t>
      </w:r>
      <w:r>
        <w:rPr>
          <w:rFonts w:asciiTheme="minorHAnsi" w:eastAsiaTheme="minorHAnsi" w:hAnsiTheme="minorHAnsi" w:cstheme="minorBidi"/>
          <w:snapToGrid/>
          <w:szCs w:val="22"/>
        </w:rPr>
        <w:t>),</w:t>
      </w:r>
      <w:r w:rsidRPr="00107E43">
        <w:rPr>
          <w:rFonts w:asciiTheme="minorHAnsi" w:eastAsiaTheme="minorHAnsi" w:hAnsiTheme="minorHAnsi" w:cstheme="minorBidi"/>
          <w:snapToGrid/>
          <w:szCs w:val="22"/>
        </w:rPr>
        <w:t xml:space="preserve"> for pharmacy level substitution</w:t>
      </w:r>
      <w:r>
        <w:rPr>
          <w:rFonts w:asciiTheme="minorHAnsi" w:eastAsiaTheme="minorHAnsi" w:hAnsiTheme="minorHAnsi" w:cstheme="minorBidi"/>
          <w:snapToGrid/>
          <w:szCs w:val="22"/>
        </w:rPr>
        <w:t>,</w:t>
      </w:r>
      <w:r w:rsidRPr="006B50B9">
        <w:rPr>
          <w:rFonts w:asciiTheme="minorHAnsi" w:eastAsiaTheme="minorHAnsi" w:hAnsiTheme="minorHAnsi" w:cstheme="minorBidi"/>
          <w:snapToGrid/>
          <w:szCs w:val="22"/>
        </w:rPr>
        <w:t xml:space="preserve"> </w:t>
      </w:r>
      <w:r>
        <w:rPr>
          <w:rFonts w:asciiTheme="minorHAnsi" w:eastAsiaTheme="minorHAnsi" w:hAnsiTheme="minorHAnsi" w:cstheme="minorBidi"/>
          <w:snapToGrid/>
          <w:szCs w:val="22"/>
        </w:rPr>
        <w:t>to</w:t>
      </w:r>
      <w:r w:rsidRPr="006B50B9">
        <w:rPr>
          <w:rFonts w:asciiTheme="minorHAnsi" w:eastAsiaTheme="minorHAnsi" w:hAnsiTheme="minorHAnsi" w:cstheme="minorBidi"/>
          <w:snapToGrid/>
          <w:szCs w:val="22"/>
        </w:rPr>
        <w:t xml:space="preserve"> the reference product Neulasta, and in doing so</w:t>
      </w:r>
      <w:r>
        <w:rPr>
          <w:rFonts w:asciiTheme="minorHAnsi" w:eastAsiaTheme="minorHAnsi" w:hAnsiTheme="minorHAnsi" w:cstheme="minorBidi"/>
          <w:snapToGrid/>
          <w:szCs w:val="22"/>
        </w:rPr>
        <w:t xml:space="preserve"> also</w:t>
      </w:r>
      <w:r w:rsidRPr="006B50B9">
        <w:rPr>
          <w:rFonts w:asciiTheme="minorHAnsi" w:eastAsiaTheme="minorHAnsi" w:hAnsiTheme="minorHAnsi" w:cstheme="minorBidi"/>
          <w:snapToGrid/>
          <w:szCs w:val="22"/>
        </w:rPr>
        <w:t xml:space="preserve"> be </w:t>
      </w:r>
      <w:r>
        <w:rPr>
          <w:rFonts w:asciiTheme="minorHAnsi" w:eastAsiaTheme="minorHAnsi" w:hAnsiTheme="minorHAnsi" w:cstheme="minorBidi"/>
          <w:snapToGrid/>
          <w:szCs w:val="22"/>
        </w:rPr>
        <w:t>brand equivalent (‘a’ flagged)</w:t>
      </w:r>
      <w:r w:rsidRPr="006B50B9">
        <w:rPr>
          <w:rFonts w:asciiTheme="minorHAnsi" w:eastAsiaTheme="minorHAnsi" w:hAnsiTheme="minorHAnsi" w:cstheme="minorBidi"/>
          <w:snapToGrid/>
          <w:szCs w:val="22"/>
        </w:rPr>
        <w:t xml:space="preserve"> with the </w:t>
      </w:r>
      <w:r>
        <w:rPr>
          <w:rFonts w:asciiTheme="minorHAnsi" w:eastAsiaTheme="minorHAnsi" w:hAnsiTheme="minorHAnsi" w:cstheme="minorBidi"/>
          <w:snapToGrid/>
          <w:szCs w:val="22"/>
        </w:rPr>
        <w:t>re-</w:t>
      </w:r>
      <w:r w:rsidRPr="006B50B9">
        <w:rPr>
          <w:rFonts w:asciiTheme="minorHAnsi" w:eastAsiaTheme="minorHAnsi" w:hAnsiTheme="minorHAnsi" w:cstheme="minorBidi"/>
          <w:snapToGrid/>
          <w:szCs w:val="22"/>
        </w:rPr>
        <w:t>brand</w:t>
      </w:r>
      <w:r>
        <w:rPr>
          <w:rFonts w:asciiTheme="minorHAnsi" w:eastAsiaTheme="minorHAnsi" w:hAnsiTheme="minorHAnsi" w:cstheme="minorBidi"/>
          <w:snapToGrid/>
          <w:szCs w:val="22"/>
        </w:rPr>
        <w:t>ed reference product,</w:t>
      </w:r>
      <w:r w:rsidRPr="006B50B9">
        <w:rPr>
          <w:rFonts w:asciiTheme="minorHAnsi" w:eastAsiaTheme="minorHAnsi" w:hAnsiTheme="minorHAnsi" w:cstheme="minorBidi"/>
          <w:snapToGrid/>
          <w:szCs w:val="22"/>
        </w:rPr>
        <w:t xml:space="preserve"> Ristempa. </w:t>
      </w:r>
      <w:r>
        <w:rPr>
          <w:rFonts w:asciiTheme="minorHAnsi" w:eastAsiaTheme="minorHAnsi" w:hAnsiTheme="minorHAnsi" w:cstheme="minorBidi"/>
          <w:snapToGrid/>
          <w:szCs w:val="22"/>
        </w:rPr>
        <w:t>It was noted that the existing ‘a’ flagged brands have the same sponsor. The submission did not request the application of other biosimilar uptake drivers; however it is noted that at its March and April 2018 meetings, the PBAC considered that filgrastim and its currently listed biosimilars would be suitable for the application of biosimilar uptake drivers.</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lastRenderedPageBreak/>
        <w:t>The submission requested listing under the same conditions as the current listings for pegfilgrastim, as a Section 100 Public Hospital Authority Required (STREAMLINED) and Section 100 Private Hospital Authority Required item on the PBS. An abridged version of the listing is presented below.</w:t>
      </w:r>
    </w:p>
    <w:p w:rsidR="00AE3F7C" w:rsidRPr="00433952" w:rsidRDefault="00AE3F7C" w:rsidP="00AE3F7C">
      <w:pPr>
        <w:pStyle w:val="ListParagraph"/>
        <w:widowControl/>
        <w:spacing w:after="120"/>
        <w:contextualSpacing w:val="0"/>
        <w:rPr>
          <w:rFonts w:asciiTheme="minorHAnsi" w:eastAsiaTheme="minorHAnsi" w:hAnsiTheme="minorHAnsi" w:cstheme="minorBidi"/>
          <w:snapToGrid/>
          <w:szCs w:val="22"/>
        </w:rPr>
      </w:pPr>
      <w:r w:rsidRPr="00CD6F0E">
        <w:rPr>
          <w:rFonts w:asciiTheme="minorHAnsi" w:eastAsiaTheme="minorHAnsi" w:hAnsiTheme="minorHAnsi" w:cstheme="minorBidi"/>
          <w:snapToGrid/>
          <w:szCs w:val="22"/>
        </w:rPr>
        <w:t>The submission’s proposed listings were consistent with the current PBS listings for the comparator, pegfilgrastim (Neulasta) and the re-branded reference product (Ristempa</w:t>
      </w:r>
      <w:r>
        <w:rPr>
          <w:rFonts w:asciiTheme="minorHAnsi" w:eastAsiaTheme="minorHAnsi" w:hAnsiTheme="minorHAnsi" w:cstheme="minorBidi"/>
          <w:snapToGrid/>
          <w:szCs w:val="22"/>
        </w:rPr>
        <w:t>)</w:t>
      </w:r>
      <w:r w:rsidRPr="00433952">
        <w:rPr>
          <w:rFonts w:asciiTheme="minorHAnsi" w:eastAsiaTheme="minorHAnsi" w:hAnsiTheme="minorHAnsi" w:cstheme="minorBidi"/>
          <w:snapToGrid/>
          <w:szCs w:val="22"/>
        </w:rPr>
        <w:t xml:space="preserve">, </w:t>
      </w:r>
      <w:r>
        <w:rPr>
          <w:rFonts w:asciiTheme="minorHAnsi" w:eastAsiaTheme="minorHAnsi" w:hAnsiTheme="minorHAnsi" w:cstheme="minorBidi"/>
          <w:snapToGrid/>
          <w:szCs w:val="22"/>
        </w:rPr>
        <w:t xml:space="preserve">therefore </w:t>
      </w:r>
      <w:r w:rsidRPr="00433952">
        <w:rPr>
          <w:rFonts w:asciiTheme="minorHAnsi" w:eastAsiaTheme="minorHAnsi" w:hAnsiTheme="minorHAnsi" w:cstheme="minorBidi"/>
          <w:snapToGrid/>
          <w:szCs w:val="22"/>
        </w:rPr>
        <w:t xml:space="preserve">the restrictions </w:t>
      </w:r>
      <w:r>
        <w:rPr>
          <w:rFonts w:asciiTheme="minorHAnsi" w:eastAsiaTheme="minorHAnsi" w:hAnsiTheme="minorHAnsi" w:cstheme="minorBidi"/>
          <w:snapToGrid/>
          <w:szCs w:val="22"/>
        </w:rPr>
        <w:t xml:space="preserve">below </w:t>
      </w:r>
      <w:r w:rsidRPr="00433952">
        <w:rPr>
          <w:rFonts w:asciiTheme="minorHAnsi" w:eastAsiaTheme="minorHAnsi" w:hAnsiTheme="minorHAnsi" w:cstheme="minorBidi"/>
          <w:snapToGrid/>
          <w:szCs w:val="22"/>
        </w:rPr>
        <w:t>have not been reproduced in full.</w:t>
      </w:r>
    </w:p>
    <w:tbl>
      <w:tblPr>
        <w:tblW w:w="5000" w:type="pct"/>
        <w:tblLook w:val="0000" w:firstRow="0" w:lastRow="0" w:firstColumn="0" w:lastColumn="0" w:noHBand="0" w:noVBand="0"/>
      </w:tblPr>
      <w:tblGrid>
        <w:gridCol w:w="1943"/>
        <w:gridCol w:w="1367"/>
        <w:gridCol w:w="736"/>
        <w:gridCol w:w="889"/>
        <w:gridCol w:w="1622"/>
        <w:gridCol w:w="913"/>
        <w:gridCol w:w="1546"/>
        <w:gridCol w:w="10"/>
      </w:tblGrid>
      <w:tr w:rsidR="00AE3F7C" w:rsidRPr="0039782C" w:rsidTr="00F3486A">
        <w:trPr>
          <w:cantSplit/>
          <w:trHeight w:val="465"/>
        </w:trPr>
        <w:tc>
          <w:tcPr>
            <w:tcW w:w="1835" w:type="pct"/>
            <w:gridSpan w:val="2"/>
            <w:tcBorders>
              <w:bottom w:val="single" w:sz="4" w:space="0" w:color="auto"/>
            </w:tcBorders>
          </w:tcPr>
          <w:p w:rsidR="00AE3F7C" w:rsidRPr="0039782C" w:rsidRDefault="00AE3F7C" w:rsidP="00F3486A">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AE3F7C" w:rsidRPr="0039782C" w:rsidRDefault="00AE3F7C" w:rsidP="00F3486A">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8" w:type="pct"/>
            <w:tcBorders>
              <w:bottom w:val="single" w:sz="4" w:space="0" w:color="auto"/>
            </w:tcBorders>
          </w:tcPr>
          <w:p w:rsidR="00AE3F7C" w:rsidRPr="0039782C" w:rsidRDefault="00AE3F7C" w:rsidP="00F3486A">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AE3F7C" w:rsidRPr="0039782C" w:rsidRDefault="00AE3F7C" w:rsidP="00F3486A">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93" w:type="pct"/>
            <w:tcBorders>
              <w:bottom w:val="single" w:sz="4" w:space="0" w:color="auto"/>
            </w:tcBorders>
          </w:tcPr>
          <w:p w:rsidR="00AE3F7C" w:rsidRPr="0039782C" w:rsidRDefault="00AE3F7C" w:rsidP="00F3486A">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AE3F7C" w:rsidRPr="0039782C" w:rsidRDefault="00AE3F7C" w:rsidP="00F3486A">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99" w:type="pct"/>
            <w:tcBorders>
              <w:bottom w:val="single" w:sz="4" w:space="0" w:color="auto"/>
            </w:tcBorders>
          </w:tcPr>
          <w:p w:rsidR="00AE3F7C" w:rsidRPr="0039782C" w:rsidRDefault="00AE3F7C" w:rsidP="00F3486A">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365" w:type="pct"/>
            <w:gridSpan w:val="3"/>
            <w:tcBorders>
              <w:bottom w:val="single" w:sz="4" w:space="0" w:color="auto"/>
            </w:tcBorders>
          </w:tcPr>
          <w:p w:rsidR="00AE3F7C" w:rsidRPr="0039782C" w:rsidRDefault="00AE3F7C" w:rsidP="00F3486A">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AE3F7C" w:rsidRPr="00260CE3" w:rsidTr="00F3486A">
        <w:trPr>
          <w:cantSplit/>
          <w:trHeight w:val="567"/>
        </w:trPr>
        <w:tc>
          <w:tcPr>
            <w:tcW w:w="1835" w:type="pct"/>
            <w:gridSpan w:val="2"/>
          </w:tcPr>
          <w:p w:rsidR="00AE3F7C" w:rsidRPr="00260CE3" w:rsidRDefault="00AE3F7C" w:rsidP="00F3486A">
            <w:pPr>
              <w:keepNext/>
              <w:spacing w:before="40" w:after="40"/>
              <w:jc w:val="both"/>
              <w:rPr>
                <w:rFonts w:ascii="Arial Narrow" w:hAnsi="Arial Narrow" w:cs="Arial"/>
                <w:sz w:val="20"/>
                <w:szCs w:val="20"/>
              </w:rPr>
            </w:pPr>
            <w:r>
              <w:rPr>
                <w:rFonts w:ascii="Arial Narrow" w:hAnsi="Arial Narrow" w:cs="Arial"/>
                <w:smallCaps/>
                <w:sz w:val="20"/>
                <w:szCs w:val="20"/>
              </w:rPr>
              <w:t>PEGFILGRASTIM</w:t>
            </w:r>
          </w:p>
          <w:p w:rsidR="00AE3F7C" w:rsidRPr="00260CE3" w:rsidRDefault="00AE3F7C" w:rsidP="00F3486A">
            <w:pPr>
              <w:keepNext/>
              <w:spacing w:before="40" w:after="40"/>
              <w:jc w:val="both"/>
              <w:rPr>
                <w:rFonts w:ascii="Arial Narrow" w:hAnsi="Arial Narrow" w:cs="Arial"/>
                <w:sz w:val="20"/>
                <w:szCs w:val="20"/>
              </w:rPr>
            </w:pPr>
            <w:r>
              <w:rPr>
                <w:rFonts w:ascii="Arial Narrow" w:hAnsi="Arial Narrow" w:cs="Arial"/>
                <w:sz w:val="20"/>
                <w:szCs w:val="20"/>
              </w:rPr>
              <w:t>6 mg/0.6 mL injection, 0.6 mL syringe</w:t>
            </w:r>
          </w:p>
        </w:tc>
        <w:tc>
          <w:tcPr>
            <w:tcW w:w="408" w:type="pct"/>
          </w:tcPr>
          <w:p w:rsidR="00AE3F7C" w:rsidRPr="00260CE3" w:rsidRDefault="00AE3F7C" w:rsidP="00F3486A">
            <w:pPr>
              <w:keepNext/>
              <w:spacing w:before="40" w:after="40"/>
              <w:jc w:val="both"/>
              <w:rPr>
                <w:rFonts w:ascii="Arial Narrow" w:hAnsi="Arial Narrow" w:cs="Arial"/>
                <w:sz w:val="20"/>
                <w:szCs w:val="20"/>
              </w:rPr>
            </w:pPr>
          </w:p>
          <w:p w:rsidR="00AE3F7C" w:rsidRPr="00260CE3" w:rsidRDefault="00AE3F7C" w:rsidP="00F3486A">
            <w:pPr>
              <w:keepNext/>
              <w:spacing w:before="40" w:after="40"/>
              <w:jc w:val="both"/>
              <w:rPr>
                <w:rFonts w:ascii="Arial Narrow" w:hAnsi="Arial Narrow" w:cs="Arial"/>
                <w:sz w:val="20"/>
                <w:szCs w:val="20"/>
              </w:rPr>
            </w:pPr>
            <w:r>
              <w:rPr>
                <w:rFonts w:ascii="Arial Narrow" w:hAnsi="Arial Narrow" w:cs="Arial"/>
                <w:sz w:val="20"/>
                <w:szCs w:val="20"/>
              </w:rPr>
              <w:t>1</w:t>
            </w:r>
          </w:p>
        </w:tc>
        <w:tc>
          <w:tcPr>
            <w:tcW w:w="493" w:type="pct"/>
          </w:tcPr>
          <w:p w:rsidR="00AE3F7C" w:rsidRPr="00260CE3" w:rsidRDefault="00AE3F7C" w:rsidP="00F3486A">
            <w:pPr>
              <w:keepNext/>
              <w:spacing w:before="40" w:after="40"/>
              <w:jc w:val="both"/>
              <w:rPr>
                <w:rFonts w:ascii="Arial Narrow" w:hAnsi="Arial Narrow" w:cs="Arial"/>
                <w:sz w:val="20"/>
                <w:szCs w:val="20"/>
              </w:rPr>
            </w:pPr>
          </w:p>
          <w:p w:rsidR="00AE3F7C" w:rsidRPr="00260CE3" w:rsidRDefault="00AE3F7C" w:rsidP="00F3486A">
            <w:pPr>
              <w:keepNext/>
              <w:spacing w:before="40" w:after="40"/>
              <w:jc w:val="both"/>
              <w:rPr>
                <w:rFonts w:ascii="Arial Narrow" w:hAnsi="Arial Narrow" w:cs="Arial"/>
                <w:sz w:val="20"/>
                <w:szCs w:val="20"/>
              </w:rPr>
            </w:pPr>
            <w:r>
              <w:rPr>
                <w:rFonts w:ascii="Arial Narrow" w:hAnsi="Arial Narrow" w:cs="Arial"/>
                <w:sz w:val="20"/>
                <w:szCs w:val="20"/>
              </w:rPr>
              <w:t>11</w:t>
            </w:r>
          </w:p>
        </w:tc>
        <w:tc>
          <w:tcPr>
            <w:tcW w:w="899" w:type="pct"/>
          </w:tcPr>
          <w:p w:rsidR="00AE3F7C" w:rsidRDefault="00AE3F7C" w:rsidP="00F3486A">
            <w:pPr>
              <w:keepNext/>
              <w:spacing w:before="40" w:after="40"/>
              <w:jc w:val="both"/>
              <w:rPr>
                <w:rFonts w:ascii="Arial Narrow" w:hAnsi="Arial Narrow" w:cs="Arial"/>
                <w:sz w:val="20"/>
                <w:szCs w:val="20"/>
              </w:rPr>
            </w:pPr>
            <w:r w:rsidRPr="00260CE3">
              <w:rPr>
                <w:rFonts w:ascii="Arial Narrow" w:hAnsi="Arial Narrow" w:cs="Arial"/>
                <w:sz w:val="20"/>
                <w:szCs w:val="20"/>
              </w:rPr>
              <w:t>$</w:t>
            </w:r>
            <w:r w:rsidRPr="00CD3EE6">
              <w:rPr>
                <w:rFonts w:ascii="Arial Narrow" w:hAnsi="Arial Narrow" w:cs="Arial"/>
                <w:sz w:val="20"/>
                <w:szCs w:val="20"/>
              </w:rPr>
              <w:t>1250.00</w:t>
            </w:r>
            <w:r>
              <w:rPr>
                <w:rFonts w:ascii="Arial Narrow" w:hAnsi="Arial Narrow" w:cs="Arial"/>
                <w:sz w:val="20"/>
                <w:szCs w:val="20"/>
              </w:rPr>
              <w:t xml:space="preserve"> (Public)</w:t>
            </w:r>
          </w:p>
          <w:p w:rsidR="00AE3F7C" w:rsidRPr="00260CE3" w:rsidRDefault="00AE3F7C" w:rsidP="00F3486A">
            <w:pPr>
              <w:keepNext/>
              <w:spacing w:before="40" w:after="40"/>
              <w:jc w:val="both"/>
              <w:rPr>
                <w:rFonts w:ascii="Arial Narrow" w:hAnsi="Arial Narrow" w:cs="Arial"/>
                <w:sz w:val="20"/>
                <w:szCs w:val="20"/>
              </w:rPr>
            </w:pPr>
            <w:r>
              <w:rPr>
                <w:rFonts w:ascii="Arial Narrow" w:hAnsi="Arial Narrow" w:cs="Arial"/>
                <w:sz w:val="20"/>
                <w:szCs w:val="20"/>
              </w:rPr>
              <w:t>$</w:t>
            </w:r>
            <w:r w:rsidRPr="00CD3EE6">
              <w:rPr>
                <w:rFonts w:ascii="Arial Narrow" w:hAnsi="Arial Narrow" w:cs="Arial"/>
                <w:sz w:val="20"/>
                <w:szCs w:val="20"/>
              </w:rPr>
              <w:t>1297.15</w:t>
            </w:r>
            <w:r>
              <w:rPr>
                <w:rFonts w:ascii="Arial Narrow" w:hAnsi="Arial Narrow" w:cs="Arial"/>
                <w:sz w:val="20"/>
                <w:szCs w:val="20"/>
              </w:rPr>
              <w:t xml:space="preserve"> (Private)</w:t>
            </w:r>
          </w:p>
        </w:tc>
        <w:tc>
          <w:tcPr>
            <w:tcW w:w="502" w:type="pct"/>
          </w:tcPr>
          <w:p w:rsidR="00AE3F7C" w:rsidRDefault="00AE3F7C" w:rsidP="00F3486A">
            <w:pPr>
              <w:keepNext/>
              <w:spacing w:before="40" w:after="40"/>
              <w:jc w:val="both"/>
              <w:rPr>
                <w:rFonts w:ascii="Arial Narrow" w:hAnsi="Arial Narrow" w:cs="Arial"/>
                <w:sz w:val="20"/>
                <w:szCs w:val="20"/>
              </w:rPr>
            </w:pPr>
          </w:p>
          <w:p w:rsidR="00AE3F7C" w:rsidRPr="00260CE3" w:rsidRDefault="00AE3F7C" w:rsidP="00F3486A">
            <w:pPr>
              <w:keepNext/>
              <w:spacing w:before="40" w:after="40"/>
              <w:jc w:val="both"/>
              <w:rPr>
                <w:rFonts w:ascii="Arial Narrow" w:hAnsi="Arial Narrow" w:cs="Arial"/>
                <w:sz w:val="20"/>
                <w:szCs w:val="20"/>
              </w:rPr>
            </w:pPr>
            <w:r>
              <w:rPr>
                <w:rFonts w:ascii="Arial Narrow" w:hAnsi="Arial Narrow" w:cs="Arial"/>
                <w:sz w:val="20"/>
                <w:szCs w:val="20"/>
              </w:rPr>
              <w:t>Fulphila</w:t>
            </w:r>
            <w:r w:rsidRPr="00FA409D">
              <w:rPr>
                <w:rFonts w:ascii="Arial Narrow" w:hAnsi="Arial Narrow" w:cs="Arial"/>
                <w:sz w:val="20"/>
                <w:szCs w:val="20"/>
              </w:rPr>
              <w:t>®</w:t>
            </w:r>
          </w:p>
        </w:tc>
        <w:tc>
          <w:tcPr>
            <w:tcW w:w="863" w:type="pct"/>
            <w:gridSpan w:val="2"/>
          </w:tcPr>
          <w:p w:rsidR="00AE3F7C" w:rsidRDefault="00AE3F7C" w:rsidP="00F3486A">
            <w:pPr>
              <w:keepNext/>
              <w:spacing w:before="40" w:after="40"/>
              <w:jc w:val="both"/>
              <w:rPr>
                <w:rFonts w:ascii="Arial Narrow" w:hAnsi="Arial Narrow" w:cs="Arial"/>
                <w:sz w:val="20"/>
                <w:szCs w:val="20"/>
              </w:rPr>
            </w:pPr>
            <w:r>
              <w:rPr>
                <w:rFonts w:ascii="Arial Narrow" w:hAnsi="Arial Narrow" w:cs="Arial"/>
                <w:sz w:val="20"/>
                <w:szCs w:val="20"/>
              </w:rPr>
              <w:t xml:space="preserve">Alphapharm Pty </w:t>
            </w:r>
          </w:p>
          <w:p w:rsidR="00AE3F7C" w:rsidRPr="00260CE3" w:rsidRDefault="00AE3F7C" w:rsidP="00F3486A">
            <w:pPr>
              <w:keepNext/>
              <w:spacing w:before="40" w:after="40"/>
              <w:jc w:val="both"/>
              <w:rPr>
                <w:rFonts w:ascii="Arial Narrow" w:hAnsi="Arial Narrow" w:cs="Arial"/>
                <w:sz w:val="20"/>
                <w:szCs w:val="20"/>
              </w:rPr>
            </w:pPr>
            <w:r>
              <w:rPr>
                <w:rFonts w:ascii="Arial Narrow" w:hAnsi="Arial Narrow" w:cs="Arial"/>
                <w:sz w:val="20"/>
                <w:szCs w:val="20"/>
              </w:rPr>
              <w:t>Ltd</w:t>
            </w:r>
          </w:p>
        </w:tc>
      </w:tr>
      <w:tr w:rsidR="00AE3F7C" w:rsidRPr="00260CE3" w:rsidTr="00F3486A">
        <w:trPr>
          <w:gridAfter w:val="1"/>
          <w:wAfter w:w="6" w:type="pct"/>
          <w:cantSplit/>
          <w:trHeight w:val="360"/>
        </w:trPr>
        <w:tc>
          <w:tcPr>
            <w:tcW w:w="4994" w:type="pct"/>
            <w:gridSpan w:val="7"/>
            <w:tcBorders>
              <w:bottom w:val="single" w:sz="4" w:space="0" w:color="auto"/>
            </w:tcBorders>
          </w:tcPr>
          <w:p w:rsidR="00AE3F7C" w:rsidRPr="00260CE3" w:rsidRDefault="00AE3F7C" w:rsidP="00F3486A">
            <w:pPr>
              <w:spacing w:before="40" w:after="40"/>
              <w:jc w:val="both"/>
              <w:rPr>
                <w:rFonts w:ascii="Arial Narrow" w:hAnsi="Arial Narrow" w:cs="Arial"/>
                <w:sz w:val="20"/>
                <w:szCs w:val="20"/>
              </w:rPr>
            </w:pPr>
          </w:p>
        </w:tc>
      </w:tr>
      <w:tr w:rsidR="00AE3F7C" w:rsidRPr="00260CE3" w:rsidTr="00F3486A">
        <w:trPr>
          <w:gridAfter w:val="1"/>
          <w:wAfter w:w="6"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17" w:type="pct"/>
            <w:gridSpan w:val="6"/>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 Public and Private</w:t>
            </w:r>
          </w:p>
        </w:tc>
      </w:tr>
      <w:tr w:rsidR="00AE3F7C" w:rsidRPr="00260CE3" w:rsidTr="00F3486A">
        <w:trPr>
          <w:gridAfter w:val="1"/>
          <w:wAfter w:w="6"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7" w:type="pct"/>
            <w:gridSpan w:val="6"/>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E3F7C" w:rsidRPr="00260CE3" w:rsidRDefault="00AE3F7C" w:rsidP="00F3486A">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E3F7C" w:rsidRPr="00260CE3" w:rsidTr="00F3486A">
        <w:trPr>
          <w:gridAfter w:val="1"/>
          <w:wAfter w:w="6"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AE3F7C" w:rsidRPr="0066636F" w:rsidRDefault="00AE3F7C" w:rsidP="00F3486A">
            <w:pPr>
              <w:spacing w:before="40" w:after="40"/>
              <w:jc w:val="both"/>
              <w:rPr>
                <w:rFonts w:ascii="Arial Narrow" w:hAnsi="Arial Narrow" w:cs="Arial"/>
                <w:b/>
                <w:sz w:val="20"/>
                <w:szCs w:val="20"/>
              </w:rPr>
            </w:pPr>
            <w:r w:rsidRPr="0066636F">
              <w:rPr>
                <w:rFonts w:ascii="Arial Narrow" w:hAnsi="Arial Narrow" w:cs="Arial"/>
                <w:b/>
                <w:sz w:val="20"/>
                <w:szCs w:val="20"/>
              </w:rPr>
              <w:t>Episodicity:</w:t>
            </w:r>
          </w:p>
        </w:tc>
        <w:tc>
          <w:tcPr>
            <w:tcW w:w="3917" w:type="pct"/>
            <w:gridSpan w:val="6"/>
            <w:tcBorders>
              <w:top w:val="single" w:sz="4" w:space="0" w:color="auto"/>
              <w:left w:val="single" w:sz="4" w:space="0" w:color="auto"/>
              <w:bottom w:val="single" w:sz="4" w:space="0" w:color="auto"/>
              <w:right w:val="single" w:sz="4" w:space="0" w:color="auto"/>
            </w:tcBorders>
          </w:tcPr>
          <w:p w:rsidR="00AE3F7C" w:rsidRPr="0066636F" w:rsidRDefault="00AE3F7C" w:rsidP="00F3486A">
            <w:pPr>
              <w:spacing w:before="40" w:after="40"/>
              <w:rPr>
                <w:rFonts w:ascii="Arial Narrow" w:hAnsi="Arial Narrow" w:cs="Arial"/>
                <w:sz w:val="20"/>
                <w:szCs w:val="20"/>
              </w:rPr>
            </w:pPr>
            <w:r w:rsidRPr="0066636F">
              <w:rPr>
                <w:rFonts w:ascii="Arial Narrow" w:hAnsi="Arial Narrow" w:cs="Arial"/>
                <w:sz w:val="20"/>
                <w:szCs w:val="20"/>
              </w:rPr>
              <w:t>Administered once per chemotherapy cycle</w:t>
            </w:r>
          </w:p>
        </w:tc>
      </w:tr>
      <w:tr w:rsidR="00AE3F7C" w:rsidRPr="00260CE3" w:rsidTr="00F3486A">
        <w:trPr>
          <w:gridAfter w:val="1"/>
          <w:wAfter w:w="6"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17" w:type="pct"/>
            <w:gridSpan w:val="6"/>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rPr>
                <w:rFonts w:ascii="Arial Narrow" w:hAnsi="Arial Narrow" w:cs="Arial"/>
                <w:sz w:val="20"/>
                <w:szCs w:val="20"/>
              </w:rPr>
            </w:pPr>
            <w:r>
              <w:rPr>
                <w:rFonts w:ascii="Arial Narrow" w:hAnsi="Arial Narrow" w:cs="Arial"/>
                <w:sz w:val="20"/>
                <w:szCs w:val="20"/>
              </w:rPr>
              <w:t>Chemotherapy-induced neutropenia</w:t>
            </w:r>
          </w:p>
        </w:tc>
      </w:tr>
      <w:tr w:rsidR="00AE3F7C" w:rsidRPr="00260CE3" w:rsidTr="00F3486A">
        <w:trPr>
          <w:gridAfter w:val="1"/>
          <w:wAfter w:w="6"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7" w:type="pct"/>
            <w:gridSpan w:val="6"/>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rPr>
                <w:rFonts w:ascii="Arial Narrow" w:hAnsi="Arial Narrow" w:cs="Arial"/>
                <w:sz w:val="20"/>
                <w:szCs w:val="20"/>
              </w:rPr>
            </w:pPr>
            <w:r w:rsidRPr="008115C6">
              <w:rPr>
                <w:rFonts w:ascii="Arial Narrow" w:hAnsi="Arial Narrow" w:cs="Arial"/>
                <w:strike/>
                <w:sz w:val="20"/>
                <w:szCs w:val="20"/>
              </w:rPr>
              <w:t xml:space="preserve">Administered once per chemotherapy cycle for </w:t>
            </w:r>
            <w:r w:rsidRPr="008115C6">
              <w:rPr>
                <w:rFonts w:ascii="Arial Narrow" w:hAnsi="Arial Narrow" w:cs="Arial"/>
                <w:i/>
                <w:strike/>
                <w:sz w:val="20"/>
                <w:szCs w:val="20"/>
              </w:rPr>
              <w:t>c</w:t>
            </w:r>
            <w:r>
              <w:rPr>
                <w:rFonts w:ascii="Arial Narrow" w:hAnsi="Arial Narrow" w:cs="Arial"/>
                <w:i/>
                <w:strike/>
                <w:sz w:val="20"/>
                <w:szCs w:val="20"/>
              </w:rPr>
              <w:t xml:space="preserve"> </w:t>
            </w:r>
            <w:r>
              <w:rPr>
                <w:rFonts w:ascii="Arial Narrow" w:hAnsi="Arial Narrow" w:cs="Arial"/>
                <w:i/>
                <w:sz w:val="20"/>
                <w:szCs w:val="20"/>
              </w:rPr>
              <w:t>C</w:t>
            </w:r>
            <w:r w:rsidRPr="008115C6">
              <w:rPr>
                <w:rFonts w:ascii="Arial Narrow" w:hAnsi="Arial Narrow" w:cs="Arial"/>
                <w:sz w:val="20"/>
                <w:szCs w:val="20"/>
              </w:rPr>
              <w:t>hemotherapy</w:t>
            </w:r>
            <w:r>
              <w:rPr>
                <w:rFonts w:ascii="Arial Narrow" w:hAnsi="Arial Narrow" w:cs="Arial"/>
                <w:sz w:val="20"/>
                <w:szCs w:val="20"/>
              </w:rPr>
              <w:t>-induced neutropenia</w:t>
            </w:r>
          </w:p>
        </w:tc>
      </w:tr>
      <w:tr w:rsidR="00AE3F7C" w:rsidRPr="00260CE3" w:rsidTr="00F3486A">
        <w:trPr>
          <w:gridAfter w:val="1"/>
          <w:wAfter w:w="6"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AE3F7C" w:rsidRPr="00416C5C" w:rsidRDefault="00AE3F7C" w:rsidP="00F3486A">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17" w:type="pct"/>
            <w:gridSpan w:val="6"/>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rPr>
                <w:rFonts w:ascii="Arial Narrow" w:hAnsi="Arial Narrow" w:cs="Arial"/>
                <w:sz w:val="20"/>
                <w:szCs w:val="20"/>
              </w:rPr>
            </w:pPr>
            <w:r>
              <w:rPr>
                <w:rFonts w:ascii="Arial Narrow" w:hAnsi="Arial Narrow" w:cs="Arial"/>
                <w:sz w:val="20"/>
                <w:szCs w:val="20"/>
              </w:rPr>
              <w:t>Initial and Continuing</w:t>
            </w:r>
          </w:p>
        </w:tc>
      </w:tr>
      <w:tr w:rsidR="00AE3F7C" w:rsidRPr="00260CE3" w:rsidTr="00F3486A">
        <w:trPr>
          <w:gridAfter w:val="1"/>
          <w:wAfter w:w="6" w:type="pct"/>
          <w:cantSplit/>
          <w:trHeight w:val="360"/>
        </w:trPr>
        <w:tc>
          <w:tcPr>
            <w:tcW w:w="1077" w:type="pct"/>
            <w:tcBorders>
              <w:top w:val="single" w:sz="4" w:space="0" w:color="auto"/>
              <w:left w:val="single" w:sz="4" w:space="0" w:color="auto"/>
              <w:bottom w:val="single" w:sz="4" w:space="0" w:color="auto"/>
              <w:right w:val="single" w:sz="4" w:space="0" w:color="auto"/>
            </w:tcBorders>
          </w:tcPr>
          <w:p w:rsidR="00AE3F7C" w:rsidRPr="00260CE3" w:rsidRDefault="00AE3F7C" w:rsidP="00F3486A">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E3F7C" w:rsidRPr="00260CE3" w:rsidRDefault="00AE3F7C" w:rsidP="00F3486A">
            <w:pPr>
              <w:spacing w:before="40" w:after="40"/>
              <w:rPr>
                <w:rFonts w:ascii="Arial Narrow" w:hAnsi="Arial Narrow" w:cs="Arial"/>
                <w:sz w:val="20"/>
                <w:szCs w:val="20"/>
              </w:rPr>
            </w:pPr>
          </w:p>
        </w:tc>
        <w:tc>
          <w:tcPr>
            <w:tcW w:w="3917" w:type="pct"/>
            <w:gridSpan w:val="6"/>
            <w:tcBorders>
              <w:top w:val="single" w:sz="4" w:space="0" w:color="auto"/>
              <w:left w:val="single" w:sz="4" w:space="0" w:color="auto"/>
              <w:bottom w:val="single" w:sz="4" w:space="0" w:color="auto"/>
              <w:right w:val="single" w:sz="4" w:space="0" w:color="auto"/>
            </w:tcBorders>
          </w:tcPr>
          <w:p w:rsidR="00AE3F7C" w:rsidRPr="00106BCF" w:rsidRDefault="00AE3F7C" w:rsidP="00F3486A">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E3F7C" w:rsidRPr="00106BCF" w:rsidRDefault="00AE3F7C" w:rsidP="00F3486A">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r>
              <w:rPr>
                <w:rFonts w:ascii="Arial Narrow" w:hAnsi="Arial Narrow" w:cs="Arial"/>
                <w:sz w:val="20"/>
                <w:szCs w:val="20"/>
              </w:rPr>
              <w:t xml:space="preserve"> (Private)</w:t>
            </w:r>
          </w:p>
          <w:p w:rsidR="00AE3F7C" w:rsidRPr="00106BCF" w:rsidRDefault="00AE3F7C" w:rsidP="00F3486A">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AE3F7C" w:rsidRPr="00106BCF" w:rsidRDefault="00AE3F7C" w:rsidP="00F3486A">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E3F7C" w:rsidRPr="00106BCF" w:rsidRDefault="00AE3F7C" w:rsidP="00F3486A">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Electronic</w:t>
            </w:r>
            <w:r>
              <w:rPr>
                <w:rFonts w:ascii="Arial Narrow" w:hAnsi="Arial Narrow" w:cs="Arial"/>
                <w:sz w:val="20"/>
                <w:szCs w:val="20"/>
              </w:rPr>
              <w:t xml:space="preserve"> (Private)</w:t>
            </w:r>
          </w:p>
          <w:p w:rsidR="00AE3F7C" w:rsidRPr="00260CE3" w:rsidRDefault="00AE3F7C" w:rsidP="00F3486A">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bl>
    <w:p w:rsidR="00AE3F7C" w:rsidRDefault="00AE3F7C" w:rsidP="00AE3F7C">
      <w:pPr>
        <w:pStyle w:val="ListParagraph"/>
        <w:widowControl/>
        <w:spacing w:after="120"/>
        <w:contextualSpacing w:val="0"/>
        <w:rPr>
          <w:rFonts w:asciiTheme="minorHAnsi" w:eastAsiaTheme="minorHAnsi" w:hAnsiTheme="minorHAnsi" w:cstheme="minorBidi"/>
          <w:snapToGrid/>
          <w:szCs w:val="22"/>
        </w:rPr>
      </w:pPr>
    </w:p>
    <w:p w:rsidR="00AE3F7C" w:rsidRPr="00DF075C"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DF075C">
        <w:rPr>
          <w:rFonts w:asciiTheme="minorHAnsi" w:eastAsiaTheme="minorHAnsi" w:hAnsiTheme="minorHAnsi" w:cstheme="minorBidi"/>
          <w:snapToGrid/>
          <w:szCs w:val="22"/>
        </w:rPr>
        <w:t xml:space="preserve">In July 2017 the PBAC discussed the large number of restrictions for pegfilgrastim prophylaxis based on tumour type with or without requirements for specific treatment regimens. The Committee considered that the effectiveness of primary prophylaxis was largely related to the chemotherapy used rather than treatment with pegfilgrastim, thus the current restrictions may be inequitable, and potentially confusing for prescribers and patients. Therefore the PBAC “considered that it may be more appropriate to simplify the restrictions to allow primary prophylaxis for all patients where the chemotherapy treatment carries a risk of FN [febrile neutropenia] or prolonged severe neutropenia greater than 20% and is with curative intent, and to allow secondary prophylaxis for all patients who have had an episode of FN or prolonged severe neutropenia where there is clinical justification for continued therapy and an expected good response” (Neulasta PSD July 2017, para 7.5). The sponsor agreed with the Committee’s suggestion to simplify the restrictions. At its March 2018 meeting, the PBAC recommended changing the restrictions for pegfilgrastim (and for this to flow on to filgrastim and lipegfilgrastim) to broaden the indications to primary and secondary prophylaxis of neutropenia, irrespective of chemotherapy or tumour type. The restriction is yet to be finalised, but it will be applicable to this listing </w:t>
      </w:r>
      <w:r>
        <w:rPr>
          <w:rFonts w:asciiTheme="minorHAnsi" w:eastAsiaTheme="minorHAnsi" w:hAnsiTheme="minorHAnsi" w:cstheme="minorBidi"/>
          <w:snapToGrid/>
          <w:szCs w:val="22"/>
        </w:rPr>
        <w:t>if recommended.</w:t>
      </w:r>
    </w:p>
    <w:p w:rsidR="00AE3F7C" w:rsidRPr="00FD6D8E" w:rsidRDefault="00AE3F7C" w:rsidP="00AE3F7C">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 xml:space="preserve">The Fulphila brand of pegfilgrastim </w:t>
      </w:r>
      <w:r>
        <w:rPr>
          <w:rFonts w:asciiTheme="minorHAnsi" w:eastAsiaTheme="minorHAnsi" w:hAnsiTheme="minorHAnsi" w:cstheme="minorBidi"/>
          <w:snapToGrid/>
          <w:szCs w:val="22"/>
        </w:rPr>
        <w:t>was under TGA consideration at time of submission; however the TGA Delegate’s Overview was available</w:t>
      </w:r>
      <w:r w:rsidRPr="006B50B9">
        <w:rPr>
          <w:rFonts w:asciiTheme="minorHAnsi" w:eastAsiaTheme="minorHAnsi" w:hAnsiTheme="minorHAnsi" w:cstheme="minorBidi"/>
          <w:snapToGrid/>
          <w:szCs w:val="22"/>
        </w:rPr>
        <w:t xml:space="preserve">. </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TGA Delegate was not support</w:t>
      </w:r>
      <w:r>
        <w:rPr>
          <w:rFonts w:asciiTheme="minorHAnsi" w:eastAsiaTheme="minorHAnsi" w:hAnsiTheme="minorHAnsi" w:cstheme="minorBidi"/>
          <w:snapToGrid/>
          <w:szCs w:val="22"/>
        </w:rPr>
        <w:t>ive</w:t>
      </w:r>
      <w:r w:rsidRPr="006B50B9">
        <w:rPr>
          <w:rFonts w:asciiTheme="minorHAnsi" w:eastAsiaTheme="minorHAnsi" w:hAnsiTheme="minorHAnsi" w:cstheme="minorBidi"/>
          <w:snapToGrid/>
          <w:szCs w:val="22"/>
        </w:rPr>
        <w:t xml:space="preserve"> of approval of the Fulphila application</w:t>
      </w:r>
      <w:r>
        <w:rPr>
          <w:rFonts w:asciiTheme="minorHAnsi" w:eastAsiaTheme="minorHAnsi" w:hAnsiTheme="minorHAnsi" w:cstheme="minorBidi"/>
          <w:snapToGrid/>
          <w:szCs w:val="22"/>
        </w:rPr>
        <w:t xml:space="preserve"> prior to the ACM meeting</w:t>
      </w:r>
      <w:r w:rsidRPr="006B50B9">
        <w:rPr>
          <w:rFonts w:asciiTheme="minorHAnsi" w:eastAsiaTheme="minorHAnsi" w:hAnsiTheme="minorHAnsi" w:cstheme="minorBidi"/>
          <w:snapToGrid/>
          <w:szCs w:val="22"/>
        </w:rPr>
        <w:t>, and the ACM considered it to have an overall negative benefit-risk profile for its proposed indication. The ACM noted that the</w:t>
      </w:r>
      <w:r>
        <w:rPr>
          <w:rFonts w:asciiTheme="minorHAnsi" w:eastAsiaTheme="minorHAnsi" w:hAnsiTheme="minorHAnsi" w:cstheme="minorBidi"/>
          <w:snapToGrid/>
          <w:szCs w:val="22"/>
        </w:rPr>
        <w:t xml:space="preserve"> Good Manufacturing Practice</w:t>
      </w:r>
      <w:r w:rsidRPr="006B50B9">
        <w:rPr>
          <w:rFonts w:asciiTheme="minorHAnsi" w:eastAsiaTheme="minorHAnsi" w:hAnsiTheme="minorHAnsi" w:cstheme="minorBidi"/>
          <w:snapToGrid/>
          <w:szCs w:val="22"/>
        </w:rPr>
        <w:t xml:space="preserve"> </w:t>
      </w:r>
      <w:r>
        <w:rPr>
          <w:rFonts w:asciiTheme="minorHAnsi" w:eastAsiaTheme="minorHAnsi" w:hAnsiTheme="minorHAnsi" w:cstheme="minorBidi"/>
          <w:snapToGrid/>
          <w:szCs w:val="22"/>
        </w:rPr>
        <w:t>(</w:t>
      </w:r>
      <w:r w:rsidRPr="006B50B9">
        <w:rPr>
          <w:rFonts w:asciiTheme="minorHAnsi" w:eastAsiaTheme="minorHAnsi" w:hAnsiTheme="minorHAnsi" w:cstheme="minorBidi"/>
          <w:snapToGrid/>
          <w:szCs w:val="22"/>
        </w:rPr>
        <w:t>GMP</w:t>
      </w:r>
      <w:r>
        <w:rPr>
          <w:rFonts w:asciiTheme="minorHAnsi" w:eastAsiaTheme="minorHAnsi" w:hAnsiTheme="minorHAnsi" w:cstheme="minorBidi"/>
          <w:snapToGrid/>
          <w:szCs w:val="22"/>
        </w:rPr>
        <w:t>)</w:t>
      </w:r>
      <w:r w:rsidRPr="006B50B9">
        <w:rPr>
          <w:rFonts w:asciiTheme="minorHAnsi" w:eastAsiaTheme="minorHAnsi" w:hAnsiTheme="minorHAnsi" w:cstheme="minorBidi"/>
          <w:snapToGrid/>
          <w:szCs w:val="22"/>
        </w:rPr>
        <w:t xml:space="preserve"> clearances were outstanding, and in their absence Fulphila could not be registered. Other issues included the study product having more aggregates than the reference product which can be associated with immunogenicity, and there were issues with the trial data, including problems with the trial population selected and that clinical conclusions on biosimilarity were drawn from populations that were considered unsuitable.</w:t>
      </w:r>
      <w:r>
        <w:rPr>
          <w:rFonts w:asciiTheme="minorHAnsi" w:eastAsiaTheme="minorHAnsi" w:hAnsiTheme="minorHAnsi" w:cstheme="minorBidi"/>
          <w:snapToGrid/>
          <w:szCs w:val="22"/>
        </w:rPr>
        <w:t xml:space="preserve"> The Delegate has engaged further with the sponsor post ACM consideration to resolve outstanding issues for this brand of pegfilgrastim.</w:t>
      </w:r>
      <w:r w:rsidRPr="006B50B9">
        <w:rPr>
          <w:rFonts w:asciiTheme="minorHAnsi" w:eastAsiaTheme="minorHAnsi" w:hAnsiTheme="minorHAnsi" w:cstheme="minorBidi"/>
          <w:snapToGrid/>
          <w:szCs w:val="22"/>
        </w:rPr>
        <w:t xml:space="preserve"> </w:t>
      </w:r>
    </w:p>
    <w:p w:rsidR="00AE3F7C" w:rsidRPr="00435E91" w:rsidRDefault="00AE3F7C" w:rsidP="00AE3F7C">
      <w:pPr>
        <w:pStyle w:val="ListParagraph"/>
        <w:widowControl/>
        <w:numPr>
          <w:ilvl w:val="1"/>
          <w:numId w:val="1"/>
        </w:numPr>
        <w:spacing w:before="120" w:after="160"/>
        <w:contextualSpacing w:val="0"/>
        <w:rPr>
          <w:rStyle w:val="Emphasis"/>
          <w:rFonts w:asciiTheme="minorHAnsi" w:eastAsiaTheme="minorHAnsi" w:hAnsiTheme="minorHAnsi" w:cstheme="minorBidi"/>
          <w:i w:val="0"/>
          <w:iCs w:val="0"/>
          <w:snapToGrid/>
          <w:szCs w:val="22"/>
        </w:rPr>
      </w:pPr>
      <w:r w:rsidRPr="006B50B9">
        <w:rPr>
          <w:rFonts w:asciiTheme="minorHAnsi" w:eastAsiaTheme="minorHAnsi" w:hAnsiTheme="minorHAnsi" w:cstheme="minorBidi"/>
          <w:snapToGrid/>
          <w:szCs w:val="22"/>
        </w:rPr>
        <w:t>The PBAC has not previously considered an application for the Fulphila brand of pegfilgrastim.</w:t>
      </w:r>
    </w:p>
    <w:p w:rsidR="00AE3F7C" w:rsidRPr="00433952" w:rsidRDefault="00AE3F7C" w:rsidP="00AE3F7C">
      <w:pPr>
        <w:pStyle w:val="PBACHeading1"/>
        <w:numPr>
          <w:ilvl w:val="0"/>
          <w:numId w:val="0"/>
        </w:numPr>
        <w:spacing w:after="160"/>
        <w:outlineLvl w:val="9"/>
        <w:rPr>
          <w:rStyle w:val="Emphasis"/>
          <w:rFonts w:asciiTheme="minorHAnsi" w:hAnsiTheme="minorHAnsi"/>
          <w:i w:val="0"/>
          <w:szCs w:val="24"/>
        </w:rPr>
      </w:pPr>
      <w:r w:rsidRPr="00433952">
        <w:rPr>
          <w:rStyle w:val="Emphasis"/>
          <w:rFonts w:asciiTheme="minorHAnsi" w:hAnsiTheme="minorHAnsi"/>
          <w:szCs w:val="24"/>
        </w:rPr>
        <w:t>Brand equivalence and substitution at the pharmacist level (‘a’ flagging)</w:t>
      </w:r>
    </w:p>
    <w:p w:rsidR="00AE3F7C" w:rsidRPr="006B50B9" w:rsidRDefault="00AE3F7C" w:rsidP="00AE3F7C">
      <w:pPr>
        <w:pStyle w:val="ListParagraph"/>
        <w:widowControl/>
        <w:numPr>
          <w:ilvl w:val="1"/>
          <w:numId w:val="1"/>
        </w:numPr>
        <w:rPr>
          <w:rFonts w:asciiTheme="minorHAnsi" w:hAnsiTheme="minorHAnsi"/>
          <w:szCs w:val="24"/>
        </w:rPr>
      </w:pPr>
      <w:r w:rsidRPr="006B50B9">
        <w:rPr>
          <w:rFonts w:asciiTheme="minorHAnsi" w:hAnsiTheme="minorHAnsi"/>
          <w:szCs w:val="24"/>
        </w:rPr>
        <w:t xml:space="preserve">The Schedule of Pharmaceutical Benefits provide the following definition of brand equivalence: </w:t>
      </w:r>
    </w:p>
    <w:p w:rsidR="00AE3F7C" w:rsidRPr="006B50B9" w:rsidRDefault="00AE3F7C" w:rsidP="00AE3F7C">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 w:val="22"/>
          <w:szCs w:val="24"/>
          <w:lang w:val="en-AU"/>
        </w:rPr>
      </w:pPr>
      <w:r w:rsidRPr="006B50B9">
        <w:rPr>
          <w:rFonts w:asciiTheme="minorHAnsi" w:hAnsiTheme="minorHAnsi" w:cs="Arial"/>
          <w:b/>
          <w:sz w:val="22"/>
          <w:szCs w:val="24"/>
          <w:lang w:val="en-AU"/>
        </w:rPr>
        <w:t>Extract from the Explanatory Notes to the PBS Schedule</w:t>
      </w:r>
      <w:r w:rsidRPr="006B50B9">
        <w:rPr>
          <w:rFonts w:asciiTheme="minorHAnsi" w:hAnsiTheme="minorHAnsi"/>
          <w:b/>
          <w:sz w:val="22"/>
          <w:szCs w:val="24"/>
          <w:vertAlign w:val="superscript"/>
          <w:lang w:val="en-AU"/>
        </w:rPr>
        <w:footnoteReference w:id="1"/>
      </w:r>
    </w:p>
    <w:p w:rsidR="00AE3F7C" w:rsidRPr="006B50B9" w:rsidRDefault="00AE3F7C" w:rsidP="00AE3F7C">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b/>
          <w:sz w:val="22"/>
          <w:szCs w:val="24"/>
          <w:lang w:val="en-AU"/>
        </w:rPr>
      </w:pPr>
      <w:r w:rsidRPr="006B50B9">
        <w:rPr>
          <w:rFonts w:asciiTheme="minorHAnsi" w:hAnsiTheme="minorHAnsi" w:cs="Arial"/>
          <w:b/>
          <w:sz w:val="22"/>
          <w:szCs w:val="24"/>
          <w:lang w:val="en-AU"/>
        </w:rPr>
        <w:t>BRAND EQUIVALENCE</w:t>
      </w:r>
    </w:p>
    <w:p w:rsidR="00AE3F7C" w:rsidRPr="006B50B9" w:rsidRDefault="00AE3F7C" w:rsidP="00AE3F7C">
      <w:pPr>
        <w:pStyle w:val="NormalWeb"/>
        <w:pBdr>
          <w:top w:val="single" w:sz="4" w:space="1" w:color="auto"/>
          <w:left w:val="single" w:sz="4" w:space="4" w:color="auto"/>
          <w:bottom w:val="single" w:sz="4" w:space="1" w:color="auto"/>
          <w:right w:val="single" w:sz="4" w:space="4" w:color="auto"/>
        </w:pBdr>
        <w:ind w:left="720"/>
        <w:rPr>
          <w:rFonts w:asciiTheme="minorHAnsi" w:hAnsiTheme="minorHAnsi" w:cs="Arial"/>
          <w:sz w:val="22"/>
          <w:szCs w:val="24"/>
          <w:lang w:val="en-AU"/>
        </w:rPr>
      </w:pPr>
      <w:r w:rsidRPr="006B50B9">
        <w:rPr>
          <w:rFonts w:asciiTheme="minorHAnsi" w:hAnsiTheme="minorHAnsi" w:cs="Arial"/>
          <w:sz w:val="22"/>
          <w:szCs w:val="24"/>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Many medicines are available on the PBS in different brands. The Schedule of Pharmaceutical Benefits indicates where different brands are considered equivalent for the purposes of substitution at the point of dispensing by using ‘a’ flags.</w:t>
      </w:r>
      <w:r>
        <w:rPr>
          <w:rFonts w:asciiTheme="minorHAnsi" w:eastAsiaTheme="minorHAnsi" w:hAnsiTheme="minorHAnsi" w:cstheme="minorBidi"/>
          <w:snapToGrid/>
          <w:szCs w:val="22"/>
        </w:rPr>
        <w:t xml:space="preserve"> </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ability for prescribers and pharmacists to substitute generic or biosimilar brands for originator brands is an important part of encouraging use of generics and biosimilars in the marketplace and adds to the sustainability of the PBS.</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For any individual prescription, a prescriber may choose to not permit brand substitution by indicating ‘substitution not permitted’ on the prescription.</w:t>
      </w:r>
      <w:r>
        <w:rPr>
          <w:rFonts w:asciiTheme="minorHAnsi" w:eastAsiaTheme="minorHAnsi" w:hAnsiTheme="minorHAnsi" w:cstheme="minorBidi"/>
          <w:snapToGrid/>
          <w:szCs w:val="22"/>
        </w:rPr>
        <w:t xml:space="preserve"> </w:t>
      </w:r>
      <w:r w:rsidRPr="006B50B9">
        <w:rPr>
          <w:rFonts w:asciiTheme="minorHAnsi" w:eastAsiaTheme="minorHAnsi" w:hAnsiTheme="minorHAnsi" w:cstheme="minorBidi"/>
          <w:snapToGrid/>
          <w:szCs w:val="22"/>
        </w:rPr>
        <w:t>Likewise, when substitution is permitted, a patient may nominate which ‘a’ flagged brand they wish to receive from the pharmacist, except when State or Territory Law prohibits substitution (e.g. for Schedule 8 drugs of dependence). The substitution process allows for patient and prescriber choice and is not automatic.</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 xml:space="preserve">The </w:t>
      </w:r>
      <w:r w:rsidRPr="00E5442B">
        <w:rPr>
          <w:rFonts w:asciiTheme="minorHAnsi" w:eastAsiaTheme="minorHAnsi" w:hAnsiTheme="minorHAnsi" w:cstheme="minorBidi"/>
          <w:i/>
          <w:snapToGrid/>
          <w:szCs w:val="22"/>
        </w:rPr>
        <w:t>National Health Act 1953</w:t>
      </w:r>
      <w:r w:rsidRPr="006B50B9">
        <w:rPr>
          <w:rFonts w:asciiTheme="minorHAnsi" w:eastAsiaTheme="minorHAnsi" w:hAnsiTheme="minorHAnsi" w:cstheme="minorBidi"/>
          <w:snapToGrid/>
          <w:szCs w:val="22"/>
        </w:rPr>
        <w:t xml:space="preserve"> (“The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AE3F7C" w:rsidRPr="006B50B9" w:rsidRDefault="00AE3F7C" w:rsidP="00AE3F7C">
      <w:pPr>
        <w:pStyle w:val="ListParagraph"/>
        <w:widowControl/>
        <w:numPr>
          <w:ilvl w:val="1"/>
          <w:numId w:val="1"/>
        </w:numPr>
        <w:spacing w:before="120" w:after="160"/>
        <w:contextualSpacing w:val="0"/>
        <w:rPr>
          <w:rFonts w:asciiTheme="minorHAnsi" w:hAnsiTheme="minorHAnsi"/>
          <w:sz w:val="20"/>
        </w:rPr>
      </w:pPr>
      <w:r w:rsidRPr="006B50B9">
        <w:rPr>
          <w:rFonts w:asciiTheme="minorHAnsi" w:eastAsiaTheme="minorHAnsi" w:hAnsiTheme="minorHAnsi" w:cstheme="minorBidi"/>
          <w:snapToGrid/>
          <w:szCs w:val="22"/>
        </w:rPr>
        <w:t>At the March 2018 meeting, the PBAC advised that the following revised considerations will be used to make a recommendation o</w:t>
      </w:r>
      <w:r>
        <w:rPr>
          <w:rFonts w:asciiTheme="minorHAnsi" w:eastAsiaTheme="minorHAnsi" w:hAnsiTheme="minorHAnsi" w:cstheme="minorBidi"/>
          <w:snapToGrid/>
          <w:szCs w:val="22"/>
        </w:rPr>
        <w:t>n brand equivalence (‘a’ flagging</w:t>
      </w:r>
      <w:r w:rsidRPr="006B50B9">
        <w:rPr>
          <w:rFonts w:asciiTheme="minorHAnsi" w:eastAsiaTheme="minorHAnsi" w:hAnsiTheme="minorHAnsi" w:cstheme="minorBidi"/>
          <w:snapToGrid/>
          <w:szCs w:val="22"/>
        </w:rPr>
        <w:t>) of biosimilars with the reference brand;</w:t>
      </w:r>
    </w:p>
    <w:p w:rsidR="00AE3F7C" w:rsidRPr="00444C98" w:rsidRDefault="00AE3F7C" w:rsidP="00AE3F7C">
      <w:pPr>
        <w:pStyle w:val="PBACheading10"/>
        <w:numPr>
          <w:ilvl w:val="0"/>
          <w:numId w:val="4"/>
        </w:numPr>
        <w:ind w:left="1434" w:hanging="357"/>
        <w:outlineLvl w:val="9"/>
        <w:rPr>
          <w:rFonts w:asciiTheme="minorHAnsi" w:eastAsiaTheme="minorHAnsi" w:hAnsiTheme="minorHAnsi"/>
          <w:b w:val="0"/>
          <w:snapToGrid/>
          <w:sz w:val="24"/>
          <w:szCs w:val="24"/>
        </w:rPr>
      </w:pPr>
      <w:r w:rsidRPr="00444C98">
        <w:rPr>
          <w:rFonts w:asciiTheme="minorHAnsi" w:eastAsiaTheme="minorHAnsi" w:hAnsiTheme="minorHAnsi"/>
          <w:b w:val="0"/>
          <w:snapToGrid/>
          <w:sz w:val="24"/>
          <w:szCs w:val="24"/>
        </w:rPr>
        <w:t>The Therapeutic Goods Administration has determined that the product is a biosimilar of the reference medicine as evidenced by ARTG registration documentation;</w:t>
      </w:r>
    </w:p>
    <w:p w:rsidR="00AE3F7C" w:rsidRPr="00444C98" w:rsidRDefault="00AE3F7C" w:rsidP="00AE3F7C">
      <w:pPr>
        <w:pStyle w:val="PBACheading10"/>
        <w:numPr>
          <w:ilvl w:val="0"/>
          <w:numId w:val="4"/>
        </w:numPr>
        <w:ind w:left="1434" w:hanging="357"/>
        <w:outlineLvl w:val="9"/>
        <w:rPr>
          <w:rFonts w:asciiTheme="minorHAnsi" w:eastAsiaTheme="minorHAnsi" w:hAnsiTheme="minorHAnsi"/>
          <w:b w:val="0"/>
          <w:snapToGrid/>
          <w:sz w:val="24"/>
          <w:szCs w:val="24"/>
        </w:rPr>
      </w:pPr>
      <w:r w:rsidRPr="00444C98">
        <w:rPr>
          <w:rFonts w:asciiTheme="minorHAnsi" w:eastAsiaTheme="minorHAnsi" w:hAnsiTheme="minorHAnsi"/>
          <w:b w:val="0"/>
          <w:snapToGrid/>
          <w:sz w:val="24"/>
          <w:szCs w:val="24"/>
        </w:rPr>
        <w:t>Availability of supportive data relating to the effects of switching between the reference product and the biosimilar product/s; and</w:t>
      </w:r>
    </w:p>
    <w:p w:rsidR="00AE3F7C" w:rsidRPr="00444C98" w:rsidRDefault="00AE3F7C" w:rsidP="00AE3F7C">
      <w:pPr>
        <w:pStyle w:val="PBACheading10"/>
        <w:numPr>
          <w:ilvl w:val="0"/>
          <w:numId w:val="4"/>
        </w:numPr>
        <w:ind w:left="1434" w:hanging="357"/>
        <w:outlineLvl w:val="9"/>
        <w:rPr>
          <w:rFonts w:asciiTheme="minorHAnsi" w:eastAsiaTheme="minorHAnsi" w:hAnsiTheme="minorHAnsi"/>
          <w:b w:val="0"/>
          <w:snapToGrid/>
          <w:sz w:val="24"/>
          <w:szCs w:val="24"/>
        </w:rPr>
      </w:pPr>
      <w:r w:rsidRPr="00444C98">
        <w:rPr>
          <w:rFonts w:asciiTheme="minorHAnsi" w:eastAsiaTheme="minorHAnsi" w:hAnsiTheme="minorHAnsi"/>
          <w:b w:val="0"/>
          <w:snapToGrid/>
          <w:sz w:val="24"/>
          <w:szCs w:val="24"/>
        </w:rPr>
        <w:t>Practical considerations relating to substitution by the pharmacist at the point of dispensing. This includes strength of formulation, number of units per pack and maximum quantities between the brands, which may make substitution at the pharmacy level difficult from a practical perspective.</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PBAC considered that where a biosimilar product could not be recommended to be brand equivalent (‘a’ flagged) at the time of PBS listing, data should be collected to support this consideration at a later point.</w:t>
      </w:r>
    </w:p>
    <w:p w:rsidR="00AE3F7C"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If the PBAC provides advice on brand equivalence (‘a’ flagging), the decision to apply brand equivalence to listings in the Schedule is made by the Minister for Health (or Delegate).</w:t>
      </w:r>
      <w:r>
        <w:rPr>
          <w:rFonts w:asciiTheme="minorHAnsi" w:eastAsiaTheme="minorHAnsi" w:hAnsiTheme="minorHAnsi" w:cstheme="minorBidi"/>
          <w:snapToGrid/>
          <w:szCs w:val="22"/>
        </w:rPr>
        <w:t xml:space="preserve"> </w:t>
      </w:r>
    </w:p>
    <w:p w:rsidR="00AE3F7C" w:rsidRPr="00435E91" w:rsidRDefault="00AE3F7C" w:rsidP="00AE3F7C">
      <w:pPr>
        <w:pStyle w:val="ListParagraph"/>
        <w:numPr>
          <w:ilvl w:val="1"/>
          <w:numId w:val="1"/>
        </w:numPr>
        <w:rPr>
          <w:rFonts w:asciiTheme="minorHAnsi" w:eastAsiaTheme="minorHAnsi" w:hAnsiTheme="minorHAnsi" w:cstheme="minorBidi"/>
          <w:snapToGrid/>
          <w:szCs w:val="22"/>
        </w:rPr>
      </w:pPr>
      <w:r>
        <w:rPr>
          <w:rFonts w:asciiTheme="minorHAnsi" w:eastAsiaTheme="minorHAnsi" w:hAnsiTheme="minorHAnsi" w:cstheme="minorBidi"/>
          <w:snapToGrid/>
          <w:szCs w:val="22"/>
        </w:rPr>
        <w:t>The PBAC wa</w:t>
      </w:r>
      <w:r w:rsidRPr="00BB7253">
        <w:rPr>
          <w:rFonts w:asciiTheme="minorHAnsi" w:eastAsiaTheme="minorHAnsi" w:hAnsiTheme="minorHAnsi" w:cstheme="minorBidi"/>
          <w:snapToGrid/>
          <w:szCs w:val="22"/>
        </w:rPr>
        <w:t>s requested to consider whether, under Section 101(4ACD) of the National Health Act, 1953 the Minister should be advised that the Fulphila brand of pegfilgrastim and the Neulasta and Ristempa brands of pegfilgrastim could be marked as equivalent (‘a’ flagged) in the Schedule of Pharmaceutical Benefits.</w:t>
      </w:r>
    </w:p>
    <w:p w:rsidR="00AE3F7C" w:rsidRPr="00433952" w:rsidRDefault="00AE3F7C" w:rsidP="00AE3F7C">
      <w:pPr>
        <w:pStyle w:val="PBACHeading1"/>
        <w:keepNext/>
        <w:numPr>
          <w:ilvl w:val="0"/>
          <w:numId w:val="0"/>
        </w:numPr>
        <w:spacing w:before="240" w:after="120"/>
        <w:outlineLvl w:val="9"/>
        <w:rPr>
          <w:rStyle w:val="Emphasis"/>
          <w:rFonts w:asciiTheme="minorHAnsi" w:hAnsiTheme="minorHAnsi"/>
          <w:i w:val="0"/>
          <w:sz w:val="24"/>
          <w:szCs w:val="24"/>
        </w:rPr>
      </w:pPr>
      <w:r w:rsidRPr="00433952">
        <w:rPr>
          <w:rStyle w:val="Emphasis"/>
          <w:rFonts w:asciiTheme="minorHAnsi" w:hAnsiTheme="minorHAnsi"/>
          <w:sz w:val="24"/>
          <w:szCs w:val="24"/>
        </w:rPr>
        <w:t>Biosimilar uptake measures</w:t>
      </w:r>
    </w:p>
    <w:p w:rsidR="00AE3F7C" w:rsidRDefault="00AE3F7C" w:rsidP="00AE3F7C">
      <w:pPr>
        <w:pStyle w:val="ListParagraph"/>
        <w:keepNext/>
        <w:widowControl/>
        <w:numPr>
          <w:ilvl w:val="1"/>
          <w:numId w:val="1"/>
        </w:numPr>
        <w:spacing w:before="120" w:after="160"/>
        <w:contextualSpacing w:val="0"/>
        <w:rPr>
          <w:rFonts w:asciiTheme="minorHAnsi" w:eastAsiaTheme="minorHAnsi" w:hAnsiTheme="minorHAnsi" w:cstheme="minorBidi"/>
          <w:snapToGrid/>
          <w:szCs w:val="22"/>
        </w:rPr>
      </w:pPr>
      <w:r w:rsidRPr="004C7B43">
        <w:rPr>
          <w:rFonts w:asciiTheme="minorHAnsi" w:eastAsiaTheme="minorHAnsi" w:hAnsiTheme="minorHAnsi" w:cstheme="minorBidi"/>
          <w:snapToGrid/>
          <w:szCs w:val="22"/>
        </w:rPr>
        <w:t xml:space="preserve">The biosimilar uptake </w:t>
      </w:r>
      <w:r>
        <w:rPr>
          <w:rFonts w:asciiTheme="minorHAnsi" w:eastAsiaTheme="minorHAnsi" w:hAnsiTheme="minorHAnsi" w:cstheme="minorBidi"/>
          <w:snapToGrid/>
          <w:szCs w:val="22"/>
        </w:rPr>
        <w:t>measures were agreed as part of the S</w:t>
      </w:r>
      <w:r w:rsidRPr="004C7B43">
        <w:rPr>
          <w:rFonts w:asciiTheme="minorHAnsi" w:eastAsiaTheme="minorHAnsi" w:hAnsiTheme="minorHAnsi" w:cstheme="minorBidi"/>
          <w:snapToGrid/>
          <w:szCs w:val="22"/>
        </w:rPr>
        <w:t xml:space="preserve">trategic </w:t>
      </w:r>
      <w:r>
        <w:rPr>
          <w:rFonts w:asciiTheme="minorHAnsi" w:eastAsiaTheme="minorHAnsi" w:hAnsiTheme="minorHAnsi" w:cstheme="minorBidi"/>
          <w:snapToGrid/>
          <w:szCs w:val="22"/>
        </w:rPr>
        <w:t>A</w:t>
      </w:r>
      <w:r w:rsidRPr="004C7B43">
        <w:rPr>
          <w:rFonts w:asciiTheme="minorHAnsi" w:eastAsiaTheme="minorHAnsi" w:hAnsiTheme="minorHAnsi" w:cstheme="minorBidi"/>
          <w:snapToGrid/>
          <w:szCs w:val="22"/>
        </w:rPr>
        <w:t>greements that the Government reached with Medicines Australia, the Generic and Biosimilar Medicines Association and the Pharmacy Guild of Australia as part of the 2017 Budget process.</w:t>
      </w:r>
      <w:r>
        <w:rPr>
          <w:rFonts w:asciiTheme="minorHAnsi" w:eastAsiaTheme="minorHAnsi" w:hAnsiTheme="minorHAnsi" w:cstheme="minorBidi"/>
          <w:snapToGrid/>
          <w:szCs w:val="22"/>
        </w:rPr>
        <w:t xml:space="preserve"> </w:t>
      </w:r>
    </w:p>
    <w:p w:rsidR="00AE3F7C" w:rsidRPr="0082740D"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4C7B43">
        <w:rPr>
          <w:rFonts w:asciiTheme="minorHAnsi" w:eastAsiaTheme="minorHAnsi" w:hAnsiTheme="minorHAnsi" w:cstheme="minorBidi"/>
          <w:snapToGrid/>
          <w:szCs w:val="22"/>
        </w:rPr>
        <w:t>The PBAC will advis</w:t>
      </w:r>
      <w:r>
        <w:rPr>
          <w:rFonts w:asciiTheme="minorHAnsi" w:eastAsiaTheme="minorHAnsi" w:hAnsiTheme="minorHAnsi" w:cstheme="minorBidi"/>
          <w:snapToGrid/>
          <w:szCs w:val="22"/>
        </w:rPr>
        <w:t>e</w:t>
      </w:r>
      <w:r w:rsidRPr="004C7B43">
        <w:rPr>
          <w:rFonts w:asciiTheme="minorHAnsi" w:eastAsiaTheme="minorHAnsi" w:hAnsiTheme="minorHAnsi" w:cstheme="minorBidi"/>
          <w:snapToGrid/>
          <w:szCs w:val="22"/>
        </w:rPr>
        <w:t xml:space="preserve"> whether implementation of the uptake drivers is likely to raise any clinical or other concerns about appropriate use on the PBS.</w:t>
      </w:r>
      <w:r>
        <w:rPr>
          <w:rFonts w:asciiTheme="minorHAnsi" w:eastAsiaTheme="minorHAnsi" w:hAnsiTheme="minorHAnsi" w:cstheme="minorBidi"/>
          <w:snapToGrid/>
          <w:szCs w:val="22"/>
        </w:rPr>
        <w:t xml:space="preserve"> </w:t>
      </w:r>
      <w:r w:rsidRPr="0082740D">
        <w:rPr>
          <w:rFonts w:asciiTheme="minorHAnsi" w:eastAsiaTheme="minorHAnsi" w:hAnsiTheme="minorHAnsi" w:cstheme="minorBidi"/>
          <w:snapToGrid/>
          <w:szCs w:val="22"/>
        </w:rPr>
        <w:t xml:space="preserve">The PBAC may, on a case-by-case basis, provide advice relating to: </w:t>
      </w:r>
    </w:p>
    <w:p w:rsidR="00AE3F7C" w:rsidRPr="0082740D" w:rsidRDefault="00AE3F7C" w:rsidP="00AE3F7C">
      <w:pPr>
        <w:pStyle w:val="ListParagraph"/>
        <w:numPr>
          <w:ilvl w:val="0"/>
          <w:numId w:val="5"/>
        </w:numPr>
        <w:autoSpaceDE w:val="0"/>
        <w:autoSpaceDN w:val="0"/>
        <w:adjustRightInd w:val="0"/>
        <w:ind w:left="1097"/>
        <w:rPr>
          <w:rFonts w:asciiTheme="minorHAnsi" w:eastAsiaTheme="minorHAnsi" w:hAnsiTheme="minorHAnsi" w:cstheme="minorBidi"/>
          <w:snapToGrid/>
          <w:szCs w:val="22"/>
        </w:rPr>
      </w:pPr>
      <w:r w:rsidRPr="0082740D">
        <w:rPr>
          <w:rFonts w:asciiTheme="minorHAnsi" w:eastAsiaTheme="minorHAnsi" w:hAnsiTheme="minorHAnsi" w:cstheme="minorBidi"/>
          <w:snapToGrid/>
          <w:szCs w:val="22"/>
        </w:rPr>
        <w:t>encouraging the prescribing of a biosimilar brand for treatment naïve patients;</w:t>
      </w:r>
      <w:r>
        <w:rPr>
          <w:rFonts w:asciiTheme="minorHAnsi" w:eastAsiaTheme="minorHAnsi" w:hAnsiTheme="minorHAnsi" w:cstheme="minorBidi"/>
          <w:snapToGrid/>
          <w:szCs w:val="22"/>
        </w:rPr>
        <w:t xml:space="preserve"> </w:t>
      </w:r>
      <w:r w:rsidRPr="0082740D">
        <w:rPr>
          <w:rFonts w:asciiTheme="minorHAnsi" w:eastAsiaTheme="minorHAnsi" w:hAnsiTheme="minorHAnsi" w:cstheme="minorBidi"/>
          <w:snapToGrid/>
          <w:szCs w:val="22"/>
        </w:rPr>
        <w:t xml:space="preserve">and </w:t>
      </w:r>
    </w:p>
    <w:p w:rsidR="00AE3F7C" w:rsidRPr="00433952" w:rsidRDefault="00AE3F7C" w:rsidP="00AE3F7C">
      <w:pPr>
        <w:pStyle w:val="ListParagraph"/>
        <w:numPr>
          <w:ilvl w:val="0"/>
          <w:numId w:val="5"/>
        </w:numPr>
        <w:autoSpaceDE w:val="0"/>
        <w:autoSpaceDN w:val="0"/>
        <w:adjustRightInd w:val="0"/>
        <w:ind w:left="1097"/>
        <w:rPr>
          <w:rFonts w:asciiTheme="minorHAnsi" w:eastAsiaTheme="minorHAnsi" w:hAnsiTheme="minorHAnsi" w:cstheme="minorBidi"/>
          <w:snapToGrid/>
          <w:szCs w:val="22"/>
        </w:rPr>
      </w:pPr>
      <w:r w:rsidRPr="0082740D">
        <w:rPr>
          <w:rFonts w:asciiTheme="minorHAnsi" w:eastAsiaTheme="minorHAnsi" w:hAnsiTheme="minorHAnsi" w:cstheme="minorBidi"/>
          <w:snapToGrid/>
          <w:szCs w:val="22"/>
        </w:rPr>
        <w:t xml:space="preserve">applying a lower level of authority to biosimilar brand(s) than exists for the reference brand of biological medicines. </w:t>
      </w:r>
    </w:p>
    <w:p w:rsidR="00AE3F7C"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4C7B43">
        <w:rPr>
          <w:rFonts w:asciiTheme="minorHAnsi" w:eastAsiaTheme="minorHAnsi" w:hAnsiTheme="minorHAnsi" w:cstheme="minorBidi"/>
          <w:snapToGrid/>
          <w:szCs w:val="22"/>
        </w:rPr>
        <w:t xml:space="preserve">After PBAC advice is received, a decision will be made about applying the drivers for the relevant medicine. The policy provides for lower authority requirements only for biosimilar brands, but there will be no increase in authority requirements to prescribe reference brands. </w:t>
      </w:r>
    </w:p>
    <w:p w:rsidR="00AE3F7C" w:rsidRPr="00977ED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977ED9">
        <w:rPr>
          <w:rFonts w:asciiTheme="minorHAnsi" w:eastAsiaTheme="minorHAnsi" w:hAnsiTheme="minorHAnsi" w:cstheme="minorBidi"/>
          <w:snapToGrid/>
          <w:szCs w:val="22"/>
        </w:rPr>
        <w:t>The PBAC has previously stated it had no concerns about encouraging prescribing of a biosimilar brand rather than the reference biological agent brand for treatment naïve patients, including through notes in the Schedule and prescribing software changes. (Etanercept (Brenzys) Public Summary Document, August 2017 PBAC Meeting).</w:t>
      </w:r>
    </w:p>
    <w:p w:rsidR="00AE3F7C" w:rsidRPr="00977ED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Pr>
          <w:rFonts w:asciiTheme="minorHAnsi" w:eastAsiaTheme="minorHAnsi" w:hAnsiTheme="minorHAnsi" w:cstheme="minorBidi"/>
          <w:snapToGrid/>
          <w:szCs w:val="22"/>
        </w:rPr>
        <w:t>The PBAC was</w:t>
      </w:r>
      <w:r w:rsidRPr="00F60721">
        <w:rPr>
          <w:rFonts w:asciiTheme="minorHAnsi" w:eastAsiaTheme="minorHAnsi" w:hAnsiTheme="minorHAnsi" w:cstheme="minorBidi"/>
          <w:snapToGrid/>
          <w:szCs w:val="22"/>
        </w:rPr>
        <w:t xml:space="preserve"> asked to consider the appropriateness of the biosimilar uptake drivers</w:t>
      </w:r>
      <w:r w:rsidRPr="006C34CF">
        <w:rPr>
          <w:rFonts w:asciiTheme="minorHAnsi" w:eastAsiaTheme="minorHAnsi" w:hAnsiTheme="minorHAnsi" w:cstheme="minorBidi"/>
          <w:snapToGrid/>
          <w:szCs w:val="22"/>
        </w:rPr>
        <w:t>.</w:t>
      </w:r>
    </w:p>
    <w:p w:rsidR="00AE3F7C" w:rsidRPr="00F90A91" w:rsidRDefault="00AE3F7C" w:rsidP="00AE3F7C">
      <w:pPr>
        <w:pStyle w:val="ListParagraph"/>
        <w:ind w:left="709"/>
        <w:rPr>
          <w:rFonts w:asciiTheme="minorHAnsi" w:hAnsiTheme="minorHAnsi"/>
          <w:i/>
        </w:rPr>
      </w:pPr>
      <w:r w:rsidRPr="00F60721">
        <w:rPr>
          <w:rFonts w:asciiTheme="minorHAnsi" w:hAnsiTheme="minorHAnsi"/>
          <w:i/>
        </w:rPr>
        <w:t>For more detail on PBAC’s view, see section 6 PBAC outcome.</w:t>
      </w:r>
    </w:p>
    <w:p w:rsidR="00AE3F7C" w:rsidRPr="00E42BDB" w:rsidRDefault="00AE3F7C" w:rsidP="00AE3F7C">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AE3F7C" w:rsidRPr="00F60721" w:rsidRDefault="00AE3F7C" w:rsidP="00AE3F7C">
      <w:pPr>
        <w:pStyle w:val="ListParagraph"/>
        <w:widowControl/>
        <w:numPr>
          <w:ilvl w:val="1"/>
          <w:numId w:val="1"/>
        </w:numPr>
        <w:spacing w:before="120" w:after="16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minor submission nominated the originator brand of pegfilgrastim</w:t>
      </w:r>
      <w:r>
        <w:rPr>
          <w:rFonts w:asciiTheme="minorHAnsi" w:eastAsiaTheme="minorHAnsi" w:hAnsiTheme="minorHAnsi" w:cstheme="minorBidi"/>
          <w:snapToGrid/>
          <w:szCs w:val="22"/>
        </w:rPr>
        <w:t>,</w:t>
      </w:r>
      <w:r w:rsidRPr="006B50B9">
        <w:rPr>
          <w:rFonts w:asciiTheme="minorHAnsi" w:eastAsiaTheme="minorHAnsi" w:hAnsiTheme="minorHAnsi" w:cstheme="minorBidi"/>
          <w:snapToGrid/>
          <w:szCs w:val="22"/>
        </w:rPr>
        <w:t xml:space="preserve"> Neulasta</w:t>
      </w:r>
      <w:r>
        <w:rPr>
          <w:rFonts w:asciiTheme="minorHAnsi" w:eastAsiaTheme="minorHAnsi" w:hAnsiTheme="minorHAnsi" w:cstheme="minorBidi"/>
          <w:snapToGrid/>
          <w:szCs w:val="22"/>
          <w:vertAlign w:val="superscript"/>
        </w:rPr>
        <w:t>®</w:t>
      </w:r>
      <w:r>
        <w:rPr>
          <w:rFonts w:asciiTheme="minorHAnsi" w:eastAsiaTheme="minorHAnsi" w:hAnsiTheme="minorHAnsi" w:cstheme="minorBidi"/>
          <w:snapToGrid/>
          <w:szCs w:val="22"/>
        </w:rPr>
        <w:t>,</w:t>
      </w:r>
      <w:r w:rsidRPr="006B50B9">
        <w:rPr>
          <w:rFonts w:asciiTheme="minorHAnsi" w:eastAsiaTheme="minorHAnsi" w:hAnsiTheme="minorHAnsi" w:cstheme="minorBidi"/>
          <w:snapToGrid/>
          <w:szCs w:val="22"/>
        </w:rPr>
        <w:t xml:space="preserve"> as the comparator, which was appropriate. </w:t>
      </w:r>
    </w:p>
    <w:p w:rsidR="00AE3F7C" w:rsidRPr="003C2FB5" w:rsidRDefault="00AE3F7C" w:rsidP="00AE3F7C">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Consideration of the evidence</w:t>
      </w:r>
    </w:p>
    <w:p w:rsidR="00AE3F7C" w:rsidRPr="0074239F" w:rsidRDefault="00AE3F7C" w:rsidP="00AE3F7C">
      <w:pPr>
        <w:widowControl w:val="0"/>
        <w:spacing w:before="240" w:after="120" w:line="276" w:lineRule="auto"/>
        <w:jc w:val="both"/>
        <w:outlineLvl w:val="1"/>
        <w:rPr>
          <w:rFonts w:asciiTheme="minorHAnsi" w:hAnsiTheme="minorHAnsi" w:cs="Arial"/>
          <w:b/>
          <w:bCs/>
          <w:i/>
          <w:snapToGrid w:val="0"/>
          <w:sz w:val="28"/>
          <w:szCs w:val="28"/>
        </w:rPr>
      </w:pPr>
      <w:r w:rsidRPr="0074239F">
        <w:rPr>
          <w:rFonts w:asciiTheme="minorHAnsi" w:hAnsiTheme="minorHAnsi" w:cs="Arial"/>
          <w:b/>
          <w:bCs/>
          <w:i/>
          <w:snapToGrid w:val="0"/>
          <w:sz w:val="28"/>
          <w:szCs w:val="28"/>
        </w:rPr>
        <w:t>Sponsor hearing</w:t>
      </w:r>
    </w:p>
    <w:p w:rsidR="00AE3F7C" w:rsidRPr="0074239F" w:rsidRDefault="00AE3F7C" w:rsidP="00AE3F7C">
      <w:pPr>
        <w:widowControl w:val="0"/>
        <w:numPr>
          <w:ilvl w:val="1"/>
          <w:numId w:val="1"/>
        </w:numPr>
        <w:spacing w:after="120"/>
        <w:jc w:val="both"/>
        <w:rPr>
          <w:rFonts w:asciiTheme="minorHAnsi" w:hAnsiTheme="minorHAnsi" w:cs="Arial"/>
          <w:bCs/>
          <w:snapToGrid w:val="0"/>
        </w:rPr>
      </w:pPr>
      <w:r w:rsidRPr="0074239F">
        <w:rPr>
          <w:rFonts w:asciiTheme="minorHAnsi" w:hAnsiTheme="minorHAnsi" w:cs="Arial"/>
          <w:bCs/>
          <w:snapToGrid w:val="0"/>
        </w:rPr>
        <w:t>There was no hearing for this item as it was a minor submission.</w:t>
      </w:r>
    </w:p>
    <w:p w:rsidR="00AE3F7C" w:rsidRPr="00E130DF" w:rsidRDefault="00AE3F7C" w:rsidP="00AE3F7C">
      <w:pPr>
        <w:widowControl w:val="0"/>
        <w:spacing w:before="240" w:after="120" w:line="276" w:lineRule="auto"/>
        <w:jc w:val="both"/>
        <w:outlineLvl w:val="1"/>
        <w:rPr>
          <w:rFonts w:asciiTheme="minorHAnsi" w:hAnsiTheme="minorHAnsi" w:cs="Arial"/>
          <w:b/>
          <w:bCs/>
          <w:i/>
          <w:snapToGrid w:val="0"/>
          <w:sz w:val="28"/>
          <w:szCs w:val="28"/>
        </w:rPr>
      </w:pPr>
      <w:r w:rsidRPr="00E130DF">
        <w:rPr>
          <w:rFonts w:asciiTheme="minorHAnsi" w:hAnsiTheme="minorHAnsi" w:cs="Arial"/>
          <w:b/>
          <w:bCs/>
          <w:i/>
          <w:snapToGrid w:val="0"/>
          <w:sz w:val="28"/>
          <w:szCs w:val="28"/>
        </w:rPr>
        <w:t>Consumer comments</w:t>
      </w:r>
    </w:p>
    <w:p w:rsidR="00AE3F7C" w:rsidRPr="00E130DF" w:rsidRDefault="00AE3F7C" w:rsidP="00AE3F7C">
      <w:pPr>
        <w:widowControl w:val="0"/>
        <w:numPr>
          <w:ilvl w:val="1"/>
          <w:numId w:val="1"/>
        </w:numPr>
        <w:spacing w:after="120"/>
        <w:jc w:val="both"/>
        <w:rPr>
          <w:rFonts w:asciiTheme="minorHAnsi" w:hAnsiTheme="minorHAnsi" w:cs="Arial"/>
          <w:bCs/>
          <w:snapToGrid w:val="0"/>
        </w:rPr>
      </w:pPr>
      <w:r w:rsidRPr="00E130DF">
        <w:rPr>
          <w:rFonts w:asciiTheme="minorHAnsi" w:hAnsiTheme="minorHAnsi" w:cs="Arial"/>
          <w:bCs/>
          <w:snapToGrid w:val="0"/>
        </w:rPr>
        <w:t>The PBAC noted that no consumer comments were received for this item.</w:t>
      </w:r>
    </w:p>
    <w:p w:rsidR="00AE3F7C" w:rsidRPr="00A6080A" w:rsidRDefault="00AE3F7C" w:rsidP="00AE3F7C">
      <w:pPr>
        <w:pStyle w:val="Heading2"/>
        <w:keepLines/>
        <w:spacing w:before="240" w:after="120"/>
        <w:rPr>
          <w:rFonts w:asciiTheme="minorHAnsi" w:eastAsiaTheme="majorEastAsia" w:hAnsiTheme="minorHAnsi" w:cstheme="majorBidi"/>
          <w:sz w:val="28"/>
          <w:szCs w:val="28"/>
          <w:lang w:eastAsia="en-US"/>
        </w:rPr>
      </w:pPr>
      <w:r w:rsidRPr="00A6080A">
        <w:rPr>
          <w:rFonts w:asciiTheme="minorHAnsi" w:eastAsiaTheme="majorEastAsia" w:hAnsiTheme="minorHAnsi" w:cstheme="majorBidi"/>
          <w:sz w:val="28"/>
          <w:szCs w:val="28"/>
          <w:lang w:eastAsia="en-US"/>
        </w:rPr>
        <w:t>Clinical trials</w:t>
      </w:r>
    </w:p>
    <w:p w:rsidR="00AE3F7C" w:rsidRPr="006B50B9" w:rsidRDefault="00AE3F7C" w:rsidP="00AE3F7C">
      <w:pPr>
        <w:pStyle w:val="ListParagraph"/>
        <w:widowControl/>
        <w:numPr>
          <w:ilvl w:val="1"/>
          <w:numId w:val="1"/>
        </w:numPr>
        <w:spacing w:before="120" w:after="160"/>
        <w:contextualSpacing w:val="0"/>
        <w:rPr>
          <w:rFonts w:asciiTheme="minorHAnsi" w:eastAsiaTheme="minorHAnsi" w:hAnsiTheme="minorHAnsi" w:cstheme="minorBidi"/>
          <w:snapToGrid/>
          <w:szCs w:val="22"/>
        </w:rPr>
      </w:pPr>
      <w:r w:rsidRPr="006B50B9">
        <w:rPr>
          <w:rFonts w:asciiTheme="minorHAnsi" w:hAnsiTheme="minorHAnsi"/>
        </w:rPr>
        <w:t xml:space="preserve">The submission supported its TGA application with three studies to support its claim of bioequivalence and safety of the Fulphila brand of pegfilgrastim when compared to the originator brand Neulasta. </w:t>
      </w:r>
    </w:p>
    <w:p w:rsidR="00AE3F7C" w:rsidRPr="00F36CCB" w:rsidRDefault="00AE3F7C" w:rsidP="00AE3F7C">
      <w:pPr>
        <w:pStyle w:val="NoSpacing"/>
        <w:spacing w:after="60"/>
        <w:rPr>
          <w:rFonts w:ascii="Arial Narrow" w:hAnsi="Arial Narrow"/>
          <w:b/>
          <w:sz w:val="20"/>
        </w:rPr>
      </w:pPr>
      <w:r>
        <w:rPr>
          <w:rFonts w:ascii="Arial Narrow" w:hAnsi="Arial Narrow"/>
          <w:b/>
          <w:sz w:val="20"/>
        </w:rPr>
        <w:t xml:space="preserve">Table 1: </w:t>
      </w:r>
      <w:r w:rsidRPr="00F36CCB">
        <w:rPr>
          <w:rFonts w:ascii="Arial Narrow" w:hAnsi="Arial Narrow"/>
          <w:b/>
          <w:sz w:val="20"/>
        </w:rPr>
        <w:t>Trials and associated reports presented in the re-submission</w:t>
      </w: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5147"/>
        <w:gridCol w:w="2085"/>
      </w:tblGrid>
      <w:tr w:rsidR="00AE3F7C" w:rsidRPr="00F36CCB" w:rsidTr="00F3486A">
        <w:trPr>
          <w:cantSplit/>
          <w:trHeight w:val="539"/>
          <w:tblHeader/>
        </w:trPr>
        <w:tc>
          <w:tcPr>
            <w:tcW w:w="869" w:type="pct"/>
          </w:tcPr>
          <w:p w:rsidR="00AE3F7C" w:rsidRPr="00F36CCB" w:rsidRDefault="00AE3F7C" w:rsidP="00F3486A">
            <w:pPr>
              <w:pStyle w:val="NoSpacing"/>
              <w:spacing w:before="40" w:after="40"/>
              <w:jc w:val="left"/>
              <w:rPr>
                <w:rFonts w:ascii="Arial Narrow" w:hAnsi="Arial Narrow"/>
                <w:b/>
                <w:sz w:val="20"/>
              </w:rPr>
            </w:pPr>
            <w:r w:rsidRPr="00F36CCB">
              <w:rPr>
                <w:rFonts w:ascii="Arial Narrow" w:hAnsi="Arial Narrow"/>
                <w:b/>
                <w:sz w:val="20"/>
              </w:rPr>
              <w:t>Trial ID</w:t>
            </w:r>
            <w:r>
              <w:rPr>
                <w:rFonts w:ascii="Arial Narrow" w:hAnsi="Arial Narrow"/>
                <w:b/>
                <w:sz w:val="20"/>
              </w:rPr>
              <w:t>/First Author</w:t>
            </w:r>
          </w:p>
        </w:tc>
        <w:tc>
          <w:tcPr>
            <w:tcW w:w="2940" w:type="pct"/>
          </w:tcPr>
          <w:p w:rsidR="00AE3F7C" w:rsidRPr="00F36CCB" w:rsidRDefault="00AE3F7C" w:rsidP="00F3486A">
            <w:pPr>
              <w:keepNext/>
              <w:spacing w:before="40" w:after="40"/>
              <w:jc w:val="center"/>
              <w:rPr>
                <w:rFonts w:ascii="Arial Narrow" w:hAnsi="Arial Narrow"/>
                <w:b/>
                <w:sz w:val="20"/>
              </w:rPr>
            </w:pPr>
            <w:r w:rsidRPr="00F36CCB">
              <w:rPr>
                <w:rFonts w:ascii="Arial Narrow" w:hAnsi="Arial Narrow"/>
                <w:b/>
                <w:sz w:val="20"/>
              </w:rPr>
              <w:t>Protocol title/ Publication title</w:t>
            </w:r>
          </w:p>
        </w:tc>
        <w:tc>
          <w:tcPr>
            <w:tcW w:w="1191" w:type="pct"/>
          </w:tcPr>
          <w:p w:rsidR="00AE3F7C" w:rsidRPr="00F36CCB" w:rsidRDefault="00AE3F7C" w:rsidP="00F3486A">
            <w:pPr>
              <w:keepNext/>
              <w:spacing w:before="40" w:after="40"/>
              <w:rPr>
                <w:rFonts w:ascii="Arial Narrow" w:hAnsi="Arial Narrow"/>
                <w:b/>
                <w:sz w:val="20"/>
              </w:rPr>
            </w:pPr>
            <w:r w:rsidRPr="00F36CCB">
              <w:rPr>
                <w:rFonts w:ascii="Arial Narrow" w:hAnsi="Arial Narrow"/>
                <w:b/>
                <w:sz w:val="20"/>
              </w:rPr>
              <w:t>Publication citation</w:t>
            </w:r>
          </w:p>
        </w:tc>
      </w:tr>
      <w:tr w:rsidR="00AE3F7C" w:rsidRPr="00F36CCB" w:rsidTr="00F3486A">
        <w:trPr>
          <w:cantSplit/>
          <w:trHeight w:val="317"/>
        </w:trPr>
        <w:tc>
          <w:tcPr>
            <w:tcW w:w="5000" w:type="pct"/>
            <w:gridSpan w:val="3"/>
          </w:tcPr>
          <w:p w:rsidR="00AE3F7C" w:rsidRPr="00F36CCB" w:rsidRDefault="00AE3F7C" w:rsidP="00F3486A">
            <w:pPr>
              <w:pStyle w:val="NoSpacing"/>
              <w:spacing w:before="40" w:after="40"/>
              <w:rPr>
                <w:rFonts w:ascii="Arial Narrow" w:hAnsi="Arial Narrow"/>
                <w:b/>
                <w:sz w:val="20"/>
              </w:rPr>
            </w:pPr>
            <w:r w:rsidRPr="00F36CCB">
              <w:rPr>
                <w:rFonts w:ascii="Arial Narrow" w:hAnsi="Arial Narrow"/>
                <w:b/>
                <w:sz w:val="20"/>
              </w:rPr>
              <w:t>Direct randomised trial</w:t>
            </w:r>
            <w:r>
              <w:rPr>
                <w:rFonts w:ascii="Arial Narrow" w:hAnsi="Arial Narrow"/>
                <w:b/>
                <w:sz w:val="20"/>
              </w:rPr>
              <w:t>(</w:t>
            </w:r>
            <w:r w:rsidRPr="00F36CCB">
              <w:rPr>
                <w:rFonts w:ascii="Arial Narrow" w:hAnsi="Arial Narrow"/>
                <w:b/>
                <w:sz w:val="20"/>
              </w:rPr>
              <w:t>s</w:t>
            </w:r>
            <w:r>
              <w:rPr>
                <w:rFonts w:ascii="Arial Narrow" w:hAnsi="Arial Narrow"/>
                <w:b/>
                <w:sz w:val="20"/>
              </w:rPr>
              <w:t>)</w:t>
            </w:r>
          </w:p>
        </w:tc>
      </w:tr>
      <w:tr w:rsidR="00AE3F7C" w:rsidRPr="00F36CCB" w:rsidTr="00F3486A">
        <w:trPr>
          <w:cantSplit/>
          <w:trHeight w:val="317"/>
        </w:trPr>
        <w:tc>
          <w:tcPr>
            <w:tcW w:w="869" w:type="pct"/>
          </w:tcPr>
          <w:p w:rsidR="00AE3F7C" w:rsidRPr="0094037F" w:rsidRDefault="00AE3F7C" w:rsidP="00F3486A">
            <w:pPr>
              <w:pStyle w:val="NoSpacing"/>
              <w:rPr>
                <w:rFonts w:ascii="Arial Narrow" w:hAnsi="Arial Narrow"/>
                <w:sz w:val="20"/>
              </w:rPr>
            </w:pPr>
            <w:r w:rsidRPr="0094037F">
              <w:rPr>
                <w:rFonts w:ascii="Arial Narrow" w:hAnsi="Arial Narrow"/>
                <w:sz w:val="20"/>
              </w:rPr>
              <w:t>MYL-1401H-3001</w:t>
            </w:r>
          </w:p>
        </w:tc>
        <w:tc>
          <w:tcPr>
            <w:tcW w:w="2940" w:type="pct"/>
          </w:tcPr>
          <w:p w:rsidR="00AE3F7C" w:rsidRPr="0094037F" w:rsidRDefault="00AE3F7C" w:rsidP="00F3486A">
            <w:pPr>
              <w:keepNext/>
              <w:rPr>
                <w:rFonts w:ascii="Arial Narrow" w:hAnsi="Arial Narrow"/>
                <w:sz w:val="20"/>
              </w:rPr>
            </w:pPr>
            <w:r w:rsidRPr="0094037F">
              <w:rPr>
                <w:rFonts w:ascii="Arial Narrow" w:hAnsi="Arial Narrow"/>
                <w:sz w:val="20"/>
              </w:rPr>
              <w:t>Multicenter, Double-Blind, Randomized, Comparative Efficacy and Safety Study of MYL-1401H and European Sourced Neulasta® in Stage II/III Breast Cancer Patients Receiving Neoadjuvant or Adjuvant Chemotherapy</w:t>
            </w:r>
          </w:p>
        </w:tc>
        <w:tc>
          <w:tcPr>
            <w:tcW w:w="1191" w:type="pct"/>
          </w:tcPr>
          <w:p w:rsidR="00AE3F7C" w:rsidRPr="0094037F" w:rsidRDefault="00AE3F7C" w:rsidP="00F3486A">
            <w:pPr>
              <w:keepNext/>
              <w:rPr>
                <w:rFonts w:ascii="Arial Narrow" w:hAnsi="Arial Narrow"/>
                <w:sz w:val="20"/>
              </w:rPr>
            </w:pPr>
            <w:r w:rsidRPr="0094037F">
              <w:rPr>
                <w:rFonts w:ascii="Arial Narrow" w:hAnsi="Arial Narrow"/>
                <w:sz w:val="20"/>
              </w:rPr>
              <w:t>N/A</w:t>
            </w:r>
          </w:p>
        </w:tc>
      </w:tr>
      <w:tr w:rsidR="00AE3F7C" w:rsidRPr="00F36CCB" w:rsidTr="00F3486A">
        <w:trPr>
          <w:cantSplit/>
          <w:trHeight w:val="317"/>
        </w:trPr>
        <w:tc>
          <w:tcPr>
            <w:tcW w:w="869" w:type="pct"/>
          </w:tcPr>
          <w:p w:rsidR="00AE3F7C" w:rsidRPr="0094037F" w:rsidRDefault="00AE3F7C" w:rsidP="00F3486A">
            <w:pPr>
              <w:pStyle w:val="NoSpacing"/>
              <w:rPr>
                <w:rFonts w:ascii="Arial Narrow" w:hAnsi="Arial Narrow"/>
                <w:sz w:val="20"/>
              </w:rPr>
            </w:pPr>
            <w:r w:rsidRPr="0094037F">
              <w:rPr>
                <w:rFonts w:ascii="Arial Narrow" w:hAnsi="Arial Narrow"/>
                <w:sz w:val="20"/>
              </w:rPr>
              <w:t>MYL-1401H-1001</w:t>
            </w:r>
          </w:p>
        </w:tc>
        <w:tc>
          <w:tcPr>
            <w:tcW w:w="2940" w:type="pct"/>
          </w:tcPr>
          <w:p w:rsidR="00AE3F7C" w:rsidRPr="0094037F" w:rsidRDefault="00AE3F7C" w:rsidP="00F3486A">
            <w:pPr>
              <w:keepNext/>
              <w:rPr>
                <w:rFonts w:ascii="Arial Narrow" w:hAnsi="Arial Narrow"/>
                <w:sz w:val="20"/>
              </w:rPr>
            </w:pPr>
            <w:r w:rsidRPr="0094037F">
              <w:rPr>
                <w:rFonts w:ascii="Arial Narrow" w:hAnsi="Arial Narrow"/>
                <w:sz w:val="20"/>
              </w:rPr>
              <w:t>Single Center, Randomized, Double-blind, 3-Period, 3-Treatments, 3-Way Crossover Pharmacokinetics (PK)/Pharmacodynamics (PD) Trial to Assess PK, PD,Safety and Tolerability of MYL-1401H After Single Subcutaneous Injection at One Dose Level (2 mg) Comparing to an EU and US Marketed Drug Product (Neulasta®) in Healthy Volunteers</w:t>
            </w:r>
          </w:p>
        </w:tc>
        <w:tc>
          <w:tcPr>
            <w:tcW w:w="1191" w:type="pct"/>
          </w:tcPr>
          <w:p w:rsidR="00AE3F7C" w:rsidRPr="0094037F" w:rsidRDefault="00AE3F7C" w:rsidP="00F3486A">
            <w:pPr>
              <w:keepNext/>
              <w:rPr>
                <w:rFonts w:ascii="Arial Narrow" w:hAnsi="Arial Narrow"/>
                <w:sz w:val="20"/>
              </w:rPr>
            </w:pPr>
            <w:r w:rsidRPr="0094037F">
              <w:rPr>
                <w:rFonts w:ascii="Arial Narrow" w:hAnsi="Arial Narrow"/>
                <w:sz w:val="20"/>
              </w:rPr>
              <w:t>N/A</w:t>
            </w:r>
          </w:p>
        </w:tc>
      </w:tr>
      <w:tr w:rsidR="00AE3F7C" w:rsidRPr="00F36CCB" w:rsidTr="00F3486A">
        <w:trPr>
          <w:cantSplit/>
          <w:trHeight w:val="317"/>
        </w:trPr>
        <w:tc>
          <w:tcPr>
            <w:tcW w:w="869" w:type="pct"/>
          </w:tcPr>
          <w:p w:rsidR="00AE3F7C" w:rsidRPr="0094037F" w:rsidRDefault="00AE3F7C" w:rsidP="00F3486A">
            <w:pPr>
              <w:pStyle w:val="NoSpacing"/>
              <w:rPr>
                <w:rFonts w:ascii="Arial Narrow" w:hAnsi="Arial Narrow"/>
                <w:sz w:val="20"/>
              </w:rPr>
            </w:pPr>
            <w:r w:rsidRPr="0094037F">
              <w:rPr>
                <w:rFonts w:ascii="Arial Narrow" w:hAnsi="Arial Narrow"/>
                <w:sz w:val="20"/>
              </w:rPr>
              <w:t>MYL-1401H-1002</w:t>
            </w:r>
          </w:p>
        </w:tc>
        <w:tc>
          <w:tcPr>
            <w:tcW w:w="2940" w:type="pct"/>
          </w:tcPr>
          <w:p w:rsidR="00AE3F7C" w:rsidRPr="008137A9" w:rsidRDefault="00AE3F7C" w:rsidP="00F3486A">
            <w:pPr>
              <w:keepNext/>
              <w:rPr>
                <w:rFonts w:ascii="Arial Narrow" w:hAnsi="Arial Narrow"/>
                <w:sz w:val="20"/>
              </w:rPr>
            </w:pPr>
            <w:r>
              <w:rPr>
                <w:rFonts w:ascii="Arial Narrow" w:hAnsi="Arial Narrow"/>
                <w:sz w:val="20"/>
              </w:rPr>
              <w:t>Parallel-group, immunogenicity study of MYL-1401-H with US pegfilgrastim (Neulasta</w:t>
            </w:r>
            <w:r>
              <w:rPr>
                <w:rFonts w:ascii="Arial Narrow" w:hAnsi="Arial Narrow"/>
                <w:sz w:val="20"/>
                <w:vertAlign w:val="superscript"/>
              </w:rPr>
              <w:t>®</w:t>
            </w:r>
            <w:r>
              <w:rPr>
                <w:rFonts w:ascii="Arial Narrow" w:hAnsi="Arial Narrow"/>
                <w:sz w:val="20"/>
              </w:rPr>
              <w:t>) at a repeated 6 mg dose.</w:t>
            </w:r>
          </w:p>
        </w:tc>
        <w:tc>
          <w:tcPr>
            <w:tcW w:w="1191" w:type="pct"/>
          </w:tcPr>
          <w:p w:rsidR="00AE3F7C" w:rsidRPr="0094037F" w:rsidRDefault="00AE3F7C" w:rsidP="00F3486A">
            <w:pPr>
              <w:keepNext/>
              <w:rPr>
                <w:rFonts w:ascii="Arial Narrow" w:hAnsi="Arial Narrow"/>
                <w:sz w:val="20"/>
              </w:rPr>
            </w:pPr>
            <w:r>
              <w:rPr>
                <w:rFonts w:ascii="Arial Narrow" w:hAnsi="Arial Narrow"/>
                <w:sz w:val="20"/>
              </w:rPr>
              <w:t>N/A</w:t>
            </w:r>
          </w:p>
        </w:tc>
      </w:tr>
    </w:tbl>
    <w:p w:rsidR="00AE3F7C" w:rsidRPr="00937958" w:rsidRDefault="00AE3F7C" w:rsidP="00AE3F7C">
      <w:pPr>
        <w:pStyle w:val="tablenotes"/>
        <w:spacing w:after="120"/>
        <w:rPr>
          <w:rFonts w:ascii="Arial Narrow" w:hAnsi="Arial Narrow"/>
          <w:sz w:val="18"/>
          <w:szCs w:val="18"/>
        </w:rPr>
      </w:pPr>
      <w:r w:rsidRPr="00937958">
        <w:rPr>
          <w:rFonts w:ascii="Arial Narrow" w:hAnsi="Arial Narrow"/>
          <w:sz w:val="18"/>
          <w:szCs w:val="18"/>
        </w:rPr>
        <w:t xml:space="preserve">Source: </w:t>
      </w:r>
      <w:r w:rsidRPr="007A5E85">
        <w:rPr>
          <w:rFonts w:ascii="Arial Narrow" w:hAnsi="Arial Narrow"/>
          <w:sz w:val="18"/>
          <w:szCs w:val="18"/>
        </w:rPr>
        <w:t>Mylan Australia Fulphila Major PBAC Submission March 2018_Main Body</w:t>
      </w:r>
      <w:r>
        <w:rPr>
          <w:rFonts w:ascii="Arial Narrow" w:hAnsi="Arial Narrow"/>
          <w:sz w:val="18"/>
          <w:szCs w:val="18"/>
        </w:rPr>
        <w:t>.docx, p20</w:t>
      </w:r>
    </w:p>
    <w:p w:rsidR="00AE3F7C" w:rsidRPr="006B50B9" w:rsidRDefault="00AE3F7C" w:rsidP="00AE3F7C">
      <w:pPr>
        <w:pStyle w:val="ListParagraph"/>
        <w:ind w:left="709"/>
        <w:rPr>
          <w:rFonts w:asciiTheme="minorHAnsi" w:hAnsiTheme="minorHAnsi"/>
          <w:sz w:val="20"/>
          <w:szCs w:val="22"/>
        </w:rPr>
      </w:pP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submission was based on the MYL-1401H-3001 trial, a head-to-head trial comparing the Fulphila brand of pegfilgrastim to the Neulasta brand of pegfi</w:t>
      </w:r>
      <w:r>
        <w:rPr>
          <w:rFonts w:asciiTheme="minorHAnsi" w:eastAsiaTheme="minorHAnsi" w:hAnsiTheme="minorHAnsi" w:cstheme="minorBidi"/>
          <w:snapToGrid/>
          <w:szCs w:val="22"/>
        </w:rPr>
        <w:t>lgrastim in patients with Stage </w:t>
      </w:r>
      <w:r w:rsidRPr="006B50B9">
        <w:rPr>
          <w:rFonts w:asciiTheme="minorHAnsi" w:eastAsiaTheme="minorHAnsi" w:hAnsiTheme="minorHAnsi" w:cstheme="minorBidi"/>
          <w:snapToGrid/>
          <w:szCs w:val="22"/>
        </w:rPr>
        <w:t xml:space="preserve">II/III invasive breast cancer. </w:t>
      </w:r>
    </w:p>
    <w:p w:rsidR="00AE3F7C" w:rsidRPr="00433952" w:rsidRDefault="00AE3F7C" w:rsidP="00AE3F7C">
      <w:pPr>
        <w:pStyle w:val="ListParagraph"/>
        <w:widowControl/>
        <w:numPr>
          <w:ilvl w:val="1"/>
          <w:numId w:val="1"/>
        </w:numPr>
        <w:spacing w:after="120"/>
        <w:contextualSpacing w:val="0"/>
        <w:rPr>
          <w:rFonts w:asciiTheme="minorHAnsi" w:hAnsiTheme="minorHAnsi"/>
          <w:szCs w:val="24"/>
        </w:rPr>
      </w:pPr>
      <w:r w:rsidRPr="006B50B9">
        <w:rPr>
          <w:rFonts w:asciiTheme="minorHAnsi" w:eastAsiaTheme="minorHAnsi" w:hAnsiTheme="minorHAnsi" w:cstheme="minorBidi"/>
          <w:snapToGrid/>
          <w:szCs w:val="22"/>
        </w:rPr>
        <w:t xml:space="preserve">The submission assumed that outcomes from this trial could be extrapolated to the other indications for which pegfilgrastim is PBS-listed, </w:t>
      </w:r>
      <w:r>
        <w:rPr>
          <w:rFonts w:asciiTheme="minorHAnsi" w:eastAsiaTheme="minorHAnsi" w:hAnsiTheme="minorHAnsi" w:cstheme="minorBidi"/>
          <w:snapToGrid/>
          <w:szCs w:val="22"/>
        </w:rPr>
        <w:t>and</w:t>
      </w:r>
      <w:r w:rsidRPr="006B50B9">
        <w:rPr>
          <w:rFonts w:asciiTheme="minorHAnsi" w:eastAsiaTheme="minorHAnsi" w:hAnsiTheme="minorHAnsi" w:cstheme="minorBidi"/>
          <w:snapToGrid/>
          <w:szCs w:val="22"/>
        </w:rPr>
        <w:t xml:space="preserve"> claimed this to be in line with previous TGA approach</w:t>
      </w:r>
      <w:r>
        <w:rPr>
          <w:rFonts w:asciiTheme="minorHAnsi" w:eastAsiaTheme="minorHAnsi" w:hAnsiTheme="minorHAnsi" w:cstheme="minorBidi"/>
          <w:snapToGrid/>
          <w:szCs w:val="22"/>
        </w:rPr>
        <w:t>es</w:t>
      </w:r>
      <w:r w:rsidRPr="006B50B9">
        <w:rPr>
          <w:rFonts w:asciiTheme="minorHAnsi" w:eastAsiaTheme="minorHAnsi" w:hAnsiTheme="minorHAnsi" w:cstheme="minorBidi"/>
          <w:snapToGrid/>
          <w:szCs w:val="22"/>
        </w:rPr>
        <w:t xml:space="preserve"> to the extrapolation of indications. </w:t>
      </w:r>
      <w:r w:rsidRPr="00433952">
        <w:rPr>
          <w:rFonts w:asciiTheme="minorHAnsi" w:eastAsiaTheme="minorHAnsi" w:hAnsiTheme="minorHAnsi" w:cstheme="minorBidi"/>
          <w:snapToGrid/>
          <w:szCs w:val="22"/>
        </w:rPr>
        <w:t xml:space="preserve">In the March 2016 consideration of lipegfilgrastim, the PBAC were of the view that “evidence of comparative efficacy in one chemotherapy-induced neutropenia scenario was sufficient to enable extrapolation to other chemotherapy-induced neutropenia scenarios where evidence of efficacy of long half-life G-CSFs have previously been accepted” (Lipegfilgrastim PSD March 2016, para 7.4). </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 xml:space="preserve">The </w:t>
      </w:r>
      <w:r>
        <w:rPr>
          <w:rFonts w:asciiTheme="minorHAnsi" w:eastAsiaTheme="minorHAnsi" w:hAnsiTheme="minorHAnsi" w:cstheme="minorBidi"/>
          <w:snapToGrid/>
          <w:szCs w:val="22"/>
        </w:rPr>
        <w:t>TGA clinical evaluator</w:t>
      </w:r>
      <w:r w:rsidRPr="006B50B9">
        <w:rPr>
          <w:rFonts w:asciiTheme="minorHAnsi" w:eastAsiaTheme="minorHAnsi" w:hAnsiTheme="minorHAnsi" w:cstheme="minorBidi"/>
          <w:snapToGrid/>
          <w:szCs w:val="22"/>
        </w:rPr>
        <w:t xml:space="preserve"> also recommended against extrapolation of results to children</w:t>
      </w:r>
      <w:r>
        <w:rPr>
          <w:rFonts w:asciiTheme="minorHAnsi" w:eastAsiaTheme="minorHAnsi" w:hAnsiTheme="minorHAnsi" w:cstheme="minorBidi"/>
          <w:snapToGrid/>
          <w:szCs w:val="22"/>
        </w:rPr>
        <w:t xml:space="preserve"> on the basis of lack of generalisability of ‘comparability’ outcomes beyond the specific patient group studied in trial MYL-1401-3001</w:t>
      </w:r>
      <w:r w:rsidRPr="006B50B9">
        <w:rPr>
          <w:rFonts w:asciiTheme="minorHAnsi" w:eastAsiaTheme="minorHAnsi" w:hAnsiTheme="minorHAnsi" w:cstheme="minorBidi"/>
          <w:snapToGrid/>
          <w:szCs w:val="22"/>
        </w:rPr>
        <w:t>.</w:t>
      </w:r>
      <w:r w:rsidRPr="006B50B9">
        <w:rPr>
          <w:rFonts w:asciiTheme="minorHAnsi" w:eastAsiaTheme="minorHAnsi" w:hAnsiTheme="minorHAnsi" w:cstheme="minorBidi"/>
          <w:snapToGrid/>
          <w:color w:val="FF0000"/>
          <w:szCs w:val="22"/>
        </w:rPr>
        <w:t xml:space="preserve"> </w:t>
      </w:r>
    </w:p>
    <w:p w:rsidR="00AE3F7C" w:rsidRPr="00433952" w:rsidRDefault="00AE3F7C" w:rsidP="00AE3F7C">
      <w:pPr>
        <w:pStyle w:val="ListParagraph"/>
        <w:widowControl/>
        <w:numPr>
          <w:ilvl w:val="1"/>
          <w:numId w:val="1"/>
        </w:numPr>
        <w:spacing w:after="120"/>
        <w:contextualSpacing w:val="0"/>
        <w:rPr>
          <w:rFonts w:asciiTheme="minorHAnsi" w:hAnsiTheme="minorHAnsi"/>
          <w:szCs w:val="24"/>
        </w:rPr>
      </w:pPr>
      <w:r w:rsidRPr="006B50B9">
        <w:rPr>
          <w:rFonts w:asciiTheme="minorHAnsi" w:eastAsiaTheme="minorHAnsi" w:hAnsiTheme="minorHAnsi" w:cstheme="minorBidi"/>
          <w:snapToGrid/>
          <w:szCs w:val="22"/>
        </w:rPr>
        <w:t>Switching studies were not provided, as pegfilgrastim is not indicated for ongoing use, hence switching studies were not considered to be as relevant for this product in comparison to other biosimilars.</w:t>
      </w:r>
      <w:r>
        <w:rPr>
          <w:rFonts w:asciiTheme="minorHAnsi" w:eastAsiaTheme="minorHAnsi" w:hAnsiTheme="minorHAnsi" w:cstheme="minorBidi"/>
          <w:snapToGrid/>
          <w:szCs w:val="22"/>
        </w:rPr>
        <w:t xml:space="preserve"> At its April 2018 meeting</w:t>
      </w:r>
      <w:r w:rsidRPr="00433952">
        <w:rPr>
          <w:rFonts w:asciiTheme="minorHAnsi" w:eastAsiaTheme="minorHAnsi" w:hAnsiTheme="minorHAnsi" w:cstheme="minorBidi"/>
          <w:snapToGrid/>
          <w:szCs w:val="22"/>
        </w:rPr>
        <w:t xml:space="preserve">, the PBAC considered the issue of brand equivalence (‘a’ flagging) across various brands of filgrastim, and considered </w:t>
      </w:r>
      <w:r>
        <w:rPr>
          <w:rFonts w:asciiTheme="minorHAnsi" w:eastAsiaTheme="minorHAnsi" w:hAnsiTheme="minorHAnsi" w:cstheme="minorBidi"/>
          <w:snapToGrid/>
          <w:szCs w:val="22"/>
        </w:rPr>
        <w:t>that</w:t>
      </w:r>
      <w:r w:rsidRPr="00433952">
        <w:rPr>
          <w:rFonts w:asciiTheme="minorHAnsi" w:eastAsiaTheme="minorHAnsi" w:hAnsiTheme="minorHAnsi" w:cstheme="minorBidi"/>
          <w:snapToGrid/>
          <w:szCs w:val="22"/>
        </w:rPr>
        <w:t xml:space="preserve"> whilst there was limited high quality evidence specifically analysing the impact of treatment switching, </w:t>
      </w:r>
      <w:r>
        <w:rPr>
          <w:rFonts w:asciiTheme="minorHAnsi" w:eastAsiaTheme="minorHAnsi" w:hAnsiTheme="minorHAnsi" w:cstheme="minorBidi"/>
          <w:snapToGrid/>
          <w:szCs w:val="22"/>
        </w:rPr>
        <w:t xml:space="preserve">it </w:t>
      </w:r>
      <w:r w:rsidRPr="00433952">
        <w:rPr>
          <w:rFonts w:asciiTheme="minorHAnsi" w:eastAsiaTheme="minorHAnsi" w:hAnsiTheme="minorHAnsi" w:cstheme="minorBidi"/>
          <w:snapToGrid/>
          <w:szCs w:val="22"/>
        </w:rPr>
        <w:t>however considered the most comprehensive summary of evidence available found no evidence of major safety concerns associated with switching between different filgrastim brands [PBAC Outcomes (positive recommendations), April 2018]. Further, the PBAC noted other factors which would likely result in lower risks associated with switching between filgrastim brands, including its smaller molecule size and the nature of use of filgrastim, which is in discrete cycles when used for the neutropenia indication, and that switching brands within a treatment cycle was highly unlikely. In the case of pegfilgrastim, treatment switching within a single discrete neutropenia risk episode is even less likely, as a single dose of pegfilgrastim provides the same treatment duration as approximately 11 days treatment with filgrastim [Filgrastim April 2018 PBAC Minutes - item 13, p8].</w:t>
      </w:r>
    </w:p>
    <w:p w:rsidR="00AE3F7C" w:rsidRPr="00A6080A" w:rsidRDefault="00AE3F7C" w:rsidP="00AE3F7C">
      <w:pPr>
        <w:pStyle w:val="Heading2"/>
        <w:keepLines/>
        <w:spacing w:before="240" w:after="120"/>
        <w:rPr>
          <w:rFonts w:asciiTheme="minorHAnsi" w:eastAsiaTheme="majorEastAsia" w:hAnsiTheme="minorHAnsi" w:cstheme="majorBidi"/>
          <w:sz w:val="28"/>
          <w:szCs w:val="28"/>
          <w:lang w:eastAsia="en-US"/>
        </w:rPr>
      </w:pPr>
      <w:r w:rsidRPr="00A6080A">
        <w:rPr>
          <w:rFonts w:asciiTheme="minorHAnsi" w:eastAsiaTheme="majorEastAsia" w:hAnsiTheme="minorHAnsi" w:cstheme="majorBidi"/>
          <w:sz w:val="28"/>
          <w:szCs w:val="28"/>
          <w:lang w:eastAsia="en-US"/>
        </w:rPr>
        <w:t>Comparative effectiveness</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 primary efficacy endpoint of the pivotal study was the duration of severe neutropenia (DSN) in Cycle 1. DSN results were taken in Cycle 1 as it was considered to be the most sensitive and relevant endpoint for evaluating the difference in efficacy between MYL-1401H (Fulphila) and Neulasta. A 95% confidence interval for the least squares (LS) mean difference in DSN between Fulphila and Neulasta within ±1 day was elected to conclude similar efficacy between the two products. The submission claimed this was supported by</w:t>
      </w:r>
      <w:r>
        <w:rPr>
          <w:rFonts w:asciiTheme="minorHAnsi" w:eastAsiaTheme="minorHAnsi" w:hAnsiTheme="minorHAnsi" w:cstheme="minorBidi"/>
          <w:snapToGrid/>
          <w:szCs w:val="22"/>
        </w:rPr>
        <w:t xml:space="preserve"> European</w:t>
      </w:r>
      <w:r w:rsidRPr="006B50B9">
        <w:rPr>
          <w:rFonts w:asciiTheme="minorHAnsi" w:eastAsiaTheme="minorHAnsi" w:hAnsiTheme="minorHAnsi" w:cstheme="minorBidi"/>
          <w:snapToGrid/>
          <w:szCs w:val="22"/>
        </w:rPr>
        <w:t xml:space="preserve"> regulatory guidelines on the development of biosimilar products containing recombinant filgrastim</w:t>
      </w:r>
      <w:r>
        <w:rPr>
          <w:rStyle w:val="FootnoteReference"/>
          <w:rFonts w:asciiTheme="minorHAnsi" w:eastAsiaTheme="minorHAnsi" w:hAnsiTheme="minorHAnsi" w:cstheme="minorBidi"/>
          <w:snapToGrid/>
          <w:szCs w:val="22"/>
        </w:rPr>
        <w:footnoteReference w:id="2"/>
      </w:r>
      <w:r>
        <w:rPr>
          <w:rFonts w:asciiTheme="minorHAnsi" w:eastAsiaTheme="minorHAnsi" w:hAnsiTheme="minorHAnsi" w:cstheme="minorBidi"/>
          <w:snapToGrid/>
          <w:szCs w:val="22"/>
        </w:rPr>
        <w:t xml:space="preserve">, </w:t>
      </w:r>
      <w:r w:rsidRPr="006B50B9">
        <w:rPr>
          <w:rFonts w:asciiTheme="minorHAnsi" w:eastAsiaTheme="minorHAnsi" w:hAnsiTheme="minorHAnsi" w:cstheme="minorBidi"/>
          <w:snapToGrid/>
          <w:szCs w:val="22"/>
        </w:rPr>
        <w:t>and that it was consistent with the evaluation of other products which pre-specified the equivalence range to be ±1 day.</w:t>
      </w:r>
      <w:r>
        <w:rPr>
          <w:rFonts w:asciiTheme="minorHAnsi" w:eastAsiaTheme="minorHAnsi" w:hAnsiTheme="minorHAnsi" w:cstheme="minorBidi"/>
          <w:snapToGrid/>
          <w:szCs w:val="22"/>
        </w:rPr>
        <w:t xml:space="preserve"> </w:t>
      </w:r>
      <w:r w:rsidRPr="00433952">
        <w:rPr>
          <w:rFonts w:asciiTheme="minorHAnsi" w:eastAsiaTheme="minorHAnsi" w:hAnsiTheme="minorHAnsi" w:cstheme="minorBidi"/>
          <w:snapToGrid/>
          <w:szCs w:val="22"/>
        </w:rPr>
        <w:t>The Secretariat note</w:t>
      </w:r>
      <w:r>
        <w:rPr>
          <w:rFonts w:asciiTheme="minorHAnsi" w:eastAsiaTheme="minorHAnsi" w:hAnsiTheme="minorHAnsi" w:cstheme="minorBidi"/>
          <w:snapToGrid/>
          <w:szCs w:val="22"/>
        </w:rPr>
        <w:t>d</w:t>
      </w:r>
      <w:r w:rsidRPr="00433952">
        <w:rPr>
          <w:rFonts w:asciiTheme="minorHAnsi" w:eastAsiaTheme="minorHAnsi" w:hAnsiTheme="minorHAnsi" w:cstheme="minorBidi"/>
          <w:snapToGrid/>
          <w:szCs w:val="22"/>
        </w:rPr>
        <w:t xml:space="preserve"> the relevant EMA guideline states that absolute neutrophil count (ANC) is the relevant pharmacodynamics marker for G-CSF, and that duration of severe neutropenia is the primary efficacy variable in clinical efficacy studies. In its consideration of lipegfilgrastim, the PBAC “considered that the pre-specified non-inferiority margin, of less than one day for the duration of severe neutropenia, was appropriate” (Lipegfilgrastim PSD March 2016, para 7.6).</w:t>
      </w:r>
      <w:r w:rsidRPr="006B50B9">
        <w:rPr>
          <w:rFonts w:asciiTheme="minorHAnsi" w:eastAsiaTheme="minorHAnsi" w:hAnsiTheme="minorHAnsi" w:cstheme="minorBidi"/>
          <w:i/>
          <w:snapToGrid/>
          <w:szCs w:val="22"/>
        </w:rPr>
        <w:t xml:space="preserve"> </w:t>
      </w:r>
      <w:r w:rsidRPr="006B50B9">
        <w:rPr>
          <w:rFonts w:asciiTheme="minorHAnsi" w:eastAsiaTheme="minorHAnsi" w:hAnsiTheme="minorHAnsi" w:cstheme="minorBidi"/>
          <w:snapToGrid/>
          <w:szCs w:val="22"/>
        </w:rPr>
        <w:t xml:space="preserve">The mean DSN in the Fulphila group was 1.2 (± 0.93) and was 1.2 (± 1.10) in the Neulasta group. The 95% CI (-0.285, 0.298) for the difference in LS mean DSN of Fulphila and Neulasta was within the equivalence range of ±1 day. </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Secondary efficacy endpoints of the pivotal trial included:</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Frequency of the worst grade (Grade 3 or 4) neutropenia by cycle;</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Depth of the absolute neutrophil count (ANC) nadir in Cycle 1;</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Time to post-nadir recovery;</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ANC-time to nadir in Cycle 1 (i.e. time from the beginning of chemotherapy to the occurrence of the ANC nadir);</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Rate of febrile neutropenia (FN);</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Percentage of scheduled chemotherapy doses that were delivered;</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Proportion of chemotherapy doses reduced, omitted, or delayed related to neutropenia, FN, or documented infections; and</w:t>
      </w:r>
    </w:p>
    <w:p w:rsidR="00AE3F7C" w:rsidRPr="006B50B9" w:rsidRDefault="00AE3F7C" w:rsidP="00AE3F7C">
      <w:pPr>
        <w:pStyle w:val="ListParagraph"/>
        <w:widowControl/>
        <w:numPr>
          <w:ilvl w:val="0"/>
          <w:numId w:val="3"/>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Number of days of delay of chemotherapy related to neutropenia, FN, or documented infection.</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 xml:space="preserve">The ACM noted that the secondary endpoints of grade 4 neutropenia, febrile neutropenia, and chemotherapy dose adjustment due to neutropenia differed across the Fulphila and Neulasta arms, with a greater frequency of occurrences in the Fulphila arm. The sponsor attributed the differences to chance; however the </w:t>
      </w:r>
      <w:r>
        <w:rPr>
          <w:rFonts w:asciiTheme="minorHAnsi" w:eastAsiaTheme="minorHAnsi" w:hAnsiTheme="minorHAnsi" w:cstheme="minorBidi"/>
          <w:snapToGrid/>
          <w:szCs w:val="22"/>
        </w:rPr>
        <w:t>TGA Clinical Evaluator</w:t>
      </w:r>
      <w:r w:rsidRPr="006B50B9">
        <w:rPr>
          <w:rFonts w:asciiTheme="minorHAnsi" w:eastAsiaTheme="minorHAnsi" w:hAnsiTheme="minorHAnsi" w:cstheme="minorBidi"/>
          <w:snapToGrid/>
          <w:szCs w:val="22"/>
        </w:rPr>
        <w:t xml:space="preserve"> noted that the imbalance could be reflective of a real difference in the characteristics of the pegfilgrastims. </w:t>
      </w:r>
      <w:r>
        <w:rPr>
          <w:rFonts w:asciiTheme="minorHAnsi" w:eastAsiaTheme="minorHAnsi" w:hAnsiTheme="minorHAnsi" w:cstheme="minorBidi"/>
          <w:snapToGrid/>
          <w:szCs w:val="22"/>
        </w:rPr>
        <w:t>The ACM did not consider the imbalances in secondary endpoints were clinically relevant because the pharmacodynamics and pharmacokinetics data, which looked at dates of neutropenia and days to recovery, were similar.</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The</w:t>
      </w:r>
      <w:r>
        <w:rPr>
          <w:rFonts w:asciiTheme="minorHAnsi" w:eastAsiaTheme="minorHAnsi" w:hAnsiTheme="minorHAnsi" w:cstheme="minorBidi"/>
          <w:snapToGrid/>
          <w:szCs w:val="22"/>
        </w:rPr>
        <w:t xml:space="preserve"> TGA Clinical</w:t>
      </w:r>
      <w:r w:rsidRPr="006B50B9">
        <w:rPr>
          <w:rFonts w:asciiTheme="minorHAnsi" w:eastAsiaTheme="minorHAnsi" w:hAnsiTheme="minorHAnsi" w:cstheme="minorBidi"/>
          <w:snapToGrid/>
          <w:szCs w:val="22"/>
        </w:rPr>
        <w:t xml:space="preserve"> evaluator noted that although DSN was the numerical assessment of the laboratory parameter, the rate of FN and its consequences were the more clinically relevant parameter and was the more appropriate choice of efficacy endpoint to form the basis of the therapeutic claim for the indication.</w:t>
      </w:r>
      <w:r w:rsidRPr="006B50B9">
        <w:rPr>
          <w:rFonts w:asciiTheme="minorHAnsi" w:eastAsiaTheme="minorHAnsi" w:hAnsiTheme="minorHAnsi" w:cstheme="minorBidi"/>
          <w:i/>
          <w:snapToGrid/>
          <w:szCs w:val="22"/>
        </w:rPr>
        <w:t xml:space="preserve"> </w:t>
      </w:r>
    </w:p>
    <w:p w:rsidR="00AE3F7C" w:rsidRPr="00A6080A" w:rsidRDefault="00AE3F7C" w:rsidP="00AE3F7C">
      <w:pPr>
        <w:pStyle w:val="Heading2"/>
        <w:keepLines/>
        <w:spacing w:before="240" w:after="120"/>
        <w:rPr>
          <w:rFonts w:asciiTheme="minorHAnsi" w:eastAsiaTheme="majorEastAsia" w:hAnsiTheme="minorHAnsi" w:cstheme="majorBidi"/>
          <w:sz w:val="28"/>
          <w:szCs w:val="28"/>
          <w:lang w:eastAsia="en-US"/>
        </w:rPr>
      </w:pPr>
      <w:r w:rsidRPr="00A6080A">
        <w:rPr>
          <w:rFonts w:asciiTheme="minorHAnsi" w:eastAsiaTheme="majorEastAsia" w:hAnsiTheme="minorHAnsi" w:cstheme="majorBidi"/>
          <w:sz w:val="28"/>
          <w:szCs w:val="28"/>
          <w:lang w:eastAsia="en-US"/>
        </w:rPr>
        <w:t>Comparative harms</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szCs w:val="22"/>
        </w:rPr>
      </w:pPr>
      <w:r w:rsidRPr="006B50B9">
        <w:rPr>
          <w:rFonts w:asciiTheme="minorHAnsi" w:eastAsiaTheme="minorHAnsi" w:hAnsiTheme="minorHAnsi" w:cstheme="minorBidi"/>
          <w:snapToGrid/>
          <w:szCs w:val="22"/>
        </w:rPr>
        <w:t>Safety endpoints of the MYL-1401H-3001 trial included adverse events, which encompassed adverse drug reactions, bone pain, infections, injection site tolerance, and incidence of antibodies. Treatment emergent adverse events (TEAEs) were similar across arms, and</w:t>
      </w:r>
      <w:r>
        <w:rPr>
          <w:rFonts w:asciiTheme="minorHAnsi" w:eastAsiaTheme="minorHAnsi" w:hAnsiTheme="minorHAnsi" w:cstheme="minorBidi"/>
          <w:snapToGrid/>
          <w:szCs w:val="22"/>
        </w:rPr>
        <w:t xml:space="preserve"> the submission claimed</w:t>
      </w:r>
      <w:r w:rsidRPr="006B50B9">
        <w:rPr>
          <w:rFonts w:asciiTheme="minorHAnsi" w:eastAsiaTheme="minorHAnsi" w:hAnsiTheme="minorHAnsi" w:cstheme="minorBidi"/>
          <w:snapToGrid/>
          <w:szCs w:val="22"/>
        </w:rPr>
        <w:t xml:space="preserve"> Fulphila to have a similar adverse event profile to Neulasta in the prophylaxis of chemotherapy-induced neutropenia. The</w:t>
      </w:r>
      <w:r>
        <w:rPr>
          <w:rFonts w:asciiTheme="minorHAnsi" w:eastAsiaTheme="minorHAnsi" w:hAnsiTheme="minorHAnsi" w:cstheme="minorBidi"/>
          <w:snapToGrid/>
          <w:szCs w:val="22"/>
        </w:rPr>
        <w:t xml:space="preserve"> TGA</w:t>
      </w:r>
      <w:r w:rsidRPr="006B50B9">
        <w:rPr>
          <w:rFonts w:asciiTheme="minorHAnsi" w:eastAsiaTheme="minorHAnsi" w:hAnsiTheme="minorHAnsi" w:cstheme="minorBidi"/>
          <w:snapToGrid/>
          <w:szCs w:val="22"/>
        </w:rPr>
        <w:t xml:space="preserve"> Delegate’s overview noted an imbalance in the rates of thrombocytosis, with 6.3% in the Fulphila patient group versus 0% in the Neulasta group, though the sponsor noted that laboratory values were consistent across arms, rather than AE reports. There was also an imbalance in serious AEs, mainly due to an imbalance in reporting of febrile neutropenia. Overall the safety profile of Fulphila was considered to be similar to Neulasta, and the ACM did not have any major objections to its safety outcomes. </w:t>
      </w:r>
    </w:p>
    <w:p w:rsidR="00AE3F7C" w:rsidRPr="006B50B9" w:rsidRDefault="00AE3F7C" w:rsidP="00AE3F7C">
      <w:pPr>
        <w:pStyle w:val="ListParagraph"/>
        <w:widowControl/>
        <w:numPr>
          <w:ilvl w:val="1"/>
          <w:numId w:val="1"/>
        </w:numPr>
        <w:spacing w:after="120"/>
        <w:contextualSpacing w:val="0"/>
        <w:rPr>
          <w:rFonts w:asciiTheme="minorHAnsi" w:eastAsiaTheme="minorHAnsi" w:hAnsiTheme="minorHAnsi" w:cstheme="minorBidi"/>
          <w:snapToGrid/>
          <w:color w:val="FF00FF"/>
          <w:szCs w:val="22"/>
        </w:rPr>
      </w:pPr>
      <w:r w:rsidRPr="006B50B9">
        <w:rPr>
          <w:rFonts w:asciiTheme="minorHAnsi" w:hAnsiTheme="minorHAnsi"/>
          <w:szCs w:val="24"/>
        </w:rPr>
        <w:t xml:space="preserve">The ACM </w:t>
      </w:r>
      <w:r>
        <w:rPr>
          <w:rFonts w:asciiTheme="minorHAnsi" w:hAnsiTheme="minorHAnsi"/>
          <w:szCs w:val="24"/>
        </w:rPr>
        <w:t>considered</w:t>
      </w:r>
      <w:r w:rsidRPr="006B50B9">
        <w:rPr>
          <w:rFonts w:asciiTheme="minorHAnsi" w:hAnsiTheme="minorHAnsi"/>
          <w:szCs w:val="24"/>
        </w:rPr>
        <w:t xml:space="preserve"> that immunogenicity was not well established, as the MYL</w:t>
      </w:r>
      <w:r>
        <w:rPr>
          <w:rFonts w:asciiTheme="minorHAnsi" w:hAnsiTheme="minorHAnsi"/>
          <w:szCs w:val="24"/>
        </w:rPr>
        <w:noBreakHyphen/>
      </w:r>
      <w:r w:rsidRPr="006B50B9">
        <w:rPr>
          <w:rFonts w:asciiTheme="minorHAnsi" w:hAnsiTheme="minorHAnsi"/>
          <w:szCs w:val="24"/>
        </w:rPr>
        <w:t>1401H-1002 trial found that there was a greater frequency of anti-drug antibodies in the Fulphila arm, and more aggregates were found in the Fulphila product, although they were at levels lower than those associated with a heightened risk of immunogenicity. The ACM considered that there was no evidence to conclude that Fulphila was more immunogenic than the originator brand, however it noted that the clinical trials were not conducted in an appropriate population, hence any immunogenic differences could not be identified</w:t>
      </w:r>
      <w:r>
        <w:rPr>
          <w:rFonts w:asciiTheme="minorHAnsi" w:hAnsiTheme="minorHAnsi"/>
          <w:szCs w:val="24"/>
        </w:rPr>
        <w:t xml:space="preserve"> based on the available data</w:t>
      </w:r>
      <w:r w:rsidRPr="006B50B9">
        <w:rPr>
          <w:rFonts w:asciiTheme="minorHAnsi" w:hAnsiTheme="minorHAnsi"/>
          <w:szCs w:val="24"/>
        </w:rPr>
        <w:t xml:space="preserve">. </w:t>
      </w:r>
    </w:p>
    <w:p w:rsidR="00AE3F7C" w:rsidRPr="00A6080A" w:rsidRDefault="00AE3F7C" w:rsidP="00AE3F7C">
      <w:pPr>
        <w:pStyle w:val="Heading2"/>
        <w:keepLines/>
        <w:spacing w:before="240" w:after="120"/>
        <w:rPr>
          <w:rFonts w:asciiTheme="minorHAnsi" w:eastAsiaTheme="majorEastAsia" w:hAnsiTheme="minorHAnsi" w:cstheme="majorBidi"/>
          <w:sz w:val="28"/>
          <w:szCs w:val="28"/>
          <w:lang w:eastAsia="en-US"/>
        </w:rPr>
      </w:pPr>
      <w:r w:rsidRPr="00A6080A">
        <w:rPr>
          <w:rFonts w:asciiTheme="minorHAnsi" w:eastAsiaTheme="majorEastAsia" w:hAnsiTheme="minorHAnsi" w:cstheme="majorBidi"/>
          <w:sz w:val="28"/>
          <w:szCs w:val="28"/>
          <w:lang w:eastAsia="en-US"/>
        </w:rPr>
        <w:t>Clinical claim</w:t>
      </w:r>
    </w:p>
    <w:p w:rsidR="00AE3F7C" w:rsidRPr="009112D1" w:rsidRDefault="00AE3F7C" w:rsidP="00AE3F7C">
      <w:pPr>
        <w:pStyle w:val="ListParagraph"/>
        <w:widowControl/>
        <w:numPr>
          <w:ilvl w:val="1"/>
          <w:numId w:val="1"/>
        </w:numPr>
        <w:spacing w:after="120"/>
        <w:contextualSpacing w:val="0"/>
        <w:rPr>
          <w:rFonts w:asciiTheme="minorHAnsi" w:eastAsiaTheme="minorHAnsi" w:hAnsiTheme="minorHAnsi" w:cstheme="minorBidi"/>
          <w:snapToGrid/>
          <w:color w:val="FF00FF"/>
          <w:szCs w:val="22"/>
        </w:rPr>
      </w:pPr>
      <w:r w:rsidRPr="006B50B9">
        <w:rPr>
          <w:rFonts w:asciiTheme="minorHAnsi" w:hAnsiTheme="minorHAnsi"/>
          <w:szCs w:val="24"/>
        </w:rPr>
        <w:t>The submission claimed non-inferior comparative effectiveness and non-inferior comparative safety of pegfilgrastim (Fulphila) compared with</w:t>
      </w:r>
      <w:r>
        <w:rPr>
          <w:rFonts w:asciiTheme="minorHAnsi" w:hAnsiTheme="minorHAnsi"/>
          <w:szCs w:val="24"/>
        </w:rPr>
        <w:t xml:space="preserve"> originator branded</w:t>
      </w:r>
      <w:r w:rsidRPr="006B50B9">
        <w:rPr>
          <w:rFonts w:asciiTheme="minorHAnsi" w:hAnsiTheme="minorHAnsi"/>
          <w:szCs w:val="24"/>
        </w:rPr>
        <w:t xml:space="preserve"> pegfilgrastim (Neulasta)</w:t>
      </w:r>
      <w:r>
        <w:rPr>
          <w:rFonts w:asciiTheme="minorHAnsi" w:hAnsiTheme="minorHAnsi"/>
          <w:szCs w:val="24"/>
        </w:rPr>
        <w:t xml:space="preserve"> and by extension, the re-branded reference product, Ristempa</w:t>
      </w:r>
      <w:r>
        <w:rPr>
          <w:rFonts w:asciiTheme="minorHAnsi" w:hAnsiTheme="minorHAnsi"/>
          <w:szCs w:val="24"/>
          <w:vertAlign w:val="superscript"/>
        </w:rPr>
        <w:t>®</w:t>
      </w:r>
      <w:r w:rsidRPr="006B50B9">
        <w:rPr>
          <w:rFonts w:asciiTheme="minorHAnsi" w:hAnsiTheme="minorHAnsi"/>
          <w:szCs w:val="24"/>
        </w:rPr>
        <w:t xml:space="preserve">. </w:t>
      </w:r>
    </w:p>
    <w:p w:rsidR="00AE3F7C" w:rsidRPr="004F1E5A" w:rsidRDefault="00AE3F7C" w:rsidP="00AE3F7C">
      <w:pPr>
        <w:pStyle w:val="ListParagraph"/>
        <w:widowControl/>
        <w:numPr>
          <w:ilvl w:val="1"/>
          <w:numId w:val="1"/>
        </w:numPr>
        <w:spacing w:after="120"/>
        <w:contextualSpacing w:val="0"/>
        <w:rPr>
          <w:rFonts w:asciiTheme="minorHAnsi" w:hAnsiTheme="minorHAnsi"/>
        </w:rPr>
      </w:pPr>
      <w:r w:rsidRPr="004F1E5A">
        <w:rPr>
          <w:rFonts w:asciiTheme="minorHAnsi" w:hAnsiTheme="minorHAnsi"/>
        </w:rPr>
        <w:t xml:space="preserve">The PBAC questioned the claim of non-inferior comparative effectiveness as the secondary endpoints were not met, particularly for </w:t>
      </w:r>
      <w:r>
        <w:rPr>
          <w:rFonts w:asciiTheme="minorHAnsi" w:hAnsiTheme="minorHAnsi"/>
        </w:rPr>
        <w:t xml:space="preserve">higher rates of </w:t>
      </w:r>
      <w:r w:rsidRPr="004F1E5A">
        <w:rPr>
          <w:rFonts w:asciiTheme="minorHAnsi" w:hAnsiTheme="minorHAnsi"/>
        </w:rPr>
        <w:t>febrile neutropenia</w:t>
      </w:r>
      <w:r>
        <w:rPr>
          <w:rFonts w:asciiTheme="minorHAnsi" w:hAnsiTheme="minorHAnsi"/>
        </w:rPr>
        <w:t xml:space="preserve"> within the Fulphila arm of the trial, however also noted the TGA Delegate was supportive of registering Fulphila pending resolution of GMP issues. The Committee considered</w:t>
      </w:r>
      <w:r w:rsidRPr="00277D98">
        <w:rPr>
          <w:rFonts w:asciiTheme="minorHAnsi" w:hAnsiTheme="minorHAnsi"/>
        </w:rPr>
        <w:t xml:space="preserve"> that the differences in </w:t>
      </w:r>
      <w:r>
        <w:rPr>
          <w:rFonts w:asciiTheme="minorHAnsi" w:hAnsiTheme="minorHAnsi"/>
        </w:rPr>
        <w:t>clinical endpoints</w:t>
      </w:r>
      <w:r w:rsidRPr="00277D98">
        <w:rPr>
          <w:rFonts w:asciiTheme="minorHAnsi" w:hAnsiTheme="minorHAnsi"/>
        </w:rPr>
        <w:t xml:space="preserve"> may have some impact on consideration of biosimilar uptake drivers and </w:t>
      </w:r>
      <w:r>
        <w:rPr>
          <w:rFonts w:asciiTheme="minorHAnsi" w:hAnsiTheme="minorHAnsi"/>
        </w:rPr>
        <w:t>‘</w:t>
      </w:r>
      <w:r w:rsidRPr="00277D98">
        <w:rPr>
          <w:rFonts w:asciiTheme="minorHAnsi" w:hAnsiTheme="minorHAnsi"/>
        </w:rPr>
        <w:t>a</w:t>
      </w:r>
      <w:r>
        <w:rPr>
          <w:rFonts w:asciiTheme="minorHAnsi" w:hAnsiTheme="minorHAnsi"/>
        </w:rPr>
        <w:t>’</w:t>
      </w:r>
      <w:r w:rsidRPr="00277D98">
        <w:rPr>
          <w:rFonts w:asciiTheme="minorHAnsi" w:hAnsiTheme="minorHAnsi"/>
        </w:rPr>
        <w:t xml:space="preserve"> flagging for this agent.</w:t>
      </w:r>
    </w:p>
    <w:p w:rsidR="00AE3F7C" w:rsidRPr="00277D98" w:rsidRDefault="00AE3F7C" w:rsidP="00AE3F7C">
      <w:pPr>
        <w:pStyle w:val="ListParagraph"/>
        <w:widowControl/>
        <w:numPr>
          <w:ilvl w:val="1"/>
          <w:numId w:val="1"/>
        </w:numPr>
        <w:spacing w:after="120"/>
        <w:contextualSpacing w:val="0"/>
        <w:rPr>
          <w:rFonts w:asciiTheme="minorHAnsi" w:hAnsiTheme="minorHAnsi"/>
        </w:rPr>
      </w:pPr>
      <w:r w:rsidRPr="00277D98">
        <w:rPr>
          <w:rFonts w:asciiTheme="minorHAnsi" w:hAnsiTheme="minorHAnsi"/>
        </w:rPr>
        <w:t>The PBAC</w:t>
      </w:r>
      <w:r>
        <w:rPr>
          <w:rFonts w:asciiTheme="minorHAnsi" w:hAnsiTheme="minorHAnsi"/>
        </w:rPr>
        <w:t xml:space="preserve"> noted</w:t>
      </w:r>
      <w:r w:rsidRPr="00277D98">
        <w:rPr>
          <w:rFonts w:asciiTheme="minorHAnsi" w:hAnsiTheme="minorHAnsi"/>
        </w:rPr>
        <w:t xml:space="preserve"> the ACM </w:t>
      </w:r>
      <w:r>
        <w:rPr>
          <w:rFonts w:asciiTheme="minorHAnsi" w:hAnsiTheme="minorHAnsi"/>
        </w:rPr>
        <w:t>was</w:t>
      </w:r>
      <w:r w:rsidRPr="00277D98">
        <w:rPr>
          <w:rFonts w:asciiTheme="minorHAnsi" w:hAnsiTheme="minorHAnsi"/>
        </w:rPr>
        <w:t xml:space="preserve"> satisfied that there were no major differences between the</w:t>
      </w:r>
      <w:r>
        <w:rPr>
          <w:rFonts w:asciiTheme="minorHAnsi" w:hAnsiTheme="minorHAnsi"/>
        </w:rPr>
        <w:t xml:space="preserve"> safety profiles</w:t>
      </w:r>
      <w:r w:rsidRPr="00277D98">
        <w:rPr>
          <w:rFonts w:asciiTheme="minorHAnsi" w:hAnsiTheme="minorHAnsi"/>
        </w:rPr>
        <w:t xml:space="preserve"> </w:t>
      </w:r>
      <w:r>
        <w:rPr>
          <w:rFonts w:asciiTheme="minorHAnsi" w:hAnsiTheme="minorHAnsi"/>
        </w:rPr>
        <w:t xml:space="preserve">of the </w:t>
      </w:r>
      <w:r w:rsidRPr="00277D98">
        <w:rPr>
          <w:rFonts w:asciiTheme="minorHAnsi" w:hAnsiTheme="minorHAnsi"/>
        </w:rPr>
        <w:t xml:space="preserve">Fulphila brand of pegfilgrastim in comparison </w:t>
      </w:r>
      <w:r>
        <w:rPr>
          <w:rFonts w:asciiTheme="minorHAnsi" w:hAnsiTheme="minorHAnsi"/>
        </w:rPr>
        <w:t>to the reference brand and were satisfied the</w:t>
      </w:r>
      <w:r w:rsidRPr="00277D98">
        <w:rPr>
          <w:rFonts w:asciiTheme="minorHAnsi" w:hAnsiTheme="minorHAnsi"/>
        </w:rPr>
        <w:t xml:space="preserve"> claim of non-inferior comparative safety</w:t>
      </w:r>
      <w:r>
        <w:rPr>
          <w:rFonts w:asciiTheme="minorHAnsi" w:hAnsiTheme="minorHAnsi"/>
        </w:rPr>
        <w:t xml:space="preserve"> was reasonable.</w:t>
      </w:r>
      <w:r w:rsidRPr="00277D98">
        <w:rPr>
          <w:rFonts w:asciiTheme="minorHAnsi" w:hAnsiTheme="minorHAnsi"/>
        </w:rPr>
        <w:t xml:space="preserve"> </w:t>
      </w:r>
    </w:p>
    <w:p w:rsidR="00AE3F7C" w:rsidRPr="00A6080A" w:rsidRDefault="00AE3F7C" w:rsidP="00AE3F7C">
      <w:pPr>
        <w:pStyle w:val="Heading2"/>
        <w:keepLines/>
        <w:spacing w:before="240" w:after="120"/>
        <w:rPr>
          <w:rFonts w:asciiTheme="minorHAnsi" w:eastAsiaTheme="majorEastAsia" w:hAnsiTheme="minorHAnsi" w:cstheme="majorBidi"/>
          <w:sz w:val="28"/>
          <w:szCs w:val="28"/>
          <w:lang w:eastAsia="en-US"/>
        </w:rPr>
      </w:pPr>
      <w:r w:rsidRPr="00A6080A">
        <w:rPr>
          <w:rFonts w:asciiTheme="minorHAnsi" w:eastAsiaTheme="majorEastAsia" w:hAnsiTheme="minorHAnsi" w:cstheme="majorBidi"/>
          <w:sz w:val="28"/>
          <w:szCs w:val="28"/>
          <w:lang w:eastAsia="en-US"/>
        </w:rPr>
        <w:t>Financial implications</w:t>
      </w:r>
    </w:p>
    <w:p w:rsidR="00AE3F7C" w:rsidRPr="00433952" w:rsidRDefault="00AE3F7C" w:rsidP="00AE3F7C">
      <w:pPr>
        <w:pStyle w:val="ListParagraph"/>
        <w:widowControl/>
        <w:numPr>
          <w:ilvl w:val="1"/>
          <w:numId w:val="1"/>
        </w:numPr>
        <w:spacing w:after="120"/>
        <w:ind w:left="709"/>
        <w:contextualSpacing w:val="0"/>
        <w:rPr>
          <w:rFonts w:asciiTheme="minorHAnsi" w:hAnsiTheme="minorHAnsi"/>
          <w:szCs w:val="24"/>
        </w:rPr>
      </w:pPr>
      <w:r w:rsidRPr="006B50B9">
        <w:rPr>
          <w:rFonts w:asciiTheme="minorHAnsi" w:hAnsiTheme="minorHAnsi"/>
          <w:szCs w:val="24"/>
        </w:rPr>
        <w:t xml:space="preserve">The submission presented a cost-minimisation analysis to the Neulasta brand of pegfilgrastim, and it stated that their proposed price will result in no net cost to Government. </w:t>
      </w:r>
      <w:r>
        <w:rPr>
          <w:rFonts w:asciiTheme="minorHAnsi" w:hAnsiTheme="minorHAnsi"/>
          <w:szCs w:val="24"/>
        </w:rPr>
        <w:t>The Secretariat noted</w:t>
      </w:r>
      <w:r w:rsidRPr="00433952">
        <w:rPr>
          <w:rFonts w:asciiTheme="minorHAnsi" w:hAnsiTheme="minorHAnsi"/>
          <w:szCs w:val="24"/>
        </w:rPr>
        <w:t xml:space="preserve"> that pegfilgrastim was recommended by the PBAC at its March 2018 meeting to broaden its indications, with a price reduction to ensure a cost-effective listing in the expanded population. It would be expected that the pegfilgrastim biosimilar would meet the new lower price of pegfilgrastim at time of listing, which would result in no net cost to government. </w:t>
      </w:r>
    </w:p>
    <w:p w:rsidR="00AE3F7C" w:rsidRPr="00433952" w:rsidRDefault="00AE3F7C" w:rsidP="00AE3F7C">
      <w:pPr>
        <w:pStyle w:val="ListParagraph"/>
        <w:widowControl/>
        <w:numPr>
          <w:ilvl w:val="1"/>
          <w:numId w:val="1"/>
        </w:numPr>
        <w:spacing w:after="120"/>
        <w:contextualSpacing w:val="0"/>
        <w:rPr>
          <w:rFonts w:asciiTheme="minorHAnsi" w:hAnsiTheme="minorHAnsi"/>
          <w:szCs w:val="24"/>
        </w:rPr>
      </w:pPr>
      <w:r>
        <w:rPr>
          <w:rFonts w:asciiTheme="minorHAnsi" w:hAnsiTheme="minorHAnsi"/>
          <w:szCs w:val="24"/>
        </w:rPr>
        <w:t>The Secretariat noted</w:t>
      </w:r>
      <w:r w:rsidRPr="00433952">
        <w:rPr>
          <w:rFonts w:asciiTheme="minorHAnsi" w:hAnsiTheme="minorHAnsi"/>
          <w:szCs w:val="24"/>
        </w:rPr>
        <w:t xml:space="preserve"> that although Fulphila would be the first biosimilar brand of pegfilgrastim to be listed on the PBS, it will not result in a statutory price reduction to the reference brand of pegfilgrastim, as Neulasta already received a price reduction when the Ristempa brand of pegfilgrastim was PBS listed.</w:t>
      </w:r>
    </w:p>
    <w:p w:rsidR="00AE3F7C" w:rsidRPr="00F90A91" w:rsidRDefault="00AE3F7C" w:rsidP="00AE3F7C">
      <w:pPr>
        <w:pStyle w:val="ListParagraph"/>
        <w:ind w:left="709"/>
        <w:rPr>
          <w:rFonts w:asciiTheme="minorHAnsi" w:hAnsiTheme="minorHAnsi"/>
          <w:i/>
        </w:rPr>
      </w:pPr>
      <w:r w:rsidRPr="00F60721">
        <w:rPr>
          <w:rFonts w:asciiTheme="minorHAnsi" w:hAnsiTheme="minorHAnsi"/>
          <w:i/>
        </w:rPr>
        <w:t>For more detail on PBAC’s view, see section 6 PBAC outcome.</w:t>
      </w:r>
    </w:p>
    <w:p w:rsidR="00AE3F7C" w:rsidRPr="00A6080A" w:rsidRDefault="00AE3F7C" w:rsidP="00AE3F7C">
      <w:pPr>
        <w:widowControl w:val="0"/>
        <w:numPr>
          <w:ilvl w:val="0"/>
          <w:numId w:val="1"/>
        </w:numPr>
        <w:spacing w:before="240" w:after="120"/>
        <w:jc w:val="both"/>
        <w:outlineLvl w:val="0"/>
        <w:rPr>
          <w:rFonts w:asciiTheme="minorHAnsi" w:hAnsiTheme="minorHAnsi" w:cs="Arial"/>
          <w:b/>
          <w:bCs/>
          <w:snapToGrid w:val="0"/>
          <w:sz w:val="32"/>
        </w:rPr>
      </w:pPr>
      <w:r w:rsidRPr="00A6080A">
        <w:rPr>
          <w:rFonts w:asciiTheme="minorHAnsi" w:hAnsiTheme="minorHAnsi" w:cs="Arial"/>
          <w:b/>
          <w:bCs/>
          <w:snapToGrid w:val="0"/>
          <w:sz w:val="32"/>
        </w:rPr>
        <w:t>PBAC Outcome</w:t>
      </w:r>
    </w:p>
    <w:p w:rsidR="00AE3F7C" w:rsidRPr="00F050C0" w:rsidRDefault="00AE3F7C" w:rsidP="00AE3F7C">
      <w:pPr>
        <w:widowControl w:val="0"/>
        <w:numPr>
          <w:ilvl w:val="1"/>
          <w:numId w:val="1"/>
        </w:numPr>
        <w:spacing w:after="120"/>
        <w:jc w:val="both"/>
        <w:rPr>
          <w:rFonts w:asciiTheme="minorHAnsi" w:hAnsiTheme="minorHAnsi" w:cs="Arial"/>
          <w:bCs/>
          <w:snapToGrid w:val="0"/>
          <w:lang w:val="en-GB"/>
        </w:rPr>
      </w:pPr>
      <w:r w:rsidRPr="007B2EB9">
        <w:rPr>
          <w:rFonts w:asciiTheme="minorHAnsi" w:hAnsiTheme="minorHAnsi" w:cs="Arial"/>
          <w:bCs/>
          <w:snapToGrid w:val="0"/>
          <w:lang w:val="en-GB"/>
        </w:rPr>
        <w:t>The</w:t>
      </w:r>
      <w:r>
        <w:rPr>
          <w:rFonts w:asciiTheme="minorHAnsi" w:hAnsiTheme="minorHAnsi" w:cs="Arial"/>
          <w:bCs/>
          <w:snapToGrid w:val="0"/>
          <w:lang w:val="en-GB"/>
        </w:rPr>
        <w:t xml:space="preserve"> PBAC deferred making a recommendation regarding the listing of biosimilar pegfilgrastim (Fulphila) pending TGA approval. </w:t>
      </w:r>
      <w:r w:rsidRPr="00F050C0">
        <w:rPr>
          <w:rFonts w:asciiTheme="minorHAnsi" w:hAnsiTheme="minorHAnsi" w:cs="Arial"/>
          <w:bCs/>
          <w:snapToGrid w:val="0"/>
          <w:lang w:val="en-GB"/>
        </w:rPr>
        <w:t xml:space="preserve">The PBAC noted that as the Good Manufacturing Practice (GMP) clearances were still outstanding, the TGA was not in a position to register Fulphila at this time and as such </w:t>
      </w:r>
      <w:r>
        <w:rPr>
          <w:rFonts w:asciiTheme="minorHAnsi" w:hAnsiTheme="minorHAnsi" w:cs="Arial"/>
          <w:bCs/>
          <w:snapToGrid w:val="0"/>
          <w:lang w:val="en-GB"/>
        </w:rPr>
        <w:t xml:space="preserve">the product </w:t>
      </w:r>
      <w:r w:rsidRPr="00F050C0">
        <w:rPr>
          <w:rFonts w:asciiTheme="minorHAnsi" w:hAnsiTheme="minorHAnsi" w:cs="Arial"/>
          <w:bCs/>
          <w:snapToGrid w:val="0"/>
          <w:lang w:val="en-GB"/>
        </w:rPr>
        <w:t>could not be recommended for listing on the PBS</w:t>
      </w:r>
      <w:r>
        <w:rPr>
          <w:rFonts w:asciiTheme="minorHAnsi" w:hAnsiTheme="minorHAnsi" w:cs="Arial"/>
          <w:bCs/>
          <w:snapToGrid w:val="0"/>
          <w:lang w:val="en-GB"/>
        </w:rPr>
        <w:t>.</w:t>
      </w:r>
    </w:p>
    <w:p w:rsidR="00AE3F7C" w:rsidRDefault="00AE3F7C" w:rsidP="00AE3F7C">
      <w:pPr>
        <w:widowControl w:val="0"/>
        <w:numPr>
          <w:ilvl w:val="1"/>
          <w:numId w:val="1"/>
        </w:numPr>
        <w:spacing w:after="120"/>
        <w:jc w:val="both"/>
        <w:rPr>
          <w:rFonts w:asciiTheme="minorHAnsi" w:hAnsiTheme="minorHAnsi" w:cs="Arial"/>
          <w:bCs/>
          <w:snapToGrid w:val="0"/>
          <w:lang w:val="en-GB"/>
        </w:rPr>
      </w:pPr>
      <w:r>
        <w:rPr>
          <w:rFonts w:asciiTheme="minorHAnsi" w:eastAsiaTheme="minorHAnsi" w:hAnsiTheme="minorHAnsi" w:cstheme="minorBidi"/>
          <w:szCs w:val="22"/>
        </w:rPr>
        <w:t xml:space="preserve">The PBAC agreed in principle that the extrapolation of outcomes of the pivotal trial </w:t>
      </w:r>
      <w:r w:rsidRPr="00CD6F0E">
        <w:rPr>
          <w:rFonts w:asciiTheme="minorHAnsi" w:eastAsiaTheme="minorHAnsi" w:hAnsiTheme="minorHAnsi" w:cstheme="minorBidi"/>
          <w:szCs w:val="22"/>
        </w:rPr>
        <w:t xml:space="preserve">in patients with Stage II/III invasive breast cancer </w:t>
      </w:r>
      <w:r>
        <w:rPr>
          <w:rFonts w:asciiTheme="minorHAnsi" w:eastAsiaTheme="minorHAnsi" w:hAnsiTheme="minorHAnsi" w:cstheme="minorBidi"/>
          <w:szCs w:val="22"/>
        </w:rPr>
        <w:t xml:space="preserve">to the other indications was acceptable, consistent with the TGA Delegate’s advice. </w:t>
      </w:r>
    </w:p>
    <w:p w:rsidR="00AE3F7C" w:rsidRPr="004A1FA6" w:rsidRDefault="00AE3F7C" w:rsidP="00AE3F7C">
      <w:pPr>
        <w:widowControl w:val="0"/>
        <w:numPr>
          <w:ilvl w:val="1"/>
          <w:numId w:val="1"/>
        </w:numPr>
        <w:spacing w:after="120"/>
        <w:jc w:val="both"/>
        <w:rPr>
          <w:rFonts w:asciiTheme="minorHAnsi" w:hAnsiTheme="minorHAnsi" w:cs="Arial"/>
          <w:bCs/>
          <w:snapToGrid w:val="0"/>
          <w:lang w:val="en-GB"/>
        </w:rPr>
      </w:pPr>
      <w:r w:rsidRPr="004A1FA6">
        <w:rPr>
          <w:rFonts w:asciiTheme="minorHAnsi" w:hAnsiTheme="minorHAnsi" w:cs="Arial"/>
          <w:bCs/>
          <w:snapToGrid w:val="0"/>
          <w:lang w:val="en-GB"/>
        </w:rPr>
        <w:t>The PBAC noted that although the ACM and TGA were satisfied that Fulphi</w:t>
      </w:r>
      <w:r>
        <w:rPr>
          <w:rFonts w:asciiTheme="minorHAnsi" w:hAnsiTheme="minorHAnsi" w:cs="Arial"/>
          <w:bCs/>
          <w:snapToGrid w:val="0"/>
          <w:lang w:val="en-GB"/>
        </w:rPr>
        <w:t>la met the agreed</w:t>
      </w:r>
      <w:r w:rsidRPr="004A1FA6">
        <w:rPr>
          <w:rFonts w:asciiTheme="minorHAnsi" w:hAnsiTheme="minorHAnsi" w:cs="Arial"/>
          <w:bCs/>
          <w:snapToGrid w:val="0"/>
          <w:lang w:val="en-GB"/>
        </w:rPr>
        <w:t xml:space="preserve"> level of non-inferiority for clinical efficacy</w:t>
      </w:r>
      <w:r>
        <w:rPr>
          <w:rFonts w:asciiTheme="minorHAnsi" w:hAnsiTheme="minorHAnsi" w:cs="Arial"/>
          <w:bCs/>
          <w:snapToGrid w:val="0"/>
          <w:lang w:val="en-GB"/>
        </w:rPr>
        <w:t xml:space="preserve"> for the primary endpoint</w:t>
      </w:r>
      <w:r w:rsidRPr="004A1FA6">
        <w:rPr>
          <w:rFonts w:asciiTheme="minorHAnsi" w:hAnsiTheme="minorHAnsi" w:cs="Arial"/>
          <w:bCs/>
          <w:snapToGrid w:val="0"/>
          <w:lang w:val="en-GB"/>
        </w:rPr>
        <w:t xml:space="preserve">, </w:t>
      </w:r>
      <w:r>
        <w:rPr>
          <w:rFonts w:asciiTheme="minorHAnsi" w:hAnsiTheme="minorHAnsi" w:cs="Arial"/>
          <w:bCs/>
          <w:snapToGrid w:val="0"/>
          <w:lang w:val="en-GB"/>
        </w:rPr>
        <w:t>there were residual concerns regarding the results of the secondary efficacy outcomes which may require further consideration pending the final TGA conditions of registration.</w:t>
      </w:r>
    </w:p>
    <w:p w:rsidR="00AE3F7C" w:rsidRDefault="00AE3F7C" w:rsidP="00AE3F7C">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The PBAC also noted the imbalance in the rates of thrombocytosis and other serious adverse events, and also noted the ACM and TGA did not find these differences in clinical safety to be sufficient to prevent their assessment that Fulphila be considered a biosimilar of the reference product. The PBAC considered it was reasonable to await the final TGA outcome and conditions of registration prior to making a recommendation.</w:t>
      </w:r>
    </w:p>
    <w:p w:rsidR="00AE3F7C" w:rsidRPr="0034786A" w:rsidRDefault="00AE3F7C" w:rsidP="00AE3F7C">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The PBAC considered that switching between biosimilar agents was unlikely in this scenario in comparison to other agents for other chronic conditions, as pegfilgrastim is likely to be used in discrete cycles and has a long half-life with substantially fewer injections than filgrastim in a treatment cycle.</w:t>
      </w:r>
    </w:p>
    <w:p w:rsidR="00AE3F7C" w:rsidRPr="003F1ACF" w:rsidRDefault="00AE3F7C" w:rsidP="00AE3F7C">
      <w:pPr>
        <w:spacing w:before="240"/>
        <w:jc w:val="both"/>
        <w:rPr>
          <w:rFonts w:asciiTheme="minorHAnsi" w:hAnsiTheme="minorHAnsi" w:cs="Arial"/>
          <w:b/>
          <w:bCs/>
          <w:snapToGrid w:val="0"/>
          <w:lang w:val="en-GB"/>
        </w:rPr>
      </w:pPr>
      <w:r w:rsidRPr="003F1ACF">
        <w:rPr>
          <w:rFonts w:asciiTheme="minorHAnsi" w:hAnsiTheme="minorHAnsi" w:cs="Arial"/>
          <w:b/>
          <w:bCs/>
          <w:snapToGrid w:val="0"/>
          <w:lang w:val="en-GB"/>
        </w:rPr>
        <w:t>Outcome:</w:t>
      </w:r>
    </w:p>
    <w:p w:rsidR="00AE3F7C" w:rsidRPr="00435E91" w:rsidRDefault="00AE3F7C" w:rsidP="00AE3F7C">
      <w:pPr>
        <w:jc w:val="both"/>
        <w:rPr>
          <w:rFonts w:asciiTheme="minorHAnsi" w:hAnsiTheme="minorHAnsi" w:cs="Arial"/>
          <w:bCs/>
          <w:snapToGrid w:val="0"/>
          <w:lang w:val="en-GB"/>
        </w:rPr>
      </w:pPr>
      <w:r>
        <w:rPr>
          <w:rFonts w:asciiTheme="minorHAnsi" w:hAnsiTheme="minorHAnsi" w:cs="Arial"/>
          <w:bCs/>
          <w:snapToGrid w:val="0"/>
          <w:lang w:val="en-GB"/>
        </w:rPr>
        <w:t>Deferred</w:t>
      </w:r>
    </w:p>
    <w:p w:rsidR="00AE3F7C" w:rsidRDefault="00AE3F7C" w:rsidP="00AE3F7C">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Context for Decision </w:t>
      </w:r>
    </w:p>
    <w:p w:rsidR="00AE3F7C" w:rsidRPr="00C07617" w:rsidRDefault="00AE3F7C" w:rsidP="00AE3F7C">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E3F7C" w:rsidRDefault="00AE3F7C" w:rsidP="00AE3F7C">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AE3F7C" w:rsidRPr="00435E91" w:rsidRDefault="00AE3F7C" w:rsidP="00AE3F7C">
      <w:pPr>
        <w:spacing w:after="120" w:line="276" w:lineRule="auto"/>
        <w:jc w:val="both"/>
        <w:rPr>
          <w:rFonts w:asciiTheme="minorHAnsi" w:eastAsiaTheme="minorHAnsi" w:hAnsiTheme="minorHAnsi" w:cs="Arial"/>
          <w:bCs/>
          <w:szCs w:val="22"/>
          <w:lang w:eastAsia="en-US"/>
        </w:rPr>
      </w:pPr>
      <w:r w:rsidRPr="006F232D">
        <w:rPr>
          <w:rFonts w:asciiTheme="minorHAnsi" w:eastAsiaTheme="minorHAnsi" w:hAnsiTheme="minorHAnsi" w:cs="Arial"/>
          <w:bCs/>
          <w:szCs w:val="22"/>
          <w:lang w:eastAsia="en-US"/>
        </w:rPr>
        <w:t>The sponsor had no comment.</w:t>
      </w:r>
    </w:p>
    <w:p w:rsidR="001F254E" w:rsidRPr="00AE3F7C" w:rsidRDefault="001F254E" w:rsidP="00AE3F7C">
      <w:pPr>
        <w:widowControl w:val="0"/>
        <w:spacing w:before="360"/>
        <w:jc w:val="both"/>
        <w:rPr>
          <w:rFonts w:asciiTheme="minorHAnsi" w:hAnsiTheme="minorHAnsi" w:cstheme="minorHAnsi"/>
          <w:b/>
          <w:bCs/>
          <w:snapToGrid w:val="0"/>
          <w:sz w:val="28"/>
          <w:szCs w:val="28"/>
        </w:rPr>
      </w:pPr>
      <w:r w:rsidRPr="00AE3F7C">
        <w:rPr>
          <w:rFonts w:asciiTheme="minorHAnsi" w:hAnsiTheme="minorHAnsi" w:cstheme="minorHAnsi"/>
          <w:b/>
          <w:bCs/>
          <w:snapToGrid w:val="0"/>
          <w:color w:val="FF0000"/>
          <w:sz w:val="28"/>
          <w:szCs w:val="28"/>
        </w:rPr>
        <w:t>Addendum to the July 2018 PBAC Minutes:</w:t>
      </w:r>
    </w:p>
    <w:p w:rsidR="001F254E" w:rsidRDefault="001F254E"/>
    <w:p w:rsidR="00E10C15" w:rsidRPr="00F10B50" w:rsidRDefault="00E10C15" w:rsidP="00E10C15">
      <w:pPr>
        <w:jc w:val="center"/>
        <w:rPr>
          <w:rFonts w:asciiTheme="minorHAnsi" w:hAnsiTheme="minorHAnsi" w:cs="Arial"/>
          <w:sz w:val="36"/>
          <w:szCs w:val="36"/>
        </w:rPr>
      </w:pPr>
      <w:r w:rsidRPr="00F10B50">
        <w:rPr>
          <w:rFonts w:asciiTheme="minorHAnsi" w:hAnsiTheme="minorHAnsi" w:cs="Arial"/>
          <w:b/>
          <w:sz w:val="36"/>
          <w:szCs w:val="36"/>
        </w:rPr>
        <w:t>MINOR LISTINGS AND CHANGES TO LISTINGS PROCESSED BY THE SECRETARIAT FOR CONSIDERATION BY THE COMMITTEE</w:t>
      </w:r>
    </w:p>
    <w:p w:rsidR="00E10C15" w:rsidRDefault="00E10C15"/>
    <w:p w:rsidR="001F254E" w:rsidRPr="00F07BAD" w:rsidRDefault="001F254E" w:rsidP="00F07BAD">
      <w:pPr>
        <w:pStyle w:val="Title"/>
        <w:spacing w:before="120" w:after="160"/>
        <w:ind w:left="851" w:hanging="851"/>
        <w:rPr>
          <w:rFonts w:asciiTheme="minorHAnsi" w:hAnsiTheme="minorHAnsi"/>
          <w:sz w:val="36"/>
          <w:szCs w:val="36"/>
        </w:rPr>
      </w:pPr>
      <w:r w:rsidRPr="00403A58">
        <w:rPr>
          <w:rFonts w:asciiTheme="minorHAnsi" w:hAnsiTheme="minorHAnsi"/>
          <w:sz w:val="36"/>
          <w:szCs w:val="36"/>
        </w:rPr>
        <w:t>4.01</w:t>
      </w:r>
      <w:r w:rsidRPr="00403A58">
        <w:rPr>
          <w:rFonts w:asciiTheme="minorHAnsi" w:hAnsiTheme="minorHAnsi"/>
          <w:sz w:val="36"/>
          <w:szCs w:val="36"/>
        </w:rPr>
        <w:tab/>
        <w:t>PEGFILGRASTIM</w:t>
      </w:r>
      <w:r w:rsidRPr="00403A58">
        <w:rPr>
          <w:rFonts w:asciiTheme="minorHAnsi" w:hAnsiTheme="minorHAnsi"/>
          <w:sz w:val="36"/>
          <w:szCs w:val="36"/>
        </w:rPr>
        <w:br/>
        <w:t>Injection 6 mg in 0.6 mL single use pre-filled syringe</w:t>
      </w:r>
      <w:r w:rsidRPr="00403A58">
        <w:rPr>
          <w:rFonts w:asciiTheme="minorHAnsi" w:hAnsiTheme="minorHAnsi"/>
          <w:b w:val="0"/>
          <w:sz w:val="36"/>
          <w:szCs w:val="36"/>
        </w:rPr>
        <w:br/>
      </w:r>
      <w:r w:rsidRPr="00403A58">
        <w:rPr>
          <w:rFonts w:asciiTheme="minorHAnsi" w:hAnsiTheme="minorHAnsi"/>
          <w:sz w:val="36"/>
          <w:szCs w:val="36"/>
        </w:rPr>
        <w:t>Fulphila</w:t>
      </w:r>
      <w:r w:rsidRPr="00403A58">
        <w:rPr>
          <w:rFonts w:asciiTheme="minorHAnsi" w:hAnsiTheme="minorHAnsi"/>
          <w:sz w:val="36"/>
          <w:szCs w:val="36"/>
          <w:vertAlign w:val="superscript"/>
        </w:rPr>
        <w:t>®</w:t>
      </w:r>
      <w:r w:rsidR="00403A58" w:rsidRPr="00403A58">
        <w:rPr>
          <w:rFonts w:asciiTheme="minorHAnsi" w:hAnsiTheme="minorHAnsi"/>
          <w:sz w:val="36"/>
          <w:szCs w:val="36"/>
        </w:rPr>
        <w:t xml:space="preserve">, </w:t>
      </w:r>
      <w:r w:rsidRPr="00403A58">
        <w:rPr>
          <w:rFonts w:asciiTheme="minorHAnsi" w:hAnsiTheme="minorHAnsi"/>
          <w:sz w:val="36"/>
          <w:szCs w:val="36"/>
        </w:rPr>
        <w:t xml:space="preserve">Alphapharm Pty Ltd. </w:t>
      </w:r>
    </w:p>
    <w:p w:rsidR="00267A6D" w:rsidRPr="00267A6D" w:rsidRDefault="00515C3D" w:rsidP="003365C1">
      <w:pPr>
        <w:widowControl w:val="0"/>
        <w:numPr>
          <w:ilvl w:val="0"/>
          <w:numId w:val="1"/>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Purpose of application</w:t>
      </w:r>
    </w:p>
    <w:p w:rsidR="008E2C70" w:rsidRPr="00A01AE9" w:rsidRDefault="0071709C" w:rsidP="00A01AE9">
      <w:pPr>
        <w:widowControl w:val="0"/>
        <w:numPr>
          <w:ilvl w:val="1"/>
          <w:numId w:val="1"/>
        </w:numPr>
        <w:spacing w:after="120"/>
        <w:jc w:val="both"/>
        <w:rPr>
          <w:rFonts w:asciiTheme="minorHAnsi" w:hAnsiTheme="minorHAnsi" w:cs="Arial"/>
          <w:bCs/>
          <w:snapToGrid w:val="0"/>
          <w:lang w:val="en-GB"/>
        </w:rPr>
      </w:pPr>
      <w:r w:rsidRPr="003365C1">
        <w:rPr>
          <w:rFonts w:asciiTheme="minorHAnsi" w:hAnsiTheme="minorHAnsi" w:cs="Arial"/>
          <w:bCs/>
          <w:snapToGrid w:val="0"/>
          <w:lang w:val="en-GB"/>
        </w:rPr>
        <w:t>Following deferral at the July 2018 PBAC meeting, the minor submission sought listing for a new biosimilar brand of pegfilgrastim (Fulphila®) for all indications for which the pegfilgrastim reference brand (Neulasta®) is currently PBS listed, on the Section 100 Hig</w:t>
      </w:r>
      <w:r w:rsidR="008E2C70" w:rsidRPr="003365C1">
        <w:rPr>
          <w:rFonts w:asciiTheme="minorHAnsi" w:hAnsiTheme="minorHAnsi" w:cs="Arial"/>
          <w:bCs/>
          <w:snapToGrid w:val="0"/>
          <w:lang w:val="en-GB"/>
        </w:rPr>
        <w:t>hly Specialised Drugs program.</w:t>
      </w:r>
    </w:p>
    <w:p w:rsidR="008E2C70" w:rsidRPr="003365C1" w:rsidRDefault="008E2C70" w:rsidP="003365C1">
      <w:pPr>
        <w:widowControl w:val="0"/>
        <w:numPr>
          <w:ilvl w:val="0"/>
          <w:numId w:val="1"/>
        </w:numPr>
        <w:spacing w:before="240" w:after="120"/>
        <w:jc w:val="both"/>
        <w:outlineLvl w:val="0"/>
        <w:rPr>
          <w:rFonts w:asciiTheme="minorHAnsi" w:hAnsiTheme="minorHAnsi" w:cs="Arial"/>
          <w:b/>
          <w:bCs/>
          <w:snapToGrid w:val="0"/>
          <w:sz w:val="32"/>
        </w:rPr>
      </w:pPr>
      <w:r w:rsidRPr="003365C1">
        <w:rPr>
          <w:rFonts w:asciiTheme="minorHAnsi" w:hAnsiTheme="minorHAnsi" w:cs="Arial"/>
          <w:b/>
          <w:bCs/>
          <w:snapToGrid w:val="0"/>
          <w:sz w:val="32"/>
        </w:rPr>
        <w:t>Background</w:t>
      </w:r>
    </w:p>
    <w:p w:rsidR="008E2C70" w:rsidRPr="003365C1" w:rsidRDefault="008E2C70" w:rsidP="003365C1">
      <w:pPr>
        <w:widowControl w:val="0"/>
        <w:numPr>
          <w:ilvl w:val="1"/>
          <w:numId w:val="1"/>
        </w:numPr>
        <w:spacing w:after="120"/>
        <w:jc w:val="both"/>
        <w:rPr>
          <w:rFonts w:asciiTheme="minorHAnsi" w:hAnsiTheme="minorHAnsi" w:cs="Arial"/>
          <w:bCs/>
          <w:snapToGrid w:val="0"/>
          <w:lang w:val="en-GB"/>
        </w:rPr>
      </w:pPr>
      <w:r w:rsidRPr="003365C1">
        <w:rPr>
          <w:rFonts w:asciiTheme="minorHAnsi" w:hAnsiTheme="minorHAnsi" w:cs="Arial"/>
          <w:bCs/>
          <w:snapToGrid w:val="0"/>
          <w:lang w:val="en-GB"/>
        </w:rPr>
        <w:t>At its July 2018 PBAC meeting, the PBAC deferred making a recommendation regarding the listing of biosimilar pegfilgrastim, pending TGA approval. Further details on the deferral are available in section 6 of the July 2018 minutes.</w:t>
      </w:r>
    </w:p>
    <w:p w:rsidR="008E2C70" w:rsidRPr="00423492" w:rsidRDefault="008E2C70" w:rsidP="003365C1">
      <w:pPr>
        <w:widowControl w:val="0"/>
        <w:numPr>
          <w:ilvl w:val="1"/>
          <w:numId w:val="1"/>
        </w:numPr>
        <w:spacing w:after="120"/>
        <w:jc w:val="both"/>
        <w:rPr>
          <w:rFonts w:asciiTheme="minorHAnsi" w:hAnsiTheme="minorHAnsi" w:cs="Arial"/>
          <w:bCs/>
          <w:snapToGrid w:val="0"/>
          <w:lang w:val="en-GB"/>
        </w:rPr>
      </w:pPr>
      <w:r w:rsidRPr="003365C1">
        <w:rPr>
          <w:rFonts w:asciiTheme="minorHAnsi" w:hAnsiTheme="minorHAnsi" w:cs="Arial"/>
          <w:bCs/>
          <w:snapToGrid w:val="0"/>
          <w:lang w:val="en-GB"/>
        </w:rPr>
        <w:t xml:space="preserve">The minor submission for the November 2018 meeting included the TGA approval </w:t>
      </w:r>
      <w:r w:rsidRPr="00423492">
        <w:rPr>
          <w:rFonts w:asciiTheme="minorHAnsi" w:hAnsiTheme="minorHAnsi" w:cs="Arial"/>
          <w:bCs/>
          <w:snapToGrid w:val="0"/>
          <w:lang w:val="en-GB"/>
        </w:rPr>
        <w:t xml:space="preserve">letter (dated 6 August 2018) and requested the listing of biosimilar pegfilgrastim be progressed. The sponsor confirmed that the GMP clearances had been granted and that no significant conditions were applied to the registration. </w:t>
      </w:r>
      <w:r w:rsidRPr="00423492">
        <w:rPr>
          <w:rFonts w:asciiTheme="minorHAnsi" w:hAnsiTheme="minorHAnsi" w:cs="Arial"/>
          <w:bCs/>
          <w:i/>
          <w:snapToGrid w:val="0"/>
          <w:lang w:val="en-GB"/>
        </w:rPr>
        <w:t xml:space="preserve">The Secretariat confirms that TGA registration of biosimilar pegfilgrastim has </w:t>
      </w:r>
      <w:r w:rsidR="003365C1" w:rsidRPr="00423492">
        <w:rPr>
          <w:rFonts w:asciiTheme="minorHAnsi" w:hAnsiTheme="minorHAnsi" w:cs="Arial"/>
          <w:bCs/>
          <w:i/>
          <w:snapToGrid w:val="0"/>
          <w:lang w:val="en-GB"/>
        </w:rPr>
        <w:t>occurred</w:t>
      </w:r>
      <w:r w:rsidRPr="00423492">
        <w:rPr>
          <w:rFonts w:asciiTheme="minorHAnsi" w:hAnsiTheme="minorHAnsi" w:cs="Arial"/>
          <w:bCs/>
          <w:i/>
          <w:snapToGrid w:val="0"/>
          <w:lang w:val="en-GB"/>
        </w:rPr>
        <w:t xml:space="preserve"> and that no significant conditions of registration were applied.</w:t>
      </w:r>
    </w:p>
    <w:p w:rsidR="00B644DE" w:rsidRPr="00423492" w:rsidRDefault="00AE0CC9" w:rsidP="00AE0CC9">
      <w:pPr>
        <w:widowControl w:val="0"/>
        <w:numPr>
          <w:ilvl w:val="0"/>
          <w:numId w:val="1"/>
        </w:numPr>
        <w:spacing w:before="240" w:after="120"/>
        <w:jc w:val="both"/>
        <w:outlineLvl w:val="0"/>
        <w:rPr>
          <w:rFonts w:asciiTheme="minorHAnsi" w:hAnsiTheme="minorHAnsi" w:cs="Arial"/>
          <w:b/>
          <w:bCs/>
          <w:snapToGrid w:val="0"/>
          <w:sz w:val="32"/>
        </w:rPr>
      </w:pPr>
      <w:r w:rsidRPr="00423492">
        <w:rPr>
          <w:rFonts w:asciiTheme="minorHAnsi" w:hAnsiTheme="minorHAnsi" w:cs="Arial"/>
          <w:b/>
          <w:bCs/>
          <w:snapToGrid w:val="0"/>
          <w:sz w:val="32"/>
        </w:rPr>
        <w:t>PBAC Outcome</w:t>
      </w:r>
    </w:p>
    <w:p w:rsidR="00EA5567" w:rsidRPr="00423492" w:rsidRDefault="006C7E7F" w:rsidP="00B644DE">
      <w:pPr>
        <w:widowControl w:val="0"/>
        <w:numPr>
          <w:ilvl w:val="1"/>
          <w:numId w:val="1"/>
        </w:numPr>
        <w:spacing w:after="120"/>
        <w:jc w:val="both"/>
        <w:rPr>
          <w:rFonts w:asciiTheme="minorHAnsi" w:hAnsiTheme="minorHAnsi" w:cs="Arial"/>
          <w:bCs/>
          <w:snapToGrid w:val="0"/>
          <w:lang w:val="en-GB"/>
        </w:rPr>
      </w:pPr>
      <w:r w:rsidRPr="00423492">
        <w:rPr>
          <w:rFonts w:asciiTheme="minorHAnsi" w:hAnsiTheme="minorHAnsi" w:cs="Arial"/>
          <w:bCs/>
          <w:snapToGrid w:val="0"/>
          <w:lang w:val="en-GB"/>
        </w:rPr>
        <w:t xml:space="preserve">The PBAC recommended the listing of the </w:t>
      </w:r>
      <w:r w:rsidR="003B153F" w:rsidRPr="00423492">
        <w:rPr>
          <w:rFonts w:asciiTheme="minorHAnsi" w:hAnsiTheme="minorHAnsi" w:cs="Arial"/>
          <w:bCs/>
          <w:snapToGrid w:val="0"/>
          <w:lang w:val="en-GB"/>
        </w:rPr>
        <w:t xml:space="preserve">biosimilar </w:t>
      </w:r>
      <w:r w:rsidRPr="00423492">
        <w:rPr>
          <w:rFonts w:asciiTheme="minorHAnsi" w:hAnsiTheme="minorHAnsi" w:cs="Arial"/>
          <w:bCs/>
          <w:snapToGrid w:val="0"/>
          <w:lang w:val="en-GB"/>
        </w:rPr>
        <w:t>brand of pegfilgrastim</w:t>
      </w:r>
      <w:r w:rsidR="003B153F" w:rsidRPr="00423492">
        <w:rPr>
          <w:rFonts w:asciiTheme="minorHAnsi" w:hAnsiTheme="minorHAnsi" w:cs="Arial"/>
          <w:bCs/>
          <w:snapToGrid w:val="0"/>
          <w:lang w:val="en-GB"/>
        </w:rPr>
        <w:t>, Fulphila®,</w:t>
      </w:r>
      <w:r w:rsidRPr="00423492">
        <w:rPr>
          <w:rFonts w:asciiTheme="minorHAnsi" w:hAnsiTheme="minorHAnsi" w:cs="Arial"/>
          <w:bCs/>
          <w:snapToGrid w:val="0"/>
          <w:lang w:val="en-GB"/>
        </w:rPr>
        <w:t xml:space="preserve"> on the Section 100 Highly Specialised Drugs (HSD) program, for all indications for which the pegfilgrastim reference brand (Neulasta®) is currently PBS listed. </w:t>
      </w:r>
    </w:p>
    <w:p w:rsidR="00745B02" w:rsidRPr="00423492" w:rsidRDefault="00745B02" w:rsidP="00B644DE">
      <w:pPr>
        <w:widowControl w:val="0"/>
        <w:numPr>
          <w:ilvl w:val="1"/>
          <w:numId w:val="1"/>
        </w:numPr>
        <w:spacing w:after="120"/>
        <w:jc w:val="both"/>
        <w:rPr>
          <w:rFonts w:asciiTheme="minorHAnsi" w:hAnsiTheme="minorHAnsi" w:cs="Arial"/>
          <w:bCs/>
          <w:snapToGrid w:val="0"/>
          <w:lang w:val="en-GB"/>
        </w:rPr>
      </w:pPr>
      <w:r w:rsidRPr="00423492">
        <w:rPr>
          <w:rFonts w:asciiTheme="minorHAnsi" w:hAnsiTheme="minorHAnsi" w:cs="Arial"/>
          <w:bCs/>
          <w:snapToGrid w:val="0"/>
          <w:lang w:val="en-GB"/>
        </w:rPr>
        <w:t xml:space="preserve">The PBAC </w:t>
      </w:r>
      <w:r w:rsidR="00423492" w:rsidRPr="00423492">
        <w:rPr>
          <w:rFonts w:asciiTheme="minorHAnsi" w:hAnsiTheme="minorHAnsi" w:cs="Arial"/>
          <w:bCs/>
          <w:snapToGrid w:val="0"/>
          <w:lang w:val="en-GB"/>
        </w:rPr>
        <w:t>advised that the Fulphila®</w:t>
      </w:r>
      <w:r w:rsidRPr="00423492">
        <w:rPr>
          <w:rFonts w:asciiTheme="minorHAnsi" w:hAnsiTheme="minorHAnsi" w:cs="Arial"/>
          <w:bCs/>
          <w:snapToGrid w:val="0"/>
          <w:lang w:val="en-GB"/>
        </w:rPr>
        <w:t xml:space="preserve">, Neulasta® and Ristempa® brands of pegfilgrastim should be considered equivalent for the purpose of </w:t>
      </w:r>
      <w:r w:rsidR="00E22A2F" w:rsidRPr="00423492">
        <w:rPr>
          <w:rFonts w:asciiTheme="minorHAnsi" w:hAnsiTheme="minorHAnsi" w:cs="Arial"/>
          <w:bCs/>
          <w:snapToGrid w:val="0"/>
          <w:lang w:val="en-GB"/>
        </w:rPr>
        <w:t>substitution (i.e., ‘a’ flagged).</w:t>
      </w:r>
    </w:p>
    <w:p w:rsidR="00745B02" w:rsidRPr="00423492" w:rsidRDefault="00745B02" w:rsidP="00B644DE">
      <w:pPr>
        <w:widowControl w:val="0"/>
        <w:numPr>
          <w:ilvl w:val="1"/>
          <w:numId w:val="1"/>
        </w:numPr>
        <w:spacing w:after="120"/>
        <w:jc w:val="both"/>
        <w:rPr>
          <w:rFonts w:asciiTheme="minorHAnsi" w:hAnsiTheme="minorHAnsi" w:cs="Arial"/>
          <w:bCs/>
          <w:snapToGrid w:val="0"/>
          <w:lang w:val="en-GB"/>
        </w:rPr>
      </w:pPr>
      <w:r w:rsidRPr="00423492">
        <w:rPr>
          <w:rFonts w:asciiTheme="minorHAnsi" w:hAnsiTheme="minorHAnsi" w:cs="Arial"/>
          <w:bCs/>
          <w:snapToGrid w:val="0"/>
          <w:lang w:val="en-GB"/>
        </w:rPr>
        <w:t>The PBAC advised that there were no clinical or other concerns about appropriate use of medicines, if the policy decision were made to apply the following biosimilar uptake drivers to the requested listing:</w:t>
      </w:r>
    </w:p>
    <w:p w:rsidR="00745B02" w:rsidRPr="00423492" w:rsidRDefault="00745B02" w:rsidP="00745B02">
      <w:pPr>
        <w:pStyle w:val="ListParagraph"/>
        <w:numPr>
          <w:ilvl w:val="0"/>
          <w:numId w:val="7"/>
        </w:numPr>
        <w:spacing w:after="120"/>
        <w:rPr>
          <w:rFonts w:asciiTheme="minorHAnsi" w:hAnsiTheme="minorHAnsi"/>
          <w:bCs/>
          <w:lang w:val="en-GB"/>
        </w:rPr>
      </w:pPr>
      <w:r w:rsidRPr="00423492">
        <w:rPr>
          <w:rFonts w:asciiTheme="minorHAnsi" w:hAnsiTheme="minorHAnsi"/>
          <w:bCs/>
          <w:lang w:val="en-GB"/>
        </w:rPr>
        <w:t>encouraging the prescribing of biosimilar pegfilgrastim for treatment naïve patients by the addition of a note in the schedule; and</w:t>
      </w:r>
    </w:p>
    <w:p w:rsidR="001F0691" w:rsidRPr="00423492" w:rsidRDefault="00745B02" w:rsidP="001F0691">
      <w:pPr>
        <w:pStyle w:val="ListParagraph"/>
        <w:numPr>
          <w:ilvl w:val="0"/>
          <w:numId w:val="7"/>
        </w:numPr>
        <w:spacing w:after="120"/>
        <w:rPr>
          <w:rFonts w:asciiTheme="minorHAnsi" w:hAnsiTheme="minorHAnsi"/>
          <w:bCs/>
          <w:lang w:val="en-GB"/>
        </w:rPr>
      </w:pPr>
      <w:r w:rsidRPr="00423492">
        <w:rPr>
          <w:rFonts w:asciiTheme="minorHAnsi" w:hAnsiTheme="minorHAnsi"/>
          <w:bCs/>
          <w:lang w:val="en-GB"/>
        </w:rPr>
        <w:t xml:space="preserve">in principle, applying a lower level of authority to biosimilar pegfilgrastim than exists for the reference brand. The PBAC noted that applying a lower level of authority for the Fulphila® brand cannot be implemented at this time, as listings in Section 100 must be either Authority Required or streamlined authority  items (i.e. cannot be a Restricted Benefit or unrestricted listings), and pegfilgrastim is already a streamlined authority listing. </w:t>
      </w:r>
    </w:p>
    <w:p w:rsidR="001F0691" w:rsidRPr="00423492" w:rsidRDefault="001F0691" w:rsidP="001F0691">
      <w:pPr>
        <w:spacing w:after="120"/>
        <w:rPr>
          <w:rFonts w:asciiTheme="minorHAnsi" w:hAnsiTheme="minorHAnsi"/>
          <w:b/>
          <w:bCs/>
          <w:snapToGrid w:val="0"/>
          <w:lang w:val="en-GB"/>
        </w:rPr>
      </w:pPr>
      <w:r w:rsidRPr="00423492">
        <w:rPr>
          <w:rFonts w:asciiTheme="minorHAnsi" w:hAnsiTheme="minorHAnsi"/>
          <w:b/>
          <w:bCs/>
          <w:snapToGrid w:val="0"/>
          <w:lang w:val="en-GB"/>
        </w:rPr>
        <w:t>Outcome:</w:t>
      </w:r>
    </w:p>
    <w:p w:rsidR="001F0691" w:rsidRPr="00423492" w:rsidRDefault="001F0691" w:rsidP="001F0691">
      <w:pPr>
        <w:spacing w:after="120"/>
        <w:rPr>
          <w:rFonts w:asciiTheme="minorHAnsi" w:hAnsiTheme="minorHAnsi"/>
          <w:bCs/>
          <w:snapToGrid w:val="0"/>
          <w:lang w:val="en-GB"/>
        </w:rPr>
      </w:pPr>
      <w:r w:rsidRPr="00423492">
        <w:rPr>
          <w:rFonts w:asciiTheme="minorHAnsi" w:hAnsiTheme="minorHAnsi"/>
          <w:bCs/>
          <w:snapToGrid w:val="0"/>
          <w:lang w:val="en-GB"/>
        </w:rPr>
        <w:t>Recommended</w:t>
      </w:r>
    </w:p>
    <w:p w:rsidR="00CA7F0A" w:rsidRDefault="00CA7F0A" w:rsidP="00CA7F0A">
      <w:pPr>
        <w:widowControl w:val="0"/>
        <w:numPr>
          <w:ilvl w:val="0"/>
          <w:numId w:val="1"/>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Recommended listing</w:t>
      </w:r>
    </w:p>
    <w:p w:rsidR="001F0691" w:rsidRPr="002813BD" w:rsidRDefault="001F0691" w:rsidP="002813BD">
      <w:pPr>
        <w:widowControl w:val="0"/>
        <w:numPr>
          <w:ilvl w:val="1"/>
          <w:numId w:val="1"/>
        </w:numPr>
        <w:spacing w:after="120"/>
        <w:jc w:val="both"/>
        <w:rPr>
          <w:rFonts w:asciiTheme="minorHAnsi" w:hAnsiTheme="minorHAnsi" w:cstheme="minorHAnsi"/>
          <w:snapToGrid w:val="0"/>
          <w:lang w:val="en-GB"/>
        </w:rPr>
      </w:pPr>
      <w:r w:rsidRPr="002813BD">
        <w:rPr>
          <w:rFonts w:asciiTheme="minorHAnsi" w:hAnsiTheme="minorHAnsi" w:cstheme="minorHAnsi"/>
          <w:snapToGrid w:val="0"/>
          <w:lang w:val="en-GB"/>
        </w:rPr>
        <w:t>Add new item:</w:t>
      </w:r>
    </w:p>
    <w:tbl>
      <w:tblPr>
        <w:tblW w:w="5000" w:type="pct"/>
        <w:tblLook w:val="0000" w:firstRow="0" w:lastRow="0" w:firstColumn="0" w:lastColumn="0" w:noHBand="0" w:noVBand="0"/>
      </w:tblPr>
      <w:tblGrid>
        <w:gridCol w:w="1943"/>
        <w:gridCol w:w="1367"/>
        <w:gridCol w:w="735"/>
        <w:gridCol w:w="886"/>
        <w:gridCol w:w="1276"/>
        <w:gridCol w:w="1962"/>
        <w:gridCol w:w="857"/>
      </w:tblGrid>
      <w:tr w:rsidR="00E10FB0" w:rsidRPr="0039782C" w:rsidTr="0098011D">
        <w:trPr>
          <w:cantSplit/>
          <w:trHeight w:val="465"/>
        </w:trPr>
        <w:tc>
          <w:tcPr>
            <w:tcW w:w="1833" w:type="pct"/>
            <w:gridSpan w:val="2"/>
            <w:tcBorders>
              <w:bottom w:val="single" w:sz="4" w:space="0" w:color="auto"/>
            </w:tcBorders>
          </w:tcPr>
          <w:p w:rsidR="00E10FB0" w:rsidRPr="0039782C" w:rsidRDefault="00E10FB0" w:rsidP="00375FA2">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E10FB0" w:rsidRPr="0039782C" w:rsidRDefault="00E10FB0" w:rsidP="00375FA2">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7" w:type="pct"/>
            <w:tcBorders>
              <w:bottom w:val="single" w:sz="4" w:space="0" w:color="auto"/>
            </w:tcBorders>
          </w:tcPr>
          <w:p w:rsidR="00E10FB0" w:rsidRPr="0039782C" w:rsidRDefault="00E10FB0" w:rsidP="00375FA2">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E10FB0" w:rsidRPr="0039782C" w:rsidRDefault="00E10FB0" w:rsidP="00375FA2">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91" w:type="pct"/>
            <w:tcBorders>
              <w:bottom w:val="single" w:sz="4" w:space="0" w:color="auto"/>
            </w:tcBorders>
          </w:tcPr>
          <w:p w:rsidR="00E10FB0" w:rsidRPr="0039782C" w:rsidRDefault="00E10FB0" w:rsidP="00375FA2">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E10FB0" w:rsidRPr="0039782C" w:rsidRDefault="00E10FB0" w:rsidP="00375FA2">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2269" w:type="pct"/>
            <w:gridSpan w:val="3"/>
            <w:tcBorders>
              <w:bottom w:val="single" w:sz="4" w:space="0" w:color="auto"/>
            </w:tcBorders>
          </w:tcPr>
          <w:p w:rsidR="00E10FB0" w:rsidRPr="0039782C" w:rsidRDefault="00E10FB0" w:rsidP="00375FA2">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10FB0" w:rsidRPr="00260CE3" w:rsidTr="0098011D">
        <w:trPr>
          <w:cantSplit/>
          <w:trHeight w:val="567"/>
        </w:trPr>
        <w:tc>
          <w:tcPr>
            <w:tcW w:w="1833" w:type="pct"/>
            <w:gridSpan w:val="2"/>
          </w:tcPr>
          <w:p w:rsidR="00E10FB0" w:rsidRPr="00260CE3" w:rsidRDefault="00E10FB0" w:rsidP="00375FA2">
            <w:pPr>
              <w:keepNext/>
              <w:spacing w:before="40" w:after="40"/>
              <w:jc w:val="both"/>
              <w:rPr>
                <w:rFonts w:ascii="Arial Narrow" w:hAnsi="Arial Narrow" w:cs="Arial"/>
                <w:sz w:val="20"/>
                <w:szCs w:val="20"/>
              </w:rPr>
            </w:pPr>
            <w:r>
              <w:rPr>
                <w:rFonts w:ascii="Arial Narrow" w:hAnsi="Arial Narrow" w:cs="Arial"/>
                <w:smallCaps/>
                <w:sz w:val="20"/>
                <w:szCs w:val="20"/>
              </w:rPr>
              <w:t>PEGFILGRASTIM</w:t>
            </w:r>
          </w:p>
          <w:p w:rsidR="00E10FB0" w:rsidRPr="00260CE3" w:rsidRDefault="00E10FB0" w:rsidP="00375FA2">
            <w:pPr>
              <w:keepNext/>
              <w:spacing w:before="40" w:after="40"/>
              <w:jc w:val="both"/>
              <w:rPr>
                <w:rFonts w:ascii="Arial Narrow" w:hAnsi="Arial Narrow" w:cs="Arial"/>
                <w:sz w:val="20"/>
                <w:szCs w:val="20"/>
              </w:rPr>
            </w:pPr>
            <w:r>
              <w:rPr>
                <w:rFonts w:ascii="Arial Narrow" w:hAnsi="Arial Narrow" w:cs="Arial"/>
                <w:sz w:val="20"/>
                <w:szCs w:val="20"/>
              </w:rPr>
              <w:t>6 mg/0.6 mL injection, 0.6 mL syringe</w:t>
            </w:r>
          </w:p>
        </w:tc>
        <w:tc>
          <w:tcPr>
            <w:tcW w:w="407" w:type="pct"/>
          </w:tcPr>
          <w:p w:rsidR="00E10FB0" w:rsidRPr="00260CE3" w:rsidRDefault="00E10FB0" w:rsidP="00375FA2">
            <w:pPr>
              <w:keepNext/>
              <w:spacing w:before="40" w:after="40"/>
              <w:jc w:val="both"/>
              <w:rPr>
                <w:rFonts w:ascii="Arial Narrow" w:hAnsi="Arial Narrow" w:cs="Arial"/>
                <w:sz w:val="20"/>
                <w:szCs w:val="20"/>
              </w:rPr>
            </w:pPr>
          </w:p>
          <w:p w:rsidR="00E10FB0" w:rsidRPr="00260CE3" w:rsidRDefault="00E10FB0" w:rsidP="00375FA2">
            <w:pPr>
              <w:keepNext/>
              <w:spacing w:before="40" w:after="40"/>
              <w:jc w:val="both"/>
              <w:rPr>
                <w:rFonts w:ascii="Arial Narrow" w:hAnsi="Arial Narrow" w:cs="Arial"/>
                <w:sz w:val="20"/>
                <w:szCs w:val="20"/>
              </w:rPr>
            </w:pPr>
            <w:r>
              <w:rPr>
                <w:rFonts w:ascii="Arial Narrow" w:hAnsi="Arial Narrow" w:cs="Arial"/>
                <w:sz w:val="20"/>
                <w:szCs w:val="20"/>
              </w:rPr>
              <w:t>1</w:t>
            </w:r>
          </w:p>
        </w:tc>
        <w:tc>
          <w:tcPr>
            <w:tcW w:w="491" w:type="pct"/>
          </w:tcPr>
          <w:p w:rsidR="00E10FB0" w:rsidRPr="00260CE3" w:rsidRDefault="00E10FB0" w:rsidP="00375FA2">
            <w:pPr>
              <w:keepNext/>
              <w:spacing w:before="40" w:after="40"/>
              <w:jc w:val="both"/>
              <w:rPr>
                <w:rFonts w:ascii="Arial Narrow" w:hAnsi="Arial Narrow" w:cs="Arial"/>
                <w:sz w:val="20"/>
                <w:szCs w:val="20"/>
              </w:rPr>
            </w:pPr>
          </w:p>
          <w:p w:rsidR="00E10FB0" w:rsidRPr="00260CE3" w:rsidRDefault="00E10FB0" w:rsidP="00375FA2">
            <w:pPr>
              <w:keepNext/>
              <w:spacing w:before="40" w:after="40"/>
              <w:jc w:val="both"/>
              <w:rPr>
                <w:rFonts w:ascii="Arial Narrow" w:hAnsi="Arial Narrow" w:cs="Arial"/>
                <w:sz w:val="20"/>
                <w:szCs w:val="20"/>
              </w:rPr>
            </w:pPr>
            <w:r>
              <w:rPr>
                <w:rFonts w:ascii="Arial Narrow" w:hAnsi="Arial Narrow" w:cs="Arial"/>
                <w:sz w:val="20"/>
                <w:szCs w:val="20"/>
              </w:rPr>
              <w:t>11</w:t>
            </w:r>
          </w:p>
        </w:tc>
        <w:tc>
          <w:tcPr>
            <w:tcW w:w="707" w:type="pct"/>
          </w:tcPr>
          <w:p w:rsidR="00E10FB0" w:rsidRDefault="00E10FB0" w:rsidP="00375FA2">
            <w:pPr>
              <w:keepNext/>
              <w:spacing w:before="40" w:after="40"/>
              <w:jc w:val="both"/>
              <w:rPr>
                <w:rFonts w:ascii="Arial Narrow" w:hAnsi="Arial Narrow" w:cs="Arial"/>
                <w:sz w:val="20"/>
                <w:szCs w:val="20"/>
              </w:rPr>
            </w:pPr>
          </w:p>
          <w:p w:rsidR="00E10FB0" w:rsidRPr="00260CE3" w:rsidRDefault="00E10FB0" w:rsidP="00375FA2">
            <w:pPr>
              <w:keepNext/>
              <w:spacing w:before="40" w:after="40"/>
              <w:jc w:val="both"/>
              <w:rPr>
                <w:rFonts w:ascii="Arial Narrow" w:hAnsi="Arial Narrow" w:cs="Arial"/>
                <w:sz w:val="20"/>
                <w:szCs w:val="20"/>
              </w:rPr>
            </w:pPr>
            <w:r>
              <w:rPr>
                <w:rFonts w:ascii="Arial Narrow" w:hAnsi="Arial Narrow" w:cs="Arial"/>
                <w:sz w:val="20"/>
                <w:szCs w:val="20"/>
              </w:rPr>
              <w:t>Fulphila</w:t>
            </w:r>
            <w:r w:rsidRPr="00FA409D">
              <w:rPr>
                <w:rFonts w:ascii="Arial Narrow" w:hAnsi="Arial Narrow" w:cs="Arial"/>
                <w:sz w:val="20"/>
                <w:szCs w:val="20"/>
              </w:rPr>
              <w:t>®</w:t>
            </w:r>
          </w:p>
        </w:tc>
        <w:tc>
          <w:tcPr>
            <w:tcW w:w="1562" w:type="pct"/>
            <w:gridSpan w:val="2"/>
          </w:tcPr>
          <w:p w:rsidR="00E10FB0" w:rsidRDefault="00E10FB0" w:rsidP="00375FA2">
            <w:pPr>
              <w:keepNext/>
              <w:spacing w:before="40" w:after="40"/>
              <w:jc w:val="both"/>
              <w:rPr>
                <w:rFonts w:ascii="Arial Narrow" w:hAnsi="Arial Narrow" w:cs="Arial"/>
                <w:sz w:val="20"/>
                <w:szCs w:val="20"/>
              </w:rPr>
            </w:pPr>
            <w:r>
              <w:rPr>
                <w:rFonts w:ascii="Arial Narrow" w:hAnsi="Arial Narrow" w:cs="Arial"/>
                <w:sz w:val="20"/>
                <w:szCs w:val="20"/>
              </w:rPr>
              <w:t xml:space="preserve">Alphapharm Pty </w:t>
            </w:r>
          </w:p>
          <w:p w:rsidR="00E10FB0" w:rsidRPr="00260CE3" w:rsidRDefault="00E10FB0" w:rsidP="00375FA2">
            <w:pPr>
              <w:keepNext/>
              <w:spacing w:before="40" w:after="40"/>
              <w:jc w:val="both"/>
              <w:rPr>
                <w:rFonts w:ascii="Arial Narrow" w:hAnsi="Arial Narrow" w:cs="Arial"/>
                <w:sz w:val="20"/>
                <w:szCs w:val="20"/>
              </w:rPr>
            </w:pPr>
            <w:r>
              <w:rPr>
                <w:rFonts w:ascii="Arial Narrow" w:hAnsi="Arial Narrow" w:cs="Arial"/>
                <w:sz w:val="20"/>
                <w:szCs w:val="20"/>
              </w:rPr>
              <w:t>Ltd</w:t>
            </w:r>
          </w:p>
        </w:tc>
      </w:tr>
      <w:tr w:rsidR="00A30FE3" w:rsidRPr="00260CE3" w:rsidTr="0098011D">
        <w:trPr>
          <w:gridAfter w:val="1"/>
          <w:wAfter w:w="475" w:type="pct"/>
          <w:cantSplit/>
          <w:trHeight w:val="360"/>
        </w:trPr>
        <w:tc>
          <w:tcPr>
            <w:tcW w:w="4525" w:type="pct"/>
            <w:gridSpan w:val="6"/>
            <w:tcBorders>
              <w:bottom w:val="single" w:sz="4" w:space="0" w:color="auto"/>
            </w:tcBorders>
          </w:tcPr>
          <w:p w:rsidR="00A30FE3" w:rsidRPr="00260CE3" w:rsidRDefault="00A30FE3" w:rsidP="00375FA2">
            <w:pPr>
              <w:spacing w:before="40" w:after="40"/>
              <w:jc w:val="both"/>
              <w:rPr>
                <w:rFonts w:ascii="Arial Narrow" w:hAnsi="Arial Narrow" w:cs="Arial"/>
                <w:sz w:val="20"/>
                <w:szCs w:val="20"/>
              </w:rPr>
            </w:pPr>
          </w:p>
        </w:tc>
      </w:tr>
      <w:tr w:rsidR="00A30FE3" w:rsidRPr="00260CE3" w:rsidTr="0098011D">
        <w:trPr>
          <w:cantSplit/>
          <w:trHeight w:val="360"/>
        </w:trPr>
        <w:tc>
          <w:tcPr>
            <w:tcW w:w="1076" w:type="pct"/>
            <w:tcBorders>
              <w:top w:val="single" w:sz="4" w:space="0" w:color="auto"/>
              <w:left w:val="single" w:sz="4" w:space="0" w:color="auto"/>
              <w:bottom w:val="single" w:sz="4" w:space="0" w:color="auto"/>
              <w:right w:val="single" w:sz="4" w:space="0" w:color="auto"/>
            </w:tcBorders>
          </w:tcPr>
          <w:p w:rsidR="00A30FE3" w:rsidRPr="00260CE3" w:rsidRDefault="00A30FE3" w:rsidP="00AE3F7C">
            <w:pPr>
              <w:keepNext/>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24" w:type="pct"/>
            <w:gridSpan w:val="6"/>
            <w:tcBorders>
              <w:top w:val="single" w:sz="4" w:space="0" w:color="auto"/>
              <w:left w:val="single" w:sz="4" w:space="0" w:color="auto"/>
              <w:bottom w:val="single" w:sz="4" w:space="0" w:color="auto"/>
              <w:right w:val="single" w:sz="4" w:space="0" w:color="auto"/>
            </w:tcBorders>
          </w:tcPr>
          <w:p w:rsidR="00A30FE3" w:rsidRPr="00260CE3" w:rsidRDefault="00A30FE3" w:rsidP="00AE3F7C">
            <w:pPr>
              <w:keepNext/>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 Public and Private</w:t>
            </w:r>
          </w:p>
        </w:tc>
      </w:tr>
      <w:tr w:rsidR="00A30FE3" w:rsidRPr="00260CE3" w:rsidTr="0098011D">
        <w:trPr>
          <w:cantSplit/>
          <w:trHeight w:val="360"/>
        </w:trPr>
        <w:tc>
          <w:tcPr>
            <w:tcW w:w="1076" w:type="pct"/>
            <w:tcBorders>
              <w:top w:val="single" w:sz="4" w:space="0" w:color="auto"/>
              <w:left w:val="single" w:sz="4" w:space="0" w:color="auto"/>
              <w:bottom w:val="single" w:sz="4" w:space="0" w:color="auto"/>
              <w:right w:val="single" w:sz="4" w:space="0" w:color="auto"/>
            </w:tcBorders>
          </w:tcPr>
          <w:p w:rsidR="00A30FE3" w:rsidRPr="00260CE3" w:rsidRDefault="00A30FE3" w:rsidP="00375FA2">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4" w:type="pct"/>
            <w:gridSpan w:val="6"/>
            <w:tcBorders>
              <w:top w:val="single" w:sz="4" w:space="0" w:color="auto"/>
              <w:left w:val="single" w:sz="4" w:space="0" w:color="auto"/>
              <w:bottom w:val="single" w:sz="4" w:space="0" w:color="auto"/>
              <w:right w:val="single" w:sz="4" w:space="0" w:color="auto"/>
            </w:tcBorders>
          </w:tcPr>
          <w:p w:rsidR="00A30FE3" w:rsidRPr="00260CE3" w:rsidRDefault="00A30FE3" w:rsidP="00375FA2">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30FE3" w:rsidRPr="00260CE3" w:rsidRDefault="00A30FE3" w:rsidP="00375FA2">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30FE3" w:rsidRPr="00260CE3" w:rsidTr="0098011D">
        <w:trPr>
          <w:cantSplit/>
          <w:trHeight w:val="360"/>
        </w:trPr>
        <w:tc>
          <w:tcPr>
            <w:tcW w:w="1076" w:type="pct"/>
            <w:tcBorders>
              <w:top w:val="single" w:sz="4" w:space="0" w:color="auto"/>
              <w:left w:val="single" w:sz="4" w:space="0" w:color="auto"/>
              <w:bottom w:val="single" w:sz="4" w:space="0" w:color="auto"/>
              <w:right w:val="single" w:sz="4" w:space="0" w:color="auto"/>
            </w:tcBorders>
          </w:tcPr>
          <w:p w:rsidR="00A30FE3" w:rsidRPr="00260CE3" w:rsidRDefault="00A30FE3" w:rsidP="00375FA2">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4" w:type="pct"/>
            <w:gridSpan w:val="6"/>
            <w:tcBorders>
              <w:top w:val="single" w:sz="4" w:space="0" w:color="auto"/>
              <w:left w:val="single" w:sz="4" w:space="0" w:color="auto"/>
              <w:bottom w:val="single" w:sz="4" w:space="0" w:color="auto"/>
              <w:right w:val="single" w:sz="4" w:space="0" w:color="auto"/>
            </w:tcBorders>
          </w:tcPr>
          <w:p w:rsidR="00A30FE3" w:rsidRPr="00260CE3" w:rsidRDefault="00A30FE3" w:rsidP="00375FA2">
            <w:pPr>
              <w:spacing w:before="40" w:after="40"/>
              <w:rPr>
                <w:rFonts w:ascii="Arial Narrow" w:hAnsi="Arial Narrow" w:cs="Arial"/>
                <w:sz w:val="20"/>
                <w:szCs w:val="20"/>
              </w:rPr>
            </w:pPr>
            <w:r>
              <w:rPr>
                <w:rFonts w:ascii="Arial Narrow" w:hAnsi="Arial Narrow" w:cs="Arial"/>
                <w:sz w:val="20"/>
                <w:szCs w:val="20"/>
              </w:rPr>
              <w:t>Chemotherapy-induced neutropenia</w:t>
            </w:r>
          </w:p>
        </w:tc>
      </w:tr>
      <w:tr w:rsidR="00A30FE3" w:rsidRPr="00260CE3" w:rsidTr="0098011D">
        <w:trPr>
          <w:cantSplit/>
          <w:trHeight w:val="360"/>
        </w:trPr>
        <w:tc>
          <w:tcPr>
            <w:tcW w:w="1076" w:type="pct"/>
            <w:tcBorders>
              <w:top w:val="single" w:sz="4" w:space="0" w:color="auto"/>
              <w:left w:val="single" w:sz="4" w:space="0" w:color="auto"/>
              <w:bottom w:val="single" w:sz="4" w:space="0" w:color="auto"/>
              <w:right w:val="single" w:sz="4" w:space="0" w:color="auto"/>
            </w:tcBorders>
          </w:tcPr>
          <w:p w:rsidR="00A30FE3" w:rsidRPr="00260CE3" w:rsidRDefault="00A30FE3" w:rsidP="00375FA2">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4" w:type="pct"/>
            <w:gridSpan w:val="6"/>
            <w:tcBorders>
              <w:top w:val="single" w:sz="4" w:space="0" w:color="auto"/>
              <w:left w:val="single" w:sz="4" w:space="0" w:color="auto"/>
              <w:bottom w:val="single" w:sz="4" w:space="0" w:color="auto"/>
              <w:right w:val="single" w:sz="4" w:space="0" w:color="auto"/>
            </w:tcBorders>
          </w:tcPr>
          <w:p w:rsidR="00A30FE3" w:rsidRPr="00260CE3" w:rsidRDefault="00A30FE3" w:rsidP="00375FA2">
            <w:pPr>
              <w:spacing w:before="40" w:after="40"/>
              <w:rPr>
                <w:rFonts w:ascii="Arial Narrow" w:hAnsi="Arial Narrow" w:cs="Arial"/>
                <w:sz w:val="20"/>
                <w:szCs w:val="20"/>
              </w:rPr>
            </w:pPr>
            <w:r w:rsidRPr="00BE61A3">
              <w:rPr>
                <w:rFonts w:ascii="Arial Narrow" w:hAnsi="Arial Narrow" w:cs="Arial"/>
                <w:sz w:val="20"/>
                <w:szCs w:val="20"/>
              </w:rPr>
              <w:t>Chemo</w:t>
            </w:r>
            <w:r w:rsidRPr="008115C6">
              <w:rPr>
                <w:rFonts w:ascii="Arial Narrow" w:hAnsi="Arial Narrow" w:cs="Arial"/>
                <w:sz w:val="20"/>
                <w:szCs w:val="20"/>
              </w:rPr>
              <w:t>therapy</w:t>
            </w:r>
            <w:r>
              <w:rPr>
                <w:rFonts w:ascii="Arial Narrow" w:hAnsi="Arial Narrow" w:cs="Arial"/>
                <w:sz w:val="20"/>
                <w:szCs w:val="20"/>
              </w:rPr>
              <w:t>-induced neutropenia</w:t>
            </w:r>
          </w:p>
        </w:tc>
      </w:tr>
      <w:tr w:rsidR="00A30FE3" w:rsidRPr="00486A9A" w:rsidTr="0098011D">
        <w:trPr>
          <w:cantSplit/>
          <w:trHeight w:val="360"/>
        </w:trPr>
        <w:tc>
          <w:tcPr>
            <w:tcW w:w="1076" w:type="pct"/>
            <w:tcBorders>
              <w:top w:val="single" w:sz="4" w:space="0" w:color="auto"/>
              <w:left w:val="single" w:sz="4" w:space="0" w:color="auto"/>
              <w:bottom w:val="single" w:sz="4" w:space="0" w:color="auto"/>
              <w:right w:val="single" w:sz="4" w:space="0" w:color="auto"/>
            </w:tcBorders>
          </w:tcPr>
          <w:p w:rsidR="00A30FE3" w:rsidRPr="00486A9A" w:rsidRDefault="00A30FE3" w:rsidP="00375FA2">
            <w:pPr>
              <w:spacing w:before="40" w:after="40"/>
              <w:jc w:val="both"/>
              <w:rPr>
                <w:rFonts w:ascii="Arial Narrow" w:hAnsi="Arial Narrow" w:cs="Arial"/>
                <w:b/>
                <w:sz w:val="20"/>
                <w:szCs w:val="20"/>
                <w:u w:val="single"/>
              </w:rPr>
            </w:pPr>
            <w:r w:rsidRPr="00486A9A">
              <w:rPr>
                <w:rFonts w:ascii="Arial Narrow" w:hAnsi="Arial Narrow" w:cs="Arial"/>
                <w:b/>
                <w:sz w:val="20"/>
                <w:szCs w:val="20"/>
                <w:u w:val="single"/>
              </w:rPr>
              <w:t>Restriction Level / Method:</w:t>
            </w:r>
          </w:p>
          <w:p w:rsidR="00A30FE3" w:rsidRPr="00486A9A" w:rsidRDefault="00A30FE3" w:rsidP="00375FA2">
            <w:pPr>
              <w:spacing w:before="40" w:after="40"/>
              <w:rPr>
                <w:rFonts w:ascii="Arial Narrow" w:hAnsi="Arial Narrow" w:cs="Arial"/>
                <w:sz w:val="20"/>
                <w:szCs w:val="20"/>
                <w:u w:val="single"/>
              </w:rPr>
            </w:pPr>
          </w:p>
        </w:tc>
        <w:tc>
          <w:tcPr>
            <w:tcW w:w="3924" w:type="pct"/>
            <w:gridSpan w:val="6"/>
            <w:tcBorders>
              <w:top w:val="single" w:sz="4" w:space="0" w:color="auto"/>
              <w:left w:val="single" w:sz="4" w:space="0" w:color="auto"/>
              <w:bottom w:val="single" w:sz="4" w:space="0" w:color="auto"/>
              <w:right w:val="single" w:sz="4" w:space="0" w:color="auto"/>
            </w:tcBorders>
          </w:tcPr>
          <w:p w:rsidR="00A30FE3" w:rsidRDefault="00A30FE3" w:rsidP="00375FA2">
            <w:pPr>
              <w:spacing w:before="40" w:after="40"/>
              <w:rPr>
                <w:rFonts w:ascii="Arial Narrow" w:hAnsi="Arial Narrow" w:cs="Arial"/>
                <w:sz w:val="20"/>
                <w:szCs w:val="20"/>
                <w:u w:val="single"/>
              </w:rPr>
            </w:pPr>
            <w:r w:rsidRPr="00486A9A">
              <w:rPr>
                <w:rFonts w:ascii="Arial Narrow" w:hAnsi="Arial Narrow" w:cs="Arial"/>
                <w:sz w:val="20"/>
                <w:szCs w:val="20"/>
                <w:u w:val="single"/>
              </w:rPr>
              <w:fldChar w:fldCharType="begin">
                <w:ffData>
                  <w:name w:val="Check1"/>
                  <w:enabled/>
                  <w:calcOnExit w:val="0"/>
                  <w:checkBox>
                    <w:sizeAuto/>
                    <w:default w:val="0"/>
                  </w:checkBox>
                </w:ffData>
              </w:fldChar>
            </w:r>
            <w:r w:rsidRPr="00486A9A">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486A9A">
              <w:rPr>
                <w:rFonts w:ascii="Arial Narrow" w:hAnsi="Arial Narrow" w:cs="Arial"/>
                <w:sz w:val="20"/>
                <w:szCs w:val="20"/>
                <w:u w:val="single"/>
              </w:rPr>
              <w:fldChar w:fldCharType="end"/>
            </w:r>
            <w:r w:rsidRPr="00486A9A">
              <w:rPr>
                <w:rFonts w:ascii="Arial Narrow" w:hAnsi="Arial Narrow" w:cs="Arial"/>
                <w:sz w:val="20"/>
                <w:szCs w:val="20"/>
                <w:u w:val="single"/>
              </w:rPr>
              <w:t>Restricted benefit</w:t>
            </w:r>
          </w:p>
          <w:p w:rsidR="00A30FE3" w:rsidRPr="00486A9A" w:rsidRDefault="00A30FE3" w:rsidP="00375FA2">
            <w:pPr>
              <w:spacing w:before="40" w:after="40"/>
              <w:rPr>
                <w:rFonts w:ascii="Arial Narrow" w:hAnsi="Arial Narrow" w:cs="Arial"/>
                <w:sz w:val="20"/>
                <w:szCs w:val="20"/>
                <w:u w:val="single"/>
              </w:rPr>
            </w:pPr>
            <w:r>
              <w:rPr>
                <w:rFonts w:ascii="Arial Narrow" w:hAnsi="Arial Narrow" w:cs="Arial"/>
                <w:sz w:val="20"/>
                <w:szCs w:val="20"/>
                <w:u w:val="single"/>
              </w:rPr>
              <w:fldChar w:fldCharType="begin">
                <w:ffData>
                  <w:name w:val=""/>
                  <w:enabled/>
                  <w:calcOnExit w:val="0"/>
                  <w:checkBox>
                    <w:sizeAuto/>
                    <w:default w:val="0"/>
                  </w:checkBox>
                </w:ffData>
              </w:fldChar>
            </w:r>
            <w:r>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Pr>
                <w:rFonts w:ascii="Arial Narrow" w:hAnsi="Arial Narrow" w:cs="Arial"/>
                <w:sz w:val="20"/>
                <w:szCs w:val="20"/>
                <w:u w:val="single"/>
              </w:rPr>
              <w:fldChar w:fldCharType="end"/>
            </w:r>
            <w:r w:rsidRPr="00486A9A">
              <w:rPr>
                <w:rFonts w:ascii="Arial Narrow" w:hAnsi="Arial Narrow" w:cs="Arial"/>
                <w:sz w:val="20"/>
                <w:szCs w:val="20"/>
                <w:u w:val="single"/>
              </w:rPr>
              <w:t>Authority Required - In Writing (Private)</w:t>
            </w:r>
          </w:p>
          <w:p w:rsidR="00A30FE3" w:rsidRPr="00486A9A" w:rsidRDefault="00A30FE3" w:rsidP="00375FA2">
            <w:pPr>
              <w:spacing w:before="40" w:after="40"/>
              <w:rPr>
                <w:rFonts w:ascii="Arial Narrow" w:hAnsi="Arial Narrow" w:cs="Arial"/>
                <w:sz w:val="20"/>
                <w:szCs w:val="20"/>
                <w:u w:val="single"/>
              </w:rPr>
            </w:pPr>
            <w:r w:rsidRPr="00486A9A">
              <w:rPr>
                <w:rFonts w:ascii="Arial Narrow" w:hAnsi="Arial Narrow" w:cs="Arial"/>
                <w:sz w:val="20"/>
                <w:szCs w:val="20"/>
                <w:u w:val="single"/>
              </w:rPr>
              <w:fldChar w:fldCharType="begin">
                <w:ffData>
                  <w:name w:val="Check3"/>
                  <w:enabled/>
                  <w:calcOnExit w:val="0"/>
                  <w:checkBox>
                    <w:sizeAuto/>
                    <w:default w:val="1"/>
                  </w:checkBox>
                </w:ffData>
              </w:fldChar>
            </w:r>
            <w:r w:rsidRPr="00486A9A">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486A9A">
              <w:rPr>
                <w:rFonts w:ascii="Arial Narrow" w:hAnsi="Arial Narrow" w:cs="Arial"/>
                <w:sz w:val="20"/>
                <w:szCs w:val="20"/>
                <w:u w:val="single"/>
              </w:rPr>
              <w:fldChar w:fldCharType="end"/>
            </w:r>
            <w:r w:rsidRPr="00486A9A">
              <w:rPr>
                <w:rFonts w:ascii="Arial Narrow" w:hAnsi="Arial Narrow" w:cs="Arial"/>
                <w:sz w:val="20"/>
                <w:szCs w:val="20"/>
                <w:u w:val="single"/>
              </w:rPr>
              <w:t>Authority Required – Telephone (Private)</w:t>
            </w:r>
          </w:p>
          <w:p w:rsidR="00A30FE3" w:rsidRPr="00486A9A" w:rsidRDefault="00A30FE3" w:rsidP="00375FA2">
            <w:pPr>
              <w:spacing w:before="40" w:after="40"/>
              <w:rPr>
                <w:rFonts w:ascii="Arial Narrow" w:hAnsi="Arial Narrow" w:cs="Arial"/>
                <w:sz w:val="20"/>
                <w:szCs w:val="20"/>
                <w:u w:val="single"/>
              </w:rPr>
            </w:pPr>
            <w:r w:rsidRPr="00486A9A">
              <w:rPr>
                <w:rFonts w:ascii="Arial Narrow" w:hAnsi="Arial Narrow" w:cs="Arial"/>
                <w:sz w:val="20"/>
                <w:szCs w:val="20"/>
                <w:u w:val="single"/>
              </w:rPr>
              <w:fldChar w:fldCharType="begin">
                <w:ffData>
                  <w:name w:val=""/>
                  <w:enabled/>
                  <w:calcOnExit w:val="0"/>
                  <w:checkBox>
                    <w:sizeAuto/>
                    <w:default w:val="0"/>
                  </w:checkBox>
                </w:ffData>
              </w:fldChar>
            </w:r>
            <w:r w:rsidRPr="00486A9A">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486A9A">
              <w:rPr>
                <w:rFonts w:ascii="Arial Narrow" w:hAnsi="Arial Narrow" w:cs="Arial"/>
                <w:sz w:val="20"/>
                <w:szCs w:val="20"/>
                <w:u w:val="single"/>
              </w:rPr>
              <w:fldChar w:fldCharType="end"/>
            </w:r>
            <w:r w:rsidRPr="00486A9A">
              <w:rPr>
                <w:rFonts w:ascii="Arial Narrow" w:hAnsi="Arial Narrow" w:cs="Arial"/>
                <w:sz w:val="20"/>
                <w:szCs w:val="20"/>
                <w:u w:val="single"/>
              </w:rPr>
              <w:t>Authority Required – Emergency</w:t>
            </w:r>
          </w:p>
          <w:p w:rsidR="00A30FE3" w:rsidRPr="00486A9A" w:rsidRDefault="00A30FE3" w:rsidP="00375FA2">
            <w:pPr>
              <w:spacing w:before="40" w:after="40"/>
              <w:rPr>
                <w:rFonts w:ascii="Arial Narrow" w:hAnsi="Arial Narrow" w:cs="Arial"/>
                <w:sz w:val="20"/>
                <w:szCs w:val="20"/>
                <w:u w:val="single"/>
              </w:rPr>
            </w:pPr>
            <w:r>
              <w:rPr>
                <w:rFonts w:ascii="Arial Narrow" w:hAnsi="Arial Narrow" w:cs="Arial"/>
                <w:sz w:val="20"/>
                <w:szCs w:val="20"/>
                <w:u w:val="single"/>
              </w:rPr>
              <w:fldChar w:fldCharType="begin">
                <w:ffData>
                  <w:name w:val="Check5"/>
                  <w:enabled/>
                  <w:calcOnExit w:val="0"/>
                  <w:checkBox>
                    <w:sizeAuto/>
                    <w:default w:val="0"/>
                  </w:checkBox>
                </w:ffData>
              </w:fldChar>
            </w:r>
            <w:r>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Pr>
                <w:rFonts w:ascii="Arial Narrow" w:hAnsi="Arial Narrow" w:cs="Arial"/>
                <w:sz w:val="20"/>
                <w:szCs w:val="20"/>
                <w:u w:val="single"/>
              </w:rPr>
              <w:fldChar w:fldCharType="end"/>
            </w:r>
            <w:r w:rsidRPr="00486A9A">
              <w:rPr>
                <w:rFonts w:ascii="Arial Narrow" w:hAnsi="Arial Narrow" w:cs="Arial"/>
                <w:sz w:val="20"/>
                <w:szCs w:val="20"/>
                <w:u w:val="single"/>
              </w:rPr>
              <w:t>Authority Required – Electronic (Private)</w:t>
            </w:r>
          </w:p>
          <w:p w:rsidR="00A30FE3" w:rsidRPr="00486A9A" w:rsidRDefault="00A30FE3" w:rsidP="00375FA2">
            <w:pPr>
              <w:spacing w:before="40" w:after="40"/>
              <w:rPr>
                <w:rFonts w:ascii="Arial Narrow" w:hAnsi="Arial Narrow" w:cs="Arial"/>
                <w:sz w:val="20"/>
                <w:szCs w:val="20"/>
                <w:u w:val="single"/>
              </w:rPr>
            </w:pPr>
            <w:r w:rsidRPr="00486A9A">
              <w:rPr>
                <w:rFonts w:ascii="Arial Narrow" w:hAnsi="Arial Narrow" w:cs="Arial"/>
                <w:sz w:val="20"/>
                <w:szCs w:val="20"/>
                <w:u w:val="single"/>
              </w:rPr>
              <w:fldChar w:fldCharType="begin">
                <w:ffData>
                  <w:name w:val=""/>
                  <w:enabled/>
                  <w:calcOnExit w:val="0"/>
                  <w:checkBox>
                    <w:sizeAuto/>
                    <w:default w:val="1"/>
                  </w:checkBox>
                </w:ffData>
              </w:fldChar>
            </w:r>
            <w:r w:rsidRPr="00486A9A">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486A9A">
              <w:rPr>
                <w:rFonts w:ascii="Arial Narrow" w:hAnsi="Arial Narrow" w:cs="Arial"/>
                <w:sz w:val="20"/>
                <w:szCs w:val="20"/>
                <w:u w:val="single"/>
              </w:rPr>
              <w:fldChar w:fldCharType="end"/>
            </w:r>
            <w:r w:rsidRPr="00486A9A">
              <w:rPr>
                <w:rFonts w:ascii="Arial Narrow" w:hAnsi="Arial Narrow" w:cs="Arial"/>
                <w:sz w:val="20"/>
                <w:szCs w:val="20"/>
                <w:u w:val="single"/>
              </w:rPr>
              <w:t>Streamlined (Public)</w:t>
            </w:r>
          </w:p>
        </w:tc>
      </w:tr>
      <w:tr w:rsidR="00A30FE3" w:rsidRPr="00DD6E54" w:rsidTr="0098011D">
        <w:trPr>
          <w:cantSplit/>
          <w:trHeight w:val="360"/>
        </w:trPr>
        <w:tc>
          <w:tcPr>
            <w:tcW w:w="1076"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u w:val="single"/>
              </w:rPr>
            </w:pPr>
            <w:r w:rsidRPr="00DD6E54">
              <w:rPr>
                <w:rFonts w:ascii="Arial Narrow" w:hAnsi="Arial Narrow" w:cs="Arial"/>
                <w:b/>
                <w:sz w:val="20"/>
                <w:szCs w:val="20"/>
                <w:u w:val="single"/>
              </w:rPr>
              <w:t>Clinical criteria:</w:t>
            </w:r>
          </w:p>
          <w:p w:rsidR="00A30FE3" w:rsidRPr="00DD6E54" w:rsidRDefault="00A30FE3" w:rsidP="00375FA2">
            <w:pPr>
              <w:jc w:val="both"/>
              <w:rPr>
                <w:rFonts w:ascii="Calibri" w:hAnsi="Calibri" w:cs="Arial"/>
                <w:i/>
                <w:sz w:val="20"/>
                <w:szCs w:val="20"/>
              </w:rPr>
            </w:pPr>
          </w:p>
          <w:p w:rsidR="00A30FE3" w:rsidRPr="00DD6E54" w:rsidRDefault="00A30FE3" w:rsidP="00375FA2">
            <w:pPr>
              <w:jc w:val="both"/>
              <w:rPr>
                <w:rFonts w:ascii="Calibri" w:hAnsi="Calibri" w:cs="Arial"/>
                <w:sz w:val="20"/>
                <w:szCs w:val="20"/>
              </w:rPr>
            </w:pPr>
          </w:p>
        </w:tc>
        <w:tc>
          <w:tcPr>
            <w:tcW w:w="3924" w:type="pct"/>
            <w:gridSpan w:val="6"/>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 xml:space="preserve">Patient must be receiving chemotherapy with the intention of achieving a cure or a substantial remission; </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AND</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 xml:space="preserve">Patient must have had a prior episode of febrile neutropenia; </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OR</w:t>
            </w:r>
          </w:p>
          <w:p w:rsidR="00A30FE3" w:rsidRPr="00DD6E54" w:rsidRDefault="00A30FE3" w:rsidP="00375FA2">
            <w:pPr>
              <w:spacing w:before="40" w:after="40"/>
              <w:rPr>
                <w:rFonts w:ascii="Calibri" w:hAnsi="Calibri" w:cs="Arial"/>
                <w:sz w:val="20"/>
                <w:szCs w:val="20"/>
              </w:rPr>
            </w:pPr>
            <w:r w:rsidRPr="00DD6E54">
              <w:rPr>
                <w:rFonts w:ascii="Arial Narrow" w:hAnsi="Arial Narrow" w:cs="Arial"/>
                <w:sz w:val="20"/>
                <w:szCs w:val="20"/>
              </w:rPr>
              <w:t>Patient must have had a prior episode of prolonged severe neutropenia for more than or equal to seven days.</w:t>
            </w:r>
          </w:p>
        </w:tc>
      </w:tr>
      <w:tr w:rsidR="00A30FE3" w:rsidRPr="00DD6E54" w:rsidTr="0098011D">
        <w:trPr>
          <w:cantSplit/>
          <w:trHeight w:val="360"/>
        </w:trPr>
        <w:tc>
          <w:tcPr>
            <w:tcW w:w="1076"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u w:val="single"/>
              </w:rPr>
            </w:pPr>
            <w:r w:rsidRPr="00DD6E54">
              <w:rPr>
                <w:rFonts w:ascii="Arial Narrow" w:hAnsi="Arial Narrow" w:cs="Arial"/>
                <w:b/>
                <w:sz w:val="20"/>
                <w:szCs w:val="20"/>
                <w:u w:val="single"/>
              </w:rPr>
              <w:t>Administrative Advice</w:t>
            </w:r>
          </w:p>
        </w:tc>
        <w:tc>
          <w:tcPr>
            <w:tcW w:w="3924" w:type="pct"/>
            <w:gridSpan w:val="6"/>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b/>
                <w:sz w:val="20"/>
                <w:szCs w:val="20"/>
                <w:u w:val="single"/>
              </w:rPr>
            </w:pPr>
            <w:r w:rsidRPr="00DD6E54">
              <w:rPr>
                <w:rFonts w:ascii="Arial Narrow" w:hAnsi="Arial Narrow" w:cs="Arial"/>
                <w:b/>
                <w:sz w:val="20"/>
                <w:szCs w:val="20"/>
                <w:u w:val="single"/>
              </w:rPr>
              <w:t>Note</w:t>
            </w:r>
          </w:p>
          <w:p w:rsidR="00A30FE3" w:rsidRPr="00DD6E54" w:rsidRDefault="00A30FE3" w:rsidP="00375FA2">
            <w:pPr>
              <w:spacing w:before="40" w:after="40"/>
              <w:rPr>
                <w:rFonts w:ascii="Arial Narrow" w:hAnsi="Arial Narrow" w:cs="Arial"/>
                <w:b/>
                <w:sz w:val="20"/>
                <w:szCs w:val="20"/>
                <w:u w:val="single"/>
              </w:rPr>
            </w:pPr>
            <w:r w:rsidRPr="00DD6E54">
              <w:rPr>
                <w:rFonts w:ascii="Arial Narrow" w:hAnsi="Arial Narrow" w:cs="Arial"/>
                <w:b/>
                <w:sz w:val="20"/>
                <w:szCs w:val="20"/>
                <w:u w:val="single"/>
              </w:rPr>
              <w:t>Biosimilar prescribing policy</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Prescribing of the biosimilar brand FULPHILA® is encouraged for treatment naïve 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5454BE">
              <w:rPr>
                <w:rStyle w:val="Hyperlink"/>
                <w:rFonts w:ascii="Arial Narrow" w:hAnsi="Arial Narrow"/>
                <w:sz w:val="20"/>
                <w:szCs w:val="20"/>
              </w:rPr>
              <w:t>www.health.gov.au/biosimilars</w:t>
            </w:r>
            <w:r w:rsidRPr="00DD6E54">
              <w:rPr>
                <w:rFonts w:ascii="Arial Narrow" w:hAnsi="Arial Narrow" w:cs="Arial"/>
                <w:sz w:val="20"/>
                <w:szCs w:val="20"/>
              </w:rPr>
              <w:t xml:space="preserve">). </w:t>
            </w:r>
          </w:p>
        </w:tc>
      </w:tr>
    </w:tbl>
    <w:p w:rsidR="00654465" w:rsidRPr="00DD6E54" w:rsidRDefault="00654465" w:rsidP="00BE61A3">
      <w:pPr>
        <w:rPr>
          <w:rFonts w:asciiTheme="minorHAnsi" w:hAnsiTheme="minorHAnsi" w:cs="Arial"/>
          <w:bCs/>
          <w:snapToGrid w:val="0"/>
          <w:u w:val="single"/>
          <w:lang w:val="en-GB"/>
        </w:rPr>
      </w:pPr>
    </w:p>
    <w:p w:rsidR="00A30FE3" w:rsidRPr="00DD6E54" w:rsidRDefault="00A30FE3" w:rsidP="00BE61A3">
      <w:pPr>
        <w:rPr>
          <w:rFonts w:asciiTheme="minorHAnsi" w:hAnsiTheme="minorHAnsi" w:cs="Arial"/>
          <w:bCs/>
          <w:snapToGrid w:val="0"/>
          <w:u w:val="single"/>
          <w:lang w:val="en-GB"/>
        </w:rPr>
      </w:pPr>
    </w:p>
    <w:tbl>
      <w:tblPr>
        <w:tblW w:w="5000" w:type="pct"/>
        <w:tblLook w:val="0000" w:firstRow="0" w:lastRow="0" w:firstColumn="0" w:lastColumn="0" w:noHBand="0" w:noVBand="0"/>
      </w:tblPr>
      <w:tblGrid>
        <w:gridCol w:w="1829"/>
        <w:gridCol w:w="1287"/>
        <w:gridCol w:w="688"/>
        <w:gridCol w:w="830"/>
        <w:gridCol w:w="912"/>
        <w:gridCol w:w="1962"/>
        <w:gridCol w:w="711"/>
        <w:gridCol w:w="807"/>
      </w:tblGrid>
      <w:tr w:rsidR="00AE3F7C" w:rsidRPr="00DD6E54" w:rsidTr="0098011D">
        <w:trPr>
          <w:gridAfter w:val="2"/>
          <w:wAfter w:w="841" w:type="pct"/>
          <w:cantSplit/>
          <w:trHeight w:val="465"/>
        </w:trPr>
        <w:tc>
          <w:tcPr>
            <w:tcW w:w="1726" w:type="pct"/>
            <w:gridSpan w:val="2"/>
            <w:tcBorders>
              <w:bottom w:val="single" w:sz="4" w:space="0" w:color="auto"/>
            </w:tcBorders>
          </w:tcPr>
          <w:p w:rsidR="00AE3F7C" w:rsidRPr="00DD6E54" w:rsidRDefault="00AE3F7C" w:rsidP="00375FA2">
            <w:pPr>
              <w:keepNext/>
              <w:spacing w:before="40" w:after="40"/>
              <w:jc w:val="both"/>
              <w:rPr>
                <w:rFonts w:ascii="Arial Narrow" w:hAnsi="Arial Narrow" w:cs="Arial"/>
                <w:b/>
                <w:sz w:val="20"/>
                <w:szCs w:val="20"/>
              </w:rPr>
            </w:pPr>
            <w:r w:rsidRPr="00DD6E54">
              <w:rPr>
                <w:rFonts w:ascii="Arial Narrow" w:hAnsi="Arial Narrow" w:cs="Arial"/>
                <w:b/>
                <w:sz w:val="20"/>
                <w:szCs w:val="20"/>
              </w:rPr>
              <w:t>Name, Restriction,</w:t>
            </w:r>
          </w:p>
          <w:p w:rsidR="00AE3F7C" w:rsidRPr="00DD6E54" w:rsidRDefault="00AE3F7C" w:rsidP="00375FA2">
            <w:pPr>
              <w:keepNext/>
              <w:spacing w:before="40" w:after="40"/>
              <w:jc w:val="both"/>
              <w:rPr>
                <w:rFonts w:ascii="Arial Narrow" w:hAnsi="Arial Narrow" w:cs="Arial"/>
                <w:b/>
                <w:sz w:val="20"/>
                <w:szCs w:val="20"/>
              </w:rPr>
            </w:pPr>
            <w:r w:rsidRPr="00DD6E54">
              <w:rPr>
                <w:rFonts w:ascii="Arial Narrow" w:hAnsi="Arial Narrow" w:cs="Arial"/>
                <w:b/>
                <w:sz w:val="20"/>
                <w:szCs w:val="20"/>
              </w:rPr>
              <w:t>Manner of administration and form</w:t>
            </w:r>
          </w:p>
        </w:tc>
        <w:tc>
          <w:tcPr>
            <w:tcW w:w="381" w:type="pct"/>
            <w:tcBorders>
              <w:bottom w:val="single" w:sz="4" w:space="0" w:color="auto"/>
            </w:tcBorders>
          </w:tcPr>
          <w:p w:rsidR="00AE3F7C" w:rsidRPr="00DD6E54" w:rsidRDefault="00AE3F7C" w:rsidP="00375FA2">
            <w:pPr>
              <w:keepNext/>
              <w:spacing w:before="40" w:after="40"/>
              <w:jc w:val="both"/>
              <w:rPr>
                <w:rFonts w:ascii="Arial Narrow" w:hAnsi="Arial Narrow" w:cs="Arial"/>
                <w:b/>
                <w:sz w:val="20"/>
                <w:szCs w:val="20"/>
              </w:rPr>
            </w:pPr>
            <w:r w:rsidRPr="00DD6E54">
              <w:rPr>
                <w:rFonts w:ascii="Arial Narrow" w:hAnsi="Arial Narrow" w:cs="Arial"/>
                <w:b/>
                <w:sz w:val="20"/>
                <w:szCs w:val="20"/>
              </w:rPr>
              <w:t>Max.</w:t>
            </w:r>
          </w:p>
          <w:p w:rsidR="00AE3F7C" w:rsidRPr="00DD6E54" w:rsidRDefault="00AE3F7C" w:rsidP="00375FA2">
            <w:pPr>
              <w:keepNext/>
              <w:spacing w:before="40" w:after="40"/>
              <w:jc w:val="both"/>
              <w:rPr>
                <w:rFonts w:ascii="Arial Narrow" w:hAnsi="Arial Narrow" w:cs="Arial"/>
                <w:b/>
                <w:sz w:val="20"/>
                <w:szCs w:val="20"/>
              </w:rPr>
            </w:pPr>
            <w:r w:rsidRPr="00DD6E54">
              <w:rPr>
                <w:rFonts w:ascii="Arial Narrow" w:hAnsi="Arial Narrow" w:cs="Arial"/>
                <w:b/>
                <w:sz w:val="20"/>
                <w:szCs w:val="20"/>
              </w:rPr>
              <w:t>Qty</w:t>
            </w:r>
          </w:p>
        </w:tc>
        <w:tc>
          <w:tcPr>
            <w:tcW w:w="460" w:type="pct"/>
            <w:tcBorders>
              <w:bottom w:val="single" w:sz="4" w:space="0" w:color="auto"/>
            </w:tcBorders>
          </w:tcPr>
          <w:p w:rsidR="00AE3F7C" w:rsidRPr="00DD6E54" w:rsidRDefault="00AE3F7C" w:rsidP="00375FA2">
            <w:pPr>
              <w:keepNext/>
              <w:spacing w:before="40" w:after="40"/>
              <w:jc w:val="both"/>
              <w:rPr>
                <w:rFonts w:ascii="Arial Narrow" w:hAnsi="Arial Narrow" w:cs="Arial"/>
                <w:b/>
                <w:sz w:val="20"/>
                <w:szCs w:val="20"/>
              </w:rPr>
            </w:pPr>
            <w:r w:rsidRPr="00DD6E54">
              <w:rPr>
                <w:rFonts w:ascii="Arial Narrow" w:hAnsi="Arial Narrow" w:cs="Arial"/>
                <w:b/>
                <w:sz w:val="20"/>
                <w:szCs w:val="20"/>
              </w:rPr>
              <w:t>№.of</w:t>
            </w:r>
          </w:p>
          <w:p w:rsidR="00AE3F7C" w:rsidRPr="00DD6E54" w:rsidRDefault="00AE3F7C" w:rsidP="00375FA2">
            <w:pPr>
              <w:keepNext/>
              <w:spacing w:before="40" w:after="40"/>
              <w:jc w:val="both"/>
              <w:rPr>
                <w:rFonts w:ascii="Arial Narrow" w:hAnsi="Arial Narrow" w:cs="Arial"/>
                <w:b/>
                <w:sz w:val="20"/>
                <w:szCs w:val="20"/>
              </w:rPr>
            </w:pPr>
            <w:r w:rsidRPr="00DD6E54">
              <w:rPr>
                <w:rFonts w:ascii="Arial Narrow" w:hAnsi="Arial Narrow" w:cs="Arial"/>
                <w:b/>
                <w:sz w:val="20"/>
                <w:szCs w:val="20"/>
              </w:rPr>
              <w:t>Rpts</w:t>
            </w:r>
          </w:p>
        </w:tc>
        <w:tc>
          <w:tcPr>
            <w:tcW w:w="1592" w:type="pct"/>
            <w:gridSpan w:val="2"/>
            <w:tcBorders>
              <w:bottom w:val="single" w:sz="4" w:space="0" w:color="auto"/>
            </w:tcBorders>
          </w:tcPr>
          <w:p w:rsidR="00AE3F7C" w:rsidRPr="00DD6E54" w:rsidRDefault="00AE3F7C" w:rsidP="0098011D">
            <w:pPr>
              <w:keepNext/>
              <w:spacing w:before="40" w:after="40"/>
              <w:ind w:right="-543"/>
              <w:jc w:val="both"/>
              <w:rPr>
                <w:rFonts w:ascii="Arial Narrow" w:hAnsi="Arial Narrow" w:cs="Arial"/>
                <w:b/>
                <w:sz w:val="20"/>
                <w:szCs w:val="20"/>
                <w:lang w:val="fr-FR"/>
              </w:rPr>
            </w:pPr>
            <w:r w:rsidRPr="00DD6E54">
              <w:rPr>
                <w:rFonts w:ascii="Arial Narrow" w:hAnsi="Arial Narrow" w:cs="Arial"/>
                <w:b/>
                <w:sz w:val="20"/>
                <w:szCs w:val="20"/>
              </w:rPr>
              <w:t>Proprietary Name and Manufacturer</w:t>
            </w:r>
          </w:p>
        </w:tc>
      </w:tr>
      <w:tr w:rsidR="00AE3F7C" w:rsidRPr="00DD6E54" w:rsidTr="0098011D">
        <w:trPr>
          <w:gridAfter w:val="2"/>
          <w:wAfter w:w="841" w:type="pct"/>
          <w:cantSplit/>
          <w:trHeight w:val="567"/>
        </w:trPr>
        <w:tc>
          <w:tcPr>
            <w:tcW w:w="1726" w:type="pct"/>
            <w:gridSpan w:val="2"/>
          </w:tcPr>
          <w:p w:rsidR="00AE3F7C" w:rsidRPr="00DD6E54" w:rsidRDefault="00AE3F7C" w:rsidP="00375FA2">
            <w:pPr>
              <w:keepNext/>
              <w:spacing w:before="40" w:after="40"/>
              <w:jc w:val="both"/>
              <w:rPr>
                <w:rFonts w:ascii="Arial Narrow" w:hAnsi="Arial Narrow" w:cs="Arial"/>
                <w:sz w:val="20"/>
                <w:szCs w:val="20"/>
              </w:rPr>
            </w:pPr>
            <w:r w:rsidRPr="00DD6E54">
              <w:rPr>
                <w:rFonts w:ascii="Arial Narrow" w:hAnsi="Arial Narrow" w:cs="Arial"/>
                <w:smallCaps/>
                <w:sz w:val="20"/>
                <w:szCs w:val="20"/>
              </w:rPr>
              <w:t>PEGFILGRASTIM</w:t>
            </w:r>
          </w:p>
          <w:p w:rsidR="00AE3F7C" w:rsidRPr="00DD6E54" w:rsidRDefault="00AE3F7C" w:rsidP="00375FA2">
            <w:pPr>
              <w:keepNext/>
              <w:spacing w:before="40" w:after="40"/>
              <w:jc w:val="both"/>
              <w:rPr>
                <w:rFonts w:ascii="Arial Narrow" w:hAnsi="Arial Narrow" w:cs="Arial"/>
                <w:sz w:val="20"/>
                <w:szCs w:val="20"/>
              </w:rPr>
            </w:pPr>
            <w:r w:rsidRPr="00DD6E54">
              <w:rPr>
                <w:rFonts w:ascii="Arial Narrow" w:hAnsi="Arial Narrow" w:cs="Arial"/>
                <w:sz w:val="20"/>
                <w:szCs w:val="20"/>
              </w:rPr>
              <w:t>6 mg/0.6 mL injection, 0.6 mL syringe</w:t>
            </w:r>
          </w:p>
        </w:tc>
        <w:tc>
          <w:tcPr>
            <w:tcW w:w="381" w:type="pct"/>
          </w:tcPr>
          <w:p w:rsidR="00AE3F7C" w:rsidRPr="00DD6E54" w:rsidRDefault="00AE3F7C" w:rsidP="00375FA2">
            <w:pPr>
              <w:keepNext/>
              <w:spacing w:before="40" w:after="40"/>
              <w:jc w:val="both"/>
              <w:rPr>
                <w:rFonts w:ascii="Arial Narrow" w:hAnsi="Arial Narrow" w:cs="Arial"/>
                <w:sz w:val="20"/>
                <w:szCs w:val="20"/>
              </w:rPr>
            </w:pPr>
          </w:p>
          <w:p w:rsidR="00AE3F7C" w:rsidRPr="00DD6E54" w:rsidRDefault="00AE3F7C" w:rsidP="00375FA2">
            <w:pPr>
              <w:keepNext/>
              <w:spacing w:before="40" w:after="40"/>
              <w:jc w:val="both"/>
              <w:rPr>
                <w:rFonts w:ascii="Arial Narrow" w:hAnsi="Arial Narrow" w:cs="Arial"/>
                <w:sz w:val="20"/>
                <w:szCs w:val="20"/>
              </w:rPr>
            </w:pPr>
            <w:r w:rsidRPr="00DD6E54">
              <w:rPr>
                <w:rFonts w:ascii="Arial Narrow" w:hAnsi="Arial Narrow" w:cs="Arial"/>
                <w:sz w:val="20"/>
                <w:szCs w:val="20"/>
              </w:rPr>
              <w:t>1</w:t>
            </w:r>
          </w:p>
        </w:tc>
        <w:tc>
          <w:tcPr>
            <w:tcW w:w="460" w:type="pct"/>
          </w:tcPr>
          <w:p w:rsidR="00AE3F7C" w:rsidRPr="00DD6E54" w:rsidRDefault="00AE3F7C" w:rsidP="00375FA2">
            <w:pPr>
              <w:keepNext/>
              <w:spacing w:before="40" w:after="40"/>
              <w:jc w:val="both"/>
              <w:rPr>
                <w:rFonts w:ascii="Arial Narrow" w:hAnsi="Arial Narrow" w:cs="Arial"/>
                <w:sz w:val="20"/>
                <w:szCs w:val="20"/>
              </w:rPr>
            </w:pPr>
          </w:p>
          <w:p w:rsidR="00AE3F7C" w:rsidRPr="00DD6E54" w:rsidRDefault="00AE3F7C" w:rsidP="00375FA2">
            <w:pPr>
              <w:keepNext/>
              <w:spacing w:before="40" w:after="40"/>
              <w:jc w:val="both"/>
              <w:rPr>
                <w:rFonts w:ascii="Arial Narrow" w:hAnsi="Arial Narrow" w:cs="Arial"/>
                <w:sz w:val="20"/>
                <w:szCs w:val="20"/>
              </w:rPr>
            </w:pPr>
            <w:r w:rsidRPr="00DD6E54">
              <w:rPr>
                <w:rFonts w:ascii="Arial Narrow" w:hAnsi="Arial Narrow" w:cs="Arial"/>
                <w:sz w:val="20"/>
                <w:szCs w:val="20"/>
              </w:rPr>
              <w:t>11</w:t>
            </w:r>
          </w:p>
        </w:tc>
        <w:tc>
          <w:tcPr>
            <w:tcW w:w="505" w:type="pct"/>
          </w:tcPr>
          <w:p w:rsidR="00AE3F7C" w:rsidRPr="00DD6E54" w:rsidRDefault="00AE3F7C" w:rsidP="00375FA2">
            <w:pPr>
              <w:keepNext/>
              <w:spacing w:before="40" w:after="40"/>
              <w:jc w:val="both"/>
              <w:rPr>
                <w:rFonts w:ascii="Arial Narrow" w:hAnsi="Arial Narrow" w:cs="Arial"/>
                <w:sz w:val="20"/>
                <w:szCs w:val="20"/>
              </w:rPr>
            </w:pPr>
          </w:p>
          <w:p w:rsidR="00AE3F7C" w:rsidRPr="00DD6E54" w:rsidRDefault="00AE3F7C" w:rsidP="00375FA2">
            <w:pPr>
              <w:keepNext/>
              <w:spacing w:before="40" w:after="40"/>
              <w:jc w:val="both"/>
              <w:rPr>
                <w:rFonts w:ascii="Arial Narrow" w:hAnsi="Arial Narrow" w:cs="Arial"/>
                <w:sz w:val="20"/>
                <w:szCs w:val="20"/>
              </w:rPr>
            </w:pPr>
            <w:r w:rsidRPr="00DD6E54">
              <w:rPr>
                <w:rFonts w:ascii="Arial Narrow" w:hAnsi="Arial Narrow" w:cs="Arial"/>
                <w:sz w:val="20"/>
                <w:szCs w:val="20"/>
              </w:rPr>
              <w:t>Fulphila®</w:t>
            </w:r>
          </w:p>
        </w:tc>
        <w:tc>
          <w:tcPr>
            <w:tcW w:w="1086" w:type="pct"/>
          </w:tcPr>
          <w:p w:rsidR="00AE3F7C" w:rsidRPr="00DD6E54" w:rsidRDefault="00AE3F7C" w:rsidP="00375FA2">
            <w:pPr>
              <w:keepNext/>
              <w:spacing w:before="40" w:after="40"/>
              <w:jc w:val="both"/>
              <w:rPr>
                <w:rFonts w:ascii="Arial Narrow" w:hAnsi="Arial Narrow" w:cs="Arial"/>
                <w:sz w:val="20"/>
                <w:szCs w:val="20"/>
              </w:rPr>
            </w:pPr>
            <w:r w:rsidRPr="00DD6E54">
              <w:rPr>
                <w:rFonts w:ascii="Arial Narrow" w:hAnsi="Arial Narrow" w:cs="Arial"/>
                <w:sz w:val="20"/>
                <w:szCs w:val="20"/>
              </w:rPr>
              <w:t xml:space="preserve">Alphapharm Pty </w:t>
            </w:r>
          </w:p>
          <w:p w:rsidR="00AE3F7C" w:rsidRPr="00DD6E54" w:rsidRDefault="00AE3F7C" w:rsidP="00375FA2">
            <w:pPr>
              <w:keepNext/>
              <w:spacing w:before="40" w:after="40"/>
              <w:jc w:val="both"/>
              <w:rPr>
                <w:rFonts w:ascii="Arial Narrow" w:hAnsi="Arial Narrow" w:cs="Arial"/>
                <w:sz w:val="20"/>
                <w:szCs w:val="20"/>
              </w:rPr>
            </w:pPr>
            <w:r w:rsidRPr="00DD6E54">
              <w:rPr>
                <w:rFonts w:ascii="Arial Narrow" w:hAnsi="Arial Narrow" w:cs="Arial"/>
                <w:sz w:val="20"/>
                <w:szCs w:val="20"/>
              </w:rPr>
              <w:t>Ltd</w:t>
            </w:r>
          </w:p>
        </w:tc>
      </w:tr>
      <w:tr w:rsidR="00A30FE3" w:rsidRPr="00DD6E54" w:rsidTr="0098011D">
        <w:trPr>
          <w:gridAfter w:val="1"/>
          <w:wAfter w:w="447" w:type="pct"/>
          <w:cantSplit/>
          <w:trHeight w:val="360"/>
        </w:trPr>
        <w:tc>
          <w:tcPr>
            <w:tcW w:w="4553" w:type="pct"/>
            <w:gridSpan w:val="7"/>
            <w:tcBorders>
              <w:bottom w:val="single" w:sz="4" w:space="0" w:color="auto"/>
            </w:tcBorders>
          </w:tcPr>
          <w:p w:rsidR="00A30FE3" w:rsidRPr="00DD6E54" w:rsidRDefault="00A30FE3" w:rsidP="00375FA2">
            <w:pPr>
              <w:spacing w:before="40" w:after="40"/>
              <w:jc w:val="both"/>
              <w:rPr>
                <w:rFonts w:ascii="Arial Narrow" w:hAnsi="Arial Narrow" w:cs="Arial"/>
                <w:sz w:val="20"/>
                <w:szCs w:val="20"/>
              </w:rPr>
            </w:pPr>
          </w:p>
        </w:tc>
      </w:tr>
      <w:tr w:rsidR="00A30FE3" w:rsidRPr="00DD6E54" w:rsidTr="0098011D">
        <w:trPr>
          <w:cantSplit/>
          <w:trHeight w:val="360"/>
        </w:trPr>
        <w:tc>
          <w:tcPr>
            <w:tcW w:w="1013"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rPr>
            </w:pPr>
            <w:r w:rsidRPr="00DD6E54">
              <w:rPr>
                <w:rFonts w:ascii="Arial Narrow" w:hAnsi="Arial Narrow" w:cs="Arial"/>
                <w:b/>
                <w:sz w:val="20"/>
                <w:szCs w:val="20"/>
              </w:rPr>
              <w:t>Category / Program</w:t>
            </w:r>
          </w:p>
        </w:tc>
        <w:tc>
          <w:tcPr>
            <w:tcW w:w="3987" w:type="pct"/>
            <w:gridSpan w:val="7"/>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Section 100 – Highly Specialised Drugs Program – Public and Private</w:t>
            </w:r>
          </w:p>
        </w:tc>
      </w:tr>
      <w:tr w:rsidR="00A30FE3" w:rsidRPr="00DD6E54" w:rsidTr="0098011D">
        <w:trPr>
          <w:cantSplit/>
          <w:trHeight w:val="360"/>
        </w:trPr>
        <w:tc>
          <w:tcPr>
            <w:tcW w:w="1013"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rPr>
            </w:pPr>
            <w:r w:rsidRPr="00DD6E54">
              <w:rPr>
                <w:rFonts w:ascii="Arial Narrow" w:hAnsi="Arial Narrow" w:cs="Arial"/>
                <w:b/>
                <w:sz w:val="20"/>
                <w:szCs w:val="20"/>
              </w:rPr>
              <w:t>Prescriber type:</w:t>
            </w:r>
          </w:p>
        </w:tc>
        <w:tc>
          <w:tcPr>
            <w:tcW w:w="3987" w:type="pct"/>
            <w:gridSpan w:val="7"/>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fldChar w:fldCharType="begin">
                <w:ffData>
                  <w:name w:val="Check1"/>
                  <w:enabled/>
                  <w:calcOnExit w:val="0"/>
                  <w:checkBox>
                    <w:sizeAuto/>
                    <w:default w:val="0"/>
                  </w:checkBox>
                </w:ffData>
              </w:fldChar>
            </w:r>
            <w:r w:rsidRPr="00DD6E54">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DD6E54">
              <w:rPr>
                <w:rFonts w:ascii="Arial Narrow" w:hAnsi="Arial Narrow" w:cs="Arial"/>
                <w:sz w:val="20"/>
                <w:szCs w:val="20"/>
              </w:rPr>
              <w:fldChar w:fldCharType="end"/>
            </w:r>
            <w:r w:rsidRPr="00DD6E54">
              <w:rPr>
                <w:rFonts w:ascii="Arial Narrow" w:hAnsi="Arial Narrow" w:cs="Arial"/>
                <w:sz w:val="20"/>
                <w:szCs w:val="20"/>
              </w:rPr>
              <w:t xml:space="preserve">Dental  </w:t>
            </w:r>
            <w:r w:rsidRPr="00DD6E54">
              <w:rPr>
                <w:rFonts w:ascii="Arial Narrow" w:hAnsi="Arial Narrow" w:cs="Arial"/>
                <w:sz w:val="20"/>
                <w:szCs w:val="20"/>
              </w:rPr>
              <w:fldChar w:fldCharType="begin">
                <w:ffData>
                  <w:name w:val=""/>
                  <w:enabled/>
                  <w:calcOnExit w:val="0"/>
                  <w:checkBox>
                    <w:sizeAuto/>
                    <w:default w:val="1"/>
                  </w:checkBox>
                </w:ffData>
              </w:fldChar>
            </w:r>
            <w:r w:rsidRPr="00DD6E54">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DD6E54">
              <w:rPr>
                <w:rFonts w:ascii="Arial Narrow" w:hAnsi="Arial Narrow" w:cs="Arial"/>
                <w:sz w:val="20"/>
                <w:szCs w:val="20"/>
              </w:rPr>
              <w:fldChar w:fldCharType="end"/>
            </w:r>
            <w:r w:rsidRPr="00DD6E54">
              <w:rPr>
                <w:rFonts w:ascii="Arial Narrow" w:hAnsi="Arial Narrow" w:cs="Arial"/>
                <w:sz w:val="20"/>
                <w:szCs w:val="20"/>
              </w:rPr>
              <w:t xml:space="preserve">Medical Practitioners  </w:t>
            </w:r>
            <w:r w:rsidRPr="00DD6E54">
              <w:rPr>
                <w:rFonts w:ascii="Arial Narrow" w:hAnsi="Arial Narrow" w:cs="Arial"/>
                <w:sz w:val="20"/>
                <w:szCs w:val="20"/>
              </w:rPr>
              <w:fldChar w:fldCharType="begin">
                <w:ffData>
                  <w:name w:val="Check3"/>
                  <w:enabled/>
                  <w:calcOnExit w:val="0"/>
                  <w:checkBox>
                    <w:sizeAuto/>
                    <w:default w:val="0"/>
                  </w:checkBox>
                </w:ffData>
              </w:fldChar>
            </w:r>
            <w:r w:rsidRPr="00DD6E54">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DD6E54">
              <w:rPr>
                <w:rFonts w:ascii="Arial Narrow" w:hAnsi="Arial Narrow" w:cs="Arial"/>
                <w:sz w:val="20"/>
                <w:szCs w:val="20"/>
              </w:rPr>
              <w:fldChar w:fldCharType="end"/>
            </w:r>
            <w:r w:rsidRPr="00DD6E54">
              <w:rPr>
                <w:rFonts w:ascii="Arial Narrow" w:hAnsi="Arial Narrow" w:cs="Arial"/>
                <w:sz w:val="20"/>
                <w:szCs w:val="20"/>
              </w:rPr>
              <w:t xml:space="preserve">Nurse practitioners  </w:t>
            </w:r>
            <w:r w:rsidRPr="00DD6E54">
              <w:rPr>
                <w:rFonts w:ascii="Arial Narrow" w:hAnsi="Arial Narrow" w:cs="Arial"/>
                <w:sz w:val="20"/>
                <w:szCs w:val="20"/>
              </w:rPr>
              <w:fldChar w:fldCharType="begin">
                <w:ffData>
                  <w:name w:val=""/>
                  <w:enabled/>
                  <w:calcOnExit w:val="0"/>
                  <w:checkBox>
                    <w:sizeAuto/>
                    <w:default w:val="0"/>
                  </w:checkBox>
                </w:ffData>
              </w:fldChar>
            </w:r>
            <w:r w:rsidRPr="00DD6E54">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DD6E54">
              <w:rPr>
                <w:rFonts w:ascii="Arial Narrow" w:hAnsi="Arial Narrow" w:cs="Arial"/>
                <w:sz w:val="20"/>
                <w:szCs w:val="20"/>
              </w:rPr>
              <w:fldChar w:fldCharType="end"/>
            </w:r>
            <w:r w:rsidRPr="00DD6E54">
              <w:rPr>
                <w:rFonts w:ascii="Arial Narrow" w:hAnsi="Arial Narrow" w:cs="Arial"/>
                <w:sz w:val="20"/>
                <w:szCs w:val="20"/>
              </w:rPr>
              <w:t>Optometrists</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fldChar w:fldCharType="begin">
                <w:ffData>
                  <w:name w:val="Check5"/>
                  <w:enabled/>
                  <w:calcOnExit w:val="0"/>
                  <w:checkBox>
                    <w:sizeAuto/>
                    <w:default w:val="0"/>
                  </w:checkBox>
                </w:ffData>
              </w:fldChar>
            </w:r>
            <w:r w:rsidRPr="00DD6E54">
              <w:rPr>
                <w:rFonts w:ascii="Arial Narrow" w:hAnsi="Arial Narrow" w:cs="Arial"/>
                <w:sz w:val="20"/>
                <w:szCs w:val="20"/>
              </w:rPr>
              <w:instrText xml:space="preserve"> FORMCHECKBOX </w:instrText>
            </w:r>
            <w:r w:rsidR="005454BE">
              <w:rPr>
                <w:rFonts w:ascii="Arial Narrow" w:hAnsi="Arial Narrow" w:cs="Arial"/>
                <w:sz w:val="20"/>
                <w:szCs w:val="20"/>
              </w:rPr>
            </w:r>
            <w:r w:rsidR="005454BE">
              <w:rPr>
                <w:rFonts w:ascii="Arial Narrow" w:hAnsi="Arial Narrow" w:cs="Arial"/>
                <w:sz w:val="20"/>
                <w:szCs w:val="20"/>
              </w:rPr>
              <w:fldChar w:fldCharType="separate"/>
            </w:r>
            <w:r w:rsidRPr="00DD6E54">
              <w:rPr>
                <w:rFonts w:ascii="Arial Narrow" w:hAnsi="Arial Narrow" w:cs="Arial"/>
                <w:sz w:val="20"/>
                <w:szCs w:val="20"/>
              </w:rPr>
              <w:fldChar w:fldCharType="end"/>
            </w:r>
            <w:r w:rsidRPr="00DD6E54">
              <w:rPr>
                <w:rFonts w:ascii="Arial Narrow" w:hAnsi="Arial Narrow" w:cs="Arial"/>
                <w:sz w:val="20"/>
                <w:szCs w:val="20"/>
              </w:rPr>
              <w:t>Midwives</w:t>
            </w:r>
          </w:p>
        </w:tc>
      </w:tr>
      <w:tr w:rsidR="00A30FE3" w:rsidRPr="00DD6E54" w:rsidTr="0098011D">
        <w:trPr>
          <w:cantSplit/>
          <w:trHeight w:val="360"/>
        </w:trPr>
        <w:tc>
          <w:tcPr>
            <w:tcW w:w="1013"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rPr>
            </w:pPr>
            <w:r w:rsidRPr="00DD6E54">
              <w:rPr>
                <w:rFonts w:ascii="Arial Narrow" w:hAnsi="Arial Narrow" w:cs="Arial"/>
                <w:b/>
                <w:sz w:val="20"/>
                <w:szCs w:val="20"/>
              </w:rPr>
              <w:t>Condition:</w:t>
            </w:r>
          </w:p>
        </w:tc>
        <w:tc>
          <w:tcPr>
            <w:tcW w:w="3987" w:type="pct"/>
            <w:gridSpan w:val="7"/>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Chemotherapy-induced neutropenia</w:t>
            </w:r>
          </w:p>
        </w:tc>
      </w:tr>
      <w:tr w:rsidR="00A30FE3" w:rsidRPr="00DD6E54" w:rsidTr="0098011D">
        <w:trPr>
          <w:cantSplit/>
          <w:trHeight w:val="360"/>
        </w:trPr>
        <w:tc>
          <w:tcPr>
            <w:tcW w:w="1013"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rPr>
            </w:pPr>
            <w:r w:rsidRPr="00DD6E54">
              <w:rPr>
                <w:rFonts w:ascii="Arial Narrow" w:hAnsi="Arial Narrow" w:cs="Arial"/>
                <w:b/>
                <w:sz w:val="20"/>
                <w:szCs w:val="20"/>
              </w:rPr>
              <w:t>PBS Indication:</w:t>
            </w:r>
          </w:p>
        </w:tc>
        <w:tc>
          <w:tcPr>
            <w:tcW w:w="3987" w:type="pct"/>
            <w:gridSpan w:val="7"/>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Chemotherapy-induced neutropenia</w:t>
            </w:r>
          </w:p>
        </w:tc>
      </w:tr>
      <w:tr w:rsidR="00A30FE3" w:rsidRPr="00DD6E54" w:rsidTr="0098011D">
        <w:trPr>
          <w:cantSplit/>
          <w:trHeight w:val="360"/>
        </w:trPr>
        <w:tc>
          <w:tcPr>
            <w:tcW w:w="1013"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u w:val="single"/>
              </w:rPr>
            </w:pPr>
            <w:r w:rsidRPr="00DD6E54">
              <w:rPr>
                <w:rFonts w:ascii="Arial Narrow" w:hAnsi="Arial Narrow" w:cs="Arial"/>
                <w:b/>
                <w:sz w:val="20"/>
                <w:szCs w:val="20"/>
                <w:u w:val="single"/>
              </w:rPr>
              <w:t>Restriction Level / Method:</w:t>
            </w:r>
          </w:p>
          <w:p w:rsidR="00A30FE3" w:rsidRPr="00DD6E54" w:rsidRDefault="00A30FE3" w:rsidP="00375FA2">
            <w:pPr>
              <w:spacing w:before="40" w:after="40"/>
              <w:rPr>
                <w:rFonts w:ascii="Arial Narrow" w:hAnsi="Arial Narrow" w:cs="Arial"/>
                <w:sz w:val="20"/>
                <w:szCs w:val="20"/>
                <w:u w:val="single"/>
              </w:rPr>
            </w:pPr>
          </w:p>
        </w:tc>
        <w:tc>
          <w:tcPr>
            <w:tcW w:w="3987" w:type="pct"/>
            <w:gridSpan w:val="7"/>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sz w:val="20"/>
                <w:szCs w:val="20"/>
                <w:u w:val="single"/>
              </w:rPr>
            </w:pPr>
            <w:r w:rsidRPr="00DD6E54">
              <w:rPr>
                <w:rFonts w:ascii="Arial Narrow" w:hAnsi="Arial Narrow" w:cs="Arial"/>
                <w:sz w:val="20"/>
                <w:szCs w:val="20"/>
                <w:u w:val="single"/>
              </w:rPr>
              <w:fldChar w:fldCharType="begin">
                <w:ffData>
                  <w:name w:val="Check1"/>
                  <w:enabled/>
                  <w:calcOnExit w:val="0"/>
                  <w:checkBox>
                    <w:sizeAuto/>
                    <w:default w:val="0"/>
                  </w:checkBox>
                </w:ffData>
              </w:fldChar>
            </w:r>
            <w:r w:rsidRPr="00DD6E54">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DD6E54">
              <w:rPr>
                <w:rFonts w:ascii="Arial Narrow" w:hAnsi="Arial Narrow" w:cs="Arial"/>
                <w:sz w:val="20"/>
                <w:szCs w:val="20"/>
                <w:u w:val="single"/>
              </w:rPr>
              <w:fldChar w:fldCharType="end"/>
            </w:r>
            <w:r w:rsidRPr="00DD6E54">
              <w:rPr>
                <w:rFonts w:ascii="Arial Narrow" w:hAnsi="Arial Narrow" w:cs="Arial"/>
                <w:sz w:val="20"/>
                <w:szCs w:val="20"/>
                <w:u w:val="single"/>
              </w:rPr>
              <w:t>Restricted benefit</w:t>
            </w:r>
          </w:p>
          <w:p w:rsidR="00A30FE3" w:rsidRPr="00DD6E54" w:rsidRDefault="00A30FE3" w:rsidP="00375FA2">
            <w:pPr>
              <w:spacing w:before="40" w:after="40"/>
              <w:rPr>
                <w:rFonts w:ascii="Arial Narrow" w:hAnsi="Arial Narrow" w:cs="Arial"/>
                <w:sz w:val="20"/>
                <w:szCs w:val="20"/>
                <w:u w:val="single"/>
              </w:rPr>
            </w:pPr>
            <w:r w:rsidRPr="00DD6E54">
              <w:rPr>
                <w:rFonts w:ascii="Arial Narrow" w:hAnsi="Arial Narrow" w:cs="Arial"/>
                <w:sz w:val="20"/>
                <w:szCs w:val="20"/>
                <w:u w:val="single"/>
              </w:rPr>
              <w:fldChar w:fldCharType="begin">
                <w:ffData>
                  <w:name w:val=""/>
                  <w:enabled/>
                  <w:calcOnExit w:val="0"/>
                  <w:checkBox>
                    <w:sizeAuto/>
                    <w:default w:val="0"/>
                  </w:checkBox>
                </w:ffData>
              </w:fldChar>
            </w:r>
            <w:r w:rsidRPr="00DD6E54">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DD6E54">
              <w:rPr>
                <w:rFonts w:ascii="Arial Narrow" w:hAnsi="Arial Narrow" w:cs="Arial"/>
                <w:sz w:val="20"/>
                <w:szCs w:val="20"/>
                <w:u w:val="single"/>
              </w:rPr>
              <w:fldChar w:fldCharType="end"/>
            </w:r>
            <w:r w:rsidRPr="00DD6E54">
              <w:rPr>
                <w:rFonts w:ascii="Arial Narrow" w:hAnsi="Arial Narrow" w:cs="Arial"/>
                <w:sz w:val="20"/>
                <w:szCs w:val="20"/>
                <w:u w:val="single"/>
              </w:rPr>
              <w:t>Authority Required - In Writing (Private)</w:t>
            </w:r>
          </w:p>
          <w:p w:rsidR="00A30FE3" w:rsidRPr="00DD6E54" w:rsidRDefault="00A30FE3" w:rsidP="00375FA2">
            <w:pPr>
              <w:spacing w:before="40" w:after="40"/>
              <w:rPr>
                <w:rFonts w:ascii="Arial Narrow" w:hAnsi="Arial Narrow" w:cs="Arial"/>
                <w:sz w:val="20"/>
                <w:szCs w:val="20"/>
                <w:u w:val="single"/>
              </w:rPr>
            </w:pPr>
            <w:r w:rsidRPr="00DD6E54">
              <w:rPr>
                <w:rFonts w:ascii="Arial Narrow" w:hAnsi="Arial Narrow" w:cs="Arial"/>
                <w:sz w:val="20"/>
                <w:szCs w:val="20"/>
                <w:u w:val="single"/>
              </w:rPr>
              <w:fldChar w:fldCharType="begin">
                <w:ffData>
                  <w:name w:val="Check3"/>
                  <w:enabled/>
                  <w:calcOnExit w:val="0"/>
                  <w:checkBox>
                    <w:sizeAuto/>
                    <w:default w:val="1"/>
                  </w:checkBox>
                </w:ffData>
              </w:fldChar>
            </w:r>
            <w:r w:rsidRPr="00DD6E54">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DD6E54">
              <w:rPr>
                <w:rFonts w:ascii="Arial Narrow" w:hAnsi="Arial Narrow" w:cs="Arial"/>
                <w:sz w:val="20"/>
                <w:szCs w:val="20"/>
                <w:u w:val="single"/>
              </w:rPr>
              <w:fldChar w:fldCharType="end"/>
            </w:r>
            <w:r w:rsidRPr="00DD6E54">
              <w:rPr>
                <w:rFonts w:ascii="Arial Narrow" w:hAnsi="Arial Narrow" w:cs="Arial"/>
                <w:sz w:val="20"/>
                <w:szCs w:val="20"/>
                <w:u w:val="single"/>
              </w:rPr>
              <w:t>Authority Required – Telephone (Private)</w:t>
            </w:r>
          </w:p>
          <w:p w:rsidR="00A30FE3" w:rsidRPr="00DD6E54" w:rsidRDefault="00A30FE3" w:rsidP="00375FA2">
            <w:pPr>
              <w:spacing w:before="40" w:after="40"/>
              <w:rPr>
                <w:rFonts w:ascii="Arial Narrow" w:hAnsi="Arial Narrow" w:cs="Arial"/>
                <w:sz w:val="20"/>
                <w:szCs w:val="20"/>
                <w:u w:val="single"/>
              </w:rPr>
            </w:pPr>
            <w:r w:rsidRPr="00DD6E54">
              <w:rPr>
                <w:rFonts w:ascii="Arial Narrow" w:hAnsi="Arial Narrow" w:cs="Arial"/>
                <w:sz w:val="20"/>
                <w:szCs w:val="20"/>
                <w:u w:val="single"/>
              </w:rPr>
              <w:fldChar w:fldCharType="begin">
                <w:ffData>
                  <w:name w:val=""/>
                  <w:enabled/>
                  <w:calcOnExit w:val="0"/>
                  <w:checkBox>
                    <w:sizeAuto/>
                    <w:default w:val="0"/>
                  </w:checkBox>
                </w:ffData>
              </w:fldChar>
            </w:r>
            <w:r w:rsidRPr="00DD6E54">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DD6E54">
              <w:rPr>
                <w:rFonts w:ascii="Arial Narrow" w:hAnsi="Arial Narrow" w:cs="Arial"/>
                <w:sz w:val="20"/>
                <w:szCs w:val="20"/>
                <w:u w:val="single"/>
              </w:rPr>
              <w:fldChar w:fldCharType="end"/>
            </w:r>
            <w:r w:rsidRPr="00DD6E54">
              <w:rPr>
                <w:rFonts w:ascii="Arial Narrow" w:hAnsi="Arial Narrow" w:cs="Arial"/>
                <w:sz w:val="20"/>
                <w:szCs w:val="20"/>
                <w:u w:val="single"/>
              </w:rPr>
              <w:t>Authority Required – Emergency</w:t>
            </w:r>
          </w:p>
          <w:p w:rsidR="00A30FE3" w:rsidRPr="00DD6E54" w:rsidRDefault="00A30FE3" w:rsidP="00375FA2">
            <w:pPr>
              <w:spacing w:before="40" w:after="40"/>
              <w:rPr>
                <w:rFonts w:ascii="Arial Narrow" w:hAnsi="Arial Narrow" w:cs="Arial"/>
                <w:sz w:val="20"/>
                <w:szCs w:val="20"/>
                <w:u w:val="single"/>
              </w:rPr>
            </w:pPr>
            <w:r w:rsidRPr="00DD6E54">
              <w:rPr>
                <w:rFonts w:ascii="Arial Narrow" w:hAnsi="Arial Narrow" w:cs="Arial"/>
                <w:sz w:val="20"/>
                <w:szCs w:val="20"/>
                <w:u w:val="single"/>
              </w:rPr>
              <w:fldChar w:fldCharType="begin">
                <w:ffData>
                  <w:name w:val="Check5"/>
                  <w:enabled/>
                  <w:calcOnExit w:val="0"/>
                  <w:checkBox>
                    <w:sizeAuto/>
                    <w:default w:val="0"/>
                  </w:checkBox>
                </w:ffData>
              </w:fldChar>
            </w:r>
            <w:r w:rsidRPr="00DD6E54">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DD6E54">
              <w:rPr>
                <w:rFonts w:ascii="Arial Narrow" w:hAnsi="Arial Narrow" w:cs="Arial"/>
                <w:sz w:val="20"/>
                <w:szCs w:val="20"/>
                <w:u w:val="single"/>
              </w:rPr>
              <w:fldChar w:fldCharType="end"/>
            </w:r>
            <w:r w:rsidRPr="00DD6E54">
              <w:rPr>
                <w:rFonts w:ascii="Arial Narrow" w:hAnsi="Arial Narrow" w:cs="Arial"/>
                <w:sz w:val="20"/>
                <w:szCs w:val="20"/>
                <w:u w:val="single"/>
              </w:rPr>
              <w:t>Authority Required – Electronic (Private)</w:t>
            </w:r>
          </w:p>
          <w:p w:rsidR="00A30FE3" w:rsidRPr="00DD6E54" w:rsidRDefault="00A30FE3" w:rsidP="00375FA2">
            <w:pPr>
              <w:spacing w:before="40" w:after="40"/>
              <w:rPr>
                <w:rFonts w:ascii="Arial Narrow" w:hAnsi="Arial Narrow" w:cs="Arial"/>
                <w:sz w:val="20"/>
                <w:szCs w:val="20"/>
                <w:u w:val="single"/>
              </w:rPr>
            </w:pPr>
            <w:r w:rsidRPr="00DD6E54">
              <w:rPr>
                <w:rFonts w:ascii="Arial Narrow" w:hAnsi="Arial Narrow" w:cs="Arial"/>
                <w:sz w:val="20"/>
                <w:szCs w:val="20"/>
                <w:u w:val="single"/>
              </w:rPr>
              <w:fldChar w:fldCharType="begin">
                <w:ffData>
                  <w:name w:val=""/>
                  <w:enabled/>
                  <w:calcOnExit w:val="0"/>
                  <w:checkBox>
                    <w:sizeAuto/>
                    <w:default w:val="1"/>
                  </w:checkBox>
                </w:ffData>
              </w:fldChar>
            </w:r>
            <w:r w:rsidRPr="00DD6E54">
              <w:rPr>
                <w:rFonts w:ascii="Arial Narrow" w:hAnsi="Arial Narrow" w:cs="Arial"/>
                <w:sz w:val="20"/>
                <w:szCs w:val="20"/>
                <w:u w:val="single"/>
              </w:rPr>
              <w:instrText xml:space="preserve"> FORMCHECKBOX </w:instrText>
            </w:r>
            <w:r w:rsidR="005454BE">
              <w:rPr>
                <w:rFonts w:ascii="Arial Narrow" w:hAnsi="Arial Narrow" w:cs="Arial"/>
                <w:sz w:val="20"/>
                <w:szCs w:val="20"/>
                <w:u w:val="single"/>
              </w:rPr>
            </w:r>
            <w:r w:rsidR="005454BE">
              <w:rPr>
                <w:rFonts w:ascii="Arial Narrow" w:hAnsi="Arial Narrow" w:cs="Arial"/>
                <w:sz w:val="20"/>
                <w:szCs w:val="20"/>
                <w:u w:val="single"/>
              </w:rPr>
              <w:fldChar w:fldCharType="separate"/>
            </w:r>
            <w:r w:rsidRPr="00DD6E54">
              <w:rPr>
                <w:rFonts w:ascii="Arial Narrow" w:hAnsi="Arial Narrow" w:cs="Arial"/>
                <w:sz w:val="20"/>
                <w:szCs w:val="20"/>
                <w:u w:val="single"/>
              </w:rPr>
              <w:fldChar w:fldCharType="end"/>
            </w:r>
            <w:r w:rsidRPr="00DD6E54">
              <w:rPr>
                <w:rFonts w:ascii="Arial Narrow" w:hAnsi="Arial Narrow" w:cs="Arial"/>
                <w:sz w:val="20"/>
                <w:szCs w:val="20"/>
                <w:u w:val="single"/>
              </w:rPr>
              <w:t>Streamlined (Public)</w:t>
            </w:r>
          </w:p>
        </w:tc>
      </w:tr>
      <w:tr w:rsidR="00A30FE3" w:rsidRPr="00DD6E54" w:rsidTr="0098011D">
        <w:trPr>
          <w:cantSplit/>
          <w:trHeight w:val="360"/>
        </w:trPr>
        <w:tc>
          <w:tcPr>
            <w:tcW w:w="1013" w:type="pct"/>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jc w:val="both"/>
              <w:rPr>
                <w:rFonts w:ascii="Arial Narrow" w:hAnsi="Arial Narrow" w:cs="Arial"/>
                <w:b/>
                <w:sz w:val="20"/>
                <w:szCs w:val="20"/>
                <w:u w:val="single"/>
              </w:rPr>
            </w:pPr>
            <w:r w:rsidRPr="00DD6E54">
              <w:rPr>
                <w:rFonts w:ascii="Arial Narrow" w:hAnsi="Arial Narrow" w:cs="Arial"/>
                <w:b/>
                <w:sz w:val="20"/>
                <w:szCs w:val="20"/>
                <w:u w:val="single"/>
              </w:rPr>
              <w:t>Clinical criteria:</w:t>
            </w:r>
          </w:p>
          <w:p w:rsidR="00A30FE3" w:rsidRPr="00DD6E54" w:rsidRDefault="00A30FE3" w:rsidP="00375FA2">
            <w:pPr>
              <w:jc w:val="both"/>
              <w:rPr>
                <w:rFonts w:ascii="Calibri" w:hAnsi="Calibri" w:cs="Arial"/>
                <w:i/>
                <w:sz w:val="20"/>
                <w:szCs w:val="20"/>
              </w:rPr>
            </w:pPr>
          </w:p>
          <w:p w:rsidR="00A30FE3" w:rsidRPr="00DD6E54" w:rsidRDefault="00A30FE3" w:rsidP="00375FA2">
            <w:pPr>
              <w:jc w:val="both"/>
              <w:rPr>
                <w:rFonts w:ascii="Calibri" w:hAnsi="Calibri" w:cs="Arial"/>
                <w:sz w:val="20"/>
                <w:szCs w:val="20"/>
              </w:rPr>
            </w:pPr>
          </w:p>
        </w:tc>
        <w:tc>
          <w:tcPr>
            <w:tcW w:w="3987" w:type="pct"/>
            <w:gridSpan w:val="7"/>
            <w:tcBorders>
              <w:top w:val="single" w:sz="4" w:space="0" w:color="auto"/>
              <w:left w:val="single" w:sz="4" w:space="0" w:color="auto"/>
              <w:bottom w:val="single" w:sz="4" w:space="0" w:color="auto"/>
              <w:right w:val="single" w:sz="4" w:space="0" w:color="auto"/>
            </w:tcBorders>
          </w:tcPr>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Patient must be receiving chemotherapy with the intention of achieving a cure or a substantial remission;</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AND</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 xml:space="preserve">Patient must be at greater than 20% risk of developing febrile neutropenia; </w:t>
            </w:r>
          </w:p>
          <w:p w:rsidR="00A30FE3" w:rsidRPr="00DD6E54" w:rsidRDefault="00A30FE3" w:rsidP="00375FA2">
            <w:pPr>
              <w:spacing w:before="40" w:after="40"/>
              <w:rPr>
                <w:rFonts w:ascii="Arial Narrow" w:hAnsi="Arial Narrow" w:cs="Arial"/>
                <w:sz w:val="20"/>
                <w:szCs w:val="20"/>
              </w:rPr>
            </w:pPr>
            <w:r w:rsidRPr="00DD6E54">
              <w:rPr>
                <w:rFonts w:ascii="Arial Narrow" w:hAnsi="Arial Narrow" w:cs="Arial"/>
                <w:sz w:val="20"/>
                <w:szCs w:val="20"/>
              </w:rPr>
              <w:t>OR</w:t>
            </w:r>
          </w:p>
          <w:p w:rsidR="00A30FE3" w:rsidRPr="00DD6E54" w:rsidRDefault="00A30FE3" w:rsidP="00375FA2">
            <w:pPr>
              <w:spacing w:before="40" w:after="40"/>
              <w:rPr>
                <w:rFonts w:ascii="Calibri" w:hAnsi="Calibri" w:cs="Arial"/>
                <w:sz w:val="20"/>
                <w:szCs w:val="20"/>
              </w:rPr>
            </w:pPr>
            <w:r w:rsidRPr="00DD6E54">
              <w:rPr>
                <w:rFonts w:ascii="Arial Narrow" w:hAnsi="Arial Narrow" w:cs="Arial"/>
                <w:sz w:val="20"/>
                <w:szCs w:val="20"/>
              </w:rPr>
              <w:t xml:space="preserve">Patient must be at substantial risk (greater than 20%) of prolonged severe neutropenia for more than or equal to seven days. </w:t>
            </w:r>
          </w:p>
        </w:tc>
      </w:tr>
      <w:tr w:rsidR="00A30FE3" w:rsidRPr="005B7780" w:rsidTr="0098011D">
        <w:trPr>
          <w:cantSplit/>
          <w:trHeight w:val="360"/>
        </w:trPr>
        <w:tc>
          <w:tcPr>
            <w:tcW w:w="1013" w:type="pct"/>
            <w:tcBorders>
              <w:top w:val="single" w:sz="4" w:space="0" w:color="auto"/>
              <w:left w:val="single" w:sz="4" w:space="0" w:color="auto"/>
              <w:bottom w:val="single" w:sz="4" w:space="0" w:color="auto"/>
              <w:right w:val="single" w:sz="4" w:space="0" w:color="auto"/>
            </w:tcBorders>
          </w:tcPr>
          <w:p w:rsidR="00A30FE3" w:rsidRPr="00394217" w:rsidRDefault="00A30FE3" w:rsidP="00375FA2">
            <w:pPr>
              <w:spacing w:before="40" w:after="40"/>
              <w:jc w:val="both"/>
              <w:rPr>
                <w:rFonts w:ascii="Arial Narrow" w:hAnsi="Arial Narrow" w:cs="Arial"/>
                <w:b/>
                <w:sz w:val="20"/>
                <w:szCs w:val="20"/>
                <w:u w:val="single"/>
              </w:rPr>
            </w:pPr>
            <w:r w:rsidRPr="00394217">
              <w:rPr>
                <w:rFonts w:ascii="Arial Narrow" w:hAnsi="Arial Narrow" w:cs="Arial"/>
                <w:b/>
                <w:sz w:val="20"/>
                <w:szCs w:val="20"/>
                <w:u w:val="single"/>
              </w:rPr>
              <w:t>Administrative Advice</w:t>
            </w:r>
          </w:p>
        </w:tc>
        <w:tc>
          <w:tcPr>
            <w:tcW w:w="3987" w:type="pct"/>
            <w:gridSpan w:val="7"/>
            <w:tcBorders>
              <w:top w:val="single" w:sz="4" w:space="0" w:color="auto"/>
              <w:left w:val="single" w:sz="4" w:space="0" w:color="auto"/>
              <w:bottom w:val="single" w:sz="4" w:space="0" w:color="auto"/>
              <w:right w:val="single" w:sz="4" w:space="0" w:color="auto"/>
            </w:tcBorders>
          </w:tcPr>
          <w:p w:rsidR="00A30FE3" w:rsidRDefault="00A30FE3" w:rsidP="00375FA2">
            <w:pPr>
              <w:spacing w:before="40" w:after="40"/>
              <w:rPr>
                <w:rFonts w:ascii="Arial Narrow" w:hAnsi="Arial Narrow" w:cs="Arial"/>
                <w:b/>
                <w:sz w:val="20"/>
                <w:szCs w:val="20"/>
                <w:u w:val="single"/>
              </w:rPr>
            </w:pPr>
            <w:r>
              <w:rPr>
                <w:rFonts w:ascii="Arial Narrow" w:hAnsi="Arial Narrow" w:cs="Arial"/>
                <w:b/>
                <w:sz w:val="20"/>
                <w:szCs w:val="20"/>
                <w:u w:val="single"/>
              </w:rPr>
              <w:t>Note</w:t>
            </w:r>
          </w:p>
          <w:p w:rsidR="00A30FE3" w:rsidRDefault="00A30FE3" w:rsidP="00375FA2">
            <w:pPr>
              <w:spacing w:before="40" w:after="40"/>
              <w:rPr>
                <w:rFonts w:ascii="Arial Narrow" w:hAnsi="Arial Narrow" w:cs="Arial"/>
                <w:b/>
                <w:sz w:val="20"/>
                <w:szCs w:val="20"/>
                <w:u w:val="single"/>
              </w:rPr>
            </w:pPr>
            <w:r>
              <w:rPr>
                <w:rFonts w:ascii="Arial Narrow" w:hAnsi="Arial Narrow" w:cs="Arial"/>
                <w:b/>
                <w:sz w:val="20"/>
                <w:szCs w:val="20"/>
                <w:u w:val="single"/>
              </w:rPr>
              <w:t>Biosimilar prescribing policy</w:t>
            </w:r>
          </w:p>
          <w:p w:rsidR="00A30FE3" w:rsidRPr="005B7780" w:rsidRDefault="00A30FE3" w:rsidP="00375FA2">
            <w:pPr>
              <w:spacing w:before="40" w:after="40"/>
              <w:rPr>
                <w:rFonts w:ascii="Arial Narrow" w:hAnsi="Arial Narrow" w:cs="Arial"/>
                <w:sz w:val="20"/>
                <w:szCs w:val="20"/>
              </w:rPr>
            </w:pPr>
            <w:r w:rsidRPr="00394217">
              <w:rPr>
                <w:rFonts w:ascii="Arial Narrow" w:hAnsi="Arial Narrow" w:cs="Arial"/>
                <w:sz w:val="20"/>
                <w:szCs w:val="20"/>
              </w:rPr>
              <w:t xml:space="preserve">Prescribing of the biosimilar brand FULPHILA® is encouraged for treatment naïve </w:t>
            </w:r>
            <w:r>
              <w:rPr>
                <w:rFonts w:ascii="Arial Narrow" w:hAnsi="Arial Narrow" w:cs="Arial"/>
                <w:sz w:val="20"/>
                <w:szCs w:val="20"/>
              </w:rPr>
              <w:t>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5454BE">
              <w:rPr>
                <w:rStyle w:val="Hyperlink"/>
                <w:rFonts w:ascii="Arial Narrow" w:hAnsi="Arial Narrow"/>
                <w:sz w:val="20"/>
                <w:szCs w:val="20"/>
              </w:rPr>
              <w:t>www.health.gov.au/biosimilars</w:t>
            </w:r>
            <w:r>
              <w:rPr>
                <w:rFonts w:ascii="Arial Narrow" w:hAnsi="Arial Narrow" w:cs="Arial"/>
                <w:sz w:val="20"/>
                <w:szCs w:val="20"/>
              </w:rPr>
              <w:t xml:space="preserve">). </w:t>
            </w:r>
          </w:p>
        </w:tc>
      </w:tr>
    </w:tbl>
    <w:p w:rsidR="0098011D" w:rsidRDefault="0098011D" w:rsidP="0098011D">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Context for Decision </w:t>
      </w:r>
    </w:p>
    <w:p w:rsidR="0098011D" w:rsidRPr="00C07617" w:rsidRDefault="0098011D" w:rsidP="0098011D">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8011D" w:rsidRDefault="0098011D" w:rsidP="0098011D">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98011D" w:rsidRPr="00435E91" w:rsidRDefault="0098011D" w:rsidP="0098011D">
      <w:pPr>
        <w:spacing w:after="120" w:line="276" w:lineRule="auto"/>
        <w:jc w:val="both"/>
        <w:rPr>
          <w:rFonts w:asciiTheme="minorHAnsi" w:eastAsiaTheme="minorHAnsi" w:hAnsiTheme="minorHAnsi" w:cs="Arial"/>
          <w:bCs/>
          <w:szCs w:val="22"/>
          <w:lang w:eastAsia="en-US"/>
        </w:rPr>
      </w:pPr>
      <w:r w:rsidRPr="006F232D">
        <w:rPr>
          <w:rFonts w:asciiTheme="minorHAnsi" w:eastAsiaTheme="minorHAnsi" w:hAnsiTheme="minorHAnsi" w:cs="Arial"/>
          <w:bCs/>
          <w:szCs w:val="22"/>
          <w:lang w:eastAsia="en-US"/>
        </w:rPr>
        <w:t>The sponsor had no comment.</w:t>
      </w:r>
    </w:p>
    <w:p w:rsidR="0098011D" w:rsidRPr="00486A9A" w:rsidRDefault="0098011D" w:rsidP="00BE61A3">
      <w:pPr>
        <w:rPr>
          <w:rFonts w:asciiTheme="minorHAnsi" w:hAnsiTheme="minorHAnsi" w:cs="Arial"/>
          <w:bCs/>
          <w:snapToGrid w:val="0"/>
          <w:u w:val="single"/>
          <w:lang w:val="en-GB"/>
        </w:rPr>
      </w:pPr>
    </w:p>
    <w:sectPr w:rsidR="0098011D" w:rsidRPr="00486A9A" w:rsidSect="00AF584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4BE" w:rsidRDefault="005454BE" w:rsidP="001F254E">
      <w:r>
        <w:separator/>
      </w:r>
    </w:p>
  </w:endnote>
  <w:endnote w:type="continuationSeparator" w:id="0">
    <w:p w:rsidR="005454BE" w:rsidRDefault="005454BE" w:rsidP="001F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body)">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153F" w:rsidTr="00AF5840">
      <w:trPr>
        <w:trHeight w:val="151"/>
      </w:trPr>
      <w:tc>
        <w:tcPr>
          <w:tcW w:w="2250" w:type="pct"/>
          <w:tcBorders>
            <w:top w:val="nil"/>
            <w:left w:val="nil"/>
            <w:bottom w:val="single" w:sz="4" w:space="0" w:color="4F81BD"/>
            <w:right w:val="nil"/>
          </w:tcBorders>
        </w:tcPr>
        <w:p w:rsidR="003B153F" w:rsidRPr="005A3173" w:rsidRDefault="003B153F" w:rsidP="00AF5840">
          <w:pPr>
            <w:pStyle w:val="Header"/>
            <w:spacing w:line="276" w:lineRule="auto"/>
            <w:rPr>
              <w:rFonts w:ascii="Calibri" w:eastAsia="MS Gothic" w:hAnsi="Calibri"/>
              <w:b/>
              <w:bCs/>
              <w:color w:val="4F81BD"/>
            </w:rPr>
          </w:pPr>
        </w:p>
      </w:tc>
      <w:tc>
        <w:tcPr>
          <w:tcW w:w="500" w:type="pct"/>
          <w:vMerge w:val="restart"/>
          <w:noWrap/>
          <w:vAlign w:val="center"/>
          <w:hideMark/>
        </w:tcPr>
        <w:p w:rsidR="003B153F" w:rsidRPr="005A3173" w:rsidRDefault="003B153F" w:rsidP="00AF584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153F" w:rsidRPr="005A3173" w:rsidRDefault="003B153F" w:rsidP="00AF5840">
          <w:pPr>
            <w:pStyle w:val="Header"/>
            <w:spacing w:line="276" w:lineRule="auto"/>
            <w:rPr>
              <w:rFonts w:ascii="Calibri" w:eastAsia="MS Gothic" w:hAnsi="Calibri"/>
              <w:b/>
              <w:bCs/>
              <w:color w:val="4F81BD"/>
            </w:rPr>
          </w:pPr>
        </w:p>
      </w:tc>
    </w:tr>
    <w:tr w:rsidR="003B153F" w:rsidTr="00AF5840">
      <w:trPr>
        <w:trHeight w:val="150"/>
      </w:trPr>
      <w:tc>
        <w:tcPr>
          <w:tcW w:w="2250" w:type="pct"/>
          <w:tcBorders>
            <w:top w:val="single" w:sz="4" w:space="0" w:color="4F81BD"/>
            <w:left w:val="nil"/>
            <w:bottom w:val="nil"/>
            <w:right w:val="nil"/>
          </w:tcBorders>
        </w:tcPr>
        <w:p w:rsidR="003B153F" w:rsidRPr="005A3173" w:rsidRDefault="003B153F" w:rsidP="00AF5840">
          <w:pPr>
            <w:pStyle w:val="Header"/>
            <w:spacing w:line="276" w:lineRule="auto"/>
            <w:rPr>
              <w:rFonts w:ascii="Calibri" w:eastAsia="MS Gothic" w:hAnsi="Calibri"/>
              <w:b/>
              <w:bCs/>
              <w:color w:val="4F81BD"/>
            </w:rPr>
          </w:pPr>
        </w:p>
      </w:tc>
      <w:tc>
        <w:tcPr>
          <w:tcW w:w="0" w:type="auto"/>
          <w:vMerge/>
          <w:vAlign w:val="center"/>
          <w:hideMark/>
        </w:tcPr>
        <w:p w:rsidR="003B153F" w:rsidRPr="005A3173" w:rsidRDefault="003B153F" w:rsidP="00AF5840">
          <w:pPr>
            <w:rPr>
              <w:rFonts w:ascii="Calibri" w:hAnsi="Calibri"/>
              <w:color w:val="365F91"/>
              <w:sz w:val="22"/>
              <w:szCs w:val="22"/>
            </w:rPr>
          </w:pPr>
        </w:p>
      </w:tc>
      <w:tc>
        <w:tcPr>
          <w:tcW w:w="2250" w:type="pct"/>
          <w:tcBorders>
            <w:top w:val="single" w:sz="4" w:space="0" w:color="4F81BD"/>
            <w:left w:val="nil"/>
            <w:bottom w:val="nil"/>
            <w:right w:val="nil"/>
          </w:tcBorders>
        </w:tcPr>
        <w:p w:rsidR="003B153F" w:rsidRPr="005A3173" w:rsidRDefault="003B153F" w:rsidP="00AF5840">
          <w:pPr>
            <w:pStyle w:val="Header"/>
            <w:spacing w:line="276" w:lineRule="auto"/>
            <w:rPr>
              <w:rFonts w:ascii="Calibri" w:eastAsia="MS Gothic" w:hAnsi="Calibri"/>
              <w:b/>
              <w:bCs/>
              <w:color w:val="4F81BD"/>
            </w:rPr>
          </w:pPr>
        </w:p>
      </w:tc>
    </w:tr>
  </w:tbl>
  <w:p w:rsidR="003B153F" w:rsidRDefault="003B153F" w:rsidP="00AF58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153F" w:rsidRDefault="003B153F">
    <w:pPr>
      <w:pStyle w:val="Footer"/>
    </w:pPr>
  </w:p>
  <w:p w:rsidR="003B153F" w:rsidRDefault="003B153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258603"/>
      <w:docPartObj>
        <w:docPartGallery w:val="Page Numbers (Bottom of Page)"/>
        <w:docPartUnique/>
      </w:docPartObj>
    </w:sdtPr>
    <w:sdtEndPr>
      <w:rPr>
        <w:rFonts w:asciiTheme="minorHAnsi" w:hAnsiTheme="minorHAnsi"/>
        <w:b/>
        <w:noProof/>
        <w:sz w:val="20"/>
      </w:rPr>
    </w:sdtEndPr>
    <w:sdtContent>
      <w:p w:rsidR="003B153F" w:rsidRDefault="003B153F">
        <w:pPr>
          <w:pStyle w:val="Footer"/>
          <w:jc w:val="center"/>
        </w:pPr>
      </w:p>
      <w:p w:rsidR="003B153F" w:rsidRPr="00A6080A" w:rsidRDefault="003B153F" w:rsidP="00AF5840">
        <w:pPr>
          <w:pStyle w:val="Footer"/>
          <w:jc w:val="center"/>
          <w:rPr>
            <w:rFonts w:asciiTheme="minorHAnsi" w:hAnsiTheme="minorHAnsi"/>
            <w:b/>
            <w:sz w:val="20"/>
          </w:rPr>
        </w:pPr>
        <w:r w:rsidRPr="009112D1">
          <w:rPr>
            <w:rFonts w:asciiTheme="minorHAnsi" w:hAnsiTheme="minorHAnsi"/>
            <w:b/>
            <w:sz w:val="20"/>
          </w:rPr>
          <w:fldChar w:fldCharType="begin"/>
        </w:r>
        <w:r w:rsidRPr="009112D1">
          <w:rPr>
            <w:rFonts w:asciiTheme="minorHAnsi" w:hAnsiTheme="minorHAnsi"/>
            <w:b/>
            <w:sz w:val="20"/>
          </w:rPr>
          <w:instrText xml:space="preserve"> PAGE   \* MERGEFORMAT </w:instrText>
        </w:r>
        <w:r w:rsidRPr="009112D1">
          <w:rPr>
            <w:rFonts w:asciiTheme="minorHAnsi" w:hAnsiTheme="minorHAnsi"/>
            <w:b/>
            <w:sz w:val="20"/>
          </w:rPr>
          <w:fldChar w:fldCharType="separate"/>
        </w:r>
        <w:r w:rsidR="005454BE">
          <w:rPr>
            <w:rFonts w:asciiTheme="minorHAnsi" w:hAnsiTheme="minorHAnsi"/>
            <w:b/>
            <w:noProof/>
            <w:sz w:val="20"/>
          </w:rPr>
          <w:t>1</w:t>
        </w:r>
        <w:r w:rsidRPr="009112D1">
          <w:rPr>
            <w:rFonts w:asciiTheme="minorHAnsi" w:hAnsiTheme="minorHAnsi"/>
            <w:b/>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3B153F" w:rsidTr="00AF5840">
      <w:trPr>
        <w:trHeight w:val="151"/>
      </w:trPr>
      <w:tc>
        <w:tcPr>
          <w:tcW w:w="2250" w:type="pct"/>
          <w:tcBorders>
            <w:top w:val="nil"/>
            <w:left w:val="nil"/>
            <w:bottom w:val="single" w:sz="4" w:space="0" w:color="4F81BD"/>
            <w:right w:val="nil"/>
          </w:tcBorders>
        </w:tcPr>
        <w:p w:rsidR="003B153F" w:rsidRPr="005A3173" w:rsidRDefault="003B153F" w:rsidP="00AF5840">
          <w:pPr>
            <w:pStyle w:val="Header"/>
            <w:spacing w:line="276" w:lineRule="auto"/>
            <w:rPr>
              <w:rFonts w:ascii="Calibri" w:eastAsia="MS Gothic" w:hAnsi="Calibri"/>
              <w:b/>
              <w:bCs/>
              <w:color w:val="4F81BD"/>
            </w:rPr>
          </w:pPr>
        </w:p>
      </w:tc>
      <w:tc>
        <w:tcPr>
          <w:tcW w:w="500" w:type="pct"/>
          <w:vMerge w:val="restart"/>
          <w:noWrap/>
          <w:vAlign w:val="center"/>
          <w:hideMark/>
        </w:tcPr>
        <w:p w:rsidR="003B153F" w:rsidRPr="005A3173" w:rsidRDefault="003B153F" w:rsidP="00AF584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153F" w:rsidRPr="005A3173" w:rsidRDefault="003B153F" w:rsidP="00AF5840">
          <w:pPr>
            <w:pStyle w:val="Header"/>
            <w:spacing w:line="276" w:lineRule="auto"/>
            <w:rPr>
              <w:rFonts w:ascii="Calibri" w:eastAsia="MS Gothic" w:hAnsi="Calibri"/>
              <w:b/>
              <w:bCs/>
              <w:color w:val="4F81BD"/>
            </w:rPr>
          </w:pPr>
        </w:p>
      </w:tc>
    </w:tr>
    <w:tr w:rsidR="003B153F" w:rsidTr="00AF5840">
      <w:trPr>
        <w:trHeight w:val="150"/>
      </w:trPr>
      <w:tc>
        <w:tcPr>
          <w:tcW w:w="2250" w:type="pct"/>
          <w:tcBorders>
            <w:top w:val="single" w:sz="4" w:space="0" w:color="4F81BD"/>
            <w:left w:val="nil"/>
            <w:bottom w:val="nil"/>
            <w:right w:val="nil"/>
          </w:tcBorders>
        </w:tcPr>
        <w:p w:rsidR="003B153F" w:rsidRPr="005A3173" w:rsidRDefault="003B153F" w:rsidP="00AF5840">
          <w:pPr>
            <w:pStyle w:val="Header"/>
            <w:spacing w:line="276" w:lineRule="auto"/>
            <w:rPr>
              <w:rFonts w:ascii="Calibri" w:eastAsia="MS Gothic" w:hAnsi="Calibri"/>
              <w:b/>
              <w:bCs/>
              <w:color w:val="4F81BD"/>
            </w:rPr>
          </w:pPr>
        </w:p>
      </w:tc>
      <w:tc>
        <w:tcPr>
          <w:tcW w:w="0" w:type="auto"/>
          <w:vMerge/>
          <w:vAlign w:val="center"/>
          <w:hideMark/>
        </w:tcPr>
        <w:p w:rsidR="003B153F" w:rsidRPr="005A3173" w:rsidRDefault="003B153F" w:rsidP="00AF5840">
          <w:pPr>
            <w:rPr>
              <w:rFonts w:ascii="Calibri" w:hAnsi="Calibri"/>
              <w:color w:val="365F91"/>
              <w:sz w:val="22"/>
              <w:szCs w:val="22"/>
            </w:rPr>
          </w:pPr>
        </w:p>
      </w:tc>
      <w:tc>
        <w:tcPr>
          <w:tcW w:w="2250" w:type="pct"/>
          <w:tcBorders>
            <w:top w:val="single" w:sz="4" w:space="0" w:color="4F81BD"/>
            <w:left w:val="nil"/>
            <w:bottom w:val="nil"/>
            <w:right w:val="nil"/>
          </w:tcBorders>
        </w:tcPr>
        <w:p w:rsidR="003B153F" w:rsidRPr="005A3173" w:rsidRDefault="003B153F" w:rsidP="00AF5840">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153F" w:rsidTr="00AF5840">
      <w:trPr>
        <w:trHeight w:val="151"/>
      </w:trPr>
      <w:tc>
        <w:tcPr>
          <w:tcW w:w="2250" w:type="pct"/>
          <w:tcBorders>
            <w:top w:val="nil"/>
            <w:left w:val="nil"/>
            <w:bottom w:val="single" w:sz="4" w:space="0" w:color="4F81BD"/>
            <w:right w:val="nil"/>
          </w:tcBorders>
        </w:tcPr>
        <w:p w:rsidR="003B153F" w:rsidRPr="005A3173" w:rsidRDefault="003B153F" w:rsidP="00AF5840">
          <w:pPr>
            <w:pStyle w:val="Header"/>
            <w:spacing w:line="276" w:lineRule="auto"/>
            <w:rPr>
              <w:rFonts w:ascii="Calibri" w:eastAsia="MS Gothic" w:hAnsi="Calibri"/>
              <w:b/>
              <w:bCs/>
              <w:color w:val="4F81BD"/>
            </w:rPr>
          </w:pPr>
        </w:p>
      </w:tc>
      <w:tc>
        <w:tcPr>
          <w:tcW w:w="500" w:type="pct"/>
          <w:vMerge w:val="restart"/>
          <w:noWrap/>
          <w:vAlign w:val="center"/>
          <w:hideMark/>
        </w:tcPr>
        <w:p w:rsidR="003B153F" w:rsidRPr="005A3173" w:rsidRDefault="003B153F" w:rsidP="00AF584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153F" w:rsidRPr="005A3173" w:rsidRDefault="003B153F" w:rsidP="00AF5840">
          <w:pPr>
            <w:pStyle w:val="Header"/>
            <w:spacing w:line="276" w:lineRule="auto"/>
            <w:rPr>
              <w:rFonts w:ascii="Calibri" w:eastAsia="MS Gothic" w:hAnsi="Calibri"/>
              <w:b/>
              <w:bCs/>
              <w:color w:val="4F81BD"/>
            </w:rPr>
          </w:pPr>
        </w:p>
      </w:tc>
    </w:tr>
    <w:tr w:rsidR="003B153F" w:rsidTr="00AF5840">
      <w:trPr>
        <w:trHeight w:val="150"/>
      </w:trPr>
      <w:tc>
        <w:tcPr>
          <w:tcW w:w="2250" w:type="pct"/>
          <w:tcBorders>
            <w:top w:val="single" w:sz="4" w:space="0" w:color="4F81BD"/>
            <w:left w:val="nil"/>
            <w:bottom w:val="nil"/>
            <w:right w:val="nil"/>
          </w:tcBorders>
        </w:tcPr>
        <w:p w:rsidR="003B153F" w:rsidRPr="005A3173" w:rsidRDefault="003B153F" w:rsidP="00AF5840">
          <w:pPr>
            <w:pStyle w:val="Header"/>
            <w:spacing w:line="276" w:lineRule="auto"/>
            <w:rPr>
              <w:rFonts w:ascii="Calibri" w:eastAsia="MS Gothic" w:hAnsi="Calibri"/>
              <w:b/>
              <w:bCs/>
              <w:color w:val="4F81BD"/>
            </w:rPr>
          </w:pPr>
        </w:p>
      </w:tc>
      <w:tc>
        <w:tcPr>
          <w:tcW w:w="0" w:type="auto"/>
          <w:vMerge/>
          <w:vAlign w:val="center"/>
          <w:hideMark/>
        </w:tcPr>
        <w:p w:rsidR="003B153F" w:rsidRPr="005A3173" w:rsidRDefault="003B153F" w:rsidP="00AF5840">
          <w:pPr>
            <w:rPr>
              <w:rFonts w:ascii="Calibri" w:hAnsi="Calibri"/>
              <w:color w:val="365F91"/>
              <w:sz w:val="22"/>
              <w:szCs w:val="22"/>
            </w:rPr>
          </w:pPr>
        </w:p>
      </w:tc>
      <w:tc>
        <w:tcPr>
          <w:tcW w:w="2250" w:type="pct"/>
          <w:tcBorders>
            <w:top w:val="single" w:sz="4" w:space="0" w:color="4F81BD"/>
            <w:left w:val="nil"/>
            <w:bottom w:val="nil"/>
            <w:right w:val="nil"/>
          </w:tcBorders>
        </w:tcPr>
        <w:p w:rsidR="003B153F" w:rsidRPr="005A3173" w:rsidRDefault="003B153F" w:rsidP="00AF5840">
          <w:pPr>
            <w:pStyle w:val="Header"/>
            <w:spacing w:line="276" w:lineRule="auto"/>
            <w:rPr>
              <w:rFonts w:ascii="Calibri" w:eastAsia="MS Gothic" w:hAnsi="Calibri"/>
              <w:b/>
              <w:bCs/>
              <w:color w:val="4F81BD"/>
            </w:rPr>
          </w:pPr>
        </w:p>
      </w:tc>
    </w:tr>
  </w:tbl>
  <w:p w:rsidR="003B153F" w:rsidRPr="007C0F57" w:rsidRDefault="003B153F" w:rsidP="00AF5840">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B153F" w:rsidRPr="007C0F57" w:rsidRDefault="003B153F" w:rsidP="00AF5840">
    <w:pPr>
      <w:pStyle w:val="Footer"/>
      <w:jc w:val="center"/>
      <w:rPr>
        <w:b/>
        <w:i/>
        <w:sz w:val="20"/>
        <w:szCs w:val="20"/>
      </w:rPr>
    </w:pPr>
    <w:r w:rsidRPr="007C0F57">
      <w:rPr>
        <w:b/>
        <w:i/>
        <w:sz w:val="20"/>
        <w:szCs w:val="20"/>
      </w:rPr>
      <w:t>Commercial-in-Confidence</w:t>
    </w:r>
  </w:p>
  <w:p w:rsidR="003B153F" w:rsidRDefault="003B15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4BE" w:rsidRDefault="005454BE" w:rsidP="001F254E">
      <w:r>
        <w:separator/>
      </w:r>
    </w:p>
  </w:footnote>
  <w:footnote w:type="continuationSeparator" w:id="0">
    <w:p w:rsidR="005454BE" w:rsidRDefault="005454BE" w:rsidP="001F254E">
      <w:r>
        <w:continuationSeparator/>
      </w:r>
    </w:p>
  </w:footnote>
  <w:footnote w:id="1">
    <w:p w:rsidR="00AE3F7C" w:rsidRPr="00226E39" w:rsidRDefault="00AE3F7C" w:rsidP="00AE3F7C">
      <w:pPr>
        <w:pStyle w:val="FootnoteText"/>
        <w:rPr>
          <w:rFonts w:ascii="Arial" w:hAnsi="Arial" w:cs="Arial"/>
        </w:rPr>
      </w:pPr>
      <w:r w:rsidRPr="00226E39">
        <w:rPr>
          <w:rStyle w:val="FootnoteReference"/>
          <w:rFonts w:ascii="Arial" w:hAnsi="Arial" w:cs="Arial"/>
        </w:rPr>
        <w:footnoteRef/>
      </w:r>
      <w:r w:rsidRPr="00226E39">
        <w:rPr>
          <w:rFonts w:ascii="Arial" w:hAnsi="Arial" w:cs="Arial"/>
        </w:rPr>
        <w:t xml:space="preserve"> </w:t>
      </w:r>
      <w:r w:rsidRPr="00474003">
        <w:rPr>
          <w:rFonts w:ascii="Arial" w:hAnsi="Arial" w:cs="Arial"/>
        </w:rPr>
        <w:t>Symbols used in the Schedule</w:t>
      </w:r>
      <w:hyperlink r:id="rId1" w:history="1"/>
      <w:r w:rsidRPr="00226E39">
        <w:rPr>
          <w:rFonts w:ascii="Arial" w:hAnsi="Arial" w:cs="Arial"/>
        </w:rPr>
        <w:t xml:space="preserve"> </w:t>
      </w:r>
      <w:r>
        <w:rPr>
          <w:rFonts w:ascii="Arial" w:hAnsi="Arial" w:cs="Arial"/>
        </w:rPr>
        <w:t xml:space="preserve">- </w:t>
      </w:r>
      <w:r w:rsidRPr="00474003">
        <w:rPr>
          <w:rFonts w:ascii="Arial" w:hAnsi="Arial" w:cs="Arial"/>
        </w:rPr>
        <w:t>http://www.pbs.gov.au/info/healthpro/explanatory-notes/section2/section-2-symbols</w:t>
      </w:r>
    </w:p>
  </w:footnote>
  <w:footnote w:id="2">
    <w:p w:rsidR="00AE3F7C" w:rsidRPr="005F15B5" w:rsidRDefault="00AE3F7C" w:rsidP="00AE3F7C">
      <w:pPr>
        <w:pStyle w:val="FootnoteText"/>
      </w:pPr>
      <w:r>
        <w:rPr>
          <w:rStyle w:val="FootnoteReference"/>
        </w:rPr>
        <w:footnoteRef/>
      </w:r>
      <w:r>
        <w:t xml:space="preserve"> Annex to Guideline on Similar Biological Medicinal Products Containing Biotechnology-derived Proteins as Active Substance: Non-Clinical and Clinical Issues – Guidance on Similar Medicinal Products Containing Recombinant Granylocyte-Colony Stimulating Factor. </w:t>
      </w:r>
      <w:r>
        <w:rPr>
          <w:i/>
        </w:rPr>
        <w:t>European Medicines Agency (EMA)</w:t>
      </w:r>
      <w:r>
        <w:t xml:space="preserve"> (2006), London. Document EMEA/CHMP/BMWP/31329/2005.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B153F" w:rsidRPr="008E0D90" w:rsidTr="00AF5840">
      <w:trPr>
        <w:trHeight w:val="151"/>
      </w:trPr>
      <w:tc>
        <w:tcPr>
          <w:tcW w:w="2389" w:type="pct"/>
          <w:tcBorders>
            <w:top w:val="nil"/>
            <w:left w:val="nil"/>
            <w:bottom w:val="single" w:sz="4" w:space="0" w:color="4F81BD"/>
            <w:right w:val="nil"/>
          </w:tcBorders>
        </w:tcPr>
        <w:p w:rsidR="003B153F" w:rsidRPr="00A06225" w:rsidRDefault="003B153F">
          <w:pPr>
            <w:pStyle w:val="Header"/>
            <w:spacing w:line="276" w:lineRule="auto"/>
            <w:rPr>
              <w:rFonts w:ascii="Cambria" w:eastAsia="MS Gothic" w:hAnsi="Cambria"/>
              <w:b/>
              <w:bCs/>
              <w:color w:val="4F81BD"/>
            </w:rPr>
          </w:pPr>
        </w:p>
      </w:tc>
      <w:tc>
        <w:tcPr>
          <w:tcW w:w="333" w:type="pct"/>
          <w:vMerge w:val="restart"/>
          <w:noWrap/>
          <w:vAlign w:val="center"/>
          <w:hideMark/>
        </w:tcPr>
        <w:p w:rsidR="003B153F" w:rsidRPr="00A06225" w:rsidRDefault="003B153F" w:rsidP="00AF5840">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B153F" w:rsidRPr="00A06225" w:rsidRDefault="003B153F">
          <w:pPr>
            <w:pStyle w:val="Header"/>
            <w:spacing w:line="276" w:lineRule="auto"/>
            <w:rPr>
              <w:rFonts w:ascii="Cambria" w:eastAsia="MS Gothic" w:hAnsi="Cambria"/>
              <w:b/>
              <w:bCs/>
              <w:color w:val="4F81BD"/>
            </w:rPr>
          </w:pPr>
        </w:p>
      </w:tc>
    </w:tr>
    <w:tr w:rsidR="003B153F" w:rsidRPr="008E0D90" w:rsidTr="00AF5840">
      <w:trPr>
        <w:trHeight w:val="150"/>
      </w:trPr>
      <w:tc>
        <w:tcPr>
          <w:tcW w:w="2389" w:type="pct"/>
          <w:tcBorders>
            <w:top w:val="single" w:sz="4" w:space="0" w:color="4F81BD"/>
            <w:left w:val="nil"/>
            <w:bottom w:val="nil"/>
            <w:right w:val="nil"/>
          </w:tcBorders>
        </w:tcPr>
        <w:p w:rsidR="003B153F" w:rsidRPr="00A06225" w:rsidRDefault="003B153F">
          <w:pPr>
            <w:pStyle w:val="Header"/>
            <w:spacing w:line="276" w:lineRule="auto"/>
            <w:rPr>
              <w:rFonts w:ascii="Cambria" w:eastAsia="MS Gothic" w:hAnsi="Cambria"/>
              <w:b/>
              <w:bCs/>
              <w:color w:val="4F81BD"/>
            </w:rPr>
          </w:pPr>
        </w:p>
      </w:tc>
      <w:tc>
        <w:tcPr>
          <w:tcW w:w="0" w:type="auto"/>
          <w:vMerge/>
          <w:vAlign w:val="center"/>
          <w:hideMark/>
        </w:tcPr>
        <w:p w:rsidR="003B153F" w:rsidRPr="00A06225" w:rsidRDefault="003B153F">
          <w:pPr>
            <w:rPr>
              <w:rFonts w:ascii="Cambria" w:hAnsi="Cambria"/>
              <w:color w:val="4F81BD"/>
              <w:sz w:val="22"/>
              <w:szCs w:val="22"/>
            </w:rPr>
          </w:pPr>
        </w:p>
      </w:tc>
      <w:tc>
        <w:tcPr>
          <w:tcW w:w="2278" w:type="pct"/>
          <w:tcBorders>
            <w:top w:val="single" w:sz="4" w:space="0" w:color="4F81BD"/>
            <w:left w:val="nil"/>
            <w:bottom w:val="nil"/>
            <w:right w:val="nil"/>
          </w:tcBorders>
        </w:tcPr>
        <w:p w:rsidR="003B153F" w:rsidRPr="00A06225" w:rsidRDefault="003B153F">
          <w:pPr>
            <w:pStyle w:val="Header"/>
            <w:spacing w:line="276" w:lineRule="auto"/>
            <w:rPr>
              <w:rFonts w:ascii="Cambria" w:eastAsia="MS Gothic" w:hAnsi="Cambria"/>
              <w:b/>
              <w:bCs/>
              <w:color w:val="4F81BD"/>
            </w:rPr>
          </w:pPr>
        </w:p>
      </w:tc>
    </w:tr>
  </w:tbl>
  <w:p w:rsidR="003B153F" w:rsidRDefault="003B153F">
    <w:pPr>
      <w:pStyle w:val="Header"/>
    </w:pPr>
  </w:p>
  <w:p w:rsidR="003B153F" w:rsidRDefault="003B15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53F" w:rsidRPr="00F90A91" w:rsidRDefault="00F07BAD" w:rsidP="00B77ADD">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3B153F">
      <w:rPr>
        <w:rFonts w:asciiTheme="minorHAnsi" w:hAnsiTheme="minorHAnsi" w:cs="Arial"/>
        <w:i/>
        <w:color w:val="808080"/>
        <w:sz w:val="22"/>
      </w:rPr>
      <w:t xml:space="preserve"> </w:t>
    </w:r>
    <w:r w:rsidR="003B153F" w:rsidRPr="00F90A91">
      <w:rPr>
        <w:rFonts w:asciiTheme="minorHAnsi" w:hAnsiTheme="minorHAnsi" w:cs="Arial"/>
        <w:i/>
        <w:color w:val="808080"/>
        <w:sz w:val="22"/>
      </w:rPr>
      <w:t xml:space="preserve">– </w:t>
    </w:r>
    <w:r w:rsidR="00AE3F7C">
      <w:rPr>
        <w:rFonts w:asciiTheme="minorHAnsi" w:hAnsiTheme="minorHAnsi" w:cs="Arial"/>
        <w:i/>
        <w:color w:val="808080"/>
        <w:sz w:val="22"/>
      </w:rPr>
      <w:t xml:space="preserve">July </w:t>
    </w:r>
    <w:r w:rsidR="003B153F">
      <w:rPr>
        <w:rFonts w:asciiTheme="minorHAnsi" w:hAnsiTheme="minorHAnsi" w:cs="Arial"/>
        <w:i/>
        <w:color w:val="808080"/>
        <w:sz w:val="22"/>
      </w:rPr>
      <w:t>2018</w:t>
    </w:r>
    <w:r w:rsidR="003B153F" w:rsidRPr="00F90A91">
      <w:rPr>
        <w:rFonts w:asciiTheme="minorHAnsi" w:hAnsiTheme="minorHAnsi" w:cs="Arial"/>
        <w:i/>
        <w:color w:val="808080"/>
        <w:sz w:val="22"/>
      </w:rPr>
      <w:t xml:space="preserve"> PBAC Meeting</w:t>
    </w:r>
  </w:p>
  <w:p w:rsidR="003B153F" w:rsidRDefault="003B153F" w:rsidP="00AF5840">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4BE" w:rsidRDefault="005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67F33"/>
    <w:multiLevelType w:val="hybridMultilevel"/>
    <w:tmpl w:val="2F7CF4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E6F6A2E"/>
    <w:multiLevelType w:val="hybridMultilevel"/>
    <w:tmpl w:val="43DA7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034DE8"/>
    <w:multiLevelType w:val="multilevel"/>
    <w:tmpl w:val="1F5A0D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84D033C"/>
    <w:multiLevelType w:val="multilevel"/>
    <w:tmpl w:val="19DA360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1"/>
  </w:num>
  <w:num w:numId="4">
    <w:abstractNumId w:val="6"/>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4E"/>
    <w:rsid w:val="00006DA8"/>
    <w:rsid w:val="000729F1"/>
    <w:rsid w:val="000A3EF4"/>
    <w:rsid w:val="000E4C50"/>
    <w:rsid w:val="00102004"/>
    <w:rsid w:val="00136371"/>
    <w:rsid w:val="001843AA"/>
    <w:rsid w:val="001C6606"/>
    <w:rsid w:val="001F0691"/>
    <w:rsid w:val="001F254E"/>
    <w:rsid w:val="00211427"/>
    <w:rsid w:val="002273F3"/>
    <w:rsid w:val="00267A6D"/>
    <w:rsid w:val="00280050"/>
    <w:rsid w:val="002813BD"/>
    <w:rsid w:val="003365C1"/>
    <w:rsid w:val="003519FE"/>
    <w:rsid w:val="00394217"/>
    <w:rsid w:val="003B153F"/>
    <w:rsid w:val="003B2656"/>
    <w:rsid w:val="003C61FD"/>
    <w:rsid w:val="00403A58"/>
    <w:rsid w:val="0040528E"/>
    <w:rsid w:val="00423492"/>
    <w:rsid w:val="00425C23"/>
    <w:rsid w:val="00445F69"/>
    <w:rsid w:val="00457FF8"/>
    <w:rsid w:val="00486A9A"/>
    <w:rsid w:val="00487761"/>
    <w:rsid w:val="004C5342"/>
    <w:rsid w:val="00510629"/>
    <w:rsid w:val="00515C3D"/>
    <w:rsid w:val="005454BE"/>
    <w:rsid w:val="00573CC8"/>
    <w:rsid w:val="005B6E9E"/>
    <w:rsid w:val="005B7780"/>
    <w:rsid w:val="00625214"/>
    <w:rsid w:val="00654465"/>
    <w:rsid w:val="00682708"/>
    <w:rsid w:val="006B526D"/>
    <w:rsid w:val="006C7E7F"/>
    <w:rsid w:val="0071709C"/>
    <w:rsid w:val="00745B02"/>
    <w:rsid w:val="00783361"/>
    <w:rsid w:val="007A5EA5"/>
    <w:rsid w:val="008B473E"/>
    <w:rsid w:val="008E2C70"/>
    <w:rsid w:val="009327B0"/>
    <w:rsid w:val="0098011D"/>
    <w:rsid w:val="00A01AE9"/>
    <w:rsid w:val="00A30FE3"/>
    <w:rsid w:val="00A647E1"/>
    <w:rsid w:val="00A751CE"/>
    <w:rsid w:val="00AB0C64"/>
    <w:rsid w:val="00AE0CC9"/>
    <w:rsid w:val="00AE3F7C"/>
    <w:rsid w:val="00AF5840"/>
    <w:rsid w:val="00B27D35"/>
    <w:rsid w:val="00B644DE"/>
    <w:rsid w:val="00B77ADD"/>
    <w:rsid w:val="00BE61A3"/>
    <w:rsid w:val="00C36528"/>
    <w:rsid w:val="00C96A78"/>
    <w:rsid w:val="00CA7F0A"/>
    <w:rsid w:val="00CC3673"/>
    <w:rsid w:val="00CC5D1B"/>
    <w:rsid w:val="00CE49E1"/>
    <w:rsid w:val="00D02557"/>
    <w:rsid w:val="00D21F3D"/>
    <w:rsid w:val="00DA68A8"/>
    <w:rsid w:val="00DD6E54"/>
    <w:rsid w:val="00DE2FF6"/>
    <w:rsid w:val="00DE3126"/>
    <w:rsid w:val="00E10C15"/>
    <w:rsid w:val="00E10FB0"/>
    <w:rsid w:val="00E14CAB"/>
    <w:rsid w:val="00E20BA8"/>
    <w:rsid w:val="00E22A2F"/>
    <w:rsid w:val="00E84BB9"/>
    <w:rsid w:val="00E96E6F"/>
    <w:rsid w:val="00EA5567"/>
    <w:rsid w:val="00ED6F65"/>
    <w:rsid w:val="00EF6FA4"/>
    <w:rsid w:val="00EF7D98"/>
    <w:rsid w:val="00F07BAD"/>
    <w:rsid w:val="00F14D6C"/>
    <w:rsid w:val="00F31621"/>
    <w:rsid w:val="00F47E60"/>
    <w:rsid w:val="00F7429E"/>
    <w:rsid w:val="00F83705"/>
    <w:rsid w:val="00F97008"/>
    <w:rsid w:val="00FF0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D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4E"/>
    <w:pPr>
      <w:spacing w:after="0" w:line="240" w:lineRule="auto"/>
    </w:pPr>
    <w:rPr>
      <w:rFonts w:eastAsia="Times New Roman"/>
      <w:lang w:eastAsia="en-AU"/>
    </w:rPr>
  </w:style>
  <w:style w:type="paragraph" w:styleId="Heading1">
    <w:name w:val="heading 1"/>
    <w:basedOn w:val="ListParagraph"/>
    <w:next w:val="Normal"/>
    <w:link w:val="Heading1Char"/>
    <w:uiPriority w:val="1"/>
    <w:qFormat/>
    <w:rsid w:val="001F254E"/>
    <w:pPr>
      <w:ind w:left="0"/>
      <w:outlineLvl w:val="0"/>
    </w:pPr>
    <w:rPr>
      <w:b/>
      <w:szCs w:val="22"/>
    </w:rPr>
  </w:style>
  <w:style w:type="paragraph" w:styleId="Heading2">
    <w:name w:val="heading 2"/>
    <w:basedOn w:val="Normal"/>
    <w:next w:val="Normal"/>
    <w:link w:val="Heading2Char"/>
    <w:uiPriority w:val="1"/>
    <w:qFormat/>
    <w:rsid w:val="001F254E"/>
    <w:pPr>
      <w:keepNext/>
      <w:outlineLvl w:val="1"/>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254E"/>
    <w:rPr>
      <w:rFonts w:ascii="Calibri (body)" w:eastAsia="Times New Roman" w:hAnsi="Calibri (body)" w:cs="Arial"/>
      <w:b/>
      <w:snapToGrid w:val="0"/>
      <w:szCs w:val="22"/>
    </w:rPr>
  </w:style>
  <w:style w:type="character" w:customStyle="1" w:styleId="Heading2Char">
    <w:name w:val="Heading 2 Char"/>
    <w:basedOn w:val="DefaultParagraphFont"/>
    <w:link w:val="Heading2"/>
    <w:uiPriority w:val="1"/>
    <w:rsid w:val="001F254E"/>
    <w:rPr>
      <w:rFonts w:ascii="Arial" w:eastAsia="Times New Roman" w:hAnsi="Arial"/>
      <w:b/>
      <w:i/>
      <w:sz w:val="22"/>
      <w:lang w:eastAsia="en-AU"/>
    </w:rPr>
  </w:style>
  <w:style w:type="paragraph" w:styleId="Header">
    <w:name w:val="header"/>
    <w:aliases w:val="Page Header,Header title,he=header,cntr/bld"/>
    <w:basedOn w:val="Normal"/>
    <w:link w:val="HeaderChar"/>
    <w:uiPriority w:val="99"/>
    <w:rsid w:val="001F254E"/>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1F254E"/>
    <w:rPr>
      <w:rFonts w:eastAsia="Times New Roman"/>
      <w:lang w:eastAsia="en-AU"/>
    </w:rPr>
  </w:style>
  <w:style w:type="paragraph" w:styleId="Footer">
    <w:name w:val="footer"/>
    <w:basedOn w:val="Normal"/>
    <w:link w:val="FooterChar"/>
    <w:uiPriority w:val="99"/>
    <w:rsid w:val="001F254E"/>
    <w:pPr>
      <w:tabs>
        <w:tab w:val="center" w:pos="4153"/>
        <w:tab w:val="right" w:pos="8306"/>
      </w:tabs>
    </w:pPr>
  </w:style>
  <w:style w:type="character" w:customStyle="1" w:styleId="FooterChar">
    <w:name w:val="Footer Char"/>
    <w:basedOn w:val="DefaultParagraphFont"/>
    <w:link w:val="Footer"/>
    <w:uiPriority w:val="99"/>
    <w:rsid w:val="001F254E"/>
    <w:rPr>
      <w:rFonts w:eastAsia="Times New Roman"/>
      <w:lang w:eastAsia="en-AU"/>
    </w:rPr>
  </w:style>
  <w:style w:type="character" w:styleId="PageNumber">
    <w:name w:val="page number"/>
    <w:basedOn w:val="DefaultParagraphFont"/>
    <w:rsid w:val="001F254E"/>
  </w:style>
  <w:style w:type="paragraph" w:customStyle="1" w:styleId="MediumGrid21">
    <w:name w:val="Medium Grid 21"/>
    <w:link w:val="MediumGrid2Char"/>
    <w:qFormat/>
    <w:rsid w:val="001F254E"/>
    <w:pPr>
      <w:spacing w:after="0" w:line="240" w:lineRule="auto"/>
    </w:pPr>
    <w:rPr>
      <w:rFonts w:ascii="PMingLiU" w:eastAsia="MS Mincho" w:hAnsi="PMingLiU"/>
      <w:sz w:val="22"/>
      <w:szCs w:val="22"/>
      <w:lang w:val="en-US"/>
    </w:rPr>
  </w:style>
  <w:style w:type="character" w:customStyle="1" w:styleId="MediumGrid2Char">
    <w:name w:val="Medium Grid 2 Char"/>
    <w:link w:val="MediumGrid21"/>
    <w:rsid w:val="001F254E"/>
    <w:rPr>
      <w:rFonts w:ascii="PMingLiU" w:eastAsia="MS Mincho" w:hAnsi="PMingLiU"/>
      <w:sz w:val="22"/>
      <w:szCs w:val="22"/>
      <w:lang w:val="en-US"/>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72"/>
    <w:qFormat/>
    <w:rsid w:val="001F254E"/>
    <w:pPr>
      <w:widowControl w:val="0"/>
      <w:ind w:left="720"/>
      <w:contextualSpacing/>
      <w:jc w:val="both"/>
    </w:pPr>
    <w:rPr>
      <w:rFonts w:ascii="Calibri (body)" w:hAnsi="Calibri (body)" w:cs="Arial"/>
      <w:snapToGrid w:val="0"/>
      <w:szCs w:val="20"/>
      <w:lang w:eastAsia="en-US"/>
    </w:rPr>
  </w:style>
  <w:style w:type="paragraph" w:customStyle="1" w:styleId="tablenotes">
    <w:name w:val="table notes"/>
    <w:basedOn w:val="BodyText2"/>
    <w:qFormat/>
    <w:rsid w:val="001F254E"/>
    <w:pPr>
      <w:widowControl w:val="0"/>
      <w:spacing w:after="0" w:line="240" w:lineRule="auto"/>
      <w:jc w:val="both"/>
    </w:pPr>
    <w:rPr>
      <w:rFonts w:ascii="Arial" w:hAnsi="Arial"/>
      <w:snapToGrid w:val="0"/>
      <w:sz w:val="20"/>
      <w:szCs w:val="20"/>
      <w:lang w:eastAsia="en-US"/>
    </w:rPr>
  </w:style>
  <w:style w:type="paragraph" w:styleId="NoSpacing">
    <w:name w:val="No Spacing"/>
    <w:basedOn w:val="Normal"/>
    <w:uiPriority w:val="1"/>
    <w:qFormat/>
    <w:rsid w:val="001F254E"/>
    <w:pPr>
      <w:jc w:val="both"/>
    </w:pPr>
    <w:rPr>
      <w:rFonts w:ascii="Arial" w:hAnsi="Arial"/>
      <w:sz w:val="22"/>
      <w:szCs w:val="22"/>
    </w:rPr>
  </w:style>
  <w:style w:type="paragraph" w:styleId="Title">
    <w:name w:val="Title"/>
    <w:basedOn w:val="Normal"/>
    <w:next w:val="Normal"/>
    <w:link w:val="TitleChar"/>
    <w:qFormat/>
    <w:rsid w:val="001F254E"/>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1F254E"/>
    <w:rPr>
      <w:rFonts w:ascii="Arial Bold" w:eastAsiaTheme="majorEastAsia" w:hAnsi="Arial Bold" w:cstheme="majorBidi"/>
      <w:b/>
      <w:spacing w:val="5"/>
      <w:kern w:val="28"/>
      <w:sz w:val="28"/>
      <w:szCs w:val="52"/>
      <w:lang w:eastAsia="en-AU"/>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1F254E"/>
    <w:rPr>
      <w:rFonts w:ascii="Calibri (body)" w:eastAsia="Times New Roman" w:hAnsi="Calibri (body)" w:cs="Arial"/>
      <w:snapToGrid w:val="0"/>
      <w:szCs w:val="20"/>
    </w:rPr>
  </w:style>
  <w:style w:type="paragraph" w:customStyle="1" w:styleId="PBACHeading1">
    <w:name w:val="PBAC Heading 1"/>
    <w:qFormat/>
    <w:rsid w:val="001F254E"/>
    <w:pPr>
      <w:numPr>
        <w:numId w:val="1"/>
      </w:numPr>
      <w:spacing w:after="0" w:line="240" w:lineRule="auto"/>
      <w:outlineLvl w:val="0"/>
    </w:pPr>
    <w:rPr>
      <w:rFonts w:ascii="Arial" w:eastAsia="Times New Roman" w:hAnsi="Arial" w:cs="Arial"/>
      <w:b/>
      <w:snapToGrid w:val="0"/>
      <w:sz w:val="22"/>
      <w:szCs w:val="22"/>
    </w:rPr>
  </w:style>
  <w:style w:type="paragraph" w:styleId="FootnoteText">
    <w:name w:val="footnote text"/>
    <w:basedOn w:val="Normal"/>
    <w:link w:val="FootnoteTextChar"/>
    <w:rsid w:val="001F254E"/>
    <w:rPr>
      <w:sz w:val="20"/>
      <w:szCs w:val="20"/>
    </w:rPr>
  </w:style>
  <w:style w:type="character" w:customStyle="1" w:styleId="FootnoteTextChar">
    <w:name w:val="Footnote Text Char"/>
    <w:basedOn w:val="DefaultParagraphFont"/>
    <w:link w:val="FootnoteText"/>
    <w:rsid w:val="001F254E"/>
    <w:rPr>
      <w:rFonts w:eastAsia="Times New Roman"/>
      <w:sz w:val="20"/>
      <w:szCs w:val="20"/>
      <w:lang w:eastAsia="en-AU"/>
    </w:rPr>
  </w:style>
  <w:style w:type="character" w:styleId="FootnoteReference">
    <w:name w:val="footnote reference"/>
    <w:basedOn w:val="DefaultParagraphFont"/>
    <w:rsid w:val="001F254E"/>
    <w:rPr>
      <w:vertAlign w:val="superscript"/>
    </w:rPr>
  </w:style>
  <w:style w:type="paragraph" w:styleId="NormalWeb">
    <w:name w:val="Normal (Web)"/>
    <w:basedOn w:val="Normal"/>
    <w:uiPriority w:val="99"/>
    <w:rsid w:val="001F254E"/>
    <w:pPr>
      <w:spacing w:before="100" w:after="100"/>
    </w:pPr>
    <w:rPr>
      <w:szCs w:val="20"/>
      <w:lang w:val="en-GB" w:eastAsia="en-US"/>
    </w:rPr>
  </w:style>
  <w:style w:type="character" w:styleId="Emphasis">
    <w:name w:val="Emphasis"/>
    <w:basedOn w:val="DefaultParagraphFont"/>
    <w:qFormat/>
    <w:rsid w:val="001F254E"/>
    <w:rPr>
      <w:i/>
      <w:iCs/>
    </w:rPr>
  </w:style>
  <w:style w:type="paragraph" w:customStyle="1" w:styleId="PBACheading10">
    <w:name w:val="PBAC heading 1"/>
    <w:qFormat/>
    <w:rsid w:val="001F254E"/>
    <w:pPr>
      <w:spacing w:after="0" w:line="240" w:lineRule="auto"/>
      <w:ind w:left="720" w:hanging="720"/>
      <w:outlineLvl w:val="0"/>
    </w:pPr>
    <w:rPr>
      <w:rFonts w:ascii="Arial" w:eastAsia="Times New Roman" w:hAnsi="Arial" w:cs="Arial"/>
      <w:b/>
      <w:snapToGrid w:val="0"/>
      <w:sz w:val="22"/>
      <w:szCs w:val="22"/>
    </w:rPr>
  </w:style>
  <w:style w:type="paragraph" w:styleId="BodyText2">
    <w:name w:val="Body Text 2"/>
    <w:basedOn w:val="Normal"/>
    <w:link w:val="BodyText2Char"/>
    <w:uiPriority w:val="99"/>
    <w:semiHidden/>
    <w:unhideWhenUsed/>
    <w:rsid w:val="001F254E"/>
    <w:pPr>
      <w:spacing w:after="120" w:line="480" w:lineRule="auto"/>
    </w:pPr>
  </w:style>
  <w:style w:type="character" w:customStyle="1" w:styleId="BodyText2Char">
    <w:name w:val="Body Text 2 Char"/>
    <w:basedOn w:val="DefaultParagraphFont"/>
    <w:link w:val="BodyText2"/>
    <w:uiPriority w:val="99"/>
    <w:semiHidden/>
    <w:rsid w:val="001F254E"/>
    <w:rPr>
      <w:rFonts w:eastAsia="Times New Roman"/>
      <w:lang w:eastAsia="en-AU"/>
    </w:rPr>
  </w:style>
  <w:style w:type="character" w:styleId="CommentReference">
    <w:name w:val="annotation reference"/>
    <w:basedOn w:val="DefaultParagraphFont"/>
    <w:uiPriority w:val="99"/>
    <w:semiHidden/>
    <w:unhideWhenUsed/>
    <w:rsid w:val="00E20BA8"/>
    <w:rPr>
      <w:sz w:val="16"/>
      <w:szCs w:val="16"/>
    </w:rPr>
  </w:style>
  <w:style w:type="paragraph" w:styleId="CommentText">
    <w:name w:val="annotation text"/>
    <w:basedOn w:val="Normal"/>
    <w:link w:val="CommentTextChar"/>
    <w:uiPriority w:val="99"/>
    <w:semiHidden/>
    <w:unhideWhenUsed/>
    <w:rsid w:val="00E20BA8"/>
    <w:rPr>
      <w:sz w:val="20"/>
      <w:szCs w:val="20"/>
    </w:rPr>
  </w:style>
  <w:style w:type="character" w:customStyle="1" w:styleId="CommentTextChar">
    <w:name w:val="Comment Text Char"/>
    <w:basedOn w:val="DefaultParagraphFont"/>
    <w:link w:val="CommentText"/>
    <w:uiPriority w:val="99"/>
    <w:semiHidden/>
    <w:rsid w:val="00E20BA8"/>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20BA8"/>
    <w:rPr>
      <w:b/>
      <w:bCs/>
    </w:rPr>
  </w:style>
  <w:style w:type="character" w:customStyle="1" w:styleId="CommentSubjectChar">
    <w:name w:val="Comment Subject Char"/>
    <w:basedOn w:val="CommentTextChar"/>
    <w:link w:val="CommentSubject"/>
    <w:uiPriority w:val="99"/>
    <w:semiHidden/>
    <w:rsid w:val="00E20BA8"/>
    <w:rPr>
      <w:rFonts w:eastAsia="Times New Roman"/>
      <w:b/>
      <w:bCs/>
      <w:sz w:val="20"/>
      <w:szCs w:val="20"/>
      <w:lang w:eastAsia="en-AU"/>
    </w:rPr>
  </w:style>
  <w:style w:type="paragraph" w:styleId="BalloonText">
    <w:name w:val="Balloon Text"/>
    <w:basedOn w:val="Normal"/>
    <w:link w:val="BalloonTextChar"/>
    <w:uiPriority w:val="99"/>
    <w:semiHidden/>
    <w:unhideWhenUsed/>
    <w:rsid w:val="00E20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A8"/>
    <w:rPr>
      <w:rFonts w:ascii="Segoe UI" w:eastAsia="Times New Roman" w:hAnsi="Segoe UI" w:cs="Segoe UI"/>
      <w:sz w:val="18"/>
      <w:szCs w:val="18"/>
      <w:lang w:eastAsia="en-AU"/>
    </w:rPr>
  </w:style>
  <w:style w:type="paragraph" w:customStyle="1" w:styleId="TableLeft">
    <w:name w:val="Table Left"/>
    <w:basedOn w:val="Normal"/>
    <w:link w:val="TableLeftChar"/>
    <w:uiPriority w:val="99"/>
    <w:qFormat/>
    <w:rsid w:val="00394217"/>
    <w:pPr>
      <w:jc w:val="both"/>
    </w:pPr>
    <w:rPr>
      <w:rFonts w:ascii="Calibri" w:eastAsiaTheme="majorEastAsia" w:hAnsi="Calibri" w:cstheme="majorBidi"/>
      <w:sz w:val="20"/>
      <w:szCs w:val="22"/>
      <w:lang w:eastAsia="en-US" w:bidi="en-US"/>
    </w:rPr>
  </w:style>
  <w:style w:type="character" w:customStyle="1" w:styleId="TableLeftChar">
    <w:name w:val="Table Left Char"/>
    <w:basedOn w:val="DefaultParagraphFont"/>
    <w:link w:val="TableLeft"/>
    <w:uiPriority w:val="99"/>
    <w:locked/>
    <w:rsid w:val="00394217"/>
    <w:rPr>
      <w:rFonts w:ascii="Calibri" w:eastAsiaTheme="majorEastAsia" w:hAnsi="Calibri" w:cstheme="majorBidi"/>
      <w:sz w:val="20"/>
      <w:szCs w:val="22"/>
      <w:lang w:bidi="en-US"/>
    </w:rPr>
  </w:style>
  <w:style w:type="table" w:customStyle="1" w:styleId="TableGrid1">
    <w:name w:val="Table Grid1"/>
    <w:basedOn w:val="TableNormal"/>
    <w:next w:val="TableGrid"/>
    <w:uiPriority w:val="59"/>
    <w:rsid w:val="00394217"/>
    <w:pPr>
      <w:spacing w:after="0" w:line="240" w:lineRule="auto"/>
    </w:pPr>
    <w:rPr>
      <w:rFonts w:eastAsia="Batang"/>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394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0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healthpro/explanatory-notes/section2/section-2-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F79E-2DCA-4561-B588-391F841C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4463</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2019-02-21T07:55:00Z</dcterms:created>
  <dcterms:modified xsi:type="dcterms:W3CDTF">2019-02-21T07:57:00Z</dcterms:modified>
</cp:coreProperties>
</file>