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FB31CB" w:rsidRDefault="005B4C48" w:rsidP="00237A46">
      <w:pPr>
        <w:pStyle w:val="Title"/>
        <w:spacing w:before="120" w:after="160"/>
        <w:ind w:left="720" w:hanging="720"/>
        <w:rPr>
          <w:rFonts w:asciiTheme="minorHAnsi" w:hAnsiTheme="minorHAnsi"/>
          <w:sz w:val="36"/>
          <w:szCs w:val="36"/>
        </w:rPr>
      </w:pPr>
      <w:r w:rsidRPr="00FB31CB">
        <w:rPr>
          <w:rFonts w:asciiTheme="minorHAnsi" w:hAnsiTheme="minorHAnsi"/>
          <w:sz w:val="36"/>
          <w:szCs w:val="36"/>
        </w:rPr>
        <w:t>6</w:t>
      </w:r>
      <w:r w:rsidR="006D6493" w:rsidRPr="00FB31CB">
        <w:rPr>
          <w:rFonts w:asciiTheme="minorHAnsi" w:hAnsiTheme="minorHAnsi"/>
          <w:sz w:val="36"/>
          <w:szCs w:val="36"/>
        </w:rPr>
        <w:t>.</w:t>
      </w:r>
      <w:r w:rsidRPr="00FB31CB">
        <w:rPr>
          <w:rFonts w:asciiTheme="minorHAnsi" w:hAnsiTheme="minorHAnsi"/>
          <w:sz w:val="36"/>
          <w:szCs w:val="36"/>
        </w:rPr>
        <w:t>13</w:t>
      </w:r>
      <w:r w:rsidR="006D6493" w:rsidRPr="00FB31CB">
        <w:rPr>
          <w:rFonts w:asciiTheme="minorHAnsi" w:hAnsiTheme="minorHAnsi"/>
          <w:sz w:val="36"/>
          <w:szCs w:val="36"/>
        </w:rPr>
        <w:tab/>
      </w:r>
      <w:r w:rsidRPr="00FB31CB">
        <w:rPr>
          <w:rFonts w:asciiTheme="minorHAnsi" w:hAnsiTheme="minorHAnsi"/>
          <w:sz w:val="36"/>
          <w:szCs w:val="36"/>
        </w:rPr>
        <w:t>OCTREOTIDE</w:t>
      </w:r>
      <w:r w:rsidR="006D6493" w:rsidRPr="00FB31CB">
        <w:rPr>
          <w:rFonts w:asciiTheme="minorHAnsi" w:hAnsiTheme="minorHAnsi"/>
          <w:sz w:val="36"/>
          <w:szCs w:val="36"/>
        </w:rPr>
        <w:t xml:space="preserve"> </w:t>
      </w:r>
      <w:r w:rsidR="006D6493" w:rsidRPr="00FB31CB">
        <w:rPr>
          <w:rFonts w:asciiTheme="minorHAnsi" w:hAnsiTheme="minorHAnsi"/>
          <w:sz w:val="36"/>
          <w:szCs w:val="36"/>
        </w:rPr>
        <w:br/>
      </w:r>
      <w:r w:rsidR="00237A46" w:rsidRPr="00FB31CB">
        <w:rPr>
          <w:rFonts w:asciiTheme="minorHAnsi" w:hAnsiTheme="minorHAnsi"/>
          <w:sz w:val="36"/>
          <w:szCs w:val="36"/>
        </w:rPr>
        <w:t>Injection (modified release) 10 mg (as acetate), vial and diluent syringe</w:t>
      </w:r>
      <w:r w:rsidR="00237A46" w:rsidRPr="00FB31CB">
        <w:rPr>
          <w:rFonts w:asciiTheme="minorHAnsi" w:hAnsiTheme="minorHAnsi"/>
          <w:sz w:val="36"/>
          <w:szCs w:val="36"/>
        </w:rPr>
        <w:br/>
        <w:t>Injection (modified release) 20 mg (as acetate), vial and diluent syringe</w:t>
      </w:r>
      <w:r w:rsidR="00237A46" w:rsidRPr="00FB31CB">
        <w:rPr>
          <w:rFonts w:asciiTheme="minorHAnsi" w:hAnsiTheme="minorHAnsi"/>
          <w:sz w:val="36"/>
          <w:szCs w:val="36"/>
        </w:rPr>
        <w:br/>
        <w:t>Injection (modified release) 30 mg (as acetate), vial and diluent syringe</w:t>
      </w:r>
      <w:r w:rsidR="006D6493" w:rsidRPr="00FB31CB">
        <w:rPr>
          <w:rFonts w:asciiTheme="minorHAnsi" w:hAnsiTheme="minorHAnsi"/>
          <w:sz w:val="36"/>
          <w:szCs w:val="36"/>
        </w:rPr>
        <w:t xml:space="preserve">, </w:t>
      </w:r>
      <w:r w:rsidR="006D6493" w:rsidRPr="00FB31CB">
        <w:rPr>
          <w:rFonts w:asciiTheme="minorHAnsi" w:hAnsiTheme="minorHAnsi"/>
          <w:sz w:val="36"/>
          <w:szCs w:val="36"/>
        </w:rPr>
        <w:br/>
      </w:r>
      <w:proofErr w:type="spellStart"/>
      <w:r w:rsidR="00237A46" w:rsidRPr="00FB31CB">
        <w:rPr>
          <w:rFonts w:asciiTheme="minorHAnsi" w:hAnsiTheme="minorHAnsi"/>
          <w:sz w:val="36"/>
          <w:szCs w:val="36"/>
        </w:rPr>
        <w:t>Sandostatin</w:t>
      </w:r>
      <w:proofErr w:type="spellEnd"/>
      <w:r w:rsidR="006A33BD" w:rsidRPr="00FB31CB">
        <w:rPr>
          <w:rFonts w:asciiTheme="minorHAnsi" w:hAnsiTheme="minorHAnsi"/>
          <w:sz w:val="36"/>
          <w:szCs w:val="36"/>
          <w:vertAlign w:val="superscript"/>
        </w:rPr>
        <w:t>®</w:t>
      </w:r>
      <w:r w:rsidR="00237A46" w:rsidRPr="00FB31CB">
        <w:rPr>
          <w:rFonts w:asciiTheme="minorHAnsi" w:hAnsiTheme="minorHAnsi"/>
          <w:sz w:val="36"/>
          <w:szCs w:val="36"/>
        </w:rPr>
        <w:t xml:space="preserve"> LAR</w:t>
      </w:r>
      <w:r w:rsidR="000C280E" w:rsidRPr="00FB31CB">
        <w:rPr>
          <w:rFonts w:asciiTheme="minorHAnsi" w:hAnsiTheme="minorHAnsi"/>
          <w:sz w:val="36"/>
          <w:szCs w:val="36"/>
          <w:vertAlign w:val="superscript"/>
        </w:rPr>
        <w:t>®</w:t>
      </w:r>
      <w:r w:rsidR="006D6493" w:rsidRPr="00FB31CB">
        <w:rPr>
          <w:rFonts w:asciiTheme="minorHAnsi" w:hAnsiTheme="minorHAnsi"/>
          <w:sz w:val="36"/>
          <w:szCs w:val="36"/>
        </w:rPr>
        <w:t xml:space="preserve">, </w:t>
      </w:r>
      <w:r w:rsidR="00237A46" w:rsidRPr="00FB31CB">
        <w:rPr>
          <w:rFonts w:asciiTheme="minorHAnsi" w:hAnsiTheme="minorHAnsi"/>
          <w:sz w:val="36"/>
          <w:szCs w:val="36"/>
        </w:rPr>
        <w:t>Novartis</w:t>
      </w:r>
      <w:r w:rsidR="004A4CC5" w:rsidRPr="00FB31CB">
        <w:t xml:space="preserve"> </w:t>
      </w:r>
      <w:r w:rsidR="004A4CC5" w:rsidRPr="00FB31CB">
        <w:rPr>
          <w:rFonts w:asciiTheme="minorHAnsi" w:hAnsiTheme="minorHAnsi"/>
          <w:sz w:val="36"/>
          <w:szCs w:val="36"/>
        </w:rPr>
        <w:t>Pharmaceuticals Australia Pty Ltd</w:t>
      </w:r>
    </w:p>
    <w:p w:rsidR="00D36219" w:rsidRPr="00D36219" w:rsidRDefault="00D36219" w:rsidP="00070EBC">
      <w:pPr>
        <w:pStyle w:val="PBACHeading1"/>
        <w:numPr>
          <w:ilvl w:val="0"/>
          <w:numId w:val="5"/>
        </w:numPr>
        <w:spacing w:before="240" w:after="120"/>
        <w:rPr>
          <w:rFonts w:ascii="Calibri" w:hAnsi="Calibri"/>
          <w:sz w:val="32"/>
        </w:rPr>
      </w:pPr>
      <w:bookmarkStart w:id="0" w:name="_Toc514171459"/>
      <w:r w:rsidRPr="00D36219">
        <w:rPr>
          <w:rFonts w:ascii="Calibri" w:hAnsi="Calibri"/>
          <w:sz w:val="32"/>
        </w:rPr>
        <w:t>Purpose of Application</w:t>
      </w:r>
      <w:bookmarkEnd w:id="0"/>
    </w:p>
    <w:p w:rsidR="006A12A5" w:rsidRPr="00FB31CB" w:rsidRDefault="00EF44A0" w:rsidP="00530F2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 xml:space="preserve">The </w:t>
      </w:r>
      <w:r w:rsidR="00FF2801" w:rsidRPr="00FB31CB">
        <w:rPr>
          <w:rFonts w:asciiTheme="minorHAnsi" w:eastAsiaTheme="minorHAnsi" w:hAnsiTheme="minorHAnsi" w:cstheme="minorBidi"/>
          <w:snapToGrid/>
          <w:sz w:val="24"/>
          <w:szCs w:val="22"/>
        </w:rPr>
        <w:t>submission requested</w:t>
      </w:r>
      <w:r w:rsidR="00530F21" w:rsidRPr="00FB31CB">
        <w:rPr>
          <w:rFonts w:asciiTheme="minorHAnsi" w:eastAsiaTheme="minorHAnsi" w:hAnsiTheme="minorHAnsi" w:cstheme="minorBidi"/>
          <w:snapToGrid/>
          <w:sz w:val="24"/>
          <w:szCs w:val="22"/>
        </w:rPr>
        <w:t xml:space="preserve"> to extend the current listing for octreotide</w:t>
      </w:r>
      <w:r w:rsidR="00EF0FC6" w:rsidRPr="00FB31CB">
        <w:rPr>
          <w:rFonts w:asciiTheme="minorHAnsi" w:eastAsiaTheme="minorHAnsi" w:hAnsiTheme="minorHAnsi" w:cstheme="minorBidi"/>
          <w:snapToGrid/>
          <w:sz w:val="24"/>
          <w:szCs w:val="22"/>
        </w:rPr>
        <w:t xml:space="preserve"> modified release injections,</w:t>
      </w:r>
      <w:r w:rsidR="00530F21" w:rsidRPr="00FB31CB">
        <w:rPr>
          <w:rFonts w:asciiTheme="minorHAnsi" w:eastAsiaTheme="minorHAnsi" w:hAnsiTheme="minorHAnsi" w:cstheme="minorBidi"/>
          <w:snapToGrid/>
          <w:sz w:val="24"/>
          <w:szCs w:val="22"/>
        </w:rPr>
        <w:t xml:space="preserve"> 10</w:t>
      </w:r>
      <w:r w:rsidR="00B3609A" w:rsidRPr="00FB31CB">
        <w:rPr>
          <w:rFonts w:asciiTheme="minorHAnsi" w:eastAsiaTheme="minorHAnsi" w:hAnsiTheme="minorHAnsi" w:cstheme="minorBidi"/>
          <w:snapToGrid/>
          <w:sz w:val="24"/>
          <w:szCs w:val="22"/>
        </w:rPr>
        <w:t> </w:t>
      </w:r>
      <w:r w:rsidR="00530F21" w:rsidRPr="00FB31CB">
        <w:rPr>
          <w:rFonts w:asciiTheme="minorHAnsi" w:eastAsiaTheme="minorHAnsi" w:hAnsiTheme="minorHAnsi" w:cstheme="minorBidi"/>
          <w:snapToGrid/>
          <w:sz w:val="24"/>
          <w:szCs w:val="22"/>
        </w:rPr>
        <w:t>mg</w:t>
      </w:r>
      <w:r w:rsidR="00F4653C" w:rsidRPr="00FB31CB">
        <w:rPr>
          <w:rFonts w:asciiTheme="minorHAnsi" w:eastAsiaTheme="minorHAnsi" w:hAnsiTheme="minorHAnsi" w:cstheme="minorBidi"/>
          <w:snapToGrid/>
          <w:sz w:val="24"/>
          <w:szCs w:val="22"/>
        </w:rPr>
        <w:t>/</w:t>
      </w:r>
      <w:r w:rsidR="00530F21" w:rsidRPr="00FB31CB">
        <w:rPr>
          <w:rFonts w:asciiTheme="minorHAnsi" w:eastAsiaTheme="minorHAnsi" w:hAnsiTheme="minorHAnsi" w:cstheme="minorBidi"/>
          <w:snapToGrid/>
          <w:sz w:val="24"/>
          <w:szCs w:val="22"/>
        </w:rPr>
        <w:t>2 m</w:t>
      </w:r>
      <w:r w:rsidR="00F4653C" w:rsidRPr="00FB31CB">
        <w:rPr>
          <w:rFonts w:asciiTheme="minorHAnsi" w:eastAsiaTheme="minorHAnsi" w:hAnsiTheme="minorHAnsi" w:cstheme="minorBidi"/>
          <w:snapToGrid/>
          <w:sz w:val="24"/>
          <w:szCs w:val="22"/>
        </w:rPr>
        <w:t>L</w:t>
      </w:r>
      <w:r w:rsidR="00530F21" w:rsidRPr="00FB31CB">
        <w:rPr>
          <w:rFonts w:asciiTheme="minorHAnsi" w:eastAsiaTheme="minorHAnsi" w:hAnsiTheme="minorHAnsi" w:cstheme="minorBidi"/>
          <w:snapToGrid/>
          <w:sz w:val="24"/>
          <w:szCs w:val="22"/>
        </w:rPr>
        <w:t>, 20 mg</w:t>
      </w:r>
      <w:r w:rsidR="00F4653C" w:rsidRPr="00FB31CB">
        <w:rPr>
          <w:rFonts w:asciiTheme="minorHAnsi" w:eastAsiaTheme="minorHAnsi" w:hAnsiTheme="minorHAnsi" w:cstheme="minorBidi"/>
          <w:snapToGrid/>
          <w:sz w:val="24"/>
          <w:szCs w:val="22"/>
        </w:rPr>
        <w:t>/</w:t>
      </w:r>
      <w:r w:rsidR="00530F21" w:rsidRPr="00FB31CB">
        <w:rPr>
          <w:rFonts w:asciiTheme="minorHAnsi" w:eastAsiaTheme="minorHAnsi" w:hAnsiTheme="minorHAnsi" w:cstheme="minorBidi"/>
          <w:snapToGrid/>
          <w:sz w:val="24"/>
          <w:szCs w:val="22"/>
        </w:rPr>
        <w:t>2 m</w:t>
      </w:r>
      <w:r w:rsidR="00F4653C" w:rsidRPr="00FB31CB">
        <w:rPr>
          <w:rFonts w:asciiTheme="minorHAnsi" w:eastAsiaTheme="minorHAnsi" w:hAnsiTheme="minorHAnsi" w:cstheme="minorBidi"/>
          <w:snapToGrid/>
          <w:sz w:val="24"/>
          <w:szCs w:val="22"/>
        </w:rPr>
        <w:t>L</w:t>
      </w:r>
      <w:r w:rsidR="00530F21" w:rsidRPr="00FB31CB">
        <w:rPr>
          <w:rFonts w:asciiTheme="minorHAnsi" w:eastAsiaTheme="minorHAnsi" w:hAnsiTheme="minorHAnsi" w:cstheme="minorBidi"/>
          <w:snapToGrid/>
          <w:sz w:val="24"/>
          <w:szCs w:val="22"/>
        </w:rPr>
        <w:t xml:space="preserve"> and 30 mg</w:t>
      </w:r>
      <w:r w:rsidR="00F4653C" w:rsidRPr="00FB31CB">
        <w:rPr>
          <w:rFonts w:asciiTheme="minorHAnsi" w:eastAsiaTheme="minorHAnsi" w:hAnsiTheme="minorHAnsi" w:cstheme="minorBidi"/>
          <w:snapToGrid/>
          <w:sz w:val="24"/>
          <w:szCs w:val="22"/>
        </w:rPr>
        <w:t xml:space="preserve"> /</w:t>
      </w:r>
      <w:r w:rsidR="00530F21" w:rsidRPr="00FB31CB">
        <w:rPr>
          <w:rFonts w:asciiTheme="minorHAnsi" w:eastAsiaTheme="minorHAnsi" w:hAnsiTheme="minorHAnsi" w:cstheme="minorBidi"/>
          <w:snapToGrid/>
          <w:sz w:val="24"/>
          <w:szCs w:val="22"/>
        </w:rPr>
        <w:t>2 m</w:t>
      </w:r>
      <w:r w:rsidR="00F4653C" w:rsidRPr="00FB31CB">
        <w:rPr>
          <w:rFonts w:asciiTheme="minorHAnsi" w:eastAsiaTheme="minorHAnsi" w:hAnsiTheme="minorHAnsi" w:cstheme="minorBidi"/>
          <w:snapToGrid/>
          <w:sz w:val="24"/>
          <w:szCs w:val="22"/>
        </w:rPr>
        <w:t>L</w:t>
      </w:r>
      <w:r w:rsidR="00EF0FC6" w:rsidRPr="00FB31CB">
        <w:rPr>
          <w:rFonts w:asciiTheme="minorHAnsi" w:eastAsiaTheme="minorHAnsi" w:hAnsiTheme="minorHAnsi" w:cstheme="minorBidi"/>
          <w:snapToGrid/>
          <w:sz w:val="24"/>
          <w:szCs w:val="22"/>
        </w:rPr>
        <w:t>,</w:t>
      </w:r>
      <w:r w:rsidR="00530F21" w:rsidRPr="00FB31CB">
        <w:rPr>
          <w:rFonts w:asciiTheme="minorHAnsi" w:eastAsiaTheme="minorHAnsi" w:hAnsiTheme="minorHAnsi" w:cstheme="minorBidi"/>
          <w:snapToGrid/>
          <w:sz w:val="24"/>
          <w:szCs w:val="22"/>
        </w:rPr>
        <w:t xml:space="preserve"> to a Section 100 Highly </w:t>
      </w:r>
      <w:r w:rsidR="00136BB1" w:rsidRPr="00FB31CB">
        <w:rPr>
          <w:rFonts w:asciiTheme="minorHAnsi" w:eastAsiaTheme="minorHAnsi" w:hAnsiTheme="minorHAnsi" w:cstheme="minorBidi"/>
          <w:snapToGrid/>
          <w:sz w:val="24"/>
          <w:szCs w:val="22"/>
        </w:rPr>
        <w:t>Specialised</w:t>
      </w:r>
      <w:r w:rsidR="00530F21" w:rsidRPr="00FB31CB">
        <w:rPr>
          <w:rFonts w:asciiTheme="minorHAnsi" w:eastAsiaTheme="minorHAnsi" w:hAnsiTheme="minorHAnsi" w:cstheme="minorBidi"/>
          <w:snapToGrid/>
          <w:sz w:val="24"/>
          <w:szCs w:val="22"/>
        </w:rPr>
        <w:t xml:space="preserve"> Drug Program </w:t>
      </w:r>
      <w:r w:rsidR="000B2AF2" w:rsidRPr="00FB31CB">
        <w:rPr>
          <w:rFonts w:asciiTheme="minorHAnsi" w:eastAsiaTheme="minorHAnsi" w:hAnsiTheme="minorHAnsi" w:cstheme="minorBidi"/>
          <w:snapToGrid/>
          <w:sz w:val="24"/>
          <w:szCs w:val="22"/>
        </w:rPr>
        <w:t xml:space="preserve">(HSD) </w:t>
      </w:r>
      <w:r w:rsidR="00530F21" w:rsidRPr="00FB31CB">
        <w:rPr>
          <w:rFonts w:asciiTheme="minorHAnsi" w:eastAsiaTheme="minorHAnsi" w:hAnsiTheme="minorHAnsi" w:cstheme="minorBidi"/>
          <w:snapToGrid/>
          <w:sz w:val="24"/>
          <w:szCs w:val="22"/>
        </w:rPr>
        <w:t xml:space="preserve">Community Access, Authority Required </w:t>
      </w:r>
      <w:r w:rsidR="00136BB1" w:rsidRPr="00FB31CB">
        <w:rPr>
          <w:rFonts w:asciiTheme="minorHAnsi" w:eastAsiaTheme="minorHAnsi" w:hAnsiTheme="minorHAnsi" w:cstheme="minorBidi"/>
          <w:snapToGrid/>
          <w:sz w:val="24"/>
          <w:szCs w:val="22"/>
        </w:rPr>
        <w:t>(STREAMLINED) for patients with functional carcinoid tumours, acromegaly and vasoactive intestinal peptide secreting tumours (VIPomas).</w:t>
      </w:r>
    </w:p>
    <w:p w:rsidR="006A12A5" w:rsidRPr="00FB31CB" w:rsidRDefault="006A12A5" w:rsidP="00070EBC">
      <w:pPr>
        <w:pStyle w:val="PBACHeading1"/>
        <w:numPr>
          <w:ilvl w:val="0"/>
          <w:numId w:val="5"/>
        </w:numPr>
        <w:spacing w:before="240" w:after="120"/>
        <w:rPr>
          <w:rFonts w:asciiTheme="minorHAnsi" w:hAnsiTheme="minorHAnsi"/>
          <w:sz w:val="32"/>
          <w:szCs w:val="32"/>
        </w:rPr>
      </w:pPr>
      <w:r w:rsidRPr="00D36219">
        <w:rPr>
          <w:rFonts w:ascii="Calibri" w:hAnsi="Calibri"/>
          <w:sz w:val="32"/>
        </w:rPr>
        <w:t>Requested</w:t>
      </w:r>
      <w:r w:rsidRPr="00FB31CB">
        <w:rPr>
          <w:rFonts w:asciiTheme="minorHAnsi" w:hAnsiTheme="minorHAnsi"/>
          <w:sz w:val="32"/>
          <w:szCs w:val="32"/>
        </w:rPr>
        <w:t xml:space="preserve"> listing</w:t>
      </w:r>
    </w:p>
    <w:p w:rsidR="001E7DBB" w:rsidRPr="00FB31CB" w:rsidRDefault="00EF44A0" w:rsidP="00801635">
      <w:pPr>
        <w:pStyle w:val="ListParagraph"/>
        <w:keepNext/>
        <w:widowControl/>
        <w:numPr>
          <w:ilvl w:val="1"/>
          <w:numId w:val="14"/>
        </w:numPr>
        <w:spacing w:after="12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 xml:space="preserve">The </w:t>
      </w:r>
      <w:r w:rsidR="000B2AF2" w:rsidRPr="00FB31CB">
        <w:rPr>
          <w:rFonts w:asciiTheme="minorHAnsi" w:eastAsiaTheme="minorHAnsi" w:hAnsiTheme="minorHAnsi" w:cstheme="minorBidi"/>
          <w:snapToGrid/>
          <w:sz w:val="24"/>
          <w:szCs w:val="22"/>
        </w:rPr>
        <w:t xml:space="preserve">proposed Community Access PBS listings for functional carcinoid tumours, acromegaly and VIPomas </w:t>
      </w:r>
      <w:r w:rsidR="00191937" w:rsidRPr="00FB31CB">
        <w:rPr>
          <w:rFonts w:asciiTheme="minorHAnsi" w:eastAsiaTheme="minorHAnsi" w:hAnsiTheme="minorHAnsi" w:cstheme="minorBidi"/>
          <w:snapToGrid/>
          <w:sz w:val="24"/>
          <w:szCs w:val="22"/>
        </w:rPr>
        <w:t>applied</w:t>
      </w:r>
      <w:r w:rsidR="00AD7A06" w:rsidRPr="00FB31CB">
        <w:rPr>
          <w:rFonts w:asciiTheme="minorHAnsi" w:eastAsiaTheme="minorHAnsi" w:hAnsiTheme="minorHAnsi" w:cstheme="minorBidi"/>
          <w:snapToGrid/>
          <w:sz w:val="24"/>
          <w:szCs w:val="22"/>
        </w:rPr>
        <w:t xml:space="preserve"> </w:t>
      </w:r>
      <w:r w:rsidR="00C0541B" w:rsidRPr="00FB31CB">
        <w:rPr>
          <w:rFonts w:asciiTheme="minorHAnsi" w:eastAsiaTheme="minorHAnsi" w:hAnsiTheme="minorHAnsi" w:cstheme="minorBidi"/>
          <w:snapToGrid/>
          <w:sz w:val="24"/>
          <w:szCs w:val="22"/>
        </w:rPr>
        <w:t>similar treatment, clinical and population criteria to the existing</w:t>
      </w:r>
      <w:r w:rsidR="00AD7A06" w:rsidRPr="00FB31CB">
        <w:rPr>
          <w:rFonts w:asciiTheme="minorHAnsi" w:eastAsiaTheme="minorHAnsi" w:hAnsiTheme="minorHAnsi" w:cstheme="minorBidi"/>
          <w:snapToGrid/>
          <w:sz w:val="24"/>
          <w:szCs w:val="22"/>
        </w:rPr>
        <w:t xml:space="preserve"> Section 100 </w:t>
      </w:r>
      <w:r w:rsidR="00157522" w:rsidRPr="00FB31CB">
        <w:rPr>
          <w:rFonts w:asciiTheme="minorHAnsi" w:eastAsiaTheme="minorHAnsi" w:hAnsiTheme="minorHAnsi" w:cstheme="minorBidi"/>
          <w:snapToGrid/>
          <w:sz w:val="24"/>
          <w:szCs w:val="22"/>
        </w:rPr>
        <w:t>HSD Public and Private Hospital</w:t>
      </w:r>
      <w:r w:rsidR="00486363" w:rsidRPr="00FB31CB">
        <w:rPr>
          <w:rFonts w:asciiTheme="minorHAnsi" w:eastAsiaTheme="minorHAnsi" w:hAnsiTheme="minorHAnsi" w:cstheme="minorBidi"/>
          <w:snapToGrid/>
          <w:sz w:val="24"/>
          <w:szCs w:val="22"/>
        </w:rPr>
        <w:t xml:space="preserve"> listings. </w:t>
      </w:r>
    </w:p>
    <w:p w:rsidR="00AA31F9" w:rsidRPr="00FB31CB" w:rsidRDefault="00300558" w:rsidP="00300558">
      <w:pPr>
        <w:spacing w:after="120"/>
        <w:ind w:left="709"/>
        <w:rPr>
          <w:rFonts w:asciiTheme="minorHAnsi" w:eastAsiaTheme="minorHAnsi" w:hAnsiTheme="minorHAnsi" w:cstheme="minorBidi"/>
          <w:i/>
          <w:szCs w:val="22"/>
        </w:rPr>
      </w:pPr>
      <w:r w:rsidRPr="00FB31CB">
        <w:rPr>
          <w:rFonts w:asciiTheme="minorHAnsi" w:eastAsiaTheme="minorHAnsi" w:hAnsiTheme="minorHAnsi" w:cstheme="minorBidi"/>
          <w:i/>
          <w:szCs w:val="22"/>
        </w:rPr>
        <w:t>For more detail on PBAC’s view, see section 6 PBAC outcome.</w:t>
      </w:r>
    </w:p>
    <w:p w:rsidR="00C603D4" w:rsidRPr="00070EBC" w:rsidRDefault="00CE10C4" w:rsidP="00070EBC">
      <w:pPr>
        <w:pStyle w:val="PBACHeading1"/>
        <w:numPr>
          <w:ilvl w:val="0"/>
          <w:numId w:val="5"/>
        </w:numPr>
        <w:spacing w:before="240" w:after="120"/>
        <w:rPr>
          <w:rFonts w:ascii="Calibri" w:hAnsi="Calibri"/>
          <w:sz w:val="32"/>
        </w:rPr>
      </w:pPr>
      <w:r w:rsidRPr="00D36219">
        <w:rPr>
          <w:rFonts w:ascii="Calibri" w:hAnsi="Calibri"/>
          <w:sz w:val="32"/>
        </w:rPr>
        <w:t>Background</w:t>
      </w:r>
    </w:p>
    <w:p w:rsidR="001E738B" w:rsidRPr="00FB31CB" w:rsidRDefault="003525FA" w:rsidP="001F65C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Octreotide</w:t>
      </w:r>
      <w:r w:rsidR="001F5F61" w:rsidRPr="00FB31CB">
        <w:rPr>
          <w:rFonts w:asciiTheme="minorHAnsi" w:eastAsiaTheme="minorHAnsi" w:hAnsiTheme="minorHAnsi" w:cstheme="minorBidi"/>
          <w:snapToGrid/>
          <w:sz w:val="24"/>
          <w:szCs w:val="22"/>
        </w:rPr>
        <w:t xml:space="preserve"> modified release injection </w:t>
      </w:r>
      <w:r w:rsidR="00476245" w:rsidRPr="00FB31CB">
        <w:rPr>
          <w:rFonts w:asciiTheme="minorHAnsi" w:eastAsiaTheme="minorHAnsi" w:hAnsiTheme="minorHAnsi" w:cstheme="minorBidi"/>
          <w:snapToGrid/>
          <w:sz w:val="24"/>
          <w:szCs w:val="22"/>
        </w:rPr>
        <w:t>is TGA registered for</w:t>
      </w:r>
      <w:r w:rsidR="001E738B" w:rsidRPr="00FB31CB">
        <w:rPr>
          <w:rFonts w:asciiTheme="minorHAnsi" w:eastAsiaTheme="minorHAnsi" w:hAnsiTheme="minorHAnsi" w:cstheme="minorBidi"/>
          <w:snapToGrid/>
          <w:sz w:val="24"/>
          <w:szCs w:val="22"/>
        </w:rPr>
        <w:t xml:space="preserve"> the treatment </w:t>
      </w:r>
      <w:r w:rsidR="00DE6EA3" w:rsidRPr="00FB31CB">
        <w:rPr>
          <w:rFonts w:asciiTheme="minorHAnsi" w:eastAsiaTheme="minorHAnsi" w:hAnsiTheme="minorHAnsi" w:cstheme="minorBidi"/>
          <w:snapToGrid/>
          <w:sz w:val="24"/>
          <w:szCs w:val="22"/>
        </w:rPr>
        <w:t>of</w:t>
      </w:r>
      <w:r w:rsidR="001E738B" w:rsidRPr="00FB31CB">
        <w:rPr>
          <w:rFonts w:asciiTheme="minorHAnsi" w:eastAsiaTheme="minorHAnsi" w:hAnsiTheme="minorHAnsi" w:cstheme="minorBidi"/>
          <w:snapToGrid/>
          <w:sz w:val="24"/>
          <w:szCs w:val="22"/>
        </w:rPr>
        <w:t>;</w:t>
      </w:r>
    </w:p>
    <w:p w:rsidR="001E738B" w:rsidRPr="00FB31CB" w:rsidRDefault="000C280E" w:rsidP="00B61250">
      <w:pPr>
        <w:pStyle w:val="ListParagraph"/>
        <w:widowControl/>
        <w:numPr>
          <w:ilvl w:val="0"/>
          <w:numId w:val="19"/>
        </w:numPr>
        <w:spacing w:before="120" w:after="160"/>
        <w:ind w:left="1134" w:hanging="425"/>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 xml:space="preserve">the symptomatic control and reduction of growth hormone and IGF-1 plasma levels in patients with acromegaly, including those who are inadequately controlled by surgery, radiotherapy, or dopamine agonist treatment but who are adequately controlled on </w:t>
      </w:r>
      <w:r w:rsidR="001F5F61" w:rsidRPr="00FB31CB">
        <w:rPr>
          <w:rFonts w:asciiTheme="minorHAnsi" w:eastAsiaTheme="minorHAnsi" w:hAnsiTheme="minorHAnsi" w:cstheme="minorBidi"/>
          <w:snapToGrid/>
          <w:sz w:val="24"/>
          <w:szCs w:val="22"/>
        </w:rPr>
        <w:t>subcutaneous</w:t>
      </w:r>
      <w:r w:rsidRPr="00FB31CB">
        <w:rPr>
          <w:rFonts w:asciiTheme="minorHAnsi" w:eastAsiaTheme="minorHAnsi" w:hAnsiTheme="minorHAnsi" w:cstheme="minorBidi"/>
          <w:snapToGrid/>
          <w:sz w:val="24"/>
          <w:szCs w:val="22"/>
        </w:rPr>
        <w:t xml:space="preserve"> treatment with </w:t>
      </w:r>
      <w:proofErr w:type="spellStart"/>
      <w:r w:rsidRPr="00FB31CB">
        <w:rPr>
          <w:rFonts w:asciiTheme="minorHAnsi" w:eastAsiaTheme="minorHAnsi" w:hAnsiTheme="minorHAnsi" w:cstheme="minorBidi"/>
          <w:snapToGrid/>
          <w:sz w:val="24"/>
          <w:szCs w:val="22"/>
        </w:rPr>
        <w:t>Sandostatin</w:t>
      </w:r>
      <w:proofErr w:type="spellEnd"/>
      <w:r w:rsidR="001F5F61" w:rsidRPr="00FB31CB">
        <w:rPr>
          <w:rFonts w:asciiTheme="minorHAnsi" w:eastAsiaTheme="minorHAnsi" w:hAnsiTheme="minorHAnsi" w:cstheme="minorBidi"/>
          <w:snapToGrid/>
          <w:sz w:val="24"/>
          <w:szCs w:val="22"/>
        </w:rPr>
        <w:t>®</w:t>
      </w:r>
      <w:r w:rsidRPr="00FB31CB">
        <w:rPr>
          <w:rFonts w:asciiTheme="minorHAnsi" w:eastAsiaTheme="minorHAnsi" w:hAnsiTheme="minorHAnsi" w:cstheme="minorBidi"/>
          <w:snapToGrid/>
          <w:sz w:val="24"/>
          <w:szCs w:val="22"/>
        </w:rPr>
        <w:t xml:space="preserve">. </w:t>
      </w:r>
      <w:proofErr w:type="spellStart"/>
      <w:r w:rsidRPr="00FB31CB">
        <w:rPr>
          <w:rFonts w:asciiTheme="minorHAnsi" w:eastAsiaTheme="minorHAnsi" w:hAnsiTheme="minorHAnsi" w:cstheme="minorBidi"/>
          <w:snapToGrid/>
          <w:sz w:val="24"/>
          <w:szCs w:val="22"/>
        </w:rPr>
        <w:t>Sandostatin</w:t>
      </w:r>
      <w:proofErr w:type="spellEnd"/>
      <w:r w:rsidR="001F5F61" w:rsidRPr="00FB31CB">
        <w:rPr>
          <w:rFonts w:asciiTheme="minorHAnsi" w:eastAsiaTheme="minorHAnsi" w:hAnsiTheme="minorHAnsi" w:cstheme="minorBidi"/>
          <w:snapToGrid/>
          <w:sz w:val="24"/>
          <w:szCs w:val="22"/>
        </w:rPr>
        <w:t>®</w:t>
      </w:r>
      <w:r w:rsidRPr="00FB31CB">
        <w:rPr>
          <w:rFonts w:asciiTheme="minorHAnsi" w:eastAsiaTheme="minorHAnsi" w:hAnsiTheme="minorHAnsi" w:cstheme="minorBidi"/>
          <w:snapToGrid/>
          <w:sz w:val="24"/>
          <w:szCs w:val="22"/>
        </w:rPr>
        <w:t xml:space="preserve"> LAR</w:t>
      </w:r>
      <w:r w:rsidR="001F5F61" w:rsidRPr="00FB31CB">
        <w:rPr>
          <w:rFonts w:asciiTheme="minorHAnsi" w:eastAsiaTheme="minorHAnsi" w:hAnsiTheme="minorHAnsi" w:cstheme="minorBidi"/>
          <w:snapToGrid/>
          <w:sz w:val="24"/>
          <w:szCs w:val="22"/>
        </w:rPr>
        <w:t>®</w:t>
      </w:r>
      <w:r w:rsidRPr="00FB31CB">
        <w:rPr>
          <w:rFonts w:asciiTheme="minorHAnsi" w:eastAsiaTheme="minorHAnsi" w:hAnsiTheme="minorHAnsi" w:cstheme="minorBidi"/>
          <w:snapToGrid/>
          <w:sz w:val="24"/>
          <w:szCs w:val="22"/>
        </w:rPr>
        <w:t xml:space="preserve"> is also indicated in </w:t>
      </w:r>
      <w:proofErr w:type="spellStart"/>
      <w:r w:rsidRPr="00FB31CB">
        <w:rPr>
          <w:rFonts w:asciiTheme="minorHAnsi" w:eastAsiaTheme="minorHAnsi" w:hAnsiTheme="minorHAnsi" w:cstheme="minorBidi"/>
          <w:snapToGrid/>
          <w:sz w:val="24"/>
          <w:szCs w:val="22"/>
        </w:rPr>
        <w:t>acromegalic</w:t>
      </w:r>
      <w:proofErr w:type="spellEnd"/>
      <w:r w:rsidRPr="00FB31CB">
        <w:rPr>
          <w:rFonts w:asciiTheme="minorHAnsi" w:eastAsiaTheme="minorHAnsi" w:hAnsiTheme="minorHAnsi" w:cstheme="minorBidi"/>
          <w:snapToGrid/>
          <w:sz w:val="24"/>
          <w:szCs w:val="22"/>
        </w:rPr>
        <w:t xml:space="preserve"> patients unfit or unwilling to undergo surgery, or in the interim period until radiotherapy becomes fully effective</w:t>
      </w:r>
      <w:r w:rsidR="001E738B" w:rsidRPr="00FB31CB">
        <w:rPr>
          <w:rFonts w:asciiTheme="minorHAnsi" w:eastAsiaTheme="minorHAnsi" w:hAnsiTheme="minorHAnsi" w:cstheme="minorBidi"/>
          <w:snapToGrid/>
          <w:sz w:val="24"/>
          <w:szCs w:val="22"/>
        </w:rPr>
        <w:t>;</w:t>
      </w:r>
    </w:p>
    <w:p w:rsidR="001E738B" w:rsidRPr="00FB31CB" w:rsidRDefault="001E738B" w:rsidP="00B61250">
      <w:pPr>
        <w:pStyle w:val="ListParagraph"/>
        <w:widowControl/>
        <w:numPr>
          <w:ilvl w:val="0"/>
          <w:numId w:val="19"/>
        </w:numPr>
        <w:spacing w:before="120" w:after="160"/>
        <w:ind w:left="1134" w:hanging="425"/>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symptoms associated with carcinoid tumours with features of the carcinoid syndrome;</w:t>
      </w:r>
      <w:r w:rsidR="00DE6EA3" w:rsidRPr="00FB31CB">
        <w:rPr>
          <w:rFonts w:asciiTheme="minorHAnsi" w:eastAsiaTheme="minorHAnsi" w:hAnsiTheme="minorHAnsi" w:cstheme="minorBidi"/>
          <w:snapToGrid/>
          <w:sz w:val="24"/>
          <w:szCs w:val="22"/>
        </w:rPr>
        <w:t xml:space="preserve"> and </w:t>
      </w:r>
    </w:p>
    <w:p w:rsidR="000C280E" w:rsidRPr="00FB31CB" w:rsidRDefault="001E738B" w:rsidP="00B61250">
      <w:pPr>
        <w:pStyle w:val="ListParagraph"/>
        <w:widowControl/>
        <w:numPr>
          <w:ilvl w:val="0"/>
          <w:numId w:val="19"/>
        </w:numPr>
        <w:spacing w:before="120" w:after="160"/>
        <w:ind w:left="1134" w:hanging="425"/>
        <w:contextualSpacing w:val="0"/>
        <w:rPr>
          <w:rFonts w:asciiTheme="minorHAnsi" w:eastAsiaTheme="minorHAnsi" w:hAnsiTheme="minorHAnsi" w:cstheme="minorBidi"/>
          <w:snapToGrid/>
          <w:sz w:val="24"/>
          <w:szCs w:val="22"/>
        </w:rPr>
      </w:pPr>
      <w:proofErr w:type="gramStart"/>
      <w:r w:rsidRPr="00FB31CB">
        <w:rPr>
          <w:rFonts w:asciiTheme="minorHAnsi" w:eastAsiaTheme="minorHAnsi" w:hAnsiTheme="minorHAnsi" w:cstheme="minorBidi"/>
          <w:snapToGrid/>
          <w:sz w:val="24"/>
          <w:szCs w:val="22"/>
        </w:rPr>
        <w:lastRenderedPageBreak/>
        <w:t>symptoms</w:t>
      </w:r>
      <w:proofErr w:type="gramEnd"/>
      <w:r w:rsidRPr="00FB31CB">
        <w:rPr>
          <w:rFonts w:asciiTheme="minorHAnsi" w:eastAsiaTheme="minorHAnsi" w:hAnsiTheme="minorHAnsi" w:cstheme="minorBidi"/>
          <w:snapToGrid/>
          <w:sz w:val="24"/>
          <w:szCs w:val="22"/>
        </w:rPr>
        <w:t xml:space="preserve"> of vasoactive intestinal peptide secreting tumours (VIPomas) in patients who are adequately controlled on subcutaneous treatment with octreotide.</w:t>
      </w:r>
    </w:p>
    <w:p w:rsidR="000C280E" w:rsidRPr="00FB31CB" w:rsidRDefault="00B3609A" w:rsidP="00B3609A">
      <w:pPr>
        <w:pStyle w:val="ListParagraph"/>
        <w:numPr>
          <w:ilvl w:val="1"/>
          <w:numId w:val="14"/>
        </w:numPr>
        <w:spacing w:before="120" w:after="16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 xml:space="preserve">Octreotide </w:t>
      </w:r>
      <w:r w:rsidR="001F5F61" w:rsidRPr="00FB31CB">
        <w:rPr>
          <w:rFonts w:asciiTheme="minorHAnsi" w:eastAsiaTheme="minorHAnsi" w:hAnsiTheme="minorHAnsi" w:cstheme="minorBidi"/>
          <w:snapToGrid/>
          <w:sz w:val="24"/>
          <w:szCs w:val="22"/>
        </w:rPr>
        <w:t xml:space="preserve">immediate release injection </w:t>
      </w:r>
      <w:r w:rsidRPr="00FB31CB">
        <w:rPr>
          <w:rFonts w:asciiTheme="minorHAnsi" w:eastAsiaTheme="minorHAnsi" w:hAnsiTheme="minorHAnsi" w:cstheme="minorBidi"/>
          <w:snapToGrid/>
          <w:sz w:val="24"/>
          <w:szCs w:val="22"/>
        </w:rPr>
        <w:t xml:space="preserve">is </w:t>
      </w:r>
      <w:r w:rsidR="001F5F61" w:rsidRPr="00FB31CB">
        <w:rPr>
          <w:rFonts w:asciiTheme="minorHAnsi" w:eastAsiaTheme="minorHAnsi" w:hAnsiTheme="minorHAnsi" w:cstheme="minorBidi"/>
          <w:snapToGrid/>
          <w:sz w:val="24"/>
          <w:szCs w:val="22"/>
        </w:rPr>
        <w:t xml:space="preserve">PBS </w:t>
      </w:r>
      <w:r w:rsidRPr="00FB31CB">
        <w:rPr>
          <w:rFonts w:asciiTheme="minorHAnsi" w:eastAsiaTheme="minorHAnsi" w:hAnsiTheme="minorHAnsi" w:cstheme="minorBidi"/>
          <w:snapToGrid/>
          <w:sz w:val="24"/>
          <w:szCs w:val="22"/>
        </w:rPr>
        <w:t xml:space="preserve">listed for </w:t>
      </w:r>
      <w:r w:rsidR="001F5F61" w:rsidRPr="00FB31CB">
        <w:rPr>
          <w:rFonts w:asciiTheme="minorHAnsi" w:eastAsiaTheme="minorHAnsi" w:hAnsiTheme="minorHAnsi" w:cstheme="minorBidi"/>
          <w:snapToGrid/>
          <w:sz w:val="24"/>
          <w:szCs w:val="22"/>
        </w:rPr>
        <w:t xml:space="preserve">patients with </w:t>
      </w:r>
      <w:r w:rsidR="000C280E" w:rsidRPr="00FB31CB">
        <w:rPr>
          <w:rFonts w:asciiTheme="minorHAnsi" w:eastAsiaTheme="minorHAnsi" w:hAnsiTheme="minorHAnsi" w:cstheme="minorBidi"/>
          <w:snapToGrid/>
          <w:sz w:val="24"/>
          <w:szCs w:val="22"/>
        </w:rPr>
        <w:t>acromegaly</w:t>
      </w:r>
      <w:r w:rsidRPr="00FB31CB">
        <w:rPr>
          <w:rFonts w:asciiTheme="minorHAnsi" w:eastAsiaTheme="minorHAnsi" w:hAnsiTheme="minorHAnsi" w:cstheme="minorBidi"/>
          <w:snapToGrid/>
          <w:sz w:val="24"/>
          <w:szCs w:val="22"/>
        </w:rPr>
        <w:t>,</w:t>
      </w:r>
      <w:r w:rsidR="000C280E" w:rsidRPr="00FB31CB">
        <w:rPr>
          <w:rFonts w:asciiTheme="minorHAnsi" w:eastAsiaTheme="minorHAnsi" w:hAnsiTheme="minorHAnsi" w:cstheme="minorBidi"/>
          <w:snapToGrid/>
          <w:sz w:val="24"/>
          <w:szCs w:val="22"/>
        </w:rPr>
        <w:t xml:space="preserve"> carcinoid syndrome or vasoactive intes</w:t>
      </w:r>
      <w:r w:rsidR="00E56DDB">
        <w:rPr>
          <w:rFonts w:asciiTheme="minorHAnsi" w:eastAsiaTheme="minorHAnsi" w:hAnsiTheme="minorHAnsi" w:cstheme="minorBidi"/>
          <w:snapToGrid/>
          <w:sz w:val="24"/>
          <w:szCs w:val="22"/>
        </w:rPr>
        <w:t>tinal peptide secreting tumour.</w:t>
      </w:r>
    </w:p>
    <w:p w:rsidR="000C280E" w:rsidRPr="00FB31CB" w:rsidRDefault="00B3609A" w:rsidP="000C280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O</w:t>
      </w:r>
      <w:r w:rsidR="000C280E" w:rsidRPr="00FB31CB">
        <w:rPr>
          <w:rFonts w:asciiTheme="minorHAnsi" w:eastAsiaTheme="minorHAnsi" w:hAnsiTheme="minorHAnsi" w:cstheme="minorBidi"/>
          <w:snapToGrid/>
          <w:sz w:val="24"/>
          <w:szCs w:val="22"/>
        </w:rPr>
        <w:t xml:space="preserve">ctreotide modified release injection </w:t>
      </w:r>
      <w:r w:rsidRPr="00FB31CB">
        <w:rPr>
          <w:rFonts w:asciiTheme="minorHAnsi" w:eastAsiaTheme="minorHAnsi" w:hAnsiTheme="minorHAnsi" w:cstheme="minorBidi"/>
          <w:snapToGrid/>
          <w:sz w:val="24"/>
          <w:szCs w:val="22"/>
        </w:rPr>
        <w:t xml:space="preserve">is PBS listed </w:t>
      </w:r>
      <w:r w:rsidR="000C280E" w:rsidRPr="00FB31CB">
        <w:rPr>
          <w:rFonts w:asciiTheme="minorHAnsi" w:eastAsiaTheme="minorHAnsi" w:hAnsiTheme="minorHAnsi" w:cstheme="minorBidi"/>
          <w:snapToGrid/>
          <w:sz w:val="24"/>
          <w:szCs w:val="22"/>
        </w:rPr>
        <w:t>for patients with acromegaly and carcinoid tumour or vasoactive intestinal peptide secreting tumour who are controlled on octreotide immediate release injection.</w:t>
      </w:r>
    </w:p>
    <w:p w:rsidR="0097134F" w:rsidRPr="00FB31CB" w:rsidRDefault="0097134F" w:rsidP="00B61250">
      <w:pPr>
        <w:pStyle w:val="ListParagraph"/>
        <w:widowControl/>
        <w:numPr>
          <w:ilvl w:val="1"/>
          <w:numId w:val="14"/>
        </w:numPr>
        <w:spacing w:before="120" w:after="160"/>
        <w:ind w:left="709"/>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The HSD community access arrangements, introduced on 1 July 2015, allow authorised community based practitioners to prescribe clozapine for the treatment of schizophrenia (maintenance therapy only), HIV antiretroviral</w:t>
      </w:r>
      <w:r w:rsidR="00B3609A" w:rsidRPr="00FB31CB">
        <w:rPr>
          <w:rFonts w:asciiTheme="minorHAnsi" w:eastAsiaTheme="minorHAnsi" w:hAnsiTheme="minorHAnsi" w:cstheme="minorBidi"/>
          <w:snapToGrid/>
          <w:sz w:val="24"/>
          <w:szCs w:val="22"/>
        </w:rPr>
        <w:t xml:space="preserve"> treatments,</w:t>
      </w:r>
      <w:r w:rsidRPr="00FB31CB">
        <w:rPr>
          <w:rFonts w:asciiTheme="minorHAnsi" w:eastAsiaTheme="minorHAnsi" w:hAnsiTheme="minorHAnsi" w:cstheme="minorBidi"/>
          <w:snapToGrid/>
          <w:sz w:val="24"/>
          <w:szCs w:val="22"/>
        </w:rPr>
        <w:t xml:space="preserve"> and hepatitis B medicines without the need to be affiliated with a hospital. In comparison to S</w:t>
      </w:r>
      <w:r w:rsidR="008C1501" w:rsidRPr="00FB31CB">
        <w:rPr>
          <w:rFonts w:asciiTheme="minorHAnsi" w:eastAsiaTheme="minorHAnsi" w:hAnsiTheme="minorHAnsi" w:cstheme="minorBidi"/>
          <w:snapToGrid/>
          <w:sz w:val="24"/>
          <w:szCs w:val="22"/>
        </w:rPr>
        <w:t xml:space="preserve">ection </w:t>
      </w:r>
      <w:r w:rsidRPr="00FB31CB">
        <w:rPr>
          <w:rFonts w:asciiTheme="minorHAnsi" w:eastAsiaTheme="minorHAnsi" w:hAnsiTheme="minorHAnsi" w:cstheme="minorBidi"/>
          <w:snapToGrid/>
          <w:sz w:val="24"/>
          <w:szCs w:val="22"/>
        </w:rPr>
        <w:t xml:space="preserve">100 HSD </w:t>
      </w:r>
      <w:r w:rsidR="003D44FC" w:rsidRPr="00FB31CB">
        <w:rPr>
          <w:rFonts w:asciiTheme="minorHAnsi" w:eastAsiaTheme="minorHAnsi" w:hAnsiTheme="minorHAnsi" w:cstheme="minorBidi"/>
          <w:snapToGrid/>
          <w:sz w:val="24"/>
          <w:szCs w:val="22"/>
        </w:rPr>
        <w:t>P</w:t>
      </w:r>
      <w:r w:rsidRPr="00FB31CB">
        <w:rPr>
          <w:rFonts w:asciiTheme="minorHAnsi" w:eastAsiaTheme="minorHAnsi" w:hAnsiTheme="minorHAnsi" w:cstheme="minorBidi"/>
          <w:snapToGrid/>
          <w:sz w:val="24"/>
          <w:szCs w:val="22"/>
        </w:rPr>
        <w:t xml:space="preserve">ublic and </w:t>
      </w:r>
      <w:r w:rsidR="003D44FC" w:rsidRPr="00FB31CB">
        <w:rPr>
          <w:rFonts w:asciiTheme="minorHAnsi" w:eastAsiaTheme="minorHAnsi" w:hAnsiTheme="minorHAnsi" w:cstheme="minorBidi"/>
          <w:snapToGrid/>
          <w:sz w:val="24"/>
          <w:szCs w:val="22"/>
        </w:rPr>
        <w:t>P</w:t>
      </w:r>
      <w:r w:rsidRPr="00FB31CB">
        <w:rPr>
          <w:rFonts w:asciiTheme="minorHAnsi" w:eastAsiaTheme="minorHAnsi" w:hAnsiTheme="minorHAnsi" w:cstheme="minorBidi"/>
          <w:snapToGrid/>
          <w:sz w:val="24"/>
          <w:szCs w:val="22"/>
        </w:rPr>
        <w:t xml:space="preserve">rivate </w:t>
      </w:r>
      <w:r w:rsidR="003D44FC" w:rsidRPr="00FB31CB">
        <w:rPr>
          <w:rFonts w:asciiTheme="minorHAnsi" w:eastAsiaTheme="minorHAnsi" w:hAnsiTheme="minorHAnsi" w:cstheme="minorBidi"/>
          <w:snapToGrid/>
          <w:sz w:val="24"/>
          <w:szCs w:val="22"/>
        </w:rPr>
        <w:t>H</w:t>
      </w:r>
      <w:r w:rsidRPr="00FB31CB">
        <w:rPr>
          <w:rFonts w:asciiTheme="minorHAnsi" w:eastAsiaTheme="minorHAnsi" w:hAnsiTheme="minorHAnsi" w:cstheme="minorBidi"/>
          <w:snapToGrid/>
          <w:sz w:val="24"/>
          <w:szCs w:val="22"/>
        </w:rPr>
        <w:t>ospital listings, community access arrangements remove the requirement for;</w:t>
      </w:r>
    </w:p>
    <w:p w:rsidR="0097134F" w:rsidRPr="00FB31CB" w:rsidRDefault="0097134F" w:rsidP="00B61250">
      <w:pPr>
        <w:pStyle w:val="ListParagraph"/>
        <w:widowControl/>
        <w:numPr>
          <w:ilvl w:val="0"/>
          <w:numId w:val="19"/>
        </w:numPr>
        <w:spacing w:before="120" w:after="160"/>
        <w:ind w:left="1134" w:hanging="425"/>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prescribers to demonstrate a link to a hospital setting;</w:t>
      </w:r>
    </w:p>
    <w:p w:rsidR="0097134F" w:rsidRPr="00FB31CB" w:rsidRDefault="0097134F" w:rsidP="00B61250">
      <w:pPr>
        <w:pStyle w:val="ListParagraph"/>
        <w:widowControl/>
        <w:numPr>
          <w:ilvl w:val="0"/>
          <w:numId w:val="19"/>
        </w:numPr>
        <w:spacing w:before="120" w:after="160"/>
        <w:ind w:left="1134" w:hanging="425"/>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private hospital prescribers to obtain phone authority, replacing the current authority requirements with streamlined authority; and</w:t>
      </w:r>
    </w:p>
    <w:p w:rsidR="0097134F" w:rsidRPr="00FB31CB" w:rsidRDefault="0097134F" w:rsidP="00B61250">
      <w:pPr>
        <w:pStyle w:val="ListParagraph"/>
        <w:widowControl/>
        <w:numPr>
          <w:ilvl w:val="0"/>
          <w:numId w:val="19"/>
        </w:numPr>
        <w:spacing w:before="120" w:after="160"/>
        <w:ind w:left="1134" w:hanging="425"/>
        <w:contextualSpacing w:val="0"/>
        <w:rPr>
          <w:rFonts w:asciiTheme="minorHAnsi" w:eastAsiaTheme="minorHAnsi" w:hAnsiTheme="minorHAnsi" w:cstheme="minorBidi"/>
          <w:snapToGrid/>
          <w:sz w:val="24"/>
          <w:szCs w:val="22"/>
        </w:rPr>
      </w:pPr>
      <w:proofErr w:type="gramStart"/>
      <w:r w:rsidRPr="00FB31CB">
        <w:rPr>
          <w:rFonts w:asciiTheme="minorHAnsi" w:eastAsiaTheme="minorHAnsi" w:hAnsiTheme="minorHAnsi" w:cstheme="minorBidi"/>
          <w:snapToGrid/>
          <w:sz w:val="24"/>
          <w:szCs w:val="22"/>
        </w:rPr>
        <w:t>patients</w:t>
      </w:r>
      <w:proofErr w:type="gramEnd"/>
      <w:r w:rsidRPr="00FB31CB">
        <w:rPr>
          <w:rFonts w:asciiTheme="minorHAnsi" w:eastAsiaTheme="minorHAnsi" w:hAnsiTheme="minorHAnsi" w:cstheme="minorBidi"/>
          <w:snapToGrid/>
          <w:sz w:val="24"/>
          <w:szCs w:val="22"/>
        </w:rPr>
        <w:t xml:space="preserve"> receiving care at/or from a hospital.</w:t>
      </w:r>
    </w:p>
    <w:p w:rsidR="00666537" w:rsidRPr="00FB31CB" w:rsidRDefault="00666537" w:rsidP="0066653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At the November 2017 PBAC meeting the PBAC recommended extending the listing of lanreotide acetate (Somatuline</w:t>
      </w:r>
      <w:r w:rsidRPr="00FB31CB">
        <w:rPr>
          <w:rFonts w:asciiTheme="minorHAnsi" w:eastAsiaTheme="minorHAnsi" w:hAnsiTheme="minorHAnsi" w:cstheme="minorBidi"/>
          <w:i/>
          <w:snapToGrid/>
          <w:sz w:val="24"/>
          <w:szCs w:val="22"/>
        </w:rPr>
        <w:t>®</w:t>
      </w:r>
      <w:r w:rsidRPr="00FB31CB">
        <w:rPr>
          <w:rFonts w:asciiTheme="minorHAnsi" w:eastAsiaTheme="minorHAnsi" w:hAnsiTheme="minorHAnsi" w:cstheme="minorBidi"/>
          <w:snapToGrid/>
          <w:sz w:val="24"/>
          <w:szCs w:val="22"/>
        </w:rPr>
        <w:t xml:space="preserve"> </w:t>
      </w:r>
      <w:proofErr w:type="spellStart"/>
      <w:r w:rsidRPr="00FB31CB">
        <w:rPr>
          <w:rFonts w:asciiTheme="minorHAnsi" w:eastAsiaTheme="minorHAnsi" w:hAnsiTheme="minorHAnsi" w:cstheme="minorBidi"/>
          <w:snapToGrid/>
          <w:sz w:val="24"/>
          <w:szCs w:val="22"/>
        </w:rPr>
        <w:t>Autogel</w:t>
      </w:r>
      <w:proofErr w:type="spellEnd"/>
      <w:r w:rsidRPr="00FB31CB">
        <w:rPr>
          <w:rFonts w:asciiTheme="minorHAnsi" w:eastAsiaTheme="minorHAnsi" w:hAnsiTheme="minorHAnsi" w:cstheme="minorBidi"/>
          <w:i/>
          <w:snapToGrid/>
          <w:sz w:val="24"/>
          <w:szCs w:val="22"/>
        </w:rPr>
        <w:t>®</w:t>
      </w:r>
      <w:r w:rsidRPr="00FB31CB">
        <w:rPr>
          <w:rFonts w:asciiTheme="minorHAnsi" w:eastAsiaTheme="minorHAnsi" w:hAnsiTheme="minorHAnsi" w:cstheme="minorBidi"/>
          <w:snapToGrid/>
          <w:sz w:val="24"/>
          <w:szCs w:val="22"/>
        </w:rPr>
        <w:t>), another somatostatin analogue with a similar patient population, to Section 100 HSD Community Access</w:t>
      </w:r>
      <w:r w:rsidR="004C7472" w:rsidRPr="00FB31CB">
        <w:rPr>
          <w:rFonts w:asciiTheme="minorHAnsi" w:eastAsiaTheme="minorHAnsi" w:hAnsiTheme="minorHAnsi" w:cstheme="minorBidi"/>
          <w:snapToGrid/>
          <w:sz w:val="24"/>
          <w:szCs w:val="22"/>
        </w:rPr>
        <w:t xml:space="preserve"> for </w:t>
      </w:r>
      <w:r w:rsidRPr="00FB31CB">
        <w:rPr>
          <w:rFonts w:asciiTheme="minorHAnsi" w:eastAsiaTheme="minorHAnsi" w:hAnsiTheme="minorHAnsi" w:cstheme="minorBidi"/>
          <w:snapToGrid/>
          <w:sz w:val="24"/>
          <w:szCs w:val="22"/>
        </w:rPr>
        <w:t>th</w:t>
      </w:r>
      <w:r w:rsidR="004C7472" w:rsidRPr="00FB31CB">
        <w:rPr>
          <w:rFonts w:asciiTheme="minorHAnsi" w:eastAsiaTheme="minorHAnsi" w:hAnsiTheme="minorHAnsi" w:cstheme="minorBidi"/>
          <w:snapToGrid/>
          <w:sz w:val="24"/>
          <w:szCs w:val="22"/>
        </w:rPr>
        <w:t>e continuing phase of treatment. T</w:t>
      </w:r>
      <w:r w:rsidRPr="00FB31CB">
        <w:rPr>
          <w:rFonts w:asciiTheme="minorHAnsi" w:eastAsiaTheme="minorHAnsi" w:hAnsiTheme="minorHAnsi" w:cstheme="minorBidi"/>
          <w:snapToGrid/>
          <w:sz w:val="24"/>
          <w:szCs w:val="22"/>
        </w:rPr>
        <w:t xml:space="preserve">he </w:t>
      </w:r>
      <w:r w:rsidR="004C7472" w:rsidRPr="00FB31CB">
        <w:rPr>
          <w:rFonts w:asciiTheme="minorHAnsi" w:eastAsiaTheme="minorHAnsi" w:hAnsiTheme="minorHAnsi" w:cstheme="minorBidi"/>
          <w:snapToGrid/>
          <w:sz w:val="24"/>
          <w:szCs w:val="22"/>
        </w:rPr>
        <w:t xml:space="preserve">PBAC recommended that the </w:t>
      </w:r>
      <w:r w:rsidRPr="00FB31CB">
        <w:rPr>
          <w:rFonts w:asciiTheme="minorHAnsi" w:eastAsiaTheme="minorHAnsi" w:hAnsiTheme="minorHAnsi" w:cstheme="minorBidi"/>
          <w:snapToGrid/>
          <w:sz w:val="24"/>
          <w:szCs w:val="22"/>
        </w:rPr>
        <w:t xml:space="preserve">initial phase of treatment should remain unchanged under Section 100 HSD Public and Private Hospitals. </w:t>
      </w:r>
    </w:p>
    <w:p w:rsidR="00B61250" w:rsidRPr="00E56DDB" w:rsidRDefault="00B61250" w:rsidP="00B61250">
      <w:pPr>
        <w:pStyle w:val="ListParagraph"/>
        <w:widowControl/>
        <w:spacing w:before="120" w:after="160"/>
        <w:ind w:left="709"/>
        <w:contextualSpacing w:val="0"/>
        <w:jc w:val="center"/>
        <w:rPr>
          <w:rFonts w:asciiTheme="minorHAnsi" w:hAnsiTheme="minorHAnsi"/>
          <w:b/>
          <w:sz w:val="24"/>
          <w:szCs w:val="24"/>
        </w:rPr>
      </w:pPr>
      <w:r w:rsidRPr="00E56DDB">
        <w:rPr>
          <w:rFonts w:asciiTheme="minorHAnsi" w:hAnsiTheme="minorHAnsi"/>
          <w:b/>
          <w:sz w:val="24"/>
          <w:szCs w:val="24"/>
        </w:rPr>
        <w:t>Committee-In-Confidence information</w:t>
      </w:r>
    </w:p>
    <w:p w:rsidR="00B61250" w:rsidRPr="00D234FD" w:rsidRDefault="00D234FD" w:rsidP="00B61250">
      <w:pPr>
        <w:pStyle w:val="ListParagraph"/>
        <w:widowControl/>
        <w:spacing w:before="120" w:after="160"/>
        <w:ind w:left="709"/>
        <w:contextualSpacing w:val="0"/>
        <w:rPr>
          <w:rFonts w:asciiTheme="minorHAnsi" w:hAnsiTheme="minorHAnsi"/>
          <w:sz w:val="24"/>
          <w:szCs w:val="24"/>
          <w:highlight w:val="black"/>
        </w:rPr>
      </w:pPr>
      <w:r>
        <w:rPr>
          <w:rFonts w:asciiTheme="minorHAnsi" w:hAnsiTheme="minorHAnsi"/>
          <w:noProof/>
          <w:color w:val="000000"/>
          <w:sz w:val="24"/>
          <w:szCs w:val="24"/>
          <w:highlight w:val="black"/>
        </w:rPr>
        <w:t>''''' ''''' '''''''''''' ''''''''' '''''''''''''''' ''''''' ''''''''''' '''''''''''''''' ''' '''''''''' ''''''''''''''' '''''''''''''' '''' ''''''''''''''''' ''''''''''''''''''' '''''''' '''''''''''''' '''' '''''''''''''''' ''''''''''''''' '''''''' '''''''' '''''''''''''''''' '''''''''''' '''''''''''''''' '''''''''''''''''''' '''''''''''''' ''''' '''''''''''''''''''' '''''''''''''''''''' '''' '''''''''''''''''''''''' '''''''''''''''''' '''''''''''''''' ''''''''''' ''''''''''''''' ''''''' '''''''' ''''''''''''''''' ''''' ''''''''''''''' ''''''' ''''''''' ''''''''''''''''''''''' ''''''''''''' '''' ''' '''''''' ''''''''''' ''''''''' '''''' ''''''''''''''''''''' '''''''''''''' '''''''''''''''''''''''' ''''''''' '''''''''' '''''''''''''''''''''''''  ''''''''''' '''''''''''''' ''''''''' '''''''''''' '''''''''''''''' '''''''''''''' '''''''' '''''''</w:t>
      </w:r>
    </w:p>
    <w:p w:rsidR="00B61250" w:rsidRPr="00D234FD" w:rsidRDefault="00D234FD" w:rsidP="00B61250">
      <w:pPr>
        <w:pStyle w:val="ListParagraph"/>
        <w:widowControl/>
        <w:spacing w:before="120" w:after="160"/>
        <w:ind w:left="709"/>
        <w:contextualSpacing w:val="0"/>
        <w:rPr>
          <w:rFonts w:asciiTheme="minorHAnsi" w:hAnsiTheme="minorHAnsi"/>
          <w:sz w:val="24"/>
          <w:szCs w:val="24"/>
          <w:highlight w:val="black"/>
        </w:rPr>
      </w:pPr>
      <w:r>
        <w:rPr>
          <w:rFonts w:asciiTheme="minorHAnsi" w:hAnsiTheme="minorHAnsi"/>
          <w:noProof/>
          <w:color w:val="000000"/>
          <w:sz w:val="24"/>
          <w:szCs w:val="24"/>
          <w:highlight w:val="black"/>
        </w:rPr>
        <w:t>'''''' ''''''''''''''''''''''''' '''''' ''''''''''''''''''' '''''''''''''''''' ''''''''''''''' ''''''' '''''''''''' '''''''''''' ''''''' '''''''''''''''''' '''''''''''' '''''''''''''''''''''''''''' ''''''''''' ''''''' '''''''''''''' '''''''' '''''''' ''''''''''''''''''</w:t>
      </w:r>
    </w:p>
    <w:p w:rsidR="00B61250" w:rsidRPr="00FB31CB" w:rsidRDefault="00B61250" w:rsidP="00FF099C">
      <w:pPr>
        <w:pStyle w:val="ListParagraph"/>
        <w:widowControl/>
        <w:spacing w:before="120" w:after="160"/>
        <w:ind w:left="709"/>
        <w:contextualSpacing w:val="0"/>
        <w:jc w:val="center"/>
        <w:rPr>
          <w:rFonts w:asciiTheme="minorHAnsi" w:hAnsiTheme="minorHAnsi"/>
          <w:b/>
          <w:sz w:val="24"/>
          <w:szCs w:val="24"/>
        </w:rPr>
      </w:pPr>
      <w:r w:rsidRPr="00E56DDB">
        <w:rPr>
          <w:rFonts w:asciiTheme="minorHAnsi" w:hAnsiTheme="minorHAnsi"/>
          <w:b/>
          <w:sz w:val="24"/>
          <w:szCs w:val="24"/>
        </w:rPr>
        <w:t>End of Committee-In-Confidence information</w:t>
      </w:r>
    </w:p>
    <w:p w:rsidR="00D36219" w:rsidRDefault="00300558" w:rsidP="00300558">
      <w:pPr>
        <w:pStyle w:val="ListParagraph"/>
        <w:widowControl/>
        <w:spacing w:before="120" w:after="160"/>
        <w:ind w:left="709"/>
        <w:contextualSpacing w:val="0"/>
        <w:rPr>
          <w:rFonts w:asciiTheme="minorHAnsi" w:hAnsiTheme="minorHAnsi"/>
          <w:i/>
          <w:sz w:val="24"/>
          <w:szCs w:val="24"/>
        </w:rPr>
      </w:pPr>
      <w:r w:rsidRPr="00FB31CB">
        <w:rPr>
          <w:rFonts w:asciiTheme="minorHAnsi" w:hAnsiTheme="minorHAnsi"/>
          <w:i/>
          <w:sz w:val="24"/>
          <w:szCs w:val="24"/>
        </w:rPr>
        <w:t>For more detail on PBAC’s view, see section 6 PBAC outcome.</w:t>
      </w:r>
    </w:p>
    <w:p w:rsidR="00D36219" w:rsidRDefault="00D36219" w:rsidP="00D36219">
      <w:pPr>
        <w:rPr>
          <w:rFonts w:cs="Arial"/>
          <w:snapToGrid w:val="0"/>
          <w:lang w:eastAsia="en-US"/>
        </w:rPr>
      </w:pPr>
      <w:r>
        <w:br w:type="page"/>
      </w:r>
    </w:p>
    <w:p w:rsidR="00CE10C4" w:rsidRPr="00070EBC" w:rsidRDefault="0097134F" w:rsidP="00070EBC">
      <w:pPr>
        <w:pStyle w:val="PBACHeading1"/>
        <w:numPr>
          <w:ilvl w:val="0"/>
          <w:numId w:val="5"/>
        </w:numPr>
        <w:spacing w:before="240" w:after="120"/>
        <w:rPr>
          <w:rFonts w:ascii="Calibri" w:hAnsi="Calibri"/>
          <w:sz w:val="32"/>
        </w:rPr>
      </w:pPr>
      <w:r w:rsidRPr="00070EBC">
        <w:rPr>
          <w:rFonts w:ascii="Calibri" w:hAnsi="Calibri"/>
          <w:sz w:val="32"/>
        </w:rPr>
        <w:lastRenderedPageBreak/>
        <w:t>Current Situation</w:t>
      </w:r>
    </w:p>
    <w:p w:rsidR="00555C79" w:rsidRPr="00FB31CB" w:rsidRDefault="005C3FDA" w:rsidP="00555C7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 xml:space="preserve">The submission </w:t>
      </w:r>
      <w:r w:rsidR="00315FF3" w:rsidRPr="00FB31CB">
        <w:rPr>
          <w:rFonts w:asciiTheme="minorHAnsi" w:eastAsiaTheme="minorHAnsi" w:hAnsiTheme="minorHAnsi" w:cstheme="minorBidi"/>
          <w:snapToGrid/>
          <w:sz w:val="24"/>
          <w:szCs w:val="22"/>
        </w:rPr>
        <w:t>argued</w:t>
      </w:r>
      <w:r w:rsidR="000E39A9" w:rsidRPr="00FB31CB">
        <w:rPr>
          <w:rFonts w:asciiTheme="minorHAnsi" w:eastAsiaTheme="minorHAnsi" w:hAnsiTheme="minorHAnsi" w:cstheme="minorBidi"/>
          <w:snapToGrid/>
          <w:sz w:val="24"/>
          <w:szCs w:val="22"/>
        </w:rPr>
        <w:t xml:space="preserve"> </w:t>
      </w:r>
      <w:r w:rsidRPr="00FB31CB">
        <w:rPr>
          <w:rFonts w:asciiTheme="minorHAnsi" w:eastAsiaTheme="minorHAnsi" w:hAnsiTheme="minorHAnsi" w:cstheme="minorBidi"/>
          <w:snapToGrid/>
          <w:sz w:val="24"/>
          <w:szCs w:val="22"/>
        </w:rPr>
        <w:t xml:space="preserve">that </w:t>
      </w:r>
      <w:r w:rsidR="000E39A9" w:rsidRPr="00FB31CB">
        <w:rPr>
          <w:rFonts w:asciiTheme="minorHAnsi" w:eastAsiaTheme="minorHAnsi" w:hAnsiTheme="minorHAnsi" w:cstheme="minorBidi"/>
          <w:snapToGrid/>
          <w:sz w:val="24"/>
          <w:szCs w:val="22"/>
        </w:rPr>
        <w:t xml:space="preserve">a </w:t>
      </w:r>
      <w:r w:rsidR="003D44FC" w:rsidRPr="00FB31CB">
        <w:rPr>
          <w:rFonts w:asciiTheme="minorHAnsi" w:eastAsiaTheme="minorHAnsi" w:hAnsiTheme="minorHAnsi" w:cstheme="minorBidi"/>
          <w:snapToGrid/>
          <w:sz w:val="24"/>
          <w:szCs w:val="22"/>
        </w:rPr>
        <w:t>S</w:t>
      </w:r>
      <w:r w:rsidR="000E39A9" w:rsidRPr="00FB31CB">
        <w:rPr>
          <w:rFonts w:asciiTheme="minorHAnsi" w:eastAsiaTheme="minorHAnsi" w:hAnsiTheme="minorHAnsi" w:cstheme="minorBidi"/>
          <w:snapToGrid/>
          <w:sz w:val="24"/>
          <w:szCs w:val="22"/>
        </w:rPr>
        <w:t xml:space="preserve">ection 100 HSD </w:t>
      </w:r>
      <w:r w:rsidRPr="00FB31CB">
        <w:rPr>
          <w:rFonts w:asciiTheme="minorHAnsi" w:eastAsiaTheme="minorHAnsi" w:hAnsiTheme="minorHAnsi" w:cstheme="minorBidi"/>
          <w:snapToGrid/>
          <w:sz w:val="24"/>
          <w:szCs w:val="22"/>
        </w:rPr>
        <w:t xml:space="preserve">Community Access </w:t>
      </w:r>
      <w:r w:rsidR="000E39A9" w:rsidRPr="00FB31CB">
        <w:rPr>
          <w:rFonts w:asciiTheme="minorHAnsi" w:eastAsiaTheme="minorHAnsi" w:hAnsiTheme="minorHAnsi" w:cstheme="minorBidi"/>
          <w:snapToGrid/>
          <w:sz w:val="24"/>
          <w:szCs w:val="22"/>
        </w:rPr>
        <w:t xml:space="preserve">listing </w:t>
      </w:r>
      <w:r w:rsidRPr="00FB31CB">
        <w:rPr>
          <w:rFonts w:asciiTheme="minorHAnsi" w:eastAsiaTheme="minorHAnsi" w:hAnsiTheme="minorHAnsi" w:cstheme="minorBidi"/>
          <w:snapToGrid/>
          <w:sz w:val="24"/>
          <w:szCs w:val="22"/>
        </w:rPr>
        <w:t>would facilitate access for public hospital patients, particularly those living in rural and remote areas, who might be a long way from their primary treatment centre.</w:t>
      </w:r>
      <w:r w:rsidR="00315FF3" w:rsidRPr="00FB31CB">
        <w:rPr>
          <w:rFonts w:asciiTheme="minorHAnsi" w:eastAsiaTheme="minorHAnsi" w:hAnsiTheme="minorHAnsi" w:cstheme="minorBidi"/>
          <w:snapToGrid/>
          <w:sz w:val="24"/>
          <w:szCs w:val="22"/>
        </w:rPr>
        <w:t xml:space="preserve"> In support of its argument,</w:t>
      </w:r>
      <w:r w:rsidRPr="00FB31CB">
        <w:rPr>
          <w:rFonts w:asciiTheme="minorHAnsi" w:eastAsiaTheme="minorHAnsi" w:hAnsiTheme="minorHAnsi" w:cstheme="minorBidi"/>
          <w:snapToGrid/>
          <w:sz w:val="24"/>
          <w:szCs w:val="22"/>
        </w:rPr>
        <w:t xml:space="preserve"> </w:t>
      </w:r>
      <w:r w:rsidR="00315FF3" w:rsidRPr="00FB31CB">
        <w:rPr>
          <w:rFonts w:asciiTheme="minorHAnsi" w:eastAsiaTheme="minorHAnsi" w:hAnsiTheme="minorHAnsi" w:cstheme="minorBidi"/>
          <w:snapToGrid/>
          <w:sz w:val="24"/>
          <w:szCs w:val="22"/>
        </w:rPr>
        <w:t>t</w:t>
      </w:r>
      <w:r w:rsidRPr="00FB31CB">
        <w:rPr>
          <w:rFonts w:asciiTheme="minorHAnsi" w:eastAsiaTheme="minorHAnsi" w:hAnsiTheme="minorHAnsi" w:cstheme="minorBidi"/>
          <w:snapToGrid/>
          <w:sz w:val="24"/>
          <w:szCs w:val="22"/>
        </w:rPr>
        <w:t xml:space="preserve">he submission </w:t>
      </w:r>
      <w:r w:rsidR="00315FF3" w:rsidRPr="00FB31CB">
        <w:rPr>
          <w:rFonts w:asciiTheme="minorHAnsi" w:eastAsiaTheme="minorHAnsi" w:hAnsiTheme="minorHAnsi" w:cstheme="minorBidi"/>
          <w:snapToGrid/>
          <w:sz w:val="24"/>
          <w:szCs w:val="22"/>
        </w:rPr>
        <w:t>referred to results of a survey of</w:t>
      </w:r>
      <w:r w:rsidR="00EF5DE9" w:rsidRPr="00FB31CB">
        <w:rPr>
          <w:rFonts w:asciiTheme="minorHAnsi" w:eastAsiaTheme="minorHAnsi" w:hAnsiTheme="minorHAnsi" w:cstheme="minorBidi"/>
          <w:snapToGrid/>
          <w:sz w:val="24"/>
          <w:szCs w:val="22"/>
        </w:rPr>
        <w:t xml:space="preserve"> </w:t>
      </w:r>
      <w:r w:rsidR="00555C79" w:rsidRPr="00FB31CB">
        <w:rPr>
          <w:rFonts w:asciiTheme="minorHAnsi" w:eastAsiaTheme="minorHAnsi" w:hAnsiTheme="minorHAnsi" w:cstheme="minorBidi"/>
          <w:snapToGrid/>
          <w:sz w:val="24"/>
          <w:szCs w:val="22"/>
        </w:rPr>
        <w:t>Australian patients living with neuroendocrine tumours (NETs)</w:t>
      </w:r>
      <w:r w:rsidR="00315FF3" w:rsidRPr="00FB31CB">
        <w:rPr>
          <w:rStyle w:val="FootnoteReference"/>
          <w:rFonts w:asciiTheme="minorHAnsi" w:eastAsiaTheme="minorHAnsi" w:hAnsiTheme="minorHAnsi" w:cstheme="minorBidi"/>
          <w:snapToGrid/>
          <w:sz w:val="24"/>
          <w:szCs w:val="22"/>
        </w:rPr>
        <w:footnoteReference w:id="1"/>
      </w:r>
      <w:r w:rsidR="00555C79" w:rsidRPr="00FB31CB">
        <w:rPr>
          <w:rFonts w:asciiTheme="minorHAnsi" w:eastAsiaTheme="minorHAnsi" w:hAnsiTheme="minorHAnsi" w:cstheme="minorBidi"/>
          <w:snapToGrid/>
          <w:sz w:val="24"/>
          <w:szCs w:val="22"/>
        </w:rPr>
        <w:t xml:space="preserve"> </w:t>
      </w:r>
      <w:r w:rsidR="00315FF3" w:rsidRPr="00FB31CB">
        <w:rPr>
          <w:rFonts w:asciiTheme="minorHAnsi" w:eastAsiaTheme="minorHAnsi" w:hAnsiTheme="minorHAnsi" w:cstheme="minorBidi"/>
          <w:snapToGrid/>
          <w:sz w:val="24"/>
          <w:szCs w:val="22"/>
        </w:rPr>
        <w:t xml:space="preserve">which </w:t>
      </w:r>
      <w:r w:rsidR="00555C79" w:rsidRPr="00FB31CB">
        <w:rPr>
          <w:rFonts w:asciiTheme="minorHAnsi" w:eastAsiaTheme="minorHAnsi" w:hAnsiTheme="minorHAnsi" w:cstheme="minorBidi"/>
          <w:snapToGrid/>
          <w:sz w:val="24"/>
          <w:szCs w:val="22"/>
        </w:rPr>
        <w:t>indicated that travelling to and from medical appointments contributed significantly to the negative impact of having a NET</w:t>
      </w:r>
      <w:r w:rsidR="00031E29" w:rsidRPr="00FB31CB">
        <w:rPr>
          <w:rFonts w:asciiTheme="minorHAnsi" w:eastAsiaTheme="minorHAnsi" w:hAnsiTheme="minorHAnsi" w:cstheme="minorBidi"/>
          <w:snapToGrid/>
          <w:sz w:val="24"/>
          <w:szCs w:val="22"/>
        </w:rPr>
        <w:t>.</w:t>
      </w:r>
      <w:r w:rsidR="00031E29" w:rsidRPr="00FB31CB">
        <w:t xml:space="preserve"> </w:t>
      </w:r>
    </w:p>
    <w:p w:rsidR="00555C79" w:rsidRPr="00FB31CB" w:rsidRDefault="00031E29" w:rsidP="00031E2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FB31CB">
        <w:rPr>
          <w:rFonts w:asciiTheme="minorHAnsi" w:eastAsiaTheme="minorHAnsi" w:hAnsiTheme="minorHAnsi" w:cstheme="minorBidi"/>
          <w:snapToGrid/>
          <w:sz w:val="24"/>
          <w:szCs w:val="22"/>
        </w:rPr>
        <w:t xml:space="preserve">The </w:t>
      </w:r>
      <w:r w:rsidR="00E62990" w:rsidRPr="00FB31CB">
        <w:rPr>
          <w:rFonts w:asciiTheme="minorHAnsi" w:eastAsiaTheme="minorHAnsi" w:hAnsiTheme="minorHAnsi" w:cstheme="minorBidi"/>
          <w:snapToGrid/>
          <w:sz w:val="24"/>
          <w:szCs w:val="22"/>
        </w:rPr>
        <w:t>S</w:t>
      </w:r>
      <w:r w:rsidRPr="00FB31CB">
        <w:rPr>
          <w:rFonts w:asciiTheme="minorHAnsi" w:eastAsiaTheme="minorHAnsi" w:hAnsiTheme="minorHAnsi" w:cstheme="minorBidi"/>
          <w:snapToGrid/>
          <w:sz w:val="24"/>
          <w:szCs w:val="22"/>
        </w:rPr>
        <w:t>ponsor</w:t>
      </w:r>
      <w:r w:rsidR="00E62990" w:rsidRPr="00FB31CB">
        <w:rPr>
          <w:rFonts w:asciiTheme="minorHAnsi" w:eastAsiaTheme="minorHAnsi" w:hAnsiTheme="minorHAnsi" w:cstheme="minorBidi"/>
          <w:snapToGrid/>
          <w:sz w:val="24"/>
          <w:szCs w:val="22"/>
        </w:rPr>
        <w:t xml:space="preserve"> stated it</w:t>
      </w:r>
      <w:r w:rsidRPr="00FB31CB">
        <w:rPr>
          <w:rFonts w:asciiTheme="minorHAnsi" w:eastAsiaTheme="minorHAnsi" w:hAnsiTheme="minorHAnsi" w:cstheme="minorBidi"/>
          <w:snapToGrid/>
          <w:sz w:val="24"/>
          <w:szCs w:val="22"/>
        </w:rPr>
        <w:t xml:space="preserve"> supports the </w:t>
      </w:r>
      <w:proofErr w:type="spellStart"/>
      <w:r w:rsidRPr="00FB31CB">
        <w:rPr>
          <w:rFonts w:asciiTheme="minorHAnsi" w:eastAsiaTheme="minorHAnsi" w:hAnsiTheme="minorHAnsi" w:cstheme="minorBidi"/>
          <w:snapToGrid/>
          <w:sz w:val="24"/>
          <w:szCs w:val="22"/>
        </w:rPr>
        <w:t>Sandostatin</w:t>
      </w:r>
      <w:proofErr w:type="spellEnd"/>
      <w:r w:rsidRPr="00FB31CB">
        <w:rPr>
          <w:rFonts w:asciiTheme="minorHAnsi" w:eastAsiaTheme="minorHAnsi" w:hAnsiTheme="minorHAnsi" w:cstheme="minorBidi"/>
          <w:snapToGrid/>
          <w:sz w:val="24"/>
          <w:szCs w:val="22"/>
        </w:rPr>
        <w:t xml:space="preserve"> Home Injection Nurse Education Service (SHINE) program, which provides patients with a home nurse visit to administer injections. The submission </w:t>
      </w:r>
      <w:r w:rsidR="00FB31CB" w:rsidRPr="00FB31CB">
        <w:rPr>
          <w:rFonts w:asciiTheme="minorHAnsi" w:eastAsiaTheme="minorHAnsi" w:hAnsiTheme="minorHAnsi" w:cstheme="minorBidi"/>
          <w:snapToGrid/>
          <w:sz w:val="24"/>
          <w:szCs w:val="22"/>
        </w:rPr>
        <w:t>stated</w:t>
      </w:r>
      <w:r w:rsidRPr="00FB31CB">
        <w:rPr>
          <w:rFonts w:asciiTheme="minorHAnsi" w:eastAsiaTheme="minorHAnsi" w:hAnsiTheme="minorHAnsi" w:cstheme="minorBidi"/>
          <w:snapToGrid/>
          <w:sz w:val="24"/>
          <w:szCs w:val="22"/>
        </w:rPr>
        <w:t xml:space="preserve"> “people prescribed </w:t>
      </w:r>
      <w:proofErr w:type="spellStart"/>
      <w:r w:rsidRPr="00FB31CB">
        <w:rPr>
          <w:rFonts w:asciiTheme="minorHAnsi" w:eastAsiaTheme="minorHAnsi" w:hAnsiTheme="minorHAnsi" w:cstheme="minorBidi"/>
          <w:snapToGrid/>
          <w:sz w:val="24"/>
          <w:szCs w:val="22"/>
        </w:rPr>
        <w:t>Sandostatin</w:t>
      </w:r>
      <w:proofErr w:type="spellEnd"/>
      <w:r w:rsidR="00FB31CB">
        <w:rPr>
          <w:rFonts w:asciiTheme="minorHAnsi" w:eastAsiaTheme="minorHAnsi" w:hAnsiTheme="minorHAnsi" w:cstheme="minorBidi"/>
          <w:snapToGrid/>
          <w:sz w:val="24"/>
          <w:szCs w:val="22"/>
        </w:rPr>
        <w:t>®</w:t>
      </w:r>
      <w:r w:rsidRPr="00FB31CB">
        <w:rPr>
          <w:rFonts w:asciiTheme="minorHAnsi" w:eastAsiaTheme="minorHAnsi" w:hAnsiTheme="minorHAnsi" w:cstheme="minorBidi"/>
          <w:snapToGrid/>
          <w:sz w:val="24"/>
          <w:szCs w:val="22"/>
        </w:rPr>
        <w:t xml:space="preserve"> LAR generally attend a hospital clinic for monthly injections. However, once a patient’s condition is stable, a home visit by a nurse is more convenient than attending a hospital clinic for many patients. This is particularly the case for patients that may live remote from their treating clinic. The SHINE program currently provides assistance for </w:t>
      </w:r>
      <w:r w:rsidR="006924B3">
        <w:rPr>
          <w:rFonts w:asciiTheme="minorHAnsi" w:eastAsiaTheme="minorHAnsi" w:hAnsiTheme="minorHAnsi" w:cstheme="minorBidi"/>
          <w:noProof/>
          <w:snapToGrid/>
          <w:color w:val="000000"/>
          <w:sz w:val="24"/>
          <w:szCs w:val="22"/>
          <w:highlight w:val="black"/>
        </w:rPr>
        <w:t>'''''''''</w:t>
      </w:r>
      <w:r w:rsidRPr="00FB31CB">
        <w:rPr>
          <w:rFonts w:asciiTheme="minorHAnsi" w:eastAsiaTheme="minorHAnsi" w:hAnsiTheme="minorHAnsi" w:cstheme="minorBidi"/>
          <w:snapToGrid/>
          <w:sz w:val="24"/>
          <w:szCs w:val="22"/>
        </w:rPr>
        <w:t xml:space="preserve"> patients per month across Australia. Feedback from the nurses that administer this program suggests that providing easier access to </w:t>
      </w:r>
      <w:proofErr w:type="spellStart"/>
      <w:r w:rsidRPr="00FB31CB">
        <w:rPr>
          <w:rFonts w:asciiTheme="minorHAnsi" w:eastAsiaTheme="minorHAnsi" w:hAnsiTheme="minorHAnsi" w:cstheme="minorBidi"/>
          <w:snapToGrid/>
          <w:sz w:val="24"/>
          <w:szCs w:val="22"/>
        </w:rPr>
        <w:t>Sandostatin</w:t>
      </w:r>
      <w:proofErr w:type="spellEnd"/>
      <w:r w:rsidR="00FB31CB">
        <w:rPr>
          <w:rFonts w:asciiTheme="minorHAnsi" w:eastAsiaTheme="minorHAnsi" w:hAnsiTheme="minorHAnsi" w:cstheme="minorBidi"/>
          <w:snapToGrid/>
          <w:sz w:val="24"/>
          <w:szCs w:val="22"/>
        </w:rPr>
        <w:t>®</w:t>
      </w:r>
      <w:r w:rsidRPr="00FB31CB">
        <w:rPr>
          <w:rFonts w:asciiTheme="minorHAnsi" w:eastAsiaTheme="minorHAnsi" w:hAnsiTheme="minorHAnsi" w:cstheme="minorBidi"/>
          <w:snapToGrid/>
          <w:sz w:val="24"/>
          <w:szCs w:val="22"/>
        </w:rPr>
        <w:t xml:space="preserve"> LAR for rural, remote and metropolitan patients would facilitate their ongoing treatment”.  </w:t>
      </w:r>
    </w:p>
    <w:p w:rsidR="00300558" w:rsidRPr="00FB31CB" w:rsidRDefault="00300558" w:rsidP="00300558">
      <w:pPr>
        <w:pStyle w:val="ListParagraph"/>
        <w:widowControl/>
        <w:spacing w:before="120" w:after="160"/>
        <w:contextualSpacing w:val="0"/>
        <w:rPr>
          <w:rFonts w:asciiTheme="minorHAnsi" w:eastAsiaTheme="minorHAnsi" w:hAnsiTheme="minorHAnsi" w:cstheme="minorBidi"/>
          <w:i/>
          <w:snapToGrid/>
          <w:sz w:val="24"/>
          <w:szCs w:val="22"/>
        </w:rPr>
      </w:pPr>
      <w:r w:rsidRPr="00FB31CB">
        <w:rPr>
          <w:rFonts w:asciiTheme="minorHAnsi" w:eastAsiaTheme="minorHAnsi" w:hAnsiTheme="minorHAnsi" w:cstheme="minorBidi"/>
          <w:i/>
          <w:snapToGrid/>
          <w:sz w:val="24"/>
          <w:szCs w:val="22"/>
        </w:rPr>
        <w:t>For more detail on PBAC’s view, see section 6 PBAC outcome.</w:t>
      </w:r>
    </w:p>
    <w:p w:rsidR="000B558D" w:rsidRPr="00D36219" w:rsidRDefault="008D7A41" w:rsidP="00070EBC">
      <w:pPr>
        <w:pStyle w:val="PBACHeading1"/>
        <w:numPr>
          <w:ilvl w:val="0"/>
          <w:numId w:val="5"/>
        </w:numPr>
        <w:spacing w:before="240" w:after="120"/>
        <w:rPr>
          <w:rFonts w:ascii="Calibri" w:hAnsi="Calibri"/>
          <w:sz w:val="32"/>
        </w:rPr>
      </w:pPr>
      <w:r w:rsidRPr="00D36219">
        <w:rPr>
          <w:rFonts w:ascii="Calibri" w:hAnsi="Calibri"/>
          <w:sz w:val="32"/>
        </w:rPr>
        <w:t>C</w:t>
      </w:r>
      <w:r w:rsidR="00D84934" w:rsidRPr="00D36219">
        <w:rPr>
          <w:rFonts w:ascii="Calibri" w:hAnsi="Calibri"/>
          <w:sz w:val="32"/>
        </w:rPr>
        <w:t>onsideration of the evidence</w:t>
      </w:r>
    </w:p>
    <w:p w:rsidR="00300558" w:rsidRPr="00E56DDB" w:rsidRDefault="00300558" w:rsidP="00E56DDB">
      <w:pPr>
        <w:pStyle w:val="Heading2"/>
      </w:pPr>
      <w:r w:rsidRPr="00E56DDB">
        <w:t>Sponsor hearing</w:t>
      </w:r>
    </w:p>
    <w:p w:rsidR="00300558" w:rsidRPr="00FB31CB" w:rsidRDefault="00300558" w:rsidP="00300558">
      <w:pPr>
        <w:widowControl w:val="0"/>
        <w:numPr>
          <w:ilvl w:val="1"/>
          <w:numId w:val="5"/>
        </w:numPr>
        <w:spacing w:after="120"/>
        <w:jc w:val="both"/>
        <w:rPr>
          <w:rFonts w:asciiTheme="minorHAnsi" w:hAnsiTheme="minorHAnsi" w:cs="Arial"/>
          <w:bCs/>
          <w:snapToGrid w:val="0"/>
        </w:rPr>
      </w:pPr>
      <w:r w:rsidRPr="00FB31CB">
        <w:rPr>
          <w:rFonts w:asciiTheme="minorHAnsi" w:hAnsiTheme="minorHAnsi" w:cs="Arial"/>
          <w:bCs/>
          <w:snapToGrid w:val="0"/>
        </w:rPr>
        <w:t>There was no hearing for this item as it was a minor submission.</w:t>
      </w:r>
    </w:p>
    <w:p w:rsidR="00300558" w:rsidRPr="00FB31CB" w:rsidRDefault="00300558" w:rsidP="00E56DDB">
      <w:pPr>
        <w:pStyle w:val="Heading2"/>
      </w:pPr>
      <w:r w:rsidRPr="00FB31CB">
        <w:t>Consumer comments</w:t>
      </w:r>
    </w:p>
    <w:p w:rsidR="00300558" w:rsidRPr="00FB31CB" w:rsidRDefault="00300558" w:rsidP="00300558">
      <w:pPr>
        <w:widowControl w:val="0"/>
        <w:numPr>
          <w:ilvl w:val="1"/>
          <w:numId w:val="5"/>
        </w:numPr>
        <w:spacing w:after="120"/>
        <w:jc w:val="both"/>
        <w:rPr>
          <w:rFonts w:asciiTheme="minorHAnsi" w:hAnsiTheme="minorHAnsi" w:cs="Arial"/>
          <w:bCs/>
          <w:snapToGrid w:val="0"/>
        </w:rPr>
      </w:pPr>
      <w:r w:rsidRPr="00FB31CB">
        <w:rPr>
          <w:rFonts w:asciiTheme="minorHAnsi" w:hAnsiTheme="minorHAnsi" w:cs="Arial"/>
          <w:bCs/>
          <w:snapToGrid w:val="0"/>
        </w:rPr>
        <w:t>The PBAC noted that no consumer comments were received for this item.</w:t>
      </w:r>
    </w:p>
    <w:p w:rsidR="005A3173" w:rsidRPr="00E56DDB" w:rsidRDefault="005A3173" w:rsidP="00E56DDB">
      <w:pPr>
        <w:pStyle w:val="Heading2"/>
        <w:rPr>
          <w:rFonts w:eastAsiaTheme="majorEastAsia"/>
        </w:rPr>
      </w:pPr>
      <w:r w:rsidRPr="00E56DDB">
        <w:rPr>
          <w:rFonts w:eastAsiaTheme="majorEastAsia"/>
        </w:rPr>
        <w:t>Estimated PBS usage &amp; financial implications</w:t>
      </w:r>
    </w:p>
    <w:p w:rsidR="00C00DA7" w:rsidRPr="00FB31CB" w:rsidRDefault="00FF2801" w:rsidP="00BC2BA7">
      <w:pPr>
        <w:pStyle w:val="ListParagraph"/>
        <w:widowControl/>
        <w:numPr>
          <w:ilvl w:val="1"/>
          <w:numId w:val="14"/>
        </w:numPr>
        <w:spacing w:before="120" w:after="160"/>
        <w:contextualSpacing w:val="0"/>
        <w:rPr>
          <w:rFonts w:asciiTheme="minorHAnsi" w:hAnsiTheme="minorHAnsi"/>
          <w:sz w:val="24"/>
          <w:szCs w:val="24"/>
        </w:rPr>
      </w:pPr>
      <w:r w:rsidRPr="00FB31CB">
        <w:rPr>
          <w:rFonts w:asciiTheme="minorHAnsi" w:hAnsiTheme="minorHAnsi"/>
          <w:sz w:val="24"/>
          <w:szCs w:val="24"/>
        </w:rPr>
        <w:t>The minor submission estimated</w:t>
      </w:r>
      <w:r w:rsidR="00C00DA7" w:rsidRPr="00FB31CB">
        <w:rPr>
          <w:rFonts w:asciiTheme="minorHAnsi" w:hAnsiTheme="minorHAnsi"/>
          <w:sz w:val="24"/>
          <w:szCs w:val="24"/>
        </w:rPr>
        <w:t xml:space="preserve"> there </w:t>
      </w:r>
      <w:r w:rsidR="00A96861" w:rsidRPr="00FB31CB">
        <w:rPr>
          <w:rFonts w:asciiTheme="minorHAnsi" w:hAnsiTheme="minorHAnsi"/>
          <w:sz w:val="24"/>
          <w:szCs w:val="24"/>
        </w:rPr>
        <w:t xml:space="preserve">might be a small-cost saving due to </w:t>
      </w:r>
      <w:r w:rsidR="00666537" w:rsidRPr="00FB31CB">
        <w:rPr>
          <w:rFonts w:asciiTheme="minorHAnsi" w:hAnsiTheme="minorHAnsi"/>
          <w:sz w:val="24"/>
          <w:szCs w:val="24"/>
        </w:rPr>
        <w:t xml:space="preserve">a move to </w:t>
      </w:r>
      <w:r w:rsidR="00A96861" w:rsidRPr="00FB31CB">
        <w:rPr>
          <w:rFonts w:asciiTheme="minorHAnsi" w:hAnsiTheme="minorHAnsi"/>
          <w:sz w:val="24"/>
          <w:szCs w:val="24"/>
        </w:rPr>
        <w:t xml:space="preserve">an Authority Required (Streamlined) listing compared to an Authority </w:t>
      </w:r>
      <w:proofErr w:type="gramStart"/>
      <w:r w:rsidR="00A96861" w:rsidRPr="00FB31CB">
        <w:rPr>
          <w:rFonts w:asciiTheme="minorHAnsi" w:hAnsiTheme="minorHAnsi"/>
          <w:sz w:val="24"/>
          <w:szCs w:val="24"/>
        </w:rPr>
        <w:t>Required</w:t>
      </w:r>
      <w:proofErr w:type="gramEnd"/>
      <w:r w:rsidR="00A96861" w:rsidRPr="00FB31CB">
        <w:rPr>
          <w:rFonts w:asciiTheme="minorHAnsi" w:hAnsiTheme="minorHAnsi"/>
          <w:sz w:val="24"/>
          <w:szCs w:val="24"/>
        </w:rPr>
        <w:t xml:space="preserve"> telephone approval for private hospital patients.</w:t>
      </w:r>
      <w:r w:rsidR="00723552" w:rsidRPr="00FB31CB">
        <w:rPr>
          <w:rFonts w:asciiTheme="minorHAnsi" w:hAnsiTheme="minorHAnsi"/>
          <w:i/>
          <w:sz w:val="24"/>
          <w:szCs w:val="24"/>
        </w:rPr>
        <w:t xml:space="preserve"> </w:t>
      </w:r>
      <w:r w:rsidR="00723552" w:rsidRPr="00FB31CB">
        <w:rPr>
          <w:rFonts w:asciiTheme="minorHAnsi" w:hAnsiTheme="minorHAnsi"/>
          <w:sz w:val="24"/>
          <w:szCs w:val="24"/>
        </w:rPr>
        <w:t>The submission did not present any estimates of the cost saving</w:t>
      </w:r>
      <w:r w:rsidR="00666537" w:rsidRPr="00FB31CB">
        <w:rPr>
          <w:rFonts w:asciiTheme="minorHAnsi" w:hAnsiTheme="minorHAnsi"/>
          <w:sz w:val="24"/>
          <w:szCs w:val="24"/>
        </w:rPr>
        <w:t xml:space="preserve"> or how many patients this would affect</w:t>
      </w:r>
      <w:r w:rsidR="00723552" w:rsidRPr="00FB31CB">
        <w:rPr>
          <w:rFonts w:asciiTheme="minorHAnsi" w:hAnsiTheme="minorHAnsi"/>
          <w:sz w:val="24"/>
          <w:szCs w:val="24"/>
        </w:rPr>
        <w:t xml:space="preserve">. </w:t>
      </w:r>
    </w:p>
    <w:p w:rsidR="00D36219" w:rsidRDefault="00300558" w:rsidP="00300558">
      <w:pPr>
        <w:pStyle w:val="ListParagraph"/>
        <w:widowControl/>
        <w:spacing w:before="120" w:after="160"/>
        <w:contextualSpacing w:val="0"/>
        <w:rPr>
          <w:rFonts w:asciiTheme="minorHAnsi" w:hAnsiTheme="minorHAnsi"/>
          <w:i/>
          <w:sz w:val="24"/>
          <w:szCs w:val="24"/>
        </w:rPr>
      </w:pPr>
      <w:r w:rsidRPr="00FB31CB">
        <w:rPr>
          <w:rFonts w:asciiTheme="minorHAnsi" w:hAnsiTheme="minorHAnsi"/>
          <w:i/>
          <w:sz w:val="24"/>
          <w:szCs w:val="24"/>
        </w:rPr>
        <w:t>For more detail on PBAC’s view, see section 6 PBAC outcome.</w:t>
      </w:r>
    </w:p>
    <w:p w:rsidR="00300558" w:rsidRPr="00D36219" w:rsidRDefault="00300558" w:rsidP="00070EBC">
      <w:pPr>
        <w:pStyle w:val="PBACHeading1"/>
        <w:keepNext/>
        <w:keepLines/>
        <w:numPr>
          <w:ilvl w:val="0"/>
          <w:numId w:val="5"/>
        </w:numPr>
        <w:spacing w:before="240" w:after="120"/>
        <w:rPr>
          <w:rFonts w:ascii="Calibri" w:hAnsi="Calibri"/>
          <w:sz w:val="32"/>
        </w:rPr>
      </w:pPr>
      <w:r w:rsidRPr="00D36219">
        <w:rPr>
          <w:rFonts w:ascii="Calibri" w:hAnsi="Calibri"/>
          <w:sz w:val="32"/>
        </w:rPr>
        <w:t>PBAC Outcome</w:t>
      </w:r>
    </w:p>
    <w:p w:rsidR="002C1DDB" w:rsidRPr="00FB31CB" w:rsidRDefault="002C1DDB" w:rsidP="00070EBC">
      <w:pPr>
        <w:pStyle w:val="ListParagraph"/>
        <w:keepNext/>
        <w:keepLines/>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FB31CB">
        <w:rPr>
          <w:rFonts w:asciiTheme="minorHAnsi" w:eastAsiaTheme="minorHAnsi" w:hAnsiTheme="minorHAnsi" w:cstheme="minorBidi"/>
          <w:snapToGrid/>
          <w:sz w:val="24"/>
          <w:szCs w:val="24"/>
        </w:rPr>
        <w:t>The PBAC recommended to extend the current listing</w:t>
      </w:r>
      <w:r w:rsidR="00D86851" w:rsidRPr="00FB31CB">
        <w:rPr>
          <w:rFonts w:asciiTheme="minorHAnsi" w:eastAsiaTheme="minorHAnsi" w:hAnsiTheme="minorHAnsi" w:cstheme="minorBidi"/>
          <w:snapToGrid/>
          <w:sz w:val="24"/>
          <w:szCs w:val="24"/>
        </w:rPr>
        <w:t>s</w:t>
      </w:r>
      <w:r w:rsidRPr="00FB31CB">
        <w:rPr>
          <w:rFonts w:asciiTheme="minorHAnsi" w:eastAsiaTheme="minorHAnsi" w:hAnsiTheme="minorHAnsi" w:cstheme="minorBidi"/>
          <w:snapToGrid/>
          <w:sz w:val="24"/>
          <w:szCs w:val="24"/>
        </w:rPr>
        <w:t xml:space="preserve"> for octreotide </w:t>
      </w:r>
      <w:r w:rsidR="004C7472" w:rsidRPr="00FB31CB">
        <w:rPr>
          <w:rFonts w:asciiTheme="minorHAnsi" w:eastAsiaTheme="minorHAnsi" w:hAnsiTheme="minorHAnsi" w:cstheme="minorBidi"/>
          <w:snapToGrid/>
          <w:sz w:val="24"/>
          <w:szCs w:val="24"/>
        </w:rPr>
        <w:t xml:space="preserve">modified release </w:t>
      </w:r>
      <w:r w:rsidRPr="00FB31CB">
        <w:rPr>
          <w:rFonts w:asciiTheme="minorHAnsi" w:eastAsiaTheme="minorHAnsi" w:hAnsiTheme="minorHAnsi" w:cstheme="minorBidi"/>
          <w:snapToGrid/>
          <w:sz w:val="24"/>
          <w:szCs w:val="24"/>
        </w:rPr>
        <w:t xml:space="preserve">injection 10 mg, 20 mg, 30 mg (as acetate), vial and diluent syringe from Section 100 Highly Specialised Drugs program (HSD) to Section 100 HSD Community Access, Authority Required (STREAMLINED) for </w:t>
      </w:r>
      <w:r w:rsidR="00D870BD" w:rsidRPr="00FB31CB">
        <w:rPr>
          <w:rFonts w:asciiTheme="minorHAnsi" w:eastAsiaTheme="minorHAnsi" w:hAnsiTheme="minorHAnsi" w:cstheme="minorBidi"/>
          <w:snapToGrid/>
          <w:sz w:val="24"/>
          <w:szCs w:val="24"/>
        </w:rPr>
        <w:t xml:space="preserve">the treatment of </w:t>
      </w:r>
      <w:r w:rsidRPr="00FB31CB">
        <w:rPr>
          <w:rFonts w:asciiTheme="minorHAnsi" w:eastAsiaTheme="minorHAnsi" w:hAnsiTheme="minorHAnsi" w:cstheme="minorBidi"/>
          <w:snapToGrid/>
          <w:sz w:val="24"/>
          <w:szCs w:val="24"/>
        </w:rPr>
        <w:t>acromegaly</w:t>
      </w:r>
      <w:r w:rsidR="00D870BD" w:rsidRPr="00FB31CB">
        <w:rPr>
          <w:rFonts w:asciiTheme="minorHAnsi" w:eastAsiaTheme="minorHAnsi" w:hAnsiTheme="minorHAnsi" w:cstheme="minorBidi"/>
          <w:snapToGrid/>
          <w:sz w:val="24"/>
          <w:szCs w:val="24"/>
        </w:rPr>
        <w:t xml:space="preserve"> and the symptomatic treatment of </w:t>
      </w:r>
      <w:r w:rsidRPr="00FB31CB">
        <w:rPr>
          <w:rFonts w:asciiTheme="minorHAnsi" w:eastAsiaTheme="minorHAnsi" w:hAnsiTheme="minorHAnsi" w:cstheme="minorBidi"/>
          <w:snapToGrid/>
          <w:sz w:val="24"/>
          <w:szCs w:val="24"/>
        </w:rPr>
        <w:t>carcinoid tumours and vasoactive intestinal peptide secreting tumours (VIPomas) under the conditions noted below.</w:t>
      </w:r>
    </w:p>
    <w:p w:rsidR="002C1DDB" w:rsidRPr="00FB31CB" w:rsidRDefault="002C1DDB" w:rsidP="002C1DDB">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FB31CB">
        <w:rPr>
          <w:rFonts w:asciiTheme="minorHAnsi" w:eastAsiaTheme="minorHAnsi" w:hAnsiTheme="minorHAnsi" w:cstheme="minorBidi"/>
          <w:snapToGrid/>
          <w:sz w:val="24"/>
          <w:szCs w:val="24"/>
        </w:rPr>
        <w:t xml:space="preserve">The PBAC recommended that the continuing phase of treatment should be available under Section 100 - </w:t>
      </w:r>
      <w:r w:rsidR="004C7472" w:rsidRPr="00FB31CB">
        <w:rPr>
          <w:rFonts w:asciiTheme="minorHAnsi" w:eastAsiaTheme="minorHAnsi" w:hAnsiTheme="minorHAnsi" w:cstheme="minorBidi"/>
          <w:snapToGrid/>
          <w:sz w:val="24"/>
          <w:szCs w:val="24"/>
        </w:rPr>
        <w:t>HSD p</w:t>
      </w:r>
      <w:r w:rsidRPr="00FB31CB">
        <w:rPr>
          <w:rFonts w:asciiTheme="minorHAnsi" w:eastAsiaTheme="minorHAnsi" w:hAnsiTheme="minorHAnsi" w:cstheme="minorBidi"/>
          <w:snapToGrid/>
          <w:sz w:val="24"/>
          <w:szCs w:val="24"/>
        </w:rPr>
        <w:t xml:space="preserve">rogram (Community Access), whilst the initial phase of treatment should remain unchanged under Section 100 – </w:t>
      </w:r>
      <w:r w:rsidR="004C7472" w:rsidRPr="00FB31CB">
        <w:rPr>
          <w:rFonts w:asciiTheme="minorHAnsi" w:eastAsiaTheme="minorHAnsi" w:hAnsiTheme="minorHAnsi" w:cstheme="minorBidi"/>
          <w:snapToGrid/>
          <w:sz w:val="24"/>
          <w:szCs w:val="24"/>
        </w:rPr>
        <w:t>HSD</w:t>
      </w:r>
      <w:r w:rsidRPr="00FB31CB">
        <w:rPr>
          <w:rFonts w:asciiTheme="minorHAnsi" w:eastAsiaTheme="minorHAnsi" w:hAnsiTheme="minorHAnsi" w:cstheme="minorBidi"/>
          <w:snapToGrid/>
          <w:sz w:val="24"/>
          <w:szCs w:val="24"/>
        </w:rPr>
        <w:t xml:space="preserve"> </w:t>
      </w:r>
      <w:r w:rsidR="004C7472" w:rsidRPr="00FB31CB">
        <w:rPr>
          <w:rFonts w:asciiTheme="minorHAnsi" w:eastAsiaTheme="minorHAnsi" w:hAnsiTheme="minorHAnsi" w:cstheme="minorBidi"/>
          <w:snapToGrid/>
          <w:sz w:val="24"/>
          <w:szCs w:val="24"/>
        </w:rPr>
        <w:t>p</w:t>
      </w:r>
      <w:r w:rsidRPr="00FB31CB">
        <w:rPr>
          <w:rFonts w:asciiTheme="minorHAnsi" w:eastAsiaTheme="minorHAnsi" w:hAnsiTheme="minorHAnsi" w:cstheme="minorBidi"/>
          <w:snapToGrid/>
          <w:sz w:val="24"/>
          <w:szCs w:val="24"/>
        </w:rPr>
        <w:t>rogram (Public and Private Hospitals).</w:t>
      </w:r>
    </w:p>
    <w:p w:rsidR="002C1DDB" w:rsidRPr="00FB31CB" w:rsidRDefault="002C1DDB" w:rsidP="002C1DDB">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FB31CB">
        <w:rPr>
          <w:rFonts w:asciiTheme="minorHAnsi" w:eastAsiaTheme="minorHAnsi" w:hAnsiTheme="minorHAnsi" w:cstheme="minorBidi"/>
          <w:snapToGrid/>
          <w:sz w:val="24"/>
          <w:szCs w:val="24"/>
        </w:rPr>
        <w:t xml:space="preserve">The PBAC noted that the Department are currently reviewing broader PBS access issues and authority listing inconsistencies within the S100 </w:t>
      </w:r>
      <w:r w:rsidR="004C7472" w:rsidRPr="00FB31CB">
        <w:rPr>
          <w:rFonts w:asciiTheme="minorHAnsi" w:eastAsiaTheme="minorHAnsi" w:hAnsiTheme="minorHAnsi" w:cstheme="minorBidi"/>
          <w:snapToGrid/>
          <w:sz w:val="24"/>
          <w:szCs w:val="24"/>
        </w:rPr>
        <w:t>HSD</w:t>
      </w:r>
      <w:r w:rsidRPr="00FB31CB">
        <w:rPr>
          <w:rFonts w:asciiTheme="minorHAnsi" w:eastAsiaTheme="minorHAnsi" w:hAnsiTheme="minorHAnsi" w:cstheme="minorBidi"/>
          <w:snapToGrid/>
          <w:sz w:val="24"/>
          <w:szCs w:val="24"/>
        </w:rPr>
        <w:t xml:space="preserve"> </w:t>
      </w:r>
      <w:r w:rsidR="004C7472" w:rsidRPr="00FB31CB">
        <w:rPr>
          <w:rFonts w:asciiTheme="minorHAnsi" w:eastAsiaTheme="minorHAnsi" w:hAnsiTheme="minorHAnsi" w:cstheme="minorBidi"/>
          <w:snapToGrid/>
          <w:sz w:val="24"/>
          <w:szCs w:val="24"/>
        </w:rPr>
        <w:t>p</w:t>
      </w:r>
      <w:r w:rsidRPr="00FB31CB">
        <w:rPr>
          <w:rFonts w:asciiTheme="minorHAnsi" w:eastAsiaTheme="minorHAnsi" w:hAnsiTheme="minorHAnsi" w:cstheme="minorBidi"/>
          <w:snapToGrid/>
          <w:sz w:val="24"/>
          <w:szCs w:val="24"/>
        </w:rPr>
        <w:t>rogram.</w:t>
      </w:r>
    </w:p>
    <w:p w:rsidR="002C1DDB" w:rsidRPr="00FB31CB" w:rsidRDefault="002C1DDB" w:rsidP="002C1DDB">
      <w:pPr>
        <w:pStyle w:val="ListParagraph"/>
        <w:widowControl/>
        <w:numPr>
          <w:ilvl w:val="1"/>
          <w:numId w:val="5"/>
        </w:numPr>
        <w:spacing w:before="240" w:after="160"/>
        <w:ind w:left="709" w:hanging="709"/>
        <w:contextualSpacing w:val="0"/>
        <w:rPr>
          <w:rFonts w:asciiTheme="minorHAnsi" w:eastAsiaTheme="minorHAnsi" w:hAnsiTheme="minorHAnsi" w:cstheme="minorBidi"/>
          <w:snapToGrid/>
          <w:sz w:val="24"/>
          <w:szCs w:val="24"/>
        </w:rPr>
      </w:pPr>
      <w:r w:rsidRPr="00FB31CB">
        <w:rPr>
          <w:rFonts w:asciiTheme="minorHAnsi" w:eastAsiaTheme="minorHAnsi" w:hAnsiTheme="minorHAnsi" w:cstheme="minorBidi"/>
          <w:snapToGrid/>
          <w:sz w:val="24"/>
          <w:szCs w:val="24"/>
        </w:rPr>
        <w:t xml:space="preserve">The PBAC recommended that this extension of listing be incorporated into the Department’s current work within this area.  PBAC requested the Department liaise with the sponsor in order to facilitate an appropriate way to improve access to PBS listed medicines for patients living in rural and remote Australia. </w:t>
      </w:r>
    </w:p>
    <w:p w:rsidR="00300558" w:rsidRPr="00FB31CB" w:rsidRDefault="00300558" w:rsidP="00300558">
      <w:pPr>
        <w:spacing w:before="240"/>
        <w:jc w:val="both"/>
        <w:rPr>
          <w:rFonts w:asciiTheme="minorHAnsi" w:hAnsiTheme="minorHAnsi" w:cs="Arial"/>
          <w:b/>
          <w:bCs/>
          <w:snapToGrid w:val="0"/>
        </w:rPr>
      </w:pPr>
      <w:r w:rsidRPr="00FB31CB">
        <w:rPr>
          <w:rFonts w:asciiTheme="minorHAnsi" w:hAnsiTheme="minorHAnsi" w:cs="Arial"/>
          <w:b/>
          <w:bCs/>
          <w:snapToGrid w:val="0"/>
        </w:rPr>
        <w:t>Outcome:</w:t>
      </w:r>
    </w:p>
    <w:p w:rsidR="00300558" w:rsidRPr="00070EBC" w:rsidRDefault="00300558" w:rsidP="00070EBC">
      <w:pPr>
        <w:jc w:val="both"/>
        <w:rPr>
          <w:rFonts w:asciiTheme="minorHAnsi" w:hAnsiTheme="minorHAnsi" w:cs="Arial"/>
          <w:bCs/>
          <w:snapToGrid w:val="0"/>
        </w:rPr>
      </w:pPr>
      <w:r w:rsidRPr="00FB31CB">
        <w:rPr>
          <w:rFonts w:asciiTheme="minorHAnsi" w:hAnsiTheme="minorHAnsi" w:cs="Arial"/>
          <w:bCs/>
          <w:snapToGrid w:val="0"/>
        </w:rPr>
        <w:t xml:space="preserve">Recommended </w:t>
      </w:r>
    </w:p>
    <w:p w:rsidR="00300558" w:rsidRPr="00D36219" w:rsidRDefault="00300558" w:rsidP="00070EBC">
      <w:pPr>
        <w:pStyle w:val="PBACHeading1"/>
        <w:numPr>
          <w:ilvl w:val="0"/>
          <w:numId w:val="5"/>
        </w:numPr>
        <w:spacing w:before="240" w:after="120"/>
        <w:rPr>
          <w:rFonts w:ascii="Calibri" w:hAnsi="Calibri"/>
          <w:sz w:val="32"/>
        </w:rPr>
      </w:pPr>
      <w:r w:rsidRPr="00D36219">
        <w:rPr>
          <w:rFonts w:ascii="Calibri" w:hAnsi="Calibri"/>
          <w:sz w:val="32"/>
        </w:rPr>
        <w:t>Recommended listing</w:t>
      </w:r>
    </w:p>
    <w:p w:rsidR="00300558" w:rsidRPr="00FB31CB" w:rsidRDefault="006359DE" w:rsidP="00300558">
      <w:pPr>
        <w:widowControl w:val="0"/>
        <w:numPr>
          <w:ilvl w:val="1"/>
          <w:numId w:val="5"/>
        </w:numPr>
        <w:spacing w:after="120"/>
        <w:jc w:val="both"/>
        <w:rPr>
          <w:rFonts w:asciiTheme="minorHAnsi" w:hAnsiTheme="minorHAnsi" w:cs="Arial"/>
          <w:b/>
          <w:bCs/>
          <w:snapToGrid w:val="0"/>
        </w:rPr>
      </w:pPr>
      <w:r w:rsidRPr="00FB31CB">
        <w:rPr>
          <w:rFonts w:asciiTheme="minorHAnsi" w:hAnsiTheme="minorHAnsi" w:cs="Arial"/>
          <w:bCs/>
          <w:snapToGrid w:val="0"/>
        </w:rPr>
        <w:t xml:space="preserve">Amend </w:t>
      </w:r>
      <w:r w:rsidR="004C7472" w:rsidRPr="00FB31CB">
        <w:rPr>
          <w:rFonts w:asciiTheme="minorHAnsi" w:hAnsiTheme="minorHAnsi" w:cs="Arial"/>
          <w:bCs/>
          <w:snapToGrid w:val="0"/>
        </w:rPr>
        <w:t xml:space="preserve">existing </w:t>
      </w:r>
      <w:r w:rsidRPr="00FB31CB">
        <w:rPr>
          <w:rFonts w:asciiTheme="minorHAnsi" w:hAnsiTheme="minorHAnsi" w:cs="Arial"/>
          <w:bCs/>
          <w:snapToGrid w:val="0"/>
        </w:rPr>
        <w:t xml:space="preserve">listing as follows:  </w:t>
      </w:r>
    </w:p>
    <w:tbl>
      <w:tblPr>
        <w:tblW w:w="4915" w:type="pct"/>
        <w:tblLook w:val="0000" w:firstRow="0" w:lastRow="0" w:firstColumn="0" w:lastColumn="0" w:noHBand="0" w:noVBand="0"/>
      </w:tblPr>
      <w:tblGrid>
        <w:gridCol w:w="2378"/>
        <w:gridCol w:w="998"/>
        <w:gridCol w:w="994"/>
        <w:gridCol w:w="990"/>
        <w:gridCol w:w="1110"/>
        <w:gridCol w:w="1206"/>
        <w:gridCol w:w="612"/>
        <w:gridCol w:w="790"/>
        <w:gridCol w:w="7"/>
      </w:tblGrid>
      <w:tr w:rsidR="002C1DDB" w:rsidRPr="00FB31CB" w:rsidTr="00191937">
        <w:trPr>
          <w:cantSplit/>
          <w:trHeight w:val="465"/>
        </w:trPr>
        <w:tc>
          <w:tcPr>
            <w:tcW w:w="1857" w:type="pct"/>
            <w:gridSpan w:val="2"/>
            <w:tcBorders>
              <w:bottom w:val="single" w:sz="4" w:space="0" w:color="auto"/>
            </w:tcBorders>
          </w:tcPr>
          <w:p w:rsidR="00EF0FC6" w:rsidRPr="00FB31CB" w:rsidRDefault="00EF0FC6" w:rsidP="00440900">
            <w:pPr>
              <w:pStyle w:val="PBACHeading1"/>
              <w:keepNext/>
              <w:rPr>
                <w:rFonts w:ascii="Arial Narrow" w:hAnsi="Arial Narrow"/>
                <w:sz w:val="20"/>
                <w:szCs w:val="20"/>
              </w:rPr>
            </w:pPr>
            <w:r w:rsidRPr="00FB31CB">
              <w:rPr>
                <w:rFonts w:ascii="Arial Narrow" w:hAnsi="Arial Narrow"/>
                <w:sz w:val="20"/>
                <w:szCs w:val="20"/>
              </w:rPr>
              <w:t>Name, Restriction,</w:t>
            </w:r>
          </w:p>
          <w:p w:rsidR="00EF0FC6" w:rsidRPr="00FB31CB" w:rsidRDefault="00EF0FC6" w:rsidP="00440900">
            <w:pPr>
              <w:pStyle w:val="PBACHeading1"/>
              <w:keepNext/>
            </w:pPr>
            <w:r w:rsidRPr="00FB31CB">
              <w:rPr>
                <w:rFonts w:ascii="Arial Narrow" w:hAnsi="Arial Narrow"/>
                <w:sz w:val="20"/>
                <w:szCs w:val="20"/>
              </w:rPr>
              <w:t>Manner of administration and form</w:t>
            </w:r>
          </w:p>
        </w:tc>
        <w:tc>
          <w:tcPr>
            <w:tcW w:w="547" w:type="pct"/>
            <w:tcBorders>
              <w:bottom w:val="single" w:sz="4" w:space="0" w:color="auto"/>
            </w:tcBorders>
          </w:tcPr>
          <w:p w:rsidR="00EF0FC6" w:rsidRPr="00FB31CB" w:rsidRDefault="002C1DDB" w:rsidP="00440900">
            <w:pPr>
              <w:keepNext/>
              <w:spacing w:before="40" w:after="40"/>
              <w:jc w:val="center"/>
              <w:rPr>
                <w:rFonts w:ascii="Arial Narrow" w:hAnsi="Arial Narrow" w:cs="Arial"/>
                <w:b/>
                <w:sz w:val="20"/>
                <w:szCs w:val="20"/>
              </w:rPr>
            </w:pPr>
            <w:r w:rsidRPr="00FB31CB">
              <w:rPr>
                <w:rFonts w:ascii="Arial Narrow" w:hAnsi="Arial Narrow" w:cs="Arial"/>
                <w:b/>
                <w:sz w:val="20"/>
                <w:szCs w:val="20"/>
              </w:rPr>
              <w:t xml:space="preserve">Max </w:t>
            </w:r>
            <w:proofErr w:type="spellStart"/>
            <w:r w:rsidRPr="00FB31CB">
              <w:rPr>
                <w:rFonts w:ascii="Arial Narrow" w:hAnsi="Arial Narrow" w:cs="Arial"/>
                <w:b/>
                <w:sz w:val="20"/>
                <w:szCs w:val="20"/>
              </w:rPr>
              <w:t>qty</w:t>
            </w:r>
            <w:proofErr w:type="spellEnd"/>
            <w:r w:rsidRPr="00FB31CB">
              <w:rPr>
                <w:rFonts w:ascii="Arial Narrow" w:hAnsi="Arial Narrow" w:cs="Arial"/>
                <w:b/>
                <w:sz w:val="20"/>
                <w:szCs w:val="20"/>
              </w:rPr>
              <w:t xml:space="preserve"> packs</w:t>
            </w:r>
          </w:p>
        </w:tc>
        <w:tc>
          <w:tcPr>
            <w:tcW w:w="545" w:type="pct"/>
            <w:tcBorders>
              <w:bottom w:val="single" w:sz="4" w:space="0" w:color="auto"/>
            </w:tcBorders>
          </w:tcPr>
          <w:p w:rsidR="00EF0FC6" w:rsidRPr="00FB31CB" w:rsidRDefault="00EF0FC6" w:rsidP="00440900">
            <w:pPr>
              <w:keepNext/>
              <w:spacing w:before="40" w:after="40"/>
              <w:jc w:val="center"/>
              <w:rPr>
                <w:rFonts w:ascii="Arial Narrow" w:hAnsi="Arial Narrow" w:cs="Arial"/>
                <w:b/>
                <w:sz w:val="20"/>
                <w:szCs w:val="20"/>
              </w:rPr>
            </w:pPr>
            <w:r w:rsidRPr="00FB31CB">
              <w:rPr>
                <w:rFonts w:ascii="Arial Narrow" w:hAnsi="Arial Narrow" w:cs="Arial"/>
                <w:b/>
                <w:sz w:val="20"/>
                <w:szCs w:val="20"/>
              </w:rPr>
              <w:t>Max</w:t>
            </w:r>
            <w:r w:rsidR="002C1DDB" w:rsidRPr="00FB31CB">
              <w:rPr>
                <w:rFonts w:ascii="Arial Narrow" w:hAnsi="Arial Narrow" w:cs="Arial"/>
                <w:b/>
                <w:sz w:val="20"/>
                <w:szCs w:val="20"/>
              </w:rPr>
              <w:t xml:space="preserve"> </w:t>
            </w:r>
            <w:proofErr w:type="spellStart"/>
            <w:r w:rsidR="002C1DDB" w:rsidRPr="00FB31CB">
              <w:rPr>
                <w:rFonts w:ascii="Arial Narrow" w:hAnsi="Arial Narrow" w:cs="Arial"/>
                <w:b/>
                <w:sz w:val="20"/>
                <w:szCs w:val="20"/>
              </w:rPr>
              <w:t>q</w:t>
            </w:r>
            <w:r w:rsidRPr="00FB31CB">
              <w:rPr>
                <w:rFonts w:ascii="Arial Narrow" w:hAnsi="Arial Narrow" w:cs="Arial"/>
                <w:b/>
                <w:sz w:val="20"/>
                <w:szCs w:val="20"/>
              </w:rPr>
              <w:t>ty</w:t>
            </w:r>
            <w:proofErr w:type="spellEnd"/>
            <w:r w:rsidR="002C1DDB" w:rsidRPr="00FB31CB">
              <w:rPr>
                <w:rFonts w:ascii="Arial Narrow" w:hAnsi="Arial Narrow" w:cs="Arial"/>
                <w:b/>
                <w:sz w:val="20"/>
                <w:szCs w:val="20"/>
              </w:rPr>
              <w:t xml:space="preserve"> units</w:t>
            </w:r>
          </w:p>
        </w:tc>
        <w:tc>
          <w:tcPr>
            <w:tcW w:w="611" w:type="pct"/>
            <w:tcBorders>
              <w:bottom w:val="single" w:sz="4" w:space="0" w:color="auto"/>
            </w:tcBorders>
          </w:tcPr>
          <w:p w:rsidR="00EF0FC6" w:rsidRPr="00FB31CB" w:rsidRDefault="002C1DDB" w:rsidP="00440900">
            <w:pPr>
              <w:keepNext/>
              <w:spacing w:before="40" w:after="40"/>
              <w:jc w:val="center"/>
              <w:rPr>
                <w:rFonts w:ascii="Arial Narrow" w:hAnsi="Arial Narrow" w:cs="Arial"/>
                <w:b/>
                <w:sz w:val="20"/>
                <w:szCs w:val="20"/>
              </w:rPr>
            </w:pPr>
            <w:r w:rsidRPr="00FB31CB">
              <w:rPr>
                <w:rFonts w:ascii="Arial Narrow" w:hAnsi="Arial Narrow" w:cs="Arial"/>
                <w:b/>
                <w:sz w:val="20"/>
                <w:szCs w:val="20"/>
              </w:rPr>
              <w:t xml:space="preserve">No. </w:t>
            </w:r>
            <w:r w:rsidR="00EF0FC6" w:rsidRPr="00FB31CB">
              <w:rPr>
                <w:rFonts w:ascii="Arial Narrow" w:hAnsi="Arial Narrow" w:cs="Arial"/>
                <w:b/>
                <w:sz w:val="20"/>
                <w:szCs w:val="20"/>
              </w:rPr>
              <w:t>of</w:t>
            </w:r>
          </w:p>
          <w:p w:rsidR="00EF0FC6" w:rsidRPr="00FB31CB" w:rsidRDefault="002C1DDB" w:rsidP="00440900">
            <w:pPr>
              <w:keepNext/>
              <w:spacing w:before="40" w:after="40"/>
              <w:jc w:val="center"/>
              <w:rPr>
                <w:rFonts w:ascii="Arial Narrow" w:hAnsi="Arial Narrow" w:cs="Arial"/>
                <w:b/>
                <w:sz w:val="20"/>
                <w:szCs w:val="20"/>
              </w:rPr>
            </w:pPr>
            <w:r w:rsidRPr="00FB31CB">
              <w:rPr>
                <w:rFonts w:ascii="Arial Narrow" w:hAnsi="Arial Narrow" w:cs="Arial"/>
                <w:b/>
                <w:sz w:val="20"/>
                <w:szCs w:val="20"/>
              </w:rPr>
              <w:t>repeats</w:t>
            </w:r>
          </w:p>
        </w:tc>
        <w:tc>
          <w:tcPr>
            <w:tcW w:w="1440" w:type="pct"/>
            <w:gridSpan w:val="4"/>
            <w:tcBorders>
              <w:bottom w:val="single" w:sz="4" w:space="0" w:color="auto"/>
            </w:tcBorders>
          </w:tcPr>
          <w:p w:rsidR="00EF0FC6" w:rsidRPr="00FB31CB" w:rsidRDefault="00EF0FC6" w:rsidP="00440900">
            <w:pPr>
              <w:keepNext/>
              <w:spacing w:before="40" w:after="40"/>
              <w:rPr>
                <w:rFonts w:ascii="Arial Narrow" w:hAnsi="Arial Narrow" w:cs="Arial"/>
                <w:b/>
                <w:sz w:val="20"/>
                <w:szCs w:val="20"/>
              </w:rPr>
            </w:pPr>
            <w:r w:rsidRPr="00FB31CB">
              <w:rPr>
                <w:rFonts w:ascii="Arial Narrow" w:hAnsi="Arial Narrow" w:cs="Arial"/>
                <w:b/>
                <w:sz w:val="20"/>
                <w:szCs w:val="20"/>
              </w:rPr>
              <w:t>Proprietary Name and Manufacturer</w:t>
            </w:r>
          </w:p>
        </w:tc>
      </w:tr>
      <w:tr w:rsidR="002C1DDB" w:rsidRPr="00FB31CB" w:rsidTr="00191937">
        <w:trPr>
          <w:cantSplit/>
          <w:trHeight w:val="567"/>
        </w:trPr>
        <w:tc>
          <w:tcPr>
            <w:tcW w:w="1857" w:type="pct"/>
            <w:gridSpan w:val="2"/>
          </w:tcPr>
          <w:p w:rsidR="00EF0FC6" w:rsidRPr="00FB31CB" w:rsidRDefault="00EF0FC6" w:rsidP="00440900">
            <w:pPr>
              <w:keepNext/>
              <w:spacing w:before="40" w:after="40"/>
              <w:jc w:val="both"/>
              <w:rPr>
                <w:rFonts w:ascii="Arial Narrow" w:hAnsi="Arial Narrow" w:cs="Arial"/>
                <w:sz w:val="20"/>
                <w:szCs w:val="20"/>
              </w:rPr>
            </w:pPr>
            <w:r w:rsidRPr="00FB31CB">
              <w:rPr>
                <w:rFonts w:ascii="Arial Narrow" w:hAnsi="Arial Narrow" w:cs="Arial"/>
                <w:smallCaps/>
                <w:sz w:val="20"/>
                <w:szCs w:val="20"/>
              </w:rPr>
              <w:t>OCTREOTIDE</w:t>
            </w:r>
          </w:p>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t>Octreotide 30 mg injection: modified release [1 vial] (&amp;) inert substance diluent [2 mL syringe], 1 pack</w:t>
            </w:r>
          </w:p>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t>Octreotide 20 mg injection: modified release [1 vial] (&amp;) inert substance diluent [2 mL syringe], 1 pack</w:t>
            </w:r>
          </w:p>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t>Octreotide 10 mg injection: modified release [1 vial] (&amp;) inert substance diluent [2 mL syringe], 1 pack</w:t>
            </w:r>
          </w:p>
        </w:tc>
        <w:tc>
          <w:tcPr>
            <w:tcW w:w="547" w:type="pct"/>
          </w:tcPr>
          <w:p w:rsidR="00EF0FC6" w:rsidRPr="00FB31CB" w:rsidRDefault="00EF0FC6" w:rsidP="00440900">
            <w:pPr>
              <w:keepNext/>
              <w:spacing w:before="40" w:after="40"/>
              <w:jc w:val="center"/>
              <w:rPr>
                <w:rFonts w:ascii="Arial Narrow" w:hAnsi="Arial Narrow" w:cs="Arial"/>
                <w:sz w:val="20"/>
                <w:szCs w:val="20"/>
              </w:rPr>
            </w:pPr>
          </w:p>
          <w:p w:rsidR="002C1DDB" w:rsidRPr="00FB31CB" w:rsidRDefault="002C1DDB" w:rsidP="00440900">
            <w:pPr>
              <w:keepNext/>
              <w:spacing w:before="40" w:after="40"/>
              <w:jc w:val="center"/>
              <w:rPr>
                <w:rFonts w:ascii="Arial Narrow" w:hAnsi="Arial Narrow" w:cs="Arial"/>
                <w:sz w:val="20"/>
                <w:szCs w:val="20"/>
              </w:rPr>
            </w:pPr>
            <w:r w:rsidRPr="00FB31CB">
              <w:rPr>
                <w:rFonts w:ascii="Arial Narrow" w:hAnsi="Arial Narrow" w:cs="Arial"/>
                <w:sz w:val="20"/>
                <w:szCs w:val="20"/>
              </w:rPr>
              <w:t>2</w:t>
            </w:r>
          </w:p>
        </w:tc>
        <w:tc>
          <w:tcPr>
            <w:tcW w:w="545" w:type="pct"/>
          </w:tcPr>
          <w:p w:rsidR="00EF0FC6" w:rsidRPr="00FB31CB" w:rsidRDefault="00EF0FC6" w:rsidP="00440900">
            <w:pPr>
              <w:keepNext/>
              <w:spacing w:before="40" w:after="40"/>
              <w:jc w:val="center"/>
              <w:rPr>
                <w:rFonts w:ascii="Arial Narrow" w:hAnsi="Arial Narrow" w:cs="Arial"/>
                <w:sz w:val="20"/>
                <w:szCs w:val="20"/>
              </w:rPr>
            </w:pPr>
          </w:p>
          <w:p w:rsidR="00EF0FC6" w:rsidRPr="00FB31CB" w:rsidRDefault="00EF0FC6" w:rsidP="00440900">
            <w:pPr>
              <w:keepNext/>
              <w:spacing w:before="40" w:after="40"/>
              <w:jc w:val="center"/>
              <w:rPr>
                <w:rFonts w:ascii="Arial Narrow" w:hAnsi="Arial Narrow" w:cs="Arial"/>
                <w:sz w:val="20"/>
                <w:szCs w:val="20"/>
              </w:rPr>
            </w:pPr>
            <w:r w:rsidRPr="00FB31CB">
              <w:rPr>
                <w:rFonts w:ascii="Arial Narrow" w:hAnsi="Arial Narrow" w:cs="Arial"/>
                <w:sz w:val="20"/>
                <w:szCs w:val="20"/>
              </w:rPr>
              <w:t>2</w:t>
            </w:r>
          </w:p>
        </w:tc>
        <w:tc>
          <w:tcPr>
            <w:tcW w:w="611" w:type="pct"/>
          </w:tcPr>
          <w:p w:rsidR="00EF0FC6" w:rsidRPr="00FB31CB" w:rsidRDefault="00EF0FC6" w:rsidP="00440900">
            <w:pPr>
              <w:keepNext/>
              <w:spacing w:before="40" w:after="40"/>
              <w:jc w:val="center"/>
              <w:rPr>
                <w:rFonts w:ascii="Arial Narrow" w:hAnsi="Arial Narrow" w:cs="Arial"/>
                <w:sz w:val="20"/>
                <w:szCs w:val="20"/>
              </w:rPr>
            </w:pPr>
          </w:p>
          <w:p w:rsidR="00EF0FC6" w:rsidRPr="00FB31CB" w:rsidRDefault="00EF0FC6" w:rsidP="00440900">
            <w:pPr>
              <w:keepNext/>
              <w:spacing w:before="40" w:after="40"/>
              <w:jc w:val="center"/>
              <w:rPr>
                <w:rFonts w:ascii="Arial Narrow" w:hAnsi="Arial Narrow" w:cs="Arial"/>
                <w:sz w:val="20"/>
                <w:szCs w:val="20"/>
              </w:rPr>
            </w:pPr>
            <w:r w:rsidRPr="00FB31CB">
              <w:rPr>
                <w:rFonts w:ascii="Arial Narrow" w:hAnsi="Arial Narrow" w:cs="Arial"/>
                <w:sz w:val="20"/>
                <w:szCs w:val="20"/>
              </w:rPr>
              <w:t>5</w:t>
            </w:r>
          </w:p>
        </w:tc>
        <w:tc>
          <w:tcPr>
            <w:tcW w:w="664" w:type="pct"/>
          </w:tcPr>
          <w:p w:rsidR="00EF0FC6" w:rsidRPr="00FB31CB" w:rsidRDefault="00EF0FC6" w:rsidP="00440900">
            <w:pPr>
              <w:keepNext/>
              <w:spacing w:before="40" w:after="40"/>
              <w:jc w:val="both"/>
              <w:rPr>
                <w:rFonts w:ascii="Arial Narrow" w:hAnsi="Arial Narrow" w:cs="Arial"/>
                <w:sz w:val="20"/>
                <w:szCs w:val="20"/>
              </w:rPr>
            </w:pPr>
          </w:p>
          <w:p w:rsidR="00EF0FC6" w:rsidRPr="00FB31CB" w:rsidRDefault="00EF0FC6" w:rsidP="00440900">
            <w:pPr>
              <w:keepNext/>
              <w:spacing w:before="40" w:after="40"/>
              <w:jc w:val="both"/>
              <w:rPr>
                <w:rFonts w:ascii="Arial Narrow" w:hAnsi="Arial Narrow" w:cs="Arial"/>
                <w:sz w:val="20"/>
                <w:szCs w:val="20"/>
              </w:rPr>
            </w:pPr>
            <w:proofErr w:type="spellStart"/>
            <w:r w:rsidRPr="00FB31CB">
              <w:rPr>
                <w:rFonts w:ascii="Arial Narrow" w:hAnsi="Arial Narrow" w:cs="Arial"/>
                <w:sz w:val="20"/>
                <w:szCs w:val="20"/>
              </w:rPr>
              <w:t>Sandostatin</w:t>
            </w:r>
            <w:proofErr w:type="spellEnd"/>
            <w:r w:rsidRPr="00FB31CB">
              <w:rPr>
                <w:rFonts w:ascii="Arial Narrow" w:hAnsi="Arial Narrow" w:cs="Arial"/>
                <w:sz w:val="20"/>
                <w:szCs w:val="20"/>
              </w:rPr>
              <w:t>® LAR®</w:t>
            </w:r>
          </w:p>
        </w:tc>
        <w:tc>
          <w:tcPr>
            <w:tcW w:w="777" w:type="pct"/>
            <w:gridSpan w:val="3"/>
          </w:tcPr>
          <w:p w:rsidR="00EF0FC6" w:rsidRPr="00FB31CB" w:rsidRDefault="00EF0FC6" w:rsidP="00440900">
            <w:pPr>
              <w:keepNext/>
              <w:spacing w:before="40" w:after="40"/>
              <w:jc w:val="both"/>
              <w:rPr>
                <w:rFonts w:ascii="Arial Narrow" w:hAnsi="Arial Narrow" w:cs="Arial"/>
                <w:sz w:val="20"/>
                <w:szCs w:val="20"/>
              </w:rPr>
            </w:pPr>
          </w:p>
          <w:p w:rsidR="00EF0FC6" w:rsidRPr="00FB31CB" w:rsidRDefault="00EF0FC6" w:rsidP="00440900">
            <w:pPr>
              <w:keepNext/>
              <w:spacing w:before="40" w:after="40"/>
              <w:jc w:val="both"/>
              <w:rPr>
                <w:rFonts w:ascii="Arial Narrow" w:hAnsi="Arial Narrow" w:cs="Arial"/>
                <w:sz w:val="20"/>
                <w:szCs w:val="20"/>
              </w:rPr>
            </w:pPr>
            <w:r w:rsidRPr="00FB31CB">
              <w:rPr>
                <w:rFonts w:ascii="Arial Narrow" w:hAnsi="Arial Narrow" w:cs="Arial"/>
                <w:sz w:val="20"/>
                <w:szCs w:val="20"/>
              </w:rPr>
              <w:t>Novartis</w:t>
            </w:r>
          </w:p>
        </w:tc>
      </w:tr>
      <w:tr w:rsidR="00EF0FC6" w:rsidRPr="00FB31CB" w:rsidTr="002C1DDB">
        <w:trPr>
          <w:gridAfter w:val="2"/>
          <w:wAfter w:w="439" w:type="pct"/>
          <w:cantSplit/>
          <w:trHeight w:val="360"/>
        </w:trPr>
        <w:tc>
          <w:tcPr>
            <w:tcW w:w="4561" w:type="pct"/>
            <w:gridSpan w:val="7"/>
            <w:tcBorders>
              <w:bottom w:val="single" w:sz="4" w:space="0" w:color="auto"/>
            </w:tcBorders>
          </w:tcPr>
          <w:p w:rsidR="00EF0FC6" w:rsidRPr="00FB31CB" w:rsidRDefault="00EF0FC6" w:rsidP="001F5F61">
            <w:pPr>
              <w:spacing w:before="40" w:after="40"/>
              <w:jc w:val="both"/>
              <w:rPr>
                <w:rFonts w:ascii="Arial Narrow" w:hAnsi="Arial Narrow" w:cs="Arial"/>
                <w:sz w:val="20"/>
                <w:szCs w:val="20"/>
              </w:rPr>
            </w:pP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Category / Program:</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 xml:space="preserve">Section 100 – Highly Specialised Drugs Program </w:t>
            </w:r>
            <w:r w:rsidRPr="00FB31CB">
              <w:rPr>
                <w:rFonts w:ascii="Arial Narrow" w:hAnsi="Arial Narrow" w:cs="Arial"/>
                <w:i/>
                <w:sz w:val="20"/>
                <w:szCs w:val="20"/>
              </w:rPr>
              <w:t>(Community Access)</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Prescriber type:</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fldChar w:fldCharType="begin">
                <w:ffData>
                  <w:name w:val="Check1"/>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Dental  </w:t>
            </w:r>
            <w:r w:rsidRPr="00FB31CB">
              <w:rPr>
                <w:rFonts w:ascii="Arial Narrow" w:hAnsi="Arial Narrow" w:cs="Arial"/>
                <w:sz w:val="20"/>
                <w:szCs w:val="20"/>
              </w:rPr>
              <w:fldChar w:fldCharType="begin">
                <w:ffData>
                  <w:name w:val=""/>
                  <w:enabled/>
                  <w:calcOnExit w:val="0"/>
                  <w:checkBox>
                    <w:sizeAuto/>
                    <w:default w:val="1"/>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Medical Practitioners  </w:t>
            </w:r>
            <w:r w:rsidRPr="00FB31CB">
              <w:rPr>
                <w:rFonts w:ascii="Arial Narrow" w:hAnsi="Arial Narrow" w:cs="Arial"/>
                <w:sz w:val="20"/>
                <w:szCs w:val="20"/>
              </w:rPr>
              <w:fldChar w:fldCharType="begin">
                <w:ffData>
                  <w:name w:val="Check3"/>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Nurse practitioners  </w:t>
            </w:r>
            <w:r w:rsidRPr="00FB31CB">
              <w:rPr>
                <w:rFonts w:ascii="Arial Narrow" w:hAnsi="Arial Narrow" w:cs="Arial"/>
                <w:sz w:val="20"/>
                <w:szCs w:val="20"/>
              </w:rPr>
              <w:fldChar w:fldCharType="begin">
                <w:ffData>
                  <w:name w:val=""/>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Optometrists </w:t>
            </w:r>
            <w:r w:rsidRPr="00FB31CB">
              <w:rPr>
                <w:rFonts w:ascii="Arial Narrow" w:hAnsi="Arial Narrow" w:cs="Arial"/>
                <w:sz w:val="20"/>
                <w:szCs w:val="20"/>
              </w:rPr>
              <w:fldChar w:fldCharType="begin">
                <w:ffData>
                  <w:name w:val="Check5"/>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Midwives</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PBS indication:</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Acromegaly</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91937">
            <w:pPr>
              <w:spacing w:before="40" w:after="40"/>
              <w:rPr>
                <w:rFonts w:ascii="Arial Narrow" w:hAnsi="Arial Narrow" w:cs="Arial"/>
                <w:sz w:val="20"/>
                <w:szCs w:val="20"/>
              </w:rPr>
            </w:pPr>
            <w:r w:rsidRPr="00FB31CB">
              <w:rPr>
                <w:rFonts w:ascii="Arial Narrow" w:hAnsi="Arial Narrow" w:cs="Arial"/>
                <w:b/>
                <w:sz w:val="20"/>
                <w:szCs w:val="20"/>
              </w:rPr>
              <w:lastRenderedPageBreak/>
              <w:t>Restriction level / Method:</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fldChar w:fldCharType="begin">
                <w:ffData>
                  <w:name w:val="Check5"/>
                  <w:enabled/>
                  <w:calcOnExit w:val="0"/>
                  <w:checkBox>
                    <w:sizeAuto/>
                    <w:default w:val="1"/>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Streamlined</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Clinical criteria:</w:t>
            </w:r>
          </w:p>
          <w:p w:rsidR="00EF0FC6" w:rsidRPr="00FB31CB" w:rsidRDefault="00EF0FC6" w:rsidP="001F5F61">
            <w:pPr>
              <w:spacing w:before="40" w:after="40"/>
              <w:rPr>
                <w:rFonts w:ascii="Arial Narrow" w:hAnsi="Arial Narrow" w:cs="Arial"/>
                <w:i/>
                <w:sz w:val="20"/>
                <w:szCs w:val="20"/>
              </w:rPr>
            </w:pPr>
          </w:p>
          <w:p w:rsidR="00EF0FC6" w:rsidRPr="00FB31CB" w:rsidRDefault="00EF0FC6" w:rsidP="001F5F61">
            <w:pPr>
              <w:spacing w:before="40" w:after="40"/>
              <w:rPr>
                <w:rFonts w:ascii="Arial Narrow" w:hAnsi="Arial Narrow" w:cs="Arial"/>
                <w:sz w:val="20"/>
                <w:szCs w:val="20"/>
              </w:rPr>
            </w:pP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i/>
                <w:sz w:val="20"/>
                <w:szCs w:val="20"/>
              </w:rPr>
            </w:pPr>
            <w:r w:rsidRPr="00FB31CB">
              <w:rPr>
                <w:rFonts w:ascii="Arial Narrow" w:hAnsi="Arial Narrow" w:cs="Arial"/>
                <w:i/>
                <w:sz w:val="20"/>
                <w:szCs w:val="20"/>
              </w:rPr>
              <w:t xml:space="preserve">Patient must have previously received PBS-subsidised treatment with this drug for this condition, </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AND</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 xml:space="preserve">The treatment must cease in a patient treated with radiotherapy if there is biochemical evidence of remission (normal IGF1) after octreotide has been withdrawn for at least 4 weeks (8 weeks after the last dose), </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AND</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The treatment must cease if IGF1 is not lower after 3 months of treatment,</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AND</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 xml:space="preserve">The treatment must not be given concomitantly with PBS-subsidised </w:t>
            </w:r>
            <w:proofErr w:type="spellStart"/>
            <w:r w:rsidRPr="00FB31CB">
              <w:rPr>
                <w:rFonts w:ascii="Arial Narrow" w:hAnsi="Arial Narrow" w:cs="Arial"/>
                <w:sz w:val="20"/>
                <w:szCs w:val="20"/>
              </w:rPr>
              <w:t>pegvisomant</w:t>
            </w:r>
            <w:proofErr w:type="spellEnd"/>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Prescriber instructions:</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i/>
                <w:sz w:val="20"/>
                <w:szCs w:val="20"/>
              </w:rPr>
            </w:pPr>
            <w:r w:rsidRPr="00FB31CB">
              <w:rPr>
                <w:rFonts w:ascii="Arial Narrow" w:hAnsi="Arial Narrow" w:cs="Arial"/>
                <w:sz w:val="20"/>
                <w:szCs w:val="20"/>
              </w:rPr>
              <w:t>In a patient treated with radiotherapy, octreotide should be withdrawn every 2 years in the 10 years after radiotherapy for assessment of remission.</w:t>
            </w:r>
          </w:p>
        </w:tc>
      </w:tr>
    </w:tbl>
    <w:p w:rsidR="00EF0FC6" w:rsidRPr="00FB31CB" w:rsidRDefault="00EF0FC6" w:rsidP="00EF0FC6">
      <w:pPr>
        <w:rPr>
          <w:szCs w:val="22"/>
        </w:rPr>
      </w:pPr>
    </w:p>
    <w:tbl>
      <w:tblPr>
        <w:tblW w:w="4915" w:type="pct"/>
        <w:tblLook w:val="0000" w:firstRow="0" w:lastRow="0" w:firstColumn="0" w:lastColumn="0" w:noHBand="0" w:noVBand="0"/>
      </w:tblPr>
      <w:tblGrid>
        <w:gridCol w:w="2377"/>
        <w:gridCol w:w="992"/>
        <w:gridCol w:w="994"/>
        <w:gridCol w:w="992"/>
        <w:gridCol w:w="1150"/>
        <w:gridCol w:w="1207"/>
        <w:gridCol w:w="596"/>
        <w:gridCol w:w="770"/>
        <w:gridCol w:w="7"/>
      </w:tblGrid>
      <w:tr w:rsidR="00EF0FC6" w:rsidRPr="00FB31CB" w:rsidTr="00EF0FC6">
        <w:trPr>
          <w:cantSplit/>
          <w:trHeight w:val="465"/>
        </w:trPr>
        <w:tc>
          <w:tcPr>
            <w:tcW w:w="1854" w:type="pct"/>
            <w:gridSpan w:val="2"/>
            <w:tcBorders>
              <w:bottom w:val="single" w:sz="4" w:space="0" w:color="auto"/>
            </w:tcBorders>
          </w:tcPr>
          <w:p w:rsidR="00EF0FC6" w:rsidRPr="00FB31CB" w:rsidRDefault="00EF0FC6" w:rsidP="001F5F61">
            <w:pPr>
              <w:keepNext/>
              <w:spacing w:before="40" w:after="40"/>
              <w:jc w:val="both"/>
              <w:rPr>
                <w:rFonts w:ascii="Arial Narrow" w:hAnsi="Arial Narrow" w:cs="Arial"/>
                <w:b/>
                <w:sz w:val="20"/>
                <w:szCs w:val="20"/>
              </w:rPr>
            </w:pPr>
            <w:r w:rsidRPr="00FB31CB">
              <w:rPr>
                <w:rFonts w:ascii="Arial Narrow" w:hAnsi="Arial Narrow" w:cs="Arial"/>
                <w:b/>
                <w:sz w:val="20"/>
                <w:szCs w:val="20"/>
              </w:rPr>
              <w:t>Name, Restriction,</w:t>
            </w:r>
          </w:p>
          <w:p w:rsidR="00EF0FC6" w:rsidRPr="00FB31CB" w:rsidRDefault="00EF0FC6" w:rsidP="001F5F61">
            <w:pPr>
              <w:keepNext/>
              <w:spacing w:before="40" w:after="40"/>
              <w:jc w:val="both"/>
              <w:rPr>
                <w:rFonts w:ascii="Arial Narrow" w:hAnsi="Arial Narrow" w:cs="Arial"/>
                <w:b/>
                <w:sz w:val="20"/>
                <w:szCs w:val="20"/>
              </w:rPr>
            </w:pPr>
            <w:r w:rsidRPr="00FB31CB">
              <w:rPr>
                <w:rFonts w:ascii="Arial Narrow" w:hAnsi="Arial Narrow" w:cs="Arial"/>
                <w:b/>
                <w:sz w:val="20"/>
                <w:szCs w:val="20"/>
              </w:rPr>
              <w:t>Manner of administration and form</w:t>
            </w:r>
          </w:p>
        </w:tc>
        <w:tc>
          <w:tcPr>
            <w:tcW w:w="547" w:type="pct"/>
            <w:tcBorders>
              <w:bottom w:val="single" w:sz="4" w:space="0" w:color="auto"/>
            </w:tcBorders>
          </w:tcPr>
          <w:p w:rsidR="00EF0FC6" w:rsidRPr="00FB31CB" w:rsidRDefault="00EF0FC6" w:rsidP="00EF0FC6">
            <w:pPr>
              <w:keepNext/>
              <w:spacing w:before="40" w:after="40"/>
              <w:jc w:val="center"/>
              <w:rPr>
                <w:rFonts w:ascii="Arial Narrow" w:hAnsi="Arial Narrow" w:cs="Arial"/>
                <w:b/>
                <w:sz w:val="20"/>
                <w:szCs w:val="20"/>
              </w:rPr>
            </w:pPr>
            <w:r w:rsidRPr="00FB31CB">
              <w:rPr>
                <w:rFonts w:ascii="Arial Narrow" w:hAnsi="Arial Narrow" w:cs="Arial"/>
                <w:b/>
                <w:sz w:val="20"/>
                <w:szCs w:val="20"/>
              </w:rPr>
              <w:t xml:space="preserve">Max </w:t>
            </w:r>
            <w:proofErr w:type="spellStart"/>
            <w:r w:rsidRPr="00FB31CB">
              <w:rPr>
                <w:rFonts w:ascii="Arial Narrow" w:hAnsi="Arial Narrow" w:cs="Arial"/>
                <w:b/>
                <w:sz w:val="20"/>
                <w:szCs w:val="20"/>
              </w:rPr>
              <w:t>qty</w:t>
            </w:r>
            <w:proofErr w:type="spellEnd"/>
            <w:r w:rsidRPr="00FB31CB">
              <w:rPr>
                <w:rFonts w:ascii="Arial Narrow" w:hAnsi="Arial Narrow" w:cs="Arial"/>
                <w:b/>
                <w:sz w:val="20"/>
                <w:szCs w:val="20"/>
              </w:rPr>
              <w:t xml:space="preserve"> packs</w:t>
            </w:r>
          </w:p>
        </w:tc>
        <w:tc>
          <w:tcPr>
            <w:tcW w:w="546" w:type="pct"/>
            <w:tcBorders>
              <w:bottom w:val="single" w:sz="4" w:space="0" w:color="auto"/>
            </w:tcBorders>
          </w:tcPr>
          <w:p w:rsidR="00EF0FC6" w:rsidRPr="00FB31CB" w:rsidRDefault="00EF0FC6" w:rsidP="00EF0FC6">
            <w:pPr>
              <w:keepNext/>
              <w:spacing w:before="40" w:after="40"/>
              <w:jc w:val="center"/>
              <w:rPr>
                <w:rFonts w:ascii="Arial Narrow" w:hAnsi="Arial Narrow" w:cs="Arial"/>
                <w:b/>
                <w:sz w:val="20"/>
                <w:szCs w:val="20"/>
              </w:rPr>
            </w:pPr>
            <w:r w:rsidRPr="00FB31CB">
              <w:rPr>
                <w:rFonts w:ascii="Arial Narrow" w:hAnsi="Arial Narrow" w:cs="Arial"/>
                <w:b/>
                <w:sz w:val="20"/>
                <w:szCs w:val="20"/>
              </w:rPr>
              <w:t xml:space="preserve">Max </w:t>
            </w:r>
            <w:proofErr w:type="spellStart"/>
            <w:r w:rsidRPr="00FB31CB">
              <w:rPr>
                <w:rFonts w:ascii="Arial Narrow" w:hAnsi="Arial Narrow" w:cs="Arial"/>
                <w:b/>
                <w:sz w:val="20"/>
                <w:szCs w:val="20"/>
              </w:rPr>
              <w:t>qty</w:t>
            </w:r>
            <w:proofErr w:type="spellEnd"/>
            <w:r w:rsidRPr="00FB31CB">
              <w:rPr>
                <w:rFonts w:ascii="Arial Narrow" w:hAnsi="Arial Narrow" w:cs="Arial"/>
                <w:b/>
                <w:sz w:val="20"/>
                <w:szCs w:val="20"/>
              </w:rPr>
              <w:t xml:space="preserve"> units</w:t>
            </w:r>
          </w:p>
        </w:tc>
        <w:tc>
          <w:tcPr>
            <w:tcW w:w="633" w:type="pct"/>
            <w:tcBorders>
              <w:bottom w:val="single" w:sz="4" w:space="0" w:color="auto"/>
            </w:tcBorders>
          </w:tcPr>
          <w:p w:rsidR="00EF0FC6" w:rsidRPr="00FB31CB" w:rsidRDefault="00EF0FC6" w:rsidP="00EF0FC6">
            <w:pPr>
              <w:keepNext/>
              <w:spacing w:before="40" w:after="40"/>
              <w:jc w:val="center"/>
              <w:rPr>
                <w:rFonts w:ascii="Arial Narrow" w:hAnsi="Arial Narrow" w:cs="Arial"/>
                <w:b/>
                <w:sz w:val="20"/>
                <w:szCs w:val="20"/>
              </w:rPr>
            </w:pPr>
            <w:r w:rsidRPr="00FB31CB">
              <w:rPr>
                <w:rFonts w:ascii="Arial Narrow" w:hAnsi="Arial Narrow" w:cs="Arial"/>
                <w:b/>
                <w:sz w:val="20"/>
                <w:szCs w:val="20"/>
              </w:rPr>
              <w:t>No. of</w:t>
            </w:r>
          </w:p>
          <w:p w:rsidR="00EF0FC6" w:rsidRPr="00FB31CB" w:rsidRDefault="00EF0FC6" w:rsidP="00EF0FC6">
            <w:pPr>
              <w:keepNext/>
              <w:spacing w:before="40" w:after="40"/>
              <w:jc w:val="center"/>
              <w:rPr>
                <w:rFonts w:ascii="Arial Narrow" w:hAnsi="Arial Narrow" w:cs="Arial"/>
                <w:b/>
                <w:sz w:val="20"/>
                <w:szCs w:val="20"/>
              </w:rPr>
            </w:pPr>
            <w:r w:rsidRPr="00FB31CB">
              <w:rPr>
                <w:rFonts w:ascii="Arial Narrow" w:hAnsi="Arial Narrow" w:cs="Arial"/>
                <w:b/>
                <w:sz w:val="20"/>
                <w:szCs w:val="20"/>
              </w:rPr>
              <w:t>repeats</w:t>
            </w:r>
          </w:p>
        </w:tc>
        <w:tc>
          <w:tcPr>
            <w:tcW w:w="1420" w:type="pct"/>
            <w:gridSpan w:val="4"/>
            <w:tcBorders>
              <w:bottom w:val="single" w:sz="4" w:space="0" w:color="auto"/>
            </w:tcBorders>
          </w:tcPr>
          <w:p w:rsidR="00EF0FC6" w:rsidRPr="00FB31CB" w:rsidRDefault="00EF0FC6" w:rsidP="00EF0FC6">
            <w:pPr>
              <w:keepNext/>
              <w:spacing w:before="40" w:after="40"/>
              <w:rPr>
                <w:rFonts w:ascii="Arial Narrow" w:hAnsi="Arial Narrow" w:cs="Arial"/>
                <w:b/>
                <w:sz w:val="20"/>
                <w:szCs w:val="20"/>
              </w:rPr>
            </w:pPr>
            <w:r w:rsidRPr="00FB31CB">
              <w:rPr>
                <w:rFonts w:ascii="Arial Narrow" w:hAnsi="Arial Narrow" w:cs="Arial"/>
                <w:b/>
                <w:sz w:val="20"/>
                <w:szCs w:val="20"/>
              </w:rPr>
              <w:t>Proprietary Name and Manufacturer</w:t>
            </w:r>
          </w:p>
        </w:tc>
      </w:tr>
      <w:tr w:rsidR="00EF0FC6" w:rsidRPr="00FB31CB" w:rsidTr="00EF0FC6">
        <w:trPr>
          <w:cantSplit/>
          <w:trHeight w:val="567"/>
        </w:trPr>
        <w:tc>
          <w:tcPr>
            <w:tcW w:w="1854" w:type="pct"/>
            <w:gridSpan w:val="2"/>
          </w:tcPr>
          <w:p w:rsidR="00EF0FC6" w:rsidRPr="00FB31CB" w:rsidRDefault="00EF0FC6" w:rsidP="001F5F61">
            <w:pPr>
              <w:keepNext/>
              <w:spacing w:before="40" w:after="40"/>
              <w:jc w:val="both"/>
              <w:rPr>
                <w:rFonts w:ascii="Arial Narrow" w:hAnsi="Arial Narrow" w:cs="Arial"/>
                <w:sz w:val="20"/>
                <w:szCs w:val="20"/>
              </w:rPr>
            </w:pPr>
            <w:r w:rsidRPr="00FB31CB">
              <w:rPr>
                <w:rFonts w:ascii="Arial Narrow" w:hAnsi="Arial Narrow" w:cs="Arial"/>
                <w:smallCaps/>
                <w:sz w:val="20"/>
                <w:szCs w:val="20"/>
              </w:rPr>
              <w:t>OCTREOTIDE</w:t>
            </w:r>
          </w:p>
          <w:p w:rsidR="00EF0FC6" w:rsidRPr="00FB31CB" w:rsidRDefault="00EF0FC6" w:rsidP="001F5F61">
            <w:pPr>
              <w:keepNext/>
              <w:spacing w:before="40" w:after="40"/>
              <w:rPr>
                <w:rFonts w:ascii="Arial Narrow" w:hAnsi="Arial Narrow" w:cs="Arial"/>
                <w:sz w:val="20"/>
                <w:szCs w:val="20"/>
              </w:rPr>
            </w:pPr>
            <w:r w:rsidRPr="00FB31CB">
              <w:rPr>
                <w:rFonts w:ascii="Arial Narrow" w:hAnsi="Arial Narrow" w:cs="Arial"/>
                <w:sz w:val="20"/>
                <w:szCs w:val="20"/>
              </w:rPr>
              <w:t>Octreotide 30 mg injection: modified release [1 vial] (&amp;) inert substance diluent [2 mL syringe], 1 pack</w:t>
            </w:r>
          </w:p>
          <w:p w:rsidR="00EF0FC6" w:rsidRPr="00FB31CB" w:rsidRDefault="00EF0FC6" w:rsidP="001F5F61">
            <w:pPr>
              <w:keepNext/>
              <w:spacing w:before="40" w:after="40"/>
              <w:rPr>
                <w:rFonts w:ascii="Arial Narrow" w:hAnsi="Arial Narrow" w:cs="Arial"/>
                <w:sz w:val="20"/>
                <w:szCs w:val="20"/>
              </w:rPr>
            </w:pPr>
            <w:r w:rsidRPr="00FB31CB">
              <w:rPr>
                <w:rFonts w:ascii="Arial Narrow" w:hAnsi="Arial Narrow" w:cs="Arial"/>
                <w:sz w:val="20"/>
                <w:szCs w:val="20"/>
              </w:rPr>
              <w:t>Octreotide 20 mg injection: modified release [1 vial] (&amp;) inert substance diluent [2 mL syringe], 1 pack</w:t>
            </w:r>
          </w:p>
          <w:p w:rsidR="00EF0FC6" w:rsidRPr="00FB31CB" w:rsidRDefault="00EF0FC6" w:rsidP="001F5F61">
            <w:pPr>
              <w:keepNext/>
              <w:spacing w:before="40" w:after="40"/>
              <w:rPr>
                <w:rFonts w:ascii="Arial Narrow" w:hAnsi="Arial Narrow" w:cs="Arial"/>
                <w:sz w:val="20"/>
                <w:szCs w:val="20"/>
              </w:rPr>
            </w:pPr>
            <w:r w:rsidRPr="00FB31CB">
              <w:rPr>
                <w:rFonts w:ascii="Arial Narrow" w:hAnsi="Arial Narrow" w:cs="Arial"/>
                <w:sz w:val="20"/>
                <w:szCs w:val="20"/>
              </w:rPr>
              <w:t>Octreotide 10 mg injection: modified release [1 vial] (&amp;) inert substance diluent [2 mL syringe], 1 pack</w:t>
            </w:r>
          </w:p>
        </w:tc>
        <w:tc>
          <w:tcPr>
            <w:tcW w:w="547" w:type="pct"/>
          </w:tcPr>
          <w:p w:rsidR="00EF0FC6" w:rsidRPr="00FB31CB" w:rsidRDefault="00EF0FC6" w:rsidP="00EF0FC6">
            <w:pPr>
              <w:keepNext/>
              <w:spacing w:before="40" w:after="40"/>
              <w:jc w:val="center"/>
              <w:rPr>
                <w:rFonts w:ascii="Arial Narrow" w:hAnsi="Arial Narrow" w:cs="Arial"/>
                <w:sz w:val="20"/>
                <w:szCs w:val="20"/>
              </w:rPr>
            </w:pPr>
          </w:p>
          <w:p w:rsidR="00EF0FC6" w:rsidRPr="00FB31CB" w:rsidRDefault="00EF0FC6" w:rsidP="00EF0FC6">
            <w:pPr>
              <w:keepNext/>
              <w:spacing w:before="40" w:after="40"/>
              <w:jc w:val="center"/>
              <w:rPr>
                <w:rFonts w:ascii="Arial Narrow" w:hAnsi="Arial Narrow" w:cs="Arial"/>
                <w:sz w:val="20"/>
                <w:szCs w:val="20"/>
              </w:rPr>
            </w:pPr>
            <w:r w:rsidRPr="00FB31CB">
              <w:rPr>
                <w:rFonts w:ascii="Arial Narrow" w:hAnsi="Arial Narrow" w:cs="Arial"/>
                <w:sz w:val="20"/>
                <w:szCs w:val="20"/>
              </w:rPr>
              <w:t>2</w:t>
            </w:r>
          </w:p>
        </w:tc>
        <w:tc>
          <w:tcPr>
            <w:tcW w:w="546" w:type="pct"/>
          </w:tcPr>
          <w:p w:rsidR="00EF0FC6" w:rsidRPr="00FB31CB" w:rsidRDefault="00EF0FC6" w:rsidP="00EF0FC6">
            <w:pPr>
              <w:keepNext/>
              <w:spacing w:before="40" w:after="40"/>
              <w:jc w:val="center"/>
              <w:rPr>
                <w:rFonts w:ascii="Arial Narrow" w:hAnsi="Arial Narrow" w:cs="Arial"/>
                <w:sz w:val="20"/>
                <w:szCs w:val="20"/>
              </w:rPr>
            </w:pPr>
          </w:p>
          <w:p w:rsidR="00EF0FC6" w:rsidRPr="00FB31CB" w:rsidRDefault="00EF0FC6" w:rsidP="00EF0FC6">
            <w:pPr>
              <w:keepNext/>
              <w:spacing w:before="40" w:after="40"/>
              <w:jc w:val="center"/>
              <w:rPr>
                <w:rFonts w:ascii="Arial Narrow" w:hAnsi="Arial Narrow" w:cs="Arial"/>
                <w:sz w:val="20"/>
                <w:szCs w:val="20"/>
              </w:rPr>
            </w:pPr>
            <w:r w:rsidRPr="00FB31CB">
              <w:rPr>
                <w:rFonts w:ascii="Arial Narrow" w:hAnsi="Arial Narrow" w:cs="Arial"/>
                <w:sz w:val="20"/>
                <w:szCs w:val="20"/>
              </w:rPr>
              <w:t>2</w:t>
            </w:r>
          </w:p>
        </w:tc>
        <w:tc>
          <w:tcPr>
            <w:tcW w:w="633" w:type="pct"/>
          </w:tcPr>
          <w:p w:rsidR="00EF0FC6" w:rsidRPr="00FB31CB" w:rsidRDefault="00EF0FC6" w:rsidP="00EF0FC6">
            <w:pPr>
              <w:keepNext/>
              <w:spacing w:before="40" w:after="40"/>
              <w:jc w:val="center"/>
              <w:rPr>
                <w:rFonts w:ascii="Arial Narrow" w:hAnsi="Arial Narrow" w:cs="Arial"/>
                <w:sz w:val="20"/>
                <w:szCs w:val="20"/>
              </w:rPr>
            </w:pPr>
          </w:p>
          <w:p w:rsidR="00EF0FC6" w:rsidRPr="00FB31CB" w:rsidRDefault="00EF0FC6" w:rsidP="00EF0FC6">
            <w:pPr>
              <w:keepNext/>
              <w:spacing w:before="40" w:after="40"/>
              <w:jc w:val="center"/>
              <w:rPr>
                <w:rFonts w:ascii="Arial Narrow" w:hAnsi="Arial Narrow" w:cs="Arial"/>
                <w:sz w:val="20"/>
                <w:szCs w:val="20"/>
              </w:rPr>
            </w:pPr>
            <w:r w:rsidRPr="00FB31CB">
              <w:rPr>
                <w:rFonts w:ascii="Arial Narrow" w:hAnsi="Arial Narrow" w:cs="Arial"/>
                <w:sz w:val="20"/>
                <w:szCs w:val="20"/>
              </w:rPr>
              <w:t>5</w:t>
            </w:r>
          </w:p>
        </w:tc>
        <w:tc>
          <w:tcPr>
            <w:tcW w:w="664" w:type="pct"/>
          </w:tcPr>
          <w:p w:rsidR="00EF0FC6" w:rsidRPr="00FB31CB" w:rsidRDefault="00EF0FC6" w:rsidP="001F5F61">
            <w:pPr>
              <w:keepNext/>
              <w:spacing w:before="40" w:after="40"/>
              <w:jc w:val="both"/>
              <w:rPr>
                <w:rFonts w:ascii="Arial Narrow" w:hAnsi="Arial Narrow" w:cs="Arial"/>
                <w:sz w:val="20"/>
                <w:szCs w:val="20"/>
              </w:rPr>
            </w:pPr>
          </w:p>
          <w:p w:rsidR="00EF0FC6" w:rsidRPr="00FB31CB" w:rsidRDefault="00EF0FC6" w:rsidP="001F5F61">
            <w:pPr>
              <w:keepNext/>
              <w:spacing w:before="40" w:after="40"/>
              <w:jc w:val="both"/>
              <w:rPr>
                <w:rFonts w:ascii="Arial Narrow" w:hAnsi="Arial Narrow" w:cs="Arial"/>
                <w:sz w:val="20"/>
                <w:szCs w:val="20"/>
              </w:rPr>
            </w:pPr>
            <w:proofErr w:type="spellStart"/>
            <w:r w:rsidRPr="00FB31CB">
              <w:rPr>
                <w:rFonts w:ascii="Arial Narrow" w:hAnsi="Arial Narrow" w:cs="Arial"/>
                <w:sz w:val="20"/>
                <w:szCs w:val="20"/>
              </w:rPr>
              <w:t>Sandostatin</w:t>
            </w:r>
            <w:proofErr w:type="spellEnd"/>
            <w:r w:rsidRPr="00FB31CB">
              <w:rPr>
                <w:rFonts w:ascii="Arial Narrow" w:hAnsi="Arial Narrow" w:cs="Arial"/>
                <w:sz w:val="20"/>
                <w:szCs w:val="20"/>
              </w:rPr>
              <w:t>® LAR®</w:t>
            </w:r>
          </w:p>
        </w:tc>
        <w:tc>
          <w:tcPr>
            <w:tcW w:w="756" w:type="pct"/>
            <w:gridSpan w:val="3"/>
          </w:tcPr>
          <w:p w:rsidR="00EF0FC6" w:rsidRPr="00FB31CB" w:rsidRDefault="00EF0FC6" w:rsidP="001F5F61">
            <w:pPr>
              <w:keepNext/>
              <w:spacing w:before="40" w:after="40"/>
              <w:jc w:val="both"/>
              <w:rPr>
                <w:rFonts w:ascii="Arial Narrow" w:hAnsi="Arial Narrow" w:cs="Arial"/>
                <w:sz w:val="20"/>
                <w:szCs w:val="20"/>
              </w:rPr>
            </w:pPr>
          </w:p>
          <w:p w:rsidR="00EF0FC6" w:rsidRPr="00FB31CB" w:rsidRDefault="00EF0FC6" w:rsidP="001F5F61">
            <w:pPr>
              <w:keepNext/>
              <w:spacing w:before="40" w:after="40"/>
              <w:jc w:val="both"/>
              <w:rPr>
                <w:rFonts w:ascii="Arial Narrow" w:hAnsi="Arial Narrow" w:cs="Arial"/>
                <w:sz w:val="20"/>
                <w:szCs w:val="20"/>
              </w:rPr>
            </w:pPr>
            <w:r w:rsidRPr="00FB31CB">
              <w:rPr>
                <w:rFonts w:ascii="Arial Narrow" w:hAnsi="Arial Narrow" w:cs="Arial"/>
                <w:sz w:val="20"/>
                <w:szCs w:val="20"/>
              </w:rPr>
              <w:t>Novartis</w:t>
            </w:r>
          </w:p>
        </w:tc>
      </w:tr>
      <w:tr w:rsidR="00EF0FC6" w:rsidRPr="00FB31CB" w:rsidTr="00EF0FC6">
        <w:trPr>
          <w:gridAfter w:val="2"/>
          <w:wAfter w:w="428" w:type="pct"/>
          <w:cantSplit/>
          <w:trHeight w:val="360"/>
        </w:trPr>
        <w:tc>
          <w:tcPr>
            <w:tcW w:w="4572" w:type="pct"/>
            <w:gridSpan w:val="7"/>
            <w:tcBorders>
              <w:bottom w:val="single" w:sz="4" w:space="0" w:color="auto"/>
            </w:tcBorders>
          </w:tcPr>
          <w:p w:rsidR="00EF0FC6" w:rsidRPr="00FB31CB" w:rsidRDefault="00EF0FC6" w:rsidP="001F5F61">
            <w:pPr>
              <w:spacing w:before="40" w:after="40"/>
              <w:jc w:val="both"/>
              <w:rPr>
                <w:rFonts w:ascii="Arial Narrow" w:hAnsi="Arial Narrow" w:cs="Arial"/>
                <w:sz w:val="20"/>
                <w:szCs w:val="20"/>
              </w:rPr>
            </w:pP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Category / Program:</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 xml:space="preserve">Section 100 – Highly Specialised Drugs Program </w:t>
            </w:r>
            <w:r w:rsidRPr="00FB31CB">
              <w:rPr>
                <w:rFonts w:ascii="Arial Narrow" w:hAnsi="Arial Narrow" w:cs="Arial"/>
                <w:i/>
                <w:sz w:val="20"/>
                <w:szCs w:val="20"/>
              </w:rPr>
              <w:t>(Community Access)</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Prescriber type:</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fldChar w:fldCharType="begin">
                <w:ffData>
                  <w:name w:val="Check1"/>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Dental  </w:t>
            </w:r>
            <w:r w:rsidRPr="00FB31CB">
              <w:rPr>
                <w:rFonts w:ascii="Arial Narrow" w:hAnsi="Arial Narrow" w:cs="Arial"/>
                <w:sz w:val="20"/>
                <w:szCs w:val="20"/>
              </w:rPr>
              <w:fldChar w:fldCharType="begin">
                <w:ffData>
                  <w:name w:val=""/>
                  <w:enabled/>
                  <w:calcOnExit w:val="0"/>
                  <w:checkBox>
                    <w:sizeAuto/>
                    <w:default w:val="1"/>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Medical Practitioners  </w:t>
            </w:r>
            <w:r w:rsidRPr="00FB31CB">
              <w:rPr>
                <w:rFonts w:ascii="Arial Narrow" w:hAnsi="Arial Narrow" w:cs="Arial"/>
                <w:sz w:val="20"/>
                <w:szCs w:val="20"/>
              </w:rPr>
              <w:fldChar w:fldCharType="begin">
                <w:ffData>
                  <w:name w:val="Check3"/>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Nurse practitioners  </w:t>
            </w:r>
            <w:r w:rsidRPr="00FB31CB">
              <w:rPr>
                <w:rFonts w:ascii="Arial Narrow" w:hAnsi="Arial Narrow" w:cs="Arial"/>
                <w:sz w:val="20"/>
                <w:szCs w:val="20"/>
              </w:rPr>
              <w:fldChar w:fldCharType="begin">
                <w:ffData>
                  <w:name w:val=""/>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Optometrists </w:t>
            </w:r>
            <w:r w:rsidRPr="00FB31CB">
              <w:rPr>
                <w:rFonts w:ascii="Arial Narrow" w:hAnsi="Arial Narrow" w:cs="Arial"/>
                <w:sz w:val="20"/>
                <w:szCs w:val="20"/>
              </w:rPr>
              <w:fldChar w:fldCharType="begin">
                <w:ffData>
                  <w:name w:val="Check5"/>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Midwives</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PBS indication:</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Functional carcinoid tumour</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91937">
            <w:pPr>
              <w:spacing w:before="40" w:after="40"/>
              <w:rPr>
                <w:rFonts w:ascii="Arial Narrow" w:hAnsi="Arial Narrow" w:cs="Arial"/>
                <w:sz w:val="20"/>
                <w:szCs w:val="20"/>
              </w:rPr>
            </w:pPr>
            <w:r w:rsidRPr="00FB31CB">
              <w:rPr>
                <w:rFonts w:ascii="Arial Narrow" w:hAnsi="Arial Narrow" w:cs="Arial"/>
                <w:b/>
                <w:sz w:val="20"/>
                <w:szCs w:val="20"/>
              </w:rPr>
              <w:t>Restriction level / Method:</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fldChar w:fldCharType="begin">
                <w:ffData>
                  <w:name w:val="Check5"/>
                  <w:enabled/>
                  <w:calcOnExit w:val="0"/>
                  <w:checkBox>
                    <w:sizeAuto/>
                    <w:default w:val="1"/>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Streamlined</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Clinical criteria:</w:t>
            </w:r>
          </w:p>
          <w:p w:rsidR="00EF0FC6" w:rsidRPr="00FB31CB" w:rsidRDefault="00EF0FC6" w:rsidP="001F5F61">
            <w:pPr>
              <w:spacing w:before="40" w:after="40"/>
              <w:rPr>
                <w:rFonts w:ascii="Arial Narrow" w:hAnsi="Arial Narrow" w:cs="Arial"/>
                <w:i/>
                <w:sz w:val="20"/>
                <w:szCs w:val="20"/>
              </w:rPr>
            </w:pPr>
          </w:p>
          <w:p w:rsidR="00EF0FC6" w:rsidRPr="00FB31CB" w:rsidRDefault="00EF0FC6" w:rsidP="001F5F61">
            <w:pPr>
              <w:spacing w:before="40" w:after="40"/>
              <w:rPr>
                <w:rFonts w:ascii="Arial Narrow" w:hAnsi="Arial Narrow" w:cs="Arial"/>
                <w:sz w:val="20"/>
                <w:szCs w:val="20"/>
              </w:rPr>
            </w:pP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i/>
                <w:sz w:val="20"/>
                <w:szCs w:val="20"/>
              </w:rPr>
            </w:pPr>
            <w:r w:rsidRPr="00FB31CB">
              <w:rPr>
                <w:rFonts w:ascii="Arial Narrow" w:hAnsi="Arial Narrow" w:cs="Arial"/>
                <w:i/>
                <w:sz w:val="20"/>
                <w:szCs w:val="20"/>
              </w:rPr>
              <w:t xml:space="preserve">Patient must have previously received PBS-subsidised treatment with this drug for this condition, </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AND</w:t>
            </w:r>
          </w:p>
          <w:p w:rsidR="00EF0FC6" w:rsidRPr="00FB31CB" w:rsidRDefault="00EF0FC6" w:rsidP="001F5F61">
            <w:pPr>
              <w:spacing w:before="40" w:after="40"/>
              <w:rPr>
                <w:rFonts w:ascii="Arial Narrow" w:hAnsi="Arial Narrow" w:cs="Arial"/>
                <w:sz w:val="20"/>
                <w:szCs w:val="20"/>
              </w:rPr>
            </w:pPr>
            <w:r w:rsidRPr="00FB31CB">
              <w:rPr>
                <w:rFonts w:ascii="Arial Narrow" w:hAnsi="Arial Narrow" w:cs="Arial"/>
                <w:sz w:val="20"/>
                <w:szCs w:val="20"/>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p>
        </w:tc>
      </w:tr>
      <w:tr w:rsidR="00EF0FC6" w:rsidRPr="00FB31CB" w:rsidTr="00191937">
        <w:trPr>
          <w:gridAfter w:val="1"/>
          <w:wAfter w:w="4"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b/>
                <w:sz w:val="20"/>
                <w:szCs w:val="20"/>
              </w:rPr>
            </w:pPr>
            <w:r w:rsidRPr="00FB31CB">
              <w:rPr>
                <w:rFonts w:ascii="Arial Narrow" w:hAnsi="Arial Narrow" w:cs="Arial"/>
                <w:b/>
                <w:sz w:val="20"/>
                <w:szCs w:val="20"/>
              </w:rPr>
              <w:t>Prescriber instructions:</w:t>
            </w:r>
          </w:p>
        </w:tc>
        <w:tc>
          <w:tcPr>
            <w:tcW w:w="3688"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1F5F61">
            <w:pPr>
              <w:spacing w:before="40" w:after="40"/>
              <w:rPr>
                <w:rFonts w:ascii="Arial Narrow" w:hAnsi="Arial Narrow" w:cs="Arial"/>
                <w:i/>
                <w:sz w:val="20"/>
                <w:szCs w:val="20"/>
              </w:rPr>
            </w:pPr>
            <w:r w:rsidRPr="00FB31CB">
              <w:rPr>
                <w:rFonts w:ascii="Arial Narrow" w:hAnsi="Arial Narrow" w:cs="Arial"/>
                <w:sz w:val="20"/>
                <w:szCs w:val="20"/>
              </w:rPr>
              <w:t>Dosage and tolerance to the drug should be assessed regularly and the dosage should be titrated slowly downwards to determine the minimum effective dose.</w:t>
            </w:r>
          </w:p>
        </w:tc>
      </w:tr>
    </w:tbl>
    <w:p w:rsidR="00EF0FC6" w:rsidRPr="00FB31CB" w:rsidRDefault="00EF0FC6" w:rsidP="00EF0FC6">
      <w:pPr>
        <w:rPr>
          <w:rFonts w:eastAsiaTheme="majorEastAsia"/>
          <w:lang w:eastAsia="en-US"/>
        </w:rPr>
      </w:pPr>
    </w:p>
    <w:tbl>
      <w:tblPr>
        <w:tblW w:w="4915" w:type="pct"/>
        <w:tblLook w:val="0000" w:firstRow="0" w:lastRow="0" w:firstColumn="0" w:lastColumn="0" w:noHBand="0" w:noVBand="0"/>
      </w:tblPr>
      <w:tblGrid>
        <w:gridCol w:w="2376"/>
        <w:gridCol w:w="992"/>
        <w:gridCol w:w="1136"/>
        <w:gridCol w:w="994"/>
        <w:gridCol w:w="967"/>
        <w:gridCol w:w="1206"/>
        <w:gridCol w:w="616"/>
        <w:gridCol w:w="792"/>
        <w:gridCol w:w="6"/>
      </w:tblGrid>
      <w:tr w:rsidR="00EF0FC6" w:rsidRPr="00FB31CB" w:rsidTr="009F1BFA">
        <w:trPr>
          <w:cantSplit/>
          <w:trHeight w:val="465"/>
        </w:trPr>
        <w:tc>
          <w:tcPr>
            <w:tcW w:w="1854" w:type="pct"/>
            <w:gridSpan w:val="2"/>
            <w:tcBorders>
              <w:bottom w:val="single" w:sz="4" w:space="0" w:color="auto"/>
            </w:tcBorders>
          </w:tcPr>
          <w:p w:rsidR="00EF0FC6" w:rsidRPr="00FB31CB" w:rsidRDefault="00EF0FC6" w:rsidP="009F1BFA">
            <w:pPr>
              <w:keepNext/>
              <w:spacing w:before="40" w:after="40"/>
              <w:jc w:val="both"/>
              <w:rPr>
                <w:rFonts w:ascii="Arial Narrow" w:hAnsi="Arial Narrow" w:cs="Arial"/>
                <w:b/>
                <w:sz w:val="20"/>
                <w:szCs w:val="20"/>
              </w:rPr>
            </w:pPr>
            <w:r w:rsidRPr="00FB31CB">
              <w:rPr>
                <w:rFonts w:ascii="Arial Narrow" w:hAnsi="Arial Narrow" w:cs="Arial"/>
                <w:b/>
                <w:sz w:val="20"/>
                <w:szCs w:val="20"/>
              </w:rPr>
              <w:lastRenderedPageBreak/>
              <w:t>Name, Restriction,</w:t>
            </w:r>
          </w:p>
          <w:p w:rsidR="00EF0FC6" w:rsidRPr="00FB31CB" w:rsidRDefault="00EF0FC6" w:rsidP="009F1BFA">
            <w:pPr>
              <w:keepNext/>
              <w:spacing w:before="40" w:after="40"/>
              <w:jc w:val="both"/>
              <w:rPr>
                <w:rFonts w:ascii="Arial Narrow" w:hAnsi="Arial Narrow" w:cs="Arial"/>
                <w:b/>
                <w:sz w:val="20"/>
                <w:szCs w:val="20"/>
              </w:rPr>
            </w:pPr>
            <w:r w:rsidRPr="00FB31CB">
              <w:rPr>
                <w:rFonts w:ascii="Arial Narrow" w:hAnsi="Arial Narrow" w:cs="Arial"/>
                <w:b/>
                <w:sz w:val="20"/>
                <w:szCs w:val="20"/>
              </w:rPr>
              <w:t>Manner of administration and form</w:t>
            </w:r>
          </w:p>
        </w:tc>
        <w:tc>
          <w:tcPr>
            <w:tcW w:w="625" w:type="pct"/>
            <w:tcBorders>
              <w:bottom w:val="single" w:sz="4" w:space="0" w:color="auto"/>
            </w:tcBorders>
          </w:tcPr>
          <w:p w:rsidR="00EF0FC6" w:rsidRPr="00FB31CB" w:rsidRDefault="00EF0FC6" w:rsidP="009F1BFA">
            <w:pPr>
              <w:keepNext/>
              <w:spacing w:before="40" w:after="40"/>
              <w:jc w:val="center"/>
              <w:rPr>
                <w:rFonts w:ascii="Arial Narrow" w:hAnsi="Arial Narrow" w:cs="Arial"/>
                <w:b/>
                <w:sz w:val="20"/>
                <w:szCs w:val="20"/>
              </w:rPr>
            </w:pPr>
            <w:r w:rsidRPr="00FB31CB">
              <w:rPr>
                <w:rFonts w:ascii="Arial Narrow" w:hAnsi="Arial Narrow" w:cs="Arial"/>
                <w:b/>
                <w:sz w:val="20"/>
                <w:szCs w:val="20"/>
              </w:rPr>
              <w:t xml:space="preserve">Max </w:t>
            </w:r>
            <w:proofErr w:type="spellStart"/>
            <w:r w:rsidRPr="00FB31CB">
              <w:rPr>
                <w:rFonts w:ascii="Arial Narrow" w:hAnsi="Arial Narrow" w:cs="Arial"/>
                <w:b/>
                <w:sz w:val="20"/>
                <w:szCs w:val="20"/>
              </w:rPr>
              <w:t>qty</w:t>
            </w:r>
            <w:proofErr w:type="spellEnd"/>
            <w:r w:rsidRPr="00FB31CB">
              <w:rPr>
                <w:rFonts w:ascii="Arial Narrow" w:hAnsi="Arial Narrow" w:cs="Arial"/>
                <w:b/>
                <w:sz w:val="20"/>
                <w:szCs w:val="20"/>
              </w:rPr>
              <w:t xml:space="preserve"> packs</w:t>
            </w:r>
          </w:p>
        </w:tc>
        <w:tc>
          <w:tcPr>
            <w:tcW w:w="547" w:type="pct"/>
            <w:tcBorders>
              <w:bottom w:val="single" w:sz="4" w:space="0" w:color="auto"/>
            </w:tcBorders>
          </w:tcPr>
          <w:p w:rsidR="00EF0FC6" w:rsidRPr="00FB31CB" w:rsidRDefault="00EF0FC6" w:rsidP="009F1BFA">
            <w:pPr>
              <w:keepNext/>
              <w:spacing w:before="40" w:after="40"/>
              <w:jc w:val="center"/>
              <w:rPr>
                <w:rFonts w:ascii="Arial Narrow" w:hAnsi="Arial Narrow" w:cs="Arial"/>
                <w:b/>
                <w:sz w:val="20"/>
                <w:szCs w:val="20"/>
              </w:rPr>
            </w:pPr>
            <w:r w:rsidRPr="00FB31CB">
              <w:rPr>
                <w:rFonts w:ascii="Arial Narrow" w:hAnsi="Arial Narrow" w:cs="Arial"/>
                <w:b/>
                <w:sz w:val="20"/>
                <w:szCs w:val="20"/>
              </w:rPr>
              <w:t xml:space="preserve">Max </w:t>
            </w:r>
            <w:proofErr w:type="spellStart"/>
            <w:r w:rsidRPr="00FB31CB">
              <w:rPr>
                <w:rFonts w:ascii="Arial Narrow" w:hAnsi="Arial Narrow" w:cs="Arial"/>
                <w:b/>
                <w:sz w:val="20"/>
                <w:szCs w:val="20"/>
              </w:rPr>
              <w:t>qty</w:t>
            </w:r>
            <w:proofErr w:type="spellEnd"/>
            <w:r w:rsidRPr="00FB31CB">
              <w:rPr>
                <w:rFonts w:ascii="Arial Narrow" w:hAnsi="Arial Narrow" w:cs="Arial"/>
                <w:b/>
                <w:sz w:val="20"/>
                <w:szCs w:val="20"/>
              </w:rPr>
              <w:t xml:space="preserve"> units</w:t>
            </w:r>
          </w:p>
        </w:tc>
        <w:tc>
          <w:tcPr>
            <w:tcW w:w="532" w:type="pct"/>
            <w:tcBorders>
              <w:bottom w:val="single" w:sz="4" w:space="0" w:color="auto"/>
            </w:tcBorders>
          </w:tcPr>
          <w:p w:rsidR="00EF0FC6" w:rsidRPr="00FB31CB" w:rsidRDefault="00EF0FC6" w:rsidP="009F1BFA">
            <w:pPr>
              <w:keepNext/>
              <w:spacing w:before="40" w:after="40"/>
              <w:jc w:val="center"/>
              <w:rPr>
                <w:rFonts w:ascii="Arial Narrow" w:hAnsi="Arial Narrow" w:cs="Arial"/>
                <w:b/>
                <w:sz w:val="20"/>
                <w:szCs w:val="20"/>
              </w:rPr>
            </w:pPr>
            <w:r w:rsidRPr="00FB31CB">
              <w:rPr>
                <w:rFonts w:ascii="Arial Narrow" w:hAnsi="Arial Narrow" w:cs="Arial"/>
                <w:b/>
                <w:sz w:val="20"/>
                <w:szCs w:val="20"/>
              </w:rPr>
              <w:t>No. of</w:t>
            </w:r>
          </w:p>
          <w:p w:rsidR="00EF0FC6" w:rsidRPr="00FB31CB" w:rsidRDefault="00EF0FC6" w:rsidP="009F1BFA">
            <w:pPr>
              <w:keepNext/>
              <w:spacing w:before="40" w:after="40"/>
              <w:jc w:val="center"/>
              <w:rPr>
                <w:rFonts w:ascii="Arial Narrow" w:hAnsi="Arial Narrow" w:cs="Arial"/>
                <w:b/>
                <w:sz w:val="20"/>
                <w:szCs w:val="20"/>
              </w:rPr>
            </w:pPr>
            <w:r w:rsidRPr="00FB31CB">
              <w:rPr>
                <w:rFonts w:ascii="Arial Narrow" w:hAnsi="Arial Narrow" w:cs="Arial"/>
                <w:b/>
                <w:sz w:val="20"/>
                <w:szCs w:val="20"/>
              </w:rPr>
              <w:t>repeats</w:t>
            </w:r>
          </w:p>
        </w:tc>
        <w:tc>
          <w:tcPr>
            <w:tcW w:w="1442" w:type="pct"/>
            <w:gridSpan w:val="4"/>
            <w:tcBorders>
              <w:bottom w:val="single" w:sz="4" w:space="0" w:color="auto"/>
            </w:tcBorders>
          </w:tcPr>
          <w:p w:rsidR="00EF0FC6" w:rsidRPr="00FB31CB" w:rsidRDefault="00EF0FC6" w:rsidP="009F1BFA">
            <w:pPr>
              <w:keepNext/>
              <w:spacing w:before="40" w:after="40"/>
              <w:rPr>
                <w:rFonts w:ascii="Arial Narrow" w:hAnsi="Arial Narrow" w:cs="Arial"/>
                <w:b/>
                <w:sz w:val="20"/>
                <w:szCs w:val="20"/>
              </w:rPr>
            </w:pPr>
            <w:r w:rsidRPr="00FB31CB">
              <w:rPr>
                <w:rFonts w:ascii="Arial Narrow" w:hAnsi="Arial Narrow" w:cs="Arial"/>
                <w:b/>
                <w:sz w:val="20"/>
                <w:szCs w:val="20"/>
              </w:rPr>
              <w:t>Proprietary Name and Manufacturer</w:t>
            </w:r>
          </w:p>
        </w:tc>
      </w:tr>
      <w:tr w:rsidR="00EF0FC6" w:rsidRPr="00FB31CB" w:rsidTr="009F1BFA">
        <w:trPr>
          <w:cantSplit/>
          <w:trHeight w:val="567"/>
        </w:trPr>
        <w:tc>
          <w:tcPr>
            <w:tcW w:w="1854" w:type="pct"/>
            <w:gridSpan w:val="2"/>
          </w:tcPr>
          <w:p w:rsidR="00EF0FC6" w:rsidRPr="00FB31CB" w:rsidRDefault="00EF0FC6" w:rsidP="009F1BFA">
            <w:pPr>
              <w:keepNext/>
              <w:spacing w:before="40" w:after="40"/>
              <w:jc w:val="both"/>
              <w:rPr>
                <w:rFonts w:ascii="Arial Narrow" w:hAnsi="Arial Narrow" w:cs="Arial"/>
                <w:sz w:val="20"/>
                <w:szCs w:val="20"/>
              </w:rPr>
            </w:pPr>
            <w:r w:rsidRPr="00FB31CB">
              <w:rPr>
                <w:rFonts w:ascii="Arial Narrow" w:hAnsi="Arial Narrow" w:cs="Arial"/>
                <w:smallCaps/>
                <w:sz w:val="20"/>
                <w:szCs w:val="20"/>
              </w:rPr>
              <w:t>OCTREOTIDE</w:t>
            </w:r>
          </w:p>
          <w:p w:rsidR="00EF0FC6" w:rsidRPr="00FB31CB" w:rsidRDefault="00EF0FC6" w:rsidP="009F1BFA">
            <w:pPr>
              <w:keepNext/>
              <w:spacing w:before="40" w:after="40"/>
              <w:rPr>
                <w:rFonts w:ascii="Arial Narrow" w:hAnsi="Arial Narrow" w:cs="Arial"/>
                <w:sz w:val="20"/>
                <w:szCs w:val="20"/>
              </w:rPr>
            </w:pPr>
            <w:r w:rsidRPr="00FB31CB">
              <w:rPr>
                <w:rFonts w:ascii="Arial Narrow" w:hAnsi="Arial Narrow" w:cs="Arial"/>
                <w:sz w:val="20"/>
                <w:szCs w:val="20"/>
              </w:rPr>
              <w:t>Octreotide 30 mg injection: modified release [1 vial] (&amp;) inert substance diluent [2 mL syringe], 1 pack</w:t>
            </w:r>
          </w:p>
          <w:p w:rsidR="00EF0FC6" w:rsidRPr="00FB31CB" w:rsidRDefault="00EF0FC6" w:rsidP="009F1BFA">
            <w:pPr>
              <w:keepNext/>
              <w:spacing w:before="40" w:after="40"/>
              <w:rPr>
                <w:rFonts w:ascii="Arial Narrow" w:hAnsi="Arial Narrow" w:cs="Arial"/>
                <w:sz w:val="20"/>
                <w:szCs w:val="20"/>
              </w:rPr>
            </w:pPr>
            <w:r w:rsidRPr="00FB31CB">
              <w:rPr>
                <w:rFonts w:ascii="Arial Narrow" w:hAnsi="Arial Narrow" w:cs="Arial"/>
                <w:sz w:val="20"/>
                <w:szCs w:val="20"/>
              </w:rPr>
              <w:t>Octreotide 20 mg injection: modified release [1 vial] (&amp;) inert substance diluent [2 mL syringe], 1 pack</w:t>
            </w:r>
          </w:p>
          <w:p w:rsidR="00EF0FC6" w:rsidRPr="00FB31CB" w:rsidRDefault="00EF0FC6" w:rsidP="009F1BFA">
            <w:pPr>
              <w:keepNext/>
              <w:spacing w:before="40" w:after="40"/>
              <w:rPr>
                <w:rFonts w:ascii="Arial Narrow" w:hAnsi="Arial Narrow" w:cs="Arial"/>
                <w:sz w:val="20"/>
                <w:szCs w:val="20"/>
              </w:rPr>
            </w:pPr>
            <w:r w:rsidRPr="00FB31CB">
              <w:rPr>
                <w:rFonts w:ascii="Arial Narrow" w:hAnsi="Arial Narrow" w:cs="Arial"/>
                <w:sz w:val="20"/>
                <w:szCs w:val="20"/>
              </w:rPr>
              <w:t>Octreotide 10 mg injection: modified release [1 vial] (&amp;) inert substance diluent [2 mL syringe], 1 pack</w:t>
            </w:r>
          </w:p>
        </w:tc>
        <w:tc>
          <w:tcPr>
            <w:tcW w:w="625" w:type="pct"/>
          </w:tcPr>
          <w:p w:rsidR="00EF0FC6" w:rsidRPr="00FB31CB" w:rsidRDefault="00EF0FC6" w:rsidP="009F1BFA">
            <w:pPr>
              <w:keepNext/>
              <w:spacing w:before="40" w:after="40"/>
              <w:jc w:val="center"/>
              <w:rPr>
                <w:rFonts w:ascii="Arial Narrow" w:hAnsi="Arial Narrow" w:cs="Arial"/>
                <w:sz w:val="20"/>
                <w:szCs w:val="20"/>
              </w:rPr>
            </w:pPr>
          </w:p>
          <w:p w:rsidR="00EF0FC6" w:rsidRPr="00FB31CB" w:rsidRDefault="00EF0FC6" w:rsidP="009F1BFA">
            <w:pPr>
              <w:keepNext/>
              <w:spacing w:before="40" w:after="40"/>
              <w:jc w:val="center"/>
              <w:rPr>
                <w:rFonts w:ascii="Arial Narrow" w:hAnsi="Arial Narrow" w:cs="Arial"/>
                <w:sz w:val="20"/>
                <w:szCs w:val="20"/>
              </w:rPr>
            </w:pPr>
            <w:r w:rsidRPr="00FB31CB">
              <w:rPr>
                <w:rFonts w:ascii="Arial Narrow" w:hAnsi="Arial Narrow" w:cs="Arial"/>
                <w:sz w:val="20"/>
                <w:szCs w:val="20"/>
              </w:rPr>
              <w:t>2</w:t>
            </w:r>
          </w:p>
          <w:p w:rsidR="00EF0FC6" w:rsidRPr="00FB31CB" w:rsidRDefault="00EF0FC6" w:rsidP="009F1BFA">
            <w:pPr>
              <w:keepNext/>
              <w:spacing w:before="40" w:after="40"/>
              <w:jc w:val="center"/>
              <w:rPr>
                <w:rFonts w:ascii="Arial Narrow" w:hAnsi="Arial Narrow" w:cs="Arial"/>
                <w:sz w:val="20"/>
                <w:szCs w:val="20"/>
              </w:rPr>
            </w:pPr>
          </w:p>
          <w:p w:rsidR="00EF0FC6" w:rsidRPr="00FB31CB" w:rsidRDefault="00EF0FC6" w:rsidP="009F1BFA">
            <w:pPr>
              <w:keepNext/>
              <w:spacing w:before="40" w:after="40"/>
              <w:jc w:val="center"/>
              <w:rPr>
                <w:rFonts w:ascii="Arial Narrow" w:hAnsi="Arial Narrow" w:cs="Arial"/>
                <w:sz w:val="20"/>
                <w:szCs w:val="20"/>
              </w:rPr>
            </w:pPr>
          </w:p>
          <w:p w:rsidR="00EF0FC6" w:rsidRPr="00FB31CB" w:rsidRDefault="00EF0FC6" w:rsidP="009F1BFA">
            <w:pPr>
              <w:keepNext/>
              <w:spacing w:before="40" w:after="40"/>
              <w:jc w:val="center"/>
              <w:rPr>
                <w:rFonts w:ascii="Arial Narrow" w:hAnsi="Arial Narrow" w:cs="Arial"/>
                <w:sz w:val="20"/>
                <w:szCs w:val="20"/>
              </w:rPr>
            </w:pPr>
          </w:p>
        </w:tc>
        <w:tc>
          <w:tcPr>
            <w:tcW w:w="547" w:type="pct"/>
          </w:tcPr>
          <w:p w:rsidR="00EF0FC6" w:rsidRPr="00FB31CB" w:rsidRDefault="00EF0FC6" w:rsidP="009F1BFA">
            <w:pPr>
              <w:keepNext/>
              <w:spacing w:before="40" w:after="40"/>
              <w:jc w:val="center"/>
              <w:rPr>
                <w:rFonts w:ascii="Arial Narrow" w:hAnsi="Arial Narrow" w:cs="Arial"/>
                <w:sz w:val="20"/>
                <w:szCs w:val="20"/>
              </w:rPr>
            </w:pPr>
          </w:p>
          <w:p w:rsidR="00EF0FC6" w:rsidRPr="00FB31CB" w:rsidRDefault="00EF0FC6" w:rsidP="009F1BFA">
            <w:pPr>
              <w:keepNext/>
              <w:spacing w:before="40" w:after="40"/>
              <w:jc w:val="center"/>
              <w:rPr>
                <w:rFonts w:ascii="Arial Narrow" w:hAnsi="Arial Narrow" w:cs="Arial"/>
                <w:sz w:val="20"/>
                <w:szCs w:val="20"/>
              </w:rPr>
            </w:pPr>
            <w:r w:rsidRPr="00FB31CB">
              <w:rPr>
                <w:rFonts w:ascii="Arial Narrow" w:hAnsi="Arial Narrow" w:cs="Arial"/>
                <w:sz w:val="20"/>
                <w:szCs w:val="20"/>
              </w:rPr>
              <w:t>2</w:t>
            </w:r>
          </w:p>
        </w:tc>
        <w:tc>
          <w:tcPr>
            <w:tcW w:w="532" w:type="pct"/>
          </w:tcPr>
          <w:p w:rsidR="00EF0FC6" w:rsidRPr="00FB31CB" w:rsidRDefault="00EF0FC6" w:rsidP="009F1BFA">
            <w:pPr>
              <w:keepNext/>
              <w:spacing w:before="40" w:after="40"/>
              <w:jc w:val="center"/>
              <w:rPr>
                <w:rFonts w:ascii="Arial Narrow" w:hAnsi="Arial Narrow" w:cs="Arial"/>
                <w:sz w:val="20"/>
                <w:szCs w:val="20"/>
              </w:rPr>
            </w:pPr>
          </w:p>
          <w:p w:rsidR="00EF0FC6" w:rsidRPr="00FB31CB" w:rsidRDefault="00EF0FC6" w:rsidP="009F1BFA">
            <w:pPr>
              <w:keepNext/>
              <w:spacing w:before="40" w:after="40"/>
              <w:jc w:val="center"/>
              <w:rPr>
                <w:rFonts w:ascii="Arial Narrow" w:hAnsi="Arial Narrow" w:cs="Arial"/>
                <w:sz w:val="20"/>
                <w:szCs w:val="20"/>
              </w:rPr>
            </w:pPr>
            <w:r w:rsidRPr="00FB31CB">
              <w:rPr>
                <w:rFonts w:ascii="Arial Narrow" w:hAnsi="Arial Narrow" w:cs="Arial"/>
                <w:sz w:val="20"/>
                <w:szCs w:val="20"/>
              </w:rPr>
              <w:t>5</w:t>
            </w:r>
          </w:p>
        </w:tc>
        <w:tc>
          <w:tcPr>
            <w:tcW w:w="664" w:type="pct"/>
          </w:tcPr>
          <w:p w:rsidR="00EF0FC6" w:rsidRPr="00FB31CB" w:rsidRDefault="00EF0FC6" w:rsidP="009F1BFA">
            <w:pPr>
              <w:keepNext/>
              <w:spacing w:before="40" w:after="40"/>
              <w:jc w:val="both"/>
              <w:rPr>
                <w:rFonts w:ascii="Arial Narrow" w:hAnsi="Arial Narrow" w:cs="Arial"/>
                <w:sz w:val="20"/>
                <w:szCs w:val="20"/>
              </w:rPr>
            </w:pPr>
          </w:p>
          <w:p w:rsidR="00EF0FC6" w:rsidRPr="00FB31CB" w:rsidRDefault="00EF0FC6" w:rsidP="009F1BFA">
            <w:pPr>
              <w:keepNext/>
              <w:spacing w:before="40" w:after="40"/>
              <w:jc w:val="both"/>
              <w:rPr>
                <w:rFonts w:ascii="Arial Narrow" w:hAnsi="Arial Narrow" w:cs="Arial"/>
                <w:sz w:val="20"/>
                <w:szCs w:val="20"/>
              </w:rPr>
            </w:pPr>
            <w:proofErr w:type="spellStart"/>
            <w:r w:rsidRPr="00FB31CB">
              <w:rPr>
                <w:rFonts w:ascii="Arial Narrow" w:hAnsi="Arial Narrow" w:cs="Arial"/>
                <w:sz w:val="20"/>
                <w:szCs w:val="20"/>
              </w:rPr>
              <w:t>Sandostatin</w:t>
            </w:r>
            <w:proofErr w:type="spellEnd"/>
            <w:r w:rsidRPr="00FB31CB">
              <w:rPr>
                <w:rFonts w:ascii="Arial Narrow" w:hAnsi="Arial Narrow" w:cs="Arial"/>
                <w:sz w:val="20"/>
                <w:szCs w:val="20"/>
              </w:rPr>
              <w:t>® LAR®</w:t>
            </w:r>
          </w:p>
        </w:tc>
        <w:tc>
          <w:tcPr>
            <w:tcW w:w="778" w:type="pct"/>
            <w:gridSpan w:val="3"/>
          </w:tcPr>
          <w:p w:rsidR="00EF0FC6" w:rsidRPr="00FB31CB" w:rsidRDefault="00EF0FC6" w:rsidP="009F1BFA">
            <w:pPr>
              <w:keepNext/>
              <w:spacing w:before="40" w:after="40"/>
              <w:jc w:val="both"/>
              <w:rPr>
                <w:rFonts w:ascii="Arial Narrow" w:hAnsi="Arial Narrow" w:cs="Arial"/>
                <w:sz w:val="20"/>
                <w:szCs w:val="20"/>
              </w:rPr>
            </w:pPr>
          </w:p>
          <w:p w:rsidR="00EF0FC6" w:rsidRPr="00FB31CB" w:rsidRDefault="00EF0FC6" w:rsidP="009F1BFA">
            <w:pPr>
              <w:keepNext/>
              <w:spacing w:before="40" w:after="40"/>
              <w:jc w:val="both"/>
              <w:rPr>
                <w:rFonts w:ascii="Arial Narrow" w:hAnsi="Arial Narrow" w:cs="Arial"/>
                <w:sz w:val="20"/>
                <w:szCs w:val="20"/>
              </w:rPr>
            </w:pPr>
            <w:r w:rsidRPr="00FB31CB">
              <w:rPr>
                <w:rFonts w:ascii="Arial Narrow" w:hAnsi="Arial Narrow" w:cs="Arial"/>
                <w:sz w:val="20"/>
                <w:szCs w:val="20"/>
              </w:rPr>
              <w:t>Novartis</w:t>
            </w:r>
          </w:p>
        </w:tc>
      </w:tr>
      <w:tr w:rsidR="00EF0FC6" w:rsidRPr="00FB31CB" w:rsidTr="00EF0FC6">
        <w:trPr>
          <w:gridAfter w:val="2"/>
          <w:wAfter w:w="439" w:type="pct"/>
          <w:cantSplit/>
          <w:trHeight w:val="360"/>
        </w:trPr>
        <w:tc>
          <w:tcPr>
            <w:tcW w:w="4561" w:type="pct"/>
            <w:gridSpan w:val="7"/>
            <w:tcBorders>
              <w:bottom w:val="single" w:sz="4" w:space="0" w:color="auto"/>
            </w:tcBorders>
          </w:tcPr>
          <w:p w:rsidR="00EF0FC6" w:rsidRPr="00FB31CB" w:rsidRDefault="00EF0FC6" w:rsidP="009F1BFA">
            <w:pPr>
              <w:keepNext/>
              <w:spacing w:before="40" w:after="40"/>
              <w:jc w:val="both"/>
              <w:rPr>
                <w:rFonts w:ascii="Arial Narrow" w:hAnsi="Arial Narrow" w:cs="Arial"/>
                <w:sz w:val="20"/>
                <w:szCs w:val="20"/>
              </w:rPr>
            </w:pPr>
          </w:p>
        </w:tc>
      </w:tr>
      <w:tr w:rsidR="00EF0FC6" w:rsidRPr="00FB31CB" w:rsidTr="00191937">
        <w:trPr>
          <w:gridAfter w:val="1"/>
          <w:wAfter w:w="3"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9F1BFA">
            <w:pPr>
              <w:keepNext/>
              <w:spacing w:before="40" w:after="40"/>
              <w:rPr>
                <w:rFonts w:ascii="Arial Narrow" w:hAnsi="Arial Narrow" w:cs="Arial"/>
                <w:b/>
                <w:sz w:val="20"/>
                <w:szCs w:val="20"/>
              </w:rPr>
            </w:pPr>
            <w:r w:rsidRPr="00FB31CB">
              <w:rPr>
                <w:rFonts w:ascii="Arial Narrow" w:hAnsi="Arial Narrow" w:cs="Arial"/>
                <w:b/>
                <w:sz w:val="20"/>
                <w:szCs w:val="20"/>
              </w:rPr>
              <w:t>Category / Program:</w:t>
            </w:r>
          </w:p>
        </w:tc>
        <w:tc>
          <w:tcPr>
            <w:tcW w:w="3689"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9F1BFA">
            <w:pPr>
              <w:keepNext/>
              <w:spacing w:before="40" w:after="40"/>
              <w:rPr>
                <w:rFonts w:ascii="Arial Narrow" w:hAnsi="Arial Narrow" w:cs="Arial"/>
                <w:sz w:val="20"/>
                <w:szCs w:val="20"/>
              </w:rPr>
            </w:pPr>
            <w:r w:rsidRPr="00FB31CB">
              <w:rPr>
                <w:rFonts w:ascii="Arial Narrow" w:hAnsi="Arial Narrow" w:cs="Arial"/>
                <w:sz w:val="20"/>
                <w:szCs w:val="20"/>
              </w:rPr>
              <w:t xml:space="preserve">Section 100 – Highly Specialised Drugs Program </w:t>
            </w:r>
            <w:r w:rsidRPr="00FB31CB">
              <w:rPr>
                <w:rFonts w:ascii="Arial Narrow" w:hAnsi="Arial Narrow" w:cs="Arial"/>
                <w:i/>
                <w:sz w:val="20"/>
                <w:szCs w:val="20"/>
              </w:rPr>
              <w:t>(Community Access)</w:t>
            </w:r>
          </w:p>
        </w:tc>
      </w:tr>
      <w:tr w:rsidR="00EF0FC6" w:rsidRPr="00FB31CB" w:rsidTr="00191937">
        <w:trPr>
          <w:gridAfter w:val="1"/>
          <w:wAfter w:w="3"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9F1BFA">
            <w:pPr>
              <w:keepNext/>
              <w:spacing w:before="40" w:after="40"/>
              <w:rPr>
                <w:rFonts w:ascii="Arial Narrow" w:hAnsi="Arial Narrow" w:cs="Arial"/>
                <w:b/>
                <w:sz w:val="20"/>
                <w:szCs w:val="20"/>
              </w:rPr>
            </w:pPr>
            <w:r w:rsidRPr="00FB31CB">
              <w:rPr>
                <w:rFonts w:ascii="Arial Narrow" w:hAnsi="Arial Narrow" w:cs="Arial"/>
                <w:b/>
                <w:sz w:val="20"/>
                <w:szCs w:val="20"/>
              </w:rPr>
              <w:t>Prescriber type:</w:t>
            </w:r>
          </w:p>
        </w:tc>
        <w:tc>
          <w:tcPr>
            <w:tcW w:w="3689"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9F1BFA">
            <w:pPr>
              <w:keepNext/>
              <w:spacing w:before="40" w:after="40"/>
              <w:rPr>
                <w:rFonts w:ascii="Arial Narrow" w:hAnsi="Arial Narrow" w:cs="Arial"/>
                <w:sz w:val="20"/>
                <w:szCs w:val="20"/>
              </w:rPr>
            </w:pPr>
            <w:r w:rsidRPr="00FB31CB">
              <w:rPr>
                <w:rFonts w:ascii="Arial Narrow" w:hAnsi="Arial Narrow" w:cs="Arial"/>
                <w:sz w:val="20"/>
                <w:szCs w:val="20"/>
              </w:rPr>
              <w:fldChar w:fldCharType="begin">
                <w:ffData>
                  <w:name w:val="Check1"/>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Dental  </w:t>
            </w:r>
            <w:r w:rsidRPr="00FB31CB">
              <w:rPr>
                <w:rFonts w:ascii="Arial Narrow" w:hAnsi="Arial Narrow" w:cs="Arial"/>
                <w:sz w:val="20"/>
                <w:szCs w:val="20"/>
              </w:rPr>
              <w:fldChar w:fldCharType="begin">
                <w:ffData>
                  <w:name w:val=""/>
                  <w:enabled/>
                  <w:calcOnExit w:val="0"/>
                  <w:checkBox>
                    <w:sizeAuto/>
                    <w:default w:val="1"/>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Medical Practitioners  </w:t>
            </w:r>
            <w:r w:rsidRPr="00FB31CB">
              <w:rPr>
                <w:rFonts w:ascii="Arial Narrow" w:hAnsi="Arial Narrow" w:cs="Arial"/>
                <w:sz w:val="20"/>
                <w:szCs w:val="20"/>
              </w:rPr>
              <w:fldChar w:fldCharType="begin">
                <w:ffData>
                  <w:name w:val="Check3"/>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Nurse practitioners  </w:t>
            </w:r>
            <w:r w:rsidRPr="00FB31CB">
              <w:rPr>
                <w:rFonts w:ascii="Arial Narrow" w:hAnsi="Arial Narrow" w:cs="Arial"/>
                <w:sz w:val="20"/>
                <w:szCs w:val="20"/>
              </w:rPr>
              <w:fldChar w:fldCharType="begin">
                <w:ffData>
                  <w:name w:val=""/>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 xml:space="preserve">Optometrists </w:t>
            </w:r>
            <w:r w:rsidRPr="00FB31CB">
              <w:rPr>
                <w:rFonts w:ascii="Arial Narrow" w:hAnsi="Arial Narrow" w:cs="Arial"/>
                <w:sz w:val="20"/>
                <w:szCs w:val="20"/>
              </w:rPr>
              <w:fldChar w:fldCharType="begin">
                <w:ffData>
                  <w:name w:val="Check5"/>
                  <w:enabled/>
                  <w:calcOnExit w:val="0"/>
                  <w:checkBox>
                    <w:sizeAuto/>
                    <w:default w:val="0"/>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Midwives</w:t>
            </w:r>
          </w:p>
        </w:tc>
      </w:tr>
      <w:tr w:rsidR="00EF0FC6" w:rsidRPr="00FB31CB" w:rsidTr="00191937">
        <w:trPr>
          <w:gridAfter w:val="1"/>
          <w:wAfter w:w="3"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b/>
                <w:sz w:val="20"/>
                <w:szCs w:val="20"/>
              </w:rPr>
            </w:pPr>
            <w:r w:rsidRPr="00FB31CB">
              <w:rPr>
                <w:rFonts w:ascii="Arial Narrow" w:hAnsi="Arial Narrow" w:cs="Arial"/>
                <w:b/>
                <w:sz w:val="20"/>
                <w:szCs w:val="20"/>
              </w:rPr>
              <w:t>PBS indication:</w:t>
            </w:r>
          </w:p>
        </w:tc>
        <w:tc>
          <w:tcPr>
            <w:tcW w:w="3689"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t>Vasoactive intestinal peptide secreting tumour (VIPoma)</w:t>
            </w:r>
          </w:p>
        </w:tc>
      </w:tr>
      <w:tr w:rsidR="00EF0FC6" w:rsidRPr="00FB31CB" w:rsidTr="00191937">
        <w:trPr>
          <w:gridAfter w:val="1"/>
          <w:wAfter w:w="3"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191937">
            <w:pPr>
              <w:keepNext/>
              <w:spacing w:before="40" w:after="40"/>
              <w:rPr>
                <w:rFonts w:ascii="Arial Narrow" w:hAnsi="Arial Narrow" w:cs="Arial"/>
                <w:sz w:val="20"/>
                <w:szCs w:val="20"/>
              </w:rPr>
            </w:pPr>
            <w:r w:rsidRPr="00FB31CB">
              <w:rPr>
                <w:rFonts w:ascii="Arial Narrow" w:hAnsi="Arial Narrow" w:cs="Arial"/>
                <w:b/>
                <w:sz w:val="20"/>
                <w:szCs w:val="20"/>
              </w:rPr>
              <w:t>Restriction level / Method:</w:t>
            </w:r>
          </w:p>
        </w:tc>
        <w:tc>
          <w:tcPr>
            <w:tcW w:w="3689"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fldChar w:fldCharType="begin">
                <w:ffData>
                  <w:name w:val="Check5"/>
                  <w:enabled/>
                  <w:calcOnExit w:val="0"/>
                  <w:checkBox>
                    <w:sizeAuto/>
                    <w:default w:val="1"/>
                  </w:checkBox>
                </w:ffData>
              </w:fldChar>
            </w:r>
            <w:r w:rsidRPr="00FB31CB">
              <w:rPr>
                <w:rFonts w:ascii="Arial Narrow" w:hAnsi="Arial Narrow" w:cs="Arial"/>
                <w:sz w:val="20"/>
                <w:szCs w:val="20"/>
              </w:rPr>
              <w:instrText xml:space="preserve"> FORMCHECKBOX </w:instrText>
            </w:r>
            <w:r w:rsidR="00070EBC">
              <w:rPr>
                <w:rFonts w:ascii="Arial Narrow" w:hAnsi="Arial Narrow" w:cs="Arial"/>
                <w:sz w:val="20"/>
                <w:szCs w:val="20"/>
              </w:rPr>
            </w:r>
            <w:r w:rsidR="00070EBC">
              <w:rPr>
                <w:rFonts w:ascii="Arial Narrow" w:hAnsi="Arial Narrow" w:cs="Arial"/>
                <w:sz w:val="20"/>
                <w:szCs w:val="20"/>
              </w:rPr>
              <w:fldChar w:fldCharType="separate"/>
            </w:r>
            <w:r w:rsidRPr="00FB31CB">
              <w:rPr>
                <w:rFonts w:ascii="Arial Narrow" w:hAnsi="Arial Narrow" w:cs="Arial"/>
                <w:sz w:val="20"/>
                <w:szCs w:val="20"/>
              </w:rPr>
              <w:fldChar w:fldCharType="end"/>
            </w:r>
            <w:r w:rsidRPr="00FB31CB">
              <w:rPr>
                <w:rFonts w:ascii="Arial Narrow" w:hAnsi="Arial Narrow" w:cs="Arial"/>
                <w:sz w:val="20"/>
                <w:szCs w:val="20"/>
              </w:rPr>
              <w:t>Streamlined</w:t>
            </w:r>
          </w:p>
        </w:tc>
      </w:tr>
      <w:tr w:rsidR="00EF0FC6" w:rsidRPr="00FB31CB" w:rsidTr="00191937">
        <w:trPr>
          <w:gridAfter w:val="1"/>
          <w:wAfter w:w="3"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b/>
                <w:sz w:val="20"/>
                <w:szCs w:val="20"/>
              </w:rPr>
            </w:pPr>
            <w:r w:rsidRPr="00FB31CB">
              <w:rPr>
                <w:rFonts w:ascii="Arial Narrow" w:hAnsi="Arial Narrow" w:cs="Arial"/>
                <w:b/>
                <w:sz w:val="20"/>
                <w:szCs w:val="20"/>
              </w:rPr>
              <w:t>Clinical criteria:</w:t>
            </w:r>
          </w:p>
          <w:p w:rsidR="00EF0FC6" w:rsidRPr="00FB31CB" w:rsidRDefault="00EF0FC6" w:rsidP="00440900">
            <w:pPr>
              <w:keepNext/>
              <w:spacing w:before="40" w:after="40"/>
              <w:rPr>
                <w:rFonts w:ascii="Arial Narrow" w:hAnsi="Arial Narrow" w:cs="Arial"/>
                <w:i/>
                <w:sz w:val="20"/>
                <w:szCs w:val="20"/>
              </w:rPr>
            </w:pPr>
          </w:p>
          <w:p w:rsidR="00EF0FC6" w:rsidRPr="00FB31CB" w:rsidRDefault="00EF0FC6" w:rsidP="00440900">
            <w:pPr>
              <w:keepNext/>
              <w:spacing w:before="40" w:after="40"/>
              <w:rPr>
                <w:rFonts w:ascii="Arial Narrow" w:hAnsi="Arial Narrow" w:cs="Arial"/>
                <w:sz w:val="20"/>
                <w:szCs w:val="20"/>
              </w:rPr>
            </w:pPr>
          </w:p>
        </w:tc>
        <w:tc>
          <w:tcPr>
            <w:tcW w:w="3689"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i/>
                <w:sz w:val="20"/>
                <w:szCs w:val="20"/>
              </w:rPr>
            </w:pPr>
            <w:r w:rsidRPr="00FB31CB">
              <w:rPr>
                <w:rFonts w:ascii="Arial Narrow" w:hAnsi="Arial Narrow" w:cs="Arial"/>
                <w:i/>
                <w:sz w:val="20"/>
                <w:szCs w:val="20"/>
              </w:rPr>
              <w:t xml:space="preserve">Patient must have previously received PBS-subsidised treatment with this drug for this condition, </w:t>
            </w:r>
          </w:p>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t>AND</w:t>
            </w:r>
          </w:p>
          <w:p w:rsidR="00EF0FC6" w:rsidRPr="00FB31CB" w:rsidRDefault="00EF0FC6" w:rsidP="00440900">
            <w:pPr>
              <w:keepNext/>
              <w:spacing w:before="40" w:after="40"/>
              <w:rPr>
                <w:rFonts w:ascii="Arial Narrow" w:hAnsi="Arial Narrow" w:cs="Arial"/>
                <w:sz w:val="20"/>
                <w:szCs w:val="20"/>
              </w:rPr>
            </w:pPr>
            <w:r w:rsidRPr="00FB31CB">
              <w:rPr>
                <w:rFonts w:ascii="Arial Narrow" w:hAnsi="Arial Narrow" w:cs="Arial"/>
                <w:sz w:val="20"/>
                <w:szCs w:val="20"/>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p>
        </w:tc>
      </w:tr>
      <w:tr w:rsidR="00EF0FC6" w:rsidRPr="00FB31CB" w:rsidTr="00191937">
        <w:trPr>
          <w:gridAfter w:val="1"/>
          <w:wAfter w:w="3" w:type="pct"/>
          <w:cantSplit/>
          <w:trHeight w:val="360"/>
        </w:trPr>
        <w:tc>
          <w:tcPr>
            <w:tcW w:w="1308" w:type="pct"/>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b/>
                <w:sz w:val="20"/>
                <w:szCs w:val="20"/>
              </w:rPr>
            </w:pPr>
            <w:r w:rsidRPr="00FB31CB">
              <w:rPr>
                <w:rFonts w:ascii="Arial Narrow" w:hAnsi="Arial Narrow" w:cs="Arial"/>
                <w:b/>
                <w:sz w:val="20"/>
                <w:szCs w:val="20"/>
              </w:rPr>
              <w:t>Prescriber instructions:</w:t>
            </w:r>
          </w:p>
        </w:tc>
        <w:tc>
          <w:tcPr>
            <w:tcW w:w="3689" w:type="pct"/>
            <w:gridSpan w:val="7"/>
            <w:tcBorders>
              <w:top w:val="single" w:sz="4" w:space="0" w:color="auto"/>
              <w:left w:val="single" w:sz="4" w:space="0" w:color="auto"/>
              <w:bottom w:val="single" w:sz="4" w:space="0" w:color="auto"/>
              <w:right w:val="single" w:sz="4" w:space="0" w:color="auto"/>
            </w:tcBorders>
          </w:tcPr>
          <w:p w:rsidR="00EF0FC6" w:rsidRPr="00FB31CB" w:rsidRDefault="00EF0FC6" w:rsidP="00440900">
            <w:pPr>
              <w:keepNext/>
              <w:spacing w:before="40" w:after="40"/>
              <w:rPr>
                <w:rFonts w:ascii="Arial Narrow" w:hAnsi="Arial Narrow" w:cs="Arial"/>
                <w:i/>
                <w:sz w:val="20"/>
                <w:szCs w:val="20"/>
              </w:rPr>
            </w:pPr>
            <w:r w:rsidRPr="00FB31CB">
              <w:rPr>
                <w:rFonts w:ascii="Arial Narrow" w:hAnsi="Arial Narrow" w:cs="Arial"/>
                <w:sz w:val="20"/>
                <w:szCs w:val="20"/>
              </w:rPr>
              <w:t>Dosage and tolerance to the drug should be assessed regularly and the dosage should be titrated slowly downwards to determine the minimum effective dose.</w:t>
            </w:r>
          </w:p>
        </w:tc>
      </w:tr>
    </w:tbl>
    <w:p w:rsidR="00F35B71" w:rsidRPr="00FB31CB" w:rsidRDefault="00F35B71" w:rsidP="002079B3">
      <w:pPr>
        <w:widowControl w:val="0"/>
        <w:jc w:val="both"/>
        <w:rPr>
          <w:rFonts w:asciiTheme="minorHAnsi" w:hAnsiTheme="minorHAnsi" w:cs="Arial"/>
          <w:bCs/>
          <w:snapToGrid w:val="0"/>
        </w:rPr>
      </w:pPr>
      <w:bookmarkStart w:id="1" w:name="_GoBack"/>
      <w:bookmarkEnd w:id="1"/>
    </w:p>
    <w:p w:rsidR="00956A23" w:rsidRPr="00D36219" w:rsidRDefault="00956A23" w:rsidP="00070EBC">
      <w:pPr>
        <w:pStyle w:val="PBACHeading1"/>
        <w:numPr>
          <w:ilvl w:val="0"/>
          <w:numId w:val="5"/>
        </w:numPr>
        <w:spacing w:before="240" w:after="120"/>
        <w:rPr>
          <w:rFonts w:ascii="Calibri" w:hAnsi="Calibri"/>
          <w:sz w:val="32"/>
        </w:rPr>
      </w:pPr>
      <w:r w:rsidRPr="00D36219">
        <w:rPr>
          <w:rFonts w:ascii="Calibri" w:hAnsi="Calibri"/>
          <w:sz w:val="32"/>
        </w:rPr>
        <w:t>Context for Decision</w:t>
      </w:r>
    </w:p>
    <w:p w:rsidR="00956A23" w:rsidRPr="00070EBC" w:rsidRDefault="00956A23" w:rsidP="00070EBC">
      <w:pPr>
        <w:ind w:left="426"/>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56A23" w:rsidRPr="00D36219" w:rsidRDefault="00956A23" w:rsidP="00070EBC">
      <w:pPr>
        <w:pStyle w:val="PBACHeading1"/>
        <w:numPr>
          <w:ilvl w:val="0"/>
          <w:numId w:val="5"/>
        </w:numPr>
        <w:spacing w:before="240" w:after="120"/>
        <w:rPr>
          <w:rFonts w:ascii="Calibri" w:hAnsi="Calibri"/>
          <w:sz w:val="32"/>
        </w:rPr>
      </w:pPr>
      <w:r w:rsidRPr="00D36219">
        <w:rPr>
          <w:rFonts w:ascii="Calibri" w:hAnsi="Calibri"/>
          <w:sz w:val="32"/>
        </w:rPr>
        <w:t>Sponsor’s Comment</w:t>
      </w:r>
    </w:p>
    <w:p w:rsidR="00F64CC1" w:rsidRPr="00D36219" w:rsidRDefault="00312428" w:rsidP="00F64CC1">
      <w:pPr>
        <w:jc w:val="both"/>
        <w:rPr>
          <w:rFonts w:asciiTheme="minorHAnsi" w:hAnsiTheme="minorHAnsi"/>
        </w:rPr>
      </w:pPr>
      <w:r w:rsidRPr="00312428">
        <w:rPr>
          <w:rFonts w:asciiTheme="minorHAnsi" w:hAnsiTheme="minorHAnsi" w:cs="Arial"/>
          <w:bCs/>
          <w:lang w:val="en-GB"/>
        </w:rPr>
        <w:t>Novarti</w:t>
      </w:r>
      <w:r>
        <w:rPr>
          <w:rFonts w:asciiTheme="minorHAnsi" w:hAnsiTheme="minorHAnsi" w:cs="Arial"/>
          <w:bCs/>
          <w:lang w:val="en-GB"/>
        </w:rPr>
        <w:t>s is pleased with this outcome.</w:t>
      </w:r>
    </w:p>
    <w:sectPr w:rsidR="00F64CC1" w:rsidRPr="00D3621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4B3" w:rsidRDefault="006924B3">
      <w:r>
        <w:separator/>
      </w:r>
    </w:p>
    <w:p w:rsidR="006924B3" w:rsidRDefault="006924B3"/>
  </w:endnote>
  <w:endnote w:type="continuationSeparator" w:id="0">
    <w:p w:rsidR="006924B3" w:rsidRDefault="006924B3">
      <w:r>
        <w:continuationSeparator/>
      </w:r>
    </w:p>
    <w:p w:rsidR="006924B3" w:rsidRDefault="00692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6851" w:rsidTr="005A3173">
      <w:trPr>
        <w:trHeight w:val="151"/>
      </w:trPr>
      <w:tc>
        <w:tcPr>
          <w:tcW w:w="2250" w:type="pct"/>
          <w:tcBorders>
            <w:top w:val="nil"/>
            <w:left w:val="nil"/>
            <w:bottom w:val="single" w:sz="4" w:space="0" w:color="4F81BD"/>
            <w:right w:val="nil"/>
          </w:tcBorders>
        </w:tcPr>
        <w:p w:rsidR="00D86851" w:rsidRPr="005A3173" w:rsidRDefault="00D8685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6851" w:rsidRPr="005A3173" w:rsidRDefault="00D8685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6851" w:rsidRPr="005A3173" w:rsidRDefault="00D86851" w:rsidP="005A3173">
          <w:pPr>
            <w:pStyle w:val="Header"/>
            <w:spacing w:line="276" w:lineRule="auto"/>
            <w:rPr>
              <w:rFonts w:ascii="Calibri" w:eastAsia="MS Gothic" w:hAnsi="Calibri"/>
              <w:b/>
              <w:bCs/>
              <w:color w:val="4F81BD"/>
            </w:rPr>
          </w:pPr>
        </w:p>
      </w:tc>
    </w:tr>
    <w:tr w:rsidR="00D86851" w:rsidTr="005A3173">
      <w:trPr>
        <w:trHeight w:val="150"/>
      </w:trPr>
      <w:tc>
        <w:tcPr>
          <w:tcW w:w="2250" w:type="pct"/>
          <w:tcBorders>
            <w:top w:val="single" w:sz="4" w:space="0" w:color="4F81BD"/>
            <w:left w:val="nil"/>
            <w:bottom w:val="nil"/>
            <w:right w:val="nil"/>
          </w:tcBorders>
        </w:tcPr>
        <w:p w:rsidR="00D86851" w:rsidRPr="005A3173" w:rsidRDefault="00D86851" w:rsidP="005A3173">
          <w:pPr>
            <w:pStyle w:val="Header"/>
            <w:spacing w:line="276" w:lineRule="auto"/>
            <w:rPr>
              <w:rFonts w:ascii="Calibri" w:eastAsia="MS Gothic" w:hAnsi="Calibri"/>
              <w:b/>
              <w:bCs/>
              <w:color w:val="4F81BD"/>
            </w:rPr>
          </w:pPr>
        </w:p>
      </w:tc>
      <w:tc>
        <w:tcPr>
          <w:tcW w:w="0" w:type="auto"/>
          <w:vMerge/>
          <w:vAlign w:val="center"/>
          <w:hideMark/>
        </w:tcPr>
        <w:p w:rsidR="00D86851" w:rsidRPr="005A3173" w:rsidRDefault="00D8685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6851" w:rsidRPr="005A3173" w:rsidRDefault="00D86851" w:rsidP="005A3173">
          <w:pPr>
            <w:pStyle w:val="Header"/>
            <w:spacing w:line="276" w:lineRule="auto"/>
            <w:rPr>
              <w:rFonts w:ascii="Calibri" w:eastAsia="MS Gothic" w:hAnsi="Calibri"/>
              <w:b/>
              <w:bCs/>
              <w:color w:val="4F81BD"/>
            </w:rPr>
          </w:pPr>
        </w:p>
      </w:tc>
    </w:tr>
  </w:tbl>
  <w:p w:rsidR="00D86851" w:rsidRDefault="00D8685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6851" w:rsidRDefault="00D86851">
    <w:pPr>
      <w:pStyle w:val="Footer"/>
    </w:pPr>
  </w:p>
  <w:p w:rsidR="00D86851" w:rsidRDefault="00D868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19" w:rsidRDefault="00D36219" w:rsidP="00EF44A0">
    <w:pPr>
      <w:pStyle w:val="Footer"/>
      <w:jc w:val="center"/>
      <w:rPr>
        <w:rFonts w:ascii="Arial" w:hAnsi="Arial" w:cs="Arial"/>
        <w:b/>
        <w:sz w:val="20"/>
        <w:szCs w:val="20"/>
      </w:rPr>
    </w:pPr>
  </w:p>
  <w:p w:rsidR="00D86851" w:rsidRDefault="00D86851" w:rsidP="00EF44A0">
    <w:pPr>
      <w:pStyle w:val="Footer"/>
      <w:jc w:val="center"/>
      <w:rPr>
        <w:rFonts w:ascii="Arial" w:hAnsi="Arial" w:cs="Arial"/>
        <w:b/>
        <w:sz w:val="20"/>
        <w:szCs w:val="20"/>
      </w:rPr>
    </w:pPr>
    <w:r w:rsidRPr="00AD384B">
      <w:rPr>
        <w:rFonts w:ascii="Arial" w:hAnsi="Arial" w:cs="Arial"/>
        <w:b/>
        <w:sz w:val="20"/>
        <w:szCs w:val="20"/>
      </w:rPr>
      <w:fldChar w:fldCharType="begin"/>
    </w:r>
    <w:r w:rsidRPr="00AD384B">
      <w:rPr>
        <w:rFonts w:ascii="Arial" w:hAnsi="Arial" w:cs="Arial"/>
        <w:b/>
        <w:sz w:val="20"/>
        <w:szCs w:val="20"/>
      </w:rPr>
      <w:instrText xml:space="preserve"> PAGE   \* MERGEFORMAT </w:instrText>
    </w:r>
    <w:r w:rsidRPr="00AD384B">
      <w:rPr>
        <w:rFonts w:ascii="Arial" w:hAnsi="Arial" w:cs="Arial"/>
        <w:b/>
        <w:sz w:val="20"/>
        <w:szCs w:val="20"/>
      </w:rPr>
      <w:fldChar w:fldCharType="separate"/>
    </w:r>
    <w:r w:rsidR="00070EBC">
      <w:rPr>
        <w:rFonts w:ascii="Arial" w:hAnsi="Arial" w:cs="Arial"/>
        <w:b/>
        <w:noProof/>
        <w:sz w:val="20"/>
        <w:szCs w:val="20"/>
      </w:rPr>
      <w:t>6</w:t>
    </w:r>
    <w:r w:rsidRPr="00AD384B">
      <w:rPr>
        <w:rFonts w:ascii="Arial" w:hAnsi="Arial" w:cs="Arial"/>
        <w:b/>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86851" w:rsidTr="005A3173">
      <w:trPr>
        <w:trHeight w:val="151"/>
      </w:trPr>
      <w:tc>
        <w:tcPr>
          <w:tcW w:w="2250" w:type="pct"/>
          <w:tcBorders>
            <w:top w:val="nil"/>
            <w:left w:val="nil"/>
            <w:bottom w:val="single" w:sz="4" w:space="0" w:color="4F81BD"/>
            <w:right w:val="nil"/>
          </w:tcBorders>
        </w:tcPr>
        <w:p w:rsidR="00D86851" w:rsidRPr="005A3173" w:rsidRDefault="00D8685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6851" w:rsidRPr="005A3173" w:rsidRDefault="00D8685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6851" w:rsidRPr="005A3173" w:rsidRDefault="00D86851" w:rsidP="005A3173">
          <w:pPr>
            <w:pStyle w:val="Header"/>
            <w:spacing w:line="276" w:lineRule="auto"/>
            <w:rPr>
              <w:rFonts w:ascii="Calibri" w:eastAsia="MS Gothic" w:hAnsi="Calibri"/>
              <w:b/>
              <w:bCs/>
              <w:color w:val="4F81BD"/>
            </w:rPr>
          </w:pPr>
        </w:p>
      </w:tc>
    </w:tr>
    <w:tr w:rsidR="00D86851" w:rsidTr="005A3173">
      <w:trPr>
        <w:trHeight w:val="150"/>
      </w:trPr>
      <w:tc>
        <w:tcPr>
          <w:tcW w:w="2250" w:type="pct"/>
          <w:tcBorders>
            <w:top w:val="single" w:sz="4" w:space="0" w:color="4F81BD"/>
            <w:left w:val="nil"/>
            <w:bottom w:val="nil"/>
            <w:right w:val="nil"/>
          </w:tcBorders>
        </w:tcPr>
        <w:p w:rsidR="00D86851" w:rsidRPr="005A3173" w:rsidRDefault="00D86851" w:rsidP="005A3173">
          <w:pPr>
            <w:pStyle w:val="Header"/>
            <w:spacing w:line="276" w:lineRule="auto"/>
            <w:rPr>
              <w:rFonts w:ascii="Calibri" w:eastAsia="MS Gothic" w:hAnsi="Calibri"/>
              <w:b/>
              <w:bCs/>
              <w:color w:val="4F81BD"/>
            </w:rPr>
          </w:pPr>
        </w:p>
      </w:tc>
      <w:tc>
        <w:tcPr>
          <w:tcW w:w="0" w:type="auto"/>
          <w:vMerge/>
          <w:vAlign w:val="center"/>
          <w:hideMark/>
        </w:tcPr>
        <w:p w:rsidR="00D86851" w:rsidRPr="005A3173" w:rsidRDefault="00D8685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6851" w:rsidRPr="005A3173" w:rsidRDefault="00D8685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6851" w:rsidTr="005A3173">
      <w:trPr>
        <w:trHeight w:val="151"/>
      </w:trPr>
      <w:tc>
        <w:tcPr>
          <w:tcW w:w="2250" w:type="pct"/>
          <w:tcBorders>
            <w:top w:val="nil"/>
            <w:left w:val="nil"/>
            <w:bottom w:val="single" w:sz="4" w:space="0" w:color="4F81BD"/>
            <w:right w:val="nil"/>
          </w:tcBorders>
        </w:tcPr>
        <w:p w:rsidR="00D86851" w:rsidRPr="005A3173" w:rsidRDefault="00D8685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6851" w:rsidRPr="005A3173" w:rsidRDefault="00D8685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6851" w:rsidRPr="005A3173" w:rsidRDefault="00D86851" w:rsidP="005A3173">
          <w:pPr>
            <w:pStyle w:val="Header"/>
            <w:spacing w:line="276" w:lineRule="auto"/>
            <w:rPr>
              <w:rFonts w:ascii="Calibri" w:eastAsia="MS Gothic" w:hAnsi="Calibri"/>
              <w:b/>
              <w:bCs/>
              <w:color w:val="4F81BD"/>
            </w:rPr>
          </w:pPr>
        </w:p>
      </w:tc>
    </w:tr>
    <w:tr w:rsidR="00D86851" w:rsidTr="005A3173">
      <w:trPr>
        <w:trHeight w:val="150"/>
      </w:trPr>
      <w:tc>
        <w:tcPr>
          <w:tcW w:w="2250" w:type="pct"/>
          <w:tcBorders>
            <w:top w:val="single" w:sz="4" w:space="0" w:color="4F81BD"/>
            <w:left w:val="nil"/>
            <w:bottom w:val="nil"/>
            <w:right w:val="nil"/>
          </w:tcBorders>
        </w:tcPr>
        <w:p w:rsidR="00D86851" w:rsidRPr="005A3173" w:rsidRDefault="00D86851" w:rsidP="005A3173">
          <w:pPr>
            <w:pStyle w:val="Header"/>
            <w:spacing w:line="276" w:lineRule="auto"/>
            <w:rPr>
              <w:rFonts w:ascii="Calibri" w:eastAsia="MS Gothic" w:hAnsi="Calibri"/>
              <w:b/>
              <w:bCs/>
              <w:color w:val="4F81BD"/>
            </w:rPr>
          </w:pPr>
        </w:p>
      </w:tc>
      <w:tc>
        <w:tcPr>
          <w:tcW w:w="0" w:type="auto"/>
          <w:vMerge/>
          <w:vAlign w:val="center"/>
          <w:hideMark/>
        </w:tcPr>
        <w:p w:rsidR="00D86851" w:rsidRPr="005A3173" w:rsidRDefault="00D8685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6851" w:rsidRPr="005A3173" w:rsidRDefault="00D86851" w:rsidP="005A3173">
          <w:pPr>
            <w:pStyle w:val="Header"/>
            <w:spacing w:line="276" w:lineRule="auto"/>
            <w:rPr>
              <w:rFonts w:ascii="Calibri" w:eastAsia="MS Gothic" w:hAnsi="Calibri"/>
              <w:b/>
              <w:bCs/>
              <w:color w:val="4F81BD"/>
            </w:rPr>
          </w:pPr>
        </w:p>
      </w:tc>
    </w:tr>
  </w:tbl>
  <w:p w:rsidR="00D86851" w:rsidRPr="007C0F57" w:rsidRDefault="00D8685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86851" w:rsidRPr="007C0F57" w:rsidRDefault="00D86851" w:rsidP="007C0F57">
    <w:pPr>
      <w:pStyle w:val="Footer"/>
      <w:jc w:val="center"/>
      <w:rPr>
        <w:b/>
        <w:i/>
        <w:sz w:val="20"/>
        <w:szCs w:val="20"/>
      </w:rPr>
    </w:pPr>
    <w:r w:rsidRPr="007C0F57">
      <w:rPr>
        <w:b/>
        <w:i/>
        <w:sz w:val="20"/>
        <w:szCs w:val="20"/>
      </w:rPr>
      <w:t>Commercial-in-Confidence</w:t>
    </w:r>
  </w:p>
  <w:p w:rsidR="00D86851" w:rsidRDefault="00D868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4B3" w:rsidRDefault="006924B3">
      <w:r>
        <w:separator/>
      </w:r>
    </w:p>
    <w:p w:rsidR="006924B3" w:rsidRDefault="006924B3"/>
  </w:footnote>
  <w:footnote w:type="continuationSeparator" w:id="0">
    <w:p w:rsidR="006924B3" w:rsidRDefault="006924B3">
      <w:r>
        <w:continuationSeparator/>
      </w:r>
    </w:p>
    <w:p w:rsidR="006924B3" w:rsidRDefault="006924B3"/>
  </w:footnote>
  <w:footnote w:id="1">
    <w:p w:rsidR="00D86851" w:rsidRDefault="00D86851">
      <w:pPr>
        <w:pStyle w:val="FootnoteText"/>
      </w:pPr>
      <w:r>
        <w:rPr>
          <w:rStyle w:val="FootnoteReference"/>
        </w:rPr>
        <w:footnoteRef/>
      </w:r>
      <w:r>
        <w:t xml:space="preserve"> </w:t>
      </w:r>
      <w:r w:rsidRPr="00315FF3">
        <w:rPr>
          <w:rFonts w:asciiTheme="minorHAnsi" w:hAnsiTheme="minorHAnsi"/>
        </w:rPr>
        <w:t xml:space="preserve">Leyden J, </w:t>
      </w:r>
      <w:proofErr w:type="spellStart"/>
      <w:r w:rsidRPr="00315FF3">
        <w:rPr>
          <w:rFonts w:asciiTheme="minorHAnsi" w:hAnsiTheme="minorHAnsi"/>
        </w:rPr>
        <w:t>Pavlakis</w:t>
      </w:r>
      <w:proofErr w:type="spellEnd"/>
      <w:r w:rsidRPr="00315FF3">
        <w:rPr>
          <w:rFonts w:asciiTheme="minorHAnsi" w:hAnsiTheme="minorHAnsi"/>
        </w:rPr>
        <w:t xml:space="preserve"> N, Chan D et al. Patient-reported experience of the impact and burden of neuroendocrine </w:t>
      </w:r>
      <w:proofErr w:type="spellStart"/>
      <w:r w:rsidRPr="00315FF3">
        <w:rPr>
          <w:rFonts w:asciiTheme="minorHAnsi" w:hAnsiTheme="minorHAnsi"/>
        </w:rPr>
        <w:t>tumors</w:t>
      </w:r>
      <w:proofErr w:type="spellEnd"/>
      <w:r w:rsidRPr="00315FF3">
        <w:rPr>
          <w:rFonts w:asciiTheme="minorHAnsi" w:hAnsiTheme="minorHAnsi"/>
        </w:rPr>
        <w:t xml:space="preserve">: Oceania patient results from a large Global survey. Asia-Pac J </w:t>
      </w:r>
      <w:proofErr w:type="spellStart"/>
      <w:r w:rsidRPr="00315FF3">
        <w:rPr>
          <w:rFonts w:asciiTheme="minorHAnsi" w:hAnsiTheme="minorHAnsi"/>
        </w:rPr>
        <w:t>Clin</w:t>
      </w:r>
      <w:proofErr w:type="spellEnd"/>
      <w:r w:rsidRPr="00315FF3">
        <w:rPr>
          <w:rFonts w:asciiTheme="minorHAnsi" w:hAnsiTheme="minorHAnsi"/>
        </w:rPr>
        <w:t xml:space="preserve"> </w:t>
      </w:r>
      <w:proofErr w:type="spellStart"/>
      <w:r w:rsidRPr="00315FF3">
        <w:rPr>
          <w:rFonts w:asciiTheme="minorHAnsi" w:hAnsiTheme="minorHAnsi"/>
        </w:rPr>
        <w:t>Oncol</w:t>
      </w:r>
      <w:proofErr w:type="spellEnd"/>
      <w:r w:rsidRPr="00315FF3">
        <w:rPr>
          <w:rFonts w:asciiTheme="minorHAnsi" w:hAnsiTheme="minorHAnsi"/>
        </w:rPr>
        <w:t xml:space="preserve"> 2017;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86851" w:rsidRPr="008E0D90" w:rsidTr="00A06225">
      <w:trPr>
        <w:trHeight w:val="151"/>
      </w:trPr>
      <w:tc>
        <w:tcPr>
          <w:tcW w:w="2389" w:type="pct"/>
          <w:tcBorders>
            <w:top w:val="nil"/>
            <w:left w:val="nil"/>
            <w:bottom w:val="single" w:sz="4" w:space="0" w:color="4F81BD"/>
            <w:right w:val="nil"/>
          </w:tcBorders>
        </w:tcPr>
        <w:p w:rsidR="00D86851" w:rsidRPr="00A06225" w:rsidRDefault="00D86851">
          <w:pPr>
            <w:pStyle w:val="Header"/>
            <w:spacing w:line="276" w:lineRule="auto"/>
            <w:rPr>
              <w:rFonts w:ascii="Cambria" w:eastAsia="MS Gothic" w:hAnsi="Cambria"/>
              <w:b/>
              <w:bCs/>
              <w:color w:val="4F81BD"/>
            </w:rPr>
          </w:pPr>
        </w:p>
      </w:tc>
      <w:tc>
        <w:tcPr>
          <w:tcW w:w="333" w:type="pct"/>
          <w:vMerge w:val="restart"/>
          <w:noWrap/>
          <w:vAlign w:val="center"/>
          <w:hideMark/>
        </w:tcPr>
        <w:p w:rsidR="00D86851" w:rsidRPr="00A06225" w:rsidRDefault="00D8685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86851" w:rsidRPr="00A06225" w:rsidRDefault="00D86851">
          <w:pPr>
            <w:pStyle w:val="Header"/>
            <w:spacing w:line="276" w:lineRule="auto"/>
            <w:rPr>
              <w:rFonts w:ascii="Cambria" w:eastAsia="MS Gothic" w:hAnsi="Cambria"/>
              <w:b/>
              <w:bCs/>
              <w:color w:val="4F81BD"/>
            </w:rPr>
          </w:pPr>
        </w:p>
      </w:tc>
    </w:tr>
    <w:tr w:rsidR="00D86851" w:rsidRPr="008E0D90" w:rsidTr="00A06225">
      <w:trPr>
        <w:trHeight w:val="150"/>
      </w:trPr>
      <w:tc>
        <w:tcPr>
          <w:tcW w:w="2389" w:type="pct"/>
          <w:tcBorders>
            <w:top w:val="single" w:sz="4" w:space="0" w:color="4F81BD"/>
            <w:left w:val="nil"/>
            <w:bottom w:val="nil"/>
            <w:right w:val="nil"/>
          </w:tcBorders>
        </w:tcPr>
        <w:p w:rsidR="00D86851" w:rsidRPr="00A06225" w:rsidRDefault="00D86851">
          <w:pPr>
            <w:pStyle w:val="Header"/>
            <w:spacing w:line="276" w:lineRule="auto"/>
            <w:rPr>
              <w:rFonts w:ascii="Cambria" w:eastAsia="MS Gothic" w:hAnsi="Cambria"/>
              <w:b/>
              <w:bCs/>
              <w:color w:val="4F81BD"/>
            </w:rPr>
          </w:pPr>
        </w:p>
      </w:tc>
      <w:tc>
        <w:tcPr>
          <w:tcW w:w="0" w:type="auto"/>
          <w:vMerge/>
          <w:vAlign w:val="center"/>
          <w:hideMark/>
        </w:tcPr>
        <w:p w:rsidR="00D86851" w:rsidRPr="00A06225" w:rsidRDefault="00D86851">
          <w:pPr>
            <w:rPr>
              <w:rFonts w:ascii="Cambria" w:hAnsi="Cambria"/>
              <w:color w:val="4F81BD"/>
              <w:sz w:val="22"/>
              <w:szCs w:val="22"/>
            </w:rPr>
          </w:pPr>
        </w:p>
      </w:tc>
      <w:tc>
        <w:tcPr>
          <w:tcW w:w="2278" w:type="pct"/>
          <w:tcBorders>
            <w:top w:val="single" w:sz="4" w:space="0" w:color="4F81BD"/>
            <w:left w:val="nil"/>
            <w:bottom w:val="nil"/>
            <w:right w:val="nil"/>
          </w:tcBorders>
        </w:tcPr>
        <w:p w:rsidR="00D86851" w:rsidRPr="00A06225" w:rsidRDefault="00D86851">
          <w:pPr>
            <w:pStyle w:val="Header"/>
            <w:spacing w:line="276" w:lineRule="auto"/>
            <w:rPr>
              <w:rFonts w:ascii="Cambria" w:eastAsia="MS Gothic" w:hAnsi="Cambria"/>
              <w:b/>
              <w:bCs/>
              <w:color w:val="4F81BD"/>
            </w:rPr>
          </w:pPr>
        </w:p>
      </w:tc>
    </w:tr>
  </w:tbl>
  <w:p w:rsidR="00D86851" w:rsidRDefault="00D86851">
    <w:pPr>
      <w:pStyle w:val="Header"/>
    </w:pPr>
  </w:p>
  <w:p w:rsidR="00D86851" w:rsidRDefault="00D868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851" w:rsidRDefault="00956A23" w:rsidP="00D36219">
    <w:pPr>
      <w:pStyle w:val="NoSpacing"/>
      <w:jc w:val="center"/>
      <w:rPr>
        <w:rFonts w:asciiTheme="minorHAnsi" w:hAnsiTheme="minorHAnsi"/>
        <w:i/>
      </w:rPr>
    </w:pPr>
    <w:r>
      <w:rPr>
        <w:rFonts w:asciiTheme="minorHAnsi" w:hAnsiTheme="minorHAnsi"/>
        <w:i/>
      </w:rPr>
      <w:t>Public Summary Document</w:t>
    </w:r>
    <w:r w:rsidR="00D86851" w:rsidRPr="00E56DDB">
      <w:rPr>
        <w:rFonts w:asciiTheme="minorHAnsi" w:hAnsiTheme="minorHAnsi"/>
        <w:i/>
      </w:rPr>
      <w:t xml:space="preserve"> – July 2018 PBAC Meeting</w:t>
    </w:r>
  </w:p>
  <w:p w:rsidR="00D36219" w:rsidRPr="00D36219" w:rsidRDefault="00D36219" w:rsidP="00D36219">
    <w:pPr>
      <w:pStyle w:val="NoSpacing"/>
      <w:jc w:val="center"/>
      <w:rPr>
        <w:rFonts w:asciiTheme="minorHAnsi" w:hAnsiTheme="minorHAnsi"/>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5" w:rsidRDefault="00A44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84570C1"/>
    <w:multiLevelType w:val="hybridMultilevel"/>
    <w:tmpl w:val="B86C7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FD3B20"/>
    <w:multiLevelType w:val="hybridMultilevel"/>
    <w:tmpl w:val="EC7CE3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B686DC0"/>
    <w:multiLevelType w:val="hybridMultilevel"/>
    <w:tmpl w:val="5BD08D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8A1C10"/>
    <w:multiLevelType w:val="hybridMultilevel"/>
    <w:tmpl w:val="8708D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5AE1F3C"/>
    <w:multiLevelType w:val="hybridMultilevel"/>
    <w:tmpl w:val="1BC00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B570BF"/>
    <w:multiLevelType w:val="hybridMultilevel"/>
    <w:tmpl w:val="E2322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DF504F"/>
    <w:multiLevelType w:val="hybridMultilevel"/>
    <w:tmpl w:val="6C14AB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784D033C"/>
    <w:multiLevelType w:val="multilevel"/>
    <w:tmpl w:val="B562EE9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20"/>
  </w:num>
  <w:num w:numId="5">
    <w:abstractNumId w:val="24"/>
  </w:num>
  <w:num w:numId="6">
    <w:abstractNumId w:val="8"/>
  </w:num>
  <w:num w:numId="7">
    <w:abstractNumId w:val="18"/>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4"/>
  </w:num>
  <w:num w:numId="15">
    <w:abstractNumId w:val="17"/>
  </w:num>
  <w:num w:numId="16">
    <w:abstractNumId w:val="19"/>
  </w:num>
  <w:num w:numId="17">
    <w:abstractNumId w:val="16"/>
  </w:num>
  <w:num w:numId="18">
    <w:abstractNumId w:val="12"/>
  </w:num>
  <w:num w:numId="19">
    <w:abstractNumId w:val="11"/>
  </w:num>
  <w:num w:numId="20">
    <w:abstractNumId w:val="23"/>
  </w:num>
  <w:num w:numId="21">
    <w:abstractNumId w:val="5"/>
  </w:num>
  <w:num w:numId="22">
    <w:abstractNumId w:val="21"/>
  </w:num>
  <w:num w:numId="23">
    <w:abstractNumId w:val="22"/>
  </w:num>
  <w:num w:numId="24">
    <w:abstractNumId w:val="6"/>
  </w:num>
  <w:num w:numId="25">
    <w:abstractNumId w:val="2"/>
  </w:num>
  <w:num w:numId="26">
    <w:abstractNumId w:val="10"/>
  </w:num>
  <w:num w:numId="27">
    <w:abstractNumId w:val="24"/>
  </w:num>
  <w:num w:numId="2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3928"/>
    <w:rsid w:val="0002464A"/>
    <w:rsid w:val="00027163"/>
    <w:rsid w:val="0003106B"/>
    <w:rsid w:val="00031E29"/>
    <w:rsid w:val="000421A1"/>
    <w:rsid w:val="0004240E"/>
    <w:rsid w:val="00045E26"/>
    <w:rsid w:val="000514B5"/>
    <w:rsid w:val="00060E64"/>
    <w:rsid w:val="00061600"/>
    <w:rsid w:val="00063581"/>
    <w:rsid w:val="00064A5D"/>
    <w:rsid w:val="00065C81"/>
    <w:rsid w:val="00066755"/>
    <w:rsid w:val="00070EBC"/>
    <w:rsid w:val="00077143"/>
    <w:rsid w:val="00082169"/>
    <w:rsid w:val="000969AD"/>
    <w:rsid w:val="000B2AF2"/>
    <w:rsid w:val="000B558D"/>
    <w:rsid w:val="000C280E"/>
    <w:rsid w:val="000C6996"/>
    <w:rsid w:val="000D23BA"/>
    <w:rsid w:val="000E39A9"/>
    <w:rsid w:val="000E681E"/>
    <w:rsid w:val="000F0003"/>
    <w:rsid w:val="000F4E6A"/>
    <w:rsid w:val="00104227"/>
    <w:rsid w:val="001107BF"/>
    <w:rsid w:val="0012417C"/>
    <w:rsid w:val="00134E02"/>
    <w:rsid w:val="00136BB1"/>
    <w:rsid w:val="00142395"/>
    <w:rsid w:val="00142714"/>
    <w:rsid w:val="00144285"/>
    <w:rsid w:val="001452ED"/>
    <w:rsid w:val="00157522"/>
    <w:rsid w:val="00163329"/>
    <w:rsid w:val="00164623"/>
    <w:rsid w:val="00165B64"/>
    <w:rsid w:val="00180713"/>
    <w:rsid w:val="001830CE"/>
    <w:rsid w:val="0018643B"/>
    <w:rsid w:val="00191937"/>
    <w:rsid w:val="00196307"/>
    <w:rsid w:val="001A33EA"/>
    <w:rsid w:val="001B017F"/>
    <w:rsid w:val="001B2BBC"/>
    <w:rsid w:val="001B5129"/>
    <w:rsid w:val="001C1195"/>
    <w:rsid w:val="001E738B"/>
    <w:rsid w:val="001E7DBB"/>
    <w:rsid w:val="001F1850"/>
    <w:rsid w:val="001F5F61"/>
    <w:rsid w:val="001F65C2"/>
    <w:rsid w:val="00203FAC"/>
    <w:rsid w:val="002079B3"/>
    <w:rsid w:val="00213CFB"/>
    <w:rsid w:val="00217BE1"/>
    <w:rsid w:val="00224D23"/>
    <w:rsid w:val="0022639A"/>
    <w:rsid w:val="00237A46"/>
    <w:rsid w:val="00261AED"/>
    <w:rsid w:val="00271BA1"/>
    <w:rsid w:val="002762FA"/>
    <w:rsid w:val="00277505"/>
    <w:rsid w:val="0028270E"/>
    <w:rsid w:val="00291CED"/>
    <w:rsid w:val="002933B9"/>
    <w:rsid w:val="0029458F"/>
    <w:rsid w:val="002A104C"/>
    <w:rsid w:val="002A4960"/>
    <w:rsid w:val="002B1AE6"/>
    <w:rsid w:val="002B2DE8"/>
    <w:rsid w:val="002B30F8"/>
    <w:rsid w:val="002B5596"/>
    <w:rsid w:val="002C0199"/>
    <w:rsid w:val="002C1DDB"/>
    <w:rsid w:val="002C212F"/>
    <w:rsid w:val="002D4543"/>
    <w:rsid w:val="002E3153"/>
    <w:rsid w:val="002E72CA"/>
    <w:rsid w:val="002F600D"/>
    <w:rsid w:val="00300558"/>
    <w:rsid w:val="00300AD6"/>
    <w:rsid w:val="00312428"/>
    <w:rsid w:val="00315FF3"/>
    <w:rsid w:val="00317C6C"/>
    <w:rsid w:val="00326E79"/>
    <w:rsid w:val="0033518A"/>
    <w:rsid w:val="003367EF"/>
    <w:rsid w:val="00341AE4"/>
    <w:rsid w:val="003525FA"/>
    <w:rsid w:val="003600B9"/>
    <w:rsid w:val="003754BB"/>
    <w:rsid w:val="003872CF"/>
    <w:rsid w:val="0039782C"/>
    <w:rsid w:val="003A5B4A"/>
    <w:rsid w:val="003B2297"/>
    <w:rsid w:val="003B23C5"/>
    <w:rsid w:val="003B2A75"/>
    <w:rsid w:val="003B6124"/>
    <w:rsid w:val="003C2FB5"/>
    <w:rsid w:val="003D44FC"/>
    <w:rsid w:val="003D4AC4"/>
    <w:rsid w:val="003D63B7"/>
    <w:rsid w:val="003E468B"/>
    <w:rsid w:val="003E6695"/>
    <w:rsid w:val="003F3228"/>
    <w:rsid w:val="003F5C8C"/>
    <w:rsid w:val="004252EC"/>
    <w:rsid w:val="00440900"/>
    <w:rsid w:val="004465BD"/>
    <w:rsid w:val="004559CC"/>
    <w:rsid w:val="00466ADA"/>
    <w:rsid w:val="00476245"/>
    <w:rsid w:val="00483035"/>
    <w:rsid w:val="00485940"/>
    <w:rsid w:val="00486363"/>
    <w:rsid w:val="004A2484"/>
    <w:rsid w:val="004A4CC5"/>
    <w:rsid w:val="004A5A85"/>
    <w:rsid w:val="004A71D1"/>
    <w:rsid w:val="004B0133"/>
    <w:rsid w:val="004B5640"/>
    <w:rsid w:val="004C1BD7"/>
    <w:rsid w:val="004C31FE"/>
    <w:rsid w:val="004C691D"/>
    <w:rsid w:val="004C6C07"/>
    <w:rsid w:val="004C7472"/>
    <w:rsid w:val="004E5DA1"/>
    <w:rsid w:val="004E692D"/>
    <w:rsid w:val="00501554"/>
    <w:rsid w:val="00514CD7"/>
    <w:rsid w:val="00530F21"/>
    <w:rsid w:val="005319B2"/>
    <w:rsid w:val="00531E15"/>
    <w:rsid w:val="00532402"/>
    <w:rsid w:val="00532C74"/>
    <w:rsid w:val="00534E2E"/>
    <w:rsid w:val="00544552"/>
    <w:rsid w:val="00555C79"/>
    <w:rsid w:val="00573ABD"/>
    <w:rsid w:val="00577C4D"/>
    <w:rsid w:val="00581932"/>
    <w:rsid w:val="005963BB"/>
    <w:rsid w:val="005A3127"/>
    <w:rsid w:val="005A3173"/>
    <w:rsid w:val="005A3223"/>
    <w:rsid w:val="005A3DA3"/>
    <w:rsid w:val="005A49DE"/>
    <w:rsid w:val="005A52C4"/>
    <w:rsid w:val="005B4C48"/>
    <w:rsid w:val="005B6263"/>
    <w:rsid w:val="005C3FDA"/>
    <w:rsid w:val="005D03AB"/>
    <w:rsid w:val="005D5017"/>
    <w:rsid w:val="005E1333"/>
    <w:rsid w:val="00601A91"/>
    <w:rsid w:val="00602BA3"/>
    <w:rsid w:val="00612E34"/>
    <w:rsid w:val="00614159"/>
    <w:rsid w:val="00617C00"/>
    <w:rsid w:val="006263BF"/>
    <w:rsid w:val="0062748A"/>
    <w:rsid w:val="00630A2C"/>
    <w:rsid w:val="006359DE"/>
    <w:rsid w:val="0063682E"/>
    <w:rsid w:val="006436CD"/>
    <w:rsid w:val="00651169"/>
    <w:rsid w:val="00653695"/>
    <w:rsid w:val="00653D69"/>
    <w:rsid w:val="00666537"/>
    <w:rsid w:val="006670BE"/>
    <w:rsid w:val="00670A76"/>
    <w:rsid w:val="006711AA"/>
    <w:rsid w:val="00672B57"/>
    <w:rsid w:val="00675622"/>
    <w:rsid w:val="0067747D"/>
    <w:rsid w:val="006906DB"/>
    <w:rsid w:val="00691E6C"/>
    <w:rsid w:val="006924B3"/>
    <w:rsid w:val="00696129"/>
    <w:rsid w:val="00697CF2"/>
    <w:rsid w:val="006A12A5"/>
    <w:rsid w:val="006A33BD"/>
    <w:rsid w:val="006B0D94"/>
    <w:rsid w:val="006B485D"/>
    <w:rsid w:val="006B63D9"/>
    <w:rsid w:val="006C708E"/>
    <w:rsid w:val="006D14E7"/>
    <w:rsid w:val="006D5EA7"/>
    <w:rsid w:val="006D6493"/>
    <w:rsid w:val="006D6EC7"/>
    <w:rsid w:val="006E6A96"/>
    <w:rsid w:val="006F5125"/>
    <w:rsid w:val="007010C5"/>
    <w:rsid w:val="00702B6F"/>
    <w:rsid w:val="00707888"/>
    <w:rsid w:val="0071340B"/>
    <w:rsid w:val="007174BB"/>
    <w:rsid w:val="0072025D"/>
    <w:rsid w:val="00723552"/>
    <w:rsid w:val="007353D3"/>
    <w:rsid w:val="0076420C"/>
    <w:rsid w:val="007753C2"/>
    <w:rsid w:val="007838B8"/>
    <w:rsid w:val="007C0F57"/>
    <w:rsid w:val="007C40B6"/>
    <w:rsid w:val="007C729F"/>
    <w:rsid w:val="007E1D28"/>
    <w:rsid w:val="007F2641"/>
    <w:rsid w:val="007F7C36"/>
    <w:rsid w:val="00801635"/>
    <w:rsid w:val="00806796"/>
    <w:rsid w:val="008151D6"/>
    <w:rsid w:val="00820F72"/>
    <w:rsid w:val="00821F34"/>
    <w:rsid w:val="00826F6D"/>
    <w:rsid w:val="008306F3"/>
    <w:rsid w:val="0085116B"/>
    <w:rsid w:val="00856DDD"/>
    <w:rsid w:val="00863E68"/>
    <w:rsid w:val="00874A1B"/>
    <w:rsid w:val="00882085"/>
    <w:rsid w:val="00883188"/>
    <w:rsid w:val="00897D58"/>
    <w:rsid w:val="00897F22"/>
    <w:rsid w:val="008A1956"/>
    <w:rsid w:val="008A4937"/>
    <w:rsid w:val="008A50F1"/>
    <w:rsid w:val="008B321A"/>
    <w:rsid w:val="008C1501"/>
    <w:rsid w:val="008C1844"/>
    <w:rsid w:val="008D1B5C"/>
    <w:rsid w:val="008D3C82"/>
    <w:rsid w:val="008D447E"/>
    <w:rsid w:val="008D7A41"/>
    <w:rsid w:val="008E3680"/>
    <w:rsid w:val="008E5870"/>
    <w:rsid w:val="008F1434"/>
    <w:rsid w:val="008F1BBA"/>
    <w:rsid w:val="008F7355"/>
    <w:rsid w:val="009067B7"/>
    <w:rsid w:val="00930937"/>
    <w:rsid w:val="009335DF"/>
    <w:rsid w:val="00933E6C"/>
    <w:rsid w:val="00937958"/>
    <w:rsid w:val="00942160"/>
    <w:rsid w:val="0095146F"/>
    <w:rsid w:val="00956A23"/>
    <w:rsid w:val="009602C5"/>
    <w:rsid w:val="00962223"/>
    <w:rsid w:val="00966D0D"/>
    <w:rsid w:val="0097134F"/>
    <w:rsid w:val="00974C21"/>
    <w:rsid w:val="0098107B"/>
    <w:rsid w:val="009920B3"/>
    <w:rsid w:val="009B0F67"/>
    <w:rsid w:val="009C703C"/>
    <w:rsid w:val="009D3CAA"/>
    <w:rsid w:val="009E40E1"/>
    <w:rsid w:val="009F1BFA"/>
    <w:rsid w:val="009F4E46"/>
    <w:rsid w:val="009F5B65"/>
    <w:rsid w:val="009F5F2E"/>
    <w:rsid w:val="00A06225"/>
    <w:rsid w:val="00A128E6"/>
    <w:rsid w:val="00A34E6C"/>
    <w:rsid w:val="00A37C8D"/>
    <w:rsid w:val="00A440B5"/>
    <w:rsid w:val="00A5273B"/>
    <w:rsid w:val="00A53A9D"/>
    <w:rsid w:val="00A55FEE"/>
    <w:rsid w:val="00A62C1A"/>
    <w:rsid w:val="00A6426D"/>
    <w:rsid w:val="00A665C1"/>
    <w:rsid w:val="00A70622"/>
    <w:rsid w:val="00A70977"/>
    <w:rsid w:val="00A77613"/>
    <w:rsid w:val="00A8390C"/>
    <w:rsid w:val="00A928BD"/>
    <w:rsid w:val="00A96861"/>
    <w:rsid w:val="00A97E53"/>
    <w:rsid w:val="00AA1CFB"/>
    <w:rsid w:val="00AA31F9"/>
    <w:rsid w:val="00AA4D1C"/>
    <w:rsid w:val="00AA64F2"/>
    <w:rsid w:val="00AC193C"/>
    <w:rsid w:val="00AC5206"/>
    <w:rsid w:val="00AC7999"/>
    <w:rsid w:val="00AD384B"/>
    <w:rsid w:val="00AD7A06"/>
    <w:rsid w:val="00AE11A5"/>
    <w:rsid w:val="00AE13E2"/>
    <w:rsid w:val="00AE22D3"/>
    <w:rsid w:val="00AE37DA"/>
    <w:rsid w:val="00AF62DF"/>
    <w:rsid w:val="00AF68CC"/>
    <w:rsid w:val="00B1059E"/>
    <w:rsid w:val="00B176C8"/>
    <w:rsid w:val="00B205AA"/>
    <w:rsid w:val="00B22E84"/>
    <w:rsid w:val="00B25F75"/>
    <w:rsid w:val="00B26B3F"/>
    <w:rsid w:val="00B3609A"/>
    <w:rsid w:val="00B43E90"/>
    <w:rsid w:val="00B467DC"/>
    <w:rsid w:val="00B56118"/>
    <w:rsid w:val="00B61250"/>
    <w:rsid w:val="00B6773F"/>
    <w:rsid w:val="00B801BA"/>
    <w:rsid w:val="00B84D5C"/>
    <w:rsid w:val="00B96BD0"/>
    <w:rsid w:val="00BB69F5"/>
    <w:rsid w:val="00BB7EC3"/>
    <w:rsid w:val="00BC2BA7"/>
    <w:rsid w:val="00BC4B9A"/>
    <w:rsid w:val="00BD784C"/>
    <w:rsid w:val="00BF4CB6"/>
    <w:rsid w:val="00C00DA7"/>
    <w:rsid w:val="00C0541B"/>
    <w:rsid w:val="00C12768"/>
    <w:rsid w:val="00C27B58"/>
    <w:rsid w:val="00C35996"/>
    <w:rsid w:val="00C43583"/>
    <w:rsid w:val="00C4747E"/>
    <w:rsid w:val="00C5342C"/>
    <w:rsid w:val="00C54D24"/>
    <w:rsid w:val="00C603D4"/>
    <w:rsid w:val="00C6256A"/>
    <w:rsid w:val="00C65B5A"/>
    <w:rsid w:val="00C77891"/>
    <w:rsid w:val="00C9012A"/>
    <w:rsid w:val="00C91449"/>
    <w:rsid w:val="00C92D10"/>
    <w:rsid w:val="00C955ED"/>
    <w:rsid w:val="00CB1D47"/>
    <w:rsid w:val="00CB5D5E"/>
    <w:rsid w:val="00CE10C4"/>
    <w:rsid w:val="00CE27B5"/>
    <w:rsid w:val="00CF0061"/>
    <w:rsid w:val="00D0321E"/>
    <w:rsid w:val="00D1455A"/>
    <w:rsid w:val="00D234FD"/>
    <w:rsid w:val="00D25414"/>
    <w:rsid w:val="00D31150"/>
    <w:rsid w:val="00D3138B"/>
    <w:rsid w:val="00D3280C"/>
    <w:rsid w:val="00D3406A"/>
    <w:rsid w:val="00D35722"/>
    <w:rsid w:val="00D36219"/>
    <w:rsid w:val="00D4572C"/>
    <w:rsid w:val="00D469B2"/>
    <w:rsid w:val="00D520FA"/>
    <w:rsid w:val="00D741EB"/>
    <w:rsid w:val="00D74A80"/>
    <w:rsid w:val="00D83605"/>
    <w:rsid w:val="00D84934"/>
    <w:rsid w:val="00D86851"/>
    <w:rsid w:val="00D870BD"/>
    <w:rsid w:val="00D91271"/>
    <w:rsid w:val="00D919F5"/>
    <w:rsid w:val="00D94F03"/>
    <w:rsid w:val="00DA2CB5"/>
    <w:rsid w:val="00DA3806"/>
    <w:rsid w:val="00DA4BAC"/>
    <w:rsid w:val="00DC3310"/>
    <w:rsid w:val="00DC6E1C"/>
    <w:rsid w:val="00DE5673"/>
    <w:rsid w:val="00DE6D27"/>
    <w:rsid w:val="00DE6EA3"/>
    <w:rsid w:val="00DF217D"/>
    <w:rsid w:val="00DF26A7"/>
    <w:rsid w:val="00DF6BBA"/>
    <w:rsid w:val="00E02AC5"/>
    <w:rsid w:val="00E059F1"/>
    <w:rsid w:val="00E15627"/>
    <w:rsid w:val="00E164B3"/>
    <w:rsid w:val="00E16910"/>
    <w:rsid w:val="00E24E09"/>
    <w:rsid w:val="00E42BDB"/>
    <w:rsid w:val="00E443FE"/>
    <w:rsid w:val="00E56DDB"/>
    <w:rsid w:val="00E57EEB"/>
    <w:rsid w:val="00E62990"/>
    <w:rsid w:val="00E62D94"/>
    <w:rsid w:val="00E65E54"/>
    <w:rsid w:val="00E80155"/>
    <w:rsid w:val="00E81F28"/>
    <w:rsid w:val="00E848C0"/>
    <w:rsid w:val="00E91B96"/>
    <w:rsid w:val="00E941A1"/>
    <w:rsid w:val="00E95CE3"/>
    <w:rsid w:val="00EA2825"/>
    <w:rsid w:val="00EA5DDD"/>
    <w:rsid w:val="00EA7061"/>
    <w:rsid w:val="00EB0B63"/>
    <w:rsid w:val="00EB1936"/>
    <w:rsid w:val="00EB5088"/>
    <w:rsid w:val="00ED1644"/>
    <w:rsid w:val="00ED2593"/>
    <w:rsid w:val="00ED7D9C"/>
    <w:rsid w:val="00EE0C59"/>
    <w:rsid w:val="00EF0FC6"/>
    <w:rsid w:val="00EF44A0"/>
    <w:rsid w:val="00EF4FED"/>
    <w:rsid w:val="00EF5DE9"/>
    <w:rsid w:val="00F050BD"/>
    <w:rsid w:val="00F05657"/>
    <w:rsid w:val="00F25578"/>
    <w:rsid w:val="00F258E5"/>
    <w:rsid w:val="00F300BC"/>
    <w:rsid w:val="00F3334E"/>
    <w:rsid w:val="00F35B71"/>
    <w:rsid w:val="00F36CCB"/>
    <w:rsid w:val="00F374E5"/>
    <w:rsid w:val="00F43AF2"/>
    <w:rsid w:val="00F4653C"/>
    <w:rsid w:val="00F50EC4"/>
    <w:rsid w:val="00F550CF"/>
    <w:rsid w:val="00F57A6D"/>
    <w:rsid w:val="00F638CC"/>
    <w:rsid w:val="00F64CC1"/>
    <w:rsid w:val="00F72317"/>
    <w:rsid w:val="00F80475"/>
    <w:rsid w:val="00F8247A"/>
    <w:rsid w:val="00F94A8E"/>
    <w:rsid w:val="00F9629A"/>
    <w:rsid w:val="00F97EFC"/>
    <w:rsid w:val="00FA5883"/>
    <w:rsid w:val="00FA6055"/>
    <w:rsid w:val="00FB31CB"/>
    <w:rsid w:val="00FB322F"/>
    <w:rsid w:val="00FB442F"/>
    <w:rsid w:val="00FC1929"/>
    <w:rsid w:val="00FC5B46"/>
    <w:rsid w:val="00FD0947"/>
    <w:rsid w:val="00FD6D8E"/>
    <w:rsid w:val="00FE0E94"/>
    <w:rsid w:val="00FF00BD"/>
    <w:rsid w:val="00FF0126"/>
    <w:rsid w:val="00FF099C"/>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54D24"/>
    <w:rPr>
      <w:sz w:val="24"/>
      <w:szCs w:val="24"/>
    </w:rPr>
  </w:style>
  <w:style w:type="paragraph" w:styleId="Heading1">
    <w:name w:val="heading 1"/>
    <w:basedOn w:val="ListParagraph"/>
    <w:next w:val="Normal"/>
    <w:link w:val="Heading1Char"/>
    <w:uiPriority w:val="1"/>
    <w:qFormat/>
    <w:rsid w:val="00E56DDB"/>
    <w:pPr>
      <w:keepNext/>
      <w:keepLines/>
      <w:widowControl/>
      <w:spacing w:before="240" w:after="120"/>
      <w:ind w:left="0"/>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E56DDB"/>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E56DDB"/>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E56DDB"/>
    <w:rPr>
      <w:rFonts w:asciiTheme="minorHAnsi" w:hAnsiTheme="minorHAnsi" w:cs="Arial"/>
      <w:b/>
      <w:bCs/>
      <w:i/>
      <w:snapToGrid w:val="0"/>
      <w:sz w:val="28"/>
      <w:szCs w:val="28"/>
    </w:rPr>
  </w:style>
  <w:style w:type="character" w:styleId="FollowedHyperlink">
    <w:name w:val="FollowedHyperlink"/>
    <w:basedOn w:val="DefaultParagraphFont"/>
    <w:rsid w:val="005A49DE"/>
    <w:rPr>
      <w:color w:val="800080" w:themeColor="followedHyperlink"/>
      <w:u w:val="single"/>
    </w:rPr>
  </w:style>
  <w:style w:type="paragraph" w:styleId="FootnoteText">
    <w:name w:val="footnote text"/>
    <w:basedOn w:val="Normal"/>
    <w:link w:val="FootnoteTextChar"/>
    <w:rsid w:val="00315FF3"/>
    <w:rPr>
      <w:sz w:val="20"/>
      <w:szCs w:val="20"/>
    </w:rPr>
  </w:style>
  <w:style w:type="character" w:customStyle="1" w:styleId="FootnoteTextChar">
    <w:name w:val="Footnote Text Char"/>
    <w:basedOn w:val="DefaultParagraphFont"/>
    <w:link w:val="FootnoteText"/>
    <w:rsid w:val="00315FF3"/>
  </w:style>
  <w:style w:type="character" w:styleId="FootnoteReference">
    <w:name w:val="footnote reference"/>
    <w:basedOn w:val="DefaultParagraphFont"/>
    <w:rsid w:val="00315F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54D24"/>
    <w:rPr>
      <w:sz w:val="24"/>
      <w:szCs w:val="24"/>
    </w:rPr>
  </w:style>
  <w:style w:type="paragraph" w:styleId="Heading1">
    <w:name w:val="heading 1"/>
    <w:basedOn w:val="ListParagraph"/>
    <w:next w:val="Normal"/>
    <w:link w:val="Heading1Char"/>
    <w:uiPriority w:val="1"/>
    <w:qFormat/>
    <w:rsid w:val="00E56DDB"/>
    <w:pPr>
      <w:keepNext/>
      <w:keepLines/>
      <w:widowControl/>
      <w:spacing w:before="240" w:after="120"/>
      <w:ind w:left="0"/>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E56DDB"/>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E56DDB"/>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E56DDB"/>
    <w:rPr>
      <w:rFonts w:asciiTheme="minorHAnsi" w:hAnsiTheme="minorHAnsi" w:cs="Arial"/>
      <w:b/>
      <w:bCs/>
      <w:i/>
      <w:snapToGrid w:val="0"/>
      <w:sz w:val="28"/>
      <w:szCs w:val="28"/>
    </w:rPr>
  </w:style>
  <w:style w:type="character" w:styleId="FollowedHyperlink">
    <w:name w:val="FollowedHyperlink"/>
    <w:basedOn w:val="DefaultParagraphFont"/>
    <w:rsid w:val="005A49DE"/>
    <w:rPr>
      <w:color w:val="800080" w:themeColor="followedHyperlink"/>
      <w:u w:val="single"/>
    </w:rPr>
  </w:style>
  <w:style w:type="paragraph" w:styleId="FootnoteText">
    <w:name w:val="footnote text"/>
    <w:basedOn w:val="Normal"/>
    <w:link w:val="FootnoteTextChar"/>
    <w:rsid w:val="00315FF3"/>
    <w:rPr>
      <w:sz w:val="20"/>
      <w:szCs w:val="20"/>
    </w:rPr>
  </w:style>
  <w:style w:type="character" w:customStyle="1" w:styleId="FootnoteTextChar">
    <w:name w:val="Footnote Text Char"/>
    <w:basedOn w:val="DefaultParagraphFont"/>
    <w:link w:val="FootnoteText"/>
    <w:rsid w:val="00315FF3"/>
  </w:style>
  <w:style w:type="character" w:styleId="FootnoteReference">
    <w:name w:val="footnote reference"/>
    <w:basedOn w:val="DefaultParagraphFont"/>
    <w:rsid w:val="00315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0B4F-82A7-4923-8111-F22CBEBE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2018-10-09T01:12:00Z</dcterms:created>
  <dcterms:modified xsi:type="dcterms:W3CDTF">2018-10-18T05:54:00Z</dcterms:modified>
</cp:coreProperties>
</file>