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4D6" w:rsidRPr="00C3371F" w:rsidRDefault="009426CB" w:rsidP="009F1345">
      <w:pPr>
        <w:ind w:left="709" w:hanging="709"/>
        <w:jc w:val="left"/>
        <w:rPr>
          <w:b/>
          <w:sz w:val="36"/>
          <w:szCs w:val="36"/>
        </w:rPr>
      </w:pPr>
      <w:r w:rsidRPr="00C3371F">
        <w:rPr>
          <w:b/>
          <w:sz w:val="36"/>
          <w:szCs w:val="36"/>
        </w:rPr>
        <w:t>6.07</w:t>
      </w:r>
      <w:r w:rsidR="00B60939" w:rsidRPr="00C3371F">
        <w:rPr>
          <w:b/>
          <w:sz w:val="36"/>
          <w:szCs w:val="36"/>
        </w:rPr>
        <w:tab/>
      </w:r>
      <w:r w:rsidR="00B62ABC" w:rsidRPr="00C3371F">
        <w:rPr>
          <w:b/>
          <w:sz w:val="36"/>
          <w:szCs w:val="36"/>
        </w:rPr>
        <w:t>NIVOLUMAB</w:t>
      </w:r>
      <w:r w:rsidR="00B62ABC" w:rsidRPr="00C3371F">
        <w:rPr>
          <w:b/>
          <w:sz w:val="36"/>
          <w:szCs w:val="36"/>
        </w:rPr>
        <w:br/>
        <w:t>40 mg/4 mL</w:t>
      </w:r>
      <w:r w:rsidR="0000183C">
        <w:rPr>
          <w:b/>
          <w:sz w:val="36"/>
          <w:szCs w:val="36"/>
        </w:rPr>
        <w:t xml:space="preserve"> injection, 4 mL vial;</w:t>
      </w:r>
      <w:r w:rsidR="00B62ABC" w:rsidRPr="00C3371F">
        <w:rPr>
          <w:b/>
          <w:sz w:val="36"/>
          <w:szCs w:val="36"/>
        </w:rPr>
        <w:t xml:space="preserve"> </w:t>
      </w:r>
      <w:r w:rsidR="0000183C">
        <w:rPr>
          <w:b/>
          <w:sz w:val="36"/>
          <w:szCs w:val="36"/>
        </w:rPr>
        <w:br/>
      </w:r>
      <w:r w:rsidR="00B62ABC" w:rsidRPr="00C3371F">
        <w:rPr>
          <w:b/>
          <w:sz w:val="36"/>
          <w:szCs w:val="36"/>
        </w:rPr>
        <w:t>100 mg/10 mL</w:t>
      </w:r>
      <w:r w:rsidR="0000183C">
        <w:rPr>
          <w:b/>
          <w:sz w:val="36"/>
          <w:szCs w:val="36"/>
        </w:rPr>
        <w:t xml:space="preserve"> injection</w:t>
      </w:r>
      <w:r w:rsidR="00B62ABC" w:rsidRPr="00C3371F">
        <w:rPr>
          <w:b/>
          <w:sz w:val="36"/>
          <w:szCs w:val="36"/>
        </w:rPr>
        <w:t>,</w:t>
      </w:r>
      <w:r w:rsidR="0000183C">
        <w:rPr>
          <w:b/>
          <w:sz w:val="36"/>
          <w:szCs w:val="36"/>
        </w:rPr>
        <w:t xml:space="preserve"> 10 mL vial</w:t>
      </w:r>
      <w:r w:rsidR="00503C5A">
        <w:rPr>
          <w:b/>
          <w:sz w:val="36"/>
          <w:szCs w:val="36"/>
        </w:rPr>
        <w:t>,</w:t>
      </w:r>
      <w:r w:rsidR="00B62ABC" w:rsidRPr="00C3371F">
        <w:rPr>
          <w:b/>
          <w:sz w:val="36"/>
          <w:szCs w:val="36"/>
        </w:rPr>
        <w:br/>
      </w:r>
      <w:proofErr w:type="spellStart"/>
      <w:r w:rsidR="00B62ABC" w:rsidRPr="00C3371F">
        <w:rPr>
          <w:b/>
          <w:sz w:val="36"/>
          <w:szCs w:val="36"/>
        </w:rPr>
        <w:t>O</w:t>
      </w:r>
      <w:r w:rsidR="0000183C">
        <w:rPr>
          <w:b/>
          <w:sz w:val="36"/>
          <w:szCs w:val="36"/>
        </w:rPr>
        <w:t>pdivo</w:t>
      </w:r>
      <w:proofErr w:type="spellEnd"/>
      <w:r w:rsidR="00B62ABC" w:rsidRPr="00C3371F">
        <w:rPr>
          <w:b/>
          <w:sz w:val="36"/>
          <w:szCs w:val="36"/>
        </w:rPr>
        <w:t xml:space="preserve">®, Bristol-Myers Squibb </w:t>
      </w:r>
    </w:p>
    <w:p w:rsidR="00224029" w:rsidRPr="00C3371F" w:rsidRDefault="00224029" w:rsidP="00224029">
      <w:pPr>
        <w:pStyle w:val="PBACHeading1"/>
        <w:spacing w:before="240" w:after="120"/>
        <w:outlineLvl w:val="0"/>
      </w:pPr>
      <w:bookmarkStart w:id="0" w:name="_Toc511661671"/>
      <w:r w:rsidRPr="00C3371F">
        <w:t>Purpose of Application</w:t>
      </w:r>
      <w:bookmarkEnd w:id="0"/>
    </w:p>
    <w:p w:rsidR="00224029" w:rsidRPr="005C7AC1" w:rsidRDefault="00224029" w:rsidP="000B6DBA">
      <w:pPr>
        <w:pStyle w:val="ListParagraph"/>
        <w:widowControl/>
        <w:numPr>
          <w:ilvl w:val="1"/>
          <w:numId w:val="1"/>
        </w:numPr>
      </w:pPr>
      <w:r w:rsidRPr="005C7AC1">
        <w:t>The submission requested a Section 100 (</w:t>
      </w:r>
      <w:r w:rsidR="001E7732" w:rsidRPr="005C7AC1">
        <w:t>H</w:t>
      </w:r>
      <w:r w:rsidRPr="005C7AC1">
        <w:t>ighly Specialised Drug</w:t>
      </w:r>
      <w:r w:rsidR="00077A5D">
        <w:t>s</w:t>
      </w:r>
      <w:r w:rsidRPr="005C7AC1">
        <w:t xml:space="preserve"> Program), Authority Required (Streamlined) listing for nivolumab as an adjuvant treatment for completely resected Stage III or Stage IV melanoma. Nivolumab has not been considered by the PBAC for this indication </w:t>
      </w:r>
      <w:r w:rsidR="0022418A" w:rsidRPr="005C7AC1">
        <w:t>previously</w:t>
      </w:r>
      <w:r w:rsidRPr="005C7AC1">
        <w:t xml:space="preserve">. </w:t>
      </w:r>
    </w:p>
    <w:p w:rsidR="00070AA6" w:rsidRPr="00C3371F" w:rsidRDefault="00070AA6" w:rsidP="000B6DBA">
      <w:pPr>
        <w:pStyle w:val="ListParagraph"/>
        <w:widowControl/>
        <w:numPr>
          <w:ilvl w:val="1"/>
          <w:numId w:val="1"/>
        </w:numPr>
        <w:spacing w:after="120"/>
      </w:pPr>
      <w:r w:rsidRPr="00C3371F">
        <w:t>The requested listing was based on cost-utility analysis of nivolumab compared with observation or interferon alfa 2B (IFNα 2B). The key components of the clinical issues addressed by the submission are summarised below.</w:t>
      </w:r>
    </w:p>
    <w:p w:rsidR="00224029" w:rsidRPr="00C3371F" w:rsidRDefault="00224029" w:rsidP="00195BA4">
      <w:pPr>
        <w:pStyle w:val="Caption"/>
        <w:keepNext/>
        <w:rPr>
          <w:rStyle w:val="CommentReference"/>
          <w:b/>
        </w:rPr>
      </w:pPr>
      <w:r w:rsidRPr="00C3371F">
        <w:rPr>
          <w:rStyle w:val="CommentReference"/>
          <w:b/>
        </w:rPr>
        <w:t xml:space="preserve">Table </w:t>
      </w:r>
      <w:r w:rsidR="00C47B15">
        <w:rPr>
          <w:rStyle w:val="CommentReference"/>
          <w:b/>
          <w:noProof/>
        </w:rPr>
        <w:t>1</w:t>
      </w:r>
      <w:r w:rsidRPr="00C3371F">
        <w:rPr>
          <w:rStyle w:val="CommentReference"/>
          <w:b/>
        </w:rPr>
        <w:t>: Key components of the clinical issue addressed by the submission</w:t>
      </w:r>
    </w:p>
    <w:tbl>
      <w:tblPr>
        <w:tblW w:w="9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488"/>
      </w:tblGrid>
      <w:tr w:rsidR="00224029" w:rsidRPr="00C3371F" w:rsidTr="00195BA4">
        <w:tc>
          <w:tcPr>
            <w:tcW w:w="1560" w:type="dxa"/>
            <w:vAlign w:val="center"/>
          </w:tcPr>
          <w:p w:rsidR="00224029" w:rsidRPr="00C3371F" w:rsidRDefault="00224029" w:rsidP="00195BA4">
            <w:pPr>
              <w:pStyle w:val="Tabletext"/>
              <w:keepNext/>
              <w:rPr>
                <w:b/>
              </w:rPr>
            </w:pPr>
            <w:r w:rsidRPr="00C3371F">
              <w:rPr>
                <w:b/>
              </w:rPr>
              <w:t>Component</w:t>
            </w:r>
          </w:p>
        </w:tc>
        <w:tc>
          <w:tcPr>
            <w:tcW w:w="7488" w:type="dxa"/>
            <w:vAlign w:val="center"/>
          </w:tcPr>
          <w:p w:rsidR="00224029" w:rsidRPr="00C3371F" w:rsidRDefault="00224029" w:rsidP="00195BA4">
            <w:pPr>
              <w:pStyle w:val="Tabletext"/>
              <w:keepNext/>
              <w:jc w:val="center"/>
              <w:rPr>
                <w:b/>
              </w:rPr>
            </w:pPr>
            <w:r w:rsidRPr="00C3371F">
              <w:rPr>
                <w:b/>
              </w:rPr>
              <w:t>Description</w:t>
            </w:r>
          </w:p>
        </w:tc>
      </w:tr>
      <w:tr w:rsidR="00224029" w:rsidRPr="00C3371F" w:rsidTr="00195BA4">
        <w:tc>
          <w:tcPr>
            <w:tcW w:w="1560" w:type="dxa"/>
            <w:vAlign w:val="center"/>
          </w:tcPr>
          <w:p w:rsidR="00224029" w:rsidRPr="00C3371F" w:rsidRDefault="00224029" w:rsidP="00195BA4">
            <w:pPr>
              <w:pStyle w:val="Tabletext"/>
              <w:keepNext/>
            </w:pPr>
            <w:r w:rsidRPr="00C3371F">
              <w:t>Population</w:t>
            </w:r>
          </w:p>
        </w:tc>
        <w:tc>
          <w:tcPr>
            <w:tcW w:w="7488" w:type="dxa"/>
            <w:vAlign w:val="center"/>
          </w:tcPr>
          <w:p w:rsidR="00224029" w:rsidRPr="00C3371F" w:rsidRDefault="00224029" w:rsidP="00195BA4">
            <w:pPr>
              <w:pStyle w:val="Tabletext"/>
              <w:keepNext/>
            </w:pPr>
            <w:r w:rsidRPr="00C3371F">
              <w:t xml:space="preserve">Patients with completely resected Stage III and IV melanoma. </w:t>
            </w:r>
          </w:p>
        </w:tc>
      </w:tr>
      <w:tr w:rsidR="00224029" w:rsidRPr="00C3371F" w:rsidTr="00195BA4">
        <w:tc>
          <w:tcPr>
            <w:tcW w:w="1560" w:type="dxa"/>
            <w:vAlign w:val="center"/>
          </w:tcPr>
          <w:p w:rsidR="00224029" w:rsidRPr="00C3371F" w:rsidRDefault="00224029" w:rsidP="00195BA4">
            <w:pPr>
              <w:pStyle w:val="Tabletext"/>
              <w:keepNext/>
            </w:pPr>
            <w:r w:rsidRPr="00C3371F">
              <w:t>Intervention</w:t>
            </w:r>
          </w:p>
        </w:tc>
        <w:tc>
          <w:tcPr>
            <w:tcW w:w="7488" w:type="dxa"/>
            <w:vAlign w:val="center"/>
          </w:tcPr>
          <w:p w:rsidR="00224029" w:rsidRPr="00C3371F" w:rsidRDefault="00224029" w:rsidP="00195BA4">
            <w:pPr>
              <w:pStyle w:val="Tabletext"/>
              <w:keepNext/>
            </w:pPr>
            <w:r w:rsidRPr="00C3371F">
              <w:t xml:space="preserve">Nivolumab 3 mg/kg administered as an </w:t>
            </w:r>
            <w:r w:rsidR="009D6E8D">
              <w:t>intravenous</w:t>
            </w:r>
            <w:r w:rsidRPr="00C3371F">
              <w:t xml:space="preserve"> infusion over 60 minutes every 2 weeks for up to a maximum of 12 months.</w:t>
            </w:r>
          </w:p>
        </w:tc>
      </w:tr>
      <w:tr w:rsidR="00224029" w:rsidRPr="00C3371F" w:rsidTr="00195BA4">
        <w:tc>
          <w:tcPr>
            <w:tcW w:w="1560" w:type="dxa"/>
            <w:vAlign w:val="center"/>
          </w:tcPr>
          <w:p w:rsidR="00224029" w:rsidRPr="00C3371F" w:rsidRDefault="00224029" w:rsidP="00195BA4">
            <w:pPr>
              <w:pStyle w:val="Tabletext"/>
              <w:keepNext/>
            </w:pPr>
            <w:r w:rsidRPr="00C3371F">
              <w:t>Comparator</w:t>
            </w:r>
          </w:p>
        </w:tc>
        <w:tc>
          <w:tcPr>
            <w:tcW w:w="7488" w:type="dxa"/>
            <w:vAlign w:val="center"/>
          </w:tcPr>
          <w:p w:rsidR="00224029" w:rsidRPr="00C3371F" w:rsidRDefault="00224029" w:rsidP="00195BA4">
            <w:pPr>
              <w:pStyle w:val="Tabletext"/>
              <w:keepNext/>
            </w:pPr>
            <w:r w:rsidRPr="00C3371F">
              <w:t>Main comparator: Observation/watch and wait only as standard of care. This is refe</w:t>
            </w:r>
            <w:r w:rsidR="00793903">
              <w:t>rred to as ‘observation’ in this document</w:t>
            </w:r>
            <w:r w:rsidRPr="00C3371F">
              <w:t xml:space="preserve">. </w:t>
            </w:r>
          </w:p>
          <w:p w:rsidR="00224029" w:rsidRPr="00C3371F" w:rsidRDefault="00224029" w:rsidP="00195BA4">
            <w:pPr>
              <w:pStyle w:val="Tabletext"/>
              <w:keepNext/>
            </w:pPr>
            <w:r w:rsidRPr="00C3371F">
              <w:t>Secondary comparator: Interferon alpha 2B (IFNα 2B)</w:t>
            </w:r>
          </w:p>
          <w:p w:rsidR="00224029" w:rsidRPr="00C3371F" w:rsidRDefault="00224029" w:rsidP="00195BA4">
            <w:pPr>
              <w:pStyle w:val="Tabletext"/>
              <w:keepNext/>
            </w:pPr>
            <w:r w:rsidRPr="00C3371F">
              <w:t xml:space="preserve">Near market comparators: </w:t>
            </w:r>
          </w:p>
          <w:p w:rsidR="00224029" w:rsidRPr="00C3371F" w:rsidRDefault="00224029" w:rsidP="000B6DBA">
            <w:pPr>
              <w:pStyle w:val="Tabletext"/>
              <w:keepNext/>
              <w:numPr>
                <w:ilvl w:val="0"/>
                <w:numId w:val="3"/>
              </w:numPr>
              <w:ind w:left="317" w:hanging="284"/>
            </w:pPr>
            <w:r w:rsidRPr="00C3371F">
              <w:t>Dabrafenib plus trametinib (DAB+TRAM) in patients with melanoma with a BRAF mutation,</w:t>
            </w:r>
          </w:p>
          <w:p w:rsidR="00224029" w:rsidRPr="00C3371F" w:rsidRDefault="00224029" w:rsidP="000B6DBA">
            <w:pPr>
              <w:pStyle w:val="Tabletext"/>
              <w:keepNext/>
              <w:numPr>
                <w:ilvl w:val="0"/>
                <w:numId w:val="3"/>
              </w:numPr>
              <w:ind w:left="317" w:hanging="284"/>
              <w:rPr>
                <w:caps/>
              </w:rPr>
            </w:pPr>
            <w:r w:rsidRPr="00C3371F">
              <w:t>Pembrolizumab.</w:t>
            </w:r>
          </w:p>
        </w:tc>
      </w:tr>
      <w:tr w:rsidR="00224029" w:rsidRPr="00C3371F" w:rsidTr="00195BA4">
        <w:tc>
          <w:tcPr>
            <w:tcW w:w="1560" w:type="dxa"/>
            <w:vAlign w:val="center"/>
          </w:tcPr>
          <w:p w:rsidR="00224029" w:rsidRPr="00C3371F" w:rsidRDefault="00224029" w:rsidP="00195BA4">
            <w:pPr>
              <w:pStyle w:val="Tabletext"/>
              <w:keepNext/>
            </w:pPr>
            <w:r w:rsidRPr="00C3371F">
              <w:t>Outcomes</w:t>
            </w:r>
          </w:p>
        </w:tc>
        <w:tc>
          <w:tcPr>
            <w:tcW w:w="7488" w:type="dxa"/>
            <w:vAlign w:val="center"/>
          </w:tcPr>
          <w:p w:rsidR="00224029" w:rsidRPr="00C3371F" w:rsidRDefault="00C16EFF" w:rsidP="000B6DBA">
            <w:pPr>
              <w:pStyle w:val="Tabletext"/>
              <w:keepNext/>
              <w:numPr>
                <w:ilvl w:val="0"/>
                <w:numId w:val="3"/>
              </w:numPr>
              <w:ind w:left="317" w:hanging="284"/>
            </w:pPr>
            <w:r w:rsidRPr="00C3371F">
              <w:t>Recurrence-free</w:t>
            </w:r>
            <w:r w:rsidR="00224029" w:rsidRPr="00C3371F">
              <w:t xml:space="preserve"> survival (RFS)</w:t>
            </w:r>
          </w:p>
          <w:p w:rsidR="00224029" w:rsidRPr="00C3371F" w:rsidRDefault="00224029" w:rsidP="000B6DBA">
            <w:pPr>
              <w:pStyle w:val="Tabletext"/>
              <w:keepNext/>
              <w:numPr>
                <w:ilvl w:val="0"/>
                <w:numId w:val="3"/>
              </w:numPr>
              <w:ind w:left="317" w:hanging="284"/>
            </w:pPr>
            <w:r w:rsidRPr="00C3371F">
              <w:t>Overall survival (OS). No OS data w</w:t>
            </w:r>
            <w:r w:rsidR="0022418A" w:rsidRPr="00C3371F">
              <w:t>ere</w:t>
            </w:r>
            <w:r w:rsidRPr="00C3371F">
              <w:t xml:space="preserve"> available for the k</w:t>
            </w:r>
            <w:r w:rsidR="00793903">
              <w:t>ey nivolumab trial</w:t>
            </w:r>
            <w:r w:rsidRPr="00C3371F">
              <w:t>.</w:t>
            </w:r>
            <w:r w:rsidR="008E3FD0" w:rsidRPr="00C3371F">
              <w:t xml:space="preserve"> The submission </w:t>
            </w:r>
            <w:r w:rsidR="00A43078" w:rsidRPr="00C3371F">
              <w:t>presented an assessment of the validity of RFS as a surrogate outcome for OS</w:t>
            </w:r>
            <w:r w:rsidR="008E3FD0" w:rsidRPr="00C3371F">
              <w:t>.</w:t>
            </w:r>
          </w:p>
          <w:p w:rsidR="00224029" w:rsidRPr="00C3371F" w:rsidRDefault="00224029" w:rsidP="000B6DBA">
            <w:pPr>
              <w:pStyle w:val="Tabletext"/>
              <w:keepNext/>
              <w:numPr>
                <w:ilvl w:val="0"/>
                <w:numId w:val="3"/>
              </w:numPr>
              <w:ind w:left="317" w:hanging="284"/>
            </w:pPr>
            <w:r w:rsidRPr="00C3371F">
              <w:t>Safety</w:t>
            </w:r>
          </w:p>
          <w:p w:rsidR="00224029" w:rsidRPr="00C3371F" w:rsidRDefault="00224029" w:rsidP="000B6DBA">
            <w:pPr>
              <w:pStyle w:val="Tabletext"/>
              <w:keepNext/>
              <w:numPr>
                <w:ilvl w:val="0"/>
                <w:numId w:val="3"/>
              </w:numPr>
              <w:ind w:left="317" w:hanging="284"/>
            </w:pPr>
            <w:r w:rsidRPr="00C3371F">
              <w:t>Quality-adjusted life-years</w:t>
            </w:r>
          </w:p>
        </w:tc>
      </w:tr>
      <w:tr w:rsidR="00224029" w:rsidRPr="00C3371F" w:rsidTr="00195BA4">
        <w:tc>
          <w:tcPr>
            <w:tcW w:w="1560" w:type="dxa"/>
            <w:vAlign w:val="center"/>
          </w:tcPr>
          <w:p w:rsidR="00224029" w:rsidRPr="00C3371F" w:rsidRDefault="00224029" w:rsidP="00195BA4">
            <w:pPr>
              <w:pStyle w:val="Tabletext"/>
              <w:keepNext/>
            </w:pPr>
            <w:r w:rsidRPr="00C3371F">
              <w:t>Clinical claim</w:t>
            </w:r>
          </w:p>
        </w:tc>
        <w:tc>
          <w:tcPr>
            <w:tcW w:w="7488" w:type="dxa"/>
            <w:vAlign w:val="center"/>
          </w:tcPr>
          <w:p w:rsidR="008A5755" w:rsidRPr="00C3371F" w:rsidRDefault="00F55E8B" w:rsidP="00195BA4">
            <w:pPr>
              <w:pStyle w:val="Tabletext"/>
              <w:keepNext/>
            </w:pPr>
            <w:r w:rsidRPr="00C3371F">
              <w:t>Nivolumab is superior in terms of effectiveness and moderately inferior in terms of safety compared to placebo as a proxy for standard of care (observation/watch and wait).</w:t>
            </w:r>
          </w:p>
          <w:p w:rsidR="00F55E8B" w:rsidRPr="00C3371F" w:rsidRDefault="00F55E8B" w:rsidP="00195BA4">
            <w:pPr>
              <w:pStyle w:val="Tabletext"/>
              <w:keepNext/>
            </w:pPr>
            <w:r w:rsidRPr="00C3371F">
              <w:t>Nivolumab is superior in terms of effective</w:t>
            </w:r>
            <w:r w:rsidR="00B27648" w:rsidRPr="00C3371F">
              <w:t>ness and safety compared to IFN</w:t>
            </w:r>
            <w:r w:rsidRPr="00C3371F">
              <w:t>α</w:t>
            </w:r>
            <w:r w:rsidR="00B27648" w:rsidRPr="00C3371F">
              <w:t xml:space="preserve"> 2B</w:t>
            </w:r>
            <w:r w:rsidRPr="00C3371F">
              <w:t>.</w:t>
            </w:r>
          </w:p>
          <w:p w:rsidR="00F55E8B" w:rsidRPr="00C3371F" w:rsidRDefault="00F55E8B" w:rsidP="00195BA4">
            <w:pPr>
              <w:pStyle w:val="Tabletext"/>
              <w:keepNext/>
            </w:pPr>
            <w:r w:rsidRPr="00C3371F">
              <w:t>Nivolumab is non-inferior in terms of effectiveness and safety compared to DAB+TRAM.</w:t>
            </w:r>
          </w:p>
          <w:p w:rsidR="00224029" w:rsidRPr="00C3371F" w:rsidRDefault="00F55E8B" w:rsidP="00195BA4">
            <w:pPr>
              <w:pStyle w:val="Tabletext"/>
              <w:keepNext/>
            </w:pPr>
            <w:r w:rsidRPr="00C3371F">
              <w:t>Nivolumab is non-inferior in terms of effectiveness compared to pembrolizumab and</w:t>
            </w:r>
            <w:r w:rsidR="00793903">
              <w:t xml:space="preserve"> equivalent in terms of safety.</w:t>
            </w:r>
          </w:p>
        </w:tc>
      </w:tr>
    </w:tbl>
    <w:p w:rsidR="00BE7F36" w:rsidRPr="009F1345" w:rsidRDefault="00224029" w:rsidP="009F1345">
      <w:pPr>
        <w:pStyle w:val="TableFooter"/>
        <w:rPr>
          <w:rStyle w:val="CommentReference"/>
          <w:b w:val="0"/>
          <w:sz w:val="18"/>
          <w:szCs w:val="22"/>
        </w:rPr>
      </w:pPr>
      <w:r w:rsidRPr="00C3371F">
        <w:t>Source: Table 18, p2 of the submission.</w:t>
      </w:r>
    </w:p>
    <w:p w:rsidR="00224029" w:rsidRPr="00C3371F" w:rsidRDefault="00224029" w:rsidP="00697BBB">
      <w:pPr>
        <w:pStyle w:val="PBACHeading1"/>
        <w:keepNext/>
        <w:spacing w:before="240" w:after="120"/>
        <w:outlineLvl w:val="0"/>
      </w:pPr>
      <w:bookmarkStart w:id="1" w:name="_Toc511661672"/>
      <w:r w:rsidRPr="00C3371F">
        <w:t>Requested listing</w:t>
      </w:r>
      <w:bookmarkEnd w:id="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118"/>
        <w:gridCol w:w="1129"/>
        <w:gridCol w:w="909"/>
        <w:gridCol w:w="2256"/>
        <w:gridCol w:w="1671"/>
      </w:tblGrid>
      <w:tr w:rsidR="00224029" w:rsidRPr="00C3371F" w:rsidTr="009F1345">
        <w:trPr>
          <w:tblHeader/>
        </w:trPr>
        <w:tc>
          <w:tcPr>
            <w:tcW w:w="1716" w:type="pct"/>
            <w:tcMar>
              <w:left w:w="28" w:type="dxa"/>
              <w:right w:w="28" w:type="dxa"/>
            </w:tcMar>
          </w:tcPr>
          <w:p w:rsidR="00224029" w:rsidRPr="00C3371F" w:rsidRDefault="00224029" w:rsidP="00697BBB">
            <w:pPr>
              <w:keepNext/>
              <w:jc w:val="left"/>
              <w:rPr>
                <w:rFonts w:ascii="Arial Narrow" w:hAnsi="Arial Narrow"/>
                <w:b/>
                <w:sz w:val="20"/>
                <w:szCs w:val="20"/>
              </w:rPr>
            </w:pPr>
            <w:r w:rsidRPr="00C3371F">
              <w:rPr>
                <w:rFonts w:ascii="Arial Narrow" w:hAnsi="Arial Narrow"/>
                <w:b/>
                <w:sz w:val="20"/>
                <w:szCs w:val="20"/>
              </w:rPr>
              <w:t>Name, restriction, manner of administration, form</w:t>
            </w:r>
          </w:p>
        </w:tc>
        <w:tc>
          <w:tcPr>
            <w:tcW w:w="621" w:type="pct"/>
            <w:tcMar>
              <w:left w:w="28" w:type="dxa"/>
              <w:right w:w="28" w:type="dxa"/>
            </w:tcMar>
          </w:tcPr>
          <w:p w:rsidR="00224029" w:rsidRPr="00C3371F" w:rsidRDefault="00224029" w:rsidP="00503C5A">
            <w:pPr>
              <w:keepNext/>
              <w:jc w:val="center"/>
              <w:rPr>
                <w:rFonts w:ascii="Arial Narrow" w:hAnsi="Arial Narrow"/>
                <w:b/>
                <w:sz w:val="20"/>
                <w:szCs w:val="20"/>
              </w:rPr>
            </w:pPr>
            <w:r w:rsidRPr="00C3371F">
              <w:rPr>
                <w:rFonts w:ascii="Arial Narrow" w:hAnsi="Arial Narrow"/>
                <w:b/>
                <w:sz w:val="20"/>
                <w:szCs w:val="20"/>
              </w:rPr>
              <w:t>Max amount (units)</w:t>
            </w:r>
          </w:p>
        </w:tc>
        <w:tc>
          <w:tcPr>
            <w:tcW w:w="500" w:type="pct"/>
            <w:tcMar>
              <w:left w:w="28" w:type="dxa"/>
              <w:right w:w="28" w:type="dxa"/>
            </w:tcMar>
          </w:tcPr>
          <w:p w:rsidR="00224029" w:rsidRPr="00C3371F" w:rsidRDefault="00224029" w:rsidP="00697BBB">
            <w:pPr>
              <w:keepNext/>
              <w:jc w:val="center"/>
              <w:rPr>
                <w:rFonts w:ascii="Arial Narrow" w:hAnsi="Arial Narrow"/>
                <w:b/>
                <w:sz w:val="20"/>
                <w:szCs w:val="20"/>
              </w:rPr>
            </w:pPr>
            <w:r w:rsidRPr="00C3371F">
              <w:rPr>
                <w:rFonts w:ascii="Arial Narrow" w:hAnsi="Arial Narrow"/>
                <w:b/>
                <w:sz w:val="20"/>
                <w:szCs w:val="20"/>
              </w:rPr>
              <w:t>No. of repeats</w:t>
            </w:r>
          </w:p>
        </w:tc>
        <w:tc>
          <w:tcPr>
            <w:tcW w:w="1242" w:type="pct"/>
            <w:tcMar>
              <w:left w:w="28" w:type="dxa"/>
              <w:right w:w="28" w:type="dxa"/>
            </w:tcMar>
          </w:tcPr>
          <w:p w:rsidR="00224029" w:rsidRPr="00C3371F" w:rsidRDefault="00224029" w:rsidP="00503C5A">
            <w:pPr>
              <w:keepNext/>
              <w:jc w:val="left"/>
              <w:rPr>
                <w:rFonts w:ascii="Arial Narrow" w:hAnsi="Arial Narrow"/>
                <w:b/>
                <w:sz w:val="20"/>
                <w:szCs w:val="20"/>
              </w:rPr>
            </w:pPr>
            <w:r w:rsidRPr="00C3371F">
              <w:rPr>
                <w:rFonts w:ascii="Arial Narrow" w:hAnsi="Arial Narrow"/>
                <w:b/>
                <w:sz w:val="20"/>
                <w:szCs w:val="20"/>
              </w:rPr>
              <w:t>Dispensed price for maximum amount</w:t>
            </w:r>
          </w:p>
        </w:tc>
        <w:tc>
          <w:tcPr>
            <w:tcW w:w="920" w:type="pct"/>
            <w:tcMar>
              <w:left w:w="28" w:type="dxa"/>
              <w:right w:w="28" w:type="dxa"/>
            </w:tcMar>
          </w:tcPr>
          <w:p w:rsidR="00224029" w:rsidRPr="00C3371F" w:rsidRDefault="00224029" w:rsidP="00FE01A4">
            <w:pPr>
              <w:keepNext/>
              <w:jc w:val="left"/>
              <w:rPr>
                <w:rFonts w:ascii="Arial Narrow" w:hAnsi="Arial Narrow"/>
                <w:b/>
                <w:sz w:val="20"/>
                <w:szCs w:val="20"/>
              </w:rPr>
            </w:pPr>
            <w:r w:rsidRPr="00C3371F">
              <w:rPr>
                <w:rFonts w:ascii="Arial Narrow" w:hAnsi="Arial Narrow"/>
                <w:b/>
                <w:sz w:val="20"/>
                <w:szCs w:val="20"/>
              </w:rPr>
              <w:t>Proprietary name and manufacturer</w:t>
            </w:r>
          </w:p>
        </w:tc>
      </w:tr>
      <w:tr w:rsidR="00224029" w:rsidRPr="00C3371F" w:rsidTr="009F1345">
        <w:tc>
          <w:tcPr>
            <w:tcW w:w="1716" w:type="pct"/>
            <w:tcMar>
              <w:left w:w="28" w:type="dxa"/>
              <w:right w:w="28" w:type="dxa"/>
            </w:tcMar>
          </w:tcPr>
          <w:p w:rsidR="00224029" w:rsidRPr="00C3371F" w:rsidRDefault="00224029" w:rsidP="00D54E15">
            <w:pPr>
              <w:pStyle w:val="Tabletext"/>
            </w:pPr>
            <w:r w:rsidRPr="00C3371F">
              <w:t>NIVOLUMAB</w:t>
            </w:r>
          </w:p>
          <w:p w:rsidR="00224029" w:rsidRPr="00C3371F" w:rsidRDefault="00224029" w:rsidP="00D54E15">
            <w:pPr>
              <w:keepNext/>
              <w:rPr>
                <w:rFonts w:ascii="Arial Narrow" w:hAnsi="Arial Narrow"/>
                <w:sz w:val="20"/>
                <w:vertAlign w:val="superscript"/>
              </w:rPr>
            </w:pPr>
            <w:r w:rsidRPr="00C3371F">
              <w:rPr>
                <w:rFonts w:ascii="Arial Narrow" w:hAnsi="Arial Narrow"/>
                <w:sz w:val="20"/>
              </w:rPr>
              <w:t>40 mg/4 mL injection, 1 x 4 mL vial</w:t>
            </w:r>
          </w:p>
          <w:p w:rsidR="00224029" w:rsidRPr="00C3371F" w:rsidRDefault="00224029" w:rsidP="00D54E15">
            <w:pPr>
              <w:pStyle w:val="Tabletext"/>
            </w:pPr>
            <w:r w:rsidRPr="00C3371F">
              <w:t>100 mg/10 mL injection, 1 x 10 mL vial</w:t>
            </w:r>
          </w:p>
        </w:tc>
        <w:tc>
          <w:tcPr>
            <w:tcW w:w="621" w:type="pct"/>
            <w:tcMar>
              <w:left w:w="28" w:type="dxa"/>
              <w:right w:w="28" w:type="dxa"/>
            </w:tcMar>
          </w:tcPr>
          <w:p w:rsidR="00503C5A" w:rsidRDefault="00503C5A" w:rsidP="00D54E15">
            <w:pPr>
              <w:pStyle w:val="Tabletext"/>
              <w:jc w:val="center"/>
            </w:pPr>
          </w:p>
          <w:p w:rsidR="00224029" w:rsidRPr="00C3371F" w:rsidRDefault="00224029" w:rsidP="00D54E15">
            <w:pPr>
              <w:pStyle w:val="Tabletext"/>
              <w:jc w:val="center"/>
            </w:pPr>
            <w:r w:rsidRPr="00C3371F">
              <w:t>360 mg</w:t>
            </w:r>
          </w:p>
        </w:tc>
        <w:tc>
          <w:tcPr>
            <w:tcW w:w="500" w:type="pct"/>
            <w:tcMar>
              <w:left w:w="28" w:type="dxa"/>
              <w:right w:w="28" w:type="dxa"/>
            </w:tcMar>
          </w:tcPr>
          <w:p w:rsidR="00503C5A" w:rsidRDefault="00503C5A" w:rsidP="00D54E15">
            <w:pPr>
              <w:pStyle w:val="Tabletext"/>
              <w:jc w:val="center"/>
            </w:pPr>
          </w:p>
          <w:p w:rsidR="00224029" w:rsidRPr="00C3371F" w:rsidRDefault="00005B27" w:rsidP="00D54E15">
            <w:pPr>
              <w:pStyle w:val="Tabletext"/>
              <w:jc w:val="center"/>
            </w:pPr>
            <w:r w:rsidRPr="00C3371F">
              <w:t>11</w:t>
            </w:r>
          </w:p>
        </w:tc>
        <w:tc>
          <w:tcPr>
            <w:tcW w:w="1242" w:type="pct"/>
            <w:tcMar>
              <w:left w:w="28" w:type="dxa"/>
              <w:right w:w="28" w:type="dxa"/>
            </w:tcMar>
          </w:tcPr>
          <w:p w:rsidR="00503C5A" w:rsidRDefault="00503C5A" w:rsidP="00D54E15">
            <w:pPr>
              <w:pStyle w:val="Tabletext"/>
            </w:pPr>
          </w:p>
          <w:p w:rsidR="00224029" w:rsidRPr="00C3371F" w:rsidRDefault="00224029" w:rsidP="00D54E15">
            <w:pPr>
              <w:pStyle w:val="Tabletext"/>
            </w:pPr>
            <w:r w:rsidRPr="00C3371F">
              <w:t>$7</w:t>
            </w:r>
            <w:r w:rsidRPr="002868B6">
              <w:t>,560.</w:t>
            </w:r>
            <w:r w:rsidR="0030553D" w:rsidRPr="002868B6">
              <w:t>13</w:t>
            </w:r>
            <w:r w:rsidRPr="002868B6">
              <w:t xml:space="preserve"> (public</w:t>
            </w:r>
            <w:r w:rsidRPr="00C3371F">
              <w:t xml:space="preserve"> hospital)</w:t>
            </w:r>
          </w:p>
          <w:p w:rsidR="00224029" w:rsidRPr="00C3371F" w:rsidRDefault="00224029" w:rsidP="00005B27">
            <w:pPr>
              <w:pStyle w:val="Tabletext"/>
            </w:pPr>
            <w:r w:rsidRPr="00C3371F">
              <w:t>$</w:t>
            </w:r>
            <w:r w:rsidRPr="00982641">
              <w:t>7,703.43</w:t>
            </w:r>
            <w:r w:rsidRPr="00C3371F">
              <w:t xml:space="preserve"> (private hospital)</w:t>
            </w:r>
          </w:p>
        </w:tc>
        <w:tc>
          <w:tcPr>
            <w:tcW w:w="920" w:type="pct"/>
            <w:tcMar>
              <w:left w:w="28" w:type="dxa"/>
              <w:right w:w="28" w:type="dxa"/>
            </w:tcMar>
          </w:tcPr>
          <w:p w:rsidR="00503C5A" w:rsidRDefault="00503C5A" w:rsidP="00D54E15">
            <w:pPr>
              <w:pStyle w:val="Tabletext"/>
            </w:pPr>
          </w:p>
          <w:p w:rsidR="00224029" w:rsidRPr="00C3371F" w:rsidRDefault="00224029" w:rsidP="00D54E15">
            <w:pPr>
              <w:pStyle w:val="Tabletext"/>
              <w:rPr>
                <w:vertAlign w:val="superscript"/>
              </w:rPr>
            </w:pPr>
            <w:proofErr w:type="spellStart"/>
            <w:r w:rsidRPr="00C3371F">
              <w:t>Opdivo</w:t>
            </w:r>
            <w:proofErr w:type="spellEnd"/>
            <w:r w:rsidRPr="00C3371F">
              <w:rPr>
                <w:vertAlign w:val="superscript"/>
              </w:rPr>
              <w:t>®</w:t>
            </w:r>
          </w:p>
          <w:p w:rsidR="00224029" w:rsidRPr="00C3371F" w:rsidRDefault="00224029" w:rsidP="00503C5A">
            <w:pPr>
              <w:pStyle w:val="Tabletext"/>
            </w:pPr>
            <w:r w:rsidRPr="00C3371F">
              <w:t>Bristol</w:t>
            </w:r>
            <w:r w:rsidR="00503C5A">
              <w:t>-</w:t>
            </w:r>
            <w:r w:rsidRPr="00C3371F">
              <w:t>Myers Squibb</w:t>
            </w:r>
          </w:p>
        </w:tc>
      </w:tr>
    </w:tbl>
    <w:p w:rsidR="00224029" w:rsidRPr="00C3371F" w:rsidRDefault="00224029" w:rsidP="00224029"/>
    <w:tbl>
      <w:tblPr>
        <w:tblW w:w="9072" w:type="dxa"/>
        <w:tblInd w:w="108" w:type="dxa"/>
        <w:tblLayout w:type="fixed"/>
        <w:tblLook w:val="0000" w:firstRow="0" w:lastRow="0" w:firstColumn="0" w:lastColumn="0" w:noHBand="0" w:noVBand="0"/>
      </w:tblPr>
      <w:tblGrid>
        <w:gridCol w:w="1985"/>
        <w:gridCol w:w="7087"/>
      </w:tblGrid>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b/>
              </w:rPr>
              <w:t>Category / Program</w:t>
            </w:r>
            <w:r w:rsidR="00503C5A">
              <w:rPr>
                <w:b/>
              </w:rPr>
              <w:t>:</w:t>
            </w:r>
          </w:p>
        </w:tc>
        <w:tc>
          <w:tcPr>
            <w:tcW w:w="7087" w:type="dxa"/>
            <w:tcBorders>
              <w:top w:val="single" w:sz="4" w:space="0" w:color="auto"/>
              <w:left w:val="single" w:sz="4" w:space="0" w:color="auto"/>
              <w:bottom w:val="single" w:sz="4" w:space="0" w:color="auto"/>
              <w:right w:val="single" w:sz="4" w:space="0" w:color="auto"/>
            </w:tcBorders>
          </w:tcPr>
          <w:p w:rsidR="00A54F05" w:rsidRPr="008C4C55" w:rsidRDefault="00A54F05" w:rsidP="00A75FAA">
            <w:pPr>
              <w:pStyle w:val="Tabletext"/>
              <w:rPr>
                <w:i/>
                <w:vertAlign w:val="superscript"/>
              </w:rPr>
            </w:pPr>
            <w:r w:rsidRPr="00C3371F">
              <w:t xml:space="preserve">Section 100 - </w:t>
            </w:r>
            <w:r w:rsidRPr="008C4C55">
              <w:rPr>
                <w:strike/>
              </w:rPr>
              <w:t>Highly Specialised Drugs</w:t>
            </w:r>
            <w:r w:rsidR="00503C5A">
              <w:t xml:space="preserve"> </w:t>
            </w:r>
            <w:r w:rsidR="00503C5A" w:rsidRPr="008C4C55">
              <w:rPr>
                <w:i/>
              </w:rPr>
              <w:t>Efficient Funding of Chemotherapy</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rFonts w:cs="Arial"/>
                <w:b/>
                <w:szCs w:val="20"/>
              </w:rPr>
              <w:t>Prescriber type:</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rPr>
                <w:rFonts w:cs="Arial"/>
                <w:szCs w:val="20"/>
              </w:rPr>
              <w:fldChar w:fldCharType="begin">
                <w:ffData>
                  <w:name w:val="Check1"/>
                  <w:enabled/>
                  <w:calcOnExit w:val="0"/>
                  <w:checkBox>
                    <w:sizeAuto/>
                    <w:default w:val="0"/>
                  </w:checkBox>
                </w:ffData>
              </w:fldChar>
            </w:r>
            <w:r w:rsidRPr="00C3371F">
              <w:rPr>
                <w:rFonts w:cs="Arial"/>
                <w:szCs w:val="20"/>
              </w:rPr>
              <w:instrText xml:space="preserve"> FORMCHECKBOX </w:instrText>
            </w:r>
            <w:r w:rsidR="009F1345">
              <w:rPr>
                <w:rFonts w:cs="Arial"/>
                <w:szCs w:val="20"/>
              </w:rPr>
            </w:r>
            <w:r w:rsidR="009F1345">
              <w:rPr>
                <w:rFonts w:cs="Arial"/>
                <w:szCs w:val="20"/>
              </w:rPr>
              <w:fldChar w:fldCharType="separate"/>
            </w:r>
            <w:r w:rsidRPr="00C3371F">
              <w:rPr>
                <w:rFonts w:cs="Arial"/>
                <w:szCs w:val="20"/>
              </w:rPr>
              <w:fldChar w:fldCharType="end"/>
            </w:r>
            <w:r w:rsidRPr="00C3371F">
              <w:rPr>
                <w:rFonts w:cs="Arial"/>
                <w:szCs w:val="20"/>
              </w:rPr>
              <w:t xml:space="preserve">Dental  </w:t>
            </w:r>
            <w:r w:rsidRPr="00C3371F">
              <w:rPr>
                <w:rFonts w:cs="Arial"/>
                <w:szCs w:val="20"/>
              </w:rPr>
              <w:fldChar w:fldCharType="begin">
                <w:ffData>
                  <w:name w:val=""/>
                  <w:enabled/>
                  <w:calcOnExit w:val="0"/>
                  <w:checkBox>
                    <w:sizeAuto/>
                    <w:default w:val="1"/>
                  </w:checkBox>
                </w:ffData>
              </w:fldChar>
            </w:r>
            <w:r w:rsidRPr="00C3371F">
              <w:rPr>
                <w:rFonts w:cs="Arial"/>
                <w:szCs w:val="20"/>
              </w:rPr>
              <w:instrText xml:space="preserve"> FORMCHECKBOX </w:instrText>
            </w:r>
            <w:r w:rsidR="009F1345">
              <w:rPr>
                <w:rFonts w:cs="Arial"/>
                <w:szCs w:val="20"/>
              </w:rPr>
            </w:r>
            <w:r w:rsidR="009F1345">
              <w:rPr>
                <w:rFonts w:cs="Arial"/>
                <w:szCs w:val="20"/>
              </w:rPr>
              <w:fldChar w:fldCharType="separate"/>
            </w:r>
            <w:r w:rsidRPr="00C3371F">
              <w:rPr>
                <w:rFonts w:cs="Arial"/>
                <w:szCs w:val="20"/>
              </w:rPr>
              <w:fldChar w:fldCharType="end"/>
            </w:r>
            <w:r w:rsidRPr="00C3371F">
              <w:rPr>
                <w:rFonts w:cs="Arial"/>
                <w:szCs w:val="20"/>
              </w:rPr>
              <w:t xml:space="preserve">Medical Practitioners  </w:t>
            </w:r>
            <w:r w:rsidRPr="00C3371F">
              <w:rPr>
                <w:rFonts w:cs="Arial"/>
                <w:szCs w:val="20"/>
              </w:rPr>
              <w:fldChar w:fldCharType="begin">
                <w:ffData>
                  <w:name w:val="Check3"/>
                  <w:enabled/>
                  <w:calcOnExit w:val="0"/>
                  <w:checkBox>
                    <w:sizeAuto/>
                    <w:default w:val="0"/>
                  </w:checkBox>
                </w:ffData>
              </w:fldChar>
            </w:r>
            <w:r w:rsidRPr="00C3371F">
              <w:rPr>
                <w:rFonts w:cs="Arial"/>
                <w:szCs w:val="20"/>
              </w:rPr>
              <w:instrText xml:space="preserve"> FORMCHECKBOX </w:instrText>
            </w:r>
            <w:r w:rsidR="009F1345">
              <w:rPr>
                <w:rFonts w:cs="Arial"/>
                <w:szCs w:val="20"/>
              </w:rPr>
            </w:r>
            <w:r w:rsidR="009F1345">
              <w:rPr>
                <w:rFonts w:cs="Arial"/>
                <w:szCs w:val="20"/>
              </w:rPr>
              <w:fldChar w:fldCharType="separate"/>
            </w:r>
            <w:r w:rsidRPr="00C3371F">
              <w:rPr>
                <w:rFonts w:cs="Arial"/>
                <w:szCs w:val="20"/>
              </w:rPr>
              <w:fldChar w:fldCharType="end"/>
            </w:r>
            <w:r w:rsidRPr="00C3371F">
              <w:rPr>
                <w:rFonts w:cs="Arial"/>
                <w:szCs w:val="20"/>
              </w:rPr>
              <w:t xml:space="preserve">Nurse practitioners  </w:t>
            </w:r>
            <w:r w:rsidRPr="00C3371F">
              <w:rPr>
                <w:rFonts w:cs="Arial"/>
                <w:szCs w:val="20"/>
              </w:rPr>
              <w:fldChar w:fldCharType="begin">
                <w:ffData>
                  <w:name w:val=""/>
                  <w:enabled/>
                  <w:calcOnExit w:val="0"/>
                  <w:checkBox>
                    <w:sizeAuto/>
                    <w:default w:val="0"/>
                  </w:checkBox>
                </w:ffData>
              </w:fldChar>
            </w:r>
            <w:r w:rsidRPr="00C3371F">
              <w:rPr>
                <w:rFonts w:cs="Arial"/>
                <w:szCs w:val="20"/>
              </w:rPr>
              <w:instrText xml:space="preserve"> FORMCHECKBOX </w:instrText>
            </w:r>
            <w:r w:rsidR="009F1345">
              <w:rPr>
                <w:rFonts w:cs="Arial"/>
                <w:szCs w:val="20"/>
              </w:rPr>
            </w:r>
            <w:r w:rsidR="009F1345">
              <w:rPr>
                <w:rFonts w:cs="Arial"/>
                <w:szCs w:val="20"/>
              </w:rPr>
              <w:fldChar w:fldCharType="separate"/>
            </w:r>
            <w:r w:rsidRPr="00C3371F">
              <w:rPr>
                <w:rFonts w:cs="Arial"/>
                <w:szCs w:val="20"/>
              </w:rPr>
              <w:fldChar w:fldCharType="end"/>
            </w:r>
            <w:r w:rsidRPr="00C3371F">
              <w:rPr>
                <w:rFonts w:cs="Arial"/>
                <w:szCs w:val="20"/>
              </w:rPr>
              <w:t xml:space="preserve">Optometrists </w:t>
            </w:r>
            <w:r w:rsidRPr="00C3371F">
              <w:rPr>
                <w:rFonts w:cs="Arial"/>
                <w:szCs w:val="20"/>
              </w:rPr>
              <w:fldChar w:fldCharType="begin">
                <w:ffData>
                  <w:name w:val="Check5"/>
                  <w:enabled/>
                  <w:calcOnExit w:val="0"/>
                  <w:checkBox>
                    <w:sizeAuto/>
                    <w:default w:val="0"/>
                  </w:checkBox>
                </w:ffData>
              </w:fldChar>
            </w:r>
            <w:r w:rsidRPr="00C3371F">
              <w:rPr>
                <w:rFonts w:cs="Arial"/>
                <w:szCs w:val="20"/>
              </w:rPr>
              <w:instrText xml:space="preserve"> FORMCHECKBOX </w:instrText>
            </w:r>
            <w:r w:rsidR="009F1345">
              <w:rPr>
                <w:rFonts w:cs="Arial"/>
                <w:szCs w:val="20"/>
              </w:rPr>
            </w:r>
            <w:r w:rsidR="009F1345">
              <w:rPr>
                <w:rFonts w:cs="Arial"/>
                <w:szCs w:val="20"/>
              </w:rPr>
              <w:fldChar w:fldCharType="separate"/>
            </w:r>
            <w:r w:rsidRPr="00C3371F">
              <w:rPr>
                <w:rFonts w:cs="Arial"/>
                <w:szCs w:val="20"/>
              </w:rPr>
              <w:fldChar w:fldCharType="end"/>
            </w:r>
            <w:r w:rsidRPr="00C3371F">
              <w:rPr>
                <w:rFonts w:cs="Arial"/>
                <w:szCs w:val="20"/>
              </w:rPr>
              <w:t>Midwives</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b/>
              </w:rPr>
              <w:lastRenderedPageBreak/>
              <w:t>Condition:</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t>Malignant melanoma</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b/>
              </w:rPr>
              <w:t xml:space="preserve">PBS </w:t>
            </w:r>
            <w:r w:rsidR="00503C5A">
              <w:rPr>
                <w:b/>
              </w:rPr>
              <w:t>i</w:t>
            </w:r>
            <w:r w:rsidRPr="00C3371F">
              <w:rPr>
                <w:b/>
              </w:rPr>
              <w:t>ndication:</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t>Stage III or Stage IV melanoma that is completely surgically resected</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b/>
              </w:rPr>
              <w:t>Treatment phase:</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t>Initial treatment</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rPr>
                <w:b/>
              </w:rPr>
              <w:t>Restriction:</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fldChar w:fldCharType="begin">
                <w:ffData>
                  <w:name w:val="Check5"/>
                  <w:enabled/>
                  <w:calcOnExit w:val="0"/>
                  <w:checkBox>
                    <w:sizeAuto/>
                    <w:default w:val="1"/>
                  </w:checkBox>
                </w:ffData>
              </w:fldChar>
            </w:r>
            <w:r w:rsidRPr="00C3371F">
              <w:instrText xml:space="preserve"> FORMCHECKBOX </w:instrText>
            </w:r>
            <w:r w:rsidR="009F1345">
              <w:fldChar w:fldCharType="separate"/>
            </w:r>
            <w:r w:rsidRPr="00C3371F">
              <w:fldChar w:fldCharType="end"/>
            </w:r>
            <w:r w:rsidRPr="00C3371F">
              <w:t>Streamlined</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b/>
              </w:rPr>
              <w:t>Clinical criteria:</w:t>
            </w:r>
          </w:p>
          <w:p w:rsidR="00A54F05" w:rsidRPr="00C3371F" w:rsidRDefault="00A54F05" w:rsidP="00A75FAA">
            <w:pPr>
              <w:pStyle w:val="Tabletext"/>
            </w:pP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t>The patient must have histologically confirmed melanoma that is completely surgically resected; i.e., the patient must have been surgically rendered free of disease with negative margins on resected specimens</w:t>
            </w:r>
          </w:p>
          <w:p w:rsidR="00A54F05" w:rsidRPr="00C3371F" w:rsidRDefault="00A54F05" w:rsidP="00A75FAA">
            <w:pPr>
              <w:pStyle w:val="Tabletext"/>
            </w:pPr>
            <w:r w:rsidRPr="00C3371F">
              <w:t>AND</w:t>
            </w:r>
          </w:p>
          <w:p w:rsidR="008C6997" w:rsidRDefault="00A54F05" w:rsidP="00A75FAA">
            <w:pPr>
              <w:pStyle w:val="Tabletext"/>
            </w:pPr>
            <w:r w:rsidRPr="00C3371F">
              <w:t>The treatment must be as adjuvant therapy adjunctive to current standard care</w:t>
            </w:r>
            <w:r w:rsidR="008C6997">
              <w:t xml:space="preserve">, </w:t>
            </w:r>
          </w:p>
          <w:p w:rsidR="00A54F05" w:rsidRDefault="008C6997" w:rsidP="00A75FAA">
            <w:pPr>
              <w:pStyle w:val="Tabletext"/>
            </w:pPr>
            <w:r>
              <w:t>AND</w:t>
            </w:r>
          </w:p>
          <w:p w:rsidR="00077A5D" w:rsidRDefault="004B3CD3" w:rsidP="00A75FAA">
            <w:pPr>
              <w:pStyle w:val="Tabletext"/>
            </w:pPr>
            <w:r>
              <w:rPr>
                <w:i/>
              </w:rPr>
              <w:t xml:space="preserve">The patient must  have an Eastern Cooperative Oncology Group (ECOG) performance status of </w:t>
            </w:r>
            <w:r w:rsidR="008C6997">
              <w:rPr>
                <w:i/>
              </w:rPr>
              <w:t>0 or 1,</w:t>
            </w:r>
          </w:p>
          <w:p w:rsidR="00D6745A" w:rsidRDefault="00077A5D" w:rsidP="00A75FAA">
            <w:pPr>
              <w:pStyle w:val="Tabletext"/>
              <w:rPr>
                <w:i/>
              </w:rPr>
            </w:pPr>
            <w:r w:rsidRPr="008C4C55">
              <w:rPr>
                <w:i/>
              </w:rPr>
              <w:t xml:space="preserve">The patient must not have received prior treatment with a PD-1 inhibitor for this </w:t>
            </w:r>
            <w:r w:rsidR="00D6745A">
              <w:rPr>
                <w:i/>
              </w:rPr>
              <w:t>condition,</w:t>
            </w:r>
          </w:p>
          <w:p w:rsidR="00D6745A" w:rsidRDefault="00D6745A" w:rsidP="00A75FAA">
            <w:pPr>
              <w:pStyle w:val="Tabletext"/>
              <w:rPr>
                <w:i/>
              </w:rPr>
            </w:pPr>
            <w:r>
              <w:rPr>
                <w:i/>
              </w:rPr>
              <w:t xml:space="preserve">AND </w:t>
            </w:r>
          </w:p>
          <w:p w:rsidR="00077A5D" w:rsidRPr="008C4C55" w:rsidRDefault="00D6745A" w:rsidP="00A75FAA">
            <w:pPr>
              <w:pStyle w:val="Tabletext"/>
              <w:rPr>
                <w:i/>
              </w:rPr>
            </w:pPr>
            <w:r>
              <w:rPr>
                <w:i/>
              </w:rPr>
              <w:t>The patient must not</w:t>
            </w:r>
            <w:r w:rsidR="008C6997">
              <w:rPr>
                <w:i/>
              </w:rPr>
              <w:t xml:space="preserve"> have ocular or uveal melanoma.</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b/>
              </w:rPr>
              <w:t>Notes:</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t>Complete resection of Stage III disease must be documented on the surgical and pathology reports</w:t>
            </w:r>
          </w:p>
          <w:p w:rsidR="00A54F05" w:rsidRPr="00C3371F" w:rsidRDefault="00A54F05" w:rsidP="00A75FAA">
            <w:pPr>
              <w:pStyle w:val="Tabletext"/>
            </w:pPr>
            <w:r w:rsidRPr="00C3371F">
              <w:t>Complete resection of Stage IV disease with margins negative for disease must be documented on the pathology report.</w:t>
            </w:r>
          </w:p>
        </w:tc>
      </w:tr>
    </w:tbl>
    <w:p w:rsidR="00A54F05" w:rsidRPr="00C3371F" w:rsidRDefault="00A54F05" w:rsidP="00224029"/>
    <w:tbl>
      <w:tblPr>
        <w:tblW w:w="9072" w:type="dxa"/>
        <w:tblInd w:w="108" w:type="dxa"/>
        <w:tblLayout w:type="fixed"/>
        <w:tblLook w:val="0000" w:firstRow="0" w:lastRow="0" w:firstColumn="0" w:lastColumn="0" w:noHBand="0" w:noVBand="0"/>
      </w:tblPr>
      <w:tblGrid>
        <w:gridCol w:w="1985"/>
        <w:gridCol w:w="7087"/>
      </w:tblGrid>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b/>
              </w:rPr>
              <w:t>Category / Program</w:t>
            </w:r>
            <w:r w:rsidR="00503C5A">
              <w:rPr>
                <w:b/>
              </w:rPr>
              <w:t>:</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vertAlign w:val="superscript"/>
              </w:rPr>
            </w:pPr>
            <w:r w:rsidRPr="00C3371F">
              <w:t xml:space="preserve">Section 100 - </w:t>
            </w:r>
            <w:r w:rsidR="00503C5A" w:rsidRPr="004F1DE6">
              <w:rPr>
                <w:strike/>
              </w:rPr>
              <w:t>Highly Specialised Drugs</w:t>
            </w:r>
            <w:r w:rsidR="00503C5A">
              <w:t xml:space="preserve"> </w:t>
            </w:r>
            <w:r w:rsidR="00503C5A" w:rsidRPr="004F1DE6">
              <w:rPr>
                <w:i/>
              </w:rPr>
              <w:t>Efficient Funding of Chemotherapy</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rFonts w:cs="Arial"/>
                <w:b/>
                <w:szCs w:val="20"/>
              </w:rPr>
              <w:t>Prescriber type:</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rPr>
                <w:rFonts w:cs="Arial"/>
                <w:szCs w:val="20"/>
              </w:rPr>
              <w:fldChar w:fldCharType="begin">
                <w:ffData>
                  <w:name w:val="Check1"/>
                  <w:enabled/>
                  <w:calcOnExit w:val="0"/>
                  <w:checkBox>
                    <w:sizeAuto/>
                    <w:default w:val="0"/>
                  </w:checkBox>
                </w:ffData>
              </w:fldChar>
            </w:r>
            <w:r w:rsidRPr="00C3371F">
              <w:rPr>
                <w:rFonts w:cs="Arial"/>
                <w:szCs w:val="20"/>
              </w:rPr>
              <w:instrText xml:space="preserve"> FORMCHECKBOX </w:instrText>
            </w:r>
            <w:r w:rsidR="009F1345">
              <w:rPr>
                <w:rFonts w:cs="Arial"/>
                <w:szCs w:val="20"/>
              </w:rPr>
            </w:r>
            <w:r w:rsidR="009F1345">
              <w:rPr>
                <w:rFonts w:cs="Arial"/>
                <w:szCs w:val="20"/>
              </w:rPr>
              <w:fldChar w:fldCharType="separate"/>
            </w:r>
            <w:r w:rsidRPr="00C3371F">
              <w:rPr>
                <w:rFonts w:cs="Arial"/>
                <w:szCs w:val="20"/>
              </w:rPr>
              <w:fldChar w:fldCharType="end"/>
            </w:r>
            <w:r w:rsidRPr="00C3371F">
              <w:rPr>
                <w:rFonts w:cs="Arial"/>
                <w:szCs w:val="20"/>
              </w:rPr>
              <w:t xml:space="preserve">Dental  </w:t>
            </w:r>
            <w:r w:rsidRPr="00C3371F">
              <w:rPr>
                <w:rFonts w:cs="Arial"/>
                <w:szCs w:val="20"/>
              </w:rPr>
              <w:fldChar w:fldCharType="begin">
                <w:ffData>
                  <w:name w:val=""/>
                  <w:enabled/>
                  <w:calcOnExit w:val="0"/>
                  <w:checkBox>
                    <w:sizeAuto/>
                    <w:default w:val="1"/>
                  </w:checkBox>
                </w:ffData>
              </w:fldChar>
            </w:r>
            <w:r w:rsidRPr="00C3371F">
              <w:rPr>
                <w:rFonts w:cs="Arial"/>
                <w:szCs w:val="20"/>
              </w:rPr>
              <w:instrText xml:space="preserve"> FORMCHECKBOX </w:instrText>
            </w:r>
            <w:r w:rsidR="009F1345">
              <w:rPr>
                <w:rFonts w:cs="Arial"/>
                <w:szCs w:val="20"/>
              </w:rPr>
            </w:r>
            <w:r w:rsidR="009F1345">
              <w:rPr>
                <w:rFonts w:cs="Arial"/>
                <w:szCs w:val="20"/>
              </w:rPr>
              <w:fldChar w:fldCharType="separate"/>
            </w:r>
            <w:r w:rsidRPr="00C3371F">
              <w:rPr>
                <w:rFonts w:cs="Arial"/>
                <w:szCs w:val="20"/>
              </w:rPr>
              <w:fldChar w:fldCharType="end"/>
            </w:r>
            <w:r w:rsidRPr="00C3371F">
              <w:rPr>
                <w:rFonts w:cs="Arial"/>
                <w:szCs w:val="20"/>
              </w:rPr>
              <w:t xml:space="preserve">Medical Practitioners  </w:t>
            </w:r>
            <w:r w:rsidRPr="00C3371F">
              <w:rPr>
                <w:rFonts w:cs="Arial"/>
                <w:szCs w:val="20"/>
              </w:rPr>
              <w:fldChar w:fldCharType="begin">
                <w:ffData>
                  <w:name w:val="Check3"/>
                  <w:enabled/>
                  <w:calcOnExit w:val="0"/>
                  <w:checkBox>
                    <w:sizeAuto/>
                    <w:default w:val="0"/>
                  </w:checkBox>
                </w:ffData>
              </w:fldChar>
            </w:r>
            <w:r w:rsidRPr="00C3371F">
              <w:rPr>
                <w:rFonts w:cs="Arial"/>
                <w:szCs w:val="20"/>
              </w:rPr>
              <w:instrText xml:space="preserve"> FORMCHECKBOX </w:instrText>
            </w:r>
            <w:r w:rsidR="009F1345">
              <w:rPr>
                <w:rFonts w:cs="Arial"/>
                <w:szCs w:val="20"/>
              </w:rPr>
            </w:r>
            <w:r w:rsidR="009F1345">
              <w:rPr>
                <w:rFonts w:cs="Arial"/>
                <w:szCs w:val="20"/>
              </w:rPr>
              <w:fldChar w:fldCharType="separate"/>
            </w:r>
            <w:r w:rsidRPr="00C3371F">
              <w:rPr>
                <w:rFonts w:cs="Arial"/>
                <w:szCs w:val="20"/>
              </w:rPr>
              <w:fldChar w:fldCharType="end"/>
            </w:r>
            <w:r w:rsidRPr="00C3371F">
              <w:rPr>
                <w:rFonts w:cs="Arial"/>
                <w:szCs w:val="20"/>
              </w:rPr>
              <w:t xml:space="preserve">Nurse practitioners  </w:t>
            </w:r>
            <w:r w:rsidRPr="00C3371F">
              <w:rPr>
                <w:rFonts w:cs="Arial"/>
                <w:szCs w:val="20"/>
              </w:rPr>
              <w:fldChar w:fldCharType="begin">
                <w:ffData>
                  <w:name w:val=""/>
                  <w:enabled/>
                  <w:calcOnExit w:val="0"/>
                  <w:checkBox>
                    <w:sizeAuto/>
                    <w:default w:val="0"/>
                  </w:checkBox>
                </w:ffData>
              </w:fldChar>
            </w:r>
            <w:r w:rsidRPr="00C3371F">
              <w:rPr>
                <w:rFonts w:cs="Arial"/>
                <w:szCs w:val="20"/>
              </w:rPr>
              <w:instrText xml:space="preserve"> FORMCHECKBOX </w:instrText>
            </w:r>
            <w:r w:rsidR="009F1345">
              <w:rPr>
                <w:rFonts w:cs="Arial"/>
                <w:szCs w:val="20"/>
              </w:rPr>
            </w:r>
            <w:r w:rsidR="009F1345">
              <w:rPr>
                <w:rFonts w:cs="Arial"/>
                <w:szCs w:val="20"/>
              </w:rPr>
              <w:fldChar w:fldCharType="separate"/>
            </w:r>
            <w:r w:rsidRPr="00C3371F">
              <w:rPr>
                <w:rFonts w:cs="Arial"/>
                <w:szCs w:val="20"/>
              </w:rPr>
              <w:fldChar w:fldCharType="end"/>
            </w:r>
            <w:r w:rsidRPr="00C3371F">
              <w:rPr>
                <w:rFonts w:cs="Arial"/>
                <w:szCs w:val="20"/>
              </w:rPr>
              <w:t xml:space="preserve">Optometrists </w:t>
            </w:r>
            <w:r w:rsidRPr="00C3371F">
              <w:rPr>
                <w:rFonts w:cs="Arial"/>
                <w:szCs w:val="20"/>
              </w:rPr>
              <w:fldChar w:fldCharType="begin">
                <w:ffData>
                  <w:name w:val="Check5"/>
                  <w:enabled/>
                  <w:calcOnExit w:val="0"/>
                  <w:checkBox>
                    <w:sizeAuto/>
                    <w:default w:val="0"/>
                  </w:checkBox>
                </w:ffData>
              </w:fldChar>
            </w:r>
            <w:r w:rsidRPr="00C3371F">
              <w:rPr>
                <w:rFonts w:cs="Arial"/>
                <w:szCs w:val="20"/>
              </w:rPr>
              <w:instrText xml:space="preserve"> FORMCHECKBOX </w:instrText>
            </w:r>
            <w:r w:rsidR="009F1345">
              <w:rPr>
                <w:rFonts w:cs="Arial"/>
                <w:szCs w:val="20"/>
              </w:rPr>
            </w:r>
            <w:r w:rsidR="009F1345">
              <w:rPr>
                <w:rFonts w:cs="Arial"/>
                <w:szCs w:val="20"/>
              </w:rPr>
              <w:fldChar w:fldCharType="separate"/>
            </w:r>
            <w:r w:rsidRPr="00C3371F">
              <w:rPr>
                <w:rFonts w:cs="Arial"/>
                <w:szCs w:val="20"/>
              </w:rPr>
              <w:fldChar w:fldCharType="end"/>
            </w:r>
            <w:r w:rsidRPr="00C3371F">
              <w:rPr>
                <w:rFonts w:cs="Arial"/>
                <w:szCs w:val="20"/>
              </w:rPr>
              <w:t>Midwives</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b/>
              </w:rPr>
              <w:t>Condition:</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t>Malignant melanoma</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b/>
              </w:rPr>
              <w:t xml:space="preserve">PBS </w:t>
            </w:r>
            <w:r w:rsidR="00503C5A">
              <w:rPr>
                <w:b/>
              </w:rPr>
              <w:t>i</w:t>
            </w:r>
            <w:r w:rsidRPr="00C3371F">
              <w:rPr>
                <w:b/>
              </w:rPr>
              <w:t>ndication:</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t>Stage III or Stage IV melanoma that is completely surgically resected</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b/>
              </w:rPr>
              <w:t>Treatment phase:</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t>Continuing treatment</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rPr>
                <w:b/>
              </w:rPr>
              <w:t>Restriction:</w:t>
            </w: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pPr>
            <w:r w:rsidRPr="00C3371F">
              <w:fldChar w:fldCharType="begin">
                <w:ffData>
                  <w:name w:val="Check5"/>
                  <w:enabled/>
                  <w:calcOnExit w:val="0"/>
                  <w:checkBox>
                    <w:sizeAuto/>
                    <w:default w:val="1"/>
                  </w:checkBox>
                </w:ffData>
              </w:fldChar>
            </w:r>
            <w:r w:rsidRPr="00C3371F">
              <w:instrText xml:space="preserve"> FORMCHECKBOX </w:instrText>
            </w:r>
            <w:r w:rsidR="009F1345">
              <w:fldChar w:fldCharType="separate"/>
            </w:r>
            <w:r w:rsidRPr="00C3371F">
              <w:fldChar w:fldCharType="end"/>
            </w:r>
            <w:r w:rsidRPr="00C3371F">
              <w:t>Streamlined</w:t>
            </w:r>
          </w:p>
        </w:tc>
      </w:tr>
      <w:tr w:rsidR="00A54F05" w:rsidRPr="00C3371F" w:rsidTr="00A75FAA">
        <w:trPr>
          <w:cantSplit/>
        </w:trPr>
        <w:tc>
          <w:tcPr>
            <w:tcW w:w="1985"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b/>
              </w:rPr>
            </w:pPr>
            <w:r w:rsidRPr="00C3371F">
              <w:rPr>
                <w:b/>
              </w:rPr>
              <w:t>Clinical criteria:</w:t>
            </w:r>
          </w:p>
          <w:p w:rsidR="00A54F05" w:rsidRPr="00C3371F" w:rsidRDefault="00A54F05" w:rsidP="00A75FAA">
            <w:pPr>
              <w:pStyle w:val="Tabletext"/>
            </w:pPr>
          </w:p>
        </w:tc>
        <w:tc>
          <w:tcPr>
            <w:tcW w:w="7087" w:type="dxa"/>
            <w:tcBorders>
              <w:top w:val="single" w:sz="4" w:space="0" w:color="auto"/>
              <w:left w:val="single" w:sz="4" w:space="0" w:color="auto"/>
              <w:bottom w:val="single" w:sz="4" w:space="0" w:color="auto"/>
              <w:right w:val="single" w:sz="4" w:space="0" w:color="auto"/>
            </w:tcBorders>
          </w:tcPr>
          <w:p w:rsidR="00A54F05" w:rsidRPr="00C3371F" w:rsidRDefault="00A54F05" w:rsidP="00A75FAA">
            <w:pPr>
              <w:pStyle w:val="Tabletext"/>
              <w:rPr>
                <w:rFonts w:eastAsia="Calibri"/>
              </w:rPr>
            </w:pPr>
            <w:r w:rsidRPr="00C3371F">
              <w:rPr>
                <w:rFonts w:eastAsia="Calibri"/>
              </w:rPr>
              <w:t>Patient must have previously been issued with an authority prescription to receive this drug as adjuvant therapy for this condition</w:t>
            </w:r>
          </w:p>
          <w:p w:rsidR="00A54F05" w:rsidRPr="00C3371F" w:rsidRDefault="00A54F05" w:rsidP="00A75FAA">
            <w:pPr>
              <w:pStyle w:val="Tabletext"/>
              <w:rPr>
                <w:rFonts w:eastAsia="Calibri"/>
              </w:rPr>
            </w:pPr>
            <w:r w:rsidRPr="00C3371F">
              <w:rPr>
                <w:rFonts w:eastAsia="Calibri"/>
              </w:rPr>
              <w:t>AND</w:t>
            </w:r>
          </w:p>
          <w:p w:rsidR="00A54F05" w:rsidRPr="00C3371F" w:rsidRDefault="00A54F05" w:rsidP="00A75FAA">
            <w:pPr>
              <w:pStyle w:val="Tabletext"/>
              <w:rPr>
                <w:rFonts w:eastAsia="Calibri"/>
              </w:rPr>
            </w:pPr>
            <w:r w:rsidRPr="00C3371F">
              <w:rPr>
                <w:rFonts w:eastAsia="Calibri"/>
              </w:rPr>
              <w:t>Patient must not have developed recurrent disease while receiving treatment as adjuvant therapy</w:t>
            </w:r>
          </w:p>
          <w:p w:rsidR="00A54F05" w:rsidRPr="00C3371F" w:rsidRDefault="00A54F05" w:rsidP="00A75FAA">
            <w:pPr>
              <w:pStyle w:val="Tabletext"/>
              <w:rPr>
                <w:rFonts w:eastAsia="Calibri"/>
              </w:rPr>
            </w:pPr>
            <w:r w:rsidRPr="00C3371F">
              <w:rPr>
                <w:rFonts w:eastAsia="Calibri"/>
              </w:rPr>
              <w:t>AND</w:t>
            </w:r>
          </w:p>
          <w:p w:rsidR="00A54F05" w:rsidRDefault="00A54F05" w:rsidP="00A75FAA">
            <w:pPr>
              <w:pStyle w:val="Tabletext"/>
              <w:rPr>
                <w:rFonts w:eastAsia="Calibri"/>
                <w:strike/>
              </w:rPr>
            </w:pPr>
            <w:r w:rsidRPr="008C4C55">
              <w:rPr>
                <w:rFonts w:eastAsia="Calibri"/>
                <w:strike/>
              </w:rPr>
              <w:t>The treatment must not have exceeded a maximum 12 months total duration.</w:t>
            </w:r>
          </w:p>
          <w:p w:rsidR="00077A5D" w:rsidRPr="008C4C55" w:rsidRDefault="00077A5D" w:rsidP="00A75FAA">
            <w:pPr>
              <w:pStyle w:val="Tabletext"/>
              <w:rPr>
                <w:rFonts w:cs="Arial"/>
                <w:i/>
              </w:rPr>
            </w:pPr>
            <w:r>
              <w:rPr>
                <w:rFonts w:eastAsia="Calibri"/>
                <w:i/>
              </w:rPr>
              <w:t>The treatment must not exceed a dose of 3 mg per kg every 2 weeks for a period of 12 months in total (initial plus continuing therapy),</w:t>
            </w:r>
          </w:p>
        </w:tc>
      </w:tr>
    </w:tbl>
    <w:p w:rsidR="00FA60D3" w:rsidRPr="00C3371F" w:rsidRDefault="00FA60D3" w:rsidP="00224029"/>
    <w:p w:rsidR="00224029" w:rsidRPr="005C7AC1" w:rsidRDefault="00224029" w:rsidP="000B6DBA">
      <w:pPr>
        <w:pStyle w:val="ListParagraph"/>
        <w:widowControl/>
        <w:numPr>
          <w:ilvl w:val="1"/>
          <w:numId w:val="1"/>
        </w:numPr>
      </w:pPr>
      <w:r w:rsidRPr="00FD3ADC">
        <w:t xml:space="preserve">The submission did not </w:t>
      </w:r>
      <w:r w:rsidR="00533EDB" w:rsidRPr="00FD3ADC">
        <w:t>propose a</w:t>
      </w:r>
      <w:r w:rsidR="00226FDB">
        <w:t xml:space="preserve"> S</w:t>
      </w:r>
      <w:r w:rsidRPr="00FD3ADC">
        <w:t xml:space="preserve">pecial </w:t>
      </w:r>
      <w:r w:rsidR="00226FDB">
        <w:t>P</w:t>
      </w:r>
      <w:r w:rsidRPr="00FD3ADC">
        <w:t xml:space="preserve">ricing </w:t>
      </w:r>
      <w:r w:rsidR="00226FDB">
        <w:t>A</w:t>
      </w:r>
      <w:r w:rsidRPr="00FD3ADC">
        <w:t>rrangement</w:t>
      </w:r>
      <w:r w:rsidR="00226FDB">
        <w:t xml:space="preserve"> (SPA)</w:t>
      </w:r>
      <w:r w:rsidRPr="00FD3ADC">
        <w:t xml:space="preserve">. </w:t>
      </w:r>
      <w:r w:rsidR="00226FDB">
        <w:t>SPAs</w:t>
      </w:r>
      <w:r w:rsidR="00C940C4" w:rsidRPr="00FD3ADC">
        <w:t xml:space="preserve"> apply to the current PBS listings for nivolumab for the treatment of </w:t>
      </w:r>
      <w:r w:rsidR="00C940C4" w:rsidRPr="005C7AC1">
        <w:t>renal cell carcinoma and non-small cell lung cancer</w:t>
      </w:r>
      <w:r w:rsidR="00226FDB">
        <w:t>;</w:t>
      </w:r>
      <w:r w:rsidR="00C940C4" w:rsidRPr="005C7AC1">
        <w:t xml:space="preserve"> however, do not apply to the listing for unresectable Stage III or Stage IV melanoma. </w:t>
      </w:r>
      <w:r w:rsidR="00226FDB">
        <w:t>There is a Risk Share Arrangement (</w:t>
      </w:r>
      <w:r w:rsidR="00F04C60" w:rsidRPr="005C7AC1">
        <w:t>RSA</w:t>
      </w:r>
      <w:r w:rsidR="00226FDB">
        <w:t>),</w:t>
      </w:r>
      <w:r w:rsidR="00F04C60" w:rsidRPr="005C7AC1">
        <w:t xml:space="preserve"> in the form of annual expenditure caps</w:t>
      </w:r>
      <w:r w:rsidR="00226FDB">
        <w:t>,</w:t>
      </w:r>
      <w:r w:rsidR="00F04C60" w:rsidRPr="005C7AC1">
        <w:t xml:space="preserve"> in place for the treatment of unresectable Stage III or Stage IV malignant melanoma, which is shared by the sponsors for pembrolizumab and nivolumab. If nivolumab becomes available on the PBS as an adjuvant treatment fo</w:t>
      </w:r>
      <w:r w:rsidR="00226FDB">
        <w:t xml:space="preserve">r completely resected Stage III or Stage </w:t>
      </w:r>
      <w:r w:rsidR="00F04C60" w:rsidRPr="005C7AC1">
        <w:t>IV melanoma, this will likely have downstream consequences for the utilisation of the shared caps between pembrolizumab and nivol</w:t>
      </w:r>
      <w:r w:rsidR="00226FDB">
        <w:t xml:space="preserve">umab for unresectable Stage III or Stage </w:t>
      </w:r>
      <w:r w:rsidR="00F04C60" w:rsidRPr="005C7AC1">
        <w:t>IV malignant melanoma</w:t>
      </w:r>
      <w:r w:rsidR="004C3EB8" w:rsidRPr="005C7AC1">
        <w:t xml:space="preserve"> (see paragraph </w:t>
      </w:r>
      <w:r w:rsidR="004C3EB8" w:rsidRPr="002F4912">
        <w:t>6</w:t>
      </w:r>
      <w:r w:rsidR="00F04C60" w:rsidRPr="002F4912">
        <w:t>.</w:t>
      </w:r>
      <w:r w:rsidR="008C4C55" w:rsidRPr="002F4912">
        <w:t>67</w:t>
      </w:r>
      <w:r w:rsidR="004C3EB8" w:rsidRPr="005C7AC1">
        <w:t xml:space="preserve"> below). </w:t>
      </w:r>
      <w:r w:rsidR="00F04C60" w:rsidRPr="005C7AC1">
        <w:t xml:space="preserve"> </w:t>
      </w:r>
    </w:p>
    <w:p w:rsidR="00224029" w:rsidRPr="005C7AC1" w:rsidRDefault="00224029" w:rsidP="000B6DBA">
      <w:pPr>
        <w:pStyle w:val="ListParagraph"/>
        <w:widowControl/>
        <w:numPr>
          <w:ilvl w:val="1"/>
          <w:numId w:val="1"/>
        </w:numPr>
      </w:pPr>
      <w:r w:rsidRPr="005C7AC1">
        <w:t>The requested restriction for initial treatment does not state th</w:t>
      </w:r>
      <w:r w:rsidR="0022418A" w:rsidRPr="005C7AC1">
        <w:t>at</w:t>
      </w:r>
      <w:r w:rsidRPr="005C7AC1">
        <w:t xml:space="preserve"> patients must not have received prior adjuvant treatment with a </w:t>
      </w:r>
      <w:r w:rsidR="00394E9D" w:rsidRPr="005C7AC1">
        <w:t xml:space="preserve">programmed </w:t>
      </w:r>
      <w:r w:rsidR="0022418A" w:rsidRPr="005C7AC1">
        <w:t xml:space="preserve">cell </w:t>
      </w:r>
      <w:r w:rsidR="00394E9D" w:rsidRPr="005C7AC1">
        <w:t>death-1 (</w:t>
      </w:r>
      <w:r w:rsidRPr="005C7AC1">
        <w:t>PD-1</w:t>
      </w:r>
      <w:r w:rsidR="00394E9D" w:rsidRPr="005C7AC1">
        <w:t>)</w:t>
      </w:r>
      <w:r w:rsidRPr="005C7AC1">
        <w:t xml:space="preserve"> inhibitor for this condition.</w:t>
      </w:r>
      <w:r w:rsidR="00AA09EB" w:rsidRPr="005C7AC1">
        <w:t xml:space="preserve">  </w:t>
      </w:r>
      <w:r w:rsidR="002876CF" w:rsidRPr="005C7AC1">
        <w:t>The ESC noted that the submission stated</w:t>
      </w:r>
      <w:r w:rsidR="00AA09EB" w:rsidRPr="005C7AC1">
        <w:t>, “</w:t>
      </w:r>
      <w:proofErr w:type="gramStart"/>
      <w:r w:rsidR="00AA09EB" w:rsidRPr="005C7AC1">
        <w:t>it</w:t>
      </w:r>
      <w:proofErr w:type="gramEnd"/>
      <w:r w:rsidR="00AA09EB" w:rsidRPr="005C7AC1">
        <w:t xml:space="preserve"> is proposed that patients receive treatment with a PD-1 inhibitor monotherapy on the </w:t>
      </w:r>
      <w:r w:rsidR="00AA09EB" w:rsidRPr="005C7AC1">
        <w:lastRenderedPageBreak/>
        <w:t>PBS only once in the adjuvant melanoma treatment setting.”</w:t>
      </w:r>
      <w:r w:rsidR="002876CF" w:rsidRPr="005C7AC1">
        <w:t xml:space="preserve"> The ESC further noted that retreatment with nivolumab adjuvant therapy was not included in the economic evaluation or financial analyses. </w:t>
      </w:r>
      <w:r w:rsidR="00AA09EB" w:rsidRPr="00FE01A4">
        <w:t xml:space="preserve">The </w:t>
      </w:r>
      <w:r w:rsidR="009E6351" w:rsidRPr="00FE01A4">
        <w:t xml:space="preserve">PBAC and </w:t>
      </w:r>
      <w:r w:rsidR="00AA09EB" w:rsidRPr="00FE01A4">
        <w:t>ESC therefore advised that the criterion, “Patient must not have received prior treatment with a PD-1 inhibitor for this condition” be included in the initial treatment restriction</w:t>
      </w:r>
      <w:r w:rsidR="00AA09EB" w:rsidRPr="005C7AC1">
        <w:t xml:space="preserve">. </w:t>
      </w:r>
    </w:p>
    <w:p w:rsidR="002876CF" w:rsidRPr="005C7AC1" w:rsidRDefault="002876CF" w:rsidP="000B6DBA">
      <w:pPr>
        <w:pStyle w:val="ListParagraph"/>
        <w:widowControl/>
        <w:numPr>
          <w:ilvl w:val="1"/>
          <w:numId w:val="1"/>
        </w:numPr>
      </w:pPr>
      <w:r w:rsidRPr="005C7AC1">
        <w:t>The ESC noted that the submission stated (</w:t>
      </w:r>
      <w:proofErr w:type="spellStart"/>
      <w:r w:rsidRPr="005C7AC1">
        <w:t>pxiv</w:t>
      </w:r>
      <w:proofErr w:type="spellEnd"/>
      <w:r w:rsidRPr="005C7AC1">
        <w:t xml:space="preserve">), “in practice, it is anticipated a minority of patients would receive a PD-1 inhibitor as monotherapy in both adjuvant and metastatic settings”. </w:t>
      </w:r>
      <w:r w:rsidR="00D2570F" w:rsidRPr="005C7AC1">
        <w:t>The ESC</w:t>
      </w:r>
      <w:r w:rsidRPr="005C7AC1">
        <w:t xml:space="preserve"> </w:t>
      </w:r>
      <w:r w:rsidR="00D2570F" w:rsidRPr="005C7AC1">
        <w:t xml:space="preserve">noted that, if patients were permitted to access PBS-subsidised PD-1 inhibitor therapy more than once in a lifetime, the initial treatment restriction for the current PD-1 inhibitor PBS listings for unresectable Stage III or Stage IV malignant melanoma would need to be changed to allow use in both the adjuvant and unresectable settings. </w:t>
      </w:r>
      <w:r w:rsidR="000E29F9" w:rsidRPr="005C7AC1">
        <w:t>The ESC further noted that the PSCR acknowledged that the impact of sequencing of PD-1 inhibitor therapy from adjuvant to metastatic settings remains an area of uncertainty.</w:t>
      </w:r>
      <w:r w:rsidR="007C1DF0">
        <w:t xml:space="preserve"> </w:t>
      </w:r>
      <w:r w:rsidR="008C6997" w:rsidRPr="007C1DF0">
        <w:t xml:space="preserve">The pre-PBAC response noted that a number of agents were listed in both the adjuvant and metastatic settings without supporting trial evidence (e.g. </w:t>
      </w:r>
      <w:proofErr w:type="spellStart"/>
      <w:r w:rsidR="008C6997" w:rsidRPr="007C1DF0">
        <w:t>trastuzumab</w:t>
      </w:r>
      <w:proofErr w:type="spellEnd"/>
      <w:r w:rsidR="008C6997" w:rsidRPr="007C1DF0">
        <w:t xml:space="preserve"> in breast cancer and imatinib in gastro-intestinal stromal tumour). In each case, the PBS restriction for metastatic treatment did not exclude patients who had previously received adjuvant therapy.</w:t>
      </w:r>
      <w:r w:rsidR="008C6997">
        <w:t xml:space="preserve"> </w:t>
      </w:r>
      <w:r w:rsidR="0040435C">
        <w:t xml:space="preserve">The pre-PBAC response claimed that </w:t>
      </w:r>
      <w:r w:rsidR="008C6997">
        <w:t>patients who relapsed prior to completing of 12 months of nivolumab adjuvant treatment</w:t>
      </w:r>
      <w:r w:rsidR="0040435C">
        <w:t xml:space="preserve"> would not be eligible for PD-1 treatment in the unresectable setting</w:t>
      </w:r>
      <w:r w:rsidR="008C6997">
        <w:t xml:space="preserve"> under the sequencing restriction proposed in the submission.</w:t>
      </w:r>
    </w:p>
    <w:p w:rsidR="00224029" w:rsidRPr="005C7AC1" w:rsidRDefault="006A0938" w:rsidP="000B6DBA">
      <w:pPr>
        <w:pStyle w:val="ListParagraph"/>
        <w:widowControl/>
        <w:numPr>
          <w:ilvl w:val="1"/>
          <w:numId w:val="1"/>
        </w:numPr>
      </w:pPr>
      <w:r w:rsidRPr="005C7AC1">
        <w:t xml:space="preserve">The </w:t>
      </w:r>
      <w:r w:rsidR="009E6351">
        <w:t xml:space="preserve">PBAC and </w:t>
      </w:r>
      <w:r w:rsidRPr="005C7AC1">
        <w:t>ESC advised</w:t>
      </w:r>
      <w:r w:rsidR="00224029" w:rsidRPr="005C7AC1">
        <w:t xml:space="preserve"> that the criterion regarding the maximum duration of treatment be amended to </w:t>
      </w:r>
      <w:r w:rsidR="00224029" w:rsidRPr="00FE01A4">
        <w:t>‘The treatment must not exceed a dose of 3 mg per kg every 2 weeks for a period of 12 months in total (initial plus continuing therapy).’</w:t>
      </w:r>
    </w:p>
    <w:p w:rsidR="00224029" w:rsidRPr="005C7AC1" w:rsidRDefault="00C80D34" w:rsidP="000B6DBA">
      <w:pPr>
        <w:pStyle w:val="ListParagraph"/>
        <w:widowControl/>
        <w:numPr>
          <w:ilvl w:val="1"/>
          <w:numId w:val="1"/>
        </w:numPr>
      </w:pPr>
      <w:r w:rsidRPr="005C7AC1">
        <w:t xml:space="preserve">The </w:t>
      </w:r>
      <w:r w:rsidR="009E6351">
        <w:t xml:space="preserve">PBAC noted that the </w:t>
      </w:r>
      <w:r w:rsidRPr="005C7AC1">
        <w:t>submission did not present any</w:t>
      </w:r>
      <w:r w:rsidR="00224029" w:rsidRPr="005C7AC1">
        <w:t xml:space="preserve"> comparative evidence for the effectiveness and safety of nivolumab v</w:t>
      </w:r>
      <w:r w:rsidR="00226FDB">
        <w:t>ersu</w:t>
      </w:r>
      <w:r w:rsidR="00224029" w:rsidRPr="005C7AC1">
        <w:t>s observation (placebo) in the following subset</w:t>
      </w:r>
      <w:r w:rsidRPr="005C7AC1">
        <w:t>s</w:t>
      </w:r>
      <w:r w:rsidR="00224029" w:rsidRPr="005C7AC1">
        <w:t xml:space="preserve"> of patients who would be eligible for PBS-subsidised adjuvant treatment under the requested restriction:</w:t>
      </w:r>
    </w:p>
    <w:p w:rsidR="00224029" w:rsidRPr="005C7AC1" w:rsidRDefault="00224029" w:rsidP="000B6DBA">
      <w:pPr>
        <w:pStyle w:val="ListParagraph"/>
        <w:numPr>
          <w:ilvl w:val="0"/>
          <w:numId w:val="4"/>
        </w:numPr>
      </w:pPr>
      <w:r w:rsidRPr="005C7AC1">
        <w:t>Patients with</w:t>
      </w:r>
      <w:r w:rsidR="00EA10E9" w:rsidRPr="005C7AC1">
        <w:t xml:space="preserve"> completely resected</w:t>
      </w:r>
      <w:r w:rsidRPr="005C7AC1">
        <w:t xml:space="preserve"> Stage IIIA or Sta</w:t>
      </w:r>
      <w:r w:rsidR="00EA10E9" w:rsidRPr="005C7AC1">
        <w:t>ge IV melanoma</w:t>
      </w:r>
      <w:r w:rsidRPr="005C7AC1">
        <w:t>;</w:t>
      </w:r>
    </w:p>
    <w:p w:rsidR="00224029" w:rsidRPr="005C7AC1" w:rsidRDefault="00224029" w:rsidP="000B6DBA">
      <w:pPr>
        <w:pStyle w:val="ListParagraph"/>
        <w:numPr>
          <w:ilvl w:val="0"/>
          <w:numId w:val="4"/>
        </w:numPr>
      </w:pPr>
      <w:r w:rsidRPr="005C7AC1">
        <w:t>Patients with mucosal or ocular melanoma;</w:t>
      </w:r>
    </w:p>
    <w:p w:rsidR="00224029" w:rsidRPr="005C7AC1" w:rsidRDefault="00224029" w:rsidP="000B6DBA">
      <w:pPr>
        <w:pStyle w:val="ListParagraph"/>
        <w:numPr>
          <w:ilvl w:val="0"/>
          <w:numId w:val="4"/>
        </w:numPr>
      </w:pPr>
      <w:r w:rsidRPr="005C7AC1">
        <w:t>Patients who had received prior anti-cancer treatment, other than surgery, for melanoma; and</w:t>
      </w:r>
    </w:p>
    <w:p w:rsidR="00224029" w:rsidRDefault="00224029" w:rsidP="000B6DBA">
      <w:pPr>
        <w:pStyle w:val="ListParagraph"/>
        <w:numPr>
          <w:ilvl w:val="0"/>
          <w:numId w:val="4"/>
        </w:numPr>
      </w:pPr>
      <w:r w:rsidRPr="00C3371F">
        <w:t>Patients with an Eastern Cooperative Oncology Group (ECOG) performance status &gt;1.</w:t>
      </w:r>
    </w:p>
    <w:p w:rsidR="00FA60D3" w:rsidRPr="009F1345" w:rsidRDefault="005C7AC1" w:rsidP="009F1345">
      <w:pPr>
        <w:ind w:left="720"/>
        <w:rPr>
          <w:i/>
        </w:rPr>
      </w:pPr>
      <w:r w:rsidRPr="005C7AC1">
        <w:rPr>
          <w:i/>
        </w:rPr>
        <w:t xml:space="preserve">For more detail on PBAC’s view, see section 7 </w:t>
      </w:r>
      <w:r w:rsidR="00F63678">
        <w:rPr>
          <w:i/>
        </w:rPr>
        <w:t xml:space="preserve">PBAC </w:t>
      </w:r>
      <w:r w:rsidRPr="005C7AC1">
        <w:rPr>
          <w:i/>
        </w:rPr>
        <w:t>outcome.</w:t>
      </w:r>
    </w:p>
    <w:p w:rsidR="00697BBB" w:rsidRPr="009F1345" w:rsidRDefault="00224029" w:rsidP="00224029">
      <w:pPr>
        <w:pStyle w:val="PBACHeading1"/>
        <w:spacing w:before="240" w:after="120"/>
        <w:outlineLvl w:val="0"/>
      </w:pPr>
      <w:bookmarkStart w:id="2" w:name="_Toc511661673"/>
      <w:r w:rsidRPr="00C3371F">
        <w:t>Background</w:t>
      </w:r>
      <w:bookmarkEnd w:id="2"/>
    </w:p>
    <w:p w:rsidR="00224029" w:rsidRPr="009F1345" w:rsidRDefault="00224029" w:rsidP="009F1345">
      <w:pPr>
        <w:keepNext/>
        <w:keepLines/>
        <w:spacing w:before="240" w:after="120"/>
        <w:rPr>
          <w:b/>
          <w:sz w:val="28"/>
          <w:szCs w:val="28"/>
        </w:rPr>
      </w:pPr>
      <w:r w:rsidRPr="00C3371F">
        <w:rPr>
          <w:b/>
          <w:sz w:val="28"/>
          <w:szCs w:val="28"/>
        </w:rPr>
        <w:lastRenderedPageBreak/>
        <w:t>Registration status</w:t>
      </w:r>
      <w:bookmarkStart w:id="3" w:name="_GoBack"/>
      <w:bookmarkEnd w:id="3"/>
    </w:p>
    <w:p w:rsidR="0040435C" w:rsidRDefault="00224029" w:rsidP="009F1345">
      <w:pPr>
        <w:pStyle w:val="ListParagraph"/>
        <w:keepNext/>
        <w:keepLines/>
        <w:widowControl/>
        <w:numPr>
          <w:ilvl w:val="1"/>
          <w:numId w:val="1"/>
        </w:numPr>
      </w:pPr>
      <w:r w:rsidRPr="00C3371F">
        <w:t xml:space="preserve">The </w:t>
      </w:r>
      <w:r w:rsidR="00DA11F3" w:rsidRPr="00C3371F">
        <w:t xml:space="preserve">approved </w:t>
      </w:r>
      <w:r w:rsidRPr="00C3371F">
        <w:t xml:space="preserve">TGA indication is: nivolumab as monotherapy for the adjuvant treatment of patients with </w:t>
      </w:r>
      <w:r w:rsidR="00DA11F3" w:rsidRPr="00C3371F">
        <w:t xml:space="preserve">melanoma with involvement of lymph nodes or metastatic disease who have undergone complete resection. </w:t>
      </w:r>
    </w:p>
    <w:p w:rsidR="00224029" w:rsidRDefault="00DA11F3" w:rsidP="000B6DBA">
      <w:pPr>
        <w:pStyle w:val="ListParagraph"/>
        <w:widowControl/>
        <w:numPr>
          <w:ilvl w:val="1"/>
          <w:numId w:val="1"/>
        </w:numPr>
      </w:pPr>
      <w:r w:rsidRPr="00C3371F">
        <w:t>Th</w:t>
      </w:r>
      <w:r w:rsidR="0039130D" w:rsidRPr="00C3371F">
        <w:t>e patient population</w:t>
      </w:r>
      <w:r w:rsidRPr="00C3371F">
        <w:t xml:space="preserve"> defined in this indication </w:t>
      </w:r>
      <w:r w:rsidR="0039130D" w:rsidRPr="00C3371F">
        <w:t>is</w:t>
      </w:r>
      <w:r w:rsidRPr="00C3371F">
        <w:t xml:space="preserve"> </w:t>
      </w:r>
      <w:r w:rsidR="00183DC9" w:rsidRPr="00C3371F">
        <w:t>identical to</w:t>
      </w:r>
      <w:r w:rsidRPr="00C3371F">
        <w:t xml:space="preserve"> </w:t>
      </w:r>
      <w:r w:rsidR="00143A88" w:rsidRPr="00C3371F">
        <w:t>th</w:t>
      </w:r>
      <w:r w:rsidR="0039130D" w:rsidRPr="00C3371F">
        <w:t>at</w:t>
      </w:r>
      <w:r w:rsidRPr="00C3371F">
        <w:t xml:space="preserve"> for wh</w:t>
      </w:r>
      <w:r w:rsidR="0039130D" w:rsidRPr="00C3371F">
        <w:t>ich PBS listing wa</w:t>
      </w:r>
      <w:r w:rsidRPr="00C3371F">
        <w:t xml:space="preserve">s requested, namely </w:t>
      </w:r>
      <w:r w:rsidR="00143A88" w:rsidRPr="00C3371F">
        <w:t>patients</w:t>
      </w:r>
      <w:r w:rsidRPr="00C3371F">
        <w:t xml:space="preserve"> with complete</w:t>
      </w:r>
      <w:r w:rsidR="00B27648" w:rsidRPr="00C3371F">
        <w:t xml:space="preserve">ly </w:t>
      </w:r>
      <w:r w:rsidRPr="00C3371F">
        <w:t>resected Stage III or Stage IV melanoma.</w:t>
      </w:r>
    </w:p>
    <w:p w:rsidR="00224029" w:rsidRPr="009F1345" w:rsidRDefault="00224029" w:rsidP="009F1345">
      <w:pPr>
        <w:widowControl/>
        <w:spacing w:before="240" w:after="120"/>
        <w:rPr>
          <w:b/>
          <w:sz w:val="28"/>
          <w:szCs w:val="28"/>
        </w:rPr>
      </w:pPr>
      <w:r w:rsidRPr="00C3371F">
        <w:rPr>
          <w:b/>
          <w:sz w:val="28"/>
          <w:szCs w:val="28"/>
        </w:rPr>
        <w:t>Previous PBAC consideration</w:t>
      </w:r>
    </w:p>
    <w:p w:rsidR="00224029" w:rsidRPr="00C3371F" w:rsidRDefault="00224029" w:rsidP="000B6DBA">
      <w:pPr>
        <w:pStyle w:val="ListParagraph"/>
        <w:widowControl/>
        <w:numPr>
          <w:ilvl w:val="1"/>
          <w:numId w:val="1"/>
        </w:numPr>
      </w:pPr>
      <w:r w:rsidRPr="00C3371F">
        <w:t>This is the first PBAC consideration of nivolumab for the proposed indication.</w:t>
      </w:r>
    </w:p>
    <w:p w:rsidR="00224029" w:rsidRPr="00C3371F" w:rsidRDefault="00224029" w:rsidP="000B6DBA">
      <w:pPr>
        <w:pStyle w:val="ListParagraph"/>
        <w:widowControl/>
        <w:numPr>
          <w:ilvl w:val="1"/>
          <w:numId w:val="1"/>
        </w:numPr>
      </w:pPr>
      <w:r w:rsidRPr="00C3371F">
        <w:t>Nivolumab is currently PBS listed for:</w:t>
      </w:r>
    </w:p>
    <w:p w:rsidR="00224029" w:rsidRPr="00C3371F" w:rsidRDefault="00224029" w:rsidP="000B6DBA">
      <w:pPr>
        <w:pStyle w:val="ListParagraph"/>
        <w:numPr>
          <w:ilvl w:val="0"/>
          <w:numId w:val="4"/>
        </w:numPr>
      </w:pPr>
      <w:r w:rsidRPr="00C3371F">
        <w:t>Unresectable Stage III or Stage IV malignant melanoma who have not received prior treatment with ipilimumab or a PD-1 inhibitor for this condition;</w:t>
      </w:r>
    </w:p>
    <w:p w:rsidR="00224029" w:rsidRPr="00C3371F" w:rsidRDefault="00224029" w:rsidP="000B6DBA">
      <w:pPr>
        <w:pStyle w:val="ListParagraph"/>
        <w:numPr>
          <w:ilvl w:val="0"/>
          <w:numId w:val="4"/>
        </w:numPr>
      </w:pPr>
      <w:r w:rsidRPr="00C3371F">
        <w:t>Locally advanced or metastatic non-small cell lung cancer who have progressed on or after prior platinum based chemotherapy;</w:t>
      </w:r>
    </w:p>
    <w:p w:rsidR="00224029" w:rsidRDefault="00224029" w:rsidP="000B6DBA">
      <w:pPr>
        <w:pStyle w:val="ListParagraph"/>
        <w:numPr>
          <w:ilvl w:val="0"/>
          <w:numId w:val="4"/>
        </w:numPr>
      </w:pPr>
      <w:r w:rsidRPr="00C3371F">
        <w:t xml:space="preserve">Stage IV clear cell variant renal cell carcinoma who have progressive disease following first-line treatment with a </w:t>
      </w:r>
      <w:r w:rsidR="00862429" w:rsidRPr="00C3371F">
        <w:t>tyrosine kinase inhibitor (</w:t>
      </w:r>
      <w:r w:rsidRPr="00C3371F">
        <w:t>TKI</w:t>
      </w:r>
      <w:r w:rsidR="00862429" w:rsidRPr="00C3371F">
        <w:t>)</w:t>
      </w:r>
      <w:r w:rsidRPr="00C3371F">
        <w:t xml:space="preserve"> or who have developed intolerance to a TKI of a severity necessitating permanent treatment withdrawal.</w:t>
      </w:r>
    </w:p>
    <w:p w:rsidR="005C7AC1" w:rsidRPr="009F1345" w:rsidRDefault="005C7AC1" w:rsidP="009F1345">
      <w:pPr>
        <w:ind w:left="720"/>
        <w:rPr>
          <w:i/>
        </w:rPr>
      </w:pPr>
      <w:r w:rsidRPr="005C7AC1">
        <w:rPr>
          <w:i/>
        </w:rPr>
        <w:t xml:space="preserve">For more detail on PBAC’s view, see section 7 </w:t>
      </w:r>
      <w:r w:rsidR="00F63678">
        <w:rPr>
          <w:i/>
        </w:rPr>
        <w:t xml:space="preserve">PBAC </w:t>
      </w:r>
      <w:r w:rsidRPr="005C7AC1">
        <w:rPr>
          <w:i/>
        </w:rPr>
        <w:t>outcome.</w:t>
      </w:r>
    </w:p>
    <w:p w:rsidR="00224029" w:rsidRPr="00C3371F" w:rsidRDefault="00224029" w:rsidP="00224029">
      <w:pPr>
        <w:pStyle w:val="PBACHeading1"/>
        <w:spacing w:before="240" w:after="120"/>
        <w:outlineLvl w:val="0"/>
      </w:pPr>
      <w:bookmarkStart w:id="4" w:name="_Toc511661674"/>
      <w:r w:rsidRPr="00C3371F">
        <w:t>Population and disease</w:t>
      </w:r>
      <w:bookmarkEnd w:id="4"/>
    </w:p>
    <w:p w:rsidR="00224029" w:rsidRPr="00C3371F" w:rsidRDefault="00224029" w:rsidP="000B6DBA">
      <w:pPr>
        <w:pStyle w:val="ListParagraph"/>
        <w:widowControl/>
        <w:numPr>
          <w:ilvl w:val="1"/>
          <w:numId w:val="1"/>
        </w:numPr>
      </w:pPr>
      <w:r w:rsidRPr="00C3371F">
        <w:t xml:space="preserve">Patients who have completely resected Stage III </w:t>
      </w:r>
      <w:r w:rsidR="00226FDB">
        <w:t>or Stage</w:t>
      </w:r>
      <w:r w:rsidRPr="00C3371F">
        <w:t xml:space="preserve"> IV melanoma are at high-risk of developing unresectable disease recurrence, which, in many cases, includes distant metastases. Despite the availability of immunotherapies and targeted therapies for the treatment of advanced</w:t>
      </w:r>
      <w:r w:rsidR="00226FDB">
        <w:t xml:space="preserve"> and</w:t>
      </w:r>
      <w:r w:rsidRPr="00C3371F">
        <w:t>/</w:t>
      </w:r>
      <w:r w:rsidR="00226FDB">
        <w:t xml:space="preserve">or </w:t>
      </w:r>
      <w:r w:rsidRPr="00C3371F">
        <w:t>metastatic melanoma, unresectable disease remains associated with high mortality. To reduce the risk of relapse post resection, high-risk patients may be considered candidates for adjuvant treatment.</w:t>
      </w:r>
      <w:r w:rsidR="00F34DC8" w:rsidRPr="00C3371F">
        <w:rPr>
          <w:rStyle w:val="FootnoteReference"/>
        </w:rPr>
        <w:footnoteReference w:id="1"/>
      </w:r>
    </w:p>
    <w:p w:rsidR="007D2AD4" w:rsidRPr="005C7AC1" w:rsidRDefault="007D2AD4" w:rsidP="000B6DBA">
      <w:pPr>
        <w:pStyle w:val="ListParagraph"/>
        <w:widowControl/>
        <w:numPr>
          <w:ilvl w:val="1"/>
          <w:numId w:val="1"/>
        </w:numPr>
      </w:pPr>
      <w:r w:rsidRPr="005C7AC1">
        <w:t xml:space="preserve">Stage III melanoma </w:t>
      </w:r>
      <w:r w:rsidR="00461FFB" w:rsidRPr="005C7AC1">
        <w:t>includes patients with involvement of regional lymph nodes or the presence of in transit or satellite metastases. U</w:t>
      </w:r>
      <w:r w:rsidRPr="005C7AC1">
        <w:t xml:space="preserve">nder the </w:t>
      </w:r>
      <w:r w:rsidR="00461FFB" w:rsidRPr="005C7AC1">
        <w:t xml:space="preserve">8th edition of the </w:t>
      </w:r>
      <w:r w:rsidR="00D8456C" w:rsidRPr="005C7AC1">
        <w:t>American Joint Committee on Cancer (</w:t>
      </w:r>
      <w:r w:rsidR="00461FFB" w:rsidRPr="005C7AC1">
        <w:t>AJCC</w:t>
      </w:r>
      <w:r w:rsidR="00D8456C" w:rsidRPr="005C7AC1">
        <w:t>)</w:t>
      </w:r>
      <w:r w:rsidR="00461FFB" w:rsidRPr="005C7AC1">
        <w:t xml:space="preserve"> Cancer Staging Manual</w:t>
      </w:r>
      <w:r w:rsidR="00461FFB" w:rsidRPr="005C7AC1">
        <w:rPr>
          <w:rStyle w:val="FootnoteReference"/>
        </w:rPr>
        <w:footnoteReference w:id="2"/>
      </w:r>
      <w:r w:rsidR="00461FFB" w:rsidRPr="005C7AC1">
        <w:t>,</w:t>
      </w:r>
      <w:r w:rsidRPr="005C7AC1">
        <w:t xml:space="preserve"> </w:t>
      </w:r>
      <w:r w:rsidR="00461FFB" w:rsidRPr="005C7AC1">
        <w:t xml:space="preserve">these patients </w:t>
      </w:r>
      <w:r w:rsidRPr="005C7AC1">
        <w:lastRenderedPageBreak/>
        <w:t xml:space="preserve">are subdivided into </w:t>
      </w:r>
      <w:r w:rsidR="00461FFB" w:rsidRPr="005C7AC1">
        <w:t>four prognostic sub-stages (Stages IIIA-IIID) depending upon the extent of lymphatic involvement and the characteristics of the primary tumour</w:t>
      </w:r>
      <w:r w:rsidR="001D67EA" w:rsidRPr="005C7AC1">
        <w:rPr>
          <w:rStyle w:val="FootnoteReference"/>
        </w:rPr>
        <w:footnoteReference w:id="3"/>
      </w:r>
      <w:r w:rsidR="00461FFB" w:rsidRPr="005C7AC1">
        <w:t xml:space="preserve">. Stage IV disease is defined by the presence of distant metastases and there are no subgroups. </w:t>
      </w:r>
      <w:r w:rsidR="001D67EA" w:rsidRPr="005C7AC1">
        <w:t xml:space="preserve">The </w:t>
      </w:r>
      <w:r w:rsidR="00461FFB" w:rsidRPr="005C7AC1">
        <w:t xml:space="preserve">10-year melanoma specific </w:t>
      </w:r>
      <w:r w:rsidR="001D67EA" w:rsidRPr="005C7AC1">
        <w:t>survival (MSS) rates for Stages IIIA, IIIB, IIIC and IIID were estimated to be 88%, 77%, 60% and 24%,</w:t>
      </w:r>
      <w:r w:rsidR="008E3FD0" w:rsidRPr="005C7AC1">
        <w:t xml:space="preserve"> respectively,</w:t>
      </w:r>
      <w:r w:rsidR="001D67EA" w:rsidRPr="005C7AC1">
        <w:t xml:space="preserve"> while the MSS rate in patients with Stage IV disease ranged from 10</w:t>
      </w:r>
      <w:r w:rsidR="00226FDB">
        <w:t xml:space="preserve">% to </w:t>
      </w:r>
      <w:r w:rsidR="001D67EA" w:rsidRPr="005C7AC1">
        <w:t>20%, dependent on the site of metastases and serum lactate dehydrogenase levels.</w:t>
      </w:r>
      <w:r w:rsidR="00B94371" w:rsidRPr="005C7AC1">
        <w:t xml:space="preserve"> The ESC noted the prognosis varied widely by disease </w:t>
      </w:r>
      <w:r w:rsidR="00CB1DC5" w:rsidRPr="005C7AC1">
        <w:t>s</w:t>
      </w:r>
      <w:r w:rsidR="00B94371" w:rsidRPr="005C7AC1">
        <w:t xml:space="preserve">tage and therefore that the </w:t>
      </w:r>
      <w:proofErr w:type="spellStart"/>
      <w:r w:rsidR="00B94371" w:rsidRPr="005C7AC1">
        <w:t>benefit</w:t>
      </w:r>
      <w:proofErr w:type="gramStart"/>
      <w:r w:rsidR="00B94371" w:rsidRPr="005C7AC1">
        <w:t>:risk</w:t>
      </w:r>
      <w:proofErr w:type="spellEnd"/>
      <w:proofErr w:type="gramEnd"/>
      <w:r w:rsidR="00B94371" w:rsidRPr="005C7AC1">
        <w:t xml:space="preserve"> ratio of adjuvant nivolumab therapy would also vary by stage, and considered the </w:t>
      </w:r>
      <w:proofErr w:type="spellStart"/>
      <w:r w:rsidR="00B94371" w:rsidRPr="005C7AC1">
        <w:t>benefit:risk</w:t>
      </w:r>
      <w:proofErr w:type="spellEnd"/>
      <w:r w:rsidR="00B94371" w:rsidRPr="005C7AC1">
        <w:t xml:space="preserve"> ratio for earlier stages of melanoma (Stage IIIA/B resected) to be uncertain.</w:t>
      </w:r>
    </w:p>
    <w:p w:rsidR="00224029" w:rsidRPr="00C3371F" w:rsidRDefault="00224029" w:rsidP="000B6DBA">
      <w:pPr>
        <w:pStyle w:val="ListParagraph"/>
        <w:widowControl/>
        <w:numPr>
          <w:ilvl w:val="1"/>
          <w:numId w:val="1"/>
        </w:numPr>
      </w:pPr>
      <w:r w:rsidRPr="00C3371F">
        <w:t xml:space="preserve">In Australia, </w:t>
      </w:r>
      <w:r w:rsidR="00862429" w:rsidRPr="00C3371F">
        <w:t>IFNα 2B</w:t>
      </w:r>
      <w:r w:rsidRPr="00C3371F">
        <w:t xml:space="preserve"> is the only systemic treatment approved as adjuvant therapy in the treatment of melanoma. As this treatment offers only a small survival benefit and is associated with potential significant toxicity, it is not specifically recommended for routine use by melanoma treatment guidelines and is used in </w:t>
      </w:r>
      <w:r w:rsidR="002A529B" w:rsidRPr="00C3371F">
        <w:t>only a few patients.</w:t>
      </w:r>
      <w:r w:rsidR="0066211E" w:rsidRPr="00C3371F">
        <w:t xml:space="preserve"> Therefore,</w:t>
      </w:r>
      <w:r w:rsidRPr="00C3371F">
        <w:t xml:space="preserve"> there is an unmet clinical need for these patients.</w:t>
      </w:r>
    </w:p>
    <w:p w:rsidR="004B1ED1" w:rsidRPr="00C3371F" w:rsidRDefault="004B1ED1" w:rsidP="000B6DBA">
      <w:pPr>
        <w:pStyle w:val="ListParagraph"/>
        <w:widowControl/>
        <w:numPr>
          <w:ilvl w:val="1"/>
          <w:numId w:val="1"/>
        </w:numPr>
      </w:pPr>
      <w:r w:rsidRPr="00C3371F">
        <w:t xml:space="preserve">The proposed clinical management algorithm, as presented in the submission, did not fully capture the possible treatment pathways for patients who have recurrence of disease while receiving, or subsequent to completing, nivolumab as adjuvant treatment. In particular, the algorithm did not adequately describe the likely effect of the availability of nivolumab as adjuvant therapy on the subsequent treatment of patients </w:t>
      </w:r>
      <w:r w:rsidR="003A7525" w:rsidRPr="00C3371F">
        <w:t xml:space="preserve">with recurrent disease </w:t>
      </w:r>
      <w:r w:rsidRPr="00C3371F">
        <w:t xml:space="preserve">who develop unresectable Stage III </w:t>
      </w:r>
      <w:r w:rsidR="00226FDB">
        <w:t>or</w:t>
      </w:r>
      <w:r w:rsidRPr="00C3371F">
        <w:t xml:space="preserve"> Stage IV melanoma</w:t>
      </w:r>
      <w:r w:rsidR="002A529B" w:rsidRPr="00C3371F">
        <w:t xml:space="preserve"> (where nivolumab is currently used)</w:t>
      </w:r>
      <w:r w:rsidRPr="00C3371F">
        <w:t xml:space="preserve">, nor did it provide the proportion of patients likely to receive each </w:t>
      </w:r>
      <w:r w:rsidR="00536944" w:rsidRPr="00C3371F">
        <w:t xml:space="preserve">subsequent </w:t>
      </w:r>
      <w:r w:rsidRPr="00C3371F">
        <w:t>treatment option.</w:t>
      </w:r>
      <w:r w:rsidR="00A96EC3" w:rsidRPr="00C3371F">
        <w:t xml:space="preserve"> In addition, the algorithm indicated that all patients who</w:t>
      </w:r>
      <w:r w:rsidR="00226FDB">
        <w:t xml:space="preserve"> develop unresectable Stage III or Stage </w:t>
      </w:r>
      <w:r w:rsidR="00A96EC3" w:rsidRPr="00C3371F">
        <w:t xml:space="preserve">IV BRAF wild type disease subsequent to nivolumab adjuvant therapy would receive a PD-1 inhibitor as first-line therapy, but the submission subsequently stated </w:t>
      </w:r>
      <w:r w:rsidR="00A96EC3" w:rsidRPr="00D67EAC">
        <w:t xml:space="preserve">that </w:t>
      </w:r>
      <w:r w:rsidR="00A96EC3" w:rsidRPr="00104E7A">
        <w:t>it was anticipated that a minority of patients would receive a PD-1 inhibitor in both the adjuvant and the metastatic settings.</w:t>
      </w:r>
    </w:p>
    <w:p w:rsidR="000F69E8" w:rsidRPr="00C3371F" w:rsidRDefault="000F69E8" w:rsidP="000B6DBA">
      <w:pPr>
        <w:pStyle w:val="ListParagraph"/>
        <w:widowControl/>
        <w:numPr>
          <w:ilvl w:val="1"/>
          <w:numId w:val="1"/>
        </w:numPr>
      </w:pPr>
      <w:r w:rsidRPr="00C3371F">
        <w:t xml:space="preserve">If nivolumab </w:t>
      </w:r>
      <w:r w:rsidR="00A53571" w:rsidRPr="00C3371F">
        <w:t>becomes</w:t>
      </w:r>
      <w:r w:rsidRPr="00C3371F">
        <w:t xml:space="preserve"> available on the PBS for use as adjuvant therapy, it is likely to alter subsequent management of recurrent disease, especially the use of PD-1 inhibitors as first- or later-line treatment for unresectable Stage III and Stage IV disease. The sponsor’s </w:t>
      </w:r>
      <w:r w:rsidR="00DE51AC" w:rsidRPr="00C3371F">
        <w:t xml:space="preserve">Immuno-Oncology </w:t>
      </w:r>
      <w:r w:rsidRPr="00C3371F">
        <w:t>Melanoma Advisory Board indicated that, generally, if recurrence occurs on a certain treatment, that treatment would not be used again. If the recurrence was late (&gt;6 months</w:t>
      </w:r>
      <w:r w:rsidR="007F64AB" w:rsidRPr="00C3371F">
        <w:t xml:space="preserve"> after discontinuing treatment</w:t>
      </w:r>
      <w:r w:rsidRPr="00C3371F">
        <w:t>), the initial treatment could be repeated but prescriber preference is l</w:t>
      </w:r>
      <w:r w:rsidR="000F3E8C" w:rsidRPr="00C3371F">
        <w:t xml:space="preserve">ikely to be for other treatment. </w:t>
      </w:r>
    </w:p>
    <w:p w:rsidR="00845AF4" w:rsidRDefault="00CB1DC5" w:rsidP="000B6DBA">
      <w:pPr>
        <w:pStyle w:val="ListParagraph"/>
        <w:widowControl/>
        <w:numPr>
          <w:ilvl w:val="1"/>
          <w:numId w:val="1"/>
        </w:numPr>
      </w:pPr>
      <w:r w:rsidRPr="005C7AC1">
        <w:t xml:space="preserve">The ESC noted that the sponsor proposed patients remain eligible for PD-1 monotherapy in the unresectable setting if they relapse subsequent to completion of </w:t>
      </w:r>
      <w:r w:rsidRPr="005C7AC1">
        <w:lastRenderedPageBreak/>
        <w:t xml:space="preserve">nivolumab as adjuvant therapy. However, the impact of using nivolumab as adjuvant therapy on the effectiveness and safety of PD-1 inhibitors to treat unresectable disease in patients who experience recurrence is unknown. </w:t>
      </w:r>
      <w:r w:rsidR="00845AF4" w:rsidRPr="007C1DF0">
        <w:t xml:space="preserve">The </w:t>
      </w:r>
      <w:r w:rsidR="00226FDB">
        <w:t>p</w:t>
      </w:r>
      <w:r w:rsidR="00845AF4" w:rsidRPr="007C1DF0">
        <w:t>re-PBAC response</w:t>
      </w:r>
      <w:r w:rsidR="008C6997">
        <w:t xml:space="preserve"> </w:t>
      </w:r>
      <w:r w:rsidR="00845AF4" w:rsidRPr="007C1DF0">
        <w:t>anticipated that</w:t>
      </w:r>
      <w:r w:rsidR="00FE01A4">
        <w:t>,</w:t>
      </w:r>
      <w:r w:rsidR="00845AF4" w:rsidRPr="007C1DF0">
        <w:t xml:space="preserve"> in practice the number of patients who would receive nivolumab in both settings would be minimal, based on the 6% of patients from trial CA209238 who received adjuvant nivolumab and PDL-1 inhibitor monotherapy in the metastatic setting.</w:t>
      </w:r>
      <w:r w:rsidR="00845AF4">
        <w:t xml:space="preserve"> </w:t>
      </w:r>
      <w:r w:rsidR="00845AF4" w:rsidRPr="005C7AC1">
        <w:t xml:space="preserve"> </w:t>
      </w:r>
    </w:p>
    <w:p w:rsidR="00D03747" w:rsidRDefault="00CB1DC5" w:rsidP="000B6DBA">
      <w:pPr>
        <w:pStyle w:val="ListParagraph"/>
        <w:widowControl/>
        <w:numPr>
          <w:ilvl w:val="1"/>
          <w:numId w:val="1"/>
        </w:numPr>
      </w:pPr>
      <w:r w:rsidRPr="005C7AC1">
        <w:t xml:space="preserve">The submission did not estimate the proportion of patients who would not be eligible for PD-1 inhibitor treatment in the unresectable setting due to relapsing prior to the completion of </w:t>
      </w:r>
      <w:r w:rsidRPr="002868B6">
        <w:t xml:space="preserve">nivolumab as adjuvant treatment. </w:t>
      </w:r>
      <w:r w:rsidR="008C6997" w:rsidRPr="002868B6">
        <w:t xml:space="preserve">The pre-PBAC response noted that in trial CA209238, </w:t>
      </w:r>
      <w:r w:rsidR="00606797">
        <w:rPr>
          <w:noProof/>
          <w:color w:val="000000"/>
          <w:highlight w:val="black"/>
        </w:rPr>
        <w:t>'''''''''</w:t>
      </w:r>
      <w:r w:rsidR="008C6997" w:rsidRPr="002868B6">
        <w:t>% of patients</w:t>
      </w:r>
      <w:r w:rsidR="008C6997">
        <w:t xml:space="preserve"> discontinued treatment with nivolumab prior to completing 12 months of therapy. </w:t>
      </w:r>
      <w:r w:rsidRPr="005C7AC1">
        <w:t xml:space="preserve">For these patients the appropriate comparison is the use of nivolumab up front as adjuvant therapy </w:t>
      </w:r>
      <w:r w:rsidR="00337BB3">
        <w:t>with</w:t>
      </w:r>
      <w:r w:rsidR="00337BB3" w:rsidRPr="005C7AC1">
        <w:t xml:space="preserve"> </w:t>
      </w:r>
      <w:r w:rsidRPr="005C7AC1">
        <w:t>the use of PD-1 inhibitors to treat unresectable disease in patients who experience recurrence in the absence of adjuvant nivolumab.</w:t>
      </w:r>
      <w:r w:rsidR="00D03747">
        <w:t xml:space="preserve"> </w:t>
      </w:r>
    </w:p>
    <w:p w:rsidR="000F69E8" w:rsidRDefault="00CB1DC5" w:rsidP="000B6DBA">
      <w:pPr>
        <w:pStyle w:val="ListParagraph"/>
        <w:widowControl/>
        <w:numPr>
          <w:ilvl w:val="1"/>
          <w:numId w:val="1"/>
        </w:numPr>
      </w:pPr>
      <w:r w:rsidRPr="005C7AC1">
        <w:t>The ESC considered that o</w:t>
      </w:r>
      <w:r w:rsidR="00DE51AC" w:rsidRPr="005C7AC1">
        <w:t>verall survival (OS)</w:t>
      </w:r>
      <w:r w:rsidR="000F69E8" w:rsidRPr="005C7AC1">
        <w:t xml:space="preserve"> data from a randomised trial comparing these two treatment strategies is required to address this issue</w:t>
      </w:r>
      <w:r w:rsidR="002A529B" w:rsidRPr="005C7AC1">
        <w:t xml:space="preserve">, i.e. </w:t>
      </w:r>
      <w:r w:rsidR="00CD37CB" w:rsidRPr="005C7AC1">
        <w:t>earlier rather than later line use of nivolumab</w:t>
      </w:r>
      <w:r w:rsidR="000F69E8" w:rsidRPr="005C7AC1">
        <w:t xml:space="preserve">; </w:t>
      </w:r>
      <w:r w:rsidR="00C16EFF" w:rsidRPr="005C7AC1">
        <w:t>recurrence-free</w:t>
      </w:r>
      <w:r w:rsidR="000F69E8" w:rsidRPr="005C7AC1">
        <w:t xml:space="preserve"> survival (RFS) will not capture the effect of differences in later lin</w:t>
      </w:r>
      <w:r w:rsidR="002802B7" w:rsidRPr="005C7AC1">
        <w:t>es of therapy</w:t>
      </w:r>
      <w:r w:rsidR="000F69E8" w:rsidRPr="005C7AC1">
        <w:t>.</w:t>
      </w:r>
      <w:r w:rsidR="002A529B" w:rsidRPr="005C7AC1">
        <w:t xml:space="preserve"> OS data were</w:t>
      </w:r>
      <w:r w:rsidR="001229E1" w:rsidRPr="005C7AC1">
        <w:t xml:space="preserve"> not available for the key nivolumab trial presented in the submission</w:t>
      </w:r>
      <w:r w:rsidR="002802B7" w:rsidRPr="005C7AC1">
        <w:t>, and</w:t>
      </w:r>
      <w:r w:rsidR="00136F71" w:rsidRPr="005C7AC1">
        <w:t>,</w:t>
      </w:r>
      <w:r w:rsidR="002802B7" w:rsidRPr="005C7AC1">
        <w:t xml:space="preserve"> of patients in the placebo arm of CA184029 who had disease recurrence or died, only 30/323 (9.3%) subsequently received a PD-1 inhibitor</w:t>
      </w:r>
      <w:r w:rsidR="001229E1" w:rsidRPr="005C7AC1">
        <w:t>.</w:t>
      </w:r>
    </w:p>
    <w:p w:rsidR="00F63678" w:rsidRPr="00F63678" w:rsidRDefault="00F63678" w:rsidP="00F63678">
      <w:pPr>
        <w:pStyle w:val="ListParagraph"/>
        <w:widowControl/>
        <w:rPr>
          <w:i/>
        </w:rPr>
      </w:pPr>
      <w:r w:rsidRPr="00F63678">
        <w:rPr>
          <w:i/>
        </w:rPr>
        <w:t>For more detail on PBAC’s view, see section 7 PBAC outcome.</w:t>
      </w:r>
    </w:p>
    <w:p w:rsidR="00224029" w:rsidRPr="00C3371F" w:rsidRDefault="00224029" w:rsidP="00224029">
      <w:pPr>
        <w:pStyle w:val="PBACHeading1"/>
        <w:spacing w:before="240" w:after="120"/>
        <w:outlineLvl w:val="0"/>
      </w:pPr>
      <w:bookmarkStart w:id="5" w:name="_Toc511661675"/>
      <w:r w:rsidRPr="00C3371F">
        <w:t>Comparator</w:t>
      </w:r>
      <w:bookmarkEnd w:id="5"/>
    </w:p>
    <w:p w:rsidR="00224029" w:rsidRPr="00C3371F" w:rsidRDefault="00224029" w:rsidP="000B6DBA">
      <w:pPr>
        <w:pStyle w:val="ListParagraph"/>
        <w:widowControl/>
        <w:numPr>
          <w:ilvl w:val="1"/>
          <w:numId w:val="1"/>
        </w:numPr>
      </w:pPr>
      <w:r w:rsidRPr="00C3371F">
        <w:t>The submission nominated “observation/watch and wait only as standard of care” as the main comparator, and IFNα 2B as a secondary comparator. For clarity, ‘observation/watch and wait only’ is referred to as ‘</w:t>
      </w:r>
      <w:r w:rsidRPr="00E80C48">
        <w:t>observation’.</w:t>
      </w:r>
    </w:p>
    <w:p w:rsidR="00224029" w:rsidRPr="00C3371F" w:rsidRDefault="00224029" w:rsidP="000B6DBA">
      <w:pPr>
        <w:pStyle w:val="ListParagraph"/>
        <w:widowControl/>
        <w:numPr>
          <w:ilvl w:val="1"/>
          <w:numId w:val="1"/>
        </w:numPr>
      </w:pPr>
      <w:r w:rsidRPr="00C3371F">
        <w:t xml:space="preserve">The submission noted that IFNα 2B is the only systemic therapy that is TGA approved and reimbursed on the PBS as adjuvant therapy </w:t>
      </w:r>
      <w:r w:rsidR="00987396" w:rsidRPr="00C3371F">
        <w:t xml:space="preserve">for </w:t>
      </w:r>
      <w:r w:rsidRPr="00C3371F">
        <w:t xml:space="preserve">malignant melanoma (restricted to resected disease with nodal involvement). The main arguments provided in support of the nomination of observation as the main comparator, in preference to IFNα 2B, were: </w:t>
      </w:r>
    </w:p>
    <w:p w:rsidR="00224029" w:rsidRPr="00C3371F" w:rsidRDefault="00224029" w:rsidP="000B6DBA">
      <w:pPr>
        <w:pStyle w:val="ListParagraph"/>
        <w:numPr>
          <w:ilvl w:val="0"/>
          <w:numId w:val="4"/>
        </w:numPr>
      </w:pPr>
      <w:r w:rsidRPr="00C3371F">
        <w:t>The sponsor’s Advisory Board considered that treatment with IFNα 2B is not effective in this indication, and is not used in the Australian setting.</w:t>
      </w:r>
    </w:p>
    <w:p w:rsidR="00224029" w:rsidRPr="00C3371F" w:rsidRDefault="00224029" w:rsidP="000B6DBA">
      <w:pPr>
        <w:pStyle w:val="ListParagraph"/>
        <w:numPr>
          <w:ilvl w:val="0"/>
          <w:numId w:val="4"/>
        </w:numPr>
      </w:pPr>
      <w:r w:rsidRPr="00C3371F">
        <w:t xml:space="preserve">PBS statistics suggest that the use of IFNα 2B for this indication is minimal. </w:t>
      </w:r>
    </w:p>
    <w:p w:rsidR="00224029" w:rsidRDefault="00224029" w:rsidP="000B6DBA">
      <w:pPr>
        <w:pStyle w:val="ListParagraph"/>
        <w:widowControl/>
        <w:numPr>
          <w:ilvl w:val="1"/>
          <w:numId w:val="1"/>
        </w:numPr>
      </w:pPr>
      <w:r w:rsidRPr="00C3371F">
        <w:t xml:space="preserve">The above arguments are supported by the new draft Cancer Council Australia clinical practice guidelines </w:t>
      </w:r>
      <w:r w:rsidR="00CD37CB" w:rsidRPr="00C3371F">
        <w:t>on</w:t>
      </w:r>
      <w:r w:rsidRPr="00C3371F">
        <w:t xml:space="preserve"> the diagnosis and management of melanoma, which state that adjuvant IFNα</w:t>
      </w:r>
      <w:r w:rsidR="004A636C" w:rsidRPr="00C3371F">
        <w:t xml:space="preserve"> </w:t>
      </w:r>
      <w:proofErr w:type="gramStart"/>
      <w:r w:rsidR="004A636C" w:rsidRPr="00C3371F">
        <w:t>2B</w:t>
      </w:r>
      <w:proofErr w:type="gramEnd"/>
      <w:r w:rsidRPr="00C3371F">
        <w:t xml:space="preserve"> is not considered standard therapy for most melanoma patients</w:t>
      </w:r>
      <w:r w:rsidR="00A73097" w:rsidRPr="00C3371F">
        <w:t xml:space="preserve">. The guidelines recommend that, for those patients with Stage III melanoma </w:t>
      </w:r>
      <w:r w:rsidR="00A73097" w:rsidRPr="00C3371F">
        <w:lastRenderedPageBreak/>
        <w:t>who are not able to receive dabrafenib</w:t>
      </w:r>
      <w:r w:rsidR="00226FDB">
        <w:t xml:space="preserve"> in combination with </w:t>
      </w:r>
      <w:r w:rsidR="00A73097" w:rsidRPr="00C3371F">
        <w:t xml:space="preserve">trametinib </w:t>
      </w:r>
      <w:r w:rsidR="00226FDB">
        <w:t xml:space="preserve">(DAB+TRAM) </w:t>
      </w:r>
      <w:r w:rsidR="00A73097" w:rsidRPr="00C3371F">
        <w:t>or nivolumab (neither of which are TGA</w:t>
      </w:r>
      <w:r w:rsidR="00A53571" w:rsidRPr="00C3371F">
        <w:t xml:space="preserve"> approved or PBS listed for </w:t>
      </w:r>
      <w:proofErr w:type="spellStart"/>
      <w:r w:rsidR="00A53571" w:rsidRPr="00C3371F">
        <w:t>resectable</w:t>
      </w:r>
      <w:proofErr w:type="spellEnd"/>
      <w:r w:rsidR="00A53571" w:rsidRPr="00C3371F">
        <w:t xml:space="preserve"> Stage III melanoma</w:t>
      </w:r>
      <w:r w:rsidR="00A73097" w:rsidRPr="00C3371F">
        <w:t>), IFN</w:t>
      </w:r>
      <w:r w:rsidR="004A636C" w:rsidRPr="00C3371F">
        <w:t>α 2B</w:t>
      </w:r>
      <w:r w:rsidR="00A73097" w:rsidRPr="00C3371F">
        <w:t xml:space="preserve"> may be considered, but given the minimal OS benefit and significant toxicity, routine follow-up is usually preferred</w:t>
      </w:r>
      <w:r w:rsidR="005634CF" w:rsidRPr="00C3371F">
        <w:rPr>
          <w:rStyle w:val="FootnoteReference"/>
        </w:rPr>
        <w:footnoteReference w:id="4"/>
      </w:r>
      <w:r w:rsidRPr="00C3371F">
        <w:t>.</w:t>
      </w:r>
      <w:r w:rsidR="00190A9D" w:rsidRPr="00C3371F">
        <w:t xml:space="preserve"> </w:t>
      </w:r>
    </w:p>
    <w:p w:rsidR="00224029" w:rsidRPr="00C3371F" w:rsidRDefault="00E80C48" w:rsidP="000B6DBA">
      <w:pPr>
        <w:pStyle w:val="ListParagraph"/>
        <w:widowControl/>
        <w:numPr>
          <w:ilvl w:val="1"/>
          <w:numId w:val="1"/>
        </w:numPr>
      </w:pPr>
      <w:r w:rsidRPr="005C7AC1">
        <w:t xml:space="preserve">The </w:t>
      </w:r>
      <w:r w:rsidR="00D6745A">
        <w:t xml:space="preserve">PBAC and </w:t>
      </w:r>
      <w:r w:rsidRPr="005C7AC1">
        <w:t>ESC considered that while the nomination of observation</w:t>
      </w:r>
      <w:r w:rsidR="00D6745A">
        <w:t>,</w:t>
      </w:r>
      <w:r w:rsidRPr="005C7AC1">
        <w:t xml:space="preserve"> </w:t>
      </w:r>
      <w:r w:rsidR="00D6745A">
        <w:t>in preference to IFN</w:t>
      </w:r>
      <w:r w:rsidR="00D6745A">
        <w:rPr>
          <w:rFonts w:cs="Calibri"/>
        </w:rPr>
        <w:t>α</w:t>
      </w:r>
      <w:r w:rsidR="00D6745A">
        <w:t xml:space="preserve"> 2B, </w:t>
      </w:r>
      <w:r w:rsidRPr="005C7AC1">
        <w:t>as the main comparator w</w:t>
      </w:r>
      <w:r w:rsidR="007F2FD0" w:rsidRPr="005C7AC1">
        <w:t>as reasonable</w:t>
      </w:r>
      <w:r w:rsidR="00806248" w:rsidRPr="005C7AC1">
        <w:t>, the</w:t>
      </w:r>
      <w:r w:rsidR="00B94371" w:rsidRPr="005C7AC1">
        <w:t xml:space="preserve"> submission did not adequately consider</w:t>
      </w:r>
      <w:r w:rsidRPr="005C7AC1">
        <w:t xml:space="preserve"> the downstream consequences </w:t>
      </w:r>
      <w:r w:rsidR="00B94371" w:rsidRPr="005C7AC1">
        <w:t>of</w:t>
      </w:r>
      <w:r w:rsidR="007F2FD0" w:rsidRPr="005C7AC1">
        <w:t xml:space="preserve"> PD-1 inhibitor therapy in the unresectable </w:t>
      </w:r>
      <w:r w:rsidR="005E4420" w:rsidRPr="005C7AC1">
        <w:t>malignant</w:t>
      </w:r>
      <w:r w:rsidR="007F2FD0" w:rsidRPr="005C7AC1">
        <w:t xml:space="preserve"> melanoma setting. </w:t>
      </w:r>
      <w:r w:rsidR="000F6C1E" w:rsidRPr="005C7AC1">
        <w:t xml:space="preserve"> </w:t>
      </w:r>
    </w:p>
    <w:p w:rsidR="00224029" w:rsidRDefault="00224029" w:rsidP="000B6DBA">
      <w:pPr>
        <w:pStyle w:val="ListParagraph"/>
        <w:widowControl/>
        <w:numPr>
          <w:ilvl w:val="1"/>
          <w:numId w:val="1"/>
        </w:numPr>
      </w:pPr>
      <w:r w:rsidRPr="00C3371F">
        <w:t xml:space="preserve">The submission also nominated DAB+TRAM and pembrolizumab as near market comparators. </w:t>
      </w:r>
      <w:proofErr w:type="gramStart"/>
      <w:r w:rsidR="00542DB9">
        <w:t xml:space="preserve">Neither DAB+TRAM </w:t>
      </w:r>
      <w:r w:rsidR="00542DB9" w:rsidRPr="00C3371F">
        <w:t>nor</w:t>
      </w:r>
      <w:r w:rsidRPr="00C3371F">
        <w:t xml:space="preserve"> pembrolizumab</w:t>
      </w:r>
      <w:proofErr w:type="gramEnd"/>
      <w:r w:rsidRPr="00C3371F">
        <w:t xml:space="preserve"> </w:t>
      </w:r>
      <w:r w:rsidR="00136F71" w:rsidRPr="00C3371F">
        <w:t>are</w:t>
      </w:r>
      <w:r w:rsidRPr="00C3371F">
        <w:t xml:space="preserve"> PBS listed or TGA registered for the proposed indication. The comparison of nivolumab with each of these near market comparators relied on a two-step indirect comparison (via ipilimumab and placebo as common references). Only limited details of the trials included in the comparisons were provided. In particular, only data from ClinicalTrials.gov and a press release was available for the trial comparing pembrol</w:t>
      </w:r>
      <w:r w:rsidR="00AC5BBF" w:rsidRPr="00C3371F">
        <w:t>izumab and placebo</w:t>
      </w:r>
      <w:r w:rsidRPr="00C3371F">
        <w:t xml:space="preserve">. </w:t>
      </w:r>
      <w:r w:rsidR="00226FDB">
        <w:t>M</w:t>
      </w:r>
      <w:r w:rsidR="00190A9D" w:rsidRPr="00C3371F">
        <w:t>eaningful</w:t>
      </w:r>
      <w:r w:rsidR="00CD37CB" w:rsidRPr="00C3371F">
        <w:t xml:space="preserve"> conclusions </w:t>
      </w:r>
      <w:r w:rsidR="00337BB3">
        <w:t>could not</w:t>
      </w:r>
      <w:r w:rsidR="00337BB3" w:rsidRPr="00C3371F">
        <w:t xml:space="preserve"> </w:t>
      </w:r>
      <w:r w:rsidR="00190A9D" w:rsidRPr="00C3371F">
        <w:t xml:space="preserve">be </w:t>
      </w:r>
      <w:r w:rsidR="00CD37CB" w:rsidRPr="00C3371F">
        <w:t>drawn from these unreliable data</w:t>
      </w:r>
      <w:r w:rsidRPr="00C3371F">
        <w:t xml:space="preserve">. </w:t>
      </w:r>
    </w:p>
    <w:p w:rsidR="00F63678" w:rsidRPr="00F63678" w:rsidRDefault="00F63678" w:rsidP="00F63678">
      <w:pPr>
        <w:pStyle w:val="ListParagraph"/>
        <w:widowControl/>
        <w:rPr>
          <w:i/>
        </w:rPr>
      </w:pPr>
      <w:r w:rsidRPr="00F63678">
        <w:rPr>
          <w:i/>
        </w:rPr>
        <w:t>For more detail on PBAC’s view, see section 7 PBAC outcome.</w:t>
      </w:r>
    </w:p>
    <w:p w:rsidR="00224029" w:rsidRDefault="00224029" w:rsidP="009F1345">
      <w:pPr>
        <w:pStyle w:val="PBACHeading1"/>
        <w:spacing w:before="240" w:after="120"/>
        <w:ind w:left="720"/>
        <w:outlineLvl w:val="0"/>
      </w:pPr>
      <w:bookmarkStart w:id="6" w:name="_Toc511661676"/>
      <w:r w:rsidRPr="00C3371F">
        <w:t>Consideration of the evidence</w:t>
      </w:r>
      <w:bookmarkEnd w:id="6"/>
    </w:p>
    <w:p w:rsidR="00F63678" w:rsidRPr="00525B39" w:rsidRDefault="00F63678" w:rsidP="00F63678">
      <w:pPr>
        <w:spacing w:before="240" w:line="276" w:lineRule="auto"/>
        <w:rPr>
          <w:rFonts w:asciiTheme="minorHAnsi" w:hAnsiTheme="minorHAnsi"/>
          <w:b/>
          <w:bCs/>
          <w:i/>
          <w:sz w:val="28"/>
          <w:szCs w:val="28"/>
        </w:rPr>
      </w:pPr>
      <w:r w:rsidRPr="00525B39">
        <w:rPr>
          <w:rFonts w:asciiTheme="minorHAnsi" w:hAnsiTheme="minorHAnsi"/>
          <w:b/>
          <w:bCs/>
          <w:i/>
          <w:sz w:val="28"/>
          <w:szCs w:val="28"/>
        </w:rPr>
        <w:t>Sponsor hearing</w:t>
      </w:r>
    </w:p>
    <w:p w:rsidR="00F63678" w:rsidRPr="00525B39" w:rsidRDefault="00F63678" w:rsidP="000B6DBA">
      <w:pPr>
        <w:numPr>
          <w:ilvl w:val="1"/>
          <w:numId w:val="1"/>
        </w:numPr>
        <w:spacing w:after="120"/>
        <w:rPr>
          <w:rFonts w:asciiTheme="minorHAnsi" w:hAnsiTheme="minorHAnsi"/>
          <w:bCs/>
        </w:rPr>
      </w:pPr>
      <w:r w:rsidRPr="00525B39">
        <w:rPr>
          <w:rFonts w:asciiTheme="minorHAnsi" w:hAnsiTheme="minorHAnsi"/>
          <w:bCs/>
        </w:rPr>
        <w:t xml:space="preserve">The sponsor requested a hearing for this item.  The clinician presented clinical case studies and discussed the natural history of the disease, how the drug would be used in practice, and addressed other matters in response to the Committee’s questions.  The PBAC considered that the hearing was informative as it provided a clinical perspective on treating </w:t>
      </w:r>
      <w:r w:rsidR="00973E2D">
        <w:rPr>
          <w:rFonts w:asciiTheme="minorHAnsi" w:hAnsiTheme="minorHAnsi"/>
          <w:bCs/>
        </w:rPr>
        <w:t>melanoma in the adjuvant setting</w:t>
      </w:r>
      <w:r w:rsidRPr="00525B39">
        <w:rPr>
          <w:rFonts w:asciiTheme="minorHAnsi" w:hAnsiTheme="minorHAnsi"/>
          <w:bCs/>
        </w:rPr>
        <w:t>.</w:t>
      </w:r>
    </w:p>
    <w:p w:rsidR="00F63678" w:rsidRPr="00525B39" w:rsidRDefault="00F63678" w:rsidP="00F63678">
      <w:pPr>
        <w:spacing w:before="240" w:line="276" w:lineRule="auto"/>
        <w:rPr>
          <w:rFonts w:asciiTheme="minorHAnsi" w:hAnsiTheme="minorHAnsi"/>
          <w:b/>
          <w:bCs/>
          <w:i/>
          <w:sz w:val="28"/>
          <w:szCs w:val="28"/>
        </w:rPr>
      </w:pPr>
      <w:r w:rsidRPr="00525B39">
        <w:rPr>
          <w:rFonts w:asciiTheme="minorHAnsi" w:hAnsiTheme="minorHAnsi"/>
          <w:b/>
          <w:bCs/>
          <w:i/>
          <w:sz w:val="28"/>
          <w:szCs w:val="28"/>
        </w:rPr>
        <w:t>Consumer comments</w:t>
      </w:r>
    </w:p>
    <w:p w:rsidR="00F63678" w:rsidRPr="00525B39" w:rsidRDefault="00F63678" w:rsidP="000B6DBA">
      <w:pPr>
        <w:numPr>
          <w:ilvl w:val="1"/>
          <w:numId w:val="1"/>
        </w:numPr>
        <w:spacing w:after="120"/>
        <w:rPr>
          <w:rFonts w:asciiTheme="minorHAnsi" w:hAnsiTheme="minorHAnsi"/>
          <w:bCs/>
        </w:rPr>
      </w:pPr>
      <w:r w:rsidRPr="00525B39">
        <w:rPr>
          <w:rFonts w:asciiTheme="minorHAnsi" w:hAnsiTheme="minorHAnsi"/>
          <w:bCs/>
        </w:rPr>
        <w:t>The PBAC noted and welcomed the input from individuals (4</w:t>
      </w:r>
      <w:r w:rsidR="00A640EB">
        <w:rPr>
          <w:rFonts w:asciiTheme="minorHAnsi" w:hAnsiTheme="minorHAnsi"/>
          <w:bCs/>
        </w:rPr>
        <w:t>0</w:t>
      </w:r>
      <w:r w:rsidRPr="00525B39">
        <w:rPr>
          <w:rFonts w:asciiTheme="minorHAnsi" w:hAnsiTheme="minorHAnsi"/>
          <w:bCs/>
        </w:rPr>
        <w:t>), health care professionals (</w:t>
      </w:r>
      <w:r w:rsidR="00A640EB">
        <w:rPr>
          <w:rFonts w:asciiTheme="minorHAnsi" w:hAnsiTheme="minorHAnsi"/>
          <w:bCs/>
        </w:rPr>
        <w:t>6</w:t>
      </w:r>
      <w:r w:rsidRPr="00525B39">
        <w:rPr>
          <w:rFonts w:asciiTheme="minorHAnsi" w:hAnsiTheme="minorHAnsi"/>
          <w:bCs/>
        </w:rPr>
        <w:t>) and organisations (</w:t>
      </w:r>
      <w:r w:rsidR="00A640EB">
        <w:rPr>
          <w:rFonts w:asciiTheme="minorHAnsi" w:hAnsiTheme="minorHAnsi"/>
          <w:bCs/>
        </w:rPr>
        <w:t>2</w:t>
      </w:r>
      <w:r w:rsidRPr="00525B39">
        <w:rPr>
          <w:rFonts w:asciiTheme="minorHAnsi" w:hAnsiTheme="minorHAnsi"/>
          <w:bCs/>
        </w:rPr>
        <w:t>) via the Consumer Comments facility on the PBS website.  The comments described a range of benefits of treatment with</w:t>
      </w:r>
      <w:r w:rsidR="00A640EB">
        <w:rPr>
          <w:rFonts w:asciiTheme="minorHAnsi" w:hAnsiTheme="minorHAnsi"/>
          <w:bCs/>
        </w:rPr>
        <w:t xml:space="preserve"> nivolumab </w:t>
      </w:r>
      <w:r w:rsidR="00A640EB" w:rsidRPr="005C7AC1">
        <w:t>as an adjuvant treatment for completely resected Stage III or Stage IV melanoma</w:t>
      </w:r>
      <w:r w:rsidR="00A640EB">
        <w:rPr>
          <w:rFonts w:asciiTheme="minorHAnsi" w:hAnsiTheme="minorHAnsi"/>
          <w:bCs/>
        </w:rPr>
        <w:t xml:space="preserve"> </w:t>
      </w:r>
      <w:r w:rsidRPr="00FE01A4">
        <w:rPr>
          <w:rFonts w:asciiTheme="minorHAnsi" w:hAnsiTheme="minorHAnsi"/>
          <w:bCs/>
        </w:rPr>
        <w:t xml:space="preserve">including </w:t>
      </w:r>
      <w:r w:rsidR="005A01D9" w:rsidRPr="00FE01A4">
        <w:rPr>
          <w:rFonts w:asciiTheme="minorHAnsi" w:hAnsiTheme="minorHAnsi"/>
          <w:bCs/>
        </w:rPr>
        <w:t>prolonged life, improved quality of life and few side effects.</w:t>
      </w:r>
      <w:r w:rsidR="005A01D9">
        <w:rPr>
          <w:rFonts w:asciiTheme="minorHAnsi" w:hAnsiTheme="minorHAnsi"/>
          <w:bCs/>
          <w:highlight w:val="yellow"/>
        </w:rPr>
        <w:t xml:space="preserve"> </w:t>
      </w:r>
    </w:p>
    <w:p w:rsidR="00F63678" w:rsidRPr="00525B39" w:rsidRDefault="00F63678" w:rsidP="000B6DBA">
      <w:pPr>
        <w:numPr>
          <w:ilvl w:val="1"/>
          <w:numId w:val="1"/>
        </w:numPr>
        <w:spacing w:after="120"/>
        <w:rPr>
          <w:rFonts w:asciiTheme="minorHAnsi" w:hAnsiTheme="minorHAnsi"/>
          <w:bCs/>
        </w:rPr>
      </w:pPr>
      <w:r w:rsidRPr="00525B39">
        <w:rPr>
          <w:rFonts w:asciiTheme="minorHAnsi" w:hAnsiTheme="minorHAnsi"/>
          <w:bCs/>
        </w:rPr>
        <w:t xml:space="preserve">The PBAC noted the </w:t>
      </w:r>
      <w:r w:rsidR="00973E2D">
        <w:rPr>
          <w:rFonts w:asciiTheme="minorHAnsi" w:hAnsiTheme="minorHAnsi"/>
          <w:bCs/>
        </w:rPr>
        <w:t>correspondence</w:t>
      </w:r>
      <w:r w:rsidR="00973E2D" w:rsidRPr="00525B39">
        <w:rPr>
          <w:rFonts w:asciiTheme="minorHAnsi" w:hAnsiTheme="minorHAnsi"/>
          <w:bCs/>
        </w:rPr>
        <w:t xml:space="preserve"> </w:t>
      </w:r>
      <w:r w:rsidRPr="00525B39">
        <w:rPr>
          <w:rFonts w:asciiTheme="minorHAnsi" w:hAnsiTheme="minorHAnsi"/>
          <w:bCs/>
        </w:rPr>
        <w:t xml:space="preserve">received from </w:t>
      </w:r>
      <w:r w:rsidR="00A640EB">
        <w:rPr>
          <w:rFonts w:asciiTheme="minorHAnsi" w:hAnsiTheme="minorHAnsi"/>
          <w:bCs/>
        </w:rPr>
        <w:t>Melanoma Patients Australia Limited</w:t>
      </w:r>
      <w:r w:rsidRPr="00525B39">
        <w:rPr>
          <w:rFonts w:asciiTheme="minorHAnsi" w:hAnsiTheme="minorHAnsi"/>
          <w:bCs/>
        </w:rPr>
        <w:t xml:space="preserve"> </w:t>
      </w:r>
      <w:r w:rsidR="00A640EB">
        <w:rPr>
          <w:rFonts w:asciiTheme="minorHAnsi" w:hAnsiTheme="minorHAnsi"/>
          <w:bCs/>
        </w:rPr>
        <w:t xml:space="preserve">and Melbourne Melanoma Project </w:t>
      </w:r>
      <w:r w:rsidR="00973E2D">
        <w:rPr>
          <w:rFonts w:asciiTheme="minorHAnsi" w:hAnsiTheme="minorHAnsi"/>
          <w:bCs/>
        </w:rPr>
        <w:t xml:space="preserve">supporting access to </w:t>
      </w:r>
      <w:r w:rsidR="00A640EB">
        <w:rPr>
          <w:rFonts w:asciiTheme="minorHAnsi" w:hAnsiTheme="minorHAnsi"/>
          <w:bCs/>
        </w:rPr>
        <w:t>nivolumab</w:t>
      </w:r>
      <w:r w:rsidRPr="00525B39">
        <w:rPr>
          <w:rFonts w:asciiTheme="minorHAnsi" w:hAnsiTheme="minorHAnsi"/>
          <w:bCs/>
        </w:rPr>
        <w:t xml:space="preserve"> </w:t>
      </w:r>
      <w:r w:rsidR="00A640EB" w:rsidRPr="005C7AC1">
        <w:t xml:space="preserve">as an </w:t>
      </w:r>
      <w:r w:rsidR="00A640EB" w:rsidRPr="005C7AC1">
        <w:lastRenderedPageBreak/>
        <w:t>adjuvant treatment for completely resected Stage III or Stage IV melanoma</w:t>
      </w:r>
      <w:r w:rsidR="00A640EB" w:rsidRPr="00525B39">
        <w:rPr>
          <w:rFonts w:asciiTheme="minorHAnsi" w:hAnsiTheme="minorHAnsi"/>
          <w:bCs/>
        </w:rPr>
        <w:t xml:space="preserve"> </w:t>
      </w:r>
      <w:r w:rsidRPr="00525B39">
        <w:rPr>
          <w:rFonts w:asciiTheme="minorHAnsi" w:hAnsiTheme="minorHAnsi"/>
          <w:bCs/>
        </w:rPr>
        <w:t>in clinical practice.  The PBAC noted that this advice was supportive of the evidence provided in the submission.</w:t>
      </w:r>
    </w:p>
    <w:p w:rsidR="00224029" w:rsidRPr="00C3371F" w:rsidRDefault="00F63678" w:rsidP="000B6DBA">
      <w:pPr>
        <w:numPr>
          <w:ilvl w:val="1"/>
          <w:numId w:val="1"/>
        </w:numPr>
        <w:spacing w:after="120"/>
      </w:pPr>
      <w:r w:rsidRPr="00935B60">
        <w:rPr>
          <w:rFonts w:asciiTheme="minorHAnsi" w:hAnsiTheme="minorHAnsi"/>
          <w:bCs/>
        </w:rPr>
        <w:t xml:space="preserve">The Medical Oncology Group of Australia (MOGA) also expressed its </w:t>
      </w:r>
      <w:r w:rsidR="00935B60" w:rsidRPr="00935B60">
        <w:rPr>
          <w:rFonts w:asciiTheme="minorHAnsi" w:hAnsiTheme="minorHAnsi"/>
          <w:bCs/>
        </w:rPr>
        <w:t xml:space="preserve">strong </w:t>
      </w:r>
      <w:r w:rsidRPr="00935B60">
        <w:rPr>
          <w:rFonts w:asciiTheme="minorHAnsi" w:hAnsiTheme="minorHAnsi"/>
          <w:bCs/>
        </w:rPr>
        <w:t xml:space="preserve">support for the </w:t>
      </w:r>
      <w:r w:rsidR="00A640EB" w:rsidRPr="00935B60">
        <w:rPr>
          <w:rFonts w:asciiTheme="minorHAnsi" w:hAnsiTheme="minorHAnsi"/>
          <w:bCs/>
        </w:rPr>
        <w:t xml:space="preserve">nivolumab </w:t>
      </w:r>
      <w:r w:rsidR="00A640EB" w:rsidRPr="005C7AC1">
        <w:t>as an adjuvant treatment for completely resected Stage III or Stage IV melanoma</w:t>
      </w:r>
      <w:r w:rsidR="00A640EB" w:rsidRPr="00935B60">
        <w:rPr>
          <w:rFonts w:asciiTheme="minorHAnsi" w:hAnsiTheme="minorHAnsi"/>
          <w:bCs/>
        </w:rPr>
        <w:t xml:space="preserve"> </w:t>
      </w:r>
      <w:r w:rsidRPr="00935B60">
        <w:rPr>
          <w:rFonts w:asciiTheme="minorHAnsi" w:hAnsiTheme="minorHAnsi"/>
          <w:bCs/>
        </w:rPr>
        <w:t xml:space="preserve">submission, on the basis of </w:t>
      </w:r>
      <w:r w:rsidR="00973E2D">
        <w:rPr>
          <w:rFonts w:asciiTheme="minorHAnsi" w:hAnsiTheme="minorHAnsi"/>
          <w:bCs/>
        </w:rPr>
        <w:t xml:space="preserve">phase </w:t>
      </w:r>
      <w:proofErr w:type="gramStart"/>
      <w:r w:rsidR="00973E2D">
        <w:rPr>
          <w:rFonts w:asciiTheme="minorHAnsi" w:hAnsiTheme="minorHAnsi"/>
          <w:bCs/>
        </w:rPr>
        <w:t>3 trial evidence</w:t>
      </w:r>
      <w:proofErr w:type="gramEnd"/>
      <w:r w:rsidRPr="00935B60">
        <w:rPr>
          <w:rFonts w:asciiTheme="minorHAnsi" w:hAnsiTheme="minorHAnsi"/>
          <w:bCs/>
        </w:rPr>
        <w:t xml:space="preserve">. The PBAC noted that the MOGA presented the European Society for Medical Oncology Magnitude of Clinical Benefit Scale (ESMO-MCBS) for </w:t>
      </w:r>
      <w:r w:rsidR="00A640EB" w:rsidRPr="00935B60">
        <w:rPr>
          <w:rFonts w:asciiTheme="minorHAnsi" w:hAnsiTheme="minorHAnsi"/>
          <w:bCs/>
        </w:rPr>
        <w:t>nivolumab</w:t>
      </w:r>
      <w:r w:rsidRPr="00935B60">
        <w:rPr>
          <w:rFonts w:asciiTheme="minorHAnsi" w:hAnsiTheme="minorHAnsi"/>
          <w:bCs/>
        </w:rPr>
        <w:t xml:space="preserve">, which was </w:t>
      </w:r>
      <w:r w:rsidR="00935B60" w:rsidRPr="00935B60">
        <w:rPr>
          <w:rFonts w:asciiTheme="minorHAnsi" w:hAnsiTheme="minorHAnsi"/>
          <w:bCs/>
        </w:rPr>
        <w:t>a Grade</w:t>
      </w:r>
      <w:r w:rsidR="00973E2D">
        <w:rPr>
          <w:rFonts w:asciiTheme="minorHAnsi" w:hAnsiTheme="minorHAnsi"/>
          <w:bCs/>
        </w:rPr>
        <w:t xml:space="preserve"> </w:t>
      </w:r>
      <w:r w:rsidR="00542DB9">
        <w:rPr>
          <w:rFonts w:asciiTheme="minorHAnsi" w:hAnsiTheme="minorHAnsi"/>
          <w:bCs/>
        </w:rPr>
        <w:t>A</w:t>
      </w:r>
      <w:r w:rsidR="00973E2D">
        <w:rPr>
          <w:rFonts w:asciiTheme="minorHAnsi" w:hAnsiTheme="minorHAnsi"/>
          <w:bCs/>
        </w:rPr>
        <w:t xml:space="preserve"> </w:t>
      </w:r>
      <w:r w:rsidRPr="00935B60">
        <w:rPr>
          <w:rFonts w:asciiTheme="minorHAnsi" w:hAnsiTheme="minorHAnsi"/>
          <w:bCs/>
        </w:rPr>
        <w:t>(</w:t>
      </w:r>
      <w:r w:rsidR="008A7403">
        <w:rPr>
          <w:rFonts w:asciiTheme="minorHAnsi" w:hAnsiTheme="minorHAnsi"/>
          <w:bCs/>
        </w:rPr>
        <w:t xml:space="preserve">out of C, where A and </w:t>
      </w:r>
      <w:r w:rsidR="00973E2D">
        <w:rPr>
          <w:rFonts w:asciiTheme="minorHAnsi" w:hAnsiTheme="minorHAnsi"/>
          <w:bCs/>
        </w:rPr>
        <w:t xml:space="preserve">B </w:t>
      </w:r>
      <w:r w:rsidR="008A7403">
        <w:rPr>
          <w:rFonts w:asciiTheme="minorHAnsi" w:hAnsiTheme="minorHAnsi"/>
          <w:bCs/>
        </w:rPr>
        <w:t>represent the grades with substantial improvement for new approaches to adjuvant therapy or new potentially curative therapies</w:t>
      </w:r>
      <w:r w:rsidR="00973E2D">
        <w:rPr>
          <w:rFonts w:asciiTheme="minorHAnsi" w:hAnsiTheme="minorHAnsi"/>
          <w:bCs/>
        </w:rPr>
        <w:t xml:space="preserve"> </w:t>
      </w:r>
      <w:r w:rsidR="00935B60" w:rsidRPr="00935B60">
        <w:rPr>
          <w:rFonts w:asciiTheme="minorHAnsi" w:hAnsiTheme="minorHAnsi"/>
          <w:bCs/>
        </w:rPr>
        <w:t>which is the highest possible grade and restricted to new curative treatments</w:t>
      </w:r>
      <w:r w:rsidRPr="00935B60">
        <w:rPr>
          <w:rFonts w:asciiTheme="minorHAnsi" w:hAnsiTheme="minorHAnsi"/>
          <w:bCs/>
        </w:rPr>
        <w:t xml:space="preserve">), based on a comparison with </w:t>
      </w:r>
      <w:r w:rsidR="00973E2D">
        <w:rPr>
          <w:rFonts w:asciiTheme="minorHAnsi" w:hAnsiTheme="minorHAnsi"/>
          <w:bCs/>
        </w:rPr>
        <w:t>ipilimumab in the C</w:t>
      </w:r>
      <w:r w:rsidR="00CA512B">
        <w:rPr>
          <w:rFonts w:asciiTheme="minorHAnsi" w:hAnsiTheme="minorHAnsi"/>
          <w:bCs/>
        </w:rPr>
        <w:t>A209238 trial</w:t>
      </w:r>
      <w:r w:rsidRPr="00481AF1">
        <w:rPr>
          <w:rFonts w:asciiTheme="minorHAnsi" w:hAnsiTheme="minorHAnsi"/>
          <w:bCs/>
        </w:rPr>
        <w:t>.</w:t>
      </w:r>
      <w:r w:rsidR="00935B60">
        <w:rPr>
          <w:rStyle w:val="FootnoteReference"/>
          <w:rFonts w:asciiTheme="minorHAnsi" w:hAnsiTheme="minorHAnsi"/>
          <w:bCs/>
        </w:rPr>
        <w:footnoteReference w:id="5"/>
      </w:r>
      <w:r w:rsidRPr="00935B60">
        <w:rPr>
          <w:rFonts w:asciiTheme="minorHAnsi" w:hAnsiTheme="minorHAnsi"/>
          <w:bCs/>
        </w:rPr>
        <w:t xml:space="preserve">  </w:t>
      </w:r>
    </w:p>
    <w:p w:rsidR="00224029" w:rsidRPr="009F1345" w:rsidRDefault="00224029" w:rsidP="009F1345">
      <w:pPr>
        <w:pStyle w:val="Heading2"/>
        <w:spacing w:before="240" w:after="120"/>
        <w:rPr>
          <w:i w:val="0"/>
        </w:rPr>
      </w:pPr>
      <w:bookmarkStart w:id="7" w:name="_Toc511661677"/>
      <w:r w:rsidRPr="00C3371F">
        <w:rPr>
          <w:i w:val="0"/>
        </w:rPr>
        <w:t>Clinical trials</w:t>
      </w:r>
      <w:bookmarkEnd w:id="7"/>
    </w:p>
    <w:p w:rsidR="00224029" w:rsidRPr="00C3371F" w:rsidRDefault="00224029" w:rsidP="000B6DBA">
      <w:pPr>
        <w:pStyle w:val="ListParagraph"/>
        <w:widowControl/>
        <w:numPr>
          <w:ilvl w:val="1"/>
          <w:numId w:val="1"/>
        </w:numPr>
      </w:pPr>
      <w:r w:rsidRPr="00C3371F">
        <w:rPr>
          <w:rFonts w:cs="Calibri"/>
          <w:snapToGrid/>
          <w:szCs w:val="24"/>
          <w:lang w:val="en-US" w:eastAsia="en-AU"/>
        </w:rPr>
        <w:t>For the comparison of nivolumab with observation, the submission was based on an indirect comparison of nivolumab and placebo, with ipilimumab as the co</w:t>
      </w:r>
      <w:r w:rsidR="009F05A7" w:rsidRPr="00C3371F">
        <w:rPr>
          <w:rFonts w:cs="Calibri"/>
          <w:snapToGrid/>
          <w:szCs w:val="24"/>
          <w:lang w:val="en-US" w:eastAsia="en-AU"/>
        </w:rPr>
        <w:t>mmon reference, via two randomis</w:t>
      </w:r>
      <w:r w:rsidRPr="00C3371F">
        <w:rPr>
          <w:rFonts w:cs="Calibri"/>
          <w:snapToGrid/>
          <w:szCs w:val="24"/>
          <w:lang w:val="en-US" w:eastAsia="en-AU"/>
        </w:rPr>
        <w:t>ed trials:</w:t>
      </w:r>
    </w:p>
    <w:p w:rsidR="00224029" w:rsidRPr="00C3371F" w:rsidRDefault="00224029" w:rsidP="000B6DBA">
      <w:pPr>
        <w:pStyle w:val="ListParagraph"/>
        <w:numPr>
          <w:ilvl w:val="0"/>
          <w:numId w:val="4"/>
        </w:numPr>
      </w:pPr>
      <w:r w:rsidRPr="00C3371F">
        <w:t>CA209238: a randomised, double-blind trial comparing nivolumab (N=453) versus ipilimumab (N=453) as adjuvant treatment in patients with complete resection of Stage IIIB/C or Stage IV melanoma</w:t>
      </w:r>
      <w:r w:rsidR="00CD37CB" w:rsidRPr="00C3371F">
        <w:t xml:space="preserve"> (all melanoma </w:t>
      </w:r>
      <w:r w:rsidR="00984E85" w:rsidRPr="00C3371F">
        <w:t xml:space="preserve">subtypes </w:t>
      </w:r>
      <w:r w:rsidR="00CD37CB" w:rsidRPr="00C3371F">
        <w:t>other than ocular</w:t>
      </w:r>
      <w:r w:rsidR="00984E85" w:rsidRPr="00C3371F">
        <w:t xml:space="preserve"> melanoma</w:t>
      </w:r>
      <w:r w:rsidR="00CD37CB" w:rsidRPr="00C3371F">
        <w:t>)</w:t>
      </w:r>
      <w:r w:rsidRPr="00C3371F">
        <w:t>; and</w:t>
      </w:r>
    </w:p>
    <w:p w:rsidR="00224029" w:rsidRPr="00C3371F" w:rsidRDefault="00224029" w:rsidP="000B6DBA">
      <w:pPr>
        <w:pStyle w:val="ListParagraph"/>
        <w:numPr>
          <w:ilvl w:val="0"/>
          <w:numId w:val="4"/>
        </w:numPr>
      </w:pPr>
      <w:r w:rsidRPr="00C3371F">
        <w:t>CA184029: a randomised double-blind trial comparing ipilimumab (N=475) versus placebo (N=476) as adjuvant treatment in patients with complete resection of Stage III cutaneous melanoma.</w:t>
      </w:r>
    </w:p>
    <w:p w:rsidR="00224029" w:rsidRPr="00C3371F" w:rsidRDefault="00224029" w:rsidP="000B6DBA">
      <w:pPr>
        <w:pStyle w:val="ListParagraph"/>
        <w:widowControl/>
        <w:numPr>
          <w:ilvl w:val="1"/>
          <w:numId w:val="1"/>
        </w:numPr>
      </w:pPr>
      <w:r w:rsidRPr="00C3371F">
        <w:t>A randomised controlled trial is currently being conducted to determine whether nivolumab in combination with ipilimumab is more effective than nivolumab monotherapy as adjuvant treatment in patients who have had complete resection of Stage IIIB/C/D or Stage IV melanoma</w:t>
      </w:r>
      <w:r w:rsidR="0059682E" w:rsidRPr="00C3371F">
        <w:rPr>
          <w:rStyle w:val="FootnoteReference"/>
        </w:rPr>
        <w:footnoteReference w:id="6"/>
      </w:r>
      <w:r w:rsidRPr="00C3371F">
        <w:t xml:space="preserve"> (NCT03068455). The estimated primary completion date is November 2020.</w:t>
      </w:r>
      <w:r w:rsidRPr="00C3371F">
        <w:rPr>
          <w:vertAlign w:val="superscript"/>
        </w:rPr>
        <w:footnoteReference w:id="7"/>
      </w:r>
    </w:p>
    <w:p w:rsidR="00224029" w:rsidRPr="00C3371F" w:rsidRDefault="00224029" w:rsidP="000B6DBA">
      <w:pPr>
        <w:pStyle w:val="ListParagraph"/>
        <w:widowControl/>
        <w:numPr>
          <w:ilvl w:val="1"/>
          <w:numId w:val="1"/>
        </w:numPr>
      </w:pPr>
      <w:r w:rsidRPr="00C3371F">
        <w:rPr>
          <w:rFonts w:cs="Calibri"/>
          <w:snapToGrid/>
          <w:szCs w:val="24"/>
          <w:lang w:val="en-US" w:eastAsia="en-AU"/>
        </w:rPr>
        <w:t xml:space="preserve">Details of the trials presented in the submission are provided in the table below.  </w:t>
      </w:r>
    </w:p>
    <w:p w:rsidR="00807F7E" w:rsidRDefault="00807F7E" w:rsidP="00224029">
      <w:pPr>
        <w:pStyle w:val="Caption"/>
        <w:keepNext/>
        <w:rPr>
          <w:rStyle w:val="CommentReference"/>
          <w:b/>
        </w:rPr>
      </w:pPr>
      <w:r>
        <w:rPr>
          <w:rStyle w:val="CommentReference"/>
          <w:b/>
        </w:rPr>
        <w:br w:type="page"/>
      </w:r>
    </w:p>
    <w:p w:rsidR="00224029" w:rsidRPr="00C3371F" w:rsidRDefault="00224029" w:rsidP="00224029">
      <w:pPr>
        <w:pStyle w:val="Caption"/>
        <w:keepNext/>
        <w:rPr>
          <w:rStyle w:val="CommentReference"/>
          <w:b/>
        </w:rPr>
      </w:pPr>
      <w:r w:rsidRPr="00C3371F">
        <w:rPr>
          <w:rStyle w:val="CommentReference"/>
          <w:b/>
        </w:rPr>
        <w:lastRenderedPageBreak/>
        <w:t xml:space="preserve">Table </w:t>
      </w:r>
      <w:r w:rsidR="00C47B15">
        <w:rPr>
          <w:rStyle w:val="CommentReference"/>
          <w:b/>
          <w:noProof/>
        </w:rPr>
        <w:t>2</w:t>
      </w:r>
      <w:r w:rsidRPr="00C3371F">
        <w:rPr>
          <w:rStyle w:val="CommentReference"/>
          <w:b/>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1451"/>
        <w:gridCol w:w="5516"/>
        <w:gridCol w:w="2145"/>
      </w:tblGrid>
      <w:tr w:rsidR="00224029" w:rsidRPr="00C3371F" w:rsidTr="000A56F0">
        <w:trPr>
          <w:tblHeader/>
        </w:trPr>
        <w:tc>
          <w:tcPr>
            <w:tcW w:w="796" w:type="pct"/>
            <w:tcBorders>
              <w:bottom w:val="single" w:sz="4" w:space="0" w:color="auto"/>
            </w:tcBorders>
            <w:vAlign w:val="center"/>
          </w:tcPr>
          <w:p w:rsidR="00224029" w:rsidRPr="00C3371F" w:rsidRDefault="00224029" w:rsidP="00D54E15">
            <w:pPr>
              <w:pStyle w:val="Tabletext"/>
              <w:rPr>
                <w:b/>
              </w:rPr>
            </w:pPr>
            <w:r w:rsidRPr="00C3371F">
              <w:rPr>
                <w:b/>
              </w:rPr>
              <w:t>Trial ID</w:t>
            </w:r>
          </w:p>
        </w:tc>
        <w:tc>
          <w:tcPr>
            <w:tcW w:w="3027" w:type="pct"/>
            <w:vAlign w:val="center"/>
          </w:tcPr>
          <w:p w:rsidR="00224029" w:rsidRPr="00C3371F" w:rsidRDefault="00224029" w:rsidP="00D54E15">
            <w:pPr>
              <w:pStyle w:val="Tabletext"/>
              <w:jc w:val="center"/>
              <w:rPr>
                <w:b/>
              </w:rPr>
            </w:pPr>
            <w:r w:rsidRPr="00C3371F">
              <w:rPr>
                <w:b/>
              </w:rPr>
              <w:t>Protocol title/ Publication title</w:t>
            </w:r>
          </w:p>
        </w:tc>
        <w:tc>
          <w:tcPr>
            <w:tcW w:w="1177" w:type="pct"/>
            <w:vAlign w:val="center"/>
          </w:tcPr>
          <w:p w:rsidR="00224029" w:rsidRPr="00C3371F" w:rsidRDefault="00224029" w:rsidP="00D54E15">
            <w:pPr>
              <w:pStyle w:val="Tabletext"/>
              <w:jc w:val="center"/>
              <w:rPr>
                <w:b/>
              </w:rPr>
            </w:pPr>
            <w:r w:rsidRPr="00C3371F">
              <w:rPr>
                <w:b/>
              </w:rPr>
              <w:t>Publication citation</w:t>
            </w:r>
          </w:p>
        </w:tc>
      </w:tr>
      <w:tr w:rsidR="00224029" w:rsidRPr="00C3371F" w:rsidTr="000A56F0">
        <w:tc>
          <w:tcPr>
            <w:tcW w:w="796" w:type="pct"/>
            <w:tcBorders>
              <w:bottom w:val="nil"/>
            </w:tcBorders>
            <w:vAlign w:val="center"/>
          </w:tcPr>
          <w:p w:rsidR="00224029" w:rsidRPr="00C3371F" w:rsidRDefault="00224029" w:rsidP="00D54E15">
            <w:pPr>
              <w:pStyle w:val="Tabletext"/>
              <w:rPr>
                <w:rFonts w:ascii="Times" w:hAnsi="Times"/>
              </w:rPr>
            </w:pPr>
            <w:r w:rsidRPr="00C3371F">
              <w:t>CA209238</w:t>
            </w:r>
          </w:p>
        </w:tc>
        <w:tc>
          <w:tcPr>
            <w:tcW w:w="3027" w:type="pct"/>
            <w:tcBorders>
              <w:bottom w:val="nil"/>
            </w:tcBorders>
            <w:vAlign w:val="center"/>
          </w:tcPr>
          <w:p w:rsidR="00224029" w:rsidRPr="00C3371F" w:rsidRDefault="00224029" w:rsidP="00D54E15">
            <w:pPr>
              <w:pStyle w:val="Tabletext"/>
              <w:spacing w:after="60"/>
              <w:rPr>
                <w:szCs w:val="18"/>
              </w:rPr>
            </w:pPr>
            <w:r w:rsidRPr="00C3371F">
              <w:rPr>
                <w:szCs w:val="18"/>
              </w:rPr>
              <w:t>A phase 3, randomized, double-blind study of adjuvant immunotherapy with nivolumab versus ipilimumab after complete resection of Stage IIIB/C or Stage IV melanoma in subjects who are at high-risk for recurrence.</w:t>
            </w:r>
          </w:p>
        </w:tc>
        <w:tc>
          <w:tcPr>
            <w:tcW w:w="1177" w:type="pct"/>
            <w:tcBorders>
              <w:bottom w:val="nil"/>
            </w:tcBorders>
            <w:vAlign w:val="center"/>
          </w:tcPr>
          <w:p w:rsidR="00224029" w:rsidRPr="00C3371F" w:rsidRDefault="00224029" w:rsidP="00D54E15">
            <w:pPr>
              <w:pStyle w:val="Tabletext"/>
            </w:pPr>
            <w:r w:rsidRPr="00C3371F">
              <w:t>July 2017</w:t>
            </w:r>
          </w:p>
        </w:tc>
      </w:tr>
      <w:tr w:rsidR="00224029" w:rsidRPr="00C3371F" w:rsidTr="000A56F0">
        <w:tc>
          <w:tcPr>
            <w:tcW w:w="796" w:type="pct"/>
            <w:tcBorders>
              <w:top w:val="nil"/>
              <w:bottom w:val="single" w:sz="4" w:space="0" w:color="auto"/>
            </w:tcBorders>
            <w:vAlign w:val="center"/>
          </w:tcPr>
          <w:p w:rsidR="00224029" w:rsidRPr="00C3371F" w:rsidRDefault="00224029" w:rsidP="00D54E15">
            <w:pPr>
              <w:pStyle w:val="Tabletext"/>
            </w:pPr>
          </w:p>
        </w:tc>
        <w:tc>
          <w:tcPr>
            <w:tcW w:w="3027" w:type="pct"/>
            <w:tcBorders>
              <w:top w:val="nil"/>
              <w:bottom w:val="single" w:sz="4" w:space="0" w:color="auto"/>
            </w:tcBorders>
            <w:vAlign w:val="center"/>
          </w:tcPr>
          <w:p w:rsidR="00224029" w:rsidRPr="00C3371F" w:rsidRDefault="00224029" w:rsidP="00D54E15">
            <w:pPr>
              <w:pStyle w:val="Tabletext"/>
              <w:rPr>
                <w:szCs w:val="18"/>
                <w:lang w:eastAsia="en-AU"/>
              </w:rPr>
            </w:pPr>
            <w:r w:rsidRPr="00C3371F">
              <w:rPr>
                <w:szCs w:val="18"/>
                <w:lang w:val="es-ES" w:eastAsia="en-AU"/>
              </w:rPr>
              <w:t xml:space="preserve">Weber J, </w:t>
            </w:r>
            <w:proofErr w:type="spellStart"/>
            <w:r w:rsidRPr="00C3371F">
              <w:rPr>
                <w:szCs w:val="18"/>
                <w:lang w:val="es-ES" w:eastAsia="en-AU"/>
              </w:rPr>
              <w:t>Mandala</w:t>
            </w:r>
            <w:proofErr w:type="spellEnd"/>
            <w:r w:rsidRPr="00C3371F">
              <w:rPr>
                <w:szCs w:val="18"/>
                <w:lang w:val="es-ES" w:eastAsia="en-AU"/>
              </w:rPr>
              <w:t xml:space="preserve"> M, Del </w:t>
            </w:r>
            <w:proofErr w:type="spellStart"/>
            <w:r w:rsidRPr="00C3371F">
              <w:rPr>
                <w:szCs w:val="18"/>
                <w:lang w:val="es-ES" w:eastAsia="en-AU"/>
              </w:rPr>
              <w:t>Vecchio</w:t>
            </w:r>
            <w:proofErr w:type="spellEnd"/>
            <w:r w:rsidRPr="00C3371F">
              <w:rPr>
                <w:szCs w:val="18"/>
                <w:lang w:val="es-ES" w:eastAsia="en-AU"/>
              </w:rPr>
              <w:t xml:space="preserve"> M, </w:t>
            </w:r>
            <w:proofErr w:type="spellStart"/>
            <w:r w:rsidRPr="00C3371F">
              <w:rPr>
                <w:szCs w:val="18"/>
                <w:lang w:val="es-ES" w:eastAsia="en-AU"/>
              </w:rPr>
              <w:t>Gogas</w:t>
            </w:r>
            <w:proofErr w:type="spellEnd"/>
            <w:r w:rsidRPr="00C3371F">
              <w:rPr>
                <w:szCs w:val="18"/>
                <w:lang w:val="es-ES" w:eastAsia="en-AU"/>
              </w:rPr>
              <w:t xml:space="preserve"> HJ, et al. </w:t>
            </w:r>
            <w:r w:rsidRPr="00C3371F">
              <w:rPr>
                <w:szCs w:val="18"/>
                <w:lang w:eastAsia="en-AU"/>
              </w:rPr>
              <w:t>Adjuvant nivolumab versus ipilimumab in resected Stage III or IV melanoma.</w:t>
            </w:r>
          </w:p>
        </w:tc>
        <w:tc>
          <w:tcPr>
            <w:tcW w:w="1177" w:type="pct"/>
            <w:tcBorders>
              <w:top w:val="nil"/>
              <w:bottom w:val="single" w:sz="4" w:space="0" w:color="auto"/>
            </w:tcBorders>
            <w:vAlign w:val="center"/>
          </w:tcPr>
          <w:p w:rsidR="00224029" w:rsidRPr="00C3371F" w:rsidRDefault="00224029" w:rsidP="00D54E15">
            <w:pPr>
              <w:pStyle w:val="Tabletext"/>
              <w:rPr>
                <w:szCs w:val="18"/>
                <w:lang w:eastAsia="en-AU"/>
              </w:rPr>
            </w:pPr>
            <w:r w:rsidRPr="00C3371F">
              <w:rPr>
                <w:szCs w:val="18"/>
                <w:lang w:eastAsia="en-AU"/>
              </w:rPr>
              <w:t>New England Journal of Medicine 2017; 377(19):1824-35.</w:t>
            </w:r>
          </w:p>
        </w:tc>
      </w:tr>
      <w:tr w:rsidR="00224029" w:rsidRPr="00C3371F" w:rsidTr="000A56F0">
        <w:tc>
          <w:tcPr>
            <w:tcW w:w="796" w:type="pct"/>
            <w:tcBorders>
              <w:top w:val="single" w:sz="4" w:space="0" w:color="auto"/>
              <w:bottom w:val="nil"/>
            </w:tcBorders>
            <w:vAlign w:val="center"/>
          </w:tcPr>
          <w:p w:rsidR="00224029" w:rsidRPr="00C3371F" w:rsidRDefault="00224029" w:rsidP="00D54E15">
            <w:pPr>
              <w:pStyle w:val="Tabletext"/>
            </w:pPr>
            <w:r w:rsidRPr="00C3371F">
              <w:t>CA184029</w:t>
            </w:r>
          </w:p>
        </w:tc>
        <w:tc>
          <w:tcPr>
            <w:tcW w:w="3027" w:type="pct"/>
            <w:tcBorders>
              <w:top w:val="single" w:sz="4" w:space="0" w:color="auto"/>
              <w:bottom w:val="nil"/>
            </w:tcBorders>
            <w:vAlign w:val="center"/>
          </w:tcPr>
          <w:p w:rsidR="00224029" w:rsidRPr="00C3371F" w:rsidRDefault="00224029" w:rsidP="00D54E15">
            <w:pPr>
              <w:pStyle w:val="Tabletext"/>
              <w:spacing w:after="60"/>
              <w:rPr>
                <w:szCs w:val="18"/>
                <w:lang w:val="en-US" w:eastAsia="en-AU"/>
              </w:rPr>
            </w:pPr>
            <w:r w:rsidRPr="00C3371F">
              <w:rPr>
                <w:szCs w:val="18"/>
                <w:lang w:val="en-US" w:eastAsia="en-AU"/>
              </w:rPr>
              <w:t>Adjuvant immunotherapy with anti-CTLA-4 monoclonal antibody (ipilimumab) versus placebo after complete resection of high-risk Stage III melanoma: a randomized, double-blind phase 3 trial of the EORTC Melanoma Group.</w:t>
            </w:r>
          </w:p>
        </w:tc>
        <w:tc>
          <w:tcPr>
            <w:tcW w:w="1177" w:type="pct"/>
            <w:tcBorders>
              <w:top w:val="single" w:sz="4" w:space="0" w:color="auto"/>
              <w:bottom w:val="nil"/>
            </w:tcBorders>
            <w:vAlign w:val="center"/>
          </w:tcPr>
          <w:p w:rsidR="00224029" w:rsidRPr="00C3371F" w:rsidRDefault="00224029" w:rsidP="00D54E15">
            <w:pPr>
              <w:pStyle w:val="Tabletext"/>
              <w:rPr>
                <w:szCs w:val="18"/>
                <w:lang w:val="en-US" w:eastAsia="en-AU"/>
              </w:rPr>
            </w:pPr>
            <w:r w:rsidRPr="00C3371F">
              <w:rPr>
                <w:szCs w:val="18"/>
                <w:lang w:val="en-US" w:eastAsia="en-AU"/>
              </w:rPr>
              <w:t>June 2014</w:t>
            </w:r>
          </w:p>
        </w:tc>
      </w:tr>
      <w:tr w:rsidR="00224029" w:rsidRPr="00C3371F" w:rsidTr="000A56F0">
        <w:tc>
          <w:tcPr>
            <w:tcW w:w="796" w:type="pct"/>
            <w:tcBorders>
              <w:top w:val="nil"/>
              <w:bottom w:val="nil"/>
            </w:tcBorders>
            <w:vAlign w:val="center"/>
          </w:tcPr>
          <w:p w:rsidR="00224029" w:rsidRPr="00C3371F" w:rsidRDefault="00224029" w:rsidP="00D54E15">
            <w:pPr>
              <w:pStyle w:val="Tabletext"/>
            </w:pPr>
          </w:p>
        </w:tc>
        <w:tc>
          <w:tcPr>
            <w:tcW w:w="3027" w:type="pct"/>
            <w:tcBorders>
              <w:top w:val="nil"/>
              <w:bottom w:val="nil"/>
            </w:tcBorders>
            <w:vAlign w:val="center"/>
          </w:tcPr>
          <w:p w:rsidR="00224029" w:rsidRPr="00C3371F" w:rsidRDefault="00224029" w:rsidP="00D54E15">
            <w:pPr>
              <w:pStyle w:val="Tabletext"/>
              <w:rPr>
                <w:szCs w:val="18"/>
                <w:lang w:val="en-US" w:eastAsia="en-AU"/>
              </w:rPr>
            </w:pPr>
            <w:proofErr w:type="spellStart"/>
            <w:r w:rsidRPr="00C3371F">
              <w:rPr>
                <w:lang w:val="fr-FR"/>
              </w:rPr>
              <w:t>Eggermont</w:t>
            </w:r>
            <w:proofErr w:type="spellEnd"/>
            <w:r w:rsidRPr="00C3371F">
              <w:rPr>
                <w:lang w:val="fr-FR"/>
              </w:rPr>
              <w:t xml:space="preserve"> AMM, </w:t>
            </w:r>
            <w:proofErr w:type="spellStart"/>
            <w:r w:rsidRPr="00C3371F">
              <w:rPr>
                <w:lang w:val="fr-FR"/>
              </w:rPr>
              <w:t>Chiarion-Sileni</w:t>
            </w:r>
            <w:proofErr w:type="spellEnd"/>
            <w:r w:rsidRPr="00C3371F">
              <w:rPr>
                <w:lang w:val="fr-FR"/>
              </w:rPr>
              <w:t xml:space="preserve"> V, Grob JJ, et al. </w:t>
            </w:r>
            <w:r w:rsidRPr="00C3371F">
              <w:t>Adjuvant ipilimumab versus placebo after complete resection of high-risk Stage III melanoma (EORTC 18071): A randomised, double-blind, phase 3 trial.</w:t>
            </w:r>
          </w:p>
        </w:tc>
        <w:tc>
          <w:tcPr>
            <w:tcW w:w="1177" w:type="pct"/>
            <w:tcBorders>
              <w:top w:val="nil"/>
              <w:bottom w:val="nil"/>
            </w:tcBorders>
            <w:vAlign w:val="center"/>
          </w:tcPr>
          <w:p w:rsidR="00224029" w:rsidRPr="00C3371F" w:rsidRDefault="00224029" w:rsidP="00D54E15">
            <w:pPr>
              <w:pStyle w:val="Tabletext"/>
              <w:rPr>
                <w:szCs w:val="18"/>
                <w:lang w:val="en-US" w:eastAsia="en-AU"/>
              </w:rPr>
            </w:pPr>
            <w:r w:rsidRPr="00C3371F">
              <w:rPr>
                <w:szCs w:val="18"/>
                <w:lang w:val="en-US" w:eastAsia="en-AU"/>
              </w:rPr>
              <w:t>The Lancet 2015; 16(5):522-30.</w:t>
            </w:r>
          </w:p>
        </w:tc>
      </w:tr>
      <w:tr w:rsidR="00224029" w:rsidRPr="00C3371F" w:rsidTr="000A56F0">
        <w:tc>
          <w:tcPr>
            <w:tcW w:w="796" w:type="pct"/>
            <w:tcBorders>
              <w:top w:val="nil"/>
              <w:bottom w:val="single" w:sz="4" w:space="0" w:color="auto"/>
            </w:tcBorders>
            <w:vAlign w:val="center"/>
          </w:tcPr>
          <w:p w:rsidR="00224029" w:rsidRPr="00C3371F" w:rsidRDefault="00224029" w:rsidP="00D54E15">
            <w:pPr>
              <w:pStyle w:val="Tabletext"/>
            </w:pPr>
          </w:p>
        </w:tc>
        <w:tc>
          <w:tcPr>
            <w:tcW w:w="3027" w:type="pct"/>
            <w:tcBorders>
              <w:top w:val="nil"/>
              <w:bottom w:val="single" w:sz="4" w:space="0" w:color="auto"/>
            </w:tcBorders>
            <w:vAlign w:val="center"/>
          </w:tcPr>
          <w:p w:rsidR="00224029" w:rsidRPr="00C3371F" w:rsidRDefault="00224029" w:rsidP="00D54E15">
            <w:pPr>
              <w:pStyle w:val="Tabletext"/>
            </w:pPr>
            <w:proofErr w:type="spellStart"/>
            <w:r w:rsidRPr="00C3371F">
              <w:rPr>
                <w:lang w:val="fr-FR"/>
              </w:rPr>
              <w:t>Eggermont</w:t>
            </w:r>
            <w:proofErr w:type="spellEnd"/>
            <w:r w:rsidRPr="00C3371F">
              <w:rPr>
                <w:lang w:val="fr-FR"/>
              </w:rPr>
              <w:t xml:space="preserve"> AM</w:t>
            </w:r>
            <w:r w:rsidR="007E6E7B" w:rsidRPr="00C3371F">
              <w:rPr>
                <w:lang w:val="fr-FR"/>
              </w:rPr>
              <w:t xml:space="preserve">M, </w:t>
            </w:r>
            <w:proofErr w:type="spellStart"/>
            <w:r w:rsidR="007E6E7B" w:rsidRPr="00C3371F">
              <w:rPr>
                <w:lang w:val="fr-FR"/>
              </w:rPr>
              <w:t>Chiarion-S</w:t>
            </w:r>
            <w:r w:rsidRPr="00C3371F">
              <w:rPr>
                <w:lang w:val="fr-FR"/>
              </w:rPr>
              <w:t>ileni</w:t>
            </w:r>
            <w:proofErr w:type="spellEnd"/>
            <w:r w:rsidRPr="00C3371F">
              <w:rPr>
                <w:lang w:val="fr-FR"/>
              </w:rPr>
              <w:t xml:space="preserve"> V, Grob JJ, et al. </w:t>
            </w:r>
            <w:r w:rsidRPr="00C3371F">
              <w:t>Prolonged survival in Stage III melanoma with ipilimumab adjuvant therapy.</w:t>
            </w:r>
          </w:p>
        </w:tc>
        <w:tc>
          <w:tcPr>
            <w:tcW w:w="1177" w:type="pct"/>
            <w:tcBorders>
              <w:top w:val="nil"/>
              <w:bottom w:val="single" w:sz="4" w:space="0" w:color="auto"/>
            </w:tcBorders>
            <w:vAlign w:val="center"/>
          </w:tcPr>
          <w:p w:rsidR="00224029" w:rsidRPr="00C3371F" w:rsidRDefault="00224029" w:rsidP="00D54E15">
            <w:pPr>
              <w:pStyle w:val="Tabletext"/>
              <w:rPr>
                <w:szCs w:val="18"/>
                <w:lang w:val="en-US" w:eastAsia="en-AU"/>
              </w:rPr>
            </w:pPr>
            <w:r w:rsidRPr="00C3371F">
              <w:rPr>
                <w:szCs w:val="18"/>
                <w:lang w:val="en-US" w:eastAsia="en-AU"/>
              </w:rPr>
              <w:t>New England Journal of Medicine 2016; 375(19):1845-55.</w:t>
            </w:r>
          </w:p>
        </w:tc>
      </w:tr>
    </w:tbl>
    <w:p w:rsidR="00224029" w:rsidRPr="00C3371F" w:rsidRDefault="00224029" w:rsidP="00224029">
      <w:pPr>
        <w:pStyle w:val="TableFooter"/>
      </w:pPr>
      <w:r w:rsidRPr="00C3371F">
        <w:t>Source: Table 37, pp37-38 of the submission.</w:t>
      </w:r>
    </w:p>
    <w:p w:rsidR="00224029" w:rsidRPr="00C3371F" w:rsidRDefault="00224029" w:rsidP="00224029"/>
    <w:p w:rsidR="00224029" w:rsidRPr="00C3371F" w:rsidRDefault="00224029" w:rsidP="000B6DBA">
      <w:pPr>
        <w:pStyle w:val="ListParagraph"/>
        <w:widowControl/>
        <w:numPr>
          <w:ilvl w:val="1"/>
          <w:numId w:val="1"/>
        </w:numPr>
      </w:pPr>
      <w:r w:rsidRPr="00C3371F">
        <w:t xml:space="preserve">The key features of the randomised trials used in the indirect comparison are summarised in the table below. </w:t>
      </w:r>
    </w:p>
    <w:p w:rsidR="00224029" w:rsidRPr="00C3371F" w:rsidRDefault="0053752C" w:rsidP="00697BBB">
      <w:pPr>
        <w:pStyle w:val="Caption"/>
        <w:keepNext/>
        <w:rPr>
          <w:rStyle w:val="CommentReference"/>
          <w:b/>
        </w:rPr>
      </w:pPr>
      <w:r w:rsidRPr="00C3371F">
        <w:rPr>
          <w:rStyle w:val="CommentReference"/>
          <w:b/>
        </w:rPr>
        <w:t>Table</w:t>
      </w:r>
      <w:r w:rsidR="00224029" w:rsidRPr="00C3371F">
        <w:rPr>
          <w:rStyle w:val="CommentReference"/>
          <w:b/>
        </w:rPr>
        <w:t xml:space="preserve"> </w:t>
      </w:r>
      <w:r w:rsidR="00C47B15">
        <w:rPr>
          <w:rStyle w:val="CommentReference"/>
          <w:b/>
          <w:noProof/>
        </w:rPr>
        <w:t>3</w:t>
      </w:r>
      <w:r w:rsidR="00224029" w:rsidRPr="00C3371F">
        <w:rPr>
          <w:rStyle w:val="CommentReference"/>
          <w:b/>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6"/>
        <w:gridCol w:w="705"/>
        <w:gridCol w:w="2278"/>
        <w:gridCol w:w="1290"/>
        <w:gridCol w:w="1337"/>
        <w:gridCol w:w="986"/>
        <w:gridCol w:w="1321"/>
      </w:tblGrid>
      <w:tr w:rsidR="00224029" w:rsidRPr="00C3371F" w:rsidTr="00FE01A4">
        <w:trPr>
          <w:tblHeader/>
        </w:trPr>
        <w:tc>
          <w:tcPr>
            <w:tcW w:w="642" w:type="pct"/>
            <w:shd w:val="clear" w:color="auto" w:fill="auto"/>
            <w:vAlign w:val="center"/>
          </w:tcPr>
          <w:p w:rsidR="00224029" w:rsidRPr="00C3371F" w:rsidRDefault="00224029" w:rsidP="00697BBB">
            <w:pPr>
              <w:pStyle w:val="Tabletext"/>
              <w:keepNext/>
              <w:rPr>
                <w:b/>
                <w:lang w:val="en-US"/>
              </w:rPr>
            </w:pPr>
            <w:r w:rsidRPr="00C3371F">
              <w:rPr>
                <w:b/>
                <w:lang w:val="en-US"/>
              </w:rPr>
              <w:t>Trial</w:t>
            </w:r>
          </w:p>
        </w:tc>
        <w:tc>
          <w:tcPr>
            <w:tcW w:w="388" w:type="pct"/>
            <w:shd w:val="clear" w:color="auto" w:fill="auto"/>
            <w:vAlign w:val="center"/>
          </w:tcPr>
          <w:p w:rsidR="00224029" w:rsidRPr="00C3371F" w:rsidRDefault="00224029" w:rsidP="00697BBB">
            <w:pPr>
              <w:pStyle w:val="Tabletext"/>
              <w:keepNext/>
              <w:jc w:val="center"/>
              <w:rPr>
                <w:b/>
                <w:lang w:val="en-US"/>
              </w:rPr>
            </w:pPr>
            <w:r w:rsidRPr="00C3371F">
              <w:rPr>
                <w:b/>
                <w:lang w:val="en-US"/>
              </w:rPr>
              <w:t>N</w:t>
            </w:r>
          </w:p>
        </w:tc>
        <w:tc>
          <w:tcPr>
            <w:tcW w:w="1254" w:type="pct"/>
            <w:shd w:val="clear" w:color="auto" w:fill="auto"/>
            <w:vAlign w:val="center"/>
          </w:tcPr>
          <w:p w:rsidR="00224029" w:rsidRPr="00C3371F" w:rsidRDefault="00224029" w:rsidP="00697BBB">
            <w:pPr>
              <w:pStyle w:val="Tabletext"/>
              <w:keepNext/>
              <w:jc w:val="center"/>
              <w:rPr>
                <w:b/>
                <w:lang w:val="en-US"/>
              </w:rPr>
            </w:pPr>
            <w:r w:rsidRPr="00C3371F">
              <w:rPr>
                <w:b/>
                <w:lang w:val="en-US"/>
              </w:rPr>
              <w:t>Design/ duration</w:t>
            </w:r>
          </w:p>
        </w:tc>
        <w:tc>
          <w:tcPr>
            <w:tcW w:w="710" w:type="pct"/>
            <w:shd w:val="clear" w:color="auto" w:fill="auto"/>
            <w:vAlign w:val="center"/>
          </w:tcPr>
          <w:p w:rsidR="00224029" w:rsidRPr="00C3371F" w:rsidRDefault="00224029" w:rsidP="00697BBB">
            <w:pPr>
              <w:pStyle w:val="Tabletext"/>
              <w:keepNext/>
              <w:jc w:val="center"/>
              <w:rPr>
                <w:b/>
                <w:lang w:val="en-US"/>
              </w:rPr>
            </w:pPr>
            <w:r w:rsidRPr="00C3371F">
              <w:rPr>
                <w:b/>
                <w:lang w:val="en-US"/>
              </w:rPr>
              <w:t>Risk of bias</w:t>
            </w:r>
            <w:r w:rsidR="000F69E8" w:rsidRPr="00C3371F">
              <w:rPr>
                <w:b/>
                <w:lang w:val="en-US"/>
              </w:rPr>
              <w:t>**</w:t>
            </w:r>
          </w:p>
        </w:tc>
        <w:tc>
          <w:tcPr>
            <w:tcW w:w="736" w:type="pct"/>
            <w:shd w:val="clear" w:color="auto" w:fill="auto"/>
            <w:vAlign w:val="center"/>
          </w:tcPr>
          <w:p w:rsidR="00224029" w:rsidRPr="00C3371F" w:rsidRDefault="00224029" w:rsidP="00697BBB">
            <w:pPr>
              <w:pStyle w:val="Tabletext"/>
              <w:keepNext/>
              <w:jc w:val="center"/>
              <w:rPr>
                <w:b/>
                <w:lang w:val="en-US"/>
              </w:rPr>
            </w:pPr>
            <w:r w:rsidRPr="00C3371F">
              <w:rPr>
                <w:b/>
                <w:lang w:val="en-US"/>
              </w:rPr>
              <w:t>Patient population</w:t>
            </w:r>
          </w:p>
        </w:tc>
        <w:tc>
          <w:tcPr>
            <w:tcW w:w="543" w:type="pct"/>
            <w:shd w:val="clear" w:color="auto" w:fill="auto"/>
            <w:vAlign w:val="center"/>
          </w:tcPr>
          <w:p w:rsidR="00224029" w:rsidRPr="00C3371F" w:rsidRDefault="00500659" w:rsidP="00697BBB">
            <w:pPr>
              <w:pStyle w:val="Tabletext"/>
              <w:keepNext/>
              <w:jc w:val="center"/>
              <w:rPr>
                <w:b/>
                <w:lang w:val="en-US"/>
              </w:rPr>
            </w:pPr>
            <w:r w:rsidRPr="00C3371F">
              <w:rPr>
                <w:b/>
                <w:lang w:val="en-US"/>
              </w:rPr>
              <w:t>Outcome</w:t>
            </w:r>
            <w:r w:rsidR="00224029" w:rsidRPr="00C3371F">
              <w:rPr>
                <w:b/>
                <w:lang w:val="en-US"/>
              </w:rPr>
              <w:t>s</w:t>
            </w:r>
          </w:p>
        </w:tc>
        <w:tc>
          <w:tcPr>
            <w:tcW w:w="727" w:type="pct"/>
            <w:shd w:val="clear" w:color="auto" w:fill="auto"/>
            <w:vAlign w:val="center"/>
          </w:tcPr>
          <w:p w:rsidR="00224029" w:rsidRPr="00C3371F" w:rsidRDefault="00224029" w:rsidP="00697BBB">
            <w:pPr>
              <w:pStyle w:val="Tabletext"/>
              <w:keepNext/>
              <w:jc w:val="center"/>
              <w:rPr>
                <w:b/>
                <w:lang w:val="en-US"/>
              </w:rPr>
            </w:pPr>
            <w:r w:rsidRPr="00C3371F">
              <w:rPr>
                <w:b/>
                <w:lang w:val="en-US"/>
              </w:rPr>
              <w:t>Use in modelled evaluation</w:t>
            </w:r>
          </w:p>
        </w:tc>
      </w:tr>
      <w:tr w:rsidR="00224029" w:rsidRPr="00C3371F" w:rsidTr="000F69E8">
        <w:tc>
          <w:tcPr>
            <w:tcW w:w="5000" w:type="pct"/>
            <w:gridSpan w:val="7"/>
            <w:shd w:val="clear" w:color="auto" w:fill="auto"/>
            <w:vAlign w:val="center"/>
          </w:tcPr>
          <w:p w:rsidR="00224029" w:rsidRPr="00C3371F" w:rsidRDefault="00224029" w:rsidP="00697BBB">
            <w:pPr>
              <w:pStyle w:val="Tabletext"/>
              <w:keepNext/>
              <w:rPr>
                <w:b/>
                <w:lang w:val="en-US"/>
              </w:rPr>
            </w:pPr>
            <w:r w:rsidRPr="00C3371F">
              <w:rPr>
                <w:b/>
                <w:lang w:val="en-US"/>
              </w:rPr>
              <w:t>Nivolumab vs. ipilimumab</w:t>
            </w:r>
          </w:p>
        </w:tc>
      </w:tr>
      <w:tr w:rsidR="00224029" w:rsidRPr="00C3371F" w:rsidTr="00FE01A4">
        <w:tc>
          <w:tcPr>
            <w:tcW w:w="642" w:type="pct"/>
            <w:shd w:val="clear" w:color="auto" w:fill="auto"/>
            <w:vAlign w:val="center"/>
          </w:tcPr>
          <w:p w:rsidR="00224029" w:rsidRPr="00C3371F" w:rsidRDefault="00224029" w:rsidP="00697BBB">
            <w:pPr>
              <w:pStyle w:val="Tabletext"/>
              <w:keepNext/>
              <w:rPr>
                <w:lang w:val="en-US"/>
              </w:rPr>
            </w:pPr>
            <w:r w:rsidRPr="00C3371F">
              <w:rPr>
                <w:lang w:val="en-US"/>
              </w:rPr>
              <w:t>CA209238</w:t>
            </w:r>
          </w:p>
        </w:tc>
        <w:tc>
          <w:tcPr>
            <w:tcW w:w="388" w:type="pct"/>
            <w:shd w:val="clear" w:color="auto" w:fill="auto"/>
            <w:vAlign w:val="center"/>
          </w:tcPr>
          <w:p w:rsidR="00224029" w:rsidRPr="00C3371F" w:rsidRDefault="00224029" w:rsidP="00697BBB">
            <w:pPr>
              <w:pStyle w:val="Tabletext"/>
              <w:keepNext/>
              <w:jc w:val="center"/>
              <w:rPr>
                <w:lang w:val="en-US"/>
              </w:rPr>
            </w:pPr>
            <w:r w:rsidRPr="00C3371F">
              <w:rPr>
                <w:lang w:val="en-US"/>
              </w:rPr>
              <w:t>906</w:t>
            </w:r>
          </w:p>
        </w:tc>
        <w:tc>
          <w:tcPr>
            <w:tcW w:w="1254" w:type="pct"/>
            <w:shd w:val="clear" w:color="auto" w:fill="auto"/>
            <w:vAlign w:val="center"/>
          </w:tcPr>
          <w:p w:rsidR="00224029" w:rsidRPr="00C3371F" w:rsidRDefault="00224029" w:rsidP="00697BBB">
            <w:pPr>
              <w:pStyle w:val="Tabletext"/>
              <w:keepNext/>
              <w:jc w:val="center"/>
              <w:rPr>
                <w:lang w:val="en-US"/>
              </w:rPr>
            </w:pPr>
            <w:r w:rsidRPr="00C3371F">
              <w:rPr>
                <w:lang w:val="en-US"/>
              </w:rPr>
              <w:t>R, DB</w:t>
            </w:r>
          </w:p>
          <w:p w:rsidR="00224029" w:rsidRPr="00C3371F" w:rsidRDefault="00224029" w:rsidP="00697BBB">
            <w:pPr>
              <w:pStyle w:val="Tabletext"/>
              <w:keepNext/>
              <w:jc w:val="center"/>
              <w:rPr>
                <w:lang w:val="en-US"/>
              </w:rPr>
            </w:pPr>
            <w:r w:rsidRPr="00C3371F">
              <w:rPr>
                <w:lang w:val="en-US"/>
              </w:rPr>
              <w:t>Mean duration of treatment:</w:t>
            </w:r>
          </w:p>
          <w:p w:rsidR="00224029" w:rsidRPr="00C3371F" w:rsidRDefault="00224029" w:rsidP="00697BBB">
            <w:pPr>
              <w:pStyle w:val="Tabletext"/>
              <w:keepNext/>
              <w:jc w:val="center"/>
              <w:rPr>
                <w:lang w:val="es-ES"/>
              </w:rPr>
            </w:pPr>
            <w:r w:rsidRPr="00C3371F">
              <w:rPr>
                <w:lang w:val="es-ES"/>
              </w:rPr>
              <w:t xml:space="preserve">NIVO: </w:t>
            </w:r>
            <w:r w:rsidR="00606797">
              <w:rPr>
                <w:noProof/>
                <w:color w:val="000000"/>
                <w:highlight w:val="black"/>
                <w:lang w:val="es-ES"/>
              </w:rPr>
              <w:t>'''''''''''</w:t>
            </w:r>
            <w:r w:rsidRPr="00C3371F">
              <w:rPr>
                <w:lang w:val="es-ES"/>
              </w:rPr>
              <w:t xml:space="preserve"> doses (SD</w:t>
            </w:r>
            <w:r w:rsidR="009D6E8D">
              <w:rPr>
                <w:lang w:val="es-ES"/>
              </w:rPr>
              <w:t>:</w:t>
            </w:r>
            <w:r w:rsidRPr="00C3371F">
              <w:rPr>
                <w:lang w:val="es-ES"/>
              </w:rPr>
              <w:t xml:space="preserve"> 7.94)</w:t>
            </w:r>
          </w:p>
          <w:p w:rsidR="00224029" w:rsidRPr="00C3371F" w:rsidRDefault="00224029" w:rsidP="00697BBB">
            <w:pPr>
              <w:pStyle w:val="Tabletext"/>
              <w:keepNext/>
              <w:jc w:val="center"/>
              <w:rPr>
                <w:lang w:val="es-ES"/>
              </w:rPr>
            </w:pPr>
            <w:r w:rsidRPr="00C3371F">
              <w:rPr>
                <w:lang w:val="es-ES"/>
              </w:rPr>
              <w:t xml:space="preserve">IPI: </w:t>
            </w:r>
            <w:r w:rsidR="00606797">
              <w:rPr>
                <w:noProof/>
                <w:color w:val="000000"/>
                <w:highlight w:val="black"/>
                <w:lang w:val="es-ES"/>
              </w:rPr>
              <w:t>''''''''</w:t>
            </w:r>
            <w:r w:rsidRPr="00C3371F">
              <w:rPr>
                <w:lang w:val="es-ES"/>
              </w:rPr>
              <w:t xml:space="preserve"> doses (SD</w:t>
            </w:r>
            <w:r w:rsidR="009D6E8D">
              <w:rPr>
                <w:lang w:val="es-ES"/>
              </w:rPr>
              <w:t>:</w:t>
            </w:r>
            <w:r w:rsidRPr="00C3371F">
              <w:rPr>
                <w:lang w:val="es-ES"/>
              </w:rPr>
              <w:t xml:space="preserve"> 1.84)</w:t>
            </w:r>
          </w:p>
          <w:p w:rsidR="00224029" w:rsidRPr="00C3371F" w:rsidRDefault="00224029" w:rsidP="00697BBB">
            <w:pPr>
              <w:pStyle w:val="Tabletext"/>
              <w:keepNext/>
              <w:jc w:val="center"/>
              <w:rPr>
                <w:lang w:val="en-US"/>
              </w:rPr>
            </w:pPr>
            <w:r w:rsidRPr="00C3371F">
              <w:rPr>
                <w:lang w:val="en-US"/>
              </w:rPr>
              <w:t>Minimum FU 18 m</w:t>
            </w:r>
            <w:r w:rsidR="009D6E8D">
              <w:rPr>
                <w:lang w:val="en-US"/>
              </w:rPr>
              <w:t>on</w:t>
            </w:r>
            <w:r w:rsidRPr="00C3371F">
              <w:rPr>
                <w:lang w:val="en-US"/>
              </w:rPr>
              <w:t>th</w:t>
            </w:r>
            <w:r w:rsidR="009D6E8D">
              <w:rPr>
                <w:lang w:val="en-US"/>
              </w:rPr>
              <w:t>s</w:t>
            </w:r>
          </w:p>
        </w:tc>
        <w:tc>
          <w:tcPr>
            <w:tcW w:w="710" w:type="pct"/>
            <w:shd w:val="clear" w:color="auto" w:fill="auto"/>
            <w:vAlign w:val="center"/>
          </w:tcPr>
          <w:p w:rsidR="00224029" w:rsidRPr="00C3371F" w:rsidRDefault="00224029" w:rsidP="00697BBB">
            <w:pPr>
              <w:pStyle w:val="Tabletext"/>
              <w:keepNext/>
              <w:jc w:val="center"/>
              <w:rPr>
                <w:lang w:val="en-US"/>
              </w:rPr>
            </w:pPr>
            <w:r w:rsidRPr="00C3371F">
              <w:rPr>
                <w:lang w:val="en-US"/>
              </w:rPr>
              <w:t>Low</w:t>
            </w:r>
          </w:p>
        </w:tc>
        <w:tc>
          <w:tcPr>
            <w:tcW w:w="736" w:type="pct"/>
            <w:shd w:val="clear" w:color="auto" w:fill="auto"/>
            <w:vAlign w:val="center"/>
          </w:tcPr>
          <w:p w:rsidR="00224029" w:rsidRPr="00C3371F" w:rsidRDefault="00224029" w:rsidP="00697BBB">
            <w:pPr>
              <w:pStyle w:val="Tabletext"/>
              <w:keepNext/>
              <w:jc w:val="center"/>
              <w:rPr>
                <w:lang w:val="en-US"/>
              </w:rPr>
            </w:pPr>
            <w:r w:rsidRPr="00C3371F">
              <w:rPr>
                <w:lang w:val="en-US"/>
              </w:rPr>
              <w:t>Stage IIIB/C or Stage IV melanoma that is completely resected</w:t>
            </w:r>
          </w:p>
        </w:tc>
        <w:tc>
          <w:tcPr>
            <w:tcW w:w="543" w:type="pct"/>
            <w:shd w:val="clear" w:color="auto" w:fill="auto"/>
            <w:vAlign w:val="center"/>
          </w:tcPr>
          <w:p w:rsidR="00224029" w:rsidRPr="00C3371F" w:rsidRDefault="00224029" w:rsidP="00697BBB">
            <w:pPr>
              <w:pStyle w:val="Tabletext"/>
              <w:keepNext/>
              <w:jc w:val="center"/>
              <w:rPr>
                <w:lang w:val="en-US"/>
              </w:rPr>
            </w:pPr>
            <w:r w:rsidRPr="00C3371F">
              <w:rPr>
                <w:lang w:val="en-US"/>
              </w:rPr>
              <w:t>RFS</w:t>
            </w:r>
          </w:p>
        </w:tc>
        <w:tc>
          <w:tcPr>
            <w:tcW w:w="727" w:type="pct"/>
            <w:shd w:val="clear" w:color="auto" w:fill="auto"/>
            <w:vAlign w:val="center"/>
          </w:tcPr>
          <w:p w:rsidR="00224029" w:rsidRPr="00C3371F" w:rsidRDefault="00900FB4" w:rsidP="00697BBB">
            <w:pPr>
              <w:pStyle w:val="Tabletext"/>
              <w:keepNext/>
              <w:jc w:val="center"/>
              <w:rPr>
                <w:lang w:val="en-US"/>
              </w:rPr>
            </w:pPr>
            <w:r w:rsidRPr="00C3371F">
              <w:rPr>
                <w:lang w:val="en-US"/>
              </w:rPr>
              <w:t>Used</w:t>
            </w:r>
          </w:p>
        </w:tc>
      </w:tr>
      <w:tr w:rsidR="00224029" w:rsidRPr="00C3371F" w:rsidTr="000F69E8">
        <w:tc>
          <w:tcPr>
            <w:tcW w:w="5000" w:type="pct"/>
            <w:gridSpan w:val="7"/>
            <w:shd w:val="clear" w:color="auto" w:fill="auto"/>
            <w:vAlign w:val="center"/>
          </w:tcPr>
          <w:p w:rsidR="00224029" w:rsidRPr="00C3371F" w:rsidRDefault="00224029" w:rsidP="00697BBB">
            <w:pPr>
              <w:pStyle w:val="Tabletext"/>
              <w:keepNext/>
              <w:rPr>
                <w:b/>
                <w:lang w:val="en-US"/>
              </w:rPr>
            </w:pPr>
            <w:r w:rsidRPr="00C3371F">
              <w:rPr>
                <w:b/>
                <w:lang w:val="en-US"/>
              </w:rPr>
              <w:t>Placebo vs. ipilimumab</w:t>
            </w:r>
          </w:p>
        </w:tc>
      </w:tr>
      <w:tr w:rsidR="00224029" w:rsidRPr="00C3371F" w:rsidTr="00FE01A4">
        <w:tc>
          <w:tcPr>
            <w:tcW w:w="642" w:type="pct"/>
            <w:shd w:val="clear" w:color="auto" w:fill="auto"/>
            <w:vAlign w:val="center"/>
          </w:tcPr>
          <w:p w:rsidR="00224029" w:rsidRPr="00C3371F" w:rsidRDefault="00224029" w:rsidP="00697BBB">
            <w:pPr>
              <w:pStyle w:val="Tabletext"/>
              <w:keepNext/>
              <w:rPr>
                <w:lang w:val="en-US"/>
              </w:rPr>
            </w:pPr>
            <w:r w:rsidRPr="00C3371F">
              <w:rPr>
                <w:lang w:val="en-US"/>
              </w:rPr>
              <w:t>CA184029</w:t>
            </w:r>
          </w:p>
        </w:tc>
        <w:tc>
          <w:tcPr>
            <w:tcW w:w="388" w:type="pct"/>
            <w:shd w:val="clear" w:color="auto" w:fill="auto"/>
            <w:vAlign w:val="center"/>
          </w:tcPr>
          <w:p w:rsidR="00224029" w:rsidRPr="00C3371F" w:rsidRDefault="00224029" w:rsidP="00697BBB">
            <w:pPr>
              <w:pStyle w:val="Tabletext"/>
              <w:keepNext/>
              <w:jc w:val="center"/>
              <w:rPr>
                <w:lang w:val="en-US"/>
              </w:rPr>
            </w:pPr>
            <w:r w:rsidRPr="00C3371F">
              <w:rPr>
                <w:lang w:val="en-US"/>
              </w:rPr>
              <w:t>951</w:t>
            </w:r>
          </w:p>
        </w:tc>
        <w:tc>
          <w:tcPr>
            <w:tcW w:w="1254" w:type="pct"/>
            <w:shd w:val="clear" w:color="auto" w:fill="auto"/>
            <w:vAlign w:val="center"/>
          </w:tcPr>
          <w:p w:rsidR="00224029" w:rsidRPr="00C3371F" w:rsidRDefault="00224029" w:rsidP="00697BBB">
            <w:pPr>
              <w:pStyle w:val="Tabletext"/>
              <w:keepNext/>
              <w:jc w:val="center"/>
              <w:rPr>
                <w:lang w:val="en-US"/>
              </w:rPr>
            </w:pPr>
            <w:r w:rsidRPr="00C3371F">
              <w:rPr>
                <w:lang w:val="en-US"/>
              </w:rPr>
              <w:t>R, DB</w:t>
            </w:r>
          </w:p>
          <w:p w:rsidR="00224029" w:rsidRPr="00C3371F" w:rsidRDefault="00224029" w:rsidP="00697BBB">
            <w:pPr>
              <w:pStyle w:val="Tabletext"/>
              <w:keepNext/>
              <w:jc w:val="center"/>
              <w:rPr>
                <w:lang w:val="en-US"/>
              </w:rPr>
            </w:pPr>
            <w:r w:rsidRPr="00C3371F">
              <w:rPr>
                <w:lang w:val="en-US"/>
              </w:rPr>
              <w:t>Mean duration of treatment:</w:t>
            </w:r>
          </w:p>
          <w:p w:rsidR="00224029" w:rsidRPr="00C3371F" w:rsidRDefault="00224029" w:rsidP="00697BBB">
            <w:pPr>
              <w:pStyle w:val="Tabletext"/>
              <w:keepNext/>
              <w:jc w:val="center"/>
              <w:rPr>
                <w:lang w:val="es-ES"/>
              </w:rPr>
            </w:pPr>
            <w:r w:rsidRPr="00C3371F">
              <w:rPr>
                <w:lang w:val="es-ES"/>
              </w:rPr>
              <w:t xml:space="preserve">IPI: </w:t>
            </w:r>
            <w:r w:rsidR="00606797">
              <w:rPr>
                <w:noProof/>
                <w:color w:val="000000"/>
                <w:highlight w:val="black"/>
                <w:lang w:val="es-ES"/>
              </w:rPr>
              <w:t>''''''''</w:t>
            </w:r>
            <w:r w:rsidRPr="00C3371F">
              <w:rPr>
                <w:lang w:val="es-ES"/>
              </w:rPr>
              <w:t xml:space="preserve"> doses (SD</w:t>
            </w:r>
            <w:r w:rsidR="009D6E8D">
              <w:rPr>
                <w:lang w:val="es-ES"/>
              </w:rPr>
              <w:t>:</w:t>
            </w:r>
            <w:r w:rsidRPr="00C3371F">
              <w:rPr>
                <w:lang w:val="es-ES"/>
              </w:rPr>
              <w:t xml:space="preserve"> 4.32)</w:t>
            </w:r>
          </w:p>
          <w:p w:rsidR="00224029" w:rsidRPr="00C3371F" w:rsidRDefault="00224029" w:rsidP="00697BBB">
            <w:pPr>
              <w:pStyle w:val="Tabletext"/>
              <w:keepNext/>
              <w:jc w:val="center"/>
              <w:rPr>
                <w:lang w:val="es-ES"/>
              </w:rPr>
            </w:pPr>
            <w:r w:rsidRPr="00C3371F">
              <w:rPr>
                <w:lang w:val="es-ES"/>
              </w:rPr>
              <w:t xml:space="preserve">PBO: </w:t>
            </w:r>
            <w:r w:rsidR="00606797">
              <w:rPr>
                <w:noProof/>
                <w:color w:val="000000"/>
                <w:highlight w:val="black"/>
                <w:lang w:val="es-ES"/>
              </w:rPr>
              <w:t>'''''''''</w:t>
            </w:r>
            <w:r w:rsidRPr="00C3371F">
              <w:rPr>
                <w:lang w:val="es-ES"/>
              </w:rPr>
              <w:t xml:space="preserve"> doses (SD</w:t>
            </w:r>
            <w:r w:rsidR="009D6E8D">
              <w:rPr>
                <w:lang w:val="es-ES"/>
              </w:rPr>
              <w:t>:</w:t>
            </w:r>
            <w:r w:rsidRPr="00C3371F">
              <w:rPr>
                <w:lang w:val="es-ES"/>
              </w:rPr>
              <w:t xml:space="preserve"> 4.85)</w:t>
            </w:r>
          </w:p>
          <w:p w:rsidR="00224029" w:rsidRPr="00C3371F" w:rsidRDefault="00224029" w:rsidP="00697BBB">
            <w:pPr>
              <w:pStyle w:val="Tabletext"/>
              <w:keepNext/>
              <w:jc w:val="center"/>
              <w:rPr>
                <w:lang w:val="en-US"/>
              </w:rPr>
            </w:pPr>
            <w:r w:rsidRPr="00C3371F">
              <w:rPr>
                <w:lang w:val="en-US"/>
              </w:rPr>
              <w:t>Median FU: 2.7 years (RFS)</w:t>
            </w:r>
          </w:p>
          <w:p w:rsidR="00224029" w:rsidRPr="00C3371F" w:rsidRDefault="00224029" w:rsidP="00697BBB">
            <w:pPr>
              <w:pStyle w:val="Tabletext"/>
              <w:keepNext/>
              <w:jc w:val="center"/>
              <w:rPr>
                <w:lang w:val="en-US"/>
              </w:rPr>
            </w:pPr>
            <w:r w:rsidRPr="00C3371F">
              <w:rPr>
                <w:lang w:val="en-US"/>
              </w:rPr>
              <w:t>5.3 years (OS)*</w:t>
            </w:r>
          </w:p>
        </w:tc>
        <w:tc>
          <w:tcPr>
            <w:tcW w:w="710" w:type="pct"/>
            <w:shd w:val="clear" w:color="auto" w:fill="auto"/>
            <w:vAlign w:val="center"/>
          </w:tcPr>
          <w:p w:rsidR="00224029" w:rsidRPr="00C3371F" w:rsidRDefault="00224029" w:rsidP="00697BBB">
            <w:pPr>
              <w:pStyle w:val="Tabletext"/>
              <w:keepNext/>
              <w:jc w:val="center"/>
              <w:rPr>
                <w:lang w:val="en-US"/>
              </w:rPr>
            </w:pPr>
            <w:r w:rsidRPr="00C3371F">
              <w:rPr>
                <w:lang w:val="en-US"/>
              </w:rPr>
              <w:t>Low</w:t>
            </w:r>
          </w:p>
        </w:tc>
        <w:tc>
          <w:tcPr>
            <w:tcW w:w="736" w:type="pct"/>
            <w:shd w:val="clear" w:color="auto" w:fill="auto"/>
            <w:vAlign w:val="center"/>
          </w:tcPr>
          <w:p w:rsidR="00224029" w:rsidRPr="00C3371F" w:rsidRDefault="00224029" w:rsidP="00697BBB">
            <w:pPr>
              <w:pStyle w:val="Tabletext"/>
              <w:keepNext/>
              <w:jc w:val="center"/>
              <w:rPr>
                <w:lang w:val="en-US"/>
              </w:rPr>
            </w:pPr>
            <w:r w:rsidRPr="00C3371F">
              <w:rPr>
                <w:lang w:val="en-US"/>
              </w:rPr>
              <w:t>Stage III cutaneous melanoma that is completely resected</w:t>
            </w:r>
          </w:p>
        </w:tc>
        <w:tc>
          <w:tcPr>
            <w:tcW w:w="543" w:type="pct"/>
            <w:shd w:val="clear" w:color="auto" w:fill="auto"/>
            <w:vAlign w:val="center"/>
          </w:tcPr>
          <w:p w:rsidR="00224029" w:rsidRPr="00C3371F" w:rsidRDefault="00224029" w:rsidP="00697BBB">
            <w:pPr>
              <w:pStyle w:val="Tabletext"/>
              <w:keepNext/>
              <w:jc w:val="center"/>
              <w:rPr>
                <w:lang w:val="en-US"/>
              </w:rPr>
            </w:pPr>
            <w:r w:rsidRPr="00C3371F">
              <w:rPr>
                <w:lang w:val="en-US"/>
              </w:rPr>
              <w:t>RFS</w:t>
            </w:r>
          </w:p>
          <w:p w:rsidR="00224029" w:rsidRPr="00C3371F" w:rsidRDefault="00224029" w:rsidP="00697BBB">
            <w:pPr>
              <w:pStyle w:val="Tabletext"/>
              <w:keepNext/>
              <w:jc w:val="center"/>
              <w:rPr>
                <w:lang w:val="en-US"/>
              </w:rPr>
            </w:pPr>
            <w:r w:rsidRPr="00C3371F">
              <w:rPr>
                <w:lang w:val="en-US"/>
              </w:rPr>
              <w:t>OS</w:t>
            </w:r>
          </w:p>
        </w:tc>
        <w:tc>
          <w:tcPr>
            <w:tcW w:w="727" w:type="pct"/>
            <w:shd w:val="clear" w:color="auto" w:fill="auto"/>
            <w:vAlign w:val="center"/>
          </w:tcPr>
          <w:p w:rsidR="00224029" w:rsidRPr="00C3371F" w:rsidRDefault="00900FB4" w:rsidP="00697BBB">
            <w:pPr>
              <w:pStyle w:val="Tabletext"/>
              <w:keepNext/>
              <w:jc w:val="center"/>
              <w:rPr>
                <w:lang w:val="en-US"/>
              </w:rPr>
            </w:pPr>
            <w:r w:rsidRPr="00C3371F">
              <w:rPr>
                <w:lang w:val="en-US"/>
              </w:rPr>
              <w:t>Used</w:t>
            </w:r>
          </w:p>
        </w:tc>
      </w:tr>
    </w:tbl>
    <w:p w:rsidR="00224029" w:rsidRPr="00C3371F" w:rsidRDefault="00224029" w:rsidP="00224029">
      <w:pPr>
        <w:pStyle w:val="TableFooter"/>
      </w:pPr>
      <w:r w:rsidRPr="00C3371F">
        <w:t>DB</w:t>
      </w:r>
      <w:r w:rsidR="00697BBB">
        <w:t xml:space="preserve"> </w:t>
      </w:r>
      <w:r w:rsidRPr="00C3371F">
        <w:t>=</w:t>
      </w:r>
      <w:r w:rsidR="00697BBB">
        <w:t xml:space="preserve"> </w:t>
      </w:r>
      <w:r w:rsidRPr="00C3371F">
        <w:t xml:space="preserve">double blind; </w:t>
      </w:r>
      <w:r w:rsidR="008D46A7" w:rsidRPr="00C3371F">
        <w:t xml:space="preserve">FU = follow up; IPI = ipilimumab; </w:t>
      </w:r>
      <w:r w:rsidRPr="00C3371F">
        <w:t xml:space="preserve">NIVO = nivolumab; </w:t>
      </w:r>
      <w:r w:rsidR="008D46A7" w:rsidRPr="00C3371F">
        <w:t xml:space="preserve">OS = overall survival; </w:t>
      </w:r>
      <w:r w:rsidRPr="00C3371F">
        <w:t>PBO = placebo;</w:t>
      </w:r>
      <w:r w:rsidR="008D46A7" w:rsidRPr="00C3371F">
        <w:t xml:space="preserve"> R</w:t>
      </w:r>
      <w:r w:rsidR="00697BBB">
        <w:t xml:space="preserve"> </w:t>
      </w:r>
      <w:r w:rsidR="008D46A7" w:rsidRPr="00C3371F">
        <w:t>=</w:t>
      </w:r>
      <w:r w:rsidR="00697BBB">
        <w:t xml:space="preserve"> </w:t>
      </w:r>
      <w:r w:rsidR="008D46A7" w:rsidRPr="00C3371F">
        <w:t xml:space="preserve">randomised; RFS = </w:t>
      </w:r>
      <w:r w:rsidR="00C16EFF" w:rsidRPr="00C3371F">
        <w:t>recurrence-free</w:t>
      </w:r>
      <w:r w:rsidR="008D46A7" w:rsidRPr="00C3371F">
        <w:t xml:space="preserve"> survival</w:t>
      </w:r>
      <w:r w:rsidR="0086244C" w:rsidRPr="00C3371F">
        <w:t>; SD = standard deviation</w:t>
      </w:r>
    </w:p>
    <w:p w:rsidR="00224029" w:rsidRPr="00C3371F" w:rsidRDefault="00224029" w:rsidP="00186B79">
      <w:pPr>
        <w:pStyle w:val="TableFooter"/>
        <w:ind w:left="142" w:hanging="142"/>
      </w:pPr>
      <w:r w:rsidRPr="00C3371F">
        <w:t>*</w:t>
      </w:r>
      <w:r w:rsidR="00186B79" w:rsidRPr="00C3371F">
        <w:t xml:space="preserve"> T</w:t>
      </w:r>
      <w:r w:rsidRPr="00C3371F">
        <w:t xml:space="preserve">he median follow-up for </w:t>
      </w:r>
      <w:r w:rsidR="00C16EFF" w:rsidRPr="00C3371F">
        <w:t>recurrence-free</w:t>
      </w:r>
      <w:r w:rsidRPr="00C3371F">
        <w:t xml:space="preserve"> survival in</w:t>
      </w:r>
      <w:r w:rsidR="00186B79" w:rsidRPr="00C3371F">
        <w:t xml:space="preserve"> the</w:t>
      </w:r>
      <w:r w:rsidRPr="00C3371F">
        <w:t xml:space="preserve"> ipilimumab arm </w:t>
      </w:r>
      <w:r w:rsidR="00186B79" w:rsidRPr="00C3371F">
        <w:t>wa</w:t>
      </w:r>
      <w:r w:rsidRPr="00C3371F">
        <w:t xml:space="preserve">s 2.6 years and in placebo arm </w:t>
      </w:r>
      <w:r w:rsidR="00186B79" w:rsidRPr="00C3371F">
        <w:t>wa</w:t>
      </w:r>
      <w:r w:rsidRPr="00C3371F">
        <w:t>s 2.76 years. The median follow-up for OS is 5.3 years in ipilimumab arm and 5.4 years in placebo arm.</w:t>
      </w:r>
    </w:p>
    <w:p w:rsidR="000F69E8" w:rsidRPr="00C3371F" w:rsidRDefault="000F69E8" w:rsidP="004416A2">
      <w:pPr>
        <w:pStyle w:val="TableFooter"/>
        <w:ind w:left="142" w:hanging="142"/>
      </w:pPr>
      <w:r w:rsidRPr="00C3371F">
        <w:t>** Risk of bias in the</w:t>
      </w:r>
      <w:r w:rsidR="00DB42B4" w:rsidRPr="00C3371F">
        <w:t xml:space="preserve"> primary outcome (</w:t>
      </w:r>
      <w:r w:rsidRPr="00C3371F">
        <w:t>RFS</w:t>
      </w:r>
      <w:r w:rsidR="00DB42B4" w:rsidRPr="00C3371F">
        <w:t>)</w:t>
      </w:r>
      <w:r w:rsidR="004416A2" w:rsidRPr="00C3371F">
        <w:t xml:space="preserve"> is low in the individual studies but the indirect </w:t>
      </w:r>
      <w:r w:rsidR="006A6C59" w:rsidRPr="00C3371F">
        <w:t>comparison of the two trials had</w:t>
      </w:r>
      <w:r w:rsidR="004416A2" w:rsidRPr="00C3371F">
        <w:t xml:space="preserve"> a high risk of bias due to the poor transitivity of the two trials.</w:t>
      </w:r>
    </w:p>
    <w:p w:rsidR="00224029" w:rsidRPr="00C3371F" w:rsidRDefault="00224029" w:rsidP="00224029">
      <w:pPr>
        <w:pStyle w:val="TableFooter"/>
        <w:rPr>
          <w:szCs w:val="18"/>
        </w:rPr>
      </w:pPr>
      <w:r w:rsidRPr="00C3371F">
        <w:t>Source: Compiled during the evaluation based on Table 2, pp8-10 Appendix B to the submission and Table 42, p53 and Table 44, pp55-56 of the submission.</w:t>
      </w:r>
    </w:p>
    <w:p w:rsidR="00224029" w:rsidRPr="00C3371F" w:rsidRDefault="00224029" w:rsidP="00224029"/>
    <w:p w:rsidR="006F74BF" w:rsidRPr="005C7AC1" w:rsidRDefault="00E73F32" w:rsidP="000B6DBA">
      <w:pPr>
        <w:pStyle w:val="ListParagraph"/>
        <w:widowControl/>
        <w:numPr>
          <w:ilvl w:val="1"/>
          <w:numId w:val="1"/>
        </w:numPr>
      </w:pPr>
      <w:r w:rsidRPr="005C7AC1">
        <w:t>The ESC noted that the definition of RFS in CA209238 was the time between the date of randomisation and the date of first recurrence (local, regional or distant metastasis), new primary melanoma, or death (whatever the cause), whicheve</w:t>
      </w:r>
      <w:r w:rsidR="00BD72E6">
        <w:t xml:space="preserve">r occurs </w:t>
      </w:r>
      <w:proofErr w:type="gramStart"/>
      <w:r w:rsidR="00BD72E6">
        <w:t xml:space="preserve">first </w:t>
      </w:r>
      <w:r w:rsidRPr="005C7AC1">
        <w:t>;</w:t>
      </w:r>
      <w:proofErr w:type="gramEnd"/>
      <w:r w:rsidRPr="005C7AC1">
        <w:t xml:space="preserve"> and in CA184029 was the time between the date of randomisation and the date of first recurrence (local, regional or distant metastasis) or death (whatever the cause), whichev</w:t>
      </w:r>
      <w:r w:rsidR="00BD72E6">
        <w:t>er occurs first</w:t>
      </w:r>
      <w:r w:rsidRPr="005C7AC1">
        <w:t xml:space="preserve">. </w:t>
      </w:r>
      <w:r w:rsidR="003E4F49" w:rsidRPr="005C7AC1">
        <w:t>T</w:t>
      </w:r>
      <w:r w:rsidRPr="005C7AC1">
        <w:t xml:space="preserve">he ESC </w:t>
      </w:r>
      <w:r w:rsidR="003E4F49" w:rsidRPr="005C7AC1">
        <w:t xml:space="preserve">noted the use of a composite endpoint </w:t>
      </w:r>
      <w:r w:rsidR="003E4F49" w:rsidRPr="005C7AC1">
        <w:lastRenderedPageBreak/>
        <w:t xml:space="preserve">consisting of different health outcomes and different </w:t>
      </w:r>
      <w:r w:rsidRPr="005C7AC1">
        <w:t>definition</w:t>
      </w:r>
      <w:r w:rsidR="003E4F49" w:rsidRPr="005C7AC1">
        <w:t>s</w:t>
      </w:r>
      <w:r w:rsidRPr="005C7AC1">
        <w:t xml:space="preserve"> of RFS </w:t>
      </w:r>
      <w:r w:rsidR="003E4F49" w:rsidRPr="005C7AC1">
        <w:t>across</w:t>
      </w:r>
      <w:r w:rsidRPr="005C7AC1">
        <w:t xml:space="preserve"> the two trials</w:t>
      </w:r>
      <w:r w:rsidR="003E4F49" w:rsidRPr="005C7AC1">
        <w:t xml:space="preserve"> potentially</w:t>
      </w:r>
      <w:r w:rsidRPr="005C7AC1">
        <w:t xml:space="preserve"> affects the transitivity of </w:t>
      </w:r>
      <w:r w:rsidR="003E4F49" w:rsidRPr="005C7AC1">
        <w:t xml:space="preserve">the </w:t>
      </w:r>
      <w:r w:rsidRPr="005C7AC1">
        <w:t>trial</w:t>
      </w:r>
      <w:r w:rsidR="003E4F49" w:rsidRPr="005C7AC1">
        <w:t>s</w:t>
      </w:r>
      <w:r w:rsidRPr="005C7AC1">
        <w:t xml:space="preserve"> </w:t>
      </w:r>
      <w:r w:rsidR="003E4F49" w:rsidRPr="005C7AC1">
        <w:t>used in</w:t>
      </w:r>
      <w:r w:rsidRPr="005C7AC1">
        <w:t xml:space="preserve"> the indirect comparison. </w:t>
      </w:r>
      <w:r w:rsidR="00AF6546" w:rsidRPr="005C7AC1">
        <w:t>The ESC considered that</w:t>
      </w:r>
      <w:r w:rsidR="00352BD5" w:rsidRPr="005C7AC1">
        <w:t xml:space="preserve"> the</w:t>
      </w:r>
      <w:r w:rsidR="00A12D1D" w:rsidRPr="005C7AC1">
        <w:t xml:space="preserve"> relevance and clinical importance</w:t>
      </w:r>
      <w:r w:rsidR="000F6C1E" w:rsidRPr="005C7AC1">
        <w:t xml:space="preserve"> of this </w:t>
      </w:r>
      <w:r w:rsidR="00A12D1D" w:rsidRPr="005C7AC1">
        <w:t xml:space="preserve">composite endpoint </w:t>
      </w:r>
      <w:r w:rsidR="000F6C1E" w:rsidRPr="005C7AC1">
        <w:t xml:space="preserve">for </w:t>
      </w:r>
      <w:r w:rsidR="00AF6546" w:rsidRPr="005C7AC1">
        <w:t xml:space="preserve">the </w:t>
      </w:r>
      <w:r w:rsidR="00352BD5" w:rsidRPr="005C7AC1">
        <w:t>final health outcomes of</w:t>
      </w:r>
      <w:r w:rsidR="000F6C1E" w:rsidRPr="005C7AC1">
        <w:t xml:space="preserve"> patients </w:t>
      </w:r>
      <w:r w:rsidR="00A12D1D" w:rsidRPr="005C7AC1">
        <w:t xml:space="preserve">was uncertain and </w:t>
      </w:r>
      <w:r w:rsidR="002E7EE2" w:rsidRPr="005C7AC1">
        <w:t>c</w:t>
      </w:r>
      <w:r w:rsidR="000F6C1E" w:rsidRPr="005C7AC1">
        <w:t xml:space="preserve">ould vary substantially (e.g. </w:t>
      </w:r>
      <w:r w:rsidR="00A12D1D" w:rsidRPr="005C7AC1">
        <w:t xml:space="preserve">implications of </w:t>
      </w:r>
      <w:r w:rsidR="000F6C1E" w:rsidRPr="005C7AC1">
        <w:t>local recurrence v</w:t>
      </w:r>
      <w:r w:rsidR="00801C1F">
        <w:t>ersu</w:t>
      </w:r>
      <w:r w:rsidR="000F6C1E" w:rsidRPr="005C7AC1">
        <w:t>s distant metastasis v</w:t>
      </w:r>
      <w:r w:rsidR="00801C1F">
        <w:t>ersu</w:t>
      </w:r>
      <w:r w:rsidR="000F6C1E" w:rsidRPr="005C7AC1">
        <w:t>s death).</w:t>
      </w:r>
      <w:r w:rsidR="00594272" w:rsidRPr="005C7AC1">
        <w:t xml:space="preserve"> </w:t>
      </w:r>
      <w:r w:rsidR="00D83939">
        <w:t>The pre-PBAC response</w:t>
      </w:r>
      <w:r w:rsidR="00845AF4">
        <w:t xml:space="preserve"> </w:t>
      </w:r>
      <w:r w:rsidR="00D83939">
        <w:t xml:space="preserve">acknowledged the differences in the definitions of RFS relating to the occurrence of new primary melanoma; however, noted that in CA209238 more new primary melanoma events occurred in the nivolumab arm (1.5% of patients) compared to in the ipilimumab arm (0.9%). The pre-PBAC response claimed that this favoured nivolumab therapy. In addition, as the Kaplan Meier curves for RFS in the ipilimumab arms of the CA184029 and CA209238 trials closed matched, the transitivity issues associated with the difference in definitions </w:t>
      </w:r>
      <w:r w:rsidR="00E00749">
        <w:t>were considered</w:t>
      </w:r>
      <w:r w:rsidR="00D83939">
        <w:t xml:space="preserve"> marginal.</w:t>
      </w:r>
    </w:p>
    <w:p w:rsidR="00224029" w:rsidRPr="00C3371F" w:rsidRDefault="00224029" w:rsidP="000B6DBA">
      <w:pPr>
        <w:pStyle w:val="ListParagraph"/>
        <w:widowControl/>
        <w:numPr>
          <w:ilvl w:val="1"/>
          <w:numId w:val="1"/>
        </w:numPr>
      </w:pPr>
      <w:r w:rsidRPr="00C3371F">
        <w:t>The risk of bias</w:t>
      </w:r>
      <w:r w:rsidR="00985BCD" w:rsidRPr="00C3371F">
        <w:t xml:space="preserve"> in the primary outcome of RFS in each individual trial wa</w:t>
      </w:r>
      <w:r w:rsidRPr="00C3371F">
        <w:t xml:space="preserve">s low. </w:t>
      </w:r>
      <w:r w:rsidR="001F0DD4" w:rsidRPr="00C3371F">
        <w:t>However, for the indirec</w:t>
      </w:r>
      <w:r w:rsidR="006A6C59" w:rsidRPr="00C3371F">
        <w:t>t comparison, the risk of bias wa</w:t>
      </w:r>
      <w:r w:rsidR="001F0DD4" w:rsidRPr="00C3371F">
        <w:t>s high given the non-randomised nature of comparison.</w:t>
      </w:r>
    </w:p>
    <w:p w:rsidR="00224029" w:rsidRPr="00C3371F" w:rsidRDefault="00224029" w:rsidP="000B6DBA">
      <w:pPr>
        <w:pStyle w:val="ListParagraph"/>
        <w:widowControl/>
        <w:numPr>
          <w:ilvl w:val="1"/>
          <w:numId w:val="1"/>
        </w:numPr>
      </w:pPr>
      <w:r w:rsidRPr="00C3371F">
        <w:t>The indirect comparison and the consequent clinical claim of nivolumab versus observation were based on the outcome of RFS</w:t>
      </w:r>
      <w:r w:rsidR="00801C1F">
        <w:t xml:space="preserve"> as</w:t>
      </w:r>
      <w:r w:rsidR="001229E1" w:rsidRPr="00C3371F">
        <w:t xml:space="preserve"> </w:t>
      </w:r>
      <w:r w:rsidRPr="00C3371F">
        <w:t xml:space="preserve">OS data were </w:t>
      </w:r>
      <w:r w:rsidR="001229E1" w:rsidRPr="00C3371F">
        <w:t>not available</w:t>
      </w:r>
      <w:r w:rsidRPr="00C3371F">
        <w:t xml:space="preserve"> for CA209238</w:t>
      </w:r>
      <w:r w:rsidR="00AC5BBF" w:rsidRPr="00C3371F">
        <w:rPr>
          <w:rStyle w:val="FootnoteReference"/>
        </w:rPr>
        <w:footnoteReference w:id="8"/>
      </w:r>
      <w:r w:rsidRPr="00C3371F">
        <w:t>. The availability of nivolumab for use as adjuvant therapy is likely to alter subsequent management of recurrent disease, especially the use</w:t>
      </w:r>
      <w:r w:rsidR="00C263A4">
        <w:rPr>
          <w:i/>
        </w:rPr>
        <w:t xml:space="preserve"> </w:t>
      </w:r>
      <w:r w:rsidR="00C263A4" w:rsidRPr="00FE01A4">
        <w:t>and efficacy</w:t>
      </w:r>
      <w:r w:rsidR="00C263A4">
        <w:rPr>
          <w:i/>
        </w:rPr>
        <w:t xml:space="preserve"> </w:t>
      </w:r>
      <w:r w:rsidRPr="00C3371F">
        <w:t xml:space="preserve">of PD-1 inhibitors as first- or later-line treatment for unresectable Stage III and Stage IV disease. Only OS data will capture the overall impact of listing nivolumab as adjuvant therapy on the complete treatment pathway for these patients. </w:t>
      </w:r>
    </w:p>
    <w:p w:rsidR="00224029" w:rsidRPr="009F1345" w:rsidRDefault="00224029" w:rsidP="009F1345">
      <w:pPr>
        <w:pStyle w:val="Heading2"/>
        <w:spacing w:before="240" w:after="120"/>
        <w:rPr>
          <w:i w:val="0"/>
        </w:rPr>
      </w:pPr>
      <w:bookmarkStart w:id="8" w:name="_Toc511661678"/>
      <w:r w:rsidRPr="00C3371F">
        <w:rPr>
          <w:i w:val="0"/>
        </w:rPr>
        <w:t>Comparative effectiveness</w:t>
      </w:r>
      <w:bookmarkEnd w:id="8"/>
    </w:p>
    <w:p w:rsidR="00224029" w:rsidRPr="00C3371F" w:rsidRDefault="00224029" w:rsidP="000B6DBA">
      <w:pPr>
        <w:pStyle w:val="ListParagraph"/>
        <w:widowControl/>
        <w:numPr>
          <w:ilvl w:val="1"/>
          <w:numId w:val="1"/>
        </w:numPr>
        <w:rPr>
          <w:color w:val="000000" w:themeColor="text1"/>
        </w:rPr>
      </w:pPr>
      <w:r w:rsidRPr="00C3371F">
        <w:t xml:space="preserve">The </w:t>
      </w:r>
      <w:r w:rsidR="00D64A1B" w:rsidRPr="00C3371F">
        <w:t xml:space="preserve">Kaplan Meier plots for </w:t>
      </w:r>
      <w:r w:rsidRPr="00C3371F">
        <w:t>RFS from studies CA209238 and CA184029 are presented below</w:t>
      </w:r>
      <w:r w:rsidRPr="00C3371F">
        <w:rPr>
          <w:color w:val="000000" w:themeColor="text1"/>
        </w:rPr>
        <w:t>.</w:t>
      </w:r>
      <w:r w:rsidR="00AC4D66" w:rsidRPr="00C3371F">
        <w:rPr>
          <w:color w:val="000000" w:themeColor="text1"/>
        </w:rPr>
        <w:t xml:space="preserve"> Further details are provided in the indirect comparison</w:t>
      </w:r>
      <w:r w:rsidR="000B4FB0" w:rsidRPr="00C3371F">
        <w:rPr>
          <w:color w:val="000000" w:themeColor="text1"/>
        </w:rPr>
        <w:t xml:space="preserve"> in </w:t>
      </w:r>
      <w:r w:rsidR="00C47B15" w:rsidRPr="00C47B15">
        <w:t>Table 5</w:t>
      </w:r>
      <w:r w:rsidR="000B4FB0" w:rsidRPr="00C3371F">
        <w:t>.</w:t>
      </w:r>
      <w:r w:rsidR="00AC4D66" w:rsidRPr="00C3371F">
        <w:rPr>
          <w:color w:val="000000" w:themeColor="text1"/>
        </w:rPr>
        <w:t xml:space="preserve"> </w:t>
      </w:r>
    </w:p>
    <w:p w:rsidR="00224029" w:rsidRPr="00C3371F" w:rsidRDefault="00224029" w:rsidP="00EE67B1">
      <w:pPr>
        <w:pStyle w:val="Caption"/>
        <w:keepNext/>
        <w:rPr>
          <w:rStyle w:val="CommentReference"/>
          <w:b/>
        </w:rPr>
      </w:pPr>
      <w:bookmarkStart w:id="9" w:name="_Ref510608634"/>
      <w:r w:rsidRPr="00C3371F">
        <w:rPr>
          <w:rStyle w:val="CommentReference"/>
          <w:b/>
        </w:rPr>
        <w:lastRenderedPageBreak/>
        <w:t xml:space="preserve">Figure </w:t>
      </w:r>
      <w:r w:rsidR="00C47B15">
        <w:rPr>
          <w:rStyle w:val="CommentReference"/>
          <w:b/>
          <w:noProof/>
        </w:rPr>
        <w:t>1</w:t>
      </w:r>
      <w:bookmarkEnd w:id="9"/>
      <w:r w:rsidRPr="00C3371F">
        <w:rPr>
          <w:rStyle w:val="CommentReference"/>
          <w:b/>
        </w:rPr>
        <w:t>: Kaplan Meier plot for RFS: CA209238 nivolumab vs ipilimumab</w:t>
      </w:r>
    </w:p>
    <w:p w:rsidR="00224029" w:rsidRPr="00C3371F" w:rsidRDefault="00606797" w:rsidP="00224029">
      <w:pPr>
        <w:pStyle w:val="TableFooter"/>
      </w:pPr>
      <w:r>
        <w:rPr>
          <w:noProof/>
          <w:snapToGrid/>
          <w:lang w:eastAsia="en-AU"/>
        </w:rPr>
        <w:drawing>
          <wp:inline distT="0" distB="0" distL="0" distR="0">
            <wp:extent cx="4914900" cy="3933825"/>
            <wp:effectExtent l="0" t="0" r="0" b="9525"/>
            <wp:docPr id="3" name="Picture 3" title="Figure 1: Kaplan Meier plot for RFS: CA209238 nivolumab vs ipilimuma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14900" cy="3933825"/>
                    </a:xfrm>
                    <a:prstGeom prst="rect">
                      <a:avLst/>
                    </a:prstGeom>
                  </pic:spPr>
                </pic:pic>
              </a:graphicData>
            </a:graphic>
          </wp:inline>
        </w:drawing>
      </w:r>
    </w:p>
    <w:p w:rsidR="00224029" w:rsidRPr="00C3371F" w:rsidRDefault="00224029" w:rsidP="00224029">
      <w:pPr>
        <w:pStyle w:val="TableFooter"/>
      </w:pPr>
      <w:r w:rsidRPr="00C3371F">
        <w:t xml:space="preserve">CI = confidence interval; </w:t>
      </w:r>
      <w:proofErr w:type="spellStart"/>
      <w:r w:rsidRPr="00C3371F">
        <w:t>Ipi</w:t>
      </w:r>
      <w:proofErr w:type="spellEnd"/>
      <w:r w:rsidRPr="00C3371F">
        <w:t xml:space="preserve"> = ipilimumab; NA </w:t>
      </w:r>
      <w:r w:rsidR="00697BBB">
        <w:t>=</w:t>
      </w:r>
      <w:r w:rsidRPr="00C3371F">
        <w:t xml:space="preserve"> not available; </w:t>
      </w:r>
      <w:proofErr w:type="spellStart"/>
      <w:r w:rsidRPr="00C3371F">
        <w:t>Nivo</w:t>
      </w:r>
      <w:proofErr w:type="spellEnd"/>
      <w:r w:rsidRPr="00C3371F">
        <w:t xml:space="preserve"> = nivolumab; RFS = </w:t>
      </w:r>
      <w:r w:rsidR="00C16EFF" w:rsidRPr="00C3371F">
        <w:t>recurrence-free</w:t>
      </w:r>
      <w:r w:rsidRPr="00C3371F">
        <w:t xml:space="preserve"> survival</w:t>
      </w:r>
    </w:p>
    <w:p w:rsidR="00AC611E" w:rsidRPr="00C3371F" w:rsidRDefault="00AC611E" w:rsidP="00AC611E">
      <w:pPr>
        <w:pStyle w:val="TableFooter"/>
      </w:pPr>
      <w:r w:rsidRPr="00C3371F">
        <w:t>Source: Figure 19, p71 of the submission.</w:t>
      </w:r>
    </w:p>
    <w:p w:rsidR="00224029" w:rsidRPr="00C3371F" w:rsidRDefault="00224029" w:rsidP="00EE67B1"/>
    <w:p w:rsidR="00224029" w:rsidRPr="00C3371F" w:rsidRDefault="00224029" w:rsidP="00EE67B1">
      <w:pPr>
        <w:pStyle w:val="Caption"/>
        <w:keepNext/>
        <w:rPr>
          <w:rStyle w:val="CommentReference"/>
          <w:b/>
        </w:rPr>
      </w:pPr>
      <w:bookmarkStart w:id="10" w:name="_Ref510608639"/>
      <w:r w:rsidRPr="00C3371F">
        <w:rPr>
          <w:rStyle w:val="CommentReference"/>
          <w:b/>
        </w:rPr>
        <w:lastRenderedPageBreak/>
        <w:t xml:space="preserve">Figure </w:t>
      </w:r>
      <w:r w:rsidR="00C47B15">
        <w:rPr>
          <w:rStyle w:val="CommentReference"/>
          <w:b/>
          <w:noProof/>
        </w:rPr>
        <w:t>2</w:t>
      </w:r>
      <w:bookmarkEnd w:id="10"/>
      <w:r w:rsidRPr="00C3371F">
        <w:rPr>
          <w:rStyle w:val="CommentReference"/>
          <w:b/>
        </w:rPr>
        <w:t>: Kaplan Meier plot for RFS (per IRC): CA184029 ipilimumab vs placebo</w:t>
      </w:r>
    </w:p>
    <w:p w:rsidR="00224029" w:rsidRPr="00C3371F" w:rsidRDefault="00606797" w:rsidP="00224029">
      <w:pPr>
        <w:pStyle w:val="TableFooter"/>
      </w:pPr>
      <w:r>
        <w:rPr>
          <w:noProof/>
          <w:snapToGrid/>
          <w:lang w:eastAsia="en-AU"/>
        </w:rPr>
        <w:drawing>
          <wp:inline distT="0" distB="0" distL="0" distR="0">
            <wp:extent cx="4667250" cy="4004945"/>
            <wp:effectExtent l="0" t="0" r="0" b="0"/>
            <wp:docPr id="2" name="Picture 2" title="Figure 2: Kaplan Meier plot for RFS (per IRC): CA184029 ipilimumab vs placeb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67250" cy="4004945"/>
                    </a:xfrm>
                    <a:prstGeom prst="rect">
                      <a:avLst/>
                    </a:prstGeom>
                  </pic:spPr>
                </pic:pic>
              </a:graphicData>
            </a:graphic>
          </wp:inline>
        </w:drawing>
      </w:r>
    </w:p>
    <w:p w:rsidR="00224029" w:rsidRPr="00C3371F" w:rsidRDefault="00224029" w:rsidP="00224029">
      <w:pPr>
        <w:pStyle w:val="TableFooter"/>
      </w:pPr>
      <w:r w:rsidRPr="00C3371F">
        <w:t xml:space="preserve">CI = confidence interval; IRC = Independent Review Committee; RFS = </w:t>
      </w:r>
      <w:r w:rsidR="00C16EFF" w:rsidRPr="00C3371F">
        <w:t>recurrence-free</w:t>
      </w:r>
      <w:r w:rsidRPr="00C3371F">
        <w:t xml:space="preserve"> survival</w:t>
      </w:r>
    </w:p>
    <w:p w:rsidR="00F66E3F" w:rsidRPr="00C3371F" w:rsidRDefault="00F66E3F" w:rsidP="00224029">
      <w:pPr>
        <w:pStyle w:val="TableFooter"/>
      </w:pPr>
      <w:r w:rsidRPr="00C3371F">
        <w:t>Note: the hazard ratio for placebo versus ipilimumab was 1.33 (95% CI: 1.11, 1.56)</w:t>
      </w:r>
    </w:p>
    <w:p w:rsidR="00AC611E" w:rsidRPr="00C3371F" w:rsidRDefault="00AC611E" w:rsidP="00AC611E">
      <w:pPr>
        <w:pStyle w:val="TableFooter"/>
      </w:pPr>
      <w:r w:rsidRPr="00C3371F">
        <w:t>Source: Figure 19, p71 of the submission.</w:t>
      </w:r>
    </w:p>
    <w:p w:rsidR="00224029" w:rsidRPr="00C3371F" w:rsidRDefault="00224029" w:rsidP="00D17BB3"/>
    <w:p w:rsidR="00224029" w:rsidRPr="00C3371F" w:rsidRDefault="00224029" w:rsidP="000B6DBA">
      <w:pPr>
        <w:pStyle w:val="ListParagraph"/>
        <w:widowControl/>
        <w:numPr>
          <w:ilvl w:val="1"/>
          <w:numId w:val="1"/>
        </w:numPr>
      </w:pPr>
      <w:r w:rsidRPr="00C3371F">
        <w:t xml:space="preserve">The </w:t>
      </w:r>
      <w:r w:rsidR="00A54A08">
        <w:t xml:space="preserve">PBAC noted that the </w:t>
      </w:r>
      <w:r w:rsidRPr="00C3371F">
        <w:t>RFS data in CA209238 were still immature. The median RFS was not reached in either of the treatment arms. Therefore, the absolute magnitude of the treatment effect, in terms of the difference in median RFS between the treatment groups, could not be determined</w:t>
      </w:r>
      <w:r w:rsidR="00167A0A" w:rsidRPr="00C3371F">
        <w:t>.</w:t>
      </w:r>
    </w:p>
    <w:p w:rsidR="00224029" w:rsidRPr="00C3371F" w:rsidRDefault="00224029" w:rsidP="000B6DBA">
      <w:pPr>
        <w:pStyle w:val="ListParagraph"/>
        <w:widowControl/>
        <w:numPr>
          <w:ilvl w:val="1"/>
          <w:numId w:val="1"/>
        </w:numPr>
      </w:pPr>
      <w:r w:rsidRPr="00C3371F">
        <w:t>Visual examination of the Kaplan-Meier plot for RFS suggest</w:t>
      </w:r>
      <w:r w:rsidR="00A760C3" w:rsidRPr="00C3371F">
        <w:t>ed</w:t>
      </w:r>
      <w:r w:rsidRPr="00C3371F">
        <w:t xml:space="preserve"> that the relative treatment effect was not constant over time, with the curves overlying each other before diverging approximately </w:t>
      </w:r>
      <w:r w:rsidR="00801C1F">
        <w:t>three</w:t>
      </w:r>
      <w:r w:rsidRPr="00C3371F">
        <w:t xml:space="preserve"> months after initiation of therapy</w:t>
      </w:r>
      <w:r w:rsidR="00F37CC2" w:rsidRPr="00C3371F">
        <w:t xml:space="preserve"> (</w:t>
      </w:r>
      <w:r w:rsidR="00C47B15" w:rsidRPr="00C47B15">
        <w:t>Figure 1</w:t>
      </w:r>
      <w:r w:rsidR="00F37CC2" w:rsidRPr="00C3371F">
        <w:t xml:space="preserve"> and </w:t>
      </w:r>
      <w:r w:rsidR="00C47B15" w:rsidRPr="00C47B15">
        <w:t>Figure 2</w:t>
      </w:r>
      <w:r w:rsidR="00F37CC2" w:rsidRPr="00C3371F">
        <w:t>)</w:t>
      </w:r>
      <w:r w:rsidRPr="00C3371F">
        <w:t>. If the proportional hazards assumption does not hold, the estimated hazard ratio, as a measure of the relative treatment effect or reduction in risk, may be unreliable given the measure’s dependency on follow-up time.</w:t>
      </w:r>
    </w:p>
    <w:p w:rsidR="00224029" w:rsidRPr="00C3371F" w:rsidRDefault="00224029" w:rsidP="000B6DBA">
      <w:pPr>
        <w:pStyle w:val="ListParagraph"/>
        <w:widowControl/>
        <w:numPr>
          <w:ilvl w:val="1"/>
          <w:numId w:val="1"/>
        </w:numPr>
      </w:pPr>
      <w:r w:rsidRPr="00C3371F">
        <w:t xml:space="preserve">The </w:t>
      </w:r>
      <w:r w:rsidR="00F82F9B">
        <w:t xml:space="preserve">PBAC noted the </w:t>
      </w:r>
      <w:r w:rsidRPr="00C3371F">
        <w:t>key transitivity issues across the trials</w:t>
      </w:r>
      <w:r w:rsidR="00F82F9B">
        <w:t>, which</w:t>
      </w:r>
      <w:r w:rsidRPr="00C3371F">
        <w:t xml:space="preserve"> are summarised in the table below.</w:t>
      </w:r>
      <w:r w:rsidR="00F66E3F" w:rsidRPr="00C3371F">
        <w:t xml:space="preserve"> It should be noted that, as ipilimumab is the common reference arm, the outcome of interest in CA184029 is the hazard ratio (HR) for </w:t>
      </w:r>
      <w:r w:rsidR="00F66E3F" w:rsidRPr="00C3371F">
        <w:rPr>
          <w:u w:val="single"/>
        </w:rPr>
        <w:t>placebo compared with ipilimumab</w:t>
      </w:r>
      <w:r w:rsidR="00F66E3F" w:rsidRPr="00C3371F">
        <w:t xml:space="preserve"> (rather than the HR for ipilimumab compared with placebo).</w:t>
      </w:r>
    </w:p>
    <w:p w:rsidR="00224029" w:rsidRPr="00C3371F" w:rsidRDefault="00224029" w:rsidP="00B44B82">
      <w:pPr>
        <w:pStyle w:val="Caption"/>
        <w:keepNext/>
        <w:rPr>
          <w:rStyle w:val="CommentReference"/>
          <w:b/>
        </w:rPr>
      </w:pPr>
      <w:r w:rsidRPr="00C3371F">
        <w:rPr>
          <w:rStyle w:val="CommentReference"/>
          <w:b/>
        </w:rPr>
        <w:lastRenderedPageBreak/>
        <w:t xml:space="preserve">Table </w:t>
      </w:r>
      <w:r w:rsidR="00C47B15">
        <w:rPr>
          <w:rStyle w:val="CommentReference"/>
          <w:b/>
          <w:noProof/>
        </w:rPr>
        <w:t>4</w:t>
      </w:r>
      <w:r w:rsidRPr="00C3371F">
        <w:rPr>
          <w:rStyle w:val="CommentReference"/>
          <w:b/>
        </w:rPr>
        <w:t xml:space="preserve">: Comparison of key factors that may affect the </w:t>
      </w:r>
      <w:r w:rsidR="00DB7C48" w:rsidRPr="00C3371F">
        <w:rPr>
          <w:rStyle w:val="CommentReference"/>
          <w:b/>
        </w:rPr>
        <w:t xml:space="preserve">validity </w:t>
      </w:r>
      <w:r w:rsidRPr="00C3371F">
        <w:rPr>
          <w:rStyle w:val="CommentReference"/>
          <w:b/>
        </w:rPr>
        <w:t>of the indirect comparison</w:t>
      </w:r>
    </w:p>
    <w:tbl>
      <w:tblPr>
        <w:tblStyle w:val="TableGrid"/>
        <w:tblW w:w="5000" w:type="pct"/>
        <w:tblLook w:val="04A0" w:firstRow="1" w:lastRow="0" w:firstColumn="1" w:lastColumn="0" w:noHBand="0" w:noVBand="1"/>
        <w:tblCaption w:val="Table 4: Comparison of key factors that may affect the validity of the indirect comparison"/>
      </w:tblPr>
      <w:tblGrid>
        <w:gridCol w:w="1520"/>
        <w:gridCol w:w="2095"/>
        <w:gridCol w:w="2104"/>
        <w:gridCol w:w="3364"/>
      </w:tblGrid>
      <w:tr w:rsidR="00224029" w:rsidRPr="00C3371F" w:rsidTr="0041506F">
        <w:trPr>
          <w:tblHeader/>
        </w:trPr>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rsidR="00224029" w:rsidRPr="00C3371F" w:rsidRDefault="00224029" w:rsidP="00D54E15">
            <w:pPr>
              <w:pStyle w:val="TableText0"/>
              <w:widowControl w:val="0"/>
              <w:spacing w:before="0" w:after="0"/>
              <w:jc w:val="center"/>
              <w:rPr>
                <w:b/>
              </w:rPr>
            </w:pPr>
          </w:p>
        </w:tc>
        <w:tc>
          <w:tcPr>
            <w:tcW w:w="1153"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rsidR="00224029" w:rsidRPr="00C3371F" w:rsidRDefault="00224029" w:rsidP="00D54E15">
            <w:pPr>
              <w:pStyle w:val="Tabletext"/>
              <w:jc w:val="center"/>
              <w:rPr>
                <w:b/>
              </w:rPr>
            </w:pPr>
            <w:r w:rsidRPr="00C3371F">
              <w:rPr>
                <w:b/>
              </w:rPr>
              <w:t>CA209238</w:t>
            </w:r>
          </w:p>
          <w:p w:rsidR="00224029" w:rsidRPr="00C3371F" w:rsidRDefault="00224029" w:rsidP="00D54E15">
            <w:pPr>
              <w:pStyle w:val="Tabletext"/>
              <w:jc w:val="center"/>
              <w:rPr>
                <w:b/>
              </w:rPr>
            </w:pPr>
            <w:r w:rsidRPr="00C3371F">
              <w:rPr>
                <w:b/>
              </w:rPr>
              <w:t>Nivolumab vs ipilimumab</w:t>
            </w:r>
          </w:p>
        </w:tc>
        <w:tc>
          <w:tcPr>
            <w:tcW w:w="1158"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rsidR="00224029" w:rsidRPr="00C3371F" w:rsidRDefault="00224029" w:rsidP="00D54E15">
            <w:pPr>
              <w:pStyle w:val="Tabletext"/>
              <w:jc w:val="center"/>
              <w:rPr>
                <w:b/>
              </w:rPr>
            </w:pPr>
            <w:r w:rsidRPr="00C3371F">
              <w:rPr>
                <w:b/>
              </w:rPr>
              <w:t>CA184029</w:t>
            </w:r>
          </w:p>
          <w:p w:rsidR="00224029" w:rsidRPr="00C3371F" w:rsidRDefault="00224029" w:rsidP="00D54E15">
            <w:pPr>
              <w:pStyle w:val="Tabletext"/>
              <w:jc w:val="center"/>
              <w:rPr>
                <w:b/>
              </w:rPr>
            </w:pPr>
            <w:r w:rsidRPr="00C3371F">
              <w:rPr>
                <w:b/>
              </w:rPr>
              <w:t>Ipilimumab vs placebo</w:t>
            </w:r>
          </w:p>
        </w:tc>
        <w:tc>
          <w:tcPr>
            <w:tcW w:w="1852" w:type="pct"/>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rsidR="00224029" w:rsidRPr="00C3371F" w:rsidRDefault="00224029" w:rsidP="00D54E15">
            <w:pPr>
              <w:pStyle w:val="Tabletext"/>
              <w:jc w:val="center"/>
              <w:rPr>
                <w:b/>
              </w:rPr>
            </w:pPr>
            <w:r w:rsidRPr="00C3371F">
              <w:rPr>
                <w:b/>
              </w:rPr>
              <w:t>Potential bias in indirect comparison</w:t>
            </w:r>
          </w:p>
        </w:tc>
      </w:tr>
      <w:tr w:rsidR="00224029" w:rsidRPr="00C3371F" w:rsidTr="0041506F">
        <w:tc>
          <w:tcPr>
            <w:tcW w:w="837" w:type="pct"/>
            <w:tcBorders>
              <w:top w:val="nil"/>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0"/>
              <w:keepNext w:val="0"/>
              <w:widowControl w:val="0"/>
              <w:spacing w:before="0" w:after="0"/>
              <w:jc w:val="left"/>
              <w:rPr>
                <w:b/>
              </w:rPr>
            </w:pPr>
            <w:r w:rsidRPr="00C3371F">
              <w:rPr>
                <w:b/>
              </w:rPr>
              <w:t>Duration of follow-up</w:t>
            </w:r>
          </w:p>
        </w:tc>
        <w:tc>
          <w:tcPr>
            <w:tcW w:w="1153" w:type="pct"/>
            <w:tcBorders>
              <w:top w:val="nil"/>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jc w:val="center"/>
            </w:pPr>
            <w:r w:rsidRPr="00C3371F">
              <w:t>Minimum 18 months</w:t>
            </w:r>
          </w:p>
        </w:tc>
        <w:tc>
          <w:tcPr>
            <w:tcW w:w="1158" w:type="pct"/>
            <w:tcBorders>
              <w:top w:val="nil"/>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jc w:val="center"/>
            </w:pPr>
            <w:r w:rsidRPr="00C3371F">
              <w:t>Median 2.7 years</w:t>
            </w:r>
          </w:p>
        </w:tc>
        <w:tc>
          <w:tcPr>
            <w:tcW w:w="1852" w:type="pct"/>
            <w:tcBorders>
              <w:left w:val="single" w:sz="4" w:space="0" w:color="auto"/>
              <w:bottom w:val="single" w:sz="4" w:space="0" w:color="auto"/>
              <w:right w:val="single" w:sz="4" w:space="0" w:color="auto"/>
            </w:tcBorders>
            <w:tcMar>
              <w:left w:w="28" w:type="dxa"/>
              <w:right w:w="28" w:type="dxa"/>
            </w:tcMar>
          </w:tcPr>
          <w:p w:rsidR="00224029" w:rsidRPr="00C3371F" w:rsidRDefault="00224029" w:rsidP="00D54E15">
            <w:pPr>
              <w:pStyle w:val="Tabletext"/>
            </w:pPr>
            <w:r w:rsidRPr="00C3371F">
              <w:t>May affect the validity of the comparison of HRs if the proportional hazards assumption does not hold in either one or both of the trials.</w:t>
            </w:r>
          </w:p>
        </w:tc>
      </w:tr>
      <w:tr w:rsidR="00224029" w:rsidRPr="00C3371F" w:rsidTr="0041506F">
        <w:tc>
          <w:tcPr>
            <w:tcW w:w="837" w:type="pct"/>
            <w:tcBorders>
              <w:top w:val="nil"/>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0"/>
              <w:keepNext w:val="0"/>
              <w:widowControl w:val="0"/>
              <w:spacing w:before="0" w:after="0"/>
              <w:jc w:val="left"/>
              <w:rPr>
                <w:b/>
              </w:rPr>
            </w:pPr>
            <w:r w:rsidRPr="00C3371F">
              <w:rPr>
                <w:b/>
              </w:rPr>
              <w:t>Maturity of data</w:t>
            </w:r>
          </w:p>
        </w:tc>
        <w:tc>
          <w:tcPr>
            <w:tcW w:w="1153" w:type="pct"/>
            <w:tcBorders>
              <w:top w:val="nil"/>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jc w:val="center"/>
            </w:pPr>
            <w:r w:rsidRPr="00C3371F">
              <w:t>Interim analysis</w:t>
            </w:r>
          </w:p>
          <w:p w:rsidR="00224029" w:rsidRPr="00C3371F" w:rsidRDefault="00224029" w:rsidP="00D54E15">
            <w:pPr>
              <w:pStyle w:val="Tabletext"/>
              <w:jc w:val="center"/>
            </w:pPr>
            <w:r w:rsidRPr="00C3371F">
              <w:t>RFS data immature</w:t>
            </w:r>
          </w:p>
        </w:tc>
        <w:tc>
          <w:tcPr>
            <w:tcW w:w="1158" w:type="pct"/>
            <w:tcBorders>
              <w:top w:val="nil"/>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jc w:val="center"/>
            </w:pPr>
            <w:r w:rsidRPr="00C3371F">
              <w:t>Pre</w:t>
            </w:r>
            <w:r w:rsidR="009D6E8D">
              <w:t>-</w:t>
            </w:r>
            <w:r w:rsidRPr="00C3371F">
              <w:t>specified primary analysis of RFS</w:t>
            </w:r>
          </w:p>
          <w:p w:rsidR="00224029" w:rsidRPr="00C3371F" w:rsidRDefault="00224029" w:rsidP="00D54E15">
            <w:pPr>
              <w:pStyle w:val="Tabletext"/>
              <w:jc w:val="center"/>
            </w:pPr>
            <w:r w:rsidRPr="00C3371F">
              <w:t>RFS data mature</w:t>
            </w:r>
          </w:p>
        </w:tc>
        <w:tc>
          <w:tcPr>
            <w:tcW w:w="1852" w:type="pct"/>
            <w:tcBorders>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0"/>
              <w:keepNext w:val="0"/>
              <w:widowControl w:val="0"/>
              <w:spacing w:before="0" w:after="0"/>
              <w:jc w:val="center"/>
            </w:pPr>
            <w:r w:rsidRPr="00C3371F">
              <w:t>Unclear</w:t>
            </w:r>
          </w:p>
        </w:tc>
      </w:tr>
      <w:tr w:rsidR="00224029" w:rsidRPr="00C3371F" w:rsidTr="0041506F">
        <w:tc>
          <w:tcPr>
            <w:tcW w:w="83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rPr>
                <w:b/>
                <w:vertAlign w:val="superscript"/>
              </w:rPr>
            </w:pPr>
            <w:r w:rsidRPr="00C3371F">
              <w:rPr>
                <w:b/>
              </w:rPr>
              <w:t>Stage of disease</w:t>
            </w:r>
            <w:r w:rsidRPr="00C3371F">
              <w:rPr>
                <w:b/>
                <w:vertAlign w:val="superscript"/>
              </w:rPr>
              <w:t>b</w:t>
            </w:r>
          </w:p>
        </w:tc>
        <w:tc>
          <w:tcPr>
            <w:tcW w:w="11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jc w:val="center"/>
            </w:pPr>
            <w:r w:rsidRPr="00C3371F">
              <w:t>Stage IIIB (34.3%), IIIC (46.6%) and IV (18.7%)</w:t>
            </w:r>
            <w:r w:rsidRPr="00C3371F">
              <w:rPr>
                <w:vertAlign w:val="superscript"/>
              </w:rPr>
              <w:t>a</w:t>
            </w:r>
          </w:p>
        </w:tc>
        <w:tc>
          <w:tcPr>
            <w:tcW w:w="11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jc w:val="center"/>
            </w:pPr>
            <w:r w:rsidRPr="00C3371F">
              <w:t>Stage IIIA (19.6%), IIIB (44.2%) and IIIC (36.3%)</w:t>
            </w:r>
          </w:p>
        </w:tc>
        <w:tc>
          <w:tcPr>
            <w:tcW w:w="185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F977E0">
            <w:pPr>
              <w:pStyle w:val="Tabletext"/>
            </w:pPr>
            <w:r w:rsidRPr="00C3371F">
              <w:t xml:space="preserve">The inclusion of patients with Stage IIIA melanoma in CA184029 potentially favours </w:t>
            </w:r>
            <w:r w:rsidR="00105517" w:rsidRPr="00C3371F">
              <w:t>placebo</w:t>
            </w:r>
            <w:r w:rsidRPr="00C3371F">
              <w:t xml:space="preserve"> over </w:t>
            </w:r>
            <w:r w:rsidR="00105517" w:rsidRPr="00C3371F">
              <w:t>nivolumab</w:t>
            </w:r>
            <w:r w:rsidR="002944EB" w:rsidRPr="00C3371F">
              <w:t>. While subgroup analyses are only exploratory</w:t>
            </w:r>
            <w:r w:rsidRPr="00C3371F">
              <w:t>,</w:t>
            </w:r>
            <w:r w:rsidR="002944EB" w:rsidRPr="00C3371F">
              <w:t xml:space="preserve"> and should be interpreted with caution,</w:t>
            </w:r>
            <w:r w:rsidRPr="00C3371F">
              <w:t xml:space="preserve"> the HR for RFS </w:t>
            </w:r>
            <w:r w:rsidR="00105517" w:rsidRPr="00C3371F">
              <w:t xml:space="preserve">(placebo vs ipilimumab) </w:t>
            </w:r>
            <w:r w:rsidRPr="00C3371F">
              <w:t xml:space="preserve">in Stage IIIA patients was </w:t>
            </w:r>
            <w:r w:rsidR="00105517" w:rsidRPr="00C3371F">
              <w:t>1.10</w:t>
            </w:r>
            <w:r w:rsidR="00F977E0" w:rsidRPr="00C3371F">
              <w:t xml:space="preserve"> (95% CI: 0.69, 1.75</w:t>
            </w:r>
            <w:r w:rsidR="00986C7E" w:rsidRPr="00C3371F">
              <w:t>; N=186</w:t>
            </w:r>
            <w:r w:rsidRPr="00C3371F">
              <w:t xml:space="preserve">), compared with an HR of </w:t>
            </w:r>
            <w:r w:rsidR="00105517" w:rsidRPr="00C3371F">
              <w:t>1.33</w:t>
            </w:r>
            <w:r w:rsidRPr="00C3371F">
              <w:t xml:space="preserve"> (95% CI: </w:t>
            </w:r>
            <w:r w:rsidR="00F977E0" w:rsidRPr="00C3371F">
              <w:t>1.11, 1.56</w:t>
            </w:r>
            <w:r w:rsidRPr="00C3371F">
              <w:t>) in the ITT population.</w:t>
            </w:r>
            <w:r w:rsidR="00986C7E" w:rsidRPr="00C3371F">
              <w:t xml:space="preserve"> </w:t>
            </w:r>
          </w:p>
          <w:p w:rsidR="00EA67C6" w:rsidRPr="00C3371F" w:rsidRDefault="00C81088" w:rsidP="00C81088">
            <w:pPr>
              <w:pStyle w:val="Tabletext"/>
            </w:pPr>
            <w:r w:rsidRPr="00C3371F">
              <w:t>The</w:t>
            </w:r>
            <w:r w:rsidR="00EA67C6" w:rsidRPr="00C3371F">
              <w:t xml:space="preserve"> potential</w:t>
            </w:r>
            <w:r w:rsidRPr="00C3371F">
              <w:t xml:space="preserve"> </w:t>
            </w:r>
            <w:r w:rsidR="00EA67C6" w:rsidRPr="00C3371F">
              <w:t>bias due to exclusion of patients with S</w:t>
            </w:r>
            <w:r w:rsidRPr="00C3371F">
              <w:t>tage IV melanoma from CA189029 wa</w:t>
            </w:r>
            <w:r w:rsidR="00EA67C6" w:rsidRPr="00C3371F">
              <w:t>s unclear.</w:t>
            </w:r>
          </w:p>
        </w:tc>
      </w:tr>
      <w:tr w:rsidR="00224029" w:rsidRPr="00C3371F" w:rsidTr="0041506F">
        <w:tc>
          <w:tcPr>
            <w:tcW w:w="83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rPr>
                <w:b/>
              </w:rPr>
            </w:pPr>
            <w:r w:rsidRPr="00C3371F">
              <w:rPr>
                <w:b/>
              </w:rPr>
              <w:t>Melanoma types</w:t>
            </w:r>
          </w:p>
        </w:tc>
        <w:tc>
          <w:tcPr>
            <w:tcW w:w="11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pPr>
            <w:r w:rsidRPr="00C3371F">
              <w:t>All melanoma other than ocular/uveal melanoma</w:t>
            </w:r>
          </w:p>
          <w:p w:rsidR="00224029" w:rsidRPr="00C3371F" w:rsidRDefault="00224029" w:rsidP="00D54E15">
            <w:pPr>
              <w:pStyle w:val="Tabletext"/>
            </w:pPr>
            <w:r w:rsidRPr="00C3371F">
              <w:t>84.5% cutaneous</w:t>
            </w:r>
          </w:p>
        </w:tc>
        <w:tc>
          <w:tcPr>
            <w:tcW w:w="11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pPr>
            <w:r w:rsidRPr="00C3371F">
              <w:t>Cutaneous melanoma</w:t>
            </w:r>
          </w:p>
          <w:p w:rsidR="00224029" w:rsidRPr="00C3371F" w:rsidRDefault="00224029" w:rsidP="00D54E15">
            <w:pPr>
              <w:pStyle w:val="Tabletext"/>
            </w:pPr>
            <w:r w:rsidRPr="00C3371F">
              <w:t>(</w:t>
            </w:r>
            <w:proofErr w:type="gramStart"/>
            <w:r w:rsidRPr="00C3371F">
              <w:t>excluded</w:t>
            </w:r>
            <w:proofErr w:type="gramEnd"/>
            <w:r w:rsidRPr="00C3371F">
              <w:t xml:space="preserve"> mucosal and ocular melanoma or melanoma with unknown origin of the primary).</w:t>
            </w:r>
          </w:p>
        </w:tc>
        <w:tc>
          <w:tcPr>
            <w:tcW w:w="185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A760C3">
            <w:pPr>
              <w:pStyle w:val="Tabletext"/>
            </w:pPr>
            <w:r w:rsidRPr="00C3371F">
              <w:t xml:space="preserve">Unlikely to have major impact on the result of indirect comparison given that the majority of patients in CA209238 </w:t>
            </w:r>
            <w:r w:rsidR="00A760C3" w:rsidRPr="00C3371F">
              <w:t>had</w:t>
            </w:r>
            <w:r w:rsidRPr="00C3371F">
              <w:t xml:space="preserve"> cutaneous</w:t>
            </w:r>
            <w:r w:rsidR="00A760C3" w:rsidRPr="00C3371F">
              <w:t xml:space="preserve"> melanoma</w:t>
            </w:r>
            <w:r w:rsidRPr="00C3371F">
              <w:t>.</w:t>
            </w:r>
          </w:p>
        </w:tc>
      </w:tr>
      <w:tr w:rsidR="00224029" w:rsidRPr="00C3371F" w:rsidTr="0041506F">
        <w:tc>
          <w:tcPr>
            <w:tcW w:w="83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rPr>
                <w:b/>
              </w:rPr>
            </w:pPr>
            <w:r w:rsidRPr="00C3371F">
              <w:rPr>
                <w:b/>
              </w:rPr>
              <w:t>Age ≥ 65 years</w:t>
            </w:r>
          </w:p>
        </w:tc>
        <w:tc>
          <w:tcPr>
            <w:tcW w:w="11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jc w:val="center"/>
            </w:pPr>
            <w:r w:rsidRPr="00C3371F">
              <w:t>25.8%</w:t>
            </w:r>
          </w:p>
        </w:tc>
        <w:tc>
          <w:tcPr>
            <w:tcW w:w="11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jc w:val="center"/>
            </w:pPr>
            <w:r w:rsidRPr="00C3371F">
              <w:t>17.6%</w:t>
            </w:r>
          </w:p>
        </w:tc>
        <w:tc>
          <w:tcPr>
            <w:tcW w:w="1852" w:type="pct"/>
            <w:tcBorders>
              <w:top w:val="single" w:sz="4" w:space="0" w:color="auto"/>
              <w:left w:val="single" w:sz="4" w:space="0" w:color="auto"/>
              <w:bottom w:val="single" w:sz="4" w:space="0" w:color="auto"/>
              <w:right w:val="single" w:sz="4" w:space="0" w:color="auto"/>
            </w:tcBorders>
            <w:tcMar>
              <w:left w:w="28" w:type="dxa"/>
              <w:right w:w="28" w:type="dxa"/>
            </w:tcMar>
          </w:tcPr>
          <w:p w:rsidR="00224029" w:rsidRPr="00C3371F" w:rsidRDefault="00224029" w:rsidP="002944EB">
            <w:pPr>
              <w:pStyle w:val="Tabletext"/>
            </w:pPr>
            <w:r w:rsidRPr="00C3371F">
              <w:t>Potentially favours placebo over nivolumab</w:t>
            </w:r>
            <w:r w:rsidR="002944EB" w:rsidRPr="00C3371F">
              <w:t>. While noting the caveats regarding subgroup analyses above</w:t>
            </w:r>
            <w:r w:rsidRPr="00C3371F">
              <w:t xml:space="preserve">, in CA184029, the HR for </w:t>
            </w:r>
            <w:r w:rsidR="00BD028D" w:rsidRPr="00C3371F">
              <w:t>placebo vs ipilimumab</w:t>
            </w:r>
            <w:r w:rsidRPr="00C3371F">
              <w:t xml:space="preserve"> in patients aged ≥65 years was </w:t>
            </w:r>
            <w:r w:rsidR="00606797">
              <w:rPr>
                <w:noProof/>
                <w:color w:val="000000"/>
                <w:highlight w:val="black"/>
              </w:rPr>
              <w:t>'''''''''''</w:t>
            </w:r>
            <w:r w:rsidRPr="00C3371F">
              <w:t xml:space="preserve"> (95% CI: </w:t>
            </w:r>
            <w:r w:rsidR="00606797">
              <w:rPr>
                <w:noProof/>
                <w:color w:val="000000"/>
                <w:highlight w:val="black"/>
              </w:rPr>
              <w:t>'''''''''''</w:t>
            </w:r>
            <w:r w:rsidR="00BD028D" w:rsidRPr="000003B0">
              <w:t xml:space="preserve">, </w:t>
            </w:r>
            <w:r w:rsidR="00606797">
              <w:rPr>
                <w:noProof/>
                <w:color w:val="000000"/>
                <w:highlight w:val="black"/>
              </w:rPr>
              <w:t>''''''''''</w:t>
            </w:r>
            <w:r w:rsidRPr="000003B0">
              <w:t xml:space="preserve">), compared with </w:t>
            </w:r>
            <w:r w:rsidR="00606797">
              <w:rPr>
                <w:noProof/>
                <w:color w:val="000000"/>
                <w:highlight w:val="black"/>
              </w:rPr>
              <w:t>''''''''''</w:t>
            </w:r>
            <w:r w:rsidRPr="000003B0">
              <w:t xml:space="preserve"> (95% CI: </w:t>
            </w:r>
            <w:r w:rsidR="00606797">
              <w:rPr>
                <w:noProof/>
                <w:color w:val="000000"/>
                <w:highlight w:val="black"/>
              </w:rPr>
              <w:t>'''''''''''</w:t>
            </w:r>
            <w:r w:rsidR="00BD028D" w:rsidRPr="000003B0">
              <w:t xml:space="preserve">, </w:t>
            </w:r>
            <w:r w:rsidR="00606797">
              <w:rPr>
                <w:noProof/>
                <w:color w:val="000000"/>
                <w:highlight w:val="black"/>
              </w:rPr>
              <w:t>''''''''''</w:t>
            </w:r>
            <w:r w:rsidRPr="000003B0">
              <w:t>) in</w:t>
            </w:r>
            <w:r w:rsidRPr="00C3371F">
              <w:t xml:space="preserve"> those aged &lt;65 years.</w:t>
            </w:r>
          </w:p>
        </w:tc>
      </w:tr>
      <w:tr w:rsidR="00224029" w:rsidRPr="00C3371F" w:rsidTr="0041506F">
        <w:tc>
          <w:tcPr>
            <w:tcW w:w="837" w:type="pct"/>
            <w:tcBorders>
              <w:top w:val="single" w:sz="4" w:space="0" w:color="auto"/>
              <w:left w:val="single" w:sz="4" w:space="0" w:color="auto"/>
              <w:bottom w:val="single" w:sz="4" w:space="0" w:color="auto"/>
              <w:right w:val="single" w:sz="4" w:space="0" w:color="auto"/>
            </w:tcBorders>
            <w:tcMar>
              <w:left w:w="28" w:type="dxa"/>
              <w:right w:w="28" w:type="dxa"/>
            </w:tcMar>
          </w:tcPr>
          <w:p w:rsidR="00224029" w:rsidRPr="00C3371F" w:rsidRDefault="00224029" w:rsidP="00D54E15">
            <w:pPr>
              <w:pStyle w:val="Tabletext"/>
              <w:rPr>
                <w:b/>
              </w:rPr>
            </w:pPr>
            <w:r w:rsidRPr="00C3371F">
              <w:rPr>
                <w:b/>
              </w:rPr>
              <w:t>Duration of treatment</w:t>
            </w:r>
          </w:p>
        </w:tc>
        <w:tc>
          <w:tcPr>
            <w:tcW w:w="11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jc w:val="center"/>
            </w:pPr>
            <w:r w:rsidRPr="00C3371F">
              <w:t>Maximum 12 months</w:t>
            </w:r>
          </w:p>
        </w:tc>
        <w:tc>
          <w:tcPr>
            <w:tcW w:w="11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029" w:rsidRPr="00C3371F" w:rsidRDefault="00224029" w:rsidP="00D54E15">
            <w:pPr>
              <w:pStyle w:val="Tabletext"/>
              <w:jc w:val="center"/>
            </w:pPr>
            <w:r w:rsidRPr="00C3371F">
              <w:t>Maximum 3 years</w:t>
            </w:r>
          </w:p>
        </w:tc>
        <w:tc>
          <w:tcPr>
            <w:tcW w:w="1852" w:type="pct"/>
            <w:vMerge w:val="restart"/>
            <w:tcBorders>
              <w:top w:val="single" w:sz="4" w:space="0" w:color="auto"/>
              <w:left w:val="single" w:sz="4" w:space="0" w:color="auto"/>
              <w:right w:val="single" w:sz="4" w:space="0" w:color="auto"/>
            </w:tcBorders>
            <w:tcMar>
              <w:left w:w="28" w:type="dxa"/>
              <w:right w:w="28" w:type="dxa"/>
            </w:tcMar>
            <w:vAlign w:val="center"/>
          </w:tcPr>
          <w:p w:rsidR="00224029" w:rsidRPr="00C3371F" w:rsidRDefault="00224029" w:rsidP="00D54E15">
            <w:pPr>
              <w:pStyle w:val="Tabletext"/>
            </w:pPr>
            <w:r w:rsidRPr="00C3371F">
              <w:t>The lower exposure to ipilimumab in the common reference arm in CA209238 compared with CA184029 potentially favours nivolumab over placebo.</w:t>
            </w:r>
          </w:p>
        </w:tc>
      </w:tr>
      <w:tr w:rsidR="00224029" w:rsidRPr="00C3371F" w:rsidTr="0041506F">
        <w:tc>
          <w:tcPr>
            <w:tcW w:w="837" w:type="pct"/>
            <w:tcBorders>
              <w:top w:val="single" w:sz="4" w:space="0" w:color="auto"/>
              <w:left w:val="single" w:sz="4" w:space="0" w:color="auto"/>
              <w:bottom w:val="nil"/>
              <w:right w:val="single" w:sz="4" w:space="0" w:color="auto"/>
            </w:tcBorders>
            <w:tcMar>
              <w:left w:w="28" w:type="dxa"/>
              <w:right w:w="28" w:type="dxa"/>
            </w:tcMar>
          </w:tcPr>
          <w:p w:rsidR="00224029" w:rsidRPr="00C3371F" w:rsidRDefault="00224029" w:rsidP="00D54E15">
            <w:pPr>
              <w:pStyle w:val="Tabletext"/>
              <w:rPr>
                <w:b/>
              </w:rPr>
            </w:pPr>
            <w:r w:rsidRPr="00C3371F">
              <w:rPr>
                <w:b/>
              </w:rPr>
              <w:t>Doses received in ipilimumab arm</w:t>
            </w:r>
          </w:p>
        </w:tc>
        <w:tc>
          <w:tcPr>
            <w:tcW w:w="1153" w:type="pct"/>
            <w:tcBorders>
              <w:top w:val="single" w:sz="4" w:space="0" w:color="auto"/>
              <w:left w:val="single" w:sz="4" w:space="0" w:color="auto"/>
              <w:bottom w:val="nil"/>
              <w:right w:val="single" w:sz="4" w:space="0" w:color="auto"/>
            </w:tcBorders>
            <w:tcMar>
              <w:left w:w="28" w:type="dxa"/>
              <w:right w:w="28" w:type="dxa"/>
            </w:tcMar>
          </w:tcPr>
          <w:p w:rsidR="00224029" w:rsidRPr="00C3371F" w:rsidRDefault="00224029" w:rsidP="00D54E15">
            <w:pPr>
              <w:pStyle w:val="TableText0"/>
              <w:keepNext w:val="0"/>
              <w:widowControl w:val="0"/>
              <w:spacing w:before="0" w:after="0"/>
              <w:jc w:val="center"/>
            </w:pPr>
          </w:p>
        </w:tc>
        <w:tc>
          <w:tcPr>
            <w:tcW w:w="1158" w:type="pct"/>
            <w:tcBorders>
              <w:top w:val="single" w:sz="4" w:space="0" w:color="auto"/>
              <w:left w:val="single" w:sz="4" w:space="0" w:color="auto"/>
              <w:bottom w:val="nil"/>
              <w:right w:val="single" w:sz="4" w:space="0" w:color="auto"/>
            </w:tcBorders>
            <w:tcMar>
              <w:left w:w="28" w:type="dxa"/>
              <w:right w:w="28" w:type="dxa"/>
            </w:tcMar>
          </w:tcPr>
          <w:p w:rsidR="00224029" w:rsidRPr="00C3371F" w:rsidRDefault="00224029" w:rsidP="00D54E15">
            <w:pPr>
              <w:pStyle w:val="TableText0"/>
              <w:keepNext w:val="0"/>
              <w:widowControl w:val="0"/>
              <w:spacing w:before="0" w:after="0"/>
              <w:jc w:val="center"/>
            </w:pPr>
          </w:p>
        </w:tc>
        <w:tc>
          <w:tcPr>
            <w:tcW w:w="1852" w:type="pct"/>
            <w:vMerge/>
            <w:tcBorders>
              <w:left w:val="single" w:sz="4" w:space="0" w:color="auto"/>
              <w:right w:val="single" w:sz="4" w:space="0" w:color="auto"/>
            </w:tcBorders>
            <w:tcMar>
              <w:left w:w="28" w:type="dxa"/>
              <w:right w:w="28" w:type="dxa"/>
            </w:tcMar>
          </w:tcPr>
          <w:p w:rsidR="00224029" w:rsidRPr="00C3371F" w:rsidRDefault="00224029" w:rsidP="00D54E15">
            <w:pPr>
              <w:pStyle w:val="TableText0"/>
              <w:keepNext w:val="0"/>
              <w:widowControl w:val="0"/>
              <w:spacing w:before="0" w:after="0"/>
              <w:jc w:val="center"/>
            </w:pPr>
          </w:p>
        </w:tc>
      </w:tr>
      <w:tr w:rsidR="00224029" w:rsidRPr="00C3371F" w:rsidTr="0041506F">
        <w:tc>
          <w:tcPr>
            <w:tcW w:w="837" w:type="pct"/>
            <w:tcBorders>
              <w:top w:val="nil"/>
              <w:left w:val="single" w:sz="4" w:space="0" w:color="auto"/>
              <w:bottom w:val="nil"/>
              <w:right w:val="single" w:sz="4" w:space="0" w:color="auto"/>
            </w:tcBorders>
            <w:tcMar>
              <w:left w:w="28" w:type="dxa"/>
              <w:right w:w="28" w:type="dxa"/>
            </w:tcMar>
          </w:tcPr>
          <w:p w:rsidR="00224029" w:rsidRPr="00C3371F" w:rsidRDefault="00224029" w:rsidP="00D54E15">
            <w:pPr>
              <w:pStyle w:val="Tabletext"/>
              <w:rPr>
                <w:b/>
              </w:rPr>
            </w:pPr>
            <w:r w:rsidRPr="00C3371F">
              <w:rPr>
                <w:b/>
              </w:rPr>
              <w:t>Mean (SD)</w:t>
            </w:r>
          </w:p>
        </w:tc>
        <w:tc>
          <w:tcPr>
            <w:tcW w:w="1153" w:type="pct"/>
            <w:tcBorders>
              <w:top w:val="nil"/>
              <w:left w:val="single" w:sz="4" w:space="0" w:color="auto"/>
              <w:bottom w:val="nil"/>
              <w:right w:val="single" w:sz="4" w:space="0" w:color="auto"/>
            </w:tcBorders>
            <w:tcMar>
              <w:left w:w="28" w:type="dxa"/>
              <w:right w:w="28" w:type="dxa"/>
            </w:tcMar>
          </w:tcPr>
          <w:p w:rsidR="00224029" w:rsidRPr="00C3371F" w:rsidRDefault="00606797" w:rsidP="00D54E15">
            <w:pPr>
              <w:pStyle w:val="Tabletext"/>
              <w:jc w:val="center"/>
            </w:pPr>
            <w:r>
              <w:rPr>
                <w:noProof/>
                <w:color w:val="000000"/>
                <w:highlight w:val="black"/>
              </w:rPr>
              <w:t>''''''''</w:t>
            </w:r>
            <w:r w:rsidR="00224029" w:rsidRPr="00C3371F">
              <w:t xml:space="preserve"> (</w:t>
            </w:r>
            <w:r>
              <w:rPr>
                <w:noProof/>
                <w:color w:val="000000"/>
                <w:highlight w:val="black"/>
              </w:rPr>
              <w:t>'''''''''</w:t>
            </w:r>
            <w:r w:rsidR="00224029" w:rsidRPr="00C3371F">
              <w:t>)</w:t>
            </w:r>
          </w:p>
        </w:tc>
        <w:tc>
          <w:tcPr>
            <w:tcW w:w="1158" w:type="pct"/>
            <w:tcBorders>
              <w:top w:val="nil"/>
              <w:left w:val="single" w:sz="4" w:space="0" w:color="auto"/>
              <w:bottom w:val="nil"/>
              <w:right w:val="single" w:sz="4" w:space="0" w:color="auto"/>
            </w:tcBorders>
            <w:tcMar>
              <w:left w:w="28" w:type="dxa"/>
              <w:right w:w="28" w:type="dxa"/>
            </w:tcMar>
          </w:tcPr>
          <w:p w:rsidR="00224029" w:rsidRPr="00C3371F" w:rsidRDefault="00606797" w:rsidP="00D54E15">
            <w:pPr>
              <w:pStyle w:val="Tabletext"/>
              <w:jc w:val="center"/>
            </w:pPr>
            <w:r>
              <w:rPr>
                <w:noProof/>
                <w:color w:val="000000"/>
                <w:highlight w:val="black"/>
              </w:rPr>
              <w:t>'''''''''</w:t>
            </w:r>
            <w:r w:rsidR="00224029" w:rsidRPr="00C3371F">
              <w:t xml:space="preserve"> (</w:t>
            </w:r>
            <w:r>
              <w:rPr>
                <w:noProof/>
                <w:color w:val="000000"/>
                <w:highlight w:val="black"/>
              </w:rPr>
              <w:t>'''''''''</w:t>
            </w:r>
            <w:r w:rsidR="00224029" w:rsidRPr="00C3371F">
              <w:t>)</w:t>
            </w:r>
          </w:p>
        </w:tc>
        <w:tc>
          <w:tcPr>
            <w:tcW w:w="1852" w:type="pct"/>
            <w:vMerge/>
            <w:tcBorders>
              <w:left w:val="single" w:sz="4" w:space="0" w:color="auto"/>
              <w:right w:val="single" w:sz="4" w:space="0" w:color="auto"/>
            </w:tcBorders>
            <w:tcMar>
              <w:left w:w="28" w:type="dxa"/>
              <w:right w:w="28" w:type="dxa"/>
            </w:tcMar>
          </w:tcPr>
          <w:p w:rsidR="00224029" w:rsidRPr="00C3371F" w:rsidRDefault="00224029" w:rsidP="00D54E15">
            <w:pPr>
              <w:pStyle w:val="TableText0"/>
              <w:keepNext w:val="0"/>
              <w:widowControl w:val="0"/>
              <w:spacing w:before="0" w:after="0"/>
              <w:jc w:val="center"/>
            </w:pPr>
          </w:p>
        </w:tc>
      </w:tr>
      <w:tr w:rsidR="00224029" w:rsidRPr="00C3371F" w:rsidTr="0041506F">
        <w:tc>
          <w:tcPr>
            <w:tcW w:w="837" w:type="pct"/>
            <w:tcBorders>
              <w:top w:val="nil"/>
              <w:left w:val="single" w:sz="4" w:space="0" w:color="auto"/>
              <w:bottom w:val="single" w:sz="4" w:space="0" w:color="auto"/>
              <w:right w:val="single" w:sz="4" w:space="0" w:color="auto"/>
            </w:tcBorders>
            <w:tcMar>
              <w:left w:w="28" w:type="dxa"/>
              <w:right w:w="28" w:type="dxa"/>
            </w:tcMar>
          </w:tcPr>
          <w:p w:rsidR="00224029" w:rsidRPr="00C3371F" w:rsidRDefault="00224029" w:rsidP="00D54E15">
            <w:pPr>
              <w:pStyle w:val="Tabletext"/>
              <w:rPr>
                <w:b/>
              </w:rPr>
            </w:pPr>
            <w:r w:rsidRPr="00C3371F">
              <w:rPr>
                <w:b/>
              </w:rPr>
              <w:t>Median (range)</w:t>
            </w:r>
          </w:p>
        </w:tc>
        <w:tc>
          <w:tcPr>
            <w:tcW w:w="1153" w:type="pct"/>
            <w:tcBorders>
              <w:top w:val="nil"/>
              <w:left w:val="single" w:sz="4" w:space="0" w:color="auto"/>
              <w:bottom w:val="single" w:sz="4" w:space="0" w:color="auto"/>
              <w:right w:val="single" w:sz="4" w:space="0" w:color="auto"/>
            </w:tcBorders>
            <w:tcMar>
              <w:left w:w="28" w:type="dxa"/>
              <w:right w:w="28" w:type="dxa"/>
            </w:tcMar>
          </w:tcPr>
          <w:p w:rsidR="00224029" w:rsidRPr="00C3371F" w:rsidRDefault="00224029" w:rsidP="00D54E15">
            <w:pPr>
              <w:pStyle w:val="Tabletext"/>
              <w:jc w:val="center"/>
            </w:pPr>
            <w:r w:rsidRPr="00C3371F">
              <w:t>4.0 (1-7)</w:t>
            </w:r>
          </w:p>
        </w:tc>
        <w:tc>
          <w:tcPr>
            <w:tcW w:w="1158" w:type="pct"/>
            <w:tcBorders>
              <w:top w:val="nil"/>
              <w:left w:val="single" w:sz="4" w:space="0" w:color="auto"/>
              <w:bottom w:val="single" w:sz="4" w:space="0" w:color="auto"/>
              <w:right w:val="single" w:sz="4" w:space="0" w:color="auto"/>
            </w:tcBorders>
            <w:tcMar>
              <w:left w:w="28" w:type="dxa"/>
              <w:right w:w="28" w:type="dxa"/>
            </w:tcMar>
          </w:tcPr>
          <w:p w:rsidR="00224029" w:rsidRPr="00C3371F" w:rsidRDefault="00224029" w:rsidP="00D54E15">
            <w:pPr>
              <w:pStyle w:val="Tabletext"/>
              <w:jc w:val="center"/>
            </w:pPr>
            <w:r w:rsidRPr="00C3371F">
              <w:t>4.0 (1-16)</w:t>
            </w:r>
          </w:p>
        </w:tc>
        <w:tc>
          <w:tcPr>
            <w:tcW w:w="1852" w:type="pct"/>
            <w:vMerge/>
            <w:tcBorders>
              <w:left w:val="single" w:sz="4" w:space="0" w:color="auto"/>
              <w:bottom w:val="single" w:sz="4" w:space="0" w:color="auto"/>
              <w:right w:val="single" w:sz="4" w:space="0" w:color="auto"/>
            </w:tcBorders>
            <w:tcMar>
              <w:left w:w="28" w:type="dxa"/>
              <w:right w:w="28" w:type="dxa"/>
            </w:tcMar>
          </w:tcPr>
          <w:p w:rsidR="00224029" w:rsidRPr="00C3371F" w:rsidRDefault="00224029" w:rsidP="00D54E15">
            <w:pPr>
              <w:pStyle w:val="TableText0"/>
              <w:keepNext w:val="0"/>
              <w:widowControl w:val="0"/>
              <w:spacing w:before="0" w:after="0"/>
              <w:jc w:val="center"/>
            </w:pPr>
          </w:p>
        </w:tc>
      </w:tr>
    </w:tbl>
    <w:p w:rsidR="00224029" w:rsidRPr="00C3371F" w:rsidRDefault="00EE67B1" w:rsidP="00224029">
      <w:pPr>
        <w:pStyle w:val="TableFooter"/>
      </w:pPr>
      <w:r w:rsidRPr="00C3371F">
        <w:t xml:space="preserve">CI = confidence interval; </w:t>
      </w:r>
      <w:r w:rsidR="00224029" w:rsidRPr="00C3371F">
        <w:t>HR = hazard ratio;</w:t>
      </w:r>
      <w:r w:rsidRPr="00C3371F">
        <w:t xml:space="preserve"> ITT = intention to treat;</w:t>
      </w:r>
      <w:r w:rsidR="00224029" w:rsidRPr="00C3371F">
        <w:t xml:space="preserve"> RFS = </w:t>
      </w:r>
      <w:r w:rsidR="00C16EFF" w:rsidRPr="00C3371F">
        <w:t>recurrence-free</w:t>
      </w:r>
      <w:r w:rsidR="00224029" w:rsidRPr="00C3371F">
        <w:t xml:space="preserve"> survival; SD = standard deviation</w:t>
      </w:r>
    </w:p>
    <w:p w:rsidR="00224029" w:rsidRPr="00C3371F" w:rsidRDefault="00224029" w:rsidP="00224029">
      <w:pPr>
        <w:pStyle w:val="TableFooter"/>
      </w:pPr>
      <w:proofErr w:type="gramStart"/>
      <w:r w:rsidRPr="00C3371F">
        <w:rPr>
          <w:vertAlign w:val="superscript"/>
        </w:rPr>
        <w:t>a</w:t>
      </w:r>
      <w:proofErr w:type="gramEnd"/>
      <w:r w:rsidRPr="00C3371F">
        <w:t xml:space="preserve"> 0.2% of patients in CA209238 were Stage IIIA disease.</w:t>
      </w:r>
    </w:p>
    <w:p w:rsidR="00224029" w:rsidRPr="00C3371F" w:rsidRDefault="00224029" w:rsidP="00224029">
      <w:pPr>
        <w:pStyle w:val="TableFooter"/>
        <w:ind w:left="142" w:hanging="142"/>
      </w:pPr>
      <w:proofErr w:type="gramStart"/>
      <w:r w:rsidRPr="00C3371F">
        <w:rPr>
          <w:vertAlign w:val="superscript"/>
        </w:rPr>
        <w:t>b</w:t>
      </w:r>
      <w:proofErr w:type="gramEnd"/>
      <w:r w:rsidRPr="00C3371F">
        <w:t xml:space="preserve"> Prior to resection</w:t>
      </w:r>
    </w:p>
    <w:p w:rsidR="00224029" w:rsidRPr="00C3371F" w:rsidRDefault="00224029" w:rsidP="00224029">
      <w:pPr>
        <w:pStyle w:val="TableFooter"/>
      </w:pPr>
      <w:r w:rsidRPr="00C3371F">
        <w:t>Source: Table 41, p50, Table 42, p42, Table 43, p53, Table 44 pp55-56 of the submission; Tables 1, 2 and 3 Appendix B to the submission; Synopsis and Table S.3.8 CA209238 CSR; Synopsis CA184029.</w:t>
      </w:r>
    </w:p>
    <w:p w:rsidR="00224029" w:rsidRPr="00C3371F" w:rsidRDefault="00807F7E" w:rsidP="00224029">
      <w:r>
        <w:br w:type="page"/>
      </w:r>
    </w:p>
    <w:p w:rsidR="00224029" w:rsidRPr="00C3371F" w:rsidRDefault="00224029" w:rsidP="000B6DBA">
      <w:pPr>
        <w:pStyle w:val="ListParagraph"/>
        <w:widowControl/>
        <w:numPr>
          <w:ilvl w:val="1"/>
          <w:numId w:val="1"/>
        </w:numPr>
      </w:pPr>
      <w:r w:rsidRPr="00C3371F">
        <w:lastRenderedPageBreak/>
        <w:t xml:space="preserve">The results of the indirect comparison </w:t>
      </w:r>
      <w:r w:rsidR="00F66E3F" w:rsidRPr="00C3371F">
        <w:t>of</w:t>
      </w:r>
      <w:r w:rsidRPr="00C3371F">
        <w:t xml:space="preserve"> RFS are provided below.</w:t>
      </w:r>
      <w:r w:rsidR="00F66E3F" w:rsidRPr="00C3371F">
        <w:t xml:space="preserve"> </w:t>
      </w:r>
    </w:p>
    <w:p w:rsidR="00224029" w:rsidRPr="00C3371F" w:rsidRDefault="00224029" w:rsidP="00697BBB">
      <w:pPr>
        <w:pStyle w:val="Caption"/>
        <w:keepNext/>
        <w:rPr>
          <w:rStyle w:val="CommentReference"/>
          <w:b/>
        </w:rPr>
      </w:pPr>
      <w:bookmarkStart w:id="11" w:name="_Ref511650060"/>
      <w:r w:rsidRPr="00C3371F">
        <w:rPr>
          <w:rStyle w:val="CommentReference"/>
          <w:b/>
        </w:rPr>
        <w:t xml:space="preserve">Table </w:t>
      </w:r>
      <w:r w:rsidR="00C47B15">
        <w:rPr>
          <w:rStyle w:val="CommentReference"/>
          <w:b/>
          <w:noProof/>
        </w:rPr>
        <w:t>5</w:t>
      </w:r>
      <w:bookmarkEnd w:id="11"/>
      <w:r w:rsidRPr="00C3371F">
        <w:rPr>
          <w:rStyle w:val="CommentReference"/>
          <w:b/>
        </w:rPr>
        <w:t xml:space="preserve">: Results of the indirect comparison for </w:t>
      </w:r>
      <w:r w:rsidR="00C16EFF" w:rsidRPr="00C3371F">
        <w:rPr>
          <w:rStyle w:val="CommentReference"/>
          <w:b/>
        </w:rPr>
        <w:t>recurrence-free</w:t>
      </w:r>
      <w:r w:rsidRPr="00C3371F">
        <w:rPr>
          <w:rStyle w:val="CommentReference"/>
          <w:b/>
        </w:rPr>
        <w:t xml:space="preserve"> survival</w:t>
      </w:r>
    </w:p>
    <w:tbl>
      <w:tblPr>
        <w:tblStyle w:val="TableGrid"/>
        <w:tblW w:w="5000" w:type="pct"/>
        <w:tblLook w:val="04A0" w:firstRow="1" w:lastRow="0" w:firstColumn="1" w:lastColumn="0" w:noHBand="0" w:noVBand="1"/>
        <w:tblCaption w:val="Table 5: Results of the indirect comparison for recurrence-free survival"/>
      </w:tblPr>
      <w:tblGrid>
        <w:gridCol w:w="2583"/>
        <w:gridCol w:w="1662"/>
        <w:gridCol w:w="1667"/>
        <w:gridCol w:w="1667"/>
        <w:gridCol w:w="1664"/>
      </w:tblGrid>
      <w:tr w:rsidR="00224029" w:rsidRPr="00C3371F" w:rsidTr="009F1345">
        <w:trPr>
          <w:tblHeader/>
        </w:trPr>
        <w:tc>
          <w:tcPr>
            <w:tcW w:w="1397" w:type="pct"/>
            <w:vMerge w:val="restart"/>
          </w:tcPr>
          <w:p w:rsidR="00224029" w:rsidRPr="00C3371F" w:rsidRDefault="00224029" w:rsidP="00697BBB">
            <w:pPr>
              <w:pStyle w:val="Tabletext"/>
              <w:keepNext/>
              <w:rPr>
                <w:b/>
              </w:rPr>
            </w:pPr>
          </w:p>
        </w:tc>
        <w:tc>
          <w:tcPr>
            <w:tcW w:w="1801" w:type="pct"/>
            <w:gridSpan w:val="2"/>
          </w:tcPr>
          <w:p w:rsidR="00224029" w:rsidRPr="00C3371F" w:rsidRDefault="00224029" w:rsidP="00697BBB">
            <w:pPr>
              <w:pStyle w:val="Tabletext"/>
              <w:keepNext/>
              <w:jc w:val="center"/>
              <w:rPr>
                <w:b/>
              </w:rPr>
            </w:pPr>
            <w:r w:rsidRPr="00C3371F">
              <w:rPr>
                <w:b/>
              </w:rPr>
              <w:t>CA209238</w:t>
            </w:r>
          </w:p>
        </w:tc>
        <w:tc>
          <w:tcPr>
            <w:tcW w:w="1802" w:type="pct"/>
            <w:gridSpan w:val="2"/>
          </w:tcPr>
          <w:p w:rsidR="00224029" w:rsidRPr="00C3371F" w:rsidRDefault="00224029" w:rsidP="00697BBB">
            <w:pPr>
              <w:pStyle w:val="Tabletext"/>
              <w:keepNext/>
              <w:jc w:val="center"/>
              <w:rPr>
                <w:b/>
              </w:rPr>
            </w:pPr>
            <w:r w:rsidRPr="00C3371F">
              <w:rPr>
                <w:b/>
              </w:rPr>
              <w:t>CA184029</w:t>
            </w:r>
          </w:p>
        </w:tc>
      </w:tr>
      <w:tr w:rsidR="002B2BBC" w:rsidRPr="00C3371F" w:rsidTr="009F1345">
        <w:trPr>
          <w:tblHeader/>
        </w:trPr>
        <w:tc>
          <w:tcPr>
            <w:tcW w:w="1397" w:type="pct"/>
            <w:vMerge/>
          </w:tcPr>
          <w:p w:rsidR="002B2BBC" w:rsidRPr="00C3371F" w:rsidRDefault="002B2BBC" w:rsidP="00697BBB">
            <w:pPr>
              <w:pStyle w:val="Tabletext"/>
              <w:keepNext/>
              <w:rPr>
                <w:b/>
              </w:rPr>
            </w:pPr>
          </w:p>
        </w:tc>
        <w:tc>
          <w:tcPr>
            <w:tcW w:w="899" w:type="pct"/>
          </w:tcPr>
          <w:p w:rsidR="002B2BBC" w:rsidRPr="00C3371F" w:rsidRDefault="002B2BBC" w:rsidP="00697BBB">
            <w:pPr>
              <w:pStyle w:val="Tabletext"/>
              <w:keepNext/>
              <w:jc w:val="center"/>
              <w:rPr>
                <w:b/>
              </w:rPr>
            </w:pPr>
            <w:r w:rsidRPr="00C3371F">
              <w:rPr>
                <w:b/>
              </w:rPr>
              <w:t>Nivolumab</w:t>
            </w:r>
          </w:p>
          <w:p w:rsidR="002B2BBC" w:rsidRPr="00C3371F" w:rsidRDefault="002B2BBC" w:rsidP="00697BBB">
            <w:pPr>
              <w:pStyle w:val="Tabletext"/>
              <w:keepNext/>
              <w:jc w:val="center"/>
              <w:rPr>
                <w:b/>
              </w:rPr>
            </w:pPr>
            <w:r w:rsidRPr="00C3371F">
              <w:rPr>
                <w:b/>
              </w:rPr>
              <w:t>N</w:t>
            </w:r>
            <w:r w:rsidR="009D6E8D">
              <w:rPr>
                <w:b/>
              </w:rPr>
              <w:t xml:space="preserve"> </w:t>
            </w:r>
            <w:r w:rsidRPr="00C3371F">
              <w:rPr>
                <w:b/>
              </w:rPr>
              <w:t>=</w:t>
            </w:r>
            <w:r w:rsidR="009D6E8D">
              <w:rPr>
                <w:b/>
              </w:rPr>
              <w:t xml:space="preserve"> </w:t>
            </w:r>
            <w:r w:rsidRPr="00C3371F">
              <w:rPr>
                <w:b/>
              </w:rPr>
              <w:t>453</w:t>
            </w:r>
          </w:p>
        </w:tc>
        <w:tc>
          <w:tcPr>
            <w:tcW w:w="902" w:type="pct"/>
          </w:tcPr>
          <w:p w:rsidR="002B2BBC" w:rsidRPr="00C3371F" w:rsidRDefault="002B2BBC" w:rsidP="00697BBB">
            <w:pPr>
              <w:pStyle w:val="Tabletext"/>
              <w:keepNext/>
              <w:jc w:val="center"/>
              <w:rPr>
                <w:b/>
              </w:rPr>
            </w:pPr>
            <w:r w:rsidRPr="00C3371F">
              <w:rPr>
                <w:b/>
              </w:rPr>
              <w:t>Ipilimumab</w:t>
            </w:r>
          </w:p>
          <w:p w:rsidR="002B2BBC" w:rsidRPr="00C3371F" w:rsidRDefault="002B2BBC" w:rsidP="00697BBB">
            <w:pPr>
              <w:pStyle w:val="Tabletext"/>
              <w:keepNext/>
              <w:jc w:val="center"/>
              <w:rPr>
                <w:b/>
              </w:rPr>
            </w:pPr>
            <w:r w:rsidRPr="00C3371F">
              <w:rPr>
                <w:b/>
              </w:rPr>
              <w:t>N</w:t>
            </w:r>
            <w:r w:rsidR="009D6E8D">
              <w:rPr>
                <w:b/>
              </w:rPr>
              <w:t xml:space="preserve"> </w:t>
            </w:r>
            <w:r w:rsidRPr="00C3371F">
              <w:rPr>
                <w:b/>
              </w:rPr>
              <w:t>=</w:t>
            </w:r>
            <w:r w:rsidR="009D6E8D">
              <w:rPr>
                <w:b/>
              </w:rPr>
              <w:t xml:space="preserve"> </w:t>
            </w:r>
            <w:r w:rsidRPr="00C3371F">
              <w:rPr>
                <w:b/>
              </w:rPr>
              <w:t>453</w:t>
            </w:r>
          </w:p>
        </w:tc>
        <w:tc>
          <w:tcPr>
            <w:tcW w:w="902" w:type="pct"/>
          </w:tcPr>
          <w:p w:rsidR="002B2BBC" w:rsidRPr="00C3371F" w:rsidRDefault="002B2BBC" w:rsidP="00697BBB">
            <w:pPr>
              <w:pStyle w:val="Tabletext"/>
              <w:keepNext/>
              <w:jc w:val="center"/>
              <w:rPr>
                <w:b/>
              </w:rPr>
            </w:pPr>
            <w:r w:rsidRPr="00C3371F">
              <w:rPr>
                <w:b/>
              </w:rPr>
              <w:t>Ipilimumab</w:t>
            </w:r>
          </w:p>
          <w:p w:rsidR="002B2BBC" w:rsidRPr="00C3371F" w:rsidRDefault="002B2BBC" w:rsidP="00697BBB">
            <w:pPr>
              <w:pStyle w:val="Tabletext"/>
              <w:keepNext/>
              <w:jc w:val="center"/>
              <w:rPr>
                <w:b/>
              </w:rPr>
            </w:pPr>
            <w:r w:rsidRPr="00C3371F">
              <w:rPr>
                <w:b/>
              </w:rPr>
              <w:t>N</w:t>
            </w:r>
            <w:r w:rsidR="009D6E8D">
              <w:rPr>
                <w:b/>
              </w:rPr>
              <w:t xml:space="preserve"> </w:t>
            </w:r>
            <w:r w:rsidRPr="00C3371F">
              <w:rPr>
                <w:b/>
              </w:rPr>
              <w:t>=</w:t>
            </w:r>
            <w:r w:rsidR="009D6E8D">
              <w:rPr>
                <w:b/>
              </w:rPr>
              <w:t xml:space="preserve"> </w:t>
            </w:r>
            <w:r w:rsidRPr="00C3371F">
              <w:rPr>
                <w:b/>
              </w:rPr>
              <w:t>475</w:t>
            </w:r>
          </w:p>
        </w:tc>
        <w:tc>
          <w:tcPr>
            <w:tcW w:w="900" w:type="pct"/>
          </w:tcPr>
          <w:p w:rsidR="002B2BBC" w:rsidRPr="00C3371F" w:rsidRDefault="002B2BBC" w:rsidP="00697BBB">
            <w:pPr>
              <w:pStyle w:val="Tabletext"/>
              <w:keepNext/>
              <w:jc w:val="center"/>
              <w:rPr>
                <w:b/>
              </w:rPr>
            </w:pPr>
            <w:r w:rsidRPr="00C3371F">
              <w:rPr>
                <w:b/>
              </w:rPr>
              <w:t>Placebo</w:t>
            </w:r>
          </w:p>
          <w:p w:rsidR="002B2BBC" w:rsidRPr="00C3371F" w:rsidRDefault="002B2BBC" w:rsidP="00697BBB">
            <w:pPr>
              <w:pStyle w:val="Tabletext"/>
              <w:keepNext/>
              <w:jc w:val="center"/>
              <w:rPr>
                <w:b/>
              </w:rPr>
            </w:pPr>
            <w:r w:rsidRPr="00C3371F">
              <w:rPr>
                <w:b/>
              </w:rPr>
              <w:t>N</w:t>
            </w:r>
            <w:r w:rsidR="009D6E8D">
              <w:rPr>
                <w:b/>
              </w:rPr>
              <w:t xml:space="preserve"> </w:t>
            </w:r>
            <w:r w:rsidRPr="00C3371F">
              <w:rPr>
                <w:b/>
              </w:rPr>
              <w:t>=</w:t>
            </w:r>
            <w:r w:rsidR="009D6E8D">
              <w:rPr>
                <w:b/>
              </w:rPr>
              <w:t xml:space="preserve"> </w:t>
            </w:r>
            <w:r w:rsidRPr="00C3371F">
              <w:rPr>
                <w:b/>
              </w:rPr>
              <w:t>476</w:t>
            </w:r>
          </w:p>
        </w:tc>
      </w:tr>
      <w:tr w:rsidR="002B2BBC" w:rsidRPr="00C3371F" w:rsidTr="00D64A1B">
        <w:tc>
          <w:tcPr>
            <w:tcW w:w="1397" w:type="pct"/>
          </w:tcPr>
          <w:p w:rsidR="002B2BBC" w:rsidRPr="00C3371F" w:rsidRDefault="002B2BBC" w:rsidP="00697BBB">
            <w:pPr>
              <w:pStyle w:val="Tabletext"/>
              <w:keepNext/>
            </w:pPr>
            <w:r w:rsidRPr="00C3371F">
              <w:t>Follow-up</w:t>
            </w:r>
          </w:p>
        </w:tc>
        <w:tc>
          <w:tcPr>
            <w:tcW w:w="1801" w:type="pct"/>
            <w:gridSpan w:val="2"/>
          </w:tcPr>
          <w:p w:rsidR="002B2BBC" w:rsidRPr="00C3371F" w:rsidRDefault="002B2BBC" w:rsidP="00697BBB">
            <w:pPr>
              <w:pStyle w:val="Tabletext"/>
              <w:keepNext/>
              <w:jc w:val="center"/>
            </w:pPr>
            <w:r w:rsidRPr="00C3371F">
              <w:t>Minimum 18 months</w:t>
            </w:r>
          </w:p>
        </w:tc>
        <w:tc>
          <w:tcPr>
            <w:tcW w:w="1802" w:type="pct"/>
            <w:gridSpan w:val="2"/>
          </w:tcPr>
          <w:p w:rsidR="002B2BBC" w:rsidRPr="00C3371F" w:rsidRDefault="002B2BBC" w:rsidP="00697BBB">
            <w:pPr>
              <w:pStyle w:val="Tabletext"/>
              <w:keepNext/>
              <w:jc w:val="center"/>
            </w:pPr>
            <w:r w:rsidRPr="00C3371F">
              <w:t>Median 2.7 years</w:t>
            </w:r>
          </w:p>
        </w:tc>
      </w:tr>
      <w:tr w:rsidR="002B2BBC" w:rsidRPr="00C3371F" w:rsidTr="00D64A1B">
        <w:tc>
          <w:tcPr>
            <w:tcW w:w="1397" w:type="pct"/>
          </w:tcPr>
          <w:p w:rsidR="002B2BBC" w:rsidRPr="00C3371F" w:rsidRDefault="002B2BBC" w:rsidP="00697BBB">
            <w:pPr>
              <w:pStyle w:val="Tabletext"/>
              <w:keepNext/>
            </w:pPr>
            <w:r w:rsidRPr="00C3371F">
              <w:t>Events, n (%)</w:t>
            </w:r>
          </w:p>
        </w:tc>
        <w:tc>
          <w:tcPr>
            <w:tcW w:w="899" w:type="pct"/>
          </w:tcPr>
          <w:p w:rsidR="002B2BBC" w:rsidRPr="00C3371F" w:rsidRDefault="002B2BBC" w:rsidP="00697BBB">
            <w:pPr>
              <w:pStyle w:val="Tabletext"/>
              <w:keepNext/>
              <w:jc w:val="center"/>
            </w:pPr>
            <w:r w:rsidRPr="00C3371F">
              <w:t>154 (34.0</w:t>
            </w:r>
            <w:r w:rsidR="009D6E8D">
              <w:t>%</w:t>
            </w:r>
            <w:r w:rsidRPr="00C3371F">
              <w:t>)</w:t>
            </w:r>
          </w:p>
        </w:tc>
        <w:tc>
          <w:tcPr>
            <w:tcW w:w="902" w:type="pct"/>
          </w:tcPr>
          <w:p w:rsidR="002B2BBC" w:rsidRPr="00C3371F" w:rsidRDefault="002B2BBC" w:rsidP="00697BBB">
            <w:pPr>
              <w:pStyle w:val="Tabletext"/>
              <w:keepNext/>
              <w:jc w:val="center"/>
            </w:pPr>
            <w:r w:rsidRPr="00C3371F">
              <w:t>206 (45.5</w:t>
            </w:r>
            <w:r w:rsidR="009D6E8D">
              <w:t>%</w:t>
            </w:r>
            <w:r w:rsidRPr="00C3371F">
              <w:t>)</w:t>
            </w:r>
          </w:p>
        </w:tc>
        <w:tc>
          <w:tcPr>
            <w:tcW w:w="902" w:type="pct"/>
          </w:tcPr>
          <w:p w:rsidR="002B2BBC" w:rsidRPr="00C3371F" w:rsidRDefault="002B2BBC" w:rsidP="00697BBB">
            <w:pPr>
              <w:pStyle w:val="Tabletext"/>
              <w:keepNext/>
              <w:jc w:val="center"/>
            </w:pPr>
            <w:r w:rsidRPr="00C3371F">
              <w:t>234 (49.3</w:t>
            </w:r>
            <w:r w:rsidR="009D6E8D">
              <w:t>%</w:t>
            </w:r>
            <w:r w:rsidRPr="00C3371F">
              <w:t>)</w:t>
            </w:r>
          </w:p>
        </w:tc>
        <w:tc>
          <w:tcPr>
            <w:tcW w:w="900" w:type="pct"/>
          </w:tcPr>
          <w:p w:rsidR="002B2BBC" w:rsidRPr="00C3371F" w:rsidRDefault="002B2BBC" w:rsidP="00697BBB">
            <w:pPr>
              <w:pStyle w:val="Tabletext"/>
              <w:keepNext/>
              <w:jc w:val="center"/>
            </w:pPr>
            <w:r w:rsidRPr="00C3371F">
              <w:t>294 (61.8</w:t>
            </w:r>
            <w:r w:rsidR="009D6E8D">
              <w:t>%</w:t>
            </w:r>
            <w:r w:rsidRPr="00C3371F">
              <w:t>)</w:t>
            </w:r>
          </w:p>
        </w:tc>
      </w:tr>
      <w:tr w:rsidR="002B2BBC" w:rsidRPr="00C3371F" w:rsidTr="00D64A1B">
        <w:tc>
          <w:tcPr>
            <w:tcW w:w="1397" w:type="pct"/>
          </w:tcPr>
          <w:p w:rsidR="002B2BBC" w:rsidRPr="00C3371F" w:rsidRDefault="002B2BBC" w:rsidP="009D6E8D">
            <w:pPr>
              <w:pStyle w:val="Tabletext"/>
              <w:keepNext/>
            </w:pPr>
            <w:r w:rsidRPr="00C3371F">
              <w:t>Median RFS, m</w:t>
            </w:r>
            <w:r w:rsidR="009D6E8D">
              <w:t>on</w:t>
            </w:r>
            <w:r w:rsidRPr="00C3371F">
              <w:t>ths</w:t>
            </w:r>
            <w:r w:rsidR="009D6E8D">
              <w:t xml:space="preserve"> </w:t>
            </w:r>
            <w:r w:rsidR="009D6E8D" w:rsidRPr="00C3371F">
              <w:t>(95% CI)</w:t>
            </w:r>
          </w:p>
        </w:tc>
        <w:tc>
          <w:tcPr>
            <w:tcW w:w="899" w:type="pct"/>
            <w:vAlign w:val="center"/>
          </w:tcPr>
          <w:p w:rsidR="002B2BBC" w:rsidRPr="00C3371F" w:rsidRDefault="002B2BBC" w:rsidP="00697BBB">
            <w:pPr>
              <w:pStyle w:val="Tabletext"/>
              <w:keepNext/>
              <w:jc w:val="center"/>
            </w:pPr>
            <w:r w:rsidRPr="00C3371F">
              <w:t>NC</w:t>
            </w:r>
          </w:p>
        </w:tc>
        <w:tc>
          <w:tcPr>
            <w:tcW w:w="902" w:type="pct"/>
            <w:vAlign w:val="center"/>
          </w:tcPr>
          <w:p w:rsidR="002B2BBC" w:rsidRPr="00C3371F" w:rsidRDefault="002B2BBC" w:rsidP="00697BBB">
            <w:pPr>
              <w:pStyle w:val="Tabletext"/>
              <w:keepNext/>
              <w:jc w:val="center"/>
            </w:pPr>
            <w:r w:rsidRPr="00C3371F">
              <w:t>NC (16.6, NC)</w:t>
            </w:r>
          </w:p>
        </w:tc>
        <w:tc>
          <w:tcPr>
            <w:tcW w:w="902" w:type="pct"/>
            <w:vAlign w:val="center"/>
          </w:tcPr>
          <w:p w:rsidR="002B2BBC" w:rsidRPr="00C3371F" w:rsidRDefault="002B2BBC" w:rsidP="00697BBB">
            <w:pPr>
              <w:pStyle w:val="Tabletext"/>
              <w:keepNext/>
              <w:jc w:val="center"/>
            </w:pPr>
            <w:r w:rsidRPr="00C3371F">
              <w:t>26.1 (19.3, 39.3)</w:t>
            </w:r>
          </w:p>
        </w:tc>
        <w:tc>
          <w:tcPr>
            <w:tcW w:w="900" w:type="pct"/>
            <w:vAlign w:val="center"/>
          </w:tcPr>
          <w:p w:rsidR="002B2BBC" w:rsidRPr="00C3371F" w:rsidRDefault="002B2BBC" w:rsidP="00697BBB">
            <w:pPr>
              <w:pStyle w:val="Tabletext"/>
              <w:keepNext/>
              <w:jc w:val="center"/>
            </w:pPr>
            <w:r w:rsidRPr="00C3371F">
              <w:t>17.1 (13.4, 21.6)</w:t>
            </w:r>
          </w:p>
        </w:tc>
      </w:tr>
      <w:tr w:rsidR="00D64A1B" w:rsidRPr="00C3371F" w:rsidTr="00D3196C">
        <w:tc>
          <w:tcPr>
            <w:tcW w:w="1397" w:type="pct"/>
          </w:tcPr>
          <w:p w:rsidR="00D64A1B" w:rsidRPr="00C3371F" w:rsidRDefault="00D64A1B" w:rsidP="00697BBB">
            <w:pPr>
              <w:pStyle w:val="Tabletext"/>
              <w:keepNext/>
            </w:pPr>
            <w:r w:rsidRPr="00C3371F">
              <w:t>12 month RFS rate, % (95% CI)</w:t>
            </w:r>
          </w:p>
        </w:tc>
        <w:tc>
          <w:tcPr>
            <w:tcW w:w="899" w:type="pct"/>
            <w:vAlign w:val="center"/>
          </w:tcPr>
          <w:p w:rsidR="00D64A1B" w:rsidRPr="00C3371F" w:rsidRDefault="00D64A1B" w:rsidP="00697BBB">
            <w:pPr>
              <w:pStyle w:val="Tabletext"/>
              <w:keepNext/>
              <w:jc w:val="center"/>
            </w:pPr>
            <w:r w:rsidRPr="00C3371F">
              <w:t>70.5 (66.1, 74.5)</w:t>
            </w:r>
          </w:p>
        </w:tc>
        <w:tc>
          <w:tcPr>
            <w:tcW w:w="902" w:type="pct"/>
            <w:vAlign w:val="center"/>
          </w:tcPr>
          <w:p w:rsidR="00D64A1B" w:rsidRPr="00C3371F" w:rsidRDefault="00D64A1B" w:rsidP="00697BBB">
            <w:pPr>
              <w:pStyle w:val="Tabletext"/>
              <w:keepNext/>
              <w:jc w:val="center"/>
            </w:pPr>
            <w:r w:rsidRPr="00C3371F">
              <w:t>60.8 (56.0, 65.2)</w:t>
            </w:r>
          </w:p>
        </w:tc>
        <w:tc>
          <w:tcPr>
            <w:tcW w:w="902" w:type="pct"/>
            <w:vAlign w:val="center"/>
          </w:tcPr>
          <w:p w:rsidR="00D64A1B" w:rsidRPr="00C3371F" w:rsidRDefault="00D64A1B" w:rsidP="00697BBB">
            <w:pPr>
              <w:pStyle w:val="Tabletext"/>
              <w:keepNext/>
              <w:jc w:val="center"/>
            </w:pPr>
            <w:r w:rsidRPr="00C3371F">
              <w:t>63.5 (58.9, 67.7)</w:t>
            </w:r>
          </w:p>
        </w:tc>
        <w:tc>
          <w:tcPr>
            <w:tcW w:w="900" w:type="pct"/>
            <w:vAlign w:val="center"/>
          </w:tcPr>
          <w:p w:rsidR="00D64A1B" w:rsidRPr="00C3371F" w:rsidRDefault="00D64A1B" w:rsidP="00697BBB">
            <w:pPr>
              <w:pStyle w:val="Tabletext"/>
              <w:keepNext/>
              <w:jc w:val="center"/>
            </w:pPr>
            <w:r w:rsidRPr="00C3371F">
              <w:t>56.1 (51.5, 60.5)</w:t>
            </w:r>
          </w:p>
        </w:tc>
      </w:tr>
      <w:tr w:rsidR="00224029" w:rsidRPr="00C3371F" w:rsidTr="00D64A1B">
        <w:tc>
          <w:tcPr>
            <w:tcW w:w="1397" w:type="pct"/>
          </w:tcPr>
          <w:p w:rsidR="00224029" w:rsidRPr="00C3371F" w:rsidRDefault="00224029" w:rsidP="00697BBB">
            <w:pPr>
              <w:pStyle w:val="Tabletext"/>
              <w:keepNext/>
            </w:pPr>
            <w:r w:rsidRPr="00C3371F">
              <w:t>p-value (log-rank test)</w:t>
            </w:r>
          </w:p>
        </w:tc>
        <w:tc>
          <w:tcPr>
            <w:tcW w:w="1801" w:type="pct"/>
            <w:gridSpan w:val="2"/>
          </w:tcPr>
          <w:p w:rsidR="00224029" w:rsidRPr="00C3371F" w:rsidRDefault="00224029" w:rsidP="00697BBB">
            <w:pPr>
              <w:pStyle w:val="Tabletext"/>
              <w:keepNext/>
              <w:jc w:val="center"/>
              <w:rPr>
                <w:b/>
              </w:rPr>
            </w:pPr>
            <w:r w:rsidRPr="00C3371F">
              <w:rPr>
                <w:b/>
              </w:rPr>
              <w:t>&lt;0.0001</w:t>
            </w:r>
          </w:p>
        </w:tc>
        <w:tc>
          <w:tcPr>
            <w:tcW w:w="1802" w:type="pct"/>
            <w:gridSpan w:val="2"/>
          </w:tcPr>
          <w:p w:rsidR="00224029" w:rsidRPr="00C3371F" w:rsidRDefault="00224029" w:rsidP="00697BBB">
            <w:pPr>
              <w:pStyle w:val="Tabletext"/>
              <w:keepNext/>
              <w:jc w:val="center"/>
              <w:rPr>
                <w:b/>
              </w:rPr>
            </w:pPr>
            <w:r w:rsidRPr="00C3371F">
              <w:rPr>
                <w:b/>
              </w:rPr>
              <w:t>0.0013</w:t>
            </w:r>
          </w:p>
        </w:tc>
      </w:tr>
      <w:tr w:rsidR="00224029" w:rsidRPr="00C3371F" w:rsidTr="00D64A1B">
        <w:tc>
          <w:tcPr>
            <w:tcW w:w="1397" w:type="pct"/>
          </w:tcPr>
          <w:p w:rsidR="00224029" w:rsidRPr="00C3371F" w:rsidRDefault="00224029" w:rsidP="00697BBB">
            <w:pPr>
              <w:pStyle w:val="Tabletext"/>
              <w:keepNext/>
            </w:pPr>
            <w:r w:rsidRPr="00C3371F">
              <w:t>Hazard ratio (95% CI)</w:t>
            </w:r>
          </w:p>
        </w:tc>
        <w:tc>
          <w:tcPr>
            <w:tcW w:w="1801" w:type="pct"/>
            <w:gridSpan w:val="2"/>
          </w:tcPr>
          <w:p w:rsidR="00BD028D" w:rsidRPr="00C3371F" w:rsidRDefault="00BD028D" w:rsidP="00697BBB">
            <w:pPr>
              <w:pStyle w:val="Tabletext"/>
              <w:keepNext/>
              <w:jc w:val="center"/>
            </w:pPr>
            <w:r w:rsidRPr="00C3371F">
              <w:t>Nivolumab vs ipilimumab</w:t>
            </w:r>
          </w:p>
          <w:p w:rsidR="00224029" w:rsidRPr="00C3371F" w:rsidRDefault="00224029" w:rsidP="00697BBB">
            <w:pPr>
              <w:pStyle w:val="Tabletext"/>
              <w:keepNext/>
              <w:jc w:val="center"/>
              <w:rPr>
                <w:b/>
              </w:rPr>
            </w:pPr>
            <w:r w:rsidRPr="00C3371F">
              <w:rPr>
                <w:b/>
              </w:rPr>
              <w:t>0.66 (0.53, 0.81)</w:t>
            </w:r>
          </w:p>
        </w:tc>
        <w:tc>
          <w:tcPr>
            <w:tcW w:w="1802" w:type="pct"/>
            <w:gridSpan w:val="2"/>
          </w:tcPr>
          <w:p w:rsidR="00BD028D" w:rsidRPr="00C3371F" w:rsidRDefault="00BD028D" w:rsidP="00697BBB">
            <w:pPr>
              <w:pStyle w:val="Tabletext"/>
              <w:keepNext/>
              <w:jc w:val="center"/>
            </w:pPr>
            <w:r w:rsidRPr="00C3371F">
              <w:t>Placebo vs ipilimumab</w:t>
            </w:r>
          </w:p>
          <w:p w:rsidR="00224029" w:rsidRPr="00C3371F" w:rsidRDefault="00F977E0" w:rsidP="00697BBB">
            <w:pPr>
              <w:pStyle w:val="Tabletext"/>
              <w:keepNext/>
              <w:jc w:val="center"/>
              <w:rPr>
                <w:b/>
                <w:vertAlign w:val="superscript"/>
              </w:rPr>
            </w:pPr>
            <w:r w:rsidRPr="00C3371F">
              <w:rPr>
                <w:b/>
              </w:rPr>
              <w:t>1.33 (1.11, 1.56)</w:t>
            </w:r>
            <w:r w:rsidRPr="00C3371F">
              <w:rPr>
                <w:b/>
                <w:vertAlign w:val="superscript"/>
              </w:rPr>
              <w:t>a</w:t>
            </w:r>
          </w:p>
        </w:tc>
      </w:tr>
      <w:tr w:rsidR="00224029" w:rsidRPr="00C3371F" w:rsidTr="00D64A1B">
        <w:tc>
          <w:tcPr>
            <w:tcW w:w="1397" w:type="pct"/>
          </w:tcPr>
          <w:p w:rsidR="00224029" w:rsidRPr="00C3371F" w:rsidRDefault="00224029" w:rsidP="00697BBB">
            <w:pPr>
              <w:pStyle w:val="Tabletext"/>
              <w:keepNext/>
              <w:rPr>
                <w:b/>
              </w:rPr>
            </w:pPr>
          </w:p>
        </w:tc>
        <w:tc>
          <w:tcPr>
            <w:tcW w:w="3603" w:type="pct"/>
            <w:gridSpan w:val="4"/>
          </w:tcPr>
          <w:p w:rsidR="00224029" w:rsidRPr="00C3371F" w:rsidRDefault="00224029" w:rsidP="009D6E8D">
            <w:pPr>
              <w:pStyle w:val="Tabletext"/>
              <w:keepNext/>
              <w:jc w:val="center"/>
              <w:rPr>
                <w:b/>
                <w:lang w:val="fr-FR"/>
              </w:rPr>
            </w:pPr>
            <w:r w:rsidRPr="00C3371F">
              <w:rPr>
                <w:b/>
                <w:lang w:val="fr-FR"/>
              </w:rPr>
              <w:t xml:space="preserve">Indirect </w:t>
            </w:r>
            <w:proofErr w:type="spellStart"/>
            <w:proofErr w:type="gramStart"/>
            <w:r w:rsidRPr="00C3371F">
              <w:rPr>
                <w:b/>
                <w:lang w:val="fr-FR"/>
              </w:rPr>
              <w:t>comparison</w:t>
            </w:r>
            <w:proofErr w:type="spellEnd"/>
            <w:r w:rsidR="007060D9" w:rsidRPr="00C3371F">
              <w:rPr>
                <w:b/>
                <w:lang w:val="fr-FR"/>
              </w:rPr>
              <w:t>:</w:t>
            </w:r>
            <w:proofErr w:type="gramEnd"/>
            <w:r w:rsidRPr="00C3371F">
              <w:rPr>
                <w:b/>
                <w:lang w:val="fr-FR"/>
              </w:rPr>
              <w:t xml:space="preserve"> nivolumab vs placebo</w:t>
            </w:r>
          </w:p>
        </w:tc>
      </w:tr>
      <w:tr w:rsidR="00224029" w:rsidRPr="00C3371F" w:rsidTr="00D64A1B">
        <w:tc>
          <w:tcPr>
            <w:tcW w:w="1397" w:type="pct"/>
          </w:tcPr>
          <w:p w:rsidR="00224029" w:rsidRPr="00C3371F" w:rsidRDefault="00224029" w:rsidP="00697BBB">
            <w:pPr>
              <w:pStyle w:val="Tabletext"/>
              <w:keepNext/>
              <w:rPr>
                <w:b/>
              </w:rPr>
            </w:pPr>
            <w:r w:rsidRPr="00C3371F">
              <w:rPr>
                <w:b/>
              </w:rPr>
              <w:t xml:space="preserve">Indirect HR (95% CI)  </w:t>
            </w:r>
          </w:p>
        </w:tc>
        <w:tc>
          <w:tcPr>
            <w:tcW w:w="3603" w:type="pct"/>
            <w:gridSpan w:val="4"/>
          </w:tcPr>
          <w:p w:rsidR="00224029" w:rsidRPr="00C3371F" w:rsidRDefault="00224029" w:rsidP="00697BBB">
            <w:pPr>
              <w:pStyle w:val="Tabletext"/>
              <w:keepNext/>
              <w:jc w:val="center"/>
              <w:rPr>
                <w:b/>
              </w:rPr>
            </w:pPr>
            <w:r w:rsidRPr="00C3371F">
              <w:rPr>
                <w:b/>
              </w:rPr>
              <w:t>0.50 (0.38, 0.65)</w:t>
            </w:r>
          </w:p>
        </w:tc>
      </w:tr>
    </w:tbl>
    <w:p w:rsidR="00224029" w:rsidRPr="00C3371F" w:rsidRDefault="00224029" w:rsidP="00224029">
      <w:pPr>
        <w:pStyle w:val="TableFooter"/>
      </w:pPr>
      <w:r w:rsidRPr="00C3371F">
        <w:t xml:space="preserve">CI = confidence interval; HR = hazard ratio; NC = </w:t>
      </w:r>
      <w:proofErr w:type="spellStart"/>
      <w:r w:rsidRPr="00C3371F">
        <w:t>not</w:t>
      </w:r>
      <w:proofErr w:type="spellEnd"/>
      <w:r w:rsidRPr="00C3371F">
        <w:t xml:space="preserve"> calculable; RFS = </w:t>
      </w:r>
      <w:r w:rsidR="00C16EFF" w:rsidRPr="00C3371F">
        <w:t>recurrence-free</w:t>
      </w:r>
      <w:r w:rsidRPr="00C3371F">
        <w:t xml:space="preserve"> survival</w:t>
      </w:r>
    </w:p>
    <w:p w:rsidR="00F977E0" w:rsidRPr="00C3371F" w:rsidRDefault="00F977E0" w:rsidP="00F977E0">
      <w:pPr>
        <w:pStyle w:val="TableFooter"/>
      </w:pPr>
      <w:proofErr w:type="gramStart"/>
      <w:r w:rsidRPr="00C3371F">
        <w:rPr>
          <w:vertAlign w:val="superscript"/>
        </w:rPr>
        <w:t>a</w:t>
      </w:r>
      <w:proofErr w:type="gramEnd"/>
      <w:r w:rsidRPr="00C3371F">
        <w:t xml:space="preserve"> HR for placebo versus ipilimumab.</w:t>
      </w:r>
    </w:p>
    <w:p w:rsidR="00224029" w:rsidRPr="00C3371F" w:rsidRDefault="00224029" w:rsidP="00224029">
      <w:pPr>
        <w:pStyle w:val="TableFooter"/>
        <w:rPr>
          <w:b/>
        </w:rPr>
      </w:pPr>
      <w:proofErr w:type="gramStart"/>
      <w:r w:rsidRPr="00C3371F">
        <w:rPr>
          <w:b/>
        </w:rPr>
        <w:t>Figures in bold are statistically significant.</w:t>
      </w:r>
      <w:proofErr w:type="gramEnd"/>
    </w:p>
    <w:p w:rsidR="00224029" w:rsidRPr="00C3371F" w:rsidRDefault="00224029" w:rsidP="00224029">
      <w:pPr>
        <w:pStyle w:val="TableFooter"/>
      </w:pPr>
      <w:r w:rsidRPr="00C3371F">
        <w:t>Source: Table 49, p69 and Table 56, p100 of the submission.</w:t>
      </w:r>
    </w:p>
    <w:p w:rsidR="00224029" w:rsidRPr="00C3371F" w:rsidRDefault="00224029" w:rsidP="00224029"/>
    <w:p w:rsidR="00E001AB" w:rsidRDefault="00224029" w:rsidP="000B6DBA">
      <w:pPr>
        <w:pStyle w:val="ListParagraph"/>
        <w:widowControl/>
        <w:numPr>
          <w:ilvl w:val="1"/>
          <w:numId w:val="1"/>
        </w:numPr>
      </w:pPr>
      <w:r w:rsidRPr="005C7AC1">
        <w:t xml:space="preserve">The submission stated that the indirect HR for RFS was highly significantly in favour of nivolumab and represented a 50% risk reduction in recurrence in the nivolumab group compared with the placebo group. The </w:t>
      </w:r>
      <w:r w:rsidR="00861E44">
        <w:t xml:space="preserve">PBAC and </w:t>
      </w:r>
      <w:r w:rsidR="002D10E6" w:rsidRPr="005C7AC1">
        <w:t xml:space="preserve">ESC considered the </w:t>
      </w:r>
      <w:r w:rsidRPr="005C7AC1">
        <w:t xml:space="preserve">submission’s claim that nivolumab is superior to placebo in terms of RFS was reasonable. However, given the concerns </w:t>
      </w:r>
      <w:r w:rsidR="00DA2CF1" w:rsidRPr="005C7AC1">
        <w:t>regarding</w:t>
      </w:r>
      <w:r w:rsidRPr="005C7AC1">
        <w:t xml:space="preserve"> the transitivity of the trials included in the indirect comparison, and the indirect nature of the comparison, the magnitude of the treatment effect </w:t>
      </w:r>
      <w:r w:rsidR="00A760C3" w:rsidRPr="005C7AC1">
        <w:t>wa</w:t>
      </w:r>
      <w:r w:rsidRPr="005C7AC1">
        <w:t>s highly uncertain. In addition, the submission did not assess the proportional hazard assumption in either of the trials. If the proportional hazards assumption does not hold, the estimated HR, as a measure of the relative treatment effect, may be unreliable as it would be dependent on follow-up time.</w:t>
      </w:r>
      <w:r w:rsidR="002D10E6" w:rsidRPr="005C7AC1">
        <w:t xml:space="preserve"> </w:t>
      </w:r>
    </w:p>
    <w:p w:rsidR="00224029" w:rsidRPr="005C7AC1" w:rsidRDefault="002D10E6" w:rsidP="000B6DBA">
      <w:pPr>
        <w:pStyle w:val="ListParagraph"/>
        <w:widowControl/>
        <w:numPr>
          <w:ilvl w:val="1"/>
          <w:numId w:val="1"/>
        </w:numPr>
      </w:pPr>
      <w:r w:rsidRPr="005C7AC1">
        <w:t xml:space="preserve">The </w:t>
      </w:r>
      <w:r w:rsidR="00861E44">
        <w:t xml:space="preserve">PBAC and </w:t>
      </w:r>
      <w:r w:rsidRPr="005C7AC1">
        <w:t>ESC noted that there was no direct evidence for OS and considered that the surrogacy of RFS for OS was highly uncertain.</w:t>
      </w:r>
      <w:r w:rsidR="00E001AB">
        <w:t xml:space="preserve"> </w:t>
      </w:r>
    </w:p>
    <w:p w:rsidR="00ED14B1" w:rsidRPr="00C3371F" w:rsidRDefault="00772CE7" w:rsidP="000B6DBA">
      <w:pPr>
        <w:pStyle w:val="ListParagraph"/>
        <w:widowControl/>
        <w:numPr>
          <w:ilvl w:val="1"/>
          <w:numId w:val="1"/>
        </w:numPr>
      </w:pPr>
      <w:r w:rsidRPr="00C3371F">
        <w:t>Both trials assessed quality of life using the European Organisation for the Research and Treatment of Cancer quality of life questionnaire (EORTC-QLQ-C30). In CA209238, there was with no mean change from baseline reaching the minimal clinically important difference of 10 points on a 100-point scale at any time point in global health status, or the individual functioning or symptom scales in either treatment group. In CA184029, during the induction phase, health-related quality of life declines were seen in mean changes from baseline on fatigue and diarrhoea in the ipilimumab group. By week 24, mean scores were within 10 points of baseline for all scales and symptom scores, and remained so throughout the study period. There was a high risk of attrition bias in CA184029 due to differential rates of completion of the questionnaire between the two treatment arms (</w:t>
      </w:r>
      <w:r w:rsidR="00606797">
        <w:rPr>
          <w:noProof/>
          <w:color w:val="000000"/>
          <w:highlight w:val="black"/>
        </w:rPr>
        <w:t>''''''''</w:t>
      </w:r>
      <w:r w:rsidRPr="002868B6">
        <w:t xml:space="preserve">% and </w:t>
      </w:r>
      <w:r w:rsidR="00606797">
        <w:rPr>
          <w:noProof/>
          <w:color w:val="000000"/>
          <w:highlight w:val="black"/>
        </w:rPr>
        <w:t>'''''''''</w:t>
      </w:r>
      <w:r w:rsidRPr="002868B6">
        <w:t>%</w:t>
      </w:r>
      <w:r w:rsidRPr="00C3371F">
        <w:t xml:space="preserve"> in the ipilimumab and placebo groups, respectively). </w:t>
      </w:r>
      <w:r w:rsidR="00ED14B1" w:rsidRPr="00C3371F">
        <w:t>The submission did not present</w:t>
      </w:r>
      <w:r w:rsidR="00DA2CF1" w:rsidRPr="00C3371F">
        <w:t xml:space="preserve"> an</w:t>
      </w:r>
      <w:r w:rsidR="00ED14B1" w:rsidRPr="00C3371F">
        <w:t xml:space="preserve"> </w:t>
      </w:r>
      <w:r w:rsidR="00DA2CF1" w:rsidRPr="00C3371F">
        <w:t>indirect comparison of quality of life for nivolumab versus placebo.</w:t>
      </w:r>
    </w:p>
    <w:p w:rsidR="00021C5B" w:rsidRPr="00C3371F" w:rsidRDefault="00021C5B" w:rsidP="00224029">
      <w:pPr>
        <w:rPr>
          <w:rStyle w:val="CommentReference"/>
          <w:b w:val="0"/>
        </w:rPr>
      </w:pPr>
    </w:p>
    <w:p w:rsidR="00224029" w:rsidRPr="00C3371F" w:rsidRDefault="00224029" w:rsidP="009F1345">
      <w:pPr>
        <w:pStyle w:val="Heading2"/>
        <w:keepNext/>
        <w:spacing w:before="240" w:after="120"/>
        <w:rPr>
          <w:i w:val="0"/>
        </w:rPr>
      </w:pPr>
      <w:bookmarkStart w:id="12" w:name="_Toc511661679"/>
      <w:r w:rsidRPr="00C3371F">
        <w:rPr>
          <w:i w:val="0"/>
        </w:rPr>
        <w:lastRenderedPageBreak/>
        <w:t>Comparative harms</w:t>
      </w:r>
      <w:bookmarkEnd w:id="12"/>
    </w:p>
    <w:p w:rsidR="00224029" w:rsidRPr="00C3371F" w:rsidRDefault="00224029" w:rsidP="000B6DBA">
      <w:pPr>
        <w:pStyle w:val="ListParagraph"/>
        <w:keepNext/>
        <w:widowControl/>
        <w:numPr>
          <w:ilvl w:val="1"/>
          <w:numId w:val="1"/>
        </w:numPr>
      </w:pPr>
      <w:r w:rsidRPr="00C3371F">
        <w:t>A comparison of the key adverse events (AEs) in the randomised trials is presented in the table below.</w:t>
      </w:r>
    </w:p>
    <w:p w:rsidR="00224029" w:rsidRPr="00C3371F" w:rsidRDefault="00224029" w:rsidP="00B44B82">
      <w:pPr>
        <w:pStyle w:val="Caption"/>
        <w:keepNext/>
        <w:rPr>
          <w:rStyle w:val="CommentReference"/>
          <w:b/>
        </w:rPr>
      </w:pPr>
      <w:r w:rsidRPr="00C3371F">
        <w:rPr>
          <w:rStyle w:val="CommentReference"/>
          <w:b/>
        </w:rPr>
        <w:t xml:space="preserve">Table </w:t>
      </w:r>
      <w:r w:rsidR="00C47B15">
        <w:rPr>
          <w:rStyle w:val="CommentReference"/>
          <w:b/>
          <w:noProof/>
        </w:rPr>
        <w:t>6</w:t>
      </w:r>
      <w:r w:rsidRPr="00C3371F">
        <w:rPr>
          <w:rStyle w:val="CommentReference"/>
          <w:b/>
        </w:rPr>
        <w:t>: Summary of key adverse events in the randomised trials</w:t>
      </w:r>
    </w:p>
    <w:tbl>
      <w:tblPr>
        <w:tblStyle w:val="TableGrid"/>
        <w:tblW w:w="5000" w:type="pct"/>
        <w:tblLook w:val="04A0" w:firstRow="1" w:lastRow="0" w:firstColumn="1" w:lastColumn="0" w:noHBand="0" w:noVBand="1"/>
        <w:tblCaption w:val="Table 6: Summary of key adverse events in the randomised trials"/>
      </w:tblPr>
      <w:tblGrid>
        <w:gridCol w:w="3362"/>
        <w:gridCol w:w="1470"/>
        <w:gridCol w:w="1470"/>
        <w:gridCol w:w="1470"/>
        <w:gridCol w:w="1471"/>
      </w:tblGrid>
      <w:tr w:rsidR="00224029" w:rsidRPr="00C3371F" w:rsidTr="00D54E15">
        <w:trPr>
          <w:tblHeader/>
        </w:trPr>
        <w:tc>
          <w:tcPr>
            <w:tcW w:w="1819" w:type="pct"/>
            <w:vMerge w:val="restart"/>
          </w:tcPr>
          <w:p w:rsidR="00224029" w:rsidRPr="00C3371F" w:rsidRDefault="00224029" w:rsidP="00D54E15">
            <w:pPr>
              <w:pStyle w:val="Tabletext"/>
            </w:pPr>
          </w:p>
        </w:tc>
        <w:tc>
          <w:tcPr>
            <w:tcW w:w="1590" w:type="pct"/>
            <w:gridSpan w:val="2"/>
          </w:tcPr>
          <w:p w:rsidR="00224029" w:rsidRPr="00C3371F" w:rsidRDefault="00224029" w:rsidP="00D54E15">
            <w:pPr>
              <w:pStyle w:val="Tabletext"/>
              <w:jc w:val="center"/>
              <w:rPr>
                <w:b/>
              </w:rPr>
            </w:pPr>
            <w:r w:rsidRPr="00C3371F">
              <w:rPr>
                <w:b/>
              </w:rPr>
              <w:t>CA209238</w:t>
            </w:r>
          </w:p>
        </w:tc>
        <w:tc>
          <w:tcPr>
            <w:tcW w:w="1591" w:type="pct"/>
            <w:gridSpan w:val="2"/>
          </w:tcPr>
          <w:p w:rsidR="00224029" w:rsidRPr="00C3371F" w:rsidRDefault="00224029" w:rsidP="00D54E15">
            <w:pPr>
              <w:pStyle w:val="Tabletext"/>
              <w:jc w:val="center"/>
              <w:rPr>
                <w:b/>
              </w:rPr>
            </w:pPr>
            <w:r w:rsidRPr="00C3371F">
              <w:rPr>
                <w:b/>
              </w:rPr>
              <w:t>CA184029</w:t>
            </w:r>
          </w:p>
        </w:tc>
      </w:tr>
      <w:tr w:rsidR="00224029" w:rsidRPr="00C3371F" w:rsidTr="00D54E15">
        <w:trPr>
          <w:tblHeader/>
        </w:trPr>
        <w:tc>
          <w:tcPr>
            <w:tcW w:w="1819" w:type="pct"/>
            <w:vMerge/>
          </w:tcPr>
          <w:p w:rsidR="00224029" w:rsidRPr="00C3371F" w:rsidRDefault="00224029" w:rsidP="00D54E15">
            <w:pPr>
              <w:pStyle w:val="Tabletext"/>
            </w:pPr>
          </w:p>
        </w:tc>
        <w:tc>
          <w:tcPr>
            <w:tcW w:w="795" w:type="pct"/>
          </w:tcPr>
          <w:p w:rsidR="00224029" w:rsidRPr="00C3371F" w:rsidRDefault="00224029" w:rsidP="00D54E15">
            <w:pPr>
              <w:pStyle w:val="Tabletext"/>
              <w:jc w:val="center"/>
              <w:rPr>
                <w:b/>
              </w:rPr>
            </w:pPr>
            <w:r w:rsidRPr="00C3371F">
              <w:rPr>
                <w:b/>
              </w:rPr>
              <w:t>Nivolumab</w:t>
            </w:r>
          </w:p>
          <w:p w:rsidR="00224029" w:rsidRPr="00C3371F" w:rsidRDefault="00224029" w:rsidP="00DA70FC">
            <w:pPr>
              <w:pStyle w:val="Tabletext"/>
              <w:jc w:val="center"/>
              <w:rPr>
                <w:b/>
              </w:rPr>
            </w:pPr>
            <w:r w:rsidRPr="00C3371F">
              <w:rPr>
                <w:b/>
              </w:rPr>
              <w:t>N</w:t>
            </w:r>
            <w:r w:rsidR="00DA70FC">
              <w:rPr>
                <w:b/>
              </w:rPr>
              <w:t xml:space="preserve"> </w:t>
            </w:r>
            <w:r w:rsidRPr="00C3371F">
              <w:rPr>
                <w:b/>
              </w:rPr>
              <w:t>=</w:t>
            </w:r>
            <w:r w:rsidR="00DA70FC">
              <w:rPr>
                <w:b/>
              </w:rPr>
              <w:t xml:space="preserve"> 452</w:t>
            </w:r>
          </w:p>
        </w:tc>
        <w:tc>
          <w:tcPr>
            <w:tcW w:w="795" w:type="pct"/>
          </w:tcPr>
          <w:p w:rsidR="00224029" w:rsidRPr="00C3371F" w:rsidRDefault="00224029" w:rsidP="00D54E15">
            <w:pPr>
              <w:pStyle w:val="Tabletext"/>
              <w:jc w:val="center"/>
              <w:rPr>
                <w:b/>
              </w:rPr>
            </w:pPr>
            <w:r w:rsidRPr="00C3371F">
              <w:rPr>
                <w:b/>
              </w:rPr>
              <w:t>Ipilimumab</w:t>
            </w:r>
          </w:p>
          <w:p w:rsidR="00224029" w:rsidRPr="00C3371F" w:rsidRDefault="00224029" w:rsidP="00DA70FC">
            <w:pPr>
              <w:pStyle w:val="Tabletext"/>
              <w:jc w:val="center"/>
              <w:rPr>
                <w:b/>
              </w:rPr>
            </w:pPr>
            <w:r w:rsidRPr="00C3371F">
              <w:rPr>
                <w:b/>
              </w:rPr>
              <w:t>N</w:t>
            </w:r>
            <w:r w:rsidR="00DA70FC">
              <w:rPr>
                <w:b/>
              </w:rPr>
              <w:t xml:space="preserve"> </w:t>
            </w:r>
            <w:r w:rsidRPr="00C3371F">
              <w:rPr>
                <w:b/>
              </w:rPr>
              <w:t>=</w:t>
            </w:r>
            <w:r w:rsidR="00DA70FC">
              <w:rPr>
                <w:b/>
              </w:rPr>
              <w:t xml:space="preserve"> 453</w:t>
            </w:r>
          </w:p>
        </w:tc>
        <w:tc>
          <w:tcPr>
            <w:tcW w:w="795" w:type="pct"/>
          </w:tcPr>
          <w:p w:rsidR="00224029" w:rsidRPr="00C3371F" w:rsidRDefault="00224029" w:rsidP="00D54E15">
            <w:pPr>
              <w:pStyle w:val="Tabletext"/>
              <w:jc w:val="center"/>
              <w:rPr>
                <w:b/>
              </w:rPr>
            </w:pPr>
            <w:r w:rsidRPr="00C3371F">
              <w:rPr>
                <w:b/>
              </w:rPr>
              <w:t>Ipilimumab</w:t>
            </w:r>
          </w:p>
          <w:p w:rsidR="00224029" w:rsidRPr="00C3371F" w:rsidRDefault="00224029" w:rsidP="00DA70FC">
            <w:pPr>
              <w:pStyle w:val="Tabletext"/>
              <w:jc w:val="center"/>
              <w:rPr>
                <w:b/>
              </w:rPr>
            </w:pPr>
            <w:r w:rsidRPr="00C3371F">
              <w:rPr>
                <w:b/>
              </w:rPr>
              <w:t>N</w:t>
            </w:r>
            <w:r w:rsidR="00DA70FC">
              <w:rPr>
                <w:b/>
              </w:rPr>
              <w:t xml:space="preserve"> </w:t>
            </w:r>
            <w:r w:rsidRPr="00C3371F">
              <w:rPr>
                <w:b/>
              </w:rPr>
              <w:t>=</w:t>
            </w:r>
            <w:r w:rsidR="00DA70FC">
              <w:rPr>
                <w:b/>
              </w:rPr>
              <w:t xml:space="preserve"> 471</w:t>
            </w:r>
          </w:p>
        </w:tc>
        <w:tc>
          <w:tcPr>
            <w:tcW w:w="796" w:type="pct"/>
          </w:tcPr>
          <w:p w:rsidR="00224029" w:rsidRPr="00C3371F" w:rsidRDefault="00224029" w:rsidP="00D54E15">
            <w:pPr>
              <w:pStyle w:val="Tabletext"/>
              <w:jc w:val="center"/>
              <w:rPr>
                <w:b/>
              </w:rPr>
            </w:pPr>
            <w:r w:rsidRPr="00C3371F">
              <w:rPr>
                <w:b/>
              </w:rPr>
              <w:t>Placebo</w:t>
            </w:r>
          </w:p>
          <w:p w:rsidR="00224029" w:rsidRPr="00C3371F" w:rsidRDefault="00224029" w:rsidP="00DA70FC">
            <w:pPr>
              <w:pStyle w:val="Tabletext"/>
              <w:jc w:val="center"/>
              <w:rPr>
                <w:b/>
              </w:rPr>
            </w:pPr>
            <w:r w:rsidRPr="00C3371F">
              <w:rPr>
                <w:b/>
              </w:rPr>
              <w:t>N</w:t>
            </w:r>
            <w:r w:rsidR="00DA70FC">
              <w:rPr>
                <w:b/>
              </w:rPr>
              <w:t xml:space="preserve"> </w:t>
            </w:r>
            <w:r w:rsidRPr="00C3371F">
              <w:rPr>
                <w:b/>
              </w:rPr>
              <w:t>=</w:t>
            </w:r>
            <w:r w:rsidR="00DA70FC">
              <w:rPr>
                <w:b/>
              </w:rPr>
              <w:t xml:space="preserve"> 474</w:t>
            </w:r>
          </w:p>
        </w:tc>
      </w:tr>
      <w:tr w:rsidR="00C16B3B" w:rsidRPr="00C3371F" w:rsidTr="00D54E15">
        <w:trPr>
          <w:tblHeader/>
        </w:trPr>
        <w:tc>
          <w:tcPr>
            <w:tcW w:w="1819" w:type="pct"/>
          </w:tcPr>
          <w:p w:rsidR="00C16B3B" w:rsidRPr="00C3371F" w:rsidRDefault="00C16B3B" w:rsidP="00C16B3B">
            <w:pPr>
              <w:pStyle w:val="Tabletext"/>
            </w:pPr>
            <w:r w:rsidRPr="00C3371F">
              <w:t>Duration of follow-up</w:t>
            </w:r>
          </w:p>
        </w:tc>
        <w:tc>
          <w:tcPr>
            <w:tcW w:w="1590" w:type="pct"/>
            <w:gridSpan w:val="2"/>
          </w:tcPr>
          <w:p w:rsidR="00C16B3B" w:rsidRPr="00C3371F" w:rsidRDefault="00C16B3B" w:rsidP="00C16B3B">
            <w:pPr>
              <w:pStyle w:val="Tabletext"/>
              <w:jc w:val="center"/>
            </w:pPr>
            <w:r w:rsidRPr="00C3371F">
              <w:t>Minimum 18 months</w:t>
            </w:r>
            <w:r w:rsidR="00DA70FC">
              <w:t xml:space="preserve"> </w:t>
            </w:r>
            <w:r w:rsidRPr="00C3371F">
              <w:rPr>
                <w:vertAlign w:val="superscript"/>
              </w:rPr>
              <w:t>a</w:t>
            </w:r>
          </w:p>
        </w:tc>
        <w:tc>
          <w:tcPr>
            <w:tcW w:w="1591" w:type="pct"/>
            <w:gridSpan w:val="2"/>
          </w:tcPr>
          <w:p w:rsidR="00C16B3B" w:rsidRPr="00C3371F" w:rsidRDefault="00C16B3B" w:rsidP="00C16B3B">
            <w:pPr>
              <w:pStyle w:val="Tabletext"/>
              <w:jc w:val="center"/>
            </w:pPr>
            <w:r w:rsidRPr="00C3371F">
              <w:t>Median 2.7 years</w:t>
            </w:r>
            <w:r w:rsidR="00DA70FC">
              <w:t xml:space="preserve"> </w:t>
            </w:r>
            <w:r w:rsidRPr="00C3371F">
              <w:rPr>
                <w:vertAlign w:val="superscript"/>
              </w:rPr>
              <w:t>b</w:t>
            </w:r>
          </w:p>
        </w:tc>
      </w:tr>
      <w:tr w:rsidR="00224029" w:rsidRPr="00C3371F" w:rsidTr="00D54E15">
        <w:tc>
          <w:tcPr>
            <w:tcW w:w="1819" w:type="pct"/>
          </w:tcPr>
          <w:p w:rsidR="00224029" w:rsidRPr="00C3371F" w:rsidRDefault="00DA70FC" w:rsidP="00D54E15">
            <w:pPr>
              <w:pStyle w:val="Tabletext"/>
            </w:pPr>
            <w:r>
              <w:t>N</w:t>
            </w:r>
            <w:r w:rsidR="00224029" w:rsidRPr="00C3371F">
              <w:t>umber of doses</w:t>
            </w:r>
            <w:r>
              <w:t>, mean</w:t>
            </w:r>
            <w:r w:rsidR="00224029" w:rsidRPr="00C3371F">
              <w:t xml:space="preserve"> (SD)</w:t>
            </w:r>
          </w:p>
        </w:tc>
        <w:tc>
          <w:tcPr>
            <w:tcW w:w="795" w:type="pct"/>
          </w:tcPr>
          <w:p w:rsidR="00224029" w:rsidRPr="00C3371F" w:rsidRDefault="00606797" w:rsidP="00D54E15">
            <w:pPr>
              <w:pStyle w:val="Tabletext"/>
              <w:jc w:val="center"/>
            </w:pPr>
            <w:r>
              <w:rPr>
                <w:noProof/>
                <w:color w:val="000000"/>
                <w:highlight w:val="black"/>
              </w:rPr>
              <w:t>''''''''''</w:t>
            </w:r>
            <w:r w:rsidR="00224029" w:rsidRPr="00C3371F">
              <w:t xml:space="preserve"> (</w:t>
            </w:r>
            <w:r>
              <w:rPr>
                <w:noProof/>
                <w:color w:val="000000"/>
                <w:highlight w:val="black"/>
              </w:rPr>
              <w:t>'''''''</w:t>
            </w:r>
            <w:r w:rsidR="00224029" w:rsidRPr="00C3371F">
              <w:t>)</w:t>
            </w:r>
          </w:p>
        </w:tc>
        <w:tc>
          <w:tcPr>
            <w:tcW w:w="795" w:type="pct"/>
          </w:tcPr>
          <w:p w:rsidR="00224029" w:rsidRPr="00C3371F" w:rsidRDefault="00606797" w:rsidP="00D54E15">
            <w:pPr>
              <w:pStyle w:val="Tabletext"/>
              <w:jc w:val="center"/>
            </w:pPr>
            <w:r>
              <w:rPr>
                <w:noProof/>
                <w:color w:val="000000"/>
                <w:highlight w:val="black"/>
              </w:rPr>
              <w:t>'''''''</w:t>
            </w:r>
            <w:r w:rsidR="00224029" w:rsidRPr="00C3371F">
              <w:t xml:space="preserve"> (</w:t>
            </w:r>
            <w:r>
              <w:rPr>
                <w:noProof/>
                <w:color w:val="000000"/>
                <w:highlight w:val="black"/>
              </w:rPr>
              <w:t>''''''''</w:t>
            </w:r>
            <w:r w:rsidR="00224029" w:rsidRPr="00C3371F">
              <w:t>)</w:t>
            </w:r>
          </w:p>
        </w:tc>
        <w:tc>
          <w:tcPr>
            <w:tcW w:w="795" w:type="pct"/>
          </w:tcPr>
          <w:p w:rsidR="00224029" w:rsidRPr="002868B6" w:rsidRDefault="00606797" w:rsidP="00D54E15">
            <w:pPr>
              <w:pStyle w:val="Tabletext"/>
              <w:jc w:val="center"/>
            </w:pPr>
            <w:r>
              <w:rPr>
                <w:noProof/>
                <w:color w:val="000000"/>
                <w:highlight w:val="black"/>
              </w:rPr>
              <w:t>''''''''</w:t>
            </w:r>
            <w:r w:rsidR="00224029" w:rsidRPr="002868B6">
              <w:t xml:space="preserve"> (</w:t>
            </w:r>
            <w:r>
              <w:rPr>
                <w:noProof/>
                <w:color w:val="000000"/>
                <w:highlight w:val="black"/>
              </w:rPr>
              <w:t>''''''''</w:t>
            </w:r>
            <w:r w:rsidR="00224029" w:rsidRPr="002868B6">
              <w:t>)</w:t>
            </w:r>
          </w:p>
        </w:tc>
        <w:tc>
          <w:tcPr>
            <w:tcW w:w="796" w:type="pct"/>
          </w:tcPr>
          <w:p w:rsidR="00224029" w:rsidRPr="002868B6" w:rsidRDefault="00606797" w:rsidP="00D54E15">
            <w:pPr>
              <w:pStyle w:val="Tabletext"/>
              <w:jc w:val="center"/>
            </w:pPr>
            <w:r>
              <w:rPr>
                <w:noProof/>
                <w:color w:val="000000"/>
                <w:highlight w:val="black"/>
              </w:rPr>
              <w:t>'''''''''</w:t>
            </w:r>
            <w:r w:rsidR="00224029" w:rsidRPr="002868B6">
              <w:t xml:space="preserve"> (</w:t>
            </w:r>
            <w:r>
              <w:rPr>
                <w:noProof/>
                <w:color w:val="000000"/>
                <w:highlight w:val="black"/>
              </w:rPr>
              <w:t>'''''''''</w:t>
            </w:r>
            <w:r w:rsidR="00224029" w:rsidRPr="002868B6">
              <w:t>)</w:t>
            </w:r>
          </w:p>
        </w:tc>
      </w:tr>
      <w:tr w:rsidR="00224029" w:rsidRPr="00C3371F" w:rsidTr="00D54E15">
        <w:trPr>
          <w:tblHeader/>
        </w:trPr>
        <w:tc>
          <w:tcPr>
            <w:tcW w:w="5000" w:type="pct"/>
            <w:gridSpan w:val="5"/>
          </w:tcPr>
          <w:p w:rsidR="00224029" w:rsidRPr="00C3371F" w:rsidRDefault="00224029" w:rsidP="00D54E15">
            <w:pPr>
              <w:pStyle w:val="Tabletext"/>
              <w:rPr>
                <w:b/>
              </w:rPr>
            </w:pPr>
            <w:r w:rsidRPr="00C3371F">
              <w:rPr>
                <w:b/>
              </w:rPr>
              <w:t>All causality AEs</w:t>
            </w:r>
            <w:r w:rsidR="00DA70FC">
              <w:rPr>
                <w:b/>
              </w:rPr>
              <w:t>, n (%)</w:t>
            </w:r>
          </w:p>
        </w:tc>
      </w:tr>
      <w:tr w:rsidR="00224029" w:rsidRPr="00C3371F" w:rsidTr="00D54E15">
        <w:tc>
          <w:tcPr>
            <w:tcW w:w="1819" w:type="pct"/>
          </w:tcPr>
          <w:p w:rsidR="00224029" w:rsidRPr="00C3371F" w:rsidRDefault="00224029" w:rsidP="00DA70FC">
            <w:pPr>
              <w:pStyle w:val="Tabletext"/>
            </w:pPr>
            <w:r w:rsidRPr="00C3371F">
              <w:t>AE</w:t>
            </w:r>
            <w:r w:rsidR="00DA70FC">
              <w:t xml:space="preserve"> </w:t>
            </w:r>
            <w:r w:rsidR="00DA70FC" w:rsidRPr="00C3371F">
              <w:t>–</w:t>
            </w:r>
            <w:r w:rsidRPr="00C3371F">
              <w:t xml:space="preserve"> any grade</w:t>
            </w:r>
          </w:p>
        </w:tc>
        <w:tc>
          <w:tcPr>
            <w:tcW w:w="795" w:type="pct"/>
          </w:tcPr>
          <w:p w:rsidR="00224029" w:rsidRPr="00C3371F" w:rsidRDefault="00224029" w:rsidP="00D54E15">
            <w:pPr>
              <w:pStyle w:val="Tabletext"/>
              <w:jc w:val="center"/>
            </w:pPr>
            <w:r w:rsidRPr="00C3371F">
              <w:t>438 (96.9</w:t>
            </w:r>
            <w:r w:rsidR="00DA70FC">
              <w:t>%</w:t>
            </w:r>
            <w:r w:rsidRPr="00C3371F">
              <w:t>)</w:t>
            </w:r>
          </w:p>
        </w:tc>
        <w:tc>
          <w:tcPr>
            <w:tcW w:w="795" w:type="pct"/>
          </w:tcPr>
          <w:p w:rsidR="00224029" w:rsidRPr="00C3371F" w:rsidRDefault="00224029" w:rsidP="00D54E15">
            <w:pPr>
              <w:pStyle w:val="Tabletext"/>
              <w:jc w:val="center"/>
            </w:pPr>
            <w:r w:rsidRPr="00C3371F">
              <w:t>446 (98.5</w:t>
            </w:r>
            <w:r w:rsidR="00DA70FC">
              <w:t>%</w:t>
            </w:r>
            <w:r w:rsidRPr="00C3371F">
              <w:t>)</w:t>
            </w:r>
          </w:p>
        </w:tc>
        <w:tc>
          <w:tcPr>
            <w:tcW w:w="795" w:type="pct"/>
          </w:tcPr>
          <w:p w:rsidR="00224029" w:rsidRPr="00C3371F" w:rsidRDefault="00224029" w:rsidP="00D54E15">
            <w:pPr>
              <w:pStyle w:val="Tabletext"/>
              <w:jc w:val="center"/>
            </w:pPr>
            <w:r w:rsidRPr="00C3371F">
              <w:t>465 (98.7</w:t>
            </w:r>
            <w:r w:rsidR="00DA70FC">
              <w:t>%</w:t>
            </w:r>
            <w:r w:rsidRPr="00C3371F">
              <w:t>)</w:t>
            </w:r>
          </w:p>
        </w:tc>
        <w:tc>
          <w:tcPr>
            <w:tcW w:w="796" w:type="pct"/>
          </w:tcPr>
          <w:p w:rsidR="00224029" w:rsidRPr="00C3371F" w:rsidRDefault="00224029" w:rsidP="00D54E15">
            <w:pPr>
              <w:pStyle w:val="Tabletext"/>
              <w:jc w:val="center"/>
            </w:pPr>
            <w:r w:rsidRPr="00C3371F">
              <w:t>432 (91.1</w:t>
            </w:r>
            <w:r w:rsidR="00DA70FC">
              <w:t>%</w:t>
            </w:r>
            <w:r w:rsidRPr="00C3371F">
              <w:t>)</w:t>
            </w:r>
          </w:p>
        </w:tc>
      </w:tr>
      <w:tr w:rsidR="00224029" w:rsidRPr="00C3371F" w:rsidTr="00D54E15">
        <w:tc>
          <w:tcPr>
            <w:tcW w:w="1819" w:type="pct"/>
          </w:tcPr>
          <w:p w:rsidR="00224029" w:rsidRPr="00C3371F" w:rsidRDefault="00224029" w:rsidP="00D54E15">
            <w:pPr>
              <w:pStyle w:val="Tabletext"/>
            </w:pPr>
            <w:r w:rsidRPr="00C3371F">
              <w:t>Grade 3-4 AE</w:t>
            </w:r>
          </w:p>
        </w:tc>
        <w:tc>
          <w:tcPr>
            <w:tcW w:w="795" w:type="pct"/>
          </w:tcPr>
          <w:p w:rsidR="00224029" w:rsidRPr="00C3371F" w:rsidRDefault="00224029" w:rsidP="00D54E15">
            <w:pPr>
              <w:pStyle w:val="Tabletext"/>
              <w:jc w:val="center"/>
            </w:pPr>
            <w:r w:rsidRPr="00C3371F">
              <w:t>115 (25.4</w:t>
            </w:r>
            <w:r w:rsidR="00DA70FC">
              <w:t>%</w:t>
            </w:r>
            <w:r w:rsidRPr="00C3371F">
              <w:t>)</w:t>
            </w:r>
          </w:p>
        </w:tc>
        <w:tc>
          <w:tcPr>
            <w:tcW w:w="795" w:type="pct"/>
          </w:tcPr>
          <w:p w:rsidR="00224029" w:rsidRPr="00C3371F" w:rsidRDefault="00224029" w:rsidP="00D54E15">
            <w:pPr>
              <w:pStyle w:val="Tabletext"/>
              <w:jc w:val="center"/>
            </w:pPr>
            <w:r w:rsidRPr="00C3371F">
              <w:t>250 (55.2</w:t>
            </w:r>
            <w:r w:rsidR="00DA70FC">
              <w:t>%</w:t>
            </w:r>
            <w:r w:rsidRPr="00C3371F">
              <w:t>)</w:t>
            </w:r>
          </w:p>
        </w:tc>
        <w:tc>
          <w:tcPr>
            <w:tcW w:w="795" w:type="pct"/>
          </w:tcPr>
          <w:p w:rsidR="00224029" w:rsidRPr="00C3371F" w:rsidRDefault="00224029" w:rsidP="00D54E15">
            <w:pPr>
              <w:pStyle w:val="Tabletext"/>
              <w:jc w:val="center"/>
            </w:pPr>
            <w:r w:rsidRPr="00C3371F">
              <w:t>254 (53.9</w:t>
            </w:r>
            <w:r w:rsidR="00DA70FC">
              <w:t>%</w:t>
            </w:r>
            <w:r w:rsidRPr="00C3371F">
              <w:t>)</w:t>
            </w:r>
          </w:p>
        </w:tc>
        <w:tc>
          <w:tcPr>
            <w:tcW w:w="796" w:type="pct"/>
          </w:tcPr>
          <w:p w:rsidR="00224029" w:rsidRPr="00C3371F" w:rsidRDefault="00224029" w:rsidP="00D54E15">
            <w:pPr>
              <w:pStyle w:val="Tabletext"/>
              <w:jc w:val="center"/>
            </w:pPr>
            <w:r w:rsidRPr="00C3371F">
              <w:t>118 (24.9</w:t>
            </w:r>
            <w:r w:rsidR="00DA70FC">
              <w:t>%</w:t>
            </w:r>
            <w:r w:rsidRPr="00C3371F">
              <w:t>)</w:t>
            </w:r>
          </w:p>
        </w:tc>
      </w:tr>
      <w:tr w:rsidR="00224029" w:rsidRPr="00C3371F" w:rsidTr="00D54E15">
        <w:tc>
          <w:tcPr>
            <w:tcW w:w="1819" w:type="pct"/>
          </w:tcPr>
          <w:p w:rsidR="00224029" w:rsidRPr="00C3371F" w:rsidRDefault="00224029" w:rsidP="00DA70FC">
            <w:pPr>
              <w:pStyle w:val="Tabletext"/>
            </w:pPr>
            <w:r w:rsidRPr="00C3371F">
              <w:t xml:space="preserve">Serious AE – any grade </w:t>
            </w:r>
          </w:p>
        </w:tc>
        <w:tc>
          <w:tcPr>
            <w:tcW w:w="795" w:type="pct"/>
          </w:tcPr>
          <w:p w:rsidR="00224029" w:rsidRPr="00C3371F" w:rsidRDefault="00224029" w:rsidP="00D54E15">
            <w:pPr>
              <w:pStyle w:val="Tabletext"/>
              <w:jc w:val="center"/>
            </w:pPr>
            <w:r w:rsidRPr="00C3371F">
              <w:t>79 (17.5</w:t>
            </w:r>
            <w:r w:rsidR="00DA70FC">
              <w:t>%</w:t>
            </w:r>
            <w:r w:rsidRPr="00C3371F">
              <w:t>)</w:t>
            </w:r>
          </w:p>
        </w:tc>
        <w:tc>
          <w:tcPr>
            <w:tcW w:w="795" w:type="pct"/>
          </w:tcPr>
          <w:p w:rsidR="00224029" w:rsidRPr="00C3371F" w:rsidRDefault="00224029" w:rsidP="00D54E15">
            <w:pPr>
              <w:pStyle w:val="Tabletext"/>
              <w:jc w:val="center"/>
            </w:pPr>
            <w:r w:rsidRPr="00C3371F">
              <w:t>183 (40.4</w:t>
            </w:r>
            <w:r w:rsidR="00DA70FC">
              <w:t>%</w:t>
            </w:r>
            <w:r w:rsidRPr="00C3371F">
              <w:t>)</w:t>
            </w:r>
          </w:p>
        </w:tc>
        <w:tc>
          <w:tcPr>
            <w:tcW w:w="795" w:type="pct"/>
          </w:tcPr>
          <w:p w:rsidR="00224029" w:rsidRPr="00C3371F" w:rsidRDefault="00224029" w:rsidP="00D54E15">
            <w:pPr>
              <w:pStyle w:val="Tabletext"/>
              <w:jc w:val="center"/>
            </w:pPr>
            <w:r w:rsidRPr="00C3371F">
              <w:t>254 (53.9</w:t>
            </w:r>
            <w:r w:rsidR="00DA70FC">
              <w:t>%</w:t>
            </w:r>
            <w:r w:rsidRPr="00C3371F">
              <w:t>)</w:t>
            </w:r>
          </w:p>
        </w:tc>
        <w:tc>
          <w:tcPr>
            <w:tcW w:w="796" w:type="pct"/>
          </w:tcPr>
          <w:p w:rsidR="00224029" w:rsidRPr="00C3371F" w:rsidRDefault="00224029" w:rsidP="00D54E15">
            <w:pPr>
              <w:pStyle w:val="Tabletext"/>
              <w:jc w:val="center"/>
            </w:pPr>
            <w:r w:rsidRPr="00C3371F">
              <w:t>119 (25.1</w:t>
            </w:r>
            <w:r w:rsidR="00DA70FC">
              <w:t>%</w:t>
            </w:r>
            <w:r w:rsidRPr="00C3371F">
              <w:t>)</w:t>
            </w:r>
          </w:p>
        </w:tc>
      </w:tr>
      <w:tr w:rsidR="00224029" w:rsidRPr="00C3371F" w:rsidTr="00D54E15">
        <w:tc>
          <w:tcPr>
            <w:tcW w:w="1819" w:type="pct"/>
          </w:tcPr>
          <w:p w:rsidR="00224029" w:rsidRPr="00C3371F" w:rsidRDefault="00224029" w:rsidP="00DA70FC">
            <w:pPr>
              <w:pStyle w:val="Tabletext"/>
            </w:pPr>
            <w:r w:rsidRPr="00C3371F">
              <w:t xml:space="preserve">Grade 3-4 Serious AE </w:t>
            </w:r>
          </w:p>
        </w:tc>
        <w:tc>
          <w:tcPr>
            <w:tcW w:w="795" w:type="pct"/>
          </w:tcPr>
          <w:p w:rsidR="00224029" w:rsidRPr="00C3371F" w:rsidRDefault="00224029" w:rsidP="00D54E15">
            <w:pPr>
              <w:pStyle w:val="Tabletext"/>
              <w:jc w:val="center"/>
            </w:pPr>
            <w:r w:rsidRPr="00C3371F">
              <w:t>48 (10.6</w:t>
            </w:r>
            <w:r w:rsidR="00DA70FC">
              <w:t>%</w:t>
            </w:r>
            <w:r w:rsidRPr="00C3371F">
              <w:t>)</w:t>
            </w:r>
          </w:p>
        </w:tc>
        <w:tc>
          <w:tcPr>
            <w:tcW w:w="795" w:type="pct"/>
          </w:tcPr>
          <w:p w:rsidR="00224029" w:rsidRPr="00C3371F" w:rsidRDefault="00224029" w:rsidP="00D54E15">
            <w:pPr>
              <w:pStyle w:val="Tabletext"/>
              <w:jc w:val="center"/>
            </w:pPr>
            <w:r w:rsidRPr="00C3371F">
              <w:t>144 (31.8</w:t>
            </w:r>
            <w:r w:rsidR="00DA70FC">
              <w:t>%</w:t>
            </w:r>
            <w:r w:rsidRPr="00C3371F">
              <w:t>)</w:t>
            </w:r>
          </w:p>
        </w:tc>
        <w:tc>
          <w:tcPr>
            <w:tcW w:w="795" w:type="pct"/>
          </w:tcPr>
          <w:p w:rsidR="00224029" w:rsidRPr="00C3371F" w:rsidRDefault="00224029" w:rsidP="00D54E15">
            <w:pPr>
              <w:pStyle w:val="Tabletext"/>
              <w:jc w:val="center"/>
            </w:pPr>
            <w:r w:rsidRPr="00C3371F">
              <w:t>176 (37.4</w:t>
            </w:r>
            <w:r w:rsidR="00DA70FC">
              <w:t>%</w:t>
            </w:r>
            <w:r w:rsidRPr="00C3371F">
              <w:t>)</w:t>
            </w:r>
          </w:p>
        </w:tc>
        <w:tc>
          <w:tcPr>
            <w:tcW w:w="796" w:type="pct"/>
          </w:tcPr>
          <w:p w:rsidR="00224029" w:rsidRPr="00C3371F" w:rsidRDefault="00224029" w:rsidP="00D54E15">
            <w:pPr>
              <w:pStyle w:val="Tabletext"/>
              <w:jc w:val="center"/>
            </w:pPr>
            <w:r w:rsidRPr="00C3371F">
              <w:t>65 (13.7</w:t>
            </w:r>
            <w:r w:rsidR="00DA70FC">
              <w:t>%</w:t>
            </w:r>
            <w:r w:rsidRPr="00C3371F">
              <w:t>)</w:t>
            </w:r>
          </w:p>
        </w:tc>
      </w:tr>
      <w:tr w:rsidR="00224029" w:rsidRPr="00C3371F" w:rsidTr="00D54E15">
        <w:tc>
          <w:tcPr>
            <w:tcW w:w="1819" w:type="pct"/>
            <w:tcBorders>
              <w:bottom w:val="single" w:sz="4" w:space="0" w:color="auto"/>
            </w:tcBorders>
          </w:tcPr>
          <w:p w:rsidR="00224029" w:rsidRPr="00C3371F" w:rsidRDefault="00224029" w:rsidP="00D54E15">
            <w:pPr>
              <w:pStyle w:val="Tabletext"/>
            </w:pPr>
            <w:r w:rsidRPr="00C3371F">
              <w:t>Discontinuation of study drug due to AE</w:t>
            </w:r>
          </w:p>
        </w:tc>
        <w:tc>
          <w:tcPr>
            <w:tcW w:w="795" w:type="pct"/>
            <w:tcBorders>
              <w:bottom w:val="single" w:sz="4" w:space="0" w:color="auto"/>
            </w:tcBorders>
          </w:tcPr>
          <w:p w:rsidR="00224029" w:rsidRPr="00C3371F" w:rsidRDefault="00224029" w:rsidP="00D54E15">
            <w:pPr>
              <w:pStyle w:val="Tabletext"/>
              <w:jc w:val="center"/>
            </w:pPr>
            <w:r w:rsidRPr="00C3371F">
              <w:t>44 (9.7</w:t>
            </w:r>
            <w:r w:rsidR="00DA70FC">
              <w:t>%</w:t>
            </w:r>
            <w:r w:rsidRPr="00C3371F">
              <w:t>)</w:t>
            </w:r>
          </w:p>
        </w:tc>
        <w:tc>
          <w:tcPr>
            <w:tcW w:w="795" w:type="pct"/>
            <w:tcBorders>
              <w:bottom w:val="single" w:sz="4" w:space="0" w:color="auto"/>
            </w:tcBorders>
          </w:tcPr>
          <w:p w:rsidR="00224029" w:rsidRPr="00C3371F" w:rsidRDefault="00224029" w:rsidP="00D54E15">
            <w:pPr>
              <w:pStyle w:val="Tabletext"/>
              <w:jc w:val="center"/>
            </w:pPr>
            <w:r w:rsidRPr="00C3371F">
              <w:t>193 (42.6</w:t>
            </w:r>
            <w:r w:rsidR="00DA70FC">
              <w:t>%</w:t>
            </w:r>
            <w:r w:rsidRPr="00C3371F">
              <w:t>)</w:t>
            </w:r>
          </w:p>
        </w:tc>
        <w:tc>
          <w:tcPr>
            <w:tcW w:w="795" w:type="pct"/>
          </w:tcPr>
          <w:p w:rsidR="00224029" w:rsidRPr="00C3371F" w:rsidRDefault="00224029" w:rsidP="00D54E15">
            <w:pPr>
              <w:pStyle w:val="Tabletext"/>
              <w:jc w:val="center"/>
            </w:pPr>
            <w:r w:rsidRPr="00C3371F">
              <w:t>245 (52.0</w:t>
            </w:r>
            <w:r w:rsidR="00DA70FC">
              <w:t>%</w:t>
            </w:r>
            <w:r w:rsidRPr="00C3371F">
              <w:t>)</w:t>
            </w:r>
          </w:p>
        </w:tc>
        <w:tc>
          <w:tcPr>
            <w:tcW w:w="796" w:type="pct"/>
          </w:tcPr>
          <w:p w:rsidR="00224029" w:rsidRPr="00C3371F" w:rsidRDefault="00224029" w:rsidP="00D54E15">
            <w:pPr>
              <w:pStyle w:val="Tabletext"/>
              <w:jc w:val="center"/>
            </w:pPr>
            <w:r w:rsidRPr="00C3371F">
              <w:t>42 (8.9</w:t>
            </w:r>
            <w:r w:rsidR="00DA70FC">
              <w:t>%</w:t>
            </w:r>
            <w:r w:rsidRPr="00C3371F">
              <w:t>)</w:t>
            </w:r>
          </w:p>
        </w:tc>
      </w:tr>
      <w:tr w:rsidR="00224029" w:rsidRPr="00C3371F" w:rsidTr="00D54E15">
        <w:tc>
          <w:tcPr>
            <w:tcW w:w="1819" w:type="pct"/>
            <w:tcBorders>
              <w:top w:val="nil"/>
              <w:bottom w:val="nil"/>
            </w:tcBorders>
          </w:tcPr>
          <w:p w:rsidR="00224029" w:rsidRPr="00C3371F" w:rsidRDefault="00224029" w:rsidP="00D54E15">
            <w:pPr>
              <w:pStyle w:val="Tabletext"/>
            </w:pPr>
            <w:r w:rsidRPr="00C3371F">
              <w:t>Any death</w:t>
            </w:r>
          </w:p>
        </w:tc>
        <w:tc>
          <w:tcPr>
            <w:tcW w:w="795" w:type="pct"/>
            <w:tcBorders>
              <w:top w:val="nil"/>
              <w:bottom w:val="nil"/>
            </w:tcBorders>
          </w:tcPr>
          <w:p w:rsidR="00224029" w:rsidRPr="00C3371F" w:rsidRDefault="00224029" w:rsidP="00D54E15">
            <w:pPr>
              <w:pStyle w:val="Tabletext"/>
              <w:jc w:val="center"/>
            </w:pPr>
            <w:r w:rsidRPr="00C3371F">
              <w:t>44 (9.7</w:t>
            </w:r>
            <w:r w:rsidR="00DA70FC">
              <w:t>%</w:t>
            </w:r>
            <w:r w:rsidRPr="00C3371F">
              <w:t>)</w:t>
            </w:r>
          </w:p>
        </w:tc>
        <w:tc>
          <w:tcPr>
            <w:tcW w:w="795" w:type="pct"/>
            <w:tcBorders>
              <w:top w:val="nil"/>
              <w:bottom w:val="nil"/>
            </w:tcBorders>
          </w:tcPr>
          <w:p w:rsidR="00224029" w:rsidRPr="00C3371F" w:rsidRDefault="00224029" w:rsidP="00D54E15">
            <w:pPr>
              <w:pStyle w:val="Tabletext"/>
              <w:jc w:val="center"/>
            </w:pPr>
            <w:r w:rsidRPr="00C3371F">
              <w:t>45 (9.9</w:t>
            </w:r>
            <w:r w:rsidR="00DA70FC">
              <w:t>%</w:t>
            </w:r>
            <w:r w:rsidRPr="00C3371F">
              <w:t>)</w:t>
            </w:r>
          </w:p>
        </w:tc>
        <w:tc>
          <w:tcPr>
            <w:tcW w:w="795" w:type="pct"/>
            <w:tcBorders>
              <w:top w:val="nil"/>
              <w:bottom w:val="nil"/>
            </w:tcBorders>
          </w:tcPr>
          <w:p w:rsidR="00224029" w:rsidRPr="00C3371F" w:rsidRDefault="00224029" w:rsidP="00D54E15">
            <w:pPr>
              <w:pStyle w:val="Tabletext"/>
              <w:jc w:val="center"/>
            </w:pPr>
            <w:r w:rsidRPr="00C3371F">
              <w:t>122 (25.9</w:t>
            </w:r>
            <w:r w:rsidR="00DA70FC">
              <w:t>%</w:t>
            </w:r>
            <w:r w:rsidRPr="00C3371F">
              <w:t>)</w:t>
            </w:r>
          </w:p>
        </w:tc>
        <w:tc>
          <w:tcPr>
            <w:tcW w:w="796" w:type="pct"/>
            <w:tcBorders>
              <w:top w:val="nil"/>
              <w:bottom w:val="nil"/>
            </w:tcBorders>
          </w:tcPr>
          <w:p w:rsidR="00224029" w:rsidRPr="00C3371F" w:rsidRDefault="00224029" w:rsidP="00D54E15">
            <w:pPr>
              <w:pStyle w:val="Tabletext"/>
              <w:jc w:val="center"/>
            </w:pPr>
            <w:r w:rsidRPr="00C3371F">
              <w:t>160 (33.8</w:t>
            </w:r>
            <w:r w:rsidR="00DA70FC">
              <w:t>%</w:t>
            </w:r>
            <w:r w:rsidRPr="00C3371F">
              <w:t>)</w:t>
            </w:r>
          </w:p>
        </w:tc>
      </w:tr>
      <w:tr w:rsidR="00224029" w:rsidRPr="00C3371F" w:rsidTr="00D54E15">
        <w:tc>
          <w:tcPr>
            <w:tcW w:w="1819" w:type="pct"/>
            <w:tcBorders>
              <w:top w:val="nil"/>
              <w:bottom w:val="nil"/>
            </w:tcBorders>
          </w:tcPr>
          <w:p w:rsidR="00224029" w:rsidRPr="00C3371F" w:rsidRDefault="00224029" w:rsidP="00D54E15">
            <w:pPr>
              <w:pStyle w:val="Tabletext"/>
            </w:pPr>
            <w:r w:rsidRPr="00C3371F">
              <w:t>Death within 30 days last dose</w:t>
            </w:r>
          </w:p>
        </w:tc>
        <w:tc>
          <w:tcPr>
            <w:tcW w:w="795" w:type="pct"/>
            <w:tcBorders>
              <w:top w:val="nil"/>
              <w:bottom w:val="nil"/>
            </w:tcBorders>
          </w:tcPr>
          <w:p w:rsidR="00224029" w:rsidRPr="00C3371F" w:rsidRDefault="00224029" w:rsidP="00D54E15">
            <w:pPr>
              <w:pStyle w:val="Tabletext"/>
              <w:jc w:val="center"/>
            </w:pPr>
            <w:r w:rsidRPr="00C3371F">
              <w:t>0</w:t>
            </w:r>
          </w:p>
        </w:tc>
        <w:tc>
          <w:tcPr>
            <w:tcW w:w="795" w:type="pct"/>
            <w:tcBorders>
              <w:top w:val="nil"/>
              <w:bottom w:val="nil"/>
            </w:tcBorders>
          </w:tcPr>
          <w:p w:rsidR="00224029" w:rsidRPr="00C3371F" w:rsidRDefault="00224029" w:rsidP="00D54E15">
            <w:pPr>
              <w:pStyle w:val="Tabletext"/>
              <w:jc w:val="center"/>
            </w:pPr>
            <w:r w:rsidRPr="00C3371F">
              <w:t>0</w:t>
            </w:r>
          </w:p>
        </w:tc>
        <w:tc>
          <w:tcPr>
            <w:tcW w:w="795" w:type="pct"/>
            <w:tcBorders>
              <w:top w:val="nil"/>
              <w:bottom w:val="nil"/>
            </w:tcBorders>
          </w:tcPr>
          <w:p w:rsidR="00224029" w:rsidRPr="00C3371F" w:rsidRDefault="00224029" w:rsidP="00D54E15">
            <w:pPr>
              <w:pStyle w:val="Tabletext"/>
              <w:jc w:val="center"/>
            </w:pPr>
            <w:r w:rsidRPr="00C3371F">
              <w:t>1 (0.2</w:t>
            </w:r>
            <w:r w:rsidR="00DA70FC">
              <w:t>%</w:t>
            </w:r>
            <w:r w:rsidRPr="00C3371F">
              <w:t>)</w:t>
            </w:r>
          </w:p>
        </w:tc>
        <w:tc>
          <w:tcPr>
            <w:tcW w:w="796" w:type="pct"/>
            <w:tcBorders>
              <w:top w:val="nil"/>
              <w:bottom w:val="nil"/>
            </w:tcBorders>
          </w:tcPr>
          <w:p w:rsidR="00224029" w:rsidRPr="00C3371F" w:rsidRDefault="00224029" w:rsidP="00D54E15">
            <w:pPr>
              <w:pStyle w:val="Tabletext"/>
              <w:jc w:val="center"/>
            </w:pPr>
            <w:r w:rsidRPr="00C3371F">
              <w:t>0</w:t>
            </w:r>
          </w:p>
        </w:tc>
      </w:tr>
      <w:tr w:rsidR="00224029" w:rsidRPr="00C3371F" w:rsidTr="00D54E15">
        <w:tc>
          <w:tcPr>
            <w:tcW w:w="5000" w:type="pct"/>
            <w:gridSpan w:val="5"/>
            <w:tcBorders>
              <w:bottom w:val="single" w:sz="4" w:space="0" w:color="auto"/>
            </w:tcBorders>
          </w:tcPr>
          <w:p w:rsidR="00224029" w:rsidRPr="00C3371F" w:rsidRDefault="00224029" w:rsidP="00D54E15">
            <w:pPr>
              <w:pStyle w:val="Tabletext"/>
              <w:rPr>
                <w:b/>
              </w:rPr>
            </w:pPr>
            <w:r w:rsidRPr="00C3371F">
              <w:rPr>
                <w:b/>
              </w:rPr>
              <w:t>Drug-related AEs</w:t>
            </w:r>
            <w:r w:rsidR="00DA70FC">
              <w:rPr>
                <w:b/>
              </w:rPr>
              <w:t>, n (%)</w:t>
            </w:r>
          </w:p>
        </w:tc>
      </w:tr>
      <w:tr w:rsidR="00224029" w:rsidRPr="00C3371F" w:rsidTr="00D54E15">
        <w:tc>
          <w:tcPr>
            <w:tcW w:w="1819" w:type="pct"/>
          </w:tcPr>
          <w:p w:rsidR="00224029" w:rsidRPr="00C3371F" w:rsidRDefault="00224029" w:rsidP="00DA70FC">
            <w:pPr>
              <w:pStyle w:val="Tabletext"/>
            </w:pPr>
            <w:r w:rsidRPr="00C3371F">
              <w:t>AE</w:t>
            </w:r>
            <w:r w:rsidR="00DA70FC">
              <w:t xml:space="preserve"> </w:t>
            </w:r>
            <w:r w:rsidR="00DA70FC" w:rsidRPr="00C3371F">
              <w:t>–</w:t>
            </w:r>
            <w:r w:rsidRPr="00C3371F">
              <w:t xml:space="preserve"> any grade </w:t>
            </w:r>
          </w:p>
        </w:tc>
        <w:tc>
          <w:tcPr>
            <w:tcW w:w="795" w:type="pct"/>
          </w:tcPr>
          <w:p w:rsidR="00224029" w:rsidRPr="00C3371F" w:rsidRDefault="00224029" w:rsidP="00D54E15">
            <w:pPr>
              <w:pStyle w:val="Tabletext"/>
              <w:jc w:val="center"/>
            </w:pPr>
            <w:r w:rsidRPr="00C3371F">
              <w:t>385 (85.2</w:t>
            </w:r>
            <w:r w:rsidR="00DA70FC">
              <w:t>%</w:t>
            </w:r>
            <w:r w:rsidRPr="00C3371F">
              <w:t>)</w:t>
            </w:r>
          </w:p>
        </w:tc>
        <w:tc>
          <w:tcPr>
            <w:tcW w:w="795" w:type="pct"/>
          </w:tcPr>
          <w:p w:rsidR="00224029" w:rsidRPr="00C3371F" w:rsidRDefault="00224029" w:rsidP="00D54E15">
            <w:pPr>
              <w:pStyle w:val="Tabletext"/>
              <w:jc w:val="center"/>
            </w:pPr>
            <w:r w:rsidRPr="00C3371F">
              <w:t>434 (95.8</w:t>
            </w:r>
            <w:r w:rsidR="00DA70FC">
              <w:t>%</w:t>
            </w:r>
            <w:r w:rsidRPr="00C3371F">
              <w:t>)</w:t>
            </w:r>
          </w:p>
        </w:tc>
        <w:tc>
          <w:tcPr>
            <w:tcW w:w="795" w:type="pct"/>
          </w:tcPr>
          <w:p w:rsidR="00224029" w:rsidRPr="00C3371F" w:rsidRDefault="00224029" w:rsidP="00D54E15">
            <w:pPr>
              <w:pStyle w:val="Tabletext"/>
              <w:jc w:val="center"/>
            </w:pPr>
            <w:r w:rsidRPr="00C3371F">
              <w:t>443 (94.1</w:t>
            </w:r>
            <w:r w:rsidR="00DA70FC">
              <w:t>%</w:t>
            </w:r>
            <w:r w:rsidRPr="00C3371F">
              <w:t>)</w:t>
            </w:r>
          </w:p>
        </w:tc>
        <w:tc>
          <w:tcPr>
            <w:tcW w:w="796" w:type="pct"/>
          </w:tcPr>
          <w:p w:rsidR="00224029" w:rsidRPr="00C3371F" w:rsidRDefault="00224029" w:rsidP="00D54E15">
            <w:pPr>
              <w:pStyle w:val="Tabletext"/>
              <w:jc w:val="center"/>
            </w:pPr>
            <w:r w:rsidRPr="00C3371F">
              <w:t>282 (59.5</w:t>
            </w:r>
            <w:r w:rsidR="00DA70FC">
              <w:t>%</w:t>
            </w:r>
            <w:r w:rsidRPr="00C3371F">
              <w:t>)</w:t>
            </w:r>
          </w:p>
        </w:tc>
      </w:tr>
      <w:tr w:rsidR="00224029" w:rsidRPr="00C3371F" w:rsidTr="00D54E15">
        <w:tc>
          <w:tcPr>
            <w:tcW w:w="1819" w:type="pct"/>
          </w:tcPr>
          <w:p w:rsidR="00224029" w:rsidRPr="00C3371F" w:rsidRDefault="00224029" w:rsidP="00DA70FC">
            <w:pPr>
              <w:pStyle w:val="Tabletext"/>
            </w:pPr>
            <w:r w:rsidRPr="00C3371F">
              <w:t xml:space="preserve">Grade 3-4 AE </w:t>
            </w:r>
          </w:p>
        </w:tc>
        <w:tc>
          <w:tcPr>
            <w:tcW w:w="795" w:type="pct"/>
          </w:tcPr>
          <w:p w:rsidR="00224029" w:rsidRPr="00C3371F" w:rsidRDefault="00224029" w:rsidP="00D54E15">
            <w:pPr>
              <w:pStyle w:val="Tabletext"/>
              <w:jc w:val="center"/>
            </w:pPr>
            <w:r w:rsidRPr="00C3371F">
              <w:t>65 (14.4</w:t>
            </w:r>
            <w:r w:rsidR="00DA70FC">
              <w:t>%</w:t>
            </w:r>
            <w:r w:rsidRPr="00C3371F">
              <w:t>)</w:t>
            </w:r>
          </w:p>
        </w:tc>
        <w:tc>
          <w:tcPr>
            <w:tcW w:w="795" w:type="pct"/>
          </w:tcPr>
          <w:p w:rsidR="00224029" w:rsidRPr="00C3371F" w:rsidRDefault="00224029" w:rsidP="00D54E15">
            <w:pPr>
              <w:pStyle w:val="Tabletext"/>
              <w:jc w:val="center"/>
            </w:pPr>
            <w:r w:rsidRPr="00C3371F">
              <w:t>208 (45.9</w:t>
            </w:r>
            <w:r w:rsidR="00DA70FC">
              <w:t>%</w:t>
            </w:r>
            <w:r w:rsidRPr="00C3371F">
              <w:t>)</w:t>
            </w:r>
          </w:p>
        </w:tc>
        <w:tc>
          <w:tcPr>
            <w:tcW w:w="795" w:type="pct"/>
          </w:tcPr>
          <w:p w:rsidR="00224029" w:rsidRPr="00C3371F" w:rsidRDefault="00224029" w:rsidP="00D54E15">
            <w:pPr>
              <w:pStyle w:val="Tabletext"/>
              <w:jc w:val="center"/>
            </w:pPr>
            <w:r w:rsidRPr="00C3371F">
              <w:t>216 (45.9</w:t>
            </w:r>
            <w:r w:rsidR="00DA70FC">
              <w:t>%</w:t>
            </w:r>
            <w:r w:rsidRPr="00C3371F">
              <w:t>)</w:t>
            </w:r>
          </w:p>
        </w:tc>
        <w:tc>
          <w:tcPr>
            <w:tcW w:w="796" w:type="pct"/>
          </w:tcPr>
          <w:p w:rsidR="00224029" w:rsidRPr="00C3371F" w:rsidRDefault="00224029" w:rsidP="00D54E15">
            <w:pPr>
              <w:pStyle w:val="Tabletext"/>
              <w:jc w:val="center"/>
            </w:pPr>
            <w:r w:rsidRPr="00C3371F">
              <w:t>19 (4.0</w:t>
            </w:r>
            <w:r w:rsidR="00DA70FC">
              <w:t>%</w:t>
            </w:r>
            <w:r w:rsidRPr="00C3371F">
              <w:t>)</w:t>
            </w:r>
          </w:p>
        </w:tc>
      </w:tr>
      <w:tr w:rsidR="00224029" w:rsidRPr="00C3371F" w:rsidTr="00D54E15">
        <w:tc>
          <w:tcPr>
            <w:tcW w:w="1819" w:type="pct"/>
          </w:tcPr>
          <w:p w:rsidR="00224029" w:rsidRPr="00C3371F" w:rsidRDefault="00224029" w:rsidP="00DA70FC">
            <w:pPr>
              <w:pStyle w:val="Tabletext"/>
            </w:pPr>
            <w:r w:rsidRPr="00C3371F">
              <w:t xml:space="preserve">Serious AE- any grade </w:t>
            </w:r>
          </w:p>
        </w:tc>
        <w:tc>
          <w:tcPr>
            <w:tcW w:w="795" w:type="pct"/>
          </w:tcPr>
          <w:p w:rsidR="00224029" w:rsidRPr="00C3371F" w:rsidRDefault="00224029" w:rsidP="00D54E15">
            <w:pPr>
              <w:pStyle w:val="Tabletext"/>
              <w:jc w:val="center"/>
            </w:pPr>
            <w:r w:rsidRPr="00C3371F">
              <w:t>24 (5.3</w:t>
            </w:r>
            <w:r w:rsidR="00DA70FC">
              <w:t>%</w:t>
            </w:r>
            <w:r w:rsidRPr="00C3371F">
              <w:t>)</w:t>
            </w:r>
          </w:p>
        </w:tc>
        <w:tc>
          <w:tcPr>
            <w:tcW w:w="795" w:type="pct"/>
          </w:tcPr>
          <w:p w:rsidR="00224029" w:rsidRPr="00C3371F" w:rsidRDefault="00224029" w:rsidP="00D54E15">
            <w:pPr>
              <w:pStyle w:val="Tabletext"/>
              <w:jc w:val="center"/>
            </w:pPr>
            <w:r w:rsidRPr="00C3371F">
              <w:t>141 (31.1</w:t>
            </w:r>
            <w:r w:rsidR="00DA70FC">
              <w:t>%</w:t>
            </w:r>
            <w:r w:rsidRPr="00C3371F">
              <w:t>)</w:t>
            </w:r>
          </w:p>
        </w:tc>
        <w:tc>
          <w:tcPr>
            <w:tcW w:w="795" w:type="pct"/>
          </w:tcPr>
          <w:p w:rsidR="00224029" w:rsidRPr="00C3371F" w:rsidRDefault="00224029" w:rsidP="00D54E15">
            <w:pPr>
              <w:pStyle w:val="Tabletext"/>
              <w:jc w:val="center"/>
            </w:pPr>
            <w:r w:rsidRPr="00C3371F">
              <w:t>216 (45.9</w:t>
            </w:r>
            <w:r w:rsidR="00DA70FC">
              <w:t>%</w:t>
            </w:r>
            <w:r w:rsidRPr="00C3371F">
              <w:t>)</w:t>
            </w:r>
          </w:p>
        </w:tc>
        <w:tc>
          <w:tcPr>
            <w:tcW w:w="796" w:type="pct"/>
          </w:tcPr>
          <w:p w:rsidR="00224029" w:rsidRPr="00C3371F" w:rsidRDefault="00224029" w:rsidP="00D54E15">
            <w:pPr>
              <w:pStyle w:val="Tabletext"/>
              <w:jc w:val="center"/>
            </w:pPr>
            <w:r w:rsidRPr="00C3371F">
              <w:t>10 (2.1</w:t>
            </w:r>
            <w:r w:rsidR="00DA70FC">
              <w:t>%</w:t>
            </w:r>
            <w:r w:rsidRPr="00C3371F">
              <w:t>)</w:t>
            </w:r>
          </w:p>
        </w:tc>
      </w:tr>
      <w:tr w:rsidR="00224029" w:rsidRPr="00C3371F" w:rsidTr="00D54E15">
        <w:tc>
          <w:tcPr>
            <w:tcW w:w="1819" w:type="pct"/>
          </w:tcPr>
          <w:p w:rsidR="00224029" w:rsidRPr="00C3371F" w:rsidRDefault="00224029" w:rsidP="00DA70FC">
            <w:pPr>
              <w:pStyle w:val="Tabletext"/>
            </w:pPr>
            <w:r w:rsidRPr="00C3371F">
              <w:t xml:space="preserve">Grade 3-4 Serious AE </w:t>
            </w:r>
          </w:p>
        </w:tc>
        <w:tc>
          <w:tcPr>
            <w:tcW w:w="795" w:type="pct"/>
          </w:tcPr>
          <w:p w:rsidR="00224029" w:rsidRPr="00C3371F" w:rsidRDefault="00224029" w:rsidP="00D54E15">
            <w:pPr>
              <w:pStyle w:val="Tabletext"/>
              <w:jc w:val="center"/>
            </w:pPr>
            <w:r w:rsidRPr="00C3371F">
              <w:t>15 (3.3</w:t>
            </w:r>
            <w:r w:rsidR="00DA70FC">
              <w:t>%</w:t>
            </w:r>
            <w:r w:rsidRPr="00C3371F">
              <w:t>)</w:t>
            </w:r>
          </w:p>
        </w:tc>
        <w:tc>
          <w:tcPr>
            <w:tcW w:w="795" w:type="pct"/>
          </w:tcPr>
          <w:p w:rsidR="00224029" w:rsidRPr="00C3371F" w:rsidRDefault="00224029" w:rsidP="00D54E15">
            <w:pPr>
              <w:pStyle w:val="Tabletext"/>
              <w:jc w:val="center"/>
            </w:pPr>
            <w:r w:rsidRPr="00C3371F">
              <w:t>111 (24.5</w:t>
            </w:r>
            <w:r w:rsidR="00DA70FC">
              <w:t>%</w:t>
            </w:r>
            <w:r w:rsidRPr="00C3371F">
              <w:t>)</w:t>
            </w:r>
          </w:p>
        </w:tc>
        <w:tc>
          <w:tcPr>
            <w:tcW w:w="795" w:type="pct"/>
          </w:tcPr>
          <w:p w:rsidR="00224029" w:rsidRPr="00C3371F" w:rsidRDefault="00224029" w:rsidP="00D54E15">
            <w:pPr>
              <w:pStyle w:val="Tabletext"/>
              <w:jc w:val="center"/>
            </w:pPr>
            <w:r w:rsidRPr="00C3371F">
              <w:t>147 (31.2</w:t>
            </w:r>
            <w:r w:rsidR="00DA70FC">
              <w:t>%</w:t>
            </w:r>
            <w:r w:rsidRPr="00C3371F">
              <w:t>)</w:t>
            </w:r>
          </w:p>
        </w:tc>
        <w:tc>
          <w:tcPr>
            <w:tcW w:w="796" w:type="pct"/>
          </w:tcPr>
          <w:p w:rsidR="00224029" w:rsidRPr="00C3371F" w:rsidRDefault="00224029" w:rsidP="00D54E15">
            <w:pPr>
              <w:pStyle w:val="Tabletext"/>
              <w:jc w:val="center"/>
            </w:pPr>
            <w:r w:rsidRPr="00C3371F">
              <w:t>5 (1.1</w:t>
            </w:r>
            <w:r w:rsidR="00DA70FC">
              <w:t>%</w:t>
            </w:r>
            <w:r w:rsidRPr="00C3371F">
              <w:t>)</w:t>
            </w:r>
          </w:p>
        </w:tc>
      </w:tr>
      <w:tr w:rsidR="00224029" w:rsidRPr="00C3371F" w:rsidTr="00D54E15">
        <w:tc>
          <w:tcPr>
            <w:tcW w:w="1819" w:type="pct"/>
            <w:tcBorders>
              <w:bottom w:val="single" w:sz="4" w:space="0" w:color="auto"/>
            </w:tcBorders>
          </w:tcPr>
          <w:p w:rsidR="00224029" w:rsidRPr="00C3371F" w:rsidRDefault="00224029" w:rsidP="00D54E15">
            <w:pPr>
              <w:pStyle w:val="Tabletext"/>
            </w:pPr>
            <w:r w:rsidRPr="00C3371F">
              <w:t xml:space="preserve">Discontinuation of study drug due to AE </w:t>
            </w:r>
          </w:p>
        </w:tc>
        <w:tc>
          <w:tcPr>
            <w:tcW w:w="795" w:type="pct"/>
            <w:tcBorders>
              <w:bottom w:val="single" w:sz="4" w:space="0" w:color="auto"/>
            </w:tcBorders>
          </w:tcPr>
          <w:p w:rsidR="00224029" w:rsidRPr="00C3371F" w:rsidRDefault="00224029" w:rsidP="00D54E15">
            <w:pPr>
              <w:pStyle w:val="Tabletext"/>
              <w:jc w:val="center"/>
            </w:pPr>
            <w:r w:rsidRPr="00C3371F">
              <w:t>35 (7.7</w:t>
            </w:r>
            <w:r w:rsidR="00DA70FC">
              <w:t>%</w:t>
            </w:r>
            <w:r w:rsidRPr="00C3371F">
              <w:t>)</w:t>
            </w:r>
          </w:p>
        </w:tc>
        <w:tc>
          <w:tcPr>
            <w:tcW w:w="795" w:type="pct"/>
            <w:tcBorders>
              <w:bottom w:val="single" w:sz="4" w:space="0" w:color="auto"/>
            </w:tcBorders>
          </w:tcPr>
          <w:p w:rsidR="00224029" w:rsidRPr="00C3371F" w:rsidRDefault="00224029" w:rsidP="00D54E15">
            <w:pPr>
              <w:pStyle w:val="Tabletext"/>
              <w:jc w:val="center"/>
            </w:pPr>
            <w:r w:rsidRPr="00C3371F">
              <w:t>189 (41.7</w:t>
            </w:r>
            <w:r w:rsidR="00DA70FC">
              <w:t>%</w:t>
            </w:r>
            <w:r w:rsidRPr="00C3371F">
              <w:t>)</w:t>
            </w:r>
          </w:p>
        </w:tc>
        <w:tc>
          <w:tcPr>
            <w:tcW w:w="795" w:type="pct"/>
            <w:tcBorders>
              <w:bottom w:val="single" w:sz="4" w:space="0" w:color="auto"/>
            </w:tcBorders>
          </w:tcPr>
          <w:p w:rsidR="00224029" w:rsidRPr="00C3371F" w:rsidRDefault="00224029" w:rsidP="00D54E15">
            <w:pPr>
              <w:pStyle w:val="Tabletext"/>
              <w:jc w:val="center"/>
            </w:pPr>
            <w:r w:rsidRPr="00C3371F">
              <w:t>224 (47.6</w:t>
            </w:r>
            <w:r w:rsidR="00DA70FC">
              <w:t>%</w:t>
            </w:r>
            <w:r w:rsidRPr="00C3371F">
              <w:t>)</w:t>
            </w:r>
          </w:p>
        </w:tc>
        <w:tc>
          <w:tcPr>
            <w:tcW w:w="796" w:type="pct"/>
            <w:tcBorders>
              <w:bottom w:val="single" w:sz="4" w:space="0" w:color="auto"/>
            </w:tcBorders>
          </w:tcPr>
          <w:p w:rsidR="00224029" w:rsidRPr="00C3371F" w:rsidRDefault="00224029" w:rsidP="00D54E15">
            <w:pPr>
              <w:pStyle w:val="Tabletext"/>
              <w:jc w:val="center"/>
            </w:pPr>
            <w:r w:rsidRPr="00C3371F">
              <w:t>7 (1.5</w:t>
            </w:r>
            <w:r w:rsidR="00DA70FC">
              <w:t>%</w:t>
            </w:r>
            <w:r w:rsidRPr="00C3371F">
              <w:t>)</w:t>
            </w:r>
          </w:p>
        </w:tc>
      </w:tr>
      <w:tr w:rsidR="00224029" w:rsidRPr="00C3371F" w:rsidTr="00D54E15">
        <w:tc>
          <w:tcPr>
            <w:tcW w:w="1819" w:type="pct"/>
          </w:tcPr>
          <w:p w:rsidR="00224029" w:rsidRPr="00C3371F" w:rsidRDefault="001748F4" w:rsidP="00D54E15">
            <w:pPr>
              <w:pStyle w:val="Tabletext"/>
            </w:pPr>
            <w:r w:rsidRPr="00C3371F">
              <w:t>D</w:t>
            </w:r>
            <w:r w:rsidR="00224029" w:rsidRPr="00C3371F">
              <w:t>eath</w:t>
            </w:r>
          </w:p>
        </w:tc>
        <w:tc>
          <w:tcPr>
            <w:tcW w:w="795" w:type="pct"/>
          </w:tcPr>
          <w:p w:rsidR="00224029" w:rsidRPr="00C3371F" w:rsidRDefault="00224029" w:rsidP="00D54E15">
            <w:pPr>
              <w:pStyle w:val="Tabletext"/>
              <w:jc w:val="center"/>
            </w:pPr>
            <w:r w:rsidRPr="00C3371F">
              <w:t>0</w:t>
            </w:r>
          </w:p>
        </w:tc>
        <w:tc>
          <w:tcPr>
            <w:tcW w:w="795" w:type="pct"/>
          </w:tcPr>
          <w:p w:rsidR="00224029" w:rsidRPr="00C3371F" w:rsidRDefault="00224029" w:rsidP="00D54E15">
            <w:pPr>
              <w:pStyle w:val="Tabletext"/>
              <w:jc w:val="center"/>
            </w:pPr>
            <w:r w:rsidRPr="00C3371F">
              <w:t>0</w:t>
            </w:r>
          </w:p>
        </w:tc>
        <w:tc>
          <w:tcPr>
            <w:tcW w:w="795" w:type="pct"/>
          </w:tcPr>
          <w:p w:rsidR="00224029" w:rsidRPr="00C3371F" w:rsidRDefault="00224029" w:rsidP="00D54E15">
            <w:pPr>
              <w:pStyle w:val="Tabletext"/>
              <w:jc w:val="center"/>
            </w:pPr>
            <w:r w:rsidRPr="00C3371F">
              <w:t>5 (1.1</w:t>
            </w:r>
            <w:r w:rsidR="00DA70FC">
              <w:t>%</w:t>
            </w:r>
            <w:r w:rsidRPr="00C3371F">
              <w:t>)</w:t>
            </w:r>
          </w:p>
        </w:tc>
        <w:tc>
          <w:tcPr>
            <w:tcW w:w="796" w:type="pct"/>
          </w:tcPr>
          <w:p w:rsidR="00224029" w:rsidRPr="00C3371F" w:rsidRDefault="00224029" w:rsidP="00D54E15">
            <w:pPr>
              <w:pStyle w:val="Tabletext"/>
              <w:jc w:val="center"/>
            </w:pPr>
            <w:r w:rsidRPr="00C3371F">
              <w:t>0</w:t>
            </w:r>
          </w:p>
        </w:tc>
      </w:tr>
    </w:tbl>
    <w:p w:rsidR="00C16B3B" w:rsidRPr="00C3371F" w:rsidRDefault="00C16B3B" w:rsidP="00C16B3B">
      <w:pPr>
        <w:pStyle w:val="TableFooter"/>
      </w:pPr>
      <w:r w:rsidRPr="00C3371F">
        <w:t>AE = adverse event</w:t>
      </w:r>
      <w:r w:rsidR="00C57F74" w:rsidRPr="00C3371F">
        <w:t>; SD = standard deviation</w:t>
      </w:r>
    </w:p>
    <w:p w:rsidR="00C16B3B" w:rsidRPr="00C3371F" w:rsidRDefault="00C16B3B" w:rsidP="00C16B3B">
      <w:pPr>
        <w:pStyle w:val="TableFooter"/>
      </w:pPr>
      <w:proofErr w:type="spellStart"/>
      <w:proofErr w:type="gramStart"/>
      <w:r w:rsidRPr="00C3371F">
        <w:rPr>
          <w:vertAlign w:val="superscript"/>
        </w:rPr>
        <w:t>a</w:t>
      </w:r>
      <w:proofErr w:type="spellEnd"/>
      <w:proofErr w:type="gramEnd"/>
      <w:r w:rsidRPr="00C3371F">
        <w:t xml:space="preserve"> All toxicities were documented for a minimum of 100 days after the last dose of study medication (p35 CA209238 Protocol)</w:t>
      </w:r>
    </w:p>
    <w:p w:rsidR="00C16B3B" w:rsidRPr="00C3371F" w:rsidRDefault="00C16B3B" w:rsidP="00C16B3B">
      <w:pPr>
        <w:pStyle w:val="TableFooter"/>
      </w:pPr>
      <w:proofErr w:type="gramStart"/>
      <w:r w:rsidRPr="00C3371F">
        <w:rPr>
          <w:vertAlign w:val="superscript"/>
        </w:rPr>
        <w:t>b</w:t>
      </w:r>
      <w:proofErr w:type="gramEnd"/>
      <w:r w:rsidRPr="00C3371F">
        <w:t xml:space="preserve"> Toxicities were assessed up to 70 days after last dose of study therapy (p34 CA184029 Protocol).</w:t>
      </w:r>
    </w:p>
    <w:p w:rsidR="00C16B3B" w:rsidRPr="00C3371F" w:rsidRDefault="00C16B3B" w:rsidP="00C16B3B">
      <w:pPr>
        <w:pStyle w:val="TableFooter"/>
      </w:pPr>
      <w:r w:rsidRPr="00C3371F">
        <w:t xml:space="preserve">Source: Table 44, pp55-56, Table 51, p78 and Table 52, p79 of the submission. </w:t>
      </w:r>
    </w:p>
    <w:p w:rsidR="00224029" w:rsidRPr="00C3371F" w:rsidRDefault="00224029" w:rsidP="00224029"/>
    <w:p w:rsidR="00224029" w:rsidRPr="00C3371F" w:rsidRDefault="00224029" w:rsidP="000B6DBA">
      <w:pPr>
        <w:pStyle w:val="ListParagraph"/>
        <w:widowControl/>
        <w:numPr>
          <w:ilvl w:val="1"/>
          <w:numId w:val="1"/>
        </w:numPr>
      </w:pPr>
      <w:r w:rsidRPr="00C3371F">
        <w:t>The submission presented the results of statistical indirect comparisons for each AE outcome. Nivolumab was associated with statistically significantly more drug-related Grade 3-4 AEs, drug-related Grade 3-4 serious AEs, and drug-related discontinuations due to AEs compared to placebo.</w:t>
      </w:r>
      <w:r w:rsidR="00624A63" w:rsidRPr="00C3371F">
        <w:t xml:space="preserve"> There were considerable differences in the proportion of patients experiencing serious AEs and discontinuing study drug due to AEs between the ipilimumab arms of the two trials</w:t>
      </w:r>
      <w:r w:rsidR="00D418BE" w:rsidRPr="00C3371F">
        <w:t xml:space="preserve">. This is likely to reflect the </w:t>
      </w:r>
      <w:r w:rsidR="00FA37E1" w:rsidRPr="00C3371F">
        <w:t xml:space="preserve">difference in the </w:t>
      </w:r>
      <w:r w:rsidR="00D418BE" w:rsidRPr="00C3371F">
        <w:t xml:space="preserve">exposure to ipilimumab </w:t>
      </w:r>
      <w:r w:rsidR="00FA37E1" w:rsidRPr="00C3371F">
        <w:t>between</w:t>
      </w:r>
      <w:r w:rsidR="00D418BE" w:rsidRPr="00C3371F">
        <w:t xml:space="preserve"> the common reference arms of the two trials, and the longer duration of follow-up in CA184029 compared with CA209238. </w:t>
      </w:r>
    </w:p>
    <w:p w:rsidR="00224029" w:rsidRPr="00C3371F" w:rsidRDefault="00224029" w:rsidP="000B6DBA">
      <w:pPr>
        <w:pStyle w:val="ListParagraph"/>
        <w:widowControl/>
        <w:numPr>
          <w:ilvl w:val="1"/>
          <w:numId w:val="1"/>
        </w:numPr>
      </w:pPr>
      <w:r w:rsidRPr="00C3371F">
        <w:t>The majority of immune-mediated AEs (IMAEs) in the nivolumab group were Grade 1-2. The most frequently reported IMAEs (any grade) were rash (16.2%), and hypothyroidism/thyroiditis (13.9%), whil</w:t>
      </w:r>
      <w:r w:rsidR="00D54E15" w:rsidRPr="00C3371F">
        <w:t>e the most frequently reported G</w:t>
      </w:r>
      <w:r w:rsidRPr="00C3371F">
        <w:t xml:space="preserve">rade 3-4 IMAEs were diarrhoea/colitis (2.0%) and hepatitis (2.0%). Other events of special interest within 100 days of the last dose of nivolumab included </w:t>
      </w:r>
      <w:r w:rsidR="00801C1F">
        <w:t>four</w:t>
      </w:r>
      <w:r w:rsidRPr="00C3371F">
        <w:t xml:space="preserve"> subjects with pancreatitis and </w:t>
      </w:r>
      <w:r w:rsidR="00801C1F">
        <w:t>three</w:t>
      </w:r>
      <w:r w:rsidRPr="00C3371F">
        <w:t xml:space="preserve"> subjects with uveitis.</w:t>
      </w:r>
    </w:p>
    <w:p w:rsidR="00224029" w:rsidRPr="00C3371F" w:rsidRDefault="00224029" w:rsidP="000B6DBA">
      <w:pPr>
        <w:pStyle w:val="ListParagraph"/>
        <w:widowControl/>
        <w:numPr>
          <w:ilvl w:val="1"/>
          <w:numId w:val="1"/>
        </w:numPr>
      </w:pPr>
      <w:r w:rsidRPr="00C3371F">
        <w:t xml:space="preserve">The most frequent AEs (of any cause) in the nivolumab arm were fatigue (46%), rash (29%), diarrhoea (24%), </w:t>
      </w:r>
      <w:r w:rsidR="00BB1338" w:rsidRPr="00C3371F">
        <w:t>pruritus</w:t>
      </w:r>
      <w:r w:rsidRPr="00C3371F">
        <w:t xml:space="preserve"> (23%), nausea (15%), arthralgia (13%), </w:t>
      </w:r>
      <w:r w:rsidRPr="00C3371F">
        <w:lastRenderedPageBreak/>
        <w:t>musculoske</w:t>
      </w:r>
      <w:r w:rsidR="0041506F">
        <w:t>l</w:t>
      </w:r>
      <w:r w:rsidRPr="00C3371F">
        <w:t>etal pain (11%), and hypothyroidism (11%). The majority of these AEs were mild to moderate (Grade 1 or 2).</w:t>
      </w:r>
    </w:p>
    <w:p w:rsidR="00224029" w:rsidRPr="009F1345" w:rsidRDefault="00224029" w:rsidP="009F1345">
      <w:pPr>
        <w:pStyle w:val="Heading2"/>
        <w:spacing w:before="240" w:after="120"/>
        <w:rPr>
          <w:i w:val="0"/>
        </w:rPr>
      </w:pPr>
      <w:bookmarkStart w:id="13" w:name="_Toc511661680"/>
      <w:r w:rsidRPr="00C3371F">
        <w:rPr>
          <w:i w:val="0"/>
        </w:rPr>
        <w:t>Benefits/harms</w:t>
      </w:r>
      <w:bookmarkEnd w:id="13"/>
    </w:p>
    <w:p w:rsidR="00224029" w:rsidRPr="00C3371F" w:rsidRDefault="00224029" w:rsidP="000B6DBA">
      <w:pPr>
        <w:pStyle w:val="ListParagraph"/>
        <w:widowControl/>
        <w:numPr>
          <w:ilvl w:val="1"/>
          <w:numId w:val="1"/>
        </w:numPr>
      </w:pPr>
      <w:r w:rsidRPr="00C3371F">
        <w:t xml:space="preserve">A summary of the comparative benefits for nivolumab versus placebo is presented in the table below. </w:t>
      </w:r>
      <w:r w:rsidR="00FA37E1" w:rsidRPr="00C3371F">
        <w:t>As discussed above, given the higher exposure to ipilimumab and the longer duration of follow-up in CA184029 compared to CA209238, the magnitude of the relative harms associated with nivolumab compared with placebo</w:t>
      </w:r>
      <w:r w:rsidR="00543A63" w:rsidRPr="00C3371F">
        <w:t xml:space="preserve"> cannot be reliably determined</w:t>
      </w:r>
      <w:r w:rsidR="00FA37E1" w:rsidRPr="00C3371F">
        <w:t>.</w:t>
      </w:r>
    </w:p>
    <w:p w:rsidR="00224029" w:rsidRPr="00C3371F" w:rsidRDefault="00224029" w:rsidP="00224029">
      <w:pPr>
        <w:pStyle w:val="Caption"/>
        <w:keepNext/>
        <w:rPr>
          <w:rStyle w:val="CommentReference"/>
          <w:b/>
        </w:rPr>
      </w:pPr>
      <w:r w:rsidRPr="00C3371F">
        <w:rPr>
          <w:rStyle w:val="CommentReference"/>
          <w:b/>
        </w:rPr>
        <w:t xml:space="preserve">Table </w:t>
      </w:r>
      <w:r w:rsidR="00C47B15">
        <w:rPr>
          <w:rStyle w:val="CommentReference"/>
          <w:b/>
          <w:noProof/>
        </w:rPr>
        <w:t>7</w:t>
      </w:r>
      <w:r w:rsidRPr="00C3371F">
        <w:rPr>
          <w:rStyle w:val="CommentReference"/>
          <w:b/>
        </w:rPr>
        <w:t xml:space="preserve">: Summary of comparative benefits for nivolumab and placebo </w:t>
      </w:r>
    </w:p>
    <w:tbl>
      <w:tblPr>
        <w:tblW w:w="4990" w:type="pct"/>
        <w:tblLayout w:type="fixed"/>
        <w:tblCellMar>
          <w:left w:w="28" w:type="dxa"/>
          <w:right w:w="28" w:type="dxa"/>
        </w:tblCellMar>
        <w:tblLook w:val="04A0" w:firstRow="1" w:lastRow="0" w:firstColumn="1" w:lastColumn="0" w:noHBand="0" w:noVBand="1"/>
      </w:tblPr>
      <w:tblGrid>
        <w:gridCol w:w="2846"/>
        <w:gridCol w:w="1401"/>
        <w:gridCol w:w="1441"/>
        <w:gridCol w:w="1441"/>
        <w:gridCol w:w="1936"/>
      </w:tblGrid>
      <w:tr w:rsidR="00224029" w:rsidRPr="00C3371F" w:rsidTr="00D54E15">
        <w:tc>
          <w:tcPr>
            <w:tcW w:w="5000" w:type="pct"/>
            <w:gridSpan w:val="5"/>
            <w:tcBorders>
              <w:top w:val="single" w:sz="4" w:space="0" w:color="auto"/>
              <w:left w:val="single" w:sz="4" w:space="0" w:color="auto"/>
              <w:bottom w:val="double" w:sz="4" w:space="0" w:color="auto"/>
              <w:right w:val="single" w:sz="4" w:space="0" w:color="auto"/>
            </w:tcBorders>
            <w:shd w:val="clear" w:color="auto" w:fill="auto"/>
            <w:vAlign w:val="center"/>
          </w:tcPr>
          <w:p w:rsidR="00224029" w:rsidRPr="00C3371F" w:rsidRDefault="00224029" w:rsidP="00D54E15">
            <w:pPr>
              <w:rPr>
                <w:rFonts w:ascii="Arial Narrow" w:hAnsi="Arial Narrow"/>
                <w:b/>
                <w:color w:val="000000"/>
                <w:sz w:val="20"/>
                <w:szCs w:val="18"/>
              </w:rPr>
            </w:pPr>
            <w:r w:rsidRPr="00C3371F">
              <w:rPr>
                <w:rFonts w:ascii="Arial Narrow" w:hAnsi="Arial Narrow"/>
                <w:b/>
                <w:color w:val="000000"/>
                <w:sz w:val="20"/>
                <w:szCs w:val="18"/>
              </w:rPr>
              <w:t>Benefits</w:t>
            </w:r>
          </w:p>
        </w:tc>
      </w:tr>
      <w:tr w:rsidR="00224029" w:rsidRPr="00C3371F" w:rsidTr="00D54E15">
        <w:tc>
          <w:tcPr>
            <w:tcW w:w="5000" w:type="pct"/>
            <w:gridSpan w:val="5"/>
            <w:tcBorders>
              <w:top w:val="double" w:sz="4" w:space="0" w:color="auto"/>
              <w:left w:val="single" w:sz="4" w:space="0" w:color="auto"/>
              <w:bottom w:val="single" w:sz="4" w:space="0" w:color="auto"/>
              <w:right w:val="single" w:sz="4" w:space="0" w:color="auto"/>
            </w:tcBorders>
            <w:shd w:val="clear" w:color="auto" w:fill="auto"/>
            <w:vAlign w:val="center"/>
          </w:tcPr>
          <w:p w:rsidR="00224029" w:rsidRPr="00C3371F" w:rsidRDefault="00224029" w:rsidP="00D54E15">
            <w:pPr>
              <w:rPr>
                <w:rFonts w:ascii="Arial Narrow" w:hAnsi="Arial Narrow"/>
                <w:b/>
                <w:color w:val="000000"/>
                <w:sz w:val="20"/>
                <w:szCs w:val="18"/>
              </w:rPr>
            </w:pPr>
            <w:r w:rsidRPr="00C3371F">
              <w:rPr>
                <w:rFonts w:ascii="Arial Narrow" w:hAnsi="Arial Narrow"/>
                <w:b/>
                <w:color w:val="000000"/>
                <w:sz w:val="20"/>
                <w:szCs w:val="18"/>
              </w:rPr>
              <w:t xml:space="preserve">Time-to-event outcome RFS: </w:t>
            </w:r>
          </w:p>
        </w:tc>
      </w:tr>
      <w:tr w:rsidR="00224029" w:rsidRPr="00C3371F" w:rsidTr="00DA70FC">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rsidR="00224029" w:rsidRPr="00C3371F" w:rsidRDefault="00224029" w:rsidP="00D54E15">
            <w:pPr>
              <w:jc w:val="center"/>
              <w:rPr>
                <w:rFonts w:ascii="Arial Narrow" w:hAnsi="Arial Narrow"/>
                <w:color w:val="000000"/>
                <w:sz w:val="20"/>
                <w:szCs w:val="18"/>
              </w:rPr>
            </w:pPr>
          </w:p>
        </w:tc>
        <w:tc>
          <w:tcPr>
            <w:tcW w:w="773"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A70FC">
            <w:pPr>
              <w:jc w:val="center"/>
              <w:rPr>
                <w:rFonts w:ascii="Arial Narrow" w:hAnsi="Arial Narrow"/>
                <w:b/>
                <w:color w:val="000000"/>
                <w:sz w:val="20"/>
                <w:szCs w:val="18"/>
              </w:rPr>
            </w:pPr>
            <w:r w:rsidRPr="00C3371F">
              <w:rPr>
                <w:rFonts w:ascii="Arial Narrow" w:hAnsi="Arial Narrow"/>
                <w:b/>
                <w:color w:val="000000"/>
                <w:sz w:val="20"/>
                <w:szCs w:val="18"/>
              </w:rPr>
              <w:t>N</w:t>
            </w:r>
            <w:r w:rsidR="00DA70FC">
              <w:rPr>
                <w:rFonts w:ascii="Arial Narrow" w:hAnsi="Arial Narrow"/>
                <w:b/>
                <w:color w:val="000000"/>
                <w:sz w:val="20"/>
                <w:szCs w:val="18"/>
              </w:rPr>
              <w:t>ivolumab</w:t>
            </w:r>
          </w:p>
        </w:tc>
        <w:tc>
          <w:tcPr>
            <w:tcW w:w="795" w:type="pct"/>
            <w:tcBorders>
              <w:top w:val="single" w:sz="4" w:space="0" w:color="auto"/>
              <w:left w:val="single" w:sz="4" w:space="0" w:color="auto"/>
              <w:bottom w:val="single" w:sz="4" w:space="0" w:color="auto"/>
              <w:right w:val="single" w:sz="4" w:space="0" w:color="auto"/>
            </w:tcBorders>
            <w:vAlign w:val="center"/>
          </w:tcPr>
          <w:p w:rsidR="00224029" w:rsidRPr="00C3371F" w:rsidRDefault="00DA70FC" w:rsidP="00D54E15">
            <w:pPr>
              <w:jc w:val="center"/>
              <w:rPr>
                <w:rFonts w:ascii="Arial Narrow" w:hAnsi="Arial Narrow"/>
                <w:b/>
                <w:color w:val="000000"/>
                <w:sz w:val="20"/>
                <w:szCs w:val="18"/>
              </w:rPr>
            </w:pPr>
            <w:r>
              <w:rPr>
                <w:rFonts w:ascii="Arial Narrow" w:hAnsi="Arial Narrow"/>
                <w:b/>
                <w:color w:val="000000"/>
                <w:sz w:val="20"/>
                <w:szCs w:val="18"/>
              </w:rPr>
              <w:t>Ipilimumab</w:t>
            </w:r>
          </w:p>
        </w:tc>
        <w:tc>
          <w:tcPr>
            <w:tcW w:w="795" w:type="pct"/>
            <w:tcBorders>
              <w:top w:val="single" w:sz="4" w:space="0" w:color="auto"/>
              <w:left w:val="single" w:sz="4" w:space="0" w:color="auto"/>
              <w:bottom w:val="single" w:sz="4" w:space="0" w:color="auto"/>
              <w:right w:val="single" w:sz="4" w:space="0" w:color="auto"/>
            </w:tcBorders>
            <w:vAlign w:val="center"/>
          </w:tcPr>
          <w:p w:rsidR="00224029" w:rsidRPr="00C3371F" w:rsidRDefault="00DA70FC" w:rsidP="00D54E15">
            <w:pPr>
              <w:jc w:val="center"/>
              <w:rPr>
                <w:rFonts w:ascii="Arial Narrow" w:hAnsi="Arial Narrow"/>
                <w:b/>
                <w:color w:val="000000"/>
                <w:sz w:val="20"/>
                <w:szCs w:val="18"/>
              </w:rPr>
            </w:pPr>
            <w:r>
              <w:rPr>
                <w:rFonts w:ascii="Arial Narrow" w:hAnsi="Arial Narrow"/>
                <w:b/>
                <w:color w:val="000000"/>
                <w:sz w:val="20"/>
                <w:szCs w:val="18"/>
              </w:rPr>
              <w:t>Placebo</w:t>
            </w:r>
          </w:p>
        </w:tc>
        <w:tc>
          <w:tcPr>
            <w:tcW w:w="1069"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54E15">
            <w:pPr>
              <w:jc w:val="center"/>
              <w:rPr>
                <w:rFonts w:ascii="Arial Narrow" w:hAnsi="Arial Narrow"/>
                <w:b/>
                <w:color w:val="000000"/>
                <w:sz w:val="20"/>
                <w:szCs w:val="18"/>
              </w:rPr>
            </w:pPr>
            <w:r w:rsidRPr="00C3371F">
              <w:rPr>
                <w:rFonts w:ascii="Arial Narrow" w:hAnsi="Arial Narrow"/>
                <w:b/>
                <w:color w:val="000000"/>
                <w:sz w:val="20"/>
                <w:szCs w:val="18"/>
              </w:rPr>
              <w:t>HR (95% CI)</w:t>
            </w:r>
          </w:p>
        </w:tc>
      </w:tr>
      <w:tr w:rsidR="00224029" w:rsidRPr="00C3371F" w:rsidTr="00D54E15">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24029" w:rsidRPr="00C3371F" w:rsidRDefault="00224029" w:rsidP="00D54E15">
            <w:pPr>
              <w:jc w:val="left"/>
              <w:rPr>
                <w:rFonts w:ascii="Arial Narrow" w:hAnsi="Arial Narrow"/>
                <w:b/>
                <w:sz w:val="20"/>
              </w:rPr>
            </w:pPr>
            <w:r w:rsidRPr="00C3371F">
              <w:rPr>
                <w:rFonts w:ascii="Arial Narrow" w:hAnsi="Arial Narrow"/>
                <w:b/>
                <w:sz w:val="20"/>
              </w:rPr>
              <w:t>CA209238</w:t>
            </w:r>
          </w:p>
        </w:tc>
      </w:tr>
      <w:tr w:rsidR="00224029" w:rsidRPr="00C3371F" w:rsidTr="00DA70FC">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rsidR="00224029" w:rsidRPr="00C3371F" w:rsidRDefault="00224029" w:rsidP="00C57F74">
            <w:pPr>
              <w:rPr>
                <w:rFonts w:ascii="Arial Narrow" w:hAnsi="Arial Narrow"/>
                <w:color w:val="000000"/>
                <w:sz w:val="20"/>
                <w:szCs w:val="18"/>
              </w:rPr>
            </w:pPr>
            <w:r w:rsidRPr="00C3371F">
              <w:rPr>
                <w:rFonts w:ascii="Arial Narrow" w:hAnsi="Arial Narrow"/>
                <w:color w:val="000000"/>
                <w:sz w:val="20"/>
                <w:szCs w:val="18"/>
              </w:rPr>
              <w:t>Events*</w:t>
            </w:r>
            <w:r w:rsidR="00C57F74" w:rsidRPr="00C3371F">
              <w:rPr>
                <w:rFonts w:ascii="Arial Narrow" w:hAnsi="Arial Narrow"/>
                <w:color w:val="000000"/>
                <w:sz w:val="20"/>
                <w:szCs w:val="18"/>
              </w:rPr>
              <w:t xml:space="preserve">, </w:t>
            </w:r>
            <w:r w:rsidRPr="00C3371F">
              <w:rPr>
                <w:rFonts w:ascii="Arial Narrow" w:hAnsi="Arial Narrow"/>
                <w:color w:val="000000"/>
                <w:sz w:val="20"/>
                <w:szCs w:val="18"/>
              </w:rPr>
              <w:t>n/N (%)</w:t>
            </w:r>
          </w:p>
        </w:tc>
        <w:tc>
          <w:tcPr>
            <w:tcW w:w="773"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54E15">
            <w:pPr>
              <w:jc w:val="center"/>
              <w:rPr>
                <w:rFonts w:ascii="Arial Narrow" w:hAnsi="Arial Narrow"/>
                <w:sz w:val="20"/>
              </w:rPr>
            </w:pPr>
            <w:r w:rsidRPr="00C3371F">
              <w:rPr>
                <w:rFonts w:ascii="Arial Narrow" w:hAnsi="Arial Narrow"/>
                <w:sz w:val="20"/>
              </w:rPr>
              <w:t>154/453 (34.0</w:t>
            </w:r>
            <w:r w:rsidR="00DA70FC">
              <w:rPr>
                <w:rFonts w:ascii="Arial Narrow" w:hAnsi="Arial Narrow"/>
                <w:sz w:val="20"/>
              </w:rPr>
              <w:t>%</w:t>
            </w:r>
            <w:r w:rsidRPr="00C3371F">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54E15">
            <w:pPr>
              <w:jc w:val="center"/>
              <w:rPr>
                <w:rFonts w:ascii="Arial Narrow" w:hAnsi="Arial Narrow"/>
                <w:sz w:val="20"/>
              </w:rPr>
            </w:pPr>
            <w:r w:rsidRPr="00C3371F">
              <w:rPr>
                <w:rFonts w:ascii="Arial Narrow" w:hAnsi="Arial Narrow"/>
                <w:sz w:val="20"/>
              </w:rPr>
              <w:t>206/453 (45.5</w:t>
            </w:r>
            <w:r w:rsidR="00DA70FC">
              <w:rPr>
                <w:rFonts w:ascii="Arial Narrow" w:hAnsi="Arial Narrow"/>
                <w:sz w:val="20"/>
              </w:rPr>
              <w:t>%</w:t>
            </w:r>
            <w:r w:rsidRPr="00C3371F">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vAlign w:val="center"/>
          </w:tcPr>
          <w:p w:rsidR="00224029" w:rsidRPr="00C3371F" w:rsidRDefault="00DA70FC" w:rsidP="00D54E15">
            <w:pPr>
              <w:jc w:val="center"/>
              <w:rPr>
                <w:rFonts w:ascii="Arial Narrow" w:hAnsi="Arial Narrow"/>
                <w:sz w:val="20"/>
              </w:rPr>
            </w:pPr>
            <w:r>
              <w:rPr>
                <w:rFonts w:ascii="Arial Narrow" w:hAnsi="Arial Narrow"/>
                <w:sz w:val="20"/>
              </w:rPr>
              <w:t>-</w:t>
            </w:r>
          </w:p>
        </w:tc>
        <w:tc>
          <w:tcPr>
            <w:tcW w:w="1069"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54E15">
            <w:pPr>
              <w:jc w:val="center"/>
              <w:rPr>
                <w:rFonts w:ascii="Arial Narrow" w:hAnsi="Arial Narrow"/>
                <w:color w:val="000000"/>
                <w:sz w:val="20"/>
                <w:szCs w:val="18"/>
              </w:rPr>
            </w:pPr>
            <w:r w:rsidRPr="00C3371F">
              <w:rPr>
                <w:rFonts w:ascii="Arial Narrow" w:hAnsi="Arial Narrow"/>
                <w:sz w:val="20"/>
              </w:rPr>
              <w:t>0.66 (0.53, 0.81)</w:t>
            </w:r>
          </w:p>
        </w:tc>
      </w:tr>
      <w:tr w:rsidR="00224029" w:rsidRPr="00C3371F" w:rsidTr="00DA70FC">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rsidR="00224029" w:rsidRPr="00C3371F" w:rsidRDefault="00224029" w:rsidP="00DA70FC">
            <w:pPr>
              <w:rPr>
                <w:rFonts w:ascii="Arial Narrow" w:hAnsi="Arial Narrow"/>
                <w:color w:val="000000"/>
                <w:sz w:val="20"/>
                <w:szCs w:val="18"/>
              </w:rPr>
            </w:pPr>
            <w:r w:rsidRPr="00C3371F">
              <w:rPr>
                <w:rFonts w:ascii="Arial Narrow" w:hAnsi="Arial Narrow"/>
                <w:color w:val="000000"/>
                <w:sz w:val="20"/>
                <w:szCs w:val="18"/>
              </w:rPr>
              <w:t xml:space="preserve">Median </w:t>
            </w:r>
            <w:r w:rsidR="00C57F74" w:rsidRPr="00C3371F">
              <w:rPr>
                <w:rFonts w:ascii="Arial Narrow" w:hAnsi="Arial Narrow"/>
                <w:color w:val="000000"/>
                <w:sz w:val="20"/>
                <w:szCs w:val="18"/>
              </w:rPr>
              <w:t xml:space="preserve">RFS, </w:t>
            </w:r>
            <w:r w:rsidRPr="00C3371F">
              <w:rPr>
                <w:rFonts w:ascii="Arial Narrow" w:hAnsi="Arial Narrow"/>
                <w:color w:val="000000"/>
                <w:sz w:val="20"/>
                <w:szCs w:val="18"/>
              </w:rPr>
              <w:t>m</w:t>
            </w:r>
            <w:r w:rsidR="00C57F74" w:rsidRPr="00C3371F">
              <w:rPr>
                <w:rFonts w:ascii="Arial Narrow" w:hAnsi="Arial Narrow"/>
                <w:color w:val="000000"/>
                <w:sz w:val="20"/>
                <w:szCs w:val="18"/>
              </w:rPr>
              <w:t>onths</w:t>
            </w:r>
            <w:r w:rsidR="00DA70FC">
              <w:rPr>
                <w:rFonts w:ascii="Arial Narrow" w:hAnsi="Arial Narrow"/>
                <w:color w:val="000000"/>
                <w:sz w:val="20"/>
                <w:szCs w:val="18"/>
              </w:rPr>
              <w:t xml:space="preserve"> </w:t>
            </w:r>
            <w:r w:rsidR="00DA70FC" w:rsidRPr="00C3371F">
              <w:rPr>
                <w:rFonts w:ascii="Arial Narrow" w:hAnsi="Arial Narrow"/>
                <w:color w:val="000000"/>
                <w:sz w:val="20"/>
                <w:szCs w:val="18"/>
              </w:rPr>
              <w:t>(95% CI)</w:t>
            </w:r>
          </w:p>
        </w:tc>
        <w:tc>
          <w:tcPr>
            <w:tcW w:w="773"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54E15">
            <w:pPr>
              <w:jc w:val="center"/>
              <w:rPr>
                <w:rFonts w:ascii="Arial Narrow" w:hAnsi="Arial Narrow"/>
                <w:sz w:val="20"/>
              </w:rPr>
            </w:pPr>
            <w:r w:rsidRPr="00C3371F">
              <w:rPr>
                <w:rFonts w:ascii="Arial Narrow" w:hAnsi="Arial Narrow"/>
                <w:sz w:val="20"/>
              </w:rPr>
              <w:t>NC</w:t>
            </w:r>
          </w:p>
        </w:tc>
        <w:tc>
          <w:tcPr>
            <w:tcW w:w="795"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54E15">
            <w:pPr>
              <w:jc w:val="center"/>
              <w:rPr>
                <w:rFonts w:ascii="Arial Narrow" w:hAnsi="Arial Narrow"/>
                <w:sz w:val="20"/>
              </w:rPr>
            </w:pPr>
            <w:r w:rsidRPr="00C3371F">
              <w:rPr>
                <w:rFonts w:ascii="Arial Narrow" w:hAnsi="Arial Narrow"/>
                <w:sz w:val="20"/>
              </w:rPr>
              <w:t>NC (16.6 , NC)</w:t>
            </w:r>
          </w:p>
        </w:tc>
        <w:tc>
          <w:tcPr>
            <w:tcW w:w="795" w:type="pct"/>
            <w:tcBorders>
              <w:top w:val="single" w:sz="4" w:space="0" w:color="auto"/>
              <w:left w:val="single" w:sz="4" w:space="0" w:color="auto"/>
              <w:bottom w:val="single" w:sz="4" w:space="0" w:color="auto"/>
              <w:right w:val="single" w:sz="4" w:space="0" w:color="auto"/>
            </w:tcBorders>
            <w:vAlign w:val="center"/>
          </w:tcPr>
          <w:p w:rsidR="00224029" w:rsidRPr="00C3371F" w:rsidRDefault="00DA70FC" w:rsidP="00D54E15">
            <w:pPr>
              <w:jc w:val="center"/>
              <w:rPr>
                <w:rFonts w:ascii="Arial Narrow" w:hAnsi="Arial Narrow"/>
                <w:sz w:val="20"/>
              </w:rPr>
            </w:pPr>
            <w:r>
              <w:rPr>
                <w:rFonts w:ascii="Arial Narrow" w:hAnsi="Arial Narrow"/>
                <w:sz w:val="20"/>
              </w:rPr>
              <w:t>-</w:t>
            </w:r>
          </w:p>
        </w:tc>
        <w:tc>
          <w:tcPr>
            <w:tcW w:w="1069" w:type="pct"/>
            <w:tcBorders>
              <w:top w:val="single" w:sz="4" w:space="0" w:color="auto"/>
              <w:left w:val="single" w:sz="4" w:space="0" w:color="auto"/>
              <w:bottom w:val="single" w:sz="4" w:space="0" w:color="auto"/>
              <w:right w:val="single" w:sz="4" w:space="0" w:color="auto"/>
            </w:tcBorders>
            <w:vAlign w:val="center"/>
          </w:tcPr>
          <w:p w:rsidR="00224029" w:rsidRPr="00C3371F" w:rsidRDefault="00DA70FC" w:rsidP="00D54E15">
            <w:pPr>
              <w:jc w:val="center"/>
              <w:rPr>
                <w:rFonts w:ascii="Arial Narrow" w:hAnsi="Arial Narrow"/>
                <w:color w:val="000000"/>
                <w:sz w:val="20"/>
                <w:szCs w:val="18"/>
              </w:rPr>
            </w:pPr>
            <w:r>
              <w:rPr>
                <w:rFonts w:ascii="Arial Narrow" w:hAnsi="Arial Narrow"/>
                <w:color w:val="000000"/>
                <w:sz w:val="20"/>
                <w:szCs w:val="18"/>
              </w:rPr>
              <w:t>-</w:t>
            </w:r>
          </w:p>
        </w:tc>
      </w:tr>
      <w:tr w:rsidR="00224029" w:rsidRPr="00C3371F" w:rsidTr="00D54E15">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24029" w:rsidRPr="00C3371F" w:rsidRDefault="00224029" w:rsidP="00D54E15">
            <w:pPr>
              <w:jc w:val="left"/>
              <w:rPr>
                <w:rFonts w:ascii="Arial Narrow" w:hAnsi="Arial Narrow"/>
                <w:b/>
                <w:color w:val="000000"/>
                <w:sz w:val="20"/>
                <w:szCs w:val="18"/>
              </w:rPr>
            </w:pPr>
            <w:r w:rsidRPr="00C3371F">
              <w:rPr>
                <w:rFonts w:ascii="Arial Narrow" w:hAnsi="Arial Narrow"/>
                <w:b/>
                <w:color w:val="000000"/>
                <w:sz w:val="20"/>
                <w:szCs w:val="18"/>
              </w:rPr>
              <w:t>CA184029</w:t>
            </w:r>
          </w:p>
        </w:tc>
      </w:tr>
      <w:tr w:rsidR="00224029" w:rsidRPr="00C3371F" w:rsidTr="00DA70FC">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rsidR="00224029" w:rsidRPr="00C3371F" w:rsidRDefault="00224029" w:rsidP="00C57F74">
            <w:pPr>
              <w:rPr>
                <w:rFonts w:ascii="Arial Narrow" w:hAnsi="Arial Narrow"/>
                <w:color w:val="000000"/>
                <w:sz w:val="20"/>
                <w:szCs w:val="18"/>
              </w:rPr>
            </w:pPr>
            <w:r w:rsidRPr="00C3371F">
              <w:rPr>
                <w:rFonts w:ascii="Arial Narrow" w:hAnsi="Arial Narrow"/>
                <w:color w:val="000000"/>
                <w:sz w:val="20"/>
                <w:szCs w:val="18"/>
              </w:rPr>
              <w:t>Events**</w:t>
            </w:r>
            <w:r w:rsidR="00C57F74" w:rsidRPr="00C3371F">
              <w:rPr>
                <w:rFonts w:ascii="Arial Narrow" w:hAnsi="Arial Narrow"/>
                <w:color w:val="000000"/>
                <w:sz w:val="20"/>
                <w:szCs w:val="18"/>
              </w:rPr>
              <w:t xml:space="preserve">, </w:t>
            </w:r>
            <w:r w:rsidRPr="00C3371F">
              <w:rPr>
                <w:rFonts w:ascii="Arial Narrow" w:hAnsi="Arial Narrow"/>
                <w:color w:val="000000"/>
                <w:sz w:val="20"/>
                <w:szCs w:val="18"/>
              </w:rPr>
              <w:t>n/N (%)</w:t>
            </w:r>
          </w:p>
        </w:tc>
        <w:tc>
          <w:tcPr>
            <w:tcW w:w="773" w:type="pct"/>
            <w:tcBorders>
              <w:top w:val="single" w:sz="4" w:space="0" w:color="auto"/>
              <w:left w:val="single" w:sz="4" w:space="0" w:color="auto"/>
              <w:bottom w:val="single" w:sz="4" w:space="0" w:color="auto"/>
              <w:right w:val="single" w:sz="4" w:space="0" w:color="auto"/>
            </w:tcBorders>
            <w:vAlign w:val="center"/>
          </w:tcPr>
          <w:p w:rsidR="00224029" w:rsidRPr="00C3371F" w:rsidRDefault="00DA70FC" w:rsidP="00D54E15">
            <w:pPr>
              <w:jc w:val="center"/>
              <w:rPr>
                <w:rFonts w:ascii="Arial Narrow" w:hAnsi="Arial Narrow"/>
                <w:sz w:val="20"/>
              </w:rPr>
            </w:pPr>
            <w:r>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54E15">
            <w:pPr>
              <w:jc w:val="center"/>
              <w:rPr>
                <w:rFonts w:ascii="Arial Narrow" w:hAnsi="Arial Narrow"/>
                <w:sz w:val="20"/>
              </w:rPr>
            </w:pPr>
            <w:r w:rsidRPr="00C3371F">
              <w:rPr>
                <w:rFonts w:ascii="Arial Narrow" w:hAnsi="Arial Narrow"/>
                <w:sz w:val="20"/>
              </w:rPr>
              <w:t>234/475 (49.3</w:t>
            </w:r>
            <w:r w:rsidR="00DA70FC">
              <w:rPr>
                <w:rFonts w:ascii="Arial Narrow" w:hAnsi="Arial Narrow"/>
                <w:sz w:val="20"/>
              </w:rPr>
              <w:t>%</w:t>
            </w:r>
            <w:r w:rsidRPr="00C3371F">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54E15">
            <w:pPr>
              <w:jc w:val="center"/>
              <w:rPr>
                <w:rFonts w:ascii="Arial Narrow" w:hAnsi="Arial Narrow"/>
                <w:sz w:val="20"/>
              </w:rPr>
            </w:pPr>
            <w:r w:rsidRPr="00C3371F">
              <w:rPr>
                <w:rFonts w:ascii="Arial Narrow" w:hAnsi="Arial Narrow"/>
                <w:sz w:val="20"/>
              </w:rPr>
              <w:t>294/476 (61.8</w:t>
            </w:r>
            <w:r w:rsidR="00DA70FC">
              <w:rPr>
                <w:rFonts w:ascii="Arial Narrow" w:hAnsi="Arial Narrow"/>
                <w:sz w:val="20"/>
              </w:rPr>
              <w:t>%</w:t>
            </w:r>
            <w:r w:rsidRPr="00C3371F">
              <w:rPr>
                <w:rFonts w:ascii="Arial Narrow" w:hAnsi="Arial Narrow"/>
                <w:sz w:val="20"/>
              </w:rPr>
              <w:t>)</w:t>
            </w:r>
          </w:p>
        </w:tc>
        <w:tc>
          <w:tcPr>
            <w:tcW w:w="1069"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54E15">
            <w:pPr>
              <w:jc w:val="center"/>
              <w:rPr>
                <w:rFonts w:ascii="Arial Narrow" w:hAnsi="Arial Narrow"/>
                <w:color w:val="000000"/>
                <w:sz w:val="20"/>
                <w:szCs w:val="18"/>
              </w:rPr>
            </w:pPr>
            <w:r w:rsidRPr="00C3371F">
              <w:rPr>
                <w:rFonts w:ascii="Arial Narrow" w:hAnsi="Arial Narrow"/>
                <w:color w:val="000000"/>
                <w:sz w:val="20"/>
                <w:szCs w:val="18"/>
              </w:rPr>
              <w:t>0.75 (0.64, 0.90)</w:t>
            </w:r>
          </w:p>
        </w:tc>
      </w:tr>
      <w:tr w:rsidR="00224029" w:rsidRPr="00C3371F" w:rsidTr="00DA70FC">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rsidR="00224029" w:rsidRPr="00C3371F" w:rsidRDefault="00C57F74" w:rsidP="00DA70FC">
            <w:pPr>
              <w:rPr>
                <w:rFonts w:ascii="Arial Narrow" w:hAnsi="Arial Narrow"/>
                <w:color w:val="000000"/>
                <w:sz w:val="20"/>
                <w:szCs w:val="18"/>
              </w:rPr>
            </w:pPr>
            <w:r w:rsidRPr="00C3371F">
              <w:rPr>
                <w:rFonts w:ascii="Arial Narrow" w:hAnsi="Arial Narrow"/>
                <w:color w:val="000000"/>
                <w:sz w:val="20"/>
                <w:szCs w:val="18"/>
              </w:rPr>
              <w:t>Median RFS, months</w:t>
            </w:r>
            <w:r w:rsidR="00DA70FC">
              <w:rPr>
                <w:rFonts w:ascii="Arial Narrow" w:hAnsi="Arial Narrow"/>
                <w:color w:val="000000"/>
                <w:sz w:val="20"/>
                <w:szCs w:val="18"/>
              </w:rPr>
              <w:t xml:space="preserve"> </w:t>
            </w:r>
            <w:r w:rsidR="00DA70FC" w:rsidRPr="00C3371F">
              <w:rPr>
                <w:rFonts w:ascii="Arial Narrow" w:hAnsi="Arial Narrow"/>
                <w:color w:val="000000"/>
                <w:sz w:val="20"/>
                <w:szCs w:val="18"/>
              </w:rPr>
              <w:t>(95% CI)</w:t>
            </w:r>
          </w:p>
        </w:tc>
        <w:tc>
          <w:tcPr>
            <w:tcW w:w="773" w:type="pct"/>
            <w:tcBorders>
              <w:top w:val="single" w:sz="4" w:space="0" w:color="auto"/>
              <w:left w:val="single" w:sz="4" w:space="0" w:color="auto"/>
              <w:bottom w:val="single" w:sz="4" w:space="0" w:color="auto"/>
              <w:right w:val="single" w:sz="4" w:space="0" w:color="auto"/>
            </w:tcBorders>
            <w:vAlign w:val="center"/>
          </w:tcPr>
          <w:p w:rsidR="00224029" w:rsidRPr="00C3371F" w:rsidRDefault="00DA70FC" w:rsidP="00D54E15">
            <w:pPr>
              <w:jc w:val="center"/>
              <w:rPr>
                <w:rFonts w:ascii="Arial Narrow" w:hAnsi="Arial Narrow"/>
                <w:sz w:val="20"/>
              </w:rPr>
            </w:pPr>
            <w:r>
              <w:rPr>
                <w:rFonts w:ascii="Arial Narrow" w:hAnsi="Arial Narrow"/>
                <w:sz w:val="20"/>
              </w:rPr>
              <w:t>-</w:t>
            </w:r>
          </w:p>
        </w:tc>
        <w:tc>
          <w:tcPr>
            <w:tcW w:w="795"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54E15">
            <w:pPr>
              <w:jc w:val="center"/>
              <w:rPr>
                <w:rFonts w:ascii="Arial Narrow" w:hAnsi="Arial Narrow"/>
                <w:sz w:val="20"/>
              </w:rPr>
            </w:pPr>
            <w:r w:rsidRPr="00C3371F">
              <w:rPr>
                <w:rFonts w:ascii="Arial Narrow" w:hAnsi="Arial Narrow"/>
                <w:sz w:val="20"/>
              </w:rPr>
              <w:t>26.1 (19.3, 39.3)</w:t>
            </w:r>
          </w:p>
        </w:tc>
        <w:tc>
          <w:tcPr>
            <w:tcW w:w="795" w:type="pct"/>
            <w:tcBorders>
              <w:top w:val="single" w:sz="4" w:space="0" w:color="auto"/>
              <w:left w:val="single" w:sz="4" w:space="0" w:color="auto"/>
              <w:bottom w:val="single" w:sz="4" w:space="0" w:color="auto"/>
              <w:right w:val="single" w:sz="4" w:space="0" w:color="auto"/>
            </w:tcBorders>
            <w:vAlign w:val="center"/>
          </w:tcPr>
          <w:p w:rsidR="00224029" w:rsidRPr="00C3371F" w:rsidRDefault="00224029" w:rsidP="00D54E15">
            <w:pPr>
              <w:jc w:val="center"/>
              <w:rPr>
                <w:rFonts w:ascii="Arial Narrow" w:hAnsi="Arial Narrow"/>
                <w:sz w:val="20"/>
              </w:rPr>
            </w:pPr>
            <w:r w:rsidRPr="00C3371F">
              <w:rPr>
                <w:rFonts w:ascii="Arial Narrow" w:hAnsi="Arial Narrow"/>
                <w:sz w:val="20"/>
              </w:rPr>
              <w:t>17.1 (13.4, 21.6)</w:t>
            </w:r>
          </w:p>
        </w:tc>
        <w:tc>
          <w:tcPr>
            <w:tcW w:w="1069" w:type="pct"/>
            <w:tcBorders>
              <w:top w:val="single" w:sz="4" w:space="0" w:color="auto"/>
              <w:left w:val="single" w:sz="4" w:space="0" w:color="auto"/>
              <w:bottom w:val="single" w:sz="4" w:space="0" w:color="auto"/>
              <w:right w:val="single" w:sz="4" w:space="0" w:color="auto"/>
            </w:tcBorders>
            <w:vAlign w:val="center"/>
          </w:tcPr>
          <w:p w:rsidR="00224029" w:rsidRPr="00C3371F" w:rsidRDefault="00DA70FC" w:rsidP="00D54E15">
            <w:pPr>
              <w:jc w:val="center"/>
              <w:rPr>
                <w:rFonts w:ascii="Arial Narrow" w:hAnsi="Arial Narrow"/>
                <w:color w:val="000000"/>
                <w:sz w:val="20"/>
                <w:szCs w:val="18"/>
              </w:rPr>
            </w:pPr>
            <w:r>
              <w:rPr>
                <w:rFonts w:ascii="Arial Narrow" w:hAnsi="Arial Narrow"/>
                <w:color w:val="000000"/>
                <w:sz w:val="20"/>
                <w:szCs w:val="18"/>
              </w:rPr>
              <w:t>-</w:t>
            </w:r>
          </w:p>
        </w:tc>
      </w:tr>
      <w:tr w:rsidR="00DA70FC" w:rsidRPr="00C3371F" w:rsidTr="00DA70FC">
        <w:tc>
          <w:tcPr>
            <w:tcW w:w="393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A70FC" w:rsidRPr="00C3371F" w:rsidRDefault="00DA70FC" w:rsidP="00DA70FC">
            <w:pPr>
              <w:jc w:val="left"/>
              <w:rPr>
                <w:rFonts w:ascii="Arial Narrow" w:hAnsi="Arial Narrow"/>
                <w:sz w:val="20"/>
                <w:lang w:val="fr-FR"/>
              </w:rPr>
            </w:pPr>
            <w:r w:rsidRPr="00C3371F">
              <w:rPr>
                <w:rFonts w:ascii="Arial Narrow" w:hAnsi="Arial Narrow"/>
                <w:b/>
                <w:color w:val="000000"/>
                <w:sz w:val="20"/>
                <w:szCs w:val="18"/>
                <w:lang w:val="fr-FR"/>
              </w:rPr>
              <w:t xml:space="preserve">Indirect </w:t>
            </w:r>
            <w:proofErr w:type="spellStart"/>
            <w:r>
              <w:rPr>
                <w:rFonts w:ascii="Arial Narrow" w:hAnsi="Arial Narrow"/>
                <w:b/>
                <w:color w:val="000000"/>
                <w:sz w:val="20"/>
                <w:szCs w:val="18"/>
                <w:lang w:val="fr-FR"/>
              </w:rPr>
              <w:t>compar</w:t>
            </w:r>
            <w:r w:rsidRPr="00C3371F">
              <w:rPr>
                <w:rFonts w:ascii="Arial Narrow" w:hAnsi="Arial Narrow"/>
                <w:b/>
                <w:color w:val="000000"/>
                <w:sz w:val="20"/>
                <w:szCs w:val="18"/>
                <w:lang w:val="fr-FR"/>
              </w:rPr>
              <w:t>ison</w:t>
            </w:r>
            <w:proofErr w:type="spellEnd"/>
            <w:r>
              <w:rPr>
                <w:rFonts w:ascii="Arial Narrow" w:hAnsi="Arial Narrow"/>
                <w:b/>
                <w:color w:val="000000"/>
                <w:sz w:val="20"/>
                <w:szCs w:val="18"/>
                <w:lang w:val="fr-FR"/>
              </w:rPr>
              <w:t xml:space="preserve"> (Nivolumab versus placebo</w:t>
            </w:r>
            <w:r w:rsidRPr="00C3371F">
              <w:rPr>
                <w:rFonts w:ascii="Arial Narrow" w:hAnsi="Arial Narrow"/>
                <w:b/>
                <w:color w:val="000000"/>
                <w:sz w:val="20"/>
                <w:szCs w:val="18"/>
                <w:lang w:val="fr-FR"/>
              </w:rPr>
              <w:t xml:space="preserve">) </w:t>
            </w:r>
          </w:p>
        </w:tc>
        <w:tc>
          <w:tcPr>
            <w:tcW w:w="1069" w:type="pct"/>
            <w:tcBorders>
              <w:top w:val="single" w:sz="4" w:space="0" w:color="auto"/>
              <w:left w:val="single" w:sz="4" w:space="0" w:color="auto"/>
              <w:bottom w:val="single" w:sz="4" w:space="0" w:color="auto"/>
              <w:right w:val="single" w:sz="4" w:space="0" w:color="auto"/>
            </w:tcBorders>
            <w:vAlign w:val="center"/>
          </w:tcPr>
          <w:p w:rsidR="00DA70FC" w:rsidRPr="00C3371F" w:rsidRDefault="00DA70FC" w:rsidP="00D54E15">
            <w:pPr>
              <w:jc w:val="center"/>
              <w:rPr>
                <w:rFonts w:ascii="Arial Narrow" w:hAnsi="Arial Narrow"/>
                <w:color w:val="000000"/>
                <w:sz w:val="20"/>
                <w:szCs w:val="18"/>
              </w:rPr>
            </w:pPr>
            <w:r w:rsidRPr="00C3371F">
              <w:rPr>
                <w:rFonts w:ascii="Arial Narrow" w:hAnsi="Arial Narrow"/>
                <w:color w:val="000000"/>
                <w:sz w:val="20"/>
                <w:szCs w:val="18"/>
              </w:rPr>
              <w:t>0.50 (0.38, 0.65)</w:t>
            </w:r>
          </w:p>
        </w:tc>
      </w:tr>
    </w:tbl>
    <w:p w:rsidR="00224029" w:rsidRPr="00C3371F" w:rsidRDefault="00224029" w:rsidP="00224029">
      <w:pPr>
        <w:pStyle w:val="TableFooter"/>
      </w:pPr>
      <w:r w:rsidRPr="00C3371F">
        <w:t>* Minimum follow</w:t>
      </w:r>
      <w:r w:rsidR="0006170F">
        <w:t>-</w:t>
      </w:r>
      <w:r w:rsidRPr="00C3371F">
        <w:t>up 18 months</w:t>
      </w:r>
    </w:p>
    <w:p w:rsidR="00224029" w:rsidRPr="00C3371F" w:rsidRDefault="00224029" w:rsidP="00224029">
      <w:pPr>
        <w:pStyle w:val="TableFooter"/>
      </w:pPr>
      <w:r w:rsidRPr="00C3371F">
        <w:t>** Median follow-up 2.7 years</w:t>
      </w:r>
    </w:p>
    <w:p w:rsidR="00224029" w:rsidRPr="00C3371F" w:rsidRDefault="00C57F74" w:rsidP="00224029">
      <w:pPr>
        <w:pStyle w:val="TableFooter"/>
      </w:pPr>
      <w:r w:rsidRPr="00C3371F">
        <w:t xml:space="preserve">CI = confidence interval; HR = hazard ratio; IPI = ipilimumab; </w:t>
      </w:r>
      <w:r w:rsidR="00224029" w:rsidRPr="00C3371F">
        <w:t xml:space="preserve">NC = </w:t>
      </w:r>
      <w:proofErr w:type="spellStart"/>
      <w:r w:rsidR="00224029" w:rsidRPr="00C3371F">
        <w:t>not</w:t>
      </w:r>
      <w:proofErr w:type="spellEnd"/>
      <w:r w:rsidR="00224029" w:rsidRPr="00C3371F">
        <w:t xml:space="preserve"> calculable; </w:t>
      </w:r>
      <w:r w:rsidRPr="00C3371F">
        <w:t xml:space="preserve">NIVO = nivolumab; </w:t>
      </w:r>
      <w:r w:rsidR="00224029" w:rsidRPr="00C3371F">
        <w:t xml:space="preserve">PBO = placebo; </w:t>
      </w:r>
      <w:r w:rsidRPr="00C3371F">
        <w:t xml:space="preserve">RFS = </w:t>
      </w:r>
      <w:r w:rsidR="00C16EFF" w:rsidRPr="00C3371F">
        <w:t>recurrence-free</w:t>
      </w:r>
      <w:r w:rsidRPr="00C3371F">
        <w:t xml:space="preserve"> survival</w:t>
      </w:r>
    </w:p>
    <w:p w:rsidR="00224029" w:rsidRPr="00C3371F" w:rsidRDefault="00224029" w:rsidP="00224029">
      <w:pPr>
        <w:pStyle w:val="TableFooter"/>
      </w:pPr>
      <w:r w:rsidRPr="00C3371F">
        <w:t>Source: Table 49, p69 and Table 56, p100 of the submission.</w:t>
      </w:r>
    </w:p>
    <w:p w:rsidR="00224029" w:rsidRPr="00C3371F" w:rsidRDefault="00224029" w:rsidP="00224029"/>
    <w:p w:rsidR="00FE0A49" w:rsidRPr="00C3371F" w:rsidRDefault="00DA2CF1" w:rsidP="00FE0A49">
      <w:pPr>
        <w:pStyle w:val="ListParagraph"/>
        <w:widowControl/>
        <w:numPr>
          <w:ilvl w:val="1"/>
          <w:numId w:val="1"/>
        </w:numPr>
        <w:spacing w:after="0"/>
      </w:pPr>
      <w:r w:rsidRPr="00C3371F">
        <w:t>On the basis of indirectly compared evidence, as presented in the submission, there was a 50% reduction in the risk of recurrence associated with nivolumab</w:t>
      </w:r>
      <w:r w:rsidR="004A636C" w:rsidRPr="00C3371F">
        <w:t xml:space="preserve"> over a minimum duration of follow-up of 18 months,</w:t>
      </w:r>
      <w:r w:rsidRPr="00C3371F">
        <w:t xml:space="preserve"> compared with placebo</w:t>
      </w:r>
      <w:r w:rsidR="004A636C" w:rsidRPr="00C3371F">
        <w:t xml:space="preserve"> over a median duration of follow-up of 2.7 years</w:t>
      </w:r>
      <w:r w:rsidRPr="00C3371F">
        <w:t>. However, the magnitude of this estimate is highly uncertain, given the uncertainty regarding compliance with the proportional hazards assumption, the immaturity of the RFS data in CA209238, concerns regarding the transitivity of the trials and the indirect nature of the comparison.</w:t>
      </w:r>
      <w:bookmarkStart w:id="14" w:name="_Toc511661681"/>
    </w:p>
    <w:p w:rsidR="00224029" w:rsidRPr="009F1345" w:rsidRDefault="00224029" w:rsidP="009F1345">
      <w:pPr>
        <w:pStyle w:val="Heading2"/>
        <w:spacing w:before="240" w:after="120"/>
        <w:rPr>
          <w:i w:val="0"/>
        </w:rPr>
      </w:pPr>
      <w:r w:rsidRPr="00C3371F">
        <w:rPr>
          <w:i w:val="0"/>
        </w:rPr>
        <w:t>Clinical claim</w:t>
      </w:r>
      <w:bookmarkEnd w:id="14"/>
    </w:p>
    <w:p w:rsidR="00224029" w:rsidRPr="00C3371F" w:rsidRDefault="00224029" w:rsidP="000B6DBA">
      <w:pPr>
        <w:pStyle w:val="ListParagraph"/>
        <w:widowControl/>
        <w:numPr>
          <w:ilvl w:val="1"/>
          <w:numId w:val="1"/>
        </w:numPr>
      </w:pPr>
      <w:r w:rsidRPr="00C3371F">
        <w:t>The submission described nivolumab as superior in terms of effectiveness and inferior in terms of safety compared to placebo.</w:t>
      </w:r>
    </w:p>
    <w:p w:rsidR="00224029" w:rsidRPr="00C3371F" w:rsidRDefault="00224029" w:rsidP="000B6DBA">
      <w:pPr>
        <w:pStyle w:val="ListParagraph"/>
        <w:widowControl/>
        <w:numPr>
          <w:ilvl w:val="1"/>
          <w:numId w:val="1"/>
        </w:numPr>
      </w:pPr>
      <w:r w:rsidRPr="00C3371F">
        <w:t xml:space="preserve">The </w:t>
      </w:r>
      <w:r w:rsidR="00861E44">
        <w:t>PBAC noted that</w:t>
      </w:r>
      <w:r w:rsidRPr="00C3371F">
        <w:t>:</w:t>
      </w:r>
    </w:p>
    <w:p w:rsidR="00DA5978" w:rsidRPr="00C3371F" w:rsidRDefault="00224029" w:rsidP="000B6DBA">
      <w:pPr>
        <w:pStyle w:val="ListParagraph"/>
        <w:widowControl/>
        <w:numPr>
          <w:ilvl w:val="0"/>
          <w:numId w:val="5"/>
        </w:numPr>
      </w:pPr>
      <w:r w:rsidRPr="00C3371F">
        <w:t>The submission did not provide any evidence for the effectiveness of nivolumab as adjuvant t</w:t>
      </w:r>
      <w:r w:rsidR="00484DE9" w:rsidRPr="00C3371F">
        <w:t xml:space="preserve">herapy in patients </w:t>
      </w:r>
      <w:r w:rsidRPr="00C3371F">
        <w:t>with completely resected Stage IIIA melanoma;</w:t>
      </w:r>
    </w:p>
    <w:p w:rsidR="00DA5978" w:rsidRPr="00C3371F" w:rsidRDefault="00DA5978" w:rsidP="000B6DBA">
      <w:pPr>
        <w:pStyle w:val="ListParagraph"/>
        <w:numPr>
          <w:ilvl w:val="2"/>
          <w:numId w:val="6"/>
        </w:numPr>
        <w:ind w:left="1418"/>
      </w:pPr>
      <w:r w:rsidRPr="00C3371F">
        <w:t>CA184029 failed to demonstrate that adjuvant therapy with ipilimumab was associated with any benefit</w:t>
      </w:r>
      <w:r w:rsidR="00ED42B6" w:rsidRPr="00C3371F">
        <w:t>,</w:t>
      </w:r>
      <w:r w:rsidRPr="00C3371F">
        <w:t xml:space="preserve"> in terms of </w:t>
      </w:r>
      <w:r w:rsidR="00ED42B6" w:rsidRPr="00C3371F">
        <w:t xml:space="preserve">either </w:t>
      </w:r>
      <w:r w:rsidRPr="00C3371F">
        <w:t xml:space="preserve">RFS </w:t>
      </w:r>
      <w:r w:rsidR="006A6C59" w:rsidRPr="00C3371F">
        <w:t>(HR</w:t>
      </w:r>
      <w:r w:rsidR="00801C1F">
        <w:t xml:space="preserve"> =</w:t>
      </w:r>
      <w:r w:rsidR="006A6C59" w:rsidRPr="00C3371F">
        <w:t xml:space="preserve"> </w:t>
      </w:r>
      <w:r w:rsidR="00606797">
        <w:rPr>
          <w:noProof/>
          <w:color w:val="000000"/>
          <w:highlight w:val="black"/>
        </w:rPr>
        <w:t>''''''''</w:t>
      </w:r>
      <w:r w:rsidR="006A6C59" w:rsidRPr="00C3371F">
        <w:t>; 95% confidence interval (CI)</w:t>
      </w:r>
      <w:r w:rsidR="005A7A3B" w:rsidRPr="00C3371F">
        <w:t xml:space="preserve">: </w:t>
      </w:r>
      <w:r w:rsidR="00606797">
        <w:rPr>
          <w:noProof/>
          <w:color w:val="000000"/>
          <w:highlight w:val="black"/>
        </w:rPr>
        <w:t>'''''''''</w:t>
      </w:r>
      <w:r w:rsidR="005A7A3B" w:rsidRPr="002868B6">
        <w:t xml:space="preserve">, </w:t>
      </w:r>
      <w:r w:rsidR="00606797">
        <w:rPr>
          <w:noProof/>
          <w:color w:val="000000"/>
          <w:highlight w:val="black"/>
        </w:rPr>
        <w:t>'''''''''</w:t>
      </w:r>
      <w:r w:rsidR="005A7A3B" w:rsidRPr="002868B6">
        <w:t>) or OS</w:t>
      </w:r>
      <w:r w:rsidR="005A7A3B" w:rsidRPr="00C3371F">
        <w:t xml:space="preserve"> (HR </w:t>
      </w:r>
      <w:r w:rsidR="00801C1F">
        <w:t xml:space="preserve">= </w:t>
      </w:r>
      <w:r w:rsidR="005A7A3B" w:rsidRPr="00C3371F">
        <w:t>0.98; 95% CI: 0.46, 2.09)</w:t>
      </w:r>
      <w:r w:rsidR="00ED42B6" w:rsidRPr="00C3371F">
        <w:t>,</w:t>
      </w:r>
      <w:r w:rsidR="005A7A3B" w:rsidRPr="00C3371F">
        <w:t xml:space="preserve"> </w:t>
      </w:r>
      <w:r w:rsidRPr="00C3371F">
        <w:lastRenderedPageBreak/>
        <w:t xml:space="preserve">compared with placebo in this relatively low risk subgroup </w:t>
      </w:r>
      <w:r w:rsidR="005A7A3B" w:rsidRPr="00C3371F">
        <w:t>(N=186)</w:t>
      </w:r>
      <w:r w:rsidR="00CD2DAC" w:rsidRPr="00C3371F">
        <w:rPr>
          <w:rStyle w:val="FootnoteReference"/>
        </w:rPr>
        <w:footnoteReference w:id="9"/>
      </w:r>
      <w:r w:rsidR="005A7A3B" w:rsidRPr="00C3371F">
        <w:t>;</w:t>
      </w:r>
    </w:p>
    <w:p w:rsidR="006A6D0E" w:rsidRPr="00C3371F" w:rsidRDefault="006A6D0E" w:rsidP="000B6DBA">
      <w:pPr>
        <w:pStyle w:val="ListParagraph"/>
        <w:widowControl/>
        <w:numPr>
          <w:ilvl w:val="0"/>
          <w:numId w:val="5"/>
        </w:numPr>
      </w:pPr>
      <w:r w:rsidRPr="00C3371F">
        <w:t xml:space="preserve">Both trials excluded patients with ocular melanoma; </w:t>
      </w:r>
    </w:p>
    <w:p w:rsidR="00DE4A06" w:rsidRPr="00C3371F" w:rsidRDefault="00DE4A06" w:rsidP="000B6DBA">
      <w:pPr>
        <w:pStyle w:val="ListParagraph"/>
        <w:widowControl/>
        <w:numPr>
          <w:ilvl w:val="0"/>
          <w:numId w:val="5"/>
        </w:numPr>
      </w:pPr>
      <w:r w:rsidRPr="00C3371F">
        <w:t>There w</w:t>
      </w:r>
      <w:r w:rsidR="00DA2CF1" w:rsidRPr="00C3371F">
        <w:t>ere</w:t>
      </w:r>
      <w:r w:rsidRPr="00C3371F">
        <w:t xml:space="preserve"> no comparative data for the effectiveness of nivolumab versus placebo in patients with comple</w:t>
      </w:r>
      <w:r w:rsidR="00322CA2">
        <w:t>tely resected Stage IV melanoma.</w:t>
      </w:r>
    </w:p>
    <w:p w:rsidR="00322CA2" w:rsidRPr="005C7AC1" w:rsidRDefault="00322CA2" w:rsidP="000B6DBA">
      <w:pPr>
        <w:pStyle w:val="ListParagraph"/>
        <w:widowControl/>
        <w:numPr>
          <w:ilvl w:val="1"/>
          <w:numId w:val="1"/>
        </w:numPr>
        <w:rPr>
          <w:lang w:val="en-US"/>
        </w:rPr>
      </w:pPr>
      <w:r w:rsidRPr="005C7AC1">
        <w:t xml:space="preserve">The PSCR stated that patients in CA209238 were included based on AJCC 7th edition criteria, and that a review of patients using the newer AJCC 8th edition criteria (conducted by the sponsor for the TGA during the regulatory process) showed </w:t>
      </w:r>
      <w:r w:rsidR="00606797">
        <w:rPr>
          <w:noProof/>
          <w:color w:val="000000"/>
          <w:highlight w:val="black"/>
        </w:rPr>
        <w:t xml:space="preserve">''''' '''''' </w:t>
      </w:r>
      <w:r w:rsidRPr="00920EFE">
        <w:t xml:space="preserve">patients </w:t>
      </w:r>
      <w:r w:rsidRPr="002868B6">
        <w:t xml:space="preserve">who were </w:t>
      </w:r>
      <w:r w:rsidR="00606797">
        <w:rPr>
          <w:noProof/>
          <w:color w:val="000000"/>
          <w:highlight w:val="black"/>
        </w:rPr>
        <w:t xml:space="preserve">''''''''''''''' </w:t>
      </w:r>
      <w:r w:rsidRPr="002868B6">
        <w:t>and</w:t>
      </w:r>
      <w:r w:rsidR="00606797">
        <w:rPr>
          <w:noProof/>
          <w:color w:val="000000"/>
          <w:highlight w:val="black"/>
        </w:rPr>
        <w:t xml:space="preserve"> ''''''''''''''</w:t>
      </w:r>
      <w:r w:rsidRPr="002868B6">
        <w:t xml:space="preserve"> in the 7th edition</w:t>
      </w:r>
      <w:r w:rsidRPr="005C7AC1">
        <w:t xml:space="preserve"> would now be mapped as IIIA per the 8th edition. The PSCR argued that therefore, CA209238 does provide data across the stages proposed for adjuvant nivolumab on the PBS. For these patients (</w:t>
      </w:r>
      <w:r w:rsidR="00606797">
        <w:rPr>
          <w:noProof/>
          <w:color w:val="000000"/>
          <w:highlight w:val="black"/>
        </w:rPr>
        <w:t>'''''</w:t>
      </w:r>
      <w:r w:rsidRPr="005C7AC1">
        <w:t xml:space="preserve"> in the nivolumab arm; </w:t>
      </w:r>
      <w:r w:rsidR="00606797">
        <w:rPr>
          <w:noProof/>
          <w:color w:val="000000"/>
          <w:highlight w:val="black"/>
        </w:rPr>
        <w:t>''''''</w:t>
      </w:r>
      <w:r w:rsidRPr="005C7AC1">
        <w:t xml:space="preserve"> in the ipilimumab arm), the HR RFS of nivolumab v</w:t>
      </w:r>
      <w:r w:rsidR="00801C1F">
        <w:t>ersus</w:t>
      </w:r>
      <w:r w:rsidRPr="005C7AC1">
        <w:t xml:space="preserve"> ipilimumab was </w:t>
      </w:r>
      <w:r w:rsidR="00606797">
        <w:rPr>
          <w:noProof/>
          <w:color w:val="000000"/>
          <w:highlight w:val="black"/>
        </w:rPr>
        <w:t>'''''''''</w:t>
      </w:r>
      <w:r w:rsidRPr="005C7AC1">
        <w:t xml:space="preserve"> (95% CI: </w:t>
      </w:r>
      <w:r w:rsidR="00606797">
        <w:rPr>
          <w:noProof/>
          <w:color w:val="000000"/>
          <w:highlight w:val="black"/>
        </w:rPr>
        <w:t>'''''''''</w:t>
      </w:r>
      <w:r w:rsidRPr="005C7AC1">
        <w:t xml:space="preserve">, </w:t>
      </w:r>
      <w:r w:rsidR="00606797">
        <w:rPr>
          <w:noProof/>
          <w:color w:val="000000"/>
          <w:highlight w:val="black"/>
        </w:rPr>
        <w:t>''''''''</w:t>
      </w:r>
      <w:r w:rsidRPr="005C7AC1">
        <w:t>; p&lt;</w:t>
      </w:r>
      <w:r w:rsidR="00606797">
        <w:rPr>
          <w:noProof/>
          <w:color w:val="000000"/>
          <w:highlight w:val="black"/>
        </w:rPr>
        <w:t>''''''''''''''</w:t>
      </w:r>
      <w:r w:rsidRPr="005C7AC1">
        <w:t>).</w:t>
      </w:r>
      <w:r w:rsidR="000037DA" w:rsidRPr="005C7AC1">
        <w:t xml:space="preserve"> The ESC noted that the </w:t>
      </w:r>
      <w:r w:rsidR="000037DA" w:rsidRPr="005C7AC1">
        <w:rPr>
          <w:lang w:val="en-US"/>
        </w:rPr>
        <w:t xml:space="preserve">reported p-value for this analysis is not consistent with the 95% confidence interval, which includes values </w:t>
      </w:r>
      <w:r w:rsidR="00606797">
        <w:rPr>
          <w:noProof/>
          <w:color w:val="000000"/>
          <w:highlight w:val="black"/>
          <w:lang w:val="en-US"/>
        </w:rPr>
        <w:t>'''''''''''' '''''' '''''''' ''''''''''''''''' '''''''' '''''' '''''''''''''''''''''' '''''''' ''''''''''''''''''''''''''''''</w:t>
      </w:r>
      <w:r w:rsidR="000037DA" w:rsidRPr="005C7AC1">
        <w:rPr>
          <w:lang w:val="en-US"/>
        </w:rPr>
        <w:t xml:space="preserve">. This was a post hoc subgroup analysis, and </w:t>
      </w:r>
      <w:proofErr w:type="spellStart"/>
      <w:r w:rsidR="000037DA" w:rsidRPr="005C7AC1">
        <w:rPr>
          <w:lang w:val="en-US"/>
        </w:rPr>
        <w:t>randomisation</w:t>
      </w:r>
      <w:proofErr w:type="spellEnd"/>
      <w:r w:rsidR="000037DA" w:rsidRPr="005C7AC1">
        <w:rPr>
          <w:lang w:val="en-US"/>
        </w:rPr>
        <w:t xml:space="preserve"> was not stratified by the 8th edition AJCC staging criteria. Baseline demographic and disease characteristics for these patients were not provided. Therefore, the </w:t>
      </w:r>
      <w:r w:rsidR="005A5EC7">
        <w:rPr>
          <w:lang w:val="en-US"/>
        </w:rPr>
        <w:t xml:space="preserve">PBAC and </w:t>
      </w:r>
      <w:r w:rsidR="000037DA" w:rsidRPr="005C7AC1">
        <w:rPr>
          <w:lang w:val="en-US"/>
        </w:rPr>
        <w:t>ESC advised that results of this analysis should be interpreted with caution.</w:t>
      </w:r>
    </w:p>
    <w:p w:rsidR="00224029" w:rsidRPr="00C3371F" w:rsidRDefault="00224029" w:rsidP="000B6DBA">
      <w:pPr>
        <w:pStyle w:val="ListParagraph"/>
        <w:widowControl/>
        <w:numPr>
          <w:ilvl w:val="1"/>
          <w:numId w:val="1"/>
        </w:numPr>
      </w:pPr>
      <w:r w:rsidRPr="00C3371F">
        <w:t xml:space="preserve">Given the immaturity of the RFS data in CA209238 and the transitivity issues in the indirect comparison, </w:t>
      </w:r>
      <w:r w:rsidR="00861E44">
        <w:t xml:space="preserve">the PBAC considered that </w:t>
      </w:r>
      <w:r w:rsidRPr="00C3371F">
        <w:t>the magnitude of the treatment effect, in terms of RFS, was highly uncertain.</w:t>
      </w:r>
    </w:p>
    <w:p w:rsidR="002D10E6" w:rsidRDefault="00861E44" w:rsidP="000B6DBA">
      <w:pPr>
        <w:pStyle w:val="ListParagraph"/>
        <w:widowControl/>
        <w:numPr>
          <w:ilvl w:val="1"/>
          <w:numId w:val="1"/>
        </w:numPr>
      </w:pPr>
      <w:r>
        <w:t>The PBAC noted that t</w:t>
      </w:r>
      <w:r w:rsidR="00224029" w:rsidRPr="00C3371F">
        <w:t>here was no direct clinical evidence that th</w:t>
      </w:r>
      <w:r w:rsidR="004A2301" w:rsidRPr="00C3371F">
        <w:t>e</w:t>
      </w:r>
      <w:r w:rsidR="00224029" w:rsidRPr="00C3371F">
        <w:t xml:space="preserve"> improvement in RFS translates to an improvement in OS once the effect of differences in subsequent lines of therapy in patients with recurrent disease are taken into account</w:t>
      </w:r>
      <w:r>
        <w:t xml:space="preserve">. </w:t>
      </w:r>
      <w:r w:rsidR="00224029" w:rsidRPr="00C3371F">
        <w:t xml:space="preserve">As the availability of nivolumab for use as adjuvant therapy is likely to alter subsequent management of recurrent disease, especially the use of PD-1 inhibitors as first- or later-line treatment for unresectable Stage III and Stage IV disease, the effect of these differences in subsequent therapies on </w:t>
      </w:r>
      <w:r w:rsidR="005A5EC7">
        <w:t>OS</w:t>
      </w:r>
      <w:r w:rsidR="00224029" w:rsidRPr="00C3371F">
        <w:t xml:space="preserve"> also </w:t>
      </w:r>
      <w:r w:rsidR="00FA5170" w:rsidRPr="00C3371F">
        <w:t xml:space="preserve">needs to </w:t>
      </w:r>
      <w:r w:rsidR="00224029" w:rsidRPr="00C3371F">
        <w:t>be considered.</w:t>
      </w:r>
    </w:p>
    <w:p w:rsidR="00861E44" w:rsidRPr="00C772F3" w:rsidRDefault="00861E44" w:rsidP="000B6DBA">
      <w:pPr>
        <w:pStyle w:val="ListParagraph"/>
        <w:widowControl/>
        <w:numPr>
          <w:ilvl w:val="1"/>
          <w:numId w:val="1"/>
        </w:numPr>
      </w:pPr>
      <w:r w:rsidRPr="0041506F">
        <w:rPr>
          <w:rFonts w:asciiTheme="minorHAnsi" w:hAnsiTheme="minorHAnsi"/>
          <w:szCs w:val="20"/>
        </w:rPr>
        <w:t xml:space="preserve">The PBAC considered that the claim </w:t>
      </w:r>
      <w:r w:rsidR="005A5EC7">
        <w:rPr>
          <w:rFonts w:asciiTheme="minorHAnsi" w:hAnsiTheme="minorHAnsi"/>
          <w:szCs w:val="20"/>
        </w:rPr>
        <w:t xml:space="preserve">that nivolumab was </w:t>
      </w:r>
      <w:r w:rsidRPr="0041506F">
        <w:rPr>
          <w:rFonts w:asciiTheme="minorHAnsi" w:hAnsiTheme="minorHAnsi"/>
          <w:szCs w:val="20"/>
        </w:rPr>
        <w:t xml:space="preserve">superior </w:t>
      </w:r>
      <w:r w:rsidR="005A5EC7">
        <w:rPr>
          <w:rFonts w:asciiTheme="minorHAnsi" w:hAnsiTheme="minorHAnsi"/>
          <w:szCs w:val="20"/>
        </w:rPr>
        <w:t xml:space="preserve">to placebo in terms of </w:t>
      </w:r>
      <w:r w:rsidRPr="0041506F">
        <w:rPr>
          <w:rFonts w:asciiTheme="minorHAnsi" w:hAnsiTheme="minorHAnsi"/>
          <w:szCs w:val="20"/>
        </w:rPr>
        <w:t xml:space="preserve">comparative effectiveness was </w:t>
      </w:r>
      <w:r w:rsidR="005A5EC7">
        <w:rPr>
          <w:rFonts w:asciiTheme="minorHAnsi" w:hAnsiTheme="minorHAnsi"/>
          <w:szCs w:val="20"/>
        </w:rPr>
        <w:t>reasonable; however, the magnitude of the treatment effect was highly uncertain</w:t>
      </w:r>
      <w:r w:rsidRPr="0041506F">
        <w:rPr>
          <w:rFonts w:asciiTheme="minorHAnsi" w:hAnsiTheme="minorHAnsi"/>
          <w:szCs w:val="20"/>
        </w:rPr>
        <w:t>.</w:t>
      </w:r>
    </w:p>
    <w:p w:rsidR="00224029" w:rsidRDefault="00224029" w:rsidP="000B6DBA">
      <w:pPr>
        <w:pStyle w:val="ListParagraph"/>
        <w:widowControl/>
        <w:numPr>
          <w:ilvl w:val="1"/>
          <w:numId w:val="1"/>
        </w:numPr>
      </w:pPr>
      <w:r w:rsidRPr="00C3371F">
        <w:t xml:space="preserve">The </w:t>
      </w:r>
      <w:r w:rsidR="00861E44">
        <w:t xml:space="preserve">PBAC considered that the </w:t>
      </w:r>
      <w:r w:rsidR="004A2301" w:rsidRPr="00C3371F">
        <w:t>claim</w:t>
      </w:r>
      <w:r w:rsidRPr="00C3371F">
        <w:t xml:space="preserve"> that nivolumab was inferior to placebo in terms of </w:t>
      </w:r>
      <w:r w:rsidR="00861E44">
        <w:t xml:space="preserve">comparative </w:t>
      </w:r>
      <w:r w:rsidRPr="00C3371F">
        <w:t xml:space="preserve">safety was </w:t>
      </w:r>
      <w:r w:rsidR="00861E44">
        <w:t>reasonable</w:t>
      </w:r>
      <w:r w:rsidRPr="00C3371F">
        <w:t>.</w:t>
      </w:r>
    </w:p>
    <w:p w:rsidR="00F63678" w:rsidRPr="009B3F10" w:rsidRDefault="00F63678" w:rsidP="0041506F">
      <w:pPr>
        <w:pStyle w:val="ListParagraph"/>
        <w:widowControl/>
        <w:spacing w:after="120"/>
        <w:ind w:left="810"/>
        <w:rPr>
          <w:rFonts w:asciiTheme="minorHAnsi" w:hAnsiTheme="minorHAnsi"/>
          <w:szCs w:val="20"/>
          <w:highlight w:val="yellow"/>
        </w:rPr>
      </w:pPr>
    </w:p>
    <w:p w:rsidR="00660934" w:rsidRPr="009F1345" w:rsidRDefault="00660934" w:rsidP="009F1345">
      <w:pPr>
        <w:pStyle w:val="Heading2"/>
        <w:keepNext/>
        <w:keepLines/>
        <w:spacing w:before="240" w:after="120"/>
        <w:rPr>
          <w:i w:val="0"/>
        </w:rPr>
      </w:pPr>
      <w:bookmarkStart w:id="15" w:name="_Toc511318442"/>
      <w:bookmarkStart w:id="16" w:name="_Toc511661682"/>
      <w:r w:rsidRPr="00C3371F">
        <w:rPr>
          <w:i w:val="0"/>
        </w:rPr>
        <w:lastRenderedPageBreak/>
        <w:t>Economic analysis</w:t>
      </w:r>
      <w:bookmarkEnd w:id="15"/>
      <w:bookmarkEnd w:id="16"/>
      <w:r w:rsidRPr="00C3371F">
        <w:rPr>
          <w:i w:val="0"/>
        </w:rPr>
        <w:t xml:space="preserve"> </w:t>
      </w:r>
    </w:p>
    <w:p w:rsidR="00C940C4" w:rsidRPr="005C7AC1" w:rsidRDefault="00C940C4" w:rsidP="002868B6">
      <w:pPr>
        <w:pStyle w:val="ListParagraph"/>
        <w:keepNext/>
        <w:keepLines/>
        <w:widowControl/>
        <w:numPr>
          <w:ilvl w:val="1"/>
          <w:numId w:val="1"/>
        </w:numPr>
      </w:pPr>
      <w:r w:rsidRPr="00C3371F">
        <w:t xml:space="preserve">The submission presented a </w:t>
      </w:r>
      <w:r w:rsidR="00AD3327" w:rsidRPr="00C3371F">
        <w:t xml:space="preserve">cost-utility analysis </w:t>
      </w:r>
      <w:r w:rsidRPr="00C3371F">
        <w:t>based on the indirect comparison of randomised trials</w:t>
      </w:r>
      <w:r w:rsidR="00542DB9">
        <w:t xml:space="preserve"> comparing nivolumab with the main comparator observation</w:t>
      </w:r>
      <w:r w:rsidRPr="00C3371F">
        <w:t xml:space="preserve">. </w:t>
      </w:r>
    </w:p>
    <w:p w:rsidR="00C940C4" w:rsidRPr="00C3371F" w:rsidRDefault="00C940C4" w:rsidP="002868B6">
      <w:pPr>
        <w:pStyle w:val="ListParagraph"/>
        <w:keepNext/>
        <w:keepLines/>
        <w:widowControl/>
        <w:numPr>
          <w:ilvl w:val="1"/>
          <w:numId w:val="1"/>
        </w:numPr>
      </w:pPr>
      <w:r w:rsidRPr="00C3371F">
        <w:t>A summary of the key components of the economic evaluation is presented in the table below.</w:t>
      </w:r>
    </w:p>
    <w:p w:rsidR="00C940C4" w:rsidRPr="00C3371F" w:rsidRDefault="00C940C4" w:rsidP="00C940C4">
      <w:pPr>
        <w:pStyle w:val="Caption"/>
        <w:keepNext/>
        <w:rPr>
          <w:rStyle w:val="CommentReference"/>
          <w:b/>
        </w:rPr>
      </w:pPr>
      <w:r w:rsidRPr="00C3371F">
        <w:rPr>
          <w:rStyle w:val="CommentReference"/>
          <w:b/>
        </w:rPr>
        <w:t xml:space="preserve">Table </w:t>
      </w:r>
      <w:r w:rsidR="00C47B15">
        <w:rPr>
          <w:rStyle w:val="CommentReference"/>
          <w:b/>
          <w:noProof/>
        </w:rPr>
        <w:t>8</w:t>
      </w:r>
      <w:r w:rsidRPr="00C3371F">
        <w:rPr>
          <w:rStyle w:val="CommentReference"/>
          <w:b/>
        </w:rPr>
        <w:t>: Summary of model structure and rationale</w:t>
      </w:r>
    </w:p>
    <w:tbl>
      <w:tblPr>
        <w:tblStyle w:val="Summarybox2"/>
        <w:tblW w:w="5000" w:type="pct"/>
        <w:tblLook w:val="0000" w:firstRow="0" w:lastRow="0" w:firstColumn="0" w:lastColumn="0" w:noHBand="0" w:noVBand="0"/>
        <w:tblCaption w:val="Table 8: Summary of model structure and rationale"/>
      </w:tblPr>
      <w:tblGrid>
        <w:gridCol w:w="1667"/>
        <w:gridCol w:w="7576"/>
      </w:tblGrid>
      <w:tr w:rsidR="00C940C4" w:rsidRPr="00C3371F" w:rsidTr="009F1345">
        <w:trPr>
          <w:trHeight w:val="110"/>
          <w:tblHeader/>
        </w:trPr>
        <w:tc>
          <w:tcPr>
            <w:tcW w:w="902" w:type="pct"/>
          </w:tcPr>
          <w:p w:rsidR="00C940C4" w:rsidRPr="00C3371F" w:rsidRDefault="00C940C4" w:rsidP="00C940C4">
            <w:pPr>
              <w:pStyle w:val="TableHead"/>
            </w:pPr>
            <w:r w:rsidRPr="00C3371F">
              <w:t xml:space="preserve">Component </w:t>
            </w:r>
          </w:p>
        </w:tc>
        <w:tc>
          <w:tcPr>
            <w:tcW w:w="4098" w:type="pct"/>
          </w:tcPr>
          <w:p w:rsidR="00C940C4" w:rsidRPr="00C3371F" w:rsidRDefault="00C940C4" w:rsidP="00C940C4">
            <w:pPr>
              <w:pStyle w:val="TableHead"/>
              <w:jc w:val="center"/>
            </w:pPr>
            <w:r w:rsidRPr="00C3371F">
              <w:t>Summary</w:t>
            </w:r>
          </w:p>
        </w:tc>
      </w:tr>
      <w:tr w:rsidR="00C940C4" w:rsidRPr="00C3371F" w:rsidTr="00C940C4">
        <w:trPr>
          <w:trHeight w:val="93"/>
        </w:trPr>
        <w:tc>
          <w:tcPr>
            <w:tcW w:w="902" w:type="pct"/>
          </w:tcPr>
          <w:p w:rsidR="00C940C4" w:rsidRPr="00C3371F" w:rsidRDefault="00C940C4" w:rsidP="00C940C4">
            <w:pPr>
              <w:pStyle w:val="Tabletext"/>
            </w:pPr>
            <w:r w:rsidRPr="00C3371F">
              <w:t xml:space="preserve">Outcomes </w:t>
            </w:r>
          </w:p>
        </w:tc>
        <w:tc>
          <w:tcPr>
            <w:tcW w:w="4098" w:type="pct"/>
          </w:tcPr>
          <w:p w:rsidR="00C940C4" w:rsidRPr="00C3371F" w:rsidRDefault="00C940C4" w:rsidP="00C940C4">
            <w:pPr>
              <w:pStyle w:val="Tabletext"/>
            </w:pPr>
            <w:r w:rsidRPr="00C3371F">
              <w:t>Life years; Quality-adjusted life years. These outcomes are appropriate.</w:t>
            </w:r>
          </w:p>
        </w:tc>
      </w:tr>
      <w:tr w:rsidR="00C940C4" w:rsidRPr="00C3371F" w:rsidTr="00C940C4">
        <w:trPr>
          <w:trHeight w:val="93"/>
        </w:trPr>
        <w:tc>
          <w:tcPr>
            <w:tcW w:w="902" w:type="pct"/>
          </w:tcPr>
          <w:p w:rsidR="00C940C4" w:rsidRPr="00C3371F" w:rsidRDefault="00C940C4" w:rsidP="00C940C4">
            <w:pPr>
              <w:pStyle w:val="Tabletext"/>
            </w:pPr>
            <w:r w:rsidRPr="00C3371F">
              <w:t xml:space="preserve">Time horizon </w:t>
            </w:r>
          </w:p>
        </w:tc>
        <w:tc>
          <w:tcPr>
            <w:tcW w:w="4098" w:type="pct"/>
          </w:tcPr>
          <w:p w:rsidR="00C940C4" w:rsidRPr="00C3371F" w:rsidRDefault="00606797" w:rsidP="00C940C4">
            <w:pPr>
              <w:pStyle w:val="Tabletext"/>
            </w:pPr>
            <w:r>
              <w:rPr>
                <w:noProof/>
                <w:color w:val="000000"/>
                <w:highlight w:val="black"/>
              </w:rPr>
              <w:t>''''''</w:t>
            </w:r>
            <w:r w:rsidR="00C940C4" w:rsidRPr="00C3371F">
              <w:t xml:space="preserve"> years in the model base case. The submission argued that </w:t>
            </w:r>
            <w:r>
              <w:rPr>
                <w:noProof/>
                <w:color w:val="000000"/>
                <w:highlight w:val="black"/>
              </w:rPr>
              <w:t>''' ''''''''''''''''' ''''''''''''''''</w:t>
            </w:r>
            <w:r w:rsidR="00C940C4" w:rsidRPr="00C3371F">
              <w:t xml:space="preserve"> was appropriate to capture </w:t>
            </w:r>
            <w:r w:rsidR="00C940C4" w:rsidRPr="002868B6">
              <w:t xml:space="preserve">differences in </w:t>
            </w:r>
            <w:r w:rsidR="001F50D9" w:rsidRPr="002868B6">
              <w:t>survival</w:t>
            </w:r>
            <w:r w:rsidR="00C940C4" w:rsidRPr="002868B6">
              <w:t>.</w:t>
            </w:r>
          </w:p>
        </w:tc>
      </w:tr>
      <w:tr w:rsidR="00C940C4" w:rsidRPr="00C3371F" w:rsidTr="00C940C4">
        <w:trPr>
          <w:trHeight w:val="93"/>
        </w:trPr>
        <w:tc>
          <w:tcPr>
            <w:tcW w:w="902" w:type="pct"/>
          </w:tcPr>
          <w:p w:rsidR="00C940C4" w:rsidRPr="00C3371F" w:rsidRDefault="00C940C4" w:rsidP="00DA70FC">
            <w:pPr>
              <w:pStyle w:val="Tabletext"/>
            </w:pPr>
            <w:r w:rsidRPr="00C3371F">
              <w:t xml:space="preserve">Method used to generate results </w:t>
            </w:r>
          </w:p>
        </w:tc>
        <w:tc>
          <w:tcPr>
            <w:tcW w:w="4098" w:type="pct"/>
          </w:tcPr>
          <w:p w:rsidR="00C940C4" w:rsidRPr="00C3371F" w:rsidRDefault="00C940C4" w:rsidP="00C940C4">
            <w:pPr>
              <w:pStyle w:val="Tabletext"/>
            </w:pPr>
            <w:r w:rsidRPr="00C3371F">
              <w:t>Cohort analysis using a partitioned-survival approach.</w:t>
            </w:r>
          </w:p>
        </w:tc>
      </w:tr>
      <w:tr w:rsidR="00C940C4" w:rsidRPr="00C3371F" w:rsidTr="00C940C4">
        <w:trPr>
          <w:trHeight w:val="93"/>
        </w:trPr>
        <w:tc>
          <w:tcPr>
            <w:tcW w:w="902" w:type="pct"/>
          </w:tcPr>
          <w:p w:rsidR="00C940C4" w:rsidRPr="00C3371F" w:rsidRDefault="00C940C4" w:rsidP="00C940C4">
            <w:pPr>
              <w:pStyle w:val="Tabletext"/>
            </w:pPr>
            <w:r w:rsidRPr="00C3371F">
              <w:t xml:space="preserve">Health states </w:t>
            </w:r>
          </w:p>
        </w:tc>
        <w:tc>
          <w:tcPr>
            <w:tcW w:w="4098" w:type="pct"/>
          </w:tcPr>
          <w:p w:rsidR="00C940C4" w:rsidRPr="00C3371F" w:rsidRDefault="00C940C4" w:rsidP="00046244">
            <w:pPr>
              <w:pStyle w:val="Tabletext"/>
            </w:pPr>
            <w:r w:rsidRPr="00C3371F">
              <w:t xml:space="preserve">Recurrence free disease; Recurrent disease; Death. </w:t>
            </w:r>
          </w:p>
        </w:tc>
      </w:tr>
      <w:tr w:rsidR="00C940C4" w:rsidRPr="00C3371F" w:rsidTr="00C940C4">
        <w:trPr>
          <w:trHeight w:val="93"/>
        </w:trPr>
        <w:tc>
          <w:tcPr>
            <w:tcW w:w="902" w:type="pct"/>
          </w:tcPr>
          <w:p w:rsidR="00C940C4" w:rsidRPr="00C3371F" w:rsidRDefault="00C940C4" w:rsidP="00C940C4">
            <w:pPr>
              <w:pStyle w:val="Tabletext"/>
            </w:pPr>
            <w:r w:rsidRPr="00C3371F">
              <w:t xml:space="preserve">Cycle length </w:t>
            </w:r>
          </w:p>
        </w:tc>
        <w:tc>
          <w:tcPr>
            <w:tcW w:w="4098" w:type="pct"/>
          </w:tcPr>
          <w:p w:rsidR="00C940C4" w:rsidRPr="00C3371F" w:rsidRDefault="00C940C4" w:rsidP="00C940C4">
            <w:pPr>
              <w:pStyle w:val="Tabletext"/>
            </w:pPr>
            <w:r w:rsidRPr="00C3371F">
              <w:t xml:space="preserve">3 monthly cycles. This is reasonable. </w:t>
            </w:r>
          </w:p>
        </w:tc>
      </w:tr>
      <w:tr w:rsidR="00C940C4" w:rsidRPr="00C3371F" w:rsidTr="00C940C4">
        <w:trPr>
          <w:trHeight w:val="93"/>
        </w:trPr>
        <w:tc>
          <w:tcPr>
            <w:tcW w:w="902" w:type="pct"/>
          </w:tcPr>
          <w:p w:rsidR="00C940C4" w:rsidRPr="00C3371F" w:rsidRDefault="00C940C4" w:rsidP="00C940C4">
            <w:pPr>
              <w:pStyle w:val="Tabletext"/>
            </w:pPr>
            <w:r w:rsidRPr="00C3371F">
              <w:t xml:space="preserve">Transition probabilities </w:t>
            </w:r>
          </w:p>
        </w:tc>
        <w:tc>
          <w:tcPr>
            <w:tcW w:w="4098" w:type="pct"/>
          </w:tcPr>
          <w:p w:rsidR="00C940C4" w:rsidRPr="00C3371F" w:rsidRDefault="00C940C4" w:rsidP="00C940C4">
            <w:pPr>
              <w:pStyle w:val="Tabletext"/>
            </w:pPr>
            <w:r w:rsidRPr="00C3371F">
              <w:t>No specific transition probabilities are modelled.</w:t>
            </w:r>
          </w:p>
          <w:p w:rsidR="00C940C4" w:rsidRPr="00C3371F" w:rsidRDefault="00C940C4" w:rsidP="00C940C4">
            <w:pPr>
              <w:pStyle w:val="Tabletext"/>
            </w:pPr>
            <w:r w:rsidRPr="00C3371F">
              <w:t xml:space="preserve">Health state allocation over time determined by RFS and OS curves. </w:t>
            </w:r>
            <w:r w:rsidRPr="00AD3327">
              <w:t>See</w:t>
            </w:r>
            <w:r w:rsidRPr="00AD3327">
              <w:rPr>
                <w:b/>
              </w:rPr>
              <w:t xml:space="preserve"> </w:t>
            </w:r>
            <w:r w:rsidR="00C47B15" w:rsidRPr="00C3371F">
              <w:rPr>
                <w:rStyle w:val="CommentReference"/>
                <w:b w:val="0"/>
              </w:rPr>
              <w:t xml:space="preserve">Table </w:t>
            </w:r>
            <w:r w:rsidR="00C47B15">
              <w:rPr>
                <w:rStyle w:val="CommentReference"/>
                <w:b w:val="0"/>
                <w:noProof/>
              </w:rPr>
              <w:t>9</w:t>
            </w:r>
            <w:r w:rsidRPr="00AD3327">
              <w:t xml:space="preserve"> for details.</w:t>
            </w:r>
          </w:p>
        </w:tc>
      </w:tr>
      <w:tr w:rsidR="00C940C4" w:rsidRPr="00C3371F" w:rsidTr="00C940C4">
        <w:trPr>
          <w:trHeight w:val="93"/>
        </w:trPr>
        <w:tc>
          <w:tcPr>
            <w:tcW w:w="902" w:type="pct"/>
          </w:tcPr>
          <w:p w:rsidR="00C940C4" w:rsidRPr="00C3371F" w:rsidRDefault="00C940C4" w:rsidP="00C940C4">
            <w:pPr>
              <w:pStyle w:val="Tabletext"/>
            </w:pPr>
            <w:r w:rsidRPr="00C3371F">
              <w:t>Discounting</w:t>
            </w:r>
          </w:p>
        </w:tc>
        <w:tc>
          <w:tcPr>
            <w:tcW w:w="4098" w:type="pct"/>
          </w:tcPr>
          <w:p w:rsidR="00C940C4" w:rsidRPr="00C3371F" w:rsidRDefault="00C940C4" w:rsidP="00C940C4">
            <w:pPr>
              <w:pStyle w:val="Tabletext"/>
            </w:pPr>
            <w:r w:rsidRPr="00C3371F">
              <w:t xml:space="preserve">5% for outcomes and costs. </w:t>
            </w:r>
          </w:p>
        </w:tc>
      </w:tr>
      <w:tr w:rsidR="00C940C4" w:rsidRPr="00C3371F" w:rsidTr="00C940C4">
        <w:trPr>
          <w:trHeight w:val="93"/>
        </w:trPr>
        <w:tc>
          <w:tcPr>
            <w:tcW w:w="902" w:type="pct"/>
          </w:tcPr>
          <w:p w:rsidR="00C940C4" w:rsidRPr="00C3371F" w:rsidRDefault="00C940C4" w:rsidP="00C940C4">
            <w:pPr>
              <w:pStyle w:val="Tabletext"/>
            </w:pPr>
            <w:r w:rsidRPr="00C3371F">
              <w:t xml:space="preserve">Software </w:t>
            </w:r>
          </w:p>
        </w:tc>
        <w:tc>
          <w:tcPr>
            <w:tcW w:w="4098" w:type="pct"/>
          </w:tcPr>
          <w:p w:rsidR="00C940C4" w:rsidRPr="00C3371F" w:rsidRDefault="00C940C4" w:rsidP="00C940C4">
            <w:pPr>
              <w:pStyle w:val="Tabletext"/>
            </w:pPr>
            <w:r w:rsidRPr="00C3371F">
              <w:t xml:space="preserve">Excel 2016 </w:t>
            </w:r>
          </w:p>
        </w:tc>
      </w:tr>
    </w:tbl>
    <w:p w:rsidR="00C940C4" w:rsidRPr="00C3371F" w:rsidRDefault="00DA70FC" w:rsidP="00C940C4">
      <w:pPr>
        <w:pStyle w:val="TableFooter"/>
        <w:rPr>
          <w:rStyle w:val="CommentReference"/>
          <w:b w:val="0"/>
          <w:sz w:val="18"/>
          <w:szCs w:val="22"/>
        </w:rPr>
      </w:pPr>
      <w:r>
        <w:rPr>
          <w:rStyle w:val="CommentReference"/>
          <w:b w:val="0"/>
          <w:sz w:val="18"/>
          <w:szCs w:val="22"/>
        </w:rPr>
        <w:t xml:space="preserve">OS = overall survival; </w:t>
      </w:r>
      <w:r w:rsidRPr="00C3371F">
        <w:rPr>
          <w:rStyle w:val="CommentReference"/>
          <w:b w:val="0"/>
          <w:sz w:val="18"/>
          <w:szCs w:val="22"/>
        </w:rPr>
        <w:t xml:space="preserve">RFS = recurrence-free </w:t>
      </w:r>
      <w:r>
        <w:rPr>
          <w:rStyle w:val="CommentReference"/>
          <w:b w:val="0"/>
          <w:sz w:val="18"/>
          <w:szCs w:val="22"/>
        </w:rPr>
        <w:t>survival</w:t>
      </w:r>
    </w:p>
    <w:p w:rsidR="00C940C4" w:rsidRPr="00C3371F" w:rsidRDefault="00C940C4" w:rsidP="00C940C4">
      <w:pPr>
        <w:pStyle w:val="TableFooter"/>
        <w:rPr>
          <w:rStyle w:val="CommentReference"/>
          <w:b w:val="0"/>
          <w:sz w:val="18"/>
          <w:szCs w:val="22"/>
        </w:rPr>
      </w:pPr>
      <w:r w:rsidRPr="00C3371F">
        <w:rPr>
          <w:rStyle w:val="CommentReference"/>
          <w:b w:val="0"/>
          <w:sz w:val="18"/>
          <w:szCs w:val="22"/>
        </w:rPr>
        <w:t xml:space="preserve">Source: Table 66, p125 </w:t>
      </w:r>
      <w:r w:rsidRPr="00AD3327">
        <w:rPr>
          <w:rStyle w:val="CommentReference"/>
          <w:b w:val="0"/>
          <w:sz w:val="18"/>
          <w:szCs w:val="22"/>
        </w:rPr>
        <w:t>Section 3 of the submission</w:t>
      </w:r>
    </w:p>
    <w:p w:rsidR="00C940C4" w:rsidRPr="00C3371F" w:rsidRDefault="00C940C4" w:rsidP="00C940C4"/>
    <w:p w:rsidR="00C940C4" w:rsidRPr="00C3371F" w:rsidRDefault="00C940C4" w:rsidP="000B6DBA">
      <w:pPr>
        <w:pStyle w:val="ListParagraph"/>
        <w:widowControl/>
        <w:numPr>
          <w:ilvl w:val="1"/>
          <w:numId w:val="1"/>
        </w:numPr>
      </w:pPr>
      <w:r w:rsidRPr="00C3371F">
        <w:t>The model included three health states – recurrence-free, recurrence and death. The application of static costs and utilities to each health state may not accurately reflect the outcomes of patients treated in the adjuvant setting in terms of both costs and utilities over the time horizon of the model (</w:t>
      </w:r>
      <w:r w:rsidR="00606797">
        <w:rPr>
          <w:noProof/>
          <w:color w:val="000000"/>
          <w:highlight w:val="black"/>
        </w:rPr>
        <w:t xml:space="preserve">'''''' </w:t>
      </w:r>
      <w:r w:rsidRPr="00C3371F">
        <w:t xml:space="preserve">years). </w:t>
      </w:r>
    </w:p>
    <w:p w:rsidR="00C940C4" w:rsidRPr="00C3371F" w:rsidRDefault="00C940C4" w:rsidP="000B6DBA">
      <w:pPr>
        <w:pStyle w:val="ListParagraph"/>
        <w:widowControl/>
        <w:numPr>
          <w:ilvl w:val="0"/>
          <w:numId w:val="5"/>
        </w:numPr>
      </w:pPr>
      <w:r w:rsidRPr="00C3371F">
        <w:t>Recurrence after adjuvant treatment could include a heterogeneous population (e</w:t>
      </w:r>
      <w:r w:rsidR="00746A07" w:rsidRPr="00C3371F">
        <w:t>.</w:t>
      </w:r>
      <w:r w:rsidRPr="00C3371F">
        <w:t>g</w:t>
      </w:r>
      <w:r w:rsidR="00746A07" w:rsidRPr="00C3371F">
        <w:t>.</w:t>
      </w:r>
      <w:r w:rsidRPr="00C3371F">
        <w:t xml:space="preserve"> recurrence with local v</w:t>
      </w:r>
      <w:r w:rsidR="00801C1F">
        <w:t>ersu</w:t>
      </w:r>
      <w:r w:rsidRPr="00C3371F">
        <w:t>s distant metastasis etc</w:t>
      </w:r>
      <w:r w:rsidR="00746A07" w:rsidRPr="00C3371F">
        <w:t>.</w:t>
      </w:r>
      <w:r w:rsidRPr="00C3371F">
        <w:t xml:space="preserve">) with different final health outcomes. It is unlikely that costs and utilities for the recurrent disease health state will remain static throughout the time horizon of the model. </w:t>
      </w:r>
    </w:p>
    <w:p w:rsidR="00C940C4" w:rsidRPr="00C3371F" w:rsidRDefault="00C940C4" w:rsidP="000B6DBA">
      <w:pPr>
        <w:pStyle w:val="ListParagraph"/>
        <w:widowControl/>
        <w:numPr>
          <w:ilvl w:val="0"/>
          <w:numId w:val="5"/>
        </w:numPr>
      </w:pPr>
      <w:r w:rsidRPr="00C3371F">
        <w:t>The submission has assumed the same costs in each of the treatment arms. As noted earlier, the availability of nivolumab as an adjuvant treatment may alter the subsequent management of recurrent disease, especially the use of PD-1 inhibitors as treatment for unresectable Stage III and Stage IV disease. The model did not capture these potential differences, in terms of either cost or health outcomes.</w:t>
      </w:r>
    </w:p>
    <w:p w:rsidR="00C446D2" w:rsidRPr="005C7AC1" w:rsidRDefault="00C446D2" w:rsidP="000B6DBA">
      <w:pPr>
        <w:pStyle w:val="ListParagraph"/>
        <w:widowControl/>
        <w:numPr>
          <w:ilvl w:val="1"/>
          <w:numId w:val="1"/>
        </w:numPr>
      </w:pPr>
      <w:r w:rsidRPr="005C7AC1">
        <w:t xml:space="preserve">The PSCR argued that the population following recurrence is not particularly heterogeneous. It stated that of all recurrences observed in CA209238 approximately </w:t>
      </w:r>
      <w:r w:rsidR="00606797">
        <w:rPr>
          <w:noProof/>
          <w:color w:val="000000"/>
          <w:highlight w:val="black"/>
        </w:rPr>
        <w:t>'''''</w:t>
      </w:r>
      <w:r w:rsidRPr="005C7AC1">
        <w:t>% (</w:t>
      </w:r>
      <w:r w:rsidR="00606797">
        <w:rPr>
          <w:noProof/>
          <w:color w:val="000000"/>
          <w:highlight w:val="black"/>
        </w:rPr>
        <w:t>''''''''</w:t>
      </w:r>
      <w:r w:rsidRPr="005C7AC1">
        <w:t>/</w:t>
      </w:r>
      <w:r w:rsidR="00606797">
        <w:rPr>
          <w:noProof/>
          <w:color w:val="000000"/>
          <w:highlight w:val="black"/>
        </w:rPr>
        <w:t>'''''''</w:t>
      </w:r>
      <w:r w:rsidRPr="005C7AC1">
        <w:t>) were either regional recurrence (</w:t>
      </w:r>
      <w:r w:rsidR="00606797">
        <w:rPr>
          <w:noProof/>
          <w:color w:val="000000"/>
          <w:highlight w:val="black"/>
        </w:rPr>
        <w:t>'''''</w:t>
      </w:r>
      <w:r w:rsidRPr="005C7AC1">
        <w:t>/</w:t>
      </w:r>
      <w:r w:rsidR="00606797">
        <w:rPr>
          <w:noProof/>
          <w:color w:val="000000"/>
          <w:highlight w:val="black"/>
        </w:rPr>
        <w:t>'''''''</w:t>
      </w:r>
      <w:r w:rsidRPr="005C7AC1">
        <w:t xml:space="preserve">) or distant </w:t>
      </w:r>
      <w:r w:rsidRPr="002868B6">
        <w:t>metastasis (</w:t>
      </w:r>
      <w:r w:rsidR="00606797">
        <w:rPr>
          <w:noProof/>
          <w:color w:val="000000"/>
          <w:highlight w:val="black"/>
        </w:rPr>
        <w:t>''''''''</w:t>
      </w:r>
      <w:r w:rsidRPr="002868B6">
        <w:t>/</w:t>
      </w:r>
      <w:r w:rsidR="00920EFE" w:rsidRPr="002868B6">
        <w:t>355</w:t>
      </w:r>
      <w:r w:rsidRPr="002868B6">
        <w:t>), with this proportion</w:t>
      </w:r>
      <w:r w:rsidRPr="005C7AC1">
        <w:t xml:space="preserve"> similar across the nivolumab and ipilimumab treatment groups</w:t>
      </w:r>
      <w:r w:rsidR="002E7EE2" w:rsidRPr="005C7AC1">
        <w:t>. The PSCR further argued that</w:t>
      </w:r>
      <w:r w:rsidRPr="005C7AC1">
        <w:t xml:space="preserve"> even if there is heterogeneity within this patient group with ‘different final health outcomes’, the model still captures the appropriate final health o</w:t>
      </w:r>
      <w:r w:rsidR="002E7EE2" w:rsidRPr="005C7AC1">
        <w:t>utcomes because OS</w:t>
      </w:r>
      <w:r w:rsidRPr="005C7AC1">
        <w:t xml:space="preserve"> is modelled separately from the individual health states.</w:t>
      </w:r>
      <w:r w:rsidR="002E7EE2" w:rsidRPr="005C7AC1">
        <w:t xml:space="preserve"> The ESC </w:t>
      </w:r>
      <w:r w:rsidR="002F4912">
        <w:t>considered</w:t>
      </w:r>
      <w:r w:rsidR="002E7EE2" w:rsidRPr="005C7AC1">
        <w:t xml:space="preserve"> that the final health outcomes are likely to be different among patients due to the heterogeneous </w:t>
      </w:r>
      <w:r w:rsidR="002E7EE2" w:rsidRPr="005C7AC1">
        <w:lastRenderedPageBreak/>
        <w:t xml:space="preserve">population </w:t>
      </w:r>
      <w:r w:rsidR="004B33D7" w:rsidRPr="005C7AC1">
        <w:t xml:space="preserve">following recurrence </w:t>
      </w:r>
      <w:r w:rsidR="002E7EE2" w:rsidRPr="005C7AC1">
        <w:t xml:space="preserve">(refer to paragraph </w:t>
      </w:r>
      <w:r w:rsidR="002E7EE2" w:rsidRPr="002F4912">
        <w:t>6.</w:t>
      </w:r>
      <w:r w:rsidR="008C4C55">
        <w:t>9</w:t>
      </w:r>
      <w:r w:rsidR="002E7EE2" w:rsidRPr="005C7AC1">
        <w:t xml:space="preserve"> ab</w:t>
      </w:r>
      <w:r w:rsidR="00F37E05" w:rsidRPr="005C7AC1">
        <w:t>ove). Moreover, the ESC noted that the issue raised in the commentary was not necessarily whether there were differences in the pattern of recurrence between the two trial arms (which may be difficult to assess, given transitivity issues highlighted above), but that assumptions in the modelling of health outcomes and costs over the time horizon of the model implicitly assumed a homogenous population. Using a single health state to represent disease recurrence may be appropriate if health outcomes and costs over the time horizon of the model are captured correctly</w:t>
      </w:r>
      <w:r w:rsidR="00464782" w:rsidRPr="005C7AC1">
        <w:t>.</w:t>
      </w:r>
    </w:p>
    <w:p w:rsidR="00C940C4" w:rsidRPr="00C3371F" w:rsidRDefault="00C940C4" w:rsidP="000B6DBA">
      <w:pPr>
        <w:pStyle w:val="ListParagraph"/>
        <w:widowControl/>
        <w:numPr>
          <w:ilvl w:val="1"/>
          <w:numId w:val="1"/>
        </w:numPr>
      </w:pPr>
      <w:r w:rsidRPr="00C3371F">
        <w:t>As overall survival data from CA209238 were not available, the submission presented an assessment of RFS as a surrogate outcome for OS using the framework proposed by the PBAC Surrogate to Final Outcome Working Group.</w:t>
      </w:r>
    </w:p>
    <w:p w:rsidR="00C940C4" w:rsidRPr="00A3102C" w:rsidRDefault="00C62B87" w:rsidP="000B6DBA">
      <w:pPr>
        <w:pStyle w:val="ListParagraph"/>
        <w:widowControl/>
        <w:numPr>
          <w:ilvl w:val="1"/>
          <w:numId w:val="1"/>
        </w:numPr>
        <w:rPr>
          <w:rStyle w:val="Emphasis"/>
          <w:rFonts w:eastAsiaTheme="minorHAnsi"/>
          <w:i w:val="0"/>
          <w:iCs w:val="0"/>
        </w:rPr>
      </w:pPr>
      <w:r>
        <w:rPr>
          <w:rStyle w:val="Emphasis"/>
          <w:rFonts w:eastAsiaTheme="minorHAnsi"/>
          <w:i w:val="0"/>
        </w:rPr>
        <w:t>W</w:t>
      </w:r>
      <w:r w:rsidR="00C940C4" w:rsidRPr="00C3371F">
        <w:rPr>
          <w:rStyle w:val="Emphasis"/>
          <w:rFonts w:eastAsiaTheme="minorHAnsi"/>
          <w:i w:val="0"/>
        </w:rPr>
        <w:t xml:space="preserve">hile RFS may be a valid surrogate for OS in trials comparing IFN with placebo, the </w:t>
      </w:r>
      <w:r>
        <w:rPr>
          <w:rStyle w:val="Emphasis"/>
          <w:rFonts w:eastAsiaTheme="minorHAnsi"/>
          <w:i w:val="0"/>
        </w:rPr>
        <w:t xml:space="preserve">PBAC questioned whether the </w:t>
      </w:r>
      <w:r w:rsidR="001155F0">
        <w:rPr>
          <w:rStyle w:val="Emphasis"/>
          <w:rFonts w:eastAsiaTheme="minorHAnsi"/>
          <w:i w:val="0"/>
        </w:rPr>
        <w:t xml:space="preserve">same </w:t>
      </w:r>
      <w:r>
        <w:rPr>
          <w:rStyle w:val="Emphasis"/>
          <w:rFonts w:eastAsiaTheme="minorHAnsi"/>
          <w:i w:val="0"/>
        </w:rPr>
        <w:t xml:space="preserve">relationship held for checkpoint inhibitors. The </w:t>
      </w:r>
      <w:r w:rsidR="00C940C4" w:rsidRPr="00C3371F">
        <w:rPr>
          <w:rStyle w:val="Emphasis"/>
          <w:rFonts w:eastAsiaTheme="minorHAnsi"/>
          <w:i w:val="0"/>
        </w:rPr>
        <w:t>supportive evidence provided in the submission (</w:t>
      </w:r>
      <w:proofErr w:type="spellStart"/>
      <w:r w:rsidR="00C940C4" w:rsidRPr="00C3371F">
        <w:rPr>
          <w:rStyle w:val="Emphasis"/>
          <w:rFonts w:eastAsiaTheme="minorHAnsi"/>
          <w:i w:val="0"/>
        </w:rPr>
        <w:t>Suciu</w:t>
      </w:r>
      <w:proofErr w:type="spellEnd"/>
      <w:r w:rsidR="00801C1F">
        <w:rPr>
          <w:rStyle w:val="Emphasis"/>
          <w:rFonts w:eastAsiaTheme="minorHAnsi"/>
          <w:i w:val="0"/>
        </w:rPr>
        <w:t>, 2018</w:t>
      </w:r>
      <w:r w:rsidR="00C940C4" w:rsidRPr="00C3371F">
        <w:rPr>
          <w:rStyle w:val="Emphasis"/>
          <w:rFonts w:eastAsiaTheme="minorHAnsi"/>
          <w:i w:val="0"/>
        </w:rPr>
        <w:t>) noted it has not been determined whether RFS correlates with OS for new checkpoint inhibitors when compared with an active drug, as in CA209238 (nivolumab vs ipilimumab)</w:t>
      </w:r>
      <w:r w:rsidR="00C940C4" w:rsidRPr="00C3371F" w:rsidDel="00BD16D0">
        <w:rPr>
          <w:rStyle w:val="Emphasis"/>
          <w:rFonts w:eastAsiaTheme="minorHAnsi"/>
          <w:i w:val="0"/>
        </w:rPr>
        <w:t xml:space="preserve"> </w:t>
      </w:r>
      <w:bookmarkStart w:id="17" w:name="_Ref511394094"/>
      <w:r w:rsidR="00C940C4" w:rsidRPr="00C3371F">
        <w:rPr>
          <w:rStyle w:val="FootnoteReference"/>
          <w:rFonts w:eastAsiaTheme="minorHAnsi"/>
          <w:iCs/>
        </w:rPr>
        <w:footnoteReference w:id="10"/>
      </w:r>
      <w:bookmarkEnd w:id="17"/>
      <w:r w:rsidR="00C940C4" w:rsidRPr="00C3371F">
        <w:rPr>
          <w:rStyle w:val="Emphasis"/>
          <w:rFonts w:eastAsiaTheme="minorHAnsi"/>
          <w:i w:val="0"/>
        </w:rPr>
        <w:t xml:space="preserve">. </w:t>
      </w:r>
      <w:proofErr w:type="spellStart"/>
      <w:r w:rsidR="00C940C4" w:rsidRPr="00C3371F">
        <w:rPr>
          <w:rStyle w:val="Emphasis"/>
          <w:rFonts w:eastAsiaTheme="minorHAnsi"/>
          <w:i w:val="0"/>
        </w:rPr>
        <w:t>Suc</w:t>
      </w:r>
      <w:r w:rsidR="0041506F">
        <w:rPr>
          <w:rStyle w:val="Emphasis"/>
          <w:rFonts w:eastAsiaTheme="minorHAnsi"/>
          <w:i w:val="0"/>
        </w:rPr>
        <w:t>iu</w:t>
      </w:r>
      <w:proofErr w:type="spellEnd"/>
      <w:r w:rsidR="00801C1F">
        <w:rPr>
          <w:rStyle w:val="Emphasis"/>
          <w:rFonts w:eastAsiaTheme="minorHAnsi"/>
          <w:i w:val="0"/>
        </w:rPr>
        <w:t>,</w:t>
      </w:r>
      <w:r w:rsidR="00C940C4" w:rsidRPr="00C3371F">
        <w:rPr>
          <w:rStyle w:val="Emphasis"/>
          <w:rFonts w:eastAsiaTheme="minorHAnsi"/>
          <w:i w:val="0"/>
        </w:rPr>
        <w:t xml:space="preserve"> 2018 also acknowledged that standard of care has improved markedly since the IFN trials were performed, and that the ongoing evolution of treatment algorithms, including sequential use of new treatment modalities, could weaken the surrogacy of RFS for OS, both at the patient and trial levels, as has happened in breast cancer and myeloma. Furthermore, in the IFN trials, post-recurrence treatments were likely to be similar in both the IFN and the placebo arms (i.e. OS would not be confounded by subsequent therapies), whereas the use of nivolumab as adjuvant therapy is likely to modify the </w:t>
      </w:r>
      <w:r w:rsidR="005875F0" w:rsidRPr="005C7AC1">
        <w:rPr>
          <w:rStyle w:val="Emphasis"/>
          <w:rFonts w:eastAsiaTheme="minorHAnsi"/>
          <w:i w:val="0"/>
        </w:rPr>
        <w:t>use and</w:t>
      </w:r>
      <w:r w:rsidR="004B33D7" w:rsidRPr="005C7AC1">
        <w:rPr>
          <w:rStyle w:val="Emphasis"/>
          <w:rFonts w:eastAsiaTheme="minorHAnsi"/>
          <w:i w:val="0"/>
        </w:rPr>
        <w:t xml:space="preserve"> efficacy of </w:t>
      </w:r>
      <w:r w:rsidR="00C940C4" w:rsidRPr="005C7AC1">
        <w:rPr>
          <w:rStyle w:val="Emphasis"/>
          <w:rFonts w:eastAsiaTheme="minorHAnsi"/>
          <w:i w:val="0"/>
        </w:rPr>
        <w:t>subsequent treatments received by patients with recurrent disease compared to</w:t>
      </w:r>
      <w:r w:rsidR="00C940C4" w:rsidRPr="00C3371F">
        <w:rPr>
          <w:rStyle w:val="Emphasis"/>
          <w:rFonts w:eastAsiaTheme="minorHAnsi"/>
          <w:i w:val="0"/>
        </w:rPr>
        <w:t xml:space="preserve"> those who do not receive adjuvant PD-1 inhibitor therapy.</w:t>
      </w:r>
    </w:p>
    <w:p w:rsidR="00A3102C" w:rsidRPr="005C7AC1" w:rsidRDefault="00A3102C" w:rsidP="000B6DBA">
      <w:pPr>
        <w:pStyle w:val="ListParagraph"/>
        <w:widowControl/>
        <w:numPr>
          <w:ilvl w:val="1"/>
          <w:numId w:val="1"/>
        </w:numPr>
        <w:rPr>
          <w:rStyle w:val="Emphasis"/>
          <w:rFonts w:eastAsiaTheme="minorHAnsi"/>
          <w:iCs w:val="0"/>
        </w:rPr>
      </w:pPr>
      <w:r w:rsidRPr="005C7AC1">
        <w:t>The PSCR argued that the validity of RFS as a surrogate for OS was reviewed according to the criteria/framework of the STFWOG Surrogate to Final Outcome Working Group.</w:t>
      </w:r>
      <w:r w:rsidR="00C62B87" w:rsidRPr="00C62B87">
        <w:rPr>
          <w:rStyle w:val="Emphasis"/>
          <w:rFonts w:eastAsiaTheme="minorHAnsi"/>
          <w:i w:val="0"/>
        </w:rPr>
        <w:t xml:space="preserve"> </w:t>
      </w:r>
      <w:r w:rsidR="00C62B87" w:rsidRPr="005C7AC1">
        <w:rPr>
          <w:rStyle w:val="Emphasis"/>
          <w:rFonts w:eastAsiaTheme="minorHAnsi"/>
          <w:i w:val="0"/>
        </w:rPr>
        <w:t>The ESC acknowledged that the submission appropriately presented a validation study</w:t>
      </w:r>
      <w:r w:rsidR="00C62B87">
        <w:rPr>
          <w:rStyle w:val="Emphasis"/>
          <w:rFonts w:eastAsiaTheme="minorHAnsi"/>
          <w:i w:val="0"/>
        </w:rPr>
        <w:t>; however</w:t>
      </w:r>
      <w:r w:rsidR="00775CF3">
        <w:rPr>
          <w:rStyle w:val="Emphasis"/>
          <w:rFonts w:eastAsiaTheme="minorHAnsi"/>
          <w:i w:val="0"/>
        </w:rPr>
        <w:t>;</w:t>
      </w:r>
      <w:r w:rsidR="00C62B87">
        <w:rPr>
          <w:rStyle w:val="Emphasis"/>
          <w:rFonts w:eastAsiaTheme="minorHAnsi"/>
          <w:i w:val="0"/>
        </w:rPr>
        <w:t xml:space="preserve"> </w:t>
      </w:r>
      <w:r w:rsidRPr="005C7AC1">
        <w:t>noted that the PSCR did not address the specific issues raised in the commentary regarding the differences between IFN and PD-1 therapy</w:t>
      </w:r>
      <w:r w:rsidR="00775CF3">
        <w:t xml:space="preserve"> and </w:t>
      </w:r>
      <w:r w:rsidRPr="005C7AC1">
        <w:t>subsequent lines of therapy</w:t>
      </w:r>
      <w:r w:rsidR="00775CF3">
        <w:t xml:space="preserve">. </w:t>
      </w:r>
      <w:r w:rsidR="00AC695C">
        <w:t xml:space="preserve">The pre-PBAC response again stated that the relationship between RFS and OS in adjuvant melanoma was well-supported by </w:t>
      </w:r>
      <w:proofErr w:type="spellStart"/>
      <w:r w:rsidR="00AC695C">
        <w:t>Suciu</w:t>
      </w:r>
      <w:proofErr w:type="spellEnd"/>
      <w:r w:rsidR="00AC695C">
        <w:t>, 2018, and that the COMBI-AD</w:t>
      </w:r>
      <w:r w:rsidR="00775CF3">
        <w:t xml:space="preserve"> (which compared DAP+TRAM to placebo in patients with resected melanoma)</w:t>
      </w:r>
      <w:r w:rsidR="00AC695C">
        <w:t xml:space="preserve"> and CA184029 trials provide</w:t>
      </w:r>
      <w:r w:rsidR="00775CF3">
        <w:t>d</w:t>
      </w:r>
      <w:r w:rsidR="00AC695C">
        <w:t xml:space="preserve"> direct evidence that improvements in RFS translate to statistically and clinically significant improvements in OS. The pre-PBAC response also suggested that the indirect comparison between nivolumab and ipilimumab in terms of distant metastases free survival (DMFS) may </w:t>
      </w:r>
      <w:r w:rsidR="00AC695C">
        <w:lastRenderedPageBreak/>
        <w:t xml:space="preserve">offer some insight into OS, given that </w:t>
      </w:r>
      <w:r w:rsidR="00775CF3">
        <w:t>patients with distant metastases are considered</w:t>
      </w:r>
      <w:r w:rsidR="00AC695C">
        <w:t xml:space="preserve"> closer in proximity to death (HR = </w:t>
      </w:r>
      <w:r w:rsidR="00606797">
        <w:rPr>
          <w:noProof/>
          <w:color w:val="000000"/>
          <w:highlight w:val="black"/>
        </w:rPr>
        <w:t>''''''''</w:t>
      </w:r>
      <w:r w:rsidR="00AC695C">
        <w:t xml:space="preserve">; 95% CI: </w:t>
      </w:r>
      <w:r w:rsidR="00606797">
        <w:rPr>
          <w:noProof/>
          <w:color w:val="000000"/>
          <w:highlight w:val="black"/>
        </w:rPr>
        <w:t>''''''''</w:t>
      </w:r>
      <w:r w:rsidR="00AC695C">
        <w:t xml:space="preserve">, </w:t>
      </w:r>
      <w:r w:rsidR="00606797">
        <w:rPr>
          <w:noProof/>
          <w:color w:val="000000"/>
          <w:highlight w:val="black"/>
        </w:rPr>
        <w:t>''''''''</w:t>
      </w:r>
      <w:r w:rsidR="00AC695C">
        <w:t>).</w:t>
      </w:r>
      <w:r w:rsidR="00C62B87">
        <w:t xml:space="preserve"> </w:t>
      </w:r>
      <w:r w:rsidR="00C62B87" w:rsidRPr="005C7AC1">
        <w:t xml:space="preserve">The </w:t>
      </w:r>
      <w:r w:rsidR="00C62B87">
        <w:t xml:space="preserve">PBAC and </w:t>
      </w:r>
      <w:r w:rsidR="00C62B87" w:rsidRPr="005C7AC1">
        <w:t xml:space="preserve">ESC advised that further evidence was required to establish </w:t>
      </w:r>
      <w:r w:rsidR="004C4AFB">
        <w:t xml:space="preserve">if there was a </w:t>
      </w:r>
      <w:r w:rsidR="00C62B87" w:rsidRPr="005C7AC1">
        <w:t>surrogacy relationship between RFS and OS with PD-1 inhibitor therapy, which may also need to be cancer specific.</w:t>
      </w:r>
    </w:p>
    <w:p w:rsidR="00C940C4" w:rsidRPr="00C3371F" w:rsidRDefault="00C940C4" w:rsidP="000B6DBA">
      <w:pPr>
        <w:pStyle w:val="ListParagraph"/>
        <w:widowControl/>
        <w:numPr>
          <w:ilvl w:val="1"/>
          <w:numId w:val="1"/>
        </w:numPr>
      </w:pPr>
      <w:r w:rsidRPr="00C3371F">
        <w:rPr>
          <w:iCs/>
        </w:rPr>
        <w:t xml:space="preserve">On the basis that the regression model derived in </w:t>
      </w:r>
      <w:proofErr w:type="spellStart"/>
      <w:r w:rsidRPr="00C3371F">
        <w:rPr>
          <w:iCs/>
        </w:rPr>
        <w:t>Suciu</w:t>
      </w:r>
      <w:proofErr w:type="spellEnd"/>
      <w:r w:rsidR="00801C1F">
        <w:rPr>
          <w:iCs/>
        </w:rPr>
        <w:t>,</w:t>
      </w:r>
      <w:r w:rsidRPr="00C3371F">
        <w:rPr>
          <w:iCs/>
        </w:rPr>
        <w:t xml:space="preserve"> 2018, which indicated that the risk reduction due to IFN treatment compared with placebo was approximately the same for OS and for RFS, the economic model </w:t>
      </w:r>
      <w:r w:rsidR="00775CF3">
        <w:rPr>
          <w:iCs/>
        </w:rPr>
        <w:t xml:space="preserve">in </w:t>
      </w:r>
      <w:r w:rsidRPr="00C3371F">
        <w:rPr>
          <w:iCs/>
        </w:rPr>
        <w:t xml:space="preserve">the submission has assumed that the HR for OS was the same as the HR for RFS (derived in the indirect comparison of nivolumab versus placebo). This </w:t>
      </w:r>
      <w:r w:rsidR="00775CF3">
        <w:rPr>
          <w:iCs/>
        </w:rPr>
        <w:t>wa</w:t>
      </w:r>
      <w:r w:rsidRPr="00C3371F">
        <w:rPr>
          <w:iCs/>
        </w:rPr>
        <w:t>s inappropriate</w:t>
      </w:r>
      <w:r w:rsidR="00775CF3">
        <w:rPr>
          <w:iCs/>
        </w:rPr>
        <w:t xml:space="preserve"> for the reasons outlined above and as it assumed, without </w:t>
      </w:r>
      <w:r w:rsidR="007A39AA">
        <w:rPr>
          <w:iCs/>
        </w:rPr>
        <w:t>adequate justification,</w:t>
      </w:r>
      <w:r w:rsidR="00775CF3">
        <w:rPr>
          <w:iCs/>
        </w:rPr>
        <w:t xml:space="preserve"> </w:t>
      </w:r>
      <w:r w:rsidRPr="00C3371F">
        <w:rPr>
          <w:iCs/>
        </w:rPr>
        <w:t xml:space="preserve">that the regression model derived in </w:t>
      </w:r>
      <w:proofErr w:type="spellStart"/>
      <w:r w:rsidRPr="00C3371F">
        <w:rPr>
          <w:iCs/>
        </w:rPr>
        <w:t>Suciu</w:t>
      </w:r>
      <w:proofErr w:type="spellEnd"/>
      <w:r w:rsidRPr="00C3371F">
        <w:rPr>
          <w:iCs/>
        </w:rPr>
        <w:t xml:space="preserve"> 2018 was applicable to the indirect comparison of nivolumab and placebo, via an active common comparator. Not only will the HR for OS reflect the differences between the nivolumab and placebo arms in the subsequent lines of therapy received by patients with recurrent disease, but the baseline risk of the study population in CA209238 varied from that in which the model was derived</w:t>
      </w:r>
      <w:r w:rsidRPr="00C3371F">
        <w:rPr>
          <w:iCs/>
          <w:vertAlign w:val="superscript"/>
        </w:rPr>
        <w:footnoteReference w:id="11"/>
      </w:r>
      <w:r w:rsidRPr="00C3371F">
        <w:rPr>
          <w:iCs/>
        </w:rPr>
        <w:t>. In addition, if the proportional hazards assumption did not apply in either CA209238 or CA184029, the estimated HR for RFS would be dependent on the duration of follow-up.</w:t>
      </w:r>
    </w:p>
    <w:p w:rsidR="00C940C4" w:rsidRPr="00C3371F" w:rsidRDefault="00C940C4" w:rsidP="000B6DBA">
      <w:pPr>
        <w:pStyle w:val="ListParagraph"/>
        <w:widowControl/>
        <w:numPr>
          <w:ilvl w:val="1"/>
          <w:numId w:val="1"/>
        </w:numPr>
      </w:pPr>
      <w:r w:rsidRPr="00C3371F">
        <w:t>The submission constructed survival curves for the observation arm based on the placebo arm from CA184029, the melanoma-specific survival data from Balch</w:t>
      </w:r>
      <w:r w:rsidR="00232E01">
        <w:t>,</w:t>
      </w:r>
      <w:r w:rsidRPr="00C3371F">
        <w:t xml:space="preserve"> 2009 and general population life tables. The submission applied HRs f</w:t>
      </w:r>
      <w:r w:rsidR="00946F2A">
        <w:t xml:space="preserve">rom the indirect comparisons </w:t>
      </w:r>
      <w:r w:rsidRPr="00C3371F">
        <w:t>in order to construct the survival curves of nivolumab first two years. The assumptions and data sources for the RFS and OS estimates in the model are summarised in the table below.</w:t>
      </w:r>
    </w:p>
    <w:p w:rsidR="00C940C4" w:rsidRPr="00C3371F" w:rsidRDefault="00C940C4" w:rsidP="00697BBB">
      <w:pPr>
        <w:pStyle w:val="Caption"/>
        <w:keepNext/>
        <w:rPr>
          <w:rStyle w:val="CommentReference"/>
          <w:b/>
        </w:rPr>
      </w:pPr>
      <w:bookmarkStart w:id="18" w:name="_Ref510697081"/>
      <w:bookmarkStart w:id="19" w:name="_Ref510697046"/>
      <w:r w:rsidRPr="00C3371F">
        <w:rPr>
          <w:rStyle w:val="CommentReference"/>
          <w:b/>
        </w:rPr>
        <w:lastRenderedPageBreak/>
        <w:t xml:space="preserve">Table </w:t>
      </w:r>
      <w:r w:rsidR="00C47B15">
        <w:rPr>
          <w:rStyle w:val="CommentReference"/>
          <w:b/>
          <w:noProof/>
        </w:rPr>
        <w:t>9</w:t>
      </w:r>
      <w:bookmarkEnd w:id="18"/>
      <w:r w:rsidRPr="00C3371F">
        <w:rPr>
          <w:rStyle w:val="CommentReference"/>
          <w:b/>
        </w:rPr>
        <w:t>: Model inputs for RFS and OS</w:t>
      </w:r>
      <w:bookmarkEnd w:id="19"/>
    </w:p>
    <w:tbl>
      <w:tblPr>
        <w:tblStyle w:val="TableGrid"/>
        <w:tblW w:w="5000" w:type="pct"/>
        <w:tblLook w:val="04A0" w:firstRow="1" w:lastRow="0" w:firstColumn="1" w:lastColumn="0" w:noHBand="0" w:noVBand="1"/>
        <w:tblCaption w:val="Table 9: Model inputs for RFS and OS"/>
      </w:tblPr>
      <w:tblGrid>
        <w:gridCol w:w="1385"/>
        <w:gridCol w:w="3928"/>
        <w:gridCol w:w="3930"/>
      </w:tblGrid>
      <w:tr w:rsidR="00C940C4" w:rsidRPr="00C3371F" w:rsidTr="009F1345">
        <w:trPr>
          <w:tblHeader/>
        </w:trPr>
        <w:tc>
          <w:tcPr>
            <w:tcW w:w="749" w:type="pct"/>
            <w:vAlign w:val="center"/>
          </w:tcPr>
          <w:p w:rsidR="00C940C4" w:rsidRPr="00C3371F" w:rsidRDefault="00C940C4" w:rsidP="00697BBB">
            <w:pPr>
              <w:pStyle w:val="Tabletext"/>
              <w:keepNext/>
              <w:rPr>
                <w:b/>
              </w:rPr>
            </w:pPr>
            <w:r w:rsidRPr="00C3371F">
              <w:rPr>
                <w:b/>
              </w:rPr>
              <w:t>Component</w:t>
            </w:r>
          </w:p>
        </w:tc>
        <w:tc>
          <w:tcPr>
            <w:tcW w:w="2125" w:type="pct"/>
          </w:tcPr>
          <w:p w:rsidR="00C940C4" w:rsidRPr="00C3371F" w:rsidRDefault="00C940C4" w:rsidP="00697BBB">
            <w:pPr>
              <w:pStyle w:val="Tabletext"/>
              <w:keepNext/>
              <w:jc w:val="center"/>
              <w:rPr>
                <w:b/>
              </w:rPr>
            </w:pPr>
            <w:r w:rsidRPr="00C3371F">
              <w:rPr>
                <w:b/>
              </w:rPr>
              <w:t>Observation</w:t>
            </w:r>
          </w:p>
        </w:tc>
        <w:tc>
          <w:tcPr>
            <w:tcW w:w="2126" w:type="pct"/>
          </w:tcPr>
          <w:p w:rsidR="00C940C4" w:rsidRPr="00C3371F" w:rsidRDefault="00C940C4" w:rsidP="00697BBB">
            <w:pPr>
              <w:pStyle w:val="Tabletext"/>
              <w:keepNext/>
              <w:jc w:val="center"/>
              <w:rPr>
                <w:b/>
              </w:rPr>
            </w:pPr>
            <w:r w:rsidRPr="00C3371F">
              <w:rPr>
                <w:b/>
              </w:rPr>
              <w:t>Nivolumab</w:t>
            </w:r>
          </w:p>
        </w:tc>
      </w:tr>
      <w:tr w:rsidR="00C940C4" w:rsidRPr="00C3371F" w:rsidTr="00290152">
        <w:tc>
          <w:tcPr>
            <w:tcW w:w="749" w:type="pct"/>
            <w:tcBorders>
              <w:bottom w:val="nil"/>
            </w:tcBorders>
          </w:tcPr>
          <w:p w:rsidR="00C940C4" w:rsidRPr="00AD3327" w:rsidRDefault="00920EFE" w:rsidP="00697BBB">
            <w:pPr>
              <w:pStyle w:val="Tabletext"/>
              <w:keepNext/>
              <w:rPr>
                <w:b/>
              </w:rPr>
            </w:pPr>
            <w:r w:rsidRPr="002868B6">
              <w:rPr>
                <w:b/>
              </w:rPr>
              <w:t>RFS</w:t>
            </w:r>
          </w:p>
        </w:tc>
        <w:tc>
          <w:tcPr>
            <w:tcW w:w="2125" w:type="pct"/>
            <w:tcBorders>
              <w:bottom w:val="nil"/>
            </w:tcBorders>
          </w:tcPr>
          <w:p w:rsidR="00C940C4" w:rsidRPr="00C3371F" w:rsidRDefault="00C940C4" w:rsidP="00697BBB">
            <w:pPr>
              <w:pStyle w:val="Tabletext"/>
              <w:keepNext/>
            </w:pPr>
          </w:p>
        </w:tc>
        <w:tc>
          <w:tcPr>
            <w:tcW w:w="2126" w:type="pct"/>
            <w:tcBorders>
              <w:bottom w:val="nil"/>
            </w:tcBorders>
          </w:tcPr>
          <w:p w:rsidR="00C940C4" w:rsidRPr="00C3371F" w:rsidRDefault="00C940C4" w:rsidP="00697BBB">
            <w:pPr>
              <w:pStyle w:val="Tabletext"/>
              <w:keepNext/>
            </w:pPr>
          </w:p>
        </w:tc>
      </w:tr>
      <w:tr w:rsidR="00C940C4" w:rsidRPr="00C3371F" w:rsidTr="00290152">
        <w:trPr>
          <w:trHeight w:val="962"/>
        </w:trPr>
        <w:tc>
          <w:tcPr>
            <w:tcW w:w="749" w:type="pct"/>
            <w:tcBorders>
              <w:top w:val="nil"/>
              <w:bottom w:val="nil"/>
            </w:tcBorders>
          </w:tcPr>
          <w:p w:rsidR="00C940C4" w:rsidRPr="00C3371F" w:rsidRDefault="00C940C4" w:rsidP="00697BBB">
            <w:pPr>
              <w:pStyle w:val="Tabletext"/>
              <w:keepNext/>
              <w:ind w:left="142"/>
            </w:pPr>
            <w:r w:rsidRPr="00C3371F">
              <w:t xml:space="preserve">Years </w:t>
            </w:r>
            <w:r w:rsidR="00606797">
              <w:rPr>
                <w:noProof/>
                <w:color w:val="000000"/>
                <w:highlight w:val="black"/>
              </w:rPr>
              <w:t>'''''''''</w:t>
            </w:r>
          </w:p>
        </w:tc>
        <w:tc>
          <w:tcPr>
            <w:tcW w:w="2125" w:type="pct"/>
            <w:tcBorders>
              <w:top w:val="nil"/>
              <w:bottom w:val="nil"/>
            </w:tcBorders>
          </w:tcPr>
          <w:p w:rsidR="00C940C4" w:rsidRPr="00C3371F" w:rsidRDefault="00C940C4" w:rsidP="00697BBB">
            <w:pPr>
              <w:pStyle w:val="Tabletext"/>
              <w:keepNext/>
            </w:pPr>
            <w:r w:rsidRPr="00C3371F">
              <w:t>KM Curves of PBO arm from CA184029</w:t>
            </w:r>
          </w:p>
          <w:p w:rsidR="00C940C4" w:rsidRPr="00C3371F" w:rsidRDefault="00C940C4" w:rsidP="00697BBB">
            <w:pPr>
              <w:pStyle w:val="Tabletext"/>
              <w:keepNext/>
            </w:pPr>
          </w:p>
        </w:tc>
        <w:tc>
          <w:tcPr>
            <w:tcW w:w="2126" w:type="pct"/>
            <w:tcBorders>
              <w:top w:val="nil"/>
              <w:bottom w:val="nil"/>
            </w:tcBorders>
          </w:tcPr>
          <w:p w:rsidR="00C940C4" w:rsidRPr="00606797" w:rsidRDefault="00C940C4" w:rsidP="00697BBB">
            <w:pPr>
              <w:pStyle w:val="Tabletext"/>
              <w:keepNext/>
            </w:pPr>
            <w:r w:rsidRPr="00C3371F">
              <w:t>HR</w:t>
            </w:r>
            <w:r w:rsidR="00DA70FC">
              <w:t xml:space="preserve"> =</w:t>
            </w:r>
            <w:r w:rsidRPr="00C3371F">
              <w:t xml:space="preserve"> </w:t>
            </w:r>
            <w:r w:rsidR="00606797">
              <w:rPr>
                <w:noProof/>
                <w:color w:val="000000"/>
                <w:highlight w:val="black"/>
              </w:rPr>
              <w:t>'''''''''''</w:t>
            </w:r>
            <w:r w:rsidRPr="00C3371F">
              <w:t xml:space="preserve"> was applied </w:t>
            </w:r>
            <w:r w:rsidR="00606797">
              <w:rPr>
                <w:noProof/>
                <w:color w:val="000000"/>
                <w:highlight w:val="black"/>
              </w:rPr>
              <w:t xml:space="preserve">'''''' '''''''' '''''''' ''''''''' ''''''''''''' '''''''''''''' ''''''' '''''''''''''''''' '''''''''''''''''''''''''''' '''''''''''''''''''''''''' </w:t>
            </w:r>
          </w:p>
          <w:p w:rsidR="00C940C4" w:rsidRPr="00606797" w:rsidRDefault="00606797" w:rsidP="00697BBB">
            <w:pPr>
              <w:pStyle w:val="Tabletext"/>
              <w:keepNext/>
              <w:rPr>
                <w:highlight w:val="black"/>
              </w:rPr>
            </w:pPr>
            <w:r>
              <w:rPr>
                <w:noProof/>
                <w:color w:val="000000"/>
                <w:highlight w:val="black"/>
              </w:rPr>
              <w:t>''''''' '''' ''' '''''''''''''''''''' ''''''''''''''''''''''''</w:t>
            </w:r>
          </w:p>
        </w:tc>
      </w:tr>
      <w:tr w:rsidR="00C940C4" w:rsidRPr="00C3371F" w:rsidTr="00290152">
        <w:tc>
          <w:tcPr>
            <w:tcW w:w="749" w:type="pct"/>
            <w:tcBorders>
              <w:top w:val="nil"/>
              <w:bottom w:val="nil"/>
            </w:tcBorders>
          </w:tcPr>
          <w:p w:rsidR="00C940C4" w:rsidRPr="00C3371F" w:rsidRDefault="00C940C4" w:rsidP="00697BBB">
            <w:pPr>
              <w:pStyle w:val="Tabletext"/>
              <w:keepNext/>
              <w:ind w:left="142"/>
            </w:pPr>
            <w:r w:rsidRPr="00C3371F">
              <w:t xml:space="preserve">Years </w:t>
            </w:r>
            <w:r w:rsidR="00606797">
              <w:rPr>
                <w:noProof/>
                <w:color w:val="000000"/>
                <w:highlight w:val="black"/>
              </w:rPr>
              <w:t>''''''''''</w:t>
            </w:r>
          </w:p>
        </w:tc>
        <w:tc>
          <w:tcPr>
            <w:tcW w:w="2125" w:type="pct"/>
            <w:tcBorders>
              <w:top w:val="nil"/>
              <w:bottom w:val="nil"/>
            </w:tcBorders>
          </w:tcPr>
          <w:p w:rsidR="00C940C4" w:rsidRPr="00C3371F" w:rsidRDefault="00C940C4" w:rsidP="00697BBB">
            <w:pPr>
              <w:pStyle w:val="Tabletext"/>
              <w:keepNext/>
            </w:pPr>
            <w:r w:rsidRPr="00C3371F">
              <w:t>Extrapolation (</w:t>
            </w:r>
            <w:r w:rsidR="00606797">
              <w:rPr>
                <w:noProof/>
                <w:color w:val="000000"/>
                <w:highlight w:val="black"/>
              </w:rPr>
              <w:t>''''''''''''''''''''''''''</w:t>
            </w:r>
            <w:r w:rsidRPr="00C3371F">
              <w:t>) of KM curves from PBO arm of CA184029</w:t>
            </w:r>
          </w:p>
        </w:tc>
        <w:tc>
          <w:tcPr>
            <w:tcW w:w="2126" w:type="pct"/>
            <w:tcBorders>
              <w:top w:val="nil"/>
              <w:bottom w:val="nil"/>
            </w:tcBorders>
          </w:tcPr>
          <w:p w:rsidR="00C940C4" w:rsidRPr="00606797" w:rsidRDefault="00606797" w:rsidP="00697BBB">
            <w:pPr>
              <w:pStyle w:val="Tabletext"/>
              <w:keepNext/>
              <w:rPr>
                <w:highlight w:val="black"/>
              </w:rPr>
            </w:pPr>
            <w:r>
              <w:rPr>
                <w:noProof/>
                <w:color w:val="000000"/>
                <w:highlight w:val="black"/>
              </w:rPr>
              <w:t>'''''''''''''''''''''' ''''''''''''' ''''''''''''''' '''''' ''''''''''''''''''''''' '''''' '''''''''''''''''''''''' ''''''''' '''' '''''''' ''''''''''''''</w:t>
            </w:r>
          </w:p>
        </w:tc>
      </w:tr>
      <w:tr w:rsidR="00C940C4" w:rsidRPr="00C3371F" w:rsidTr="00290152">
        <w:tc>
          <w:tcPr>
            <w:tcW w:w="749" w:type="pct"/>
            <w:tcBorders>
              <w:top w:val="nil"/>
              <w:bottom w:val="single" w:sz="4" w:space="0" w:color="auto"/>
            </w:tcBorders>
          </w:tcPr>
          <w:p w:rsidR="00C940C4" w:rsidRPr="00C3371F" w:rsidRDefault="00C940C4" w:rsidP="00697BBB">
            <w:pPr>
              <w:pStyle w:val="Tabletext"/>
              <w:keepNext/>
              <w:ind w:left="142"/>
            </w:pPr>
            <w:r w:rsidRPr="00C3371F">
              <w:t xml:space="preserve">Years </w:t>
            </w:r>
            <w:r w:rsidR="00606797">
              <w:rPr>
                <w:noProof/>
                <w:color w:val="000000"/>
                <w:highlight w:val="black"/>
              </w:rPr>
              <w:t>'''''''''''''''</w:t>
            </w:r>
          </w:p>
        </w:tc>
        <w:tc>
          <w:tcPr>
            <w:tcW w:w="2125" w:type="pct"/>
            <w:tcBorders>
              <w:top w:val="nil"/>
              <w:bottom w:val="single" w:sz="4" w:space="0" w:color="auto"/>
            </w:tcBorders>
          </w:tcPr>
          <w:p w:rsidR="00C940C4" w:rsidRPr="00606797" w:rsidRDefault="00606797" w:rsidP="00697BBB">
            <w:pPr>
              <w:pStyle w:val="Tabletext"/>
              <w:keepNext/>
              <w:rPr>
                <w:highlight w:val="black"/>
              </w:rPr>
            </w:pPr>
            <w:r>
              <w:rPr>
                <w:noProof/>
                <w:color w:val="000000"/>
                <w:highlight w:val="black"/>
              </w:rPr>
              <w:t>''''''''''''''''''''' ''''''''''' ''''''''''''''''''''''' '''' ''''''''''''''''''''''' '''''''''''' ''''''' '''''''''''''''''''''' '''' ''''''''''''''</w:t>
            </w:r>
          </w:p>
        </w:tc>
        <w:tc>
          <w:tcPr>
            <w:tcW w:w="2126" w:type="pct"/>
            <w:tcBorders>
              <w:top w:val="nil"/>
              <w:bottom w:val="single" w:sz="4" w:space="0" w:color="auto"/>
            </w:tcBorders>
          </w:tcPr>
          <w:p w:rsidR="00C940C4" w:rsidRPr="00606797" w:rsidRDefault="00606797" w:rsidP="00697BBB">
            <w:pPr>
              <w:pStyle w:val="Tabletext"/>
              <w:keepNext/>
              <w:rPr>
                <w:highlight w:val="black"/>
              </w:rPr>
            </w:pPr>
            <w:r>
              <w:rPr>
                <w:noProof/>
                <w:color w:val="000000"/>
                <w:highlight w:val="black"/>
              </w:rPr>
              <w:t>'''''''''''''''''''' ''''''''''' '''''''''''''''''''''''' ''''' ''''''''''''''''''''''' '''''''''''' ''''' ''''''''''''''''''' '''' ''''''''''''''''</w:t>
            </w:r>
          </w:p>
        </w:tc>
      </w:tr>
      <w:tr w:rsidR="00C940C4" w:rsidRPr="00C3371F" w:rsidTr="00290152">
        <w:tc>
          <w:tcPr>
            <w:tcW w:w="749" w:type="pct"/>
            <w:tcBorders>
              <w:bottom w:val="nil"/>
            </w:tcBorders>
          </w:tcPr>
          <w:p w:rsidR="00C940C4" w:rsidRPr="00AD3327" w:rsidRDefault="00AD3327" w:rsidP="00697BBB">
            <w:pPr>
              <w:pStyle w:val="Tabletext"/>
              <w:keepNext/>
              <w:rPr>
                <w:b/>
              </w:rPr>
            </w:pPr>
            <w:r w:rsidRPr="00AD3327">
              <w:rPr>
                <w:b/>
              </w:rPr>
              <w:t>OS</w:t>
            </w:r>
          </w:p>
        </w:tc>
        <w:tc>
          <w:tcPr>
            <w:tcW w:w="2125" w:type="pct"/>
            <w:tcBorders>
              <w:bottom w:val="nil"/>
            </w:tcBorders>
          </w:tcPr>
          <w:p w:rsidR="00C940C4" w:rsidRPr="00C3371F" w:rsidRDefault="00C940C4" w:rsidP="00697BBB">
            <w:pPr>
              <w:pStyle w:val="Tabletext"/>
              <w:keepNext/>
            </w:pPr>
          </w:p>
        </w:tc>
        <w:tc>
          <w:tcPr>
            <w:tcW w:w="2126" w:type="pct"/>
            <w:tcBorders>
              <w:bottom w:val="nil"/>
            </w:tcBorders>
          </w:tcPr>
          <w:p w:rsidR="00C940C4" w:rsidRPr="00C3371F" w:rsidRDefault="00C940C4" w:rsidP="00697BBB">
            <w:pPr>
              <w:pStyle w:val="Tabletext"/>
              <w:keepNext/>
            </w:pPr>
          </w:p>
        </w:tc>
      </w:tr>
      <w:tr w:rsidR="00C940C4" w:rsidRPr="00C3371F" w:rsidTr="00290152">
        <w:tc>
          <w:tcPr>
            <w:tcW w:w="749" w:type="pct"/>
            <w:tcBorders>
              <w:top w:val="nil"/>
              <w:bottom w:val="nil"/>
            </w:tcBorders>
          </w:tcPr>
          <w:p w:rsidR="00C940C4" w:rsidRPr="00C3371F" w:rsidRDefault="00C940C4" w:rsidP="00697BBB">
            <w:pPr>
              <w:pStyle w:val="Tabletext"/>
              <w:keepNext/>
              <w:ind w:left="142"/>
            </w:pPr>
            <w:r w:rsidRPr="00C3371F">
              <w:t xml:space="preserve">Years </w:t>
            </w:r>
            <w:r w:rsidR="00606797">
              <w:rPr>
                <w:noProof/>
                <w:color w:val="000000"/>
                <w:highlight w:val="black"/>
              </w:rPr>
              <w:t>'''''''</w:t>
            </w:r>
          </w:p>
        </w:tc>
        <w:tc>
          <w:tcPr>
            <w:tcW w:w="2125" w:type="pct"/>
            <w:tcBorders>
              <w:top w:val="nil"/>
              <w:bottom w:val="nil"/>
            </w:tcBorders>
          </w:tcPr>
          <w:p w:rsidR="00C940C4" w:rsidRPr="00C3371F" w:rsidRDefault="00C940C4" w:rsidP="00697BBB">
            <w:pPr>
              <w:pStyle w:val="Tabletext"/>
              <w:keepNext/>
            </w:pPr>
            <w:r w:rsidRPr="00C3371F">
              <w:t>KM curves of PBO arm of CA184029 trial</w:t>
            </w:r>
          </w:p>
          <w:p w:rsidR="00C940C4" w:rsidRPr="00C3371F" w:rsidRDefault="00C940C4" w:rsidP="00697BBB">
            <w:pPr>
              <w:pStyle w:val="Tabletext"/>
              <w:keepNext/>
            </w:pPr>
          </w:p>
        </w:tc>
        <w:tc>
          <w:tcPr>
            <w:tcW w:w="2126" w:type="pct"/>
            <w:tcBorders>
              <w:top w:val="nil"/>
              <w:bottom w:val="nil"/>
            </w:tcBorders>
            <w:vAlign w:val="center"/>
          </w:tcPr>
          <w:p w:rsidR="00C940C4" w:rsidRPr="00606797" w:rsidRDefault="00C940C4" w:rsidP="00697BBB">
            <w:pPr>
              <w:pStyle w:val="Tabletext"/>
              <w:keepNext/>
            </w:pPr>
            <w:r w:rsidRPr="00C3371F">
              <w:t>HR</w:t>
            </w:r>
            <w:r w:rsidR="00DA70FC">
              <w:t xml:space="preserve"> =</w:t>
            </w:r>
            <w:r w:rsidRPr="00C3371F">
              <w:t xml:space="preserve"> </w:t>
            </w:r>
            <w:r w:rsidR="00606797">
              <w:rPr>
                <w:noProof/>
                <w:color w:val="000000"/>
                <w:highlight w:val="black"/>
              </w:rPr>
              <w:t>''''''''''</w:t>
            </w:r>
            <w:r w:rsidRPr="00C3371F">
              <w:t xml:space="preserve"> was applied </w:t>
            </w:r>
            <w:r w:rsidR="00606797">
              <w:rPr>
                <w:noProof/>
                <w:color w:val="000000"/>
                <w:highlight w:val="black"/>
              </w:rPr>
              <w:t>''''''' ''''''''' '''''''''' '''''''' '''''''''''''''' '''''''''''''''' ''''' '''''''''''''''''' ''''''''''''''''''''''''''''' '''''' '''''''''' ''''''''''''''''''''''''''''</w:t>
            </w:r>
          </w:p>
          <w:p w:rsidR="00C940C4" w:rsidRPr="00606797" w:rsidRDefault="00606797" w:rsidP="00697BBB">
            <w:pPr>
              <w:pStyle w:val="Tabletext"/>
              <w:keepNext/>
              <w:rPr>
                <w:highlight w:val="black"/>
              </w:rPr>
            </w:pPr>
            <w:r>
              <w:rPr>
                <w:noProof/>
                <w:color w:val="000000"/>
                <w:highlight w:val="black"/>
              </w:rPr>
              <w:t>'''''''' ''' ''' '''''''''''''''''''' ''''''''''''''''''''''''</w:t>
            </w:r>
            <w:r w:rsidR="00C940C4" w:rsidRPr="00606797">
              <w:rPr>
                <w:highlight w:val="black"/>
              </w:rPr>
              <w:t xml:space="preserve">  </w:t>
            </w:r>
          </w:p>
        </w:tc>
      </w:tr>
      <w:tr w:rsidR="00C940C4" w:rsidRPr="00C3371F" w:rsidTr="00290152">
        <w:tc>
          <w:tcPr>
            <w:tcW w:w="749" w:type="pct"/>
            <w:tcBorders>
              <w:top w:val="nil"/>
              <w:bottom w:val="nil"/>
            </w:tcBorders>
          </w:tcPr>
          <w:p w:rsidR="00C940C4" w:rsidRPr="00C3371F" w:rsidRDefault="00C940C4" w:rsidP="00697BBB">
            <w:pPr>
              <w:pStyle w:val="Tabletext"/>
              <w:keepNext/>
              <w:ind w:left="142"/>
            </w:pPr>
            <w:r w:rsidRPr="00C3371F">
              <w:t xml:space="preserve">Years </w:t>
            </w:r>
            <w:r w:rsidR="00606797">
              <w:rPr>
                <w:noProof/>
                <w:color w:val="000000"/>
                <w:highlight w:val="black"/>
              </w:rPr>
              <w:t>''''''''''</w:t>
            </w:r>
          </w:p>
        </w:tc>
        <w:tc>
          <w:tcPr>
            <w:tcW w:w="2125" w:type="pct"/>
            <w:tcBorders>
              <w:top w:val="nil"/>
              <w:bottom w:val="nil"/>
            </w:tcBorders>
          </w:tcPr>
          <w:p w:rsidR="00C940C4" w:rsidRPr="00606797" w:rsidRDefault="00606797" w:rsidP="00697BBB">
            <w:pPr>
              <w:pStyle w:val="Tabletext"/>
              <w:keepNext/>
              <w:rPr>
                <w:highlight w:val="black"/>
              </w:rPr>
            </w:pPr>
            <w:r>
              <w:rPr>
                <w:noProof/>
                <w:color w:val="000000"/>
                <w:highlight w:val="black"/>
              </w:rPr>
              <w:t>''''''''''''' '''''''''''' '''''''''' '''''''''''' '''''''''''' ''''''''''''''''''''''' ''''''''''''''''' ''''' ''''' ''''''''''''' '''' '''''''''''''''''''''</w:t>
            </w:r>
          </w:p>
        </w:tc>
        <w:tc>
          <w:tcPr>
            <w:tcW w:w="2126" w:type="pct"/>
            <w:tcBorders>
              <w:top w:val="nil"/>
              <w:bottom w:val="nil"/>
            </w:tcBorders>
          </w:tcPr>
          <w:p w:rsidR="00C940C4" w:rsidRPr="00606797" w:rsidRDefault="00606797" w:rsidP="00697BBB">
            <w:pPr>
              <w:pStyle w:val="Tabletext"/>
              <w:keepNext/>
              <w:rPr>
                <w:highlight w:val="black"/>
              </w:rPr>
            </w:pPr>
            <w:r>
              <w:rPr>
                <w:noProof/>
                <w:color w:val="000000"/>
                <w:highlight w:val="black"/>
              </w:rPr>
              <w:t>''''''''''''''''''''''' '''''''''''' '''''''''''''''' '''''' ''''''''''''''''''''''' '''''' ''''''''''''''''''''''''' ''''''''' '''' ''''''''' ''''''''''''''</w:t>
            </w:r>
          </w:p>
        </w:tc>
      </w:tr>
      <w:tr w:rsidR="00C940C4" w:rsidRPr="00C3371F" w:rsidTr="00290152">
        <w:tc>
          <w:tcPr>
            <w:tcW w:w="749" w:type="pct"/>
            <w:tcBorders>
              <w:top w:val="nil"/>
              <w:bottom w:val="single" w:sz="4" w:space="0" w:color="auto"/>
            </w:tcBorders>
          </w:tcPr>
          <w:p w:rsidR="00C940C4" w:rsidRPr="00C3371F" w:rsidRDefault="00C940C4" w:rsidP="00697BBB">
            <w:pPr>
              <w:pStyle w:val="Tabletext"/>
              <w:keepNext/>
              <w:ind w:left="142"/>
            </w:pPr>
            <w:r w:rsidRPr="00C3371F">
              <w:t xml:space="preserve">Years </w:t>
            </w:r>
            <w:r w:rsidR="00606797">
              <w:rPr>
                <w:noProof/>
                <w:color w:val="000000"/>
                <w:highlight w:val="black"/>
              </w:rPr>
              <w:t>''''''''''''''</w:t>
            </w:r>
          </w:p>
        </w:tc>
        <w:tc>
          <w:tcPr>
            <w:tcW w:w="2125" w:type="pct"/>
            <w:tcBorders>
              <w:top w:val="nil"/>
              <w:bottom w:val="single" w:sz="4" w:space="0" w:color="auto"/>
            </w:tcBorders>
          </w:tcPr>
          <w:p w:rsidR="00C940C4" w:rsidRPr="00C3371F" w:rsidRDefault="00C940C4" w:rsidP="00697BBB">
            <w:pPr>
              <w:pStyle w:val="Tabletext"/>
              <w:keepNext/>
            </w:pPr>
            <w:r w:rsidRPr="00C3371F">
              <w:t xml:space="preserve">General population life tables </w:t>
            </w:r>
          </w:p>
        </w:tc>
        <w:tc>
          <w:tcPr>
            <w:tcW w:w="2126" w:type="pct"/>
            <w:tcBorders>
              <w:top w:val="nil"/>
              <w:bottom w:val="single" w:sz="4" w:space="0" w:color="auto"/>
            </w:tcBorders>
          </w:tcPr>
          <w:p w:rsidR="00C940C4" w:rsidRPr="00606797" w:rsidRDefault="00606797" w:rsidP="00697BBB">
            <w:pPr>
              <w:pStyle w:val="Tabletext"/>
              <w:keepNext/>
              <w:rPr>
                <w:highlight w:val="black"/>
              </w:rPr>
            </w:pPr>
            <w:r>
              <w:rPr>
                <w:noProof/>
                <w:color w:val="000000"/>
                <w:highlight w:val="black"/>
              </w:rPr>
              <w:t>'''''''''''''''''''' '''''''''''' ''''''''''''''''' '''''' '''''''''''''''''''''' '''''' ''''''''''''''''''''''''' '''''''''' ''''' '''''''' '''''''''''''''</w:t>
            </w:r>
          </w:p>
        </w:tc>
      </w:tr>
    </w:tbl>
    <w:p w:rsidR="00C940C4" w:rsidRPr="00C3371F" w:rsidRDefault="00DA70FC" w:rsidP="00C940C4">
      <w:pPr>
        <w:pStyle w:val="TableFooter"/>
      </w:pPr>
      <w:r w:rsidRPr="00C3371F">
        <w:t>HR = hazard ratio;</w:t>
      </w:r>
      <w:r>
        <w:t xml:space="preserve"> </w:t>
      </w:r>
      <w:r w:rsidRPr="00C3371F">
        <w:t>KM = Kaplan Meier;</w:t>
      </w:r>
      <w:r>
        <w:t xml:space="preserve"> </w:t>
      </w:r>
      <w:r w:rsidRPr="00C3371F">
        <w:t>MSS = melanoma specific survival</w:t>
      </w:r>
      <w:r>
        <w:t>;</w:t>
      </w:r>
      <w:r w:rsidRPr="00C3371F">
        <w:t xml:space="preserve"> OS = overall survival;</w:t>
      </w:r>
      <w:r>
        <w:t xml:space="preserve"> </w:t>
      </w:r>
      <w:r w:rsidRPr="00C3371F">
        <w:t xml:space="preserve">PBO = placebo; </w:t>
      </w:r>
      <w:r>
        <w:t>RFS = recurrence-free survival</w:t>
      </w:r>
    </w:p>
    <w:p w:rsidR="00C940C4" w:rsidRPr="00C3371F" w:rsidRDefault="00C940C4" w:rsidP="00C940C4">
      <w:pPr>
        <w:pStyle w:val="TableFooter"/>
      </w:pPr>
      <w:r w:rsidRPr="00290152">
        <w:t>Source: compiled during the evaluation based on information provided in Section 3</w:t>
      </w:r>
    </w:p>
    <w:p w:rsidR="00C940C4" w:rsidRPr="00C3371F" w:rsidRDefault="00C940C4" w:rsidP="00C940C4"/>
    <w:p w:rsidR="00B110D3" w:rsidRPr="005C7AC1" w:rsidRDefault="00C940C4" w:rsidP="000B6DBA">
      <w:pPr>
        <w:pStyle w:val="ListParagraph"/>
        <w:widowControl/>
        <w:numPr>
          <w:ilvl w:val="1"/>
          <w:numId w:val="1"/>
        </w:numPr>
      </w:pPr>
      <w:r w:rsidRPr="005C7AC1">
        <w:t xml:space="preserve">The submission did not address the applicability of the trial population to the proposed PBS population in terms of age. The Cancer in Australia 2017 Report indicated that the mean age at melanoma diagnosis in 2013 was 63 years (median 64.6), which is 12 years older than that in CA184029. </w:t>
      </w:r>
      <w:r w:rsidR="00B110D3" w:rsidRPr="005C7AC1">
        <w:t xml:space="preserve">Therefore the population in the model (mean age 51 years; Stage III patients only based on CA184029) was not applicable to the proposed patient population (mean 63 years at diagnosis; Stage III and Stage IV disease). All else being equal, this will overestimate the RFS and OS for patients compared to the proposed Australian population for the observation arm, consequently overestimating the cost-offsets associated with the treatment of recurrent disease. </w:t>
      </w:r>
    </w:p>
    <w:p w:rsidR="00C940C4" w:rsidRPr="005C7AC1" w:rsidRDefault="00B110D3" w:rsidP="000B6DBA">
      <w:pPr>
        <w:pStyle w:val="ListParagraph"/>
        <w:widowControl/>
        <w:numPr>
          <w:ilvl w:val="1"/>
          <w:numId w:val="1"/>
        </w:numPr>
      </w:pPr>
      <w:r w:rsidRPr="005C7AC1">
        <w:t>The PSCR argued that age has not been shown to be a determinant of RFS, OS or treatment effect in any of the trial data presented in the submission. It further argued that the submission presented a validation of modelled OS outcomes against real-world evidence in a matched (by stage) population, which showed the model performed well at predicting OS in a real-world patient population.</w:t>
      </w:r>
    </w:p>
    <w:p w:rsidR="00C940C4" w:rsidRPr="005C7AC1" w:rsidRDefault="00AD3327" w:rsidP="000B6DBA">
      <w:pPr>
        <w:pStyle w:val="ListParagraph"/>
        <w:widowControl/>
        <w:numPr>
          <w:ilvl w:val="1"/>
          <w:numId w:val="1"/>
        </w:numPr>
      </w:pPr>
      <w:r w:rsidRPr="005C7AC1">
        <w:t>The ESC further noted that a</w:t>
      </w:r>
      <w:r w:rsidR="00C940C4" w:rsidRPr="005C7AC1">
        <w:t xml:space="preserve">djusting the population age in the model is unlikely to reflect the cost-effectiveness of adjuvant melanoma in a population of patients with an average age of 63 years because: </w:t>
      </w:r>
    </w:p>
    <w:p w:rsidR="00C940C4" w:rsidRPr="00C3371F" w:rsidRDefault="00C940C4" w:rsidP="000B6DBA">
      <w:pPr>
        <w:pStyle w:val="ListParagraph"/>
        <w:widowControl/>
        <w:numPr>
          <w:ilvl w:val="0"/>
          <w:numId w:val="5"/>
        </w:numPr>
      </w:pPr>
      <w:r w:rsidRPr="002F4912">
        <w:t xml:space="preserve">Adjusting the age does not impact the RFS curve, which was assumed to have a </w:t>
      </w:r>
      <w:r w:rsidR="00606797">
        <w:rPr>
          <w:noProof/>
          <w:color w:val="000000"/>
          <w:highlight w:val="black"/>
        </w:rPr>
        <w:t>'''''''''''''''''' ''''''''''''</w:t>
      </w:r>
      <w:r w:rsidRPr="002F4912">
        <w:t xml:space="preserve"> from year </w:t>
      </w:r>
      <w:r w:rsidR="00606797">
        <w:rPr>
          <w:noProof/>
          <w:color w:val="000000"/>
          <w:highlight w:val="black"/>
        </w:rPr>
        <w:t>''' '''' ''''''</w:t>
      </w:r>
      <w:r w:rsidRPr="002F4912">
        <w:t xml:space="preserve">, and </w:t>
      </w:r>
      <w:r w:rsidR="002E7E32" w:rsidRPr="002F4912">
        <w:t xml:space="preserve">that </w:t>
      </w:r>
      <w:r w:rsidRPr="002F4912">
        <w:t xml:space="preserve">the curve </w:t>
      </w:r>
      <w:r w:rsidR="00606797">
        <w:rPr>
          <w:noProof/>
          <w:color w:val="000000"/>
          <w:highlight w:val="black"/>
        </w:rPr>
        <w:t>''''''''''''''''' '''''''''''''''' '''''''''</w:t>
      </w:r>
      <w:r w:rsidRPr="002F4912">
        <w:t xml:space="preserve"> year </w:t>
      </w:r>
      <w:r w:rsidR="00606797">
        <w:rPr>
          <w:noProof/>
          <w:color w:val="000000"/>
          <w:highlight w:val="black"/>
        </w:rPr>
        <w:t>'''''</w:t>
      </w:r>
      <w:r w:rsidRPr="00C3371F">
        <w:t>;</w:t>
      </w:r>
    </w:p>
    <w:p w:rsidR="00C940C4" w:rsidRPr="00C3371F" w:rsidRDefault="00C940C4" w:rsidP="000B6DBA">
      <w:pPr>
        <w:pStyle w:val="ListParagraph"/>
        <w:widowControl/>
        <w:numPr>
          <w:ilvl w:val="0"/>
          <w:numId w:val="5"/>
        </w:numPr>
      </w:pPr>
      <w:r w:rsidRPr="00C3371F">
        <w:lastRenderedPageBreak/>
        <w:t>Melanoma-specific survival curve was taken from Balch</w:t>
      </w:r>
      <w:r w:rsidR="00801C1F">
        <w:t>,</w:t>
      </w:r>
      <w:r w:rsidRPr="00C3371F">
        <w:t xml:space="preserve"> 2009. No information on the patient baseline characteristics were presented in the publication. Therefore the applicability of this data source remains uncertain. </w:t>
      </w:r>
    </w:p>
    <w:p w:rsidR="00C940C4" w:rsidRPr="00C3371F" w:rsidRDefault="00C940C4" w:rsidP="000B6DBA">
      <w:pPr>
        <w:pStyle w:val="ListParagraph"/>
        <w:widowControl/>
        <w:numPr>
          <w:ilvl w:val="0"/>
          <w:numId w:val="5"/>
        </w:numPr>
      </w:pPr>
      <w:r w:rsidRPr="00C3371F">
        <w:t>The competing risk of death due to other causes will not be accurately captured in either the RFS or OS curves.</w:t>
      </w:r>
    </w:p>
    <w:p w:rsidR="00C940C4" w:rsidRPr="00C3371F" w:rsidRDefault="00C940C4" w:rsidP="000B6DBA">
      <w:pPr>
        <w:pStyle w:val="ListParagraph"/>
        <w:widowControl/>
        <w:numPr>
          <w:ilvl w:val="1"/>
          <w:numId w:val="1"/>
        </w:numPr>
      </w:pPr>
      <w:r w:rsidRPr="00C3371F">
        <w:t xml:space="preserve">The submission stated that the RFS curve for </w:t>
      </w:r>
      <w:r w:rsidRPr="002868B6">
        <w:t xml:space="preserve">years </w:t>
      </w:r>
      <w:r w:rsidR="00606797">
        <w:rPr>
          <w:noProof/>
          <w:color w:val="000000"/>
          <w:highlight w:val="black"/>
        </w:rPr>
        <w:t>''' ''''' '''''</w:t>
      </w:r>
      <w:r w:rsidRPr="002868B6">
        <w:t xml:space="preserve"> for the observation</w:t>
      </w:r>
      <w:r w:rsidRPr="00C3371F">
        <w:t xml:space="preserve"> arm was based on an </w:t>
      </w:r>
      <w:r w:rsidR="00606797">
        <w:rPr>
          <w:noProof/>
          <w:color w:val="000000"/>
          <w:highlight w:val="black"/>
        </w:rPr>
        <w:t xml:space="preserve">''''''''''''''''''''' </w:t>
      </w:r>
      <w:r w:rsidRPr="00C3371F">
        <w:t xml:space="preserve">extrapolation of the KM curve of the placebo arm of CA184029. The submission did not explore other methods of extrapolation, nor justify the selection of this method. </w:t>
      </w:r>
    </w:p>
    <w:p w:rsidR="00C940C4" w:rsidRPr="00C3371F" w:rsidRDefault="00C940C4" w:rsidP="000B6DBA">
      <w:pPr>
        <w:pStyle w:val="ListParagraph"/>
        <w:widowControl/>
        <w:numPr>
          <w:ilvl w:val="1"/>
          <w:numId w:val="1"/>
        </w:numPr>
      </w:pPr>
      <w:r w:rsidRPr="00C3371F">
        <w:t>The application of a constant transition probability for recurrence-free survival does not incorporate the increasing competing risk of death from other causes as patients’ age. This may overestimate the life years gained from treatment with nivolumab compared to observation.</w:t>
      </w:r>
    </w:p>
    <w:p w:rsidR="00C940C4" w:rsidRPr="00C3371F" w:rsidRDefault="00C940C4" w:rsidP="000B6DBA">
      <w:pPr>
        <w:pStyle w:val="ListParagraph"/>
        <w:widowControl/>
        <w:numPr>
          <w:ilvl w:val="1"/>
          <w:numId w:val="1"/>
        </w:numPr>
      </w:pPr>
      <w:r w:rsidRPr="00C3371F">
        <w:t xml:space="preserve">From year </w:t>
      </w:r>
      <w:r w:rsidR="00606797">
        <w:rPr>
          <w:noProof/>
          <w:color w:val="000000"/>
          <w:highlight w:val="black"/>
        </w:rPr>
        <w:t>'''''</w:t>
      </w:r>
      <w:r w:rsidRPr="00C3371F">
        <w:t xml:space="preserve">, the submission assumed that patients were no longer at risk of recurrence. </w:t>
      </w:r>
      <w:r w:rsidRPr="002F4912">
        <w:t xml:space="preserve">Since the model did not allow patients to transit from recurrence-free to death state, this assumption resulted in the impossible scenario that, patients who remained recurrence-free at year </w:t>
      </w:r>
      <w:r w:rsidR="00606797">
        <w:rPr>
          <w:noProof/>
          <w:color w:val="000000"/>
          <w:highlight w:val="black"/>
        </w:rPr>
        <w:t>'''''</w:t>
      </w:r>
      <w:r w:rsidRPr="002F4912">
        <w:t xml:space="preserve"> would no longer faced the risk of dying</w:t>
      </w:r>
      <w:r w:rsidRPr="00C3371F">
        <w:rPr>
          <w:rStyle w:val="FootnoteReference"/>
        </w:rPr>
        <w:footnoteReference w:id="12"/>
      </w:r>
      <w:r w:rsidRPr="00C3371F">
        <w:t>. This is implausible and biased the results of the model in favour of nivolumab.</w:t>
      </w:r>
    </w:p>
    <w:p w:rsidR="00C940C4" w:rsidRPr="00C3371F" w:rsidRDefault="00C940C4" w:rsidP="000B6DBA">
      <w:pPr>
        <w:pStyle w:val="ListParagraph"/>
        <w:widowControl/>
        <w:numPr>
          <w:ilvl w:val="1"/>
          <w:numId w:val="1"/>
        </w:numPr>
      </w:pPr>
      <w:r w:rsidRPr="00C3371F">
        <w:t xml:space="preserve">Beyond year </w:t>
      </w:r>
      <w:r w:rsidR="00606797">
        <w:rPr>
          <w:noProof/>
          <w:color w:val="000000"/>
          <w:highlight w:val="black"/>
        </w:rPr>
        <w:t>'''</w:t>
      </w:r>
      <w:r w:rsidRPr="00C3371F">
        <w:t xml:space="preserve">, the submission used natural history data to inform overall survival. The submission applied the per-cycle hazard from the </w:t>
      </w:r>
      <w:r w:rsidR="00606797">
        <w:rPr>
          <w:noProof/>
          <w:color w:val="000000"/>
          <w:highlight w:val="black"/>
        </w:rPr>
        <w:t>'''''''''</w:t>
      </w:r>
      <w:r w:rsidRPr="00C3371F">
        <w:t xml:space="preserve"> year of the melanoma specific survival (MSS) curve from Balch</w:t>
      </w:r>
      <w:r w:rsidR="00A62CB5">
        <w:t>,</w:t>
      </w:r>
      <w:r w:rsidRPr="00C3371F">
        <w:t xml:space="preserve"> 2009 (weighted average of all </w:t>
      </w:r>
      <w:r w:rsidR="00801C1F">
        <w:t>S</w:t>
      </w:r>
      <w:r w:rsidRPr="00C3371F">
        <w:t xml:space="preserve">tage III patients) for years </w:t>
      </w:r>
      <w:r w:rsidR="00606797">
        <w:rPr>
          <w:noProof/>
          <w:color w:val="000000"/>
          <w:highlight w:val="black"/>
        </w:rPr>
        <w:t>''' ''''' '''''</w:t>
      </w:r>
      <w:r w:rsidRPr="00C3371F">
        <w:t>. The population in Balch</w:t>
      </w:r>
      <w:r w:rsidR="00A62CB5">
        <w:t>,</w:t>
      </w:r>
      <w:r w:rsidRPr="00C3371F">
        <w:t xml:space="preserve"> 2009 included patients with both </w:t>
      </w:r>
      <w:proofErr w:type="spellStart"/>
      <w:r w:rsidRPr="00C3371F">
        <w:t>resectable</w:t>
      </w:r>
      <w:proofErr w:type="spellEnd"/>
      <w:r w:rsidRPr="00C3371F">
        <w:t xml:space="preserve"> and unresectable disease, which differed from the proposed PBS population. There is likely to be a difference in the overall survival of patients with </w:t>
      </w:r>
      <w:proofErr w:type="spellStart"/>
      <w:r w:rsidRPr="00C3371F">
        <w:t>resectable</w:t>
      </w:r>
      <w:proofErr w:type="spellEnd"/>
      <w:r w:rsidRPr="00C3371F">
        <w:t xml:space="preserve"> and unresectable disease. The submission has not adequately justified the applicability of this population to the proposed PBS population of patients with </w:t>
      </w:r>
      <w:proofErr w:type="spellStart"/>
      <w:r w:rsidRPr="00C3371F">
        <w:t>resectable</w:t>
      </w:r>
      <w:proofErr w:type="spellEnd"/>
      <w:r w:rsidRPr="00C3371F">
        <w:t xml:space="preserve"> disease, nor explored alternative sources of data for the natural history of the disease for patients with </w:t>
      </w:r>
      <w:proofErr w:type="spellStart"/>
      <w:r w:rsidRPr="00C3371F">
        <w:t>resectable</w:t>
      </w:r>
      <w:proofErr w:type="spellEnd"/>
      <w:r w:rsidRPr="00C3371F">
        <w:t xml:space="preserve"> disease. In addition, the treatment options for patients included in Balch</w:t>
      </w:r>
      <w:r w:rsidR="00A62CB5">
        <w:t>,</w:t>
      </w:r>
      <w:r w:rsidRPr="00C3371F">
        <w:t xml:space="preserve"> 2009 may not reflect the current clinical practice and therefore the OS outcome reported may not be applicable to either the proposed PBS population or population in the model.</w:t>
      </w:r>
    </w:p>
    <w:p w:rsidR="00C940C4" w:rsidRPr="00C3371F" w:rsidRDefault="00C940C4" w:rsidP="000B6DBA">
      <w:pPr>
        <w:pStyle w:val="ListParagraph"/>
        <w:widowControl/>
        <w:numPr>
          <w:ilvl w:val="1"/>
          <w:numId w:val="1"/>
        </w:numPr>
      </w:pPr>
      <w:r w:rsidRPr="00C3371F">
        <w:t>The submission applied an annual cost of $</w:t>
      </w:r>
      <w:r w:rsidR="00606797">
        <w:rPr>
          <w:noProof/>
          <w:color w:val="000000"/>
          <w:highlight w:val="black"/>
        </w:rPr>
        <w:t>''''''''''''''</w:t>
      </w:r>
      <w:r w:rsidRPr="00C3371F">
        <w:t xml:space="preserve"> for the management of recurrent disease for both arms, based on estimates used in the previous nivolumab and ipilimumab submissions for metastatic melanoma. </w:t>
      </w:r>
      <w:r w:rsidRPr="00C3371F">
        <w:rPr>
          <w:snapToGrid/>
        </w:rPr>
        <w:t xml:space="preserve">The 2012 ipilimumab and 2015 nivolumab submissions were for patients with unresectable Stage III or </w:t>
      </w:r>
      <w:r w:rsidR="00A62CB5">
        <w:rPr>
          <w:snapToGrid/>
        </w:rPr>
        <w:t xml:space="preserve">Stage </w:t>
      </w:r>
      <w:r w:rsidRPr="00C3371F">
        <w:rPr>
          <w:snapToGrid/>
        </w:rPr>
        <w:t xml:space="preserve">IV malignant melanoma, not a population of patients who have experienced disease recurrence subsequent to adjuvant therapy. It is possible that some patients </w:t>
      </w:r>
      <w:r w:rsidRPr="00C3371F">
        <w:rPr>
          <w:snapToGrid/>
        </w:rPr>
        <w:lastRenderedPageBreak/>
        <w:t xml:space="preserve">experiencing a disease recurrence </w:t>
      </w:r>
      <w:r w:rsidRPr="00C3371F">
        <w:t xml:space="preserve">will have </w:t>
      </w:r>
      <w:proofErr w:type="spellStart"/>
      <w:r w:rsidRPr="00C3371F">
        <w:t>resectable</w:t>
      </w:r>
      <w:proofErr w:type="spellEnd"/>
      <w:r w:rsidRPr="00C3371F">
        <w:t xml:space="preserve"> disease, and therefore will not require the same level of monitoring over the time horizon of the model. The annual non-drug cost to manage recurrent disease was likely to be an overestimate, which has contributed to the substantial cost-offset in the comparator arm.</w:t>
      </w:r>
    </w:p>
    <w:p w:rsidR="00C940C4" w:rsidRPr="00C3371F" w:rsidRDefault="00C940C4" w:rsidP="000B6DBA">
      <w:pPr>
        <w:pStyle w:val="ListParagraph"/>
        <w:widowControl/>
        <w:numPr>
          <w:ilvl w:val="1"/>
          <w:numId w:val="1"/>
        </w:numPr>
      </w:pPr>
      <w:r w:rsidRPr="00C3371F">
        <w:t xml:space="preserve">The </w:t>
      </w:r>
      <w:r w:rsidR="00F82F9B">
        <w:t xml:space="preserve">PBAC noted that the </w:t>
      </w:r>
      <w:r w:rsidRPr="00C3371F">
        <w:t>key drivers of the model</w:t>
      </w:r>
      <w:r w:rsidR="00F82F9B">
        <w:t>, which</w:t>
      </w:r>
      <w:r w:rsidRPr="00C3371F">
        <w:t xml:space="preserve"> are summarised in the table below</w:t>
      </w:r>
      <w:r w:rsidR="00F82F9B">
        <w:t>, favoured nivolumab</w:t>
      </w:r>
      <w:r w:rsidRPr="00C3371F">
        <w:t>.</w:t>
      </w:r>
    </w:p>
    <w:p w:rsidR="00C940C4" w:rsidRPr="00C3371F" w:rsidRDefault="00C940C4" w:rsidP="00C940C4">
      <w:pPr>
        <w:pStyle w:val="Caption"/>
        <w:keepNext/>
        <w:rPr>
          <w:rStyle w:val="CommentReference"/>
          <w:b/>
        </w:rPr>
      </w:pPr>
      <w:r w:rsidRPr="00C3371F">
        <w:rPr>
          <w:rStyle w:val="CommentReference"/>
          <w:b/>
        </w:rPr>
        <w:t xml:space="preserve">Table </w:t>
      </w:r>
      <w:r w:rsidR="00C47B15">
        <w:rPr>
          <w:rStyle w:val="CommentReference"/>
          <w:b/>
          <w:noProof/>
        </w:rPr>
        <w:t>10</w:t>
      </w:r>
      <w:r w:rsidRPr="00C3371F">
        <w:rPr>
          <w:rStyle w:val="CommentReference"/>
          <w:b/>
        </w:rPr>
        <w:t>: Key drivers of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32"/>
        <w:gridCol w:w="5303"/>
        <w:gridCol w:w="1448"/>
      </w:tblGrid>
      <w:tr w:rsidR="00C940C4" w:rsidRPr="00C3371F" w:rsidTr="00290152">
        <w:trPr>
          <w:tblHeader/>
        </w:trPr>
        <w:tc>
          <w:tcPr>
            <w:tcW w:w="0" w:type="auto"/>
            <w:shd w:val="clear" w:color="auto" w:fill="auto"/>
            <w:vAlign w:val="center"/>
          </w:tcPr>
          <w:p w:rsidR="00C940C4" w:rsidRPr="00C3371F" w:rsidRDefault="00C940C4" w:rsidP="00C940C4">
            <w:pPr>
              <w:pStyle w:val="Tabletext"/>
              <w:rPr>
                <w:b/>
                <w:lang w:val="en-US"/>
              </w:rPr>
            </w:pPr>
            <w:r w:rsidRPr="00C3371F">
              <w:rPr>
                <w:b/>
                <w:lang w:val="en-US"/>
              </w:rPr>
              <w:t>Description</w:t>
            </w:r>
          </w:p>
        </w:tc>
        <w:tc>
          <w:tcPr>
            <w:tcW w:w="0" w:type="auto"/>
            <w:shd w:val="clear" w:color="auto" w:fill="auto"/>
            <w:vAlign w:val="center"/>
          </w:tcPr>
          <w:p w:rsidR="00C940C4" w:rsidRPr="00C3371F" w:rsidRDefault="00C940C4" w:rsidP="00C940C4">
            <w:pPr>
              <w:pStyle w:val="Tabletext"/>
              <w:jc w:val="center"/>
              <w:rPr>
                <w:b/>
                <w:lang w:val="en-US"/>
              </w:rPr>
            </w:pPr>
            <w:r w:rsidRPr="00C3371F">
              <w:rPr>
                <w:b/>
                <w:lang w:val="en-US"/>
              </w:rPr>
              <w:t>Method/Value</w:t>
            </w:r>
          </w:p>
        </w:tc>
        <w:tc>
          <w:tcPr>
            <w:tcW w:w="0" w:type="auto"/>
            <w:shd w:val="clear" w:color="auto" w:fill="auto"/>
            <w:vAlign w:val="center"/>
          </w:tcPr>
          <w:p w:rsidR="00C940C4" w:rsidRPr="00C3371F" w:rsidRDefault="00C940C4" w:rsidP="00C940C4">
            <w:pPr>
              <w:pStyle w:val="Tabletext"/>
              <w:jc w:val="center"/>
              <w:rPr>
                <w:b/>
                <w:lang w:val="en-US"/>
              </w:rPr>
            </w:pPr>
            <w:r w:rsidRPr="00C3371F">
              <w:rPr>
                <w:b/>
                <w:lang w:val="en-US"/>
              </w:rPr>
              <w:t>Impact</w:t>
            </w:r>
          </w:p>
        </w:tc>
      </w:tr>
      <w:tr w:rsidR="00C940C4" w:rsidRPr="00C3371F" w:rsidTr="00290152">
        <w:tc>
          <w:tcPr>
            <w:tcW w:w="0" w:type="auto"/>
            <w:shd w:val="clear" w:color="auto" w:fill="auto"/>
            <w:vAlign w:val="center"/>
          </w:tcPr>
          <w:p w:rsidR="00C940C4" w:rsidRPr="00C3371F" w:rsidRDefault="00C940C4" w:rsidP="00C940C4">
            <w:pPr>
              <w:pStyle w:val="Tabletext"/>
              <w:rPr>
                <w:lang w:val="en-US"/>
              </w:rPr>
            </w:pPr>
            <w:r w:rsidRPr="00C3371F">
              <w:rPr>
                <w:lang w:val="en-US"/>
              </w:rPr>
              <w:t>Time horizon</w:t>
            </w:r>
          </w:p>
        </w:tc>
        <w:tc>
          <w:tcPr>
            <w:tcW w:w="0" w:type="auto"/>
            <w:shd w:val="clear" w:color="auto" w:fill="auto"/>
            <w:vAlign w:val="center"/>
          </w:tcPr>
          <w:p w:rsidR="00C940C4" w:rsidRPr="00C3371F" w:rsidRDefault="00606797" w:rsidP="00C940C4">
            <w:pPr>
              <w:pStyle w:val="Tabletext"/>
              <w:rPr>
                <w:lang w:val="en-US"/>
              </w:rPr>
            </w:pPr>
            <w:r>
              <w:rPr>
                <w:noProof/>
                <w:color w:val="000000"/>
                <w:highlight w:val="black"/>
                <w:lang w:val="en-US"/>
              </w:rPr>
              <w:t>''''''</w:t>
            </w:r>
            <w:r w:rsidR="002868B6" w:rsidRPr="002868B6">
              <w:rPr>
                <w:lang w:val="en-US"/>
              </w:rPr>
              <w:t xml:space="preserve"> </w:t>
            </w:r>
            <w:r w:rsidR="00C940C4" w:rsidRPr="002868B6">
              <w:rPr>
                <w:lang w:val="en-US"/>
              </w:rPr>
              <w:t>years</w:t>
            </w:r>
            <w:r w:rsidR="00C940C4" w:rsidRPr="00C3371F">
              <w:rPr>
                <w:lang w:val="en-US"/>
              </w:rPr>
              <w:t xml:space="preserve">, this is in conjunction with the estimate of treatment effect and the extrapolation of the treatment effect. </w:t>
            </w:r>
          </w:p>
        </w:tc>
        <w:tc>
          <w:tcPr>
            <w:tcW w:w="0" w:type="auto"/>
            <w:shd w:val="clear" w:color="auto" w:fill="auto"/>
            <w:vAlign w:val="center"/>
          </w:tcPr>
          <w:p w:rsidR="00C940C4" w:rsidRPr="00C3371F" w:rsidRDefault="00C940C4" w:rsidP="00C940C4">
            <w:pPr>
              <w:pStyle w:val="Tabletext"/>
              <w:rPr>
                <w:lang w:val="en-US"/>
              </w:rPr>
            </w:pPr>
            <w:r w:rsidRPr="00C3371F">
              <w:rPr>
                <w:lang w:val="en-US"/>
              </w:rPr>
              <w:t>High, favours nivolumab</w:t>
            </w:r>
          </w:p>
        </w:tc>
      </w:tr>
      <w:tr w:rsidR="00C940C4" w:rsidRPr="00C3371F" w:rsidTr="00290152">
        <w:tc>
          <w:tcPr>
            <w:tcW w:w="0" w:type="auto"/>
            <w:shd w:val="clear" w:color="auto" w:fill="auto"/>
            <w:vAlign w:val="center"/>
          </w:tcPr>
          <w:p w:rsidR="00C940C4" w:rsidRPr="00C3371F" w:rsidRDefault="00C940C4" w:rsidP="00C940C4">
            <w:pPr>
              <w:pStyle w:val="Tabletext"/>
              <w:rPr>
                <w:lang w:val="en-US"/>
              </w:rPr>
            </w:pPr>
            <w:r w:rsidRPr="00C3371F">
              <w:rPr>
                <w:lang w:val="en-US"/>
              </w:rPr>
              <w:t>OS benefit of nivolumab compared with observation</w:t>
            </w:r>
          </w:p>
        </w:tc>
        <w:tc>
          <w:tcPr>
            <w:tcW w:w="0" w:type="auto"/>
            <w:shd w:val="clear" w:color="auto" w:fill="auto"/>
            <w:vAlign w:val="center"/>
          </w:tcPr>
          <w:p w:rsidR="00C940C4" w:rsidRPr="00C3371F" w:rsidRDefault="00C940C4" w:rsidP="00C940C4">
            <w:pPr>
              <w:pStyle w:val="Tabletext"/>
              <w:rPr>
                <w:lang w:val="en-US"/>
              </w:rPr>
            </w:pPr>
            <w:r w:rsidRPr="00C3371F">
              <w:rPr>
                <w:lang w:val="en-US"/>
              </w:rPr>
              <w:t xml:space="preserve">The submission assumed that the HR for OS in the first two years </w:t>
            </w:r>
            <w:r w:rsidR="00606797">
              <w:rPr>
                <w:noProof/>
                <w:color w:val="000000"/>
                <w:highlight w:val="black"/>
                <w:lang w:val="en-US"/>
              </w:rPr>
              <w:t>'''' ''''''''' ''''''''''''' ''''''' ''''''' ''''''''' '''''' '''''''''' ''''''''''''''''''' ''''''''''' '''''''' '''''''''''''''' '''''''''''''''''''''''''''</w:t>
            </w:r>
          </w:p>
        </w:tc>
        <w:tc>
          <w:tcPr>
            <w:tcW w:w="0" w:type="auto"/>
            <w:shd w:val="clear" w:color="auto" w:fill="auto"/>
            <w:vAlign w:val="center"/>
          </w:tcPr>
          <w:p w:rsidR="00C940C4" w:rsidRPr="00C3371F" w:rsidRDefault="00821B47" w:rsidP="00C940C4">
            <w:pPr>
              <w:pStyle w:val="Tabletext"/>
              <w:rPr>
                <w:lang w:val="en-US"/>
              </w:rPr>
            </w:pPr>
            <w:r w:rsidRPr="0041506F">
              <w:rPr>
                <w:lang w:val="en-US"/>
              </w:rPr>
              <w:t>High</w:t>
            </w:r>
            <w:r w:rsidR="00C940C4" w:rsidRPr="0041506F">
              <w:rPr>
                <w:lang w:val="en-US"/>
              </w:rPr>
              <w:t>,</w:t>
            </w:r>
            <w:r w:rsidR="00C940C4" w:rsidRPr="00C3371F">
              <w:rPr>
                <w:lang w:val="en-US"/>
              </w:rPr>
              <w:t xml:space="preserve"> favours nivolumab</w:t>
            </w:r>
          </w:p>
        </w:tc>
      </w:tr>
      <w:tr w:rsidR="00C940C4" w:rsidRPr="00C3371F" w:rsidTr="00290152">
        <w:tc>
          <w:tcPr>
            <w:tcW w:w="0" w:type="auto"/>
            <w:shd w:val="clear" w:color="auto" w:fill="auto"/>
            <w:vAlign w:val="center"/>
          </w:tcPr>
          <w:p w:rsidR="00C940C4" w:rsidRPr="00C3371F" w:rsidRDefault="00C940C4" w:rsidP="00C940C4">
            <w:pPr>
              <w:pStyle w:val="Tabletext"/>
              <w:rPr>
                <w:lang w:val="en-US"/>
              </w:rPr>
            </w:pPr>
            <w:r w:rsidRPr="00C3371F">
              <w:rPr>
                <w:lang w:val="en-US"/>
              </w:rPr>
              <w:t xml:space="preserve">Extrapolation of the RFS and OS </w:t>
            </w:r>
          </w:p>
        </w:tc>
        <w:tc>
          <w:tcPr>
            <w:tcW w:w="0" w:type="auto"/>
            <w:shd w:val="clear" w:color="auto" w:fill="auto"/>
            <w:vAlign w:val="center"/>
          </w:tcPr>
          <w:p w:rsidR="00C940C4" w:rsidRPr="00606797" w:rsidRDefault="00606797" w:rsidP="00C940C4">
            <w:pPr>
              <w:pStyle w:val="Tabletext"/>
              <w:rPr>
                <w:highlight w:val="black"/>
                <w:lang w:val="en-US"/>
              </w:rPr>
            </w:pPr>
            <w:r>
              <w:rPr>
                <w:noProof/>
                <w:color w:val="000000"/>
                <w:highlight w:val="black"/>
                <w:lang w:val="en-US"/>
              </w:rPr>
              <w:t>'''''''''' '''''''''''''''''''' '''''''''''''''''' '''''''''''''''' '''''''''''''''''' ''''''''' '''''''' '''''''''' ''''' '''''''' '''''''''''''''''''''''' '''''''''''''' '''''''' ''''''''''''' ''''''''' ''''''''''''''''</w:t>
            </w:r>
            <w:r w:rsidR="00C940C4" w:rsidRPr="00606797">
              <w:rPr>
                <w:highlight w:val="black"/>
                <w:lang w:val="en-US"/>
              </w:rPr>
              <w:t xml:space="preserve"> </w:t>
            </w:r>
          </w:p>
        </w:tc>
        <w:tc>
          <w:tcPr>
            <w:tcW w:w="0" w:type="auto"/>
            <w:shd w:val="clear" w:color="auto" w:fill="auto"/>
            <w:vAlign w:val="center"/>
          </w:tcPr>
          <w:p w:rsidR="00C940C4" w:rsidRPr="00C3371F" w:rsidRDefault="00C940C4" w:rsidP="00C940C4">
            <w:pPr>
              <w:pStyle w:val="Tabletext"/>
              <w:rPr>
                <w:lang w:val="en-US"/>
              </w:rPr>
            </w:pPr>
            <w:r w:rsidRPr="00C3371F">
              <w:rPr>
                <w:lang w:val="en-US"/>
              </w:rPr>
              <w:t>Moderate, favours nivolumab</w:t>
            </w:r>
          </w:p>
        </w:tc>
      </w:tr>
      <w:tr w:rsidR="00C940C4" w:rsidRPr="00C3371F" w:rsidTr="00290152">
        <w:tc>
          <w:tcPr>
            <w:tcW w:w="0" w:type="auto"/>
            <w:shd w:val="clear" w:color="auto" w:fill="auto"/>
            <w:vAlign w:val="center"/>
          </w:tcPr>
          <w:p w:rsidR="00C940C4" w:rsidRPr="00C3371F" w:rsidRDefault="00C940C4" w:rsidP="00C940C4">
            <w:pPr>
              <w:pStyle w:val="Tabletext"/>
              <w:rPr>
                <w:lang w:val="en-US"/>
              </w:rPr>
            </w:pPr>
            <w:r w:rsidRPr="00C3371F">
              <w:rPr>
                <w:lang w:val="en-US"/>
              </w:rPr>
              <w:t>Disease recurrence management cost (non-drug)</w:t>
            </w:r>
          </w:p>
        </w:tc>
        <w:tc>
          <w:tcPr>
            <w:tcW w:w="0" w:type="auto"/>
            <w:shd w:val="clear" w:color="auto" w:fill="auto"/>
            <w:vAlign w:val="center"/>
          </w:tcPr>
          <w:p w:rsidR="00C940C4" w:rsidRPr="00C3371F" w:rsidRDefault="00C940C4" w:rsidP="00C940C4">
            <w:pPr>
              <w:pStyle w:val="Tabletext"/>
              <w:rPr>
                <w:lang w:val="en-US"/>
              </w:rPr>
            </w:pPr>
            <w:r w:rsidRPr="00C3371F">
              <w:rPr>
                <w:lang w:val="en-US"/>
              </w:rPr>
              <w:t xml:space="preserve">Assumed </w:t>
            </w:r>
            <w:r w:rsidR="00606797">
              <w:rPr>
                <w:noProof/>
                <w:color w:val="000000"/>
                <w:highlight w:val="black"/>
                <w:lang w:val="en-US"/>
              </w:rPr>
              <w:t>'''' ''''''''''''''''''''''''' '''''''''</w:t>
            </w:r>
            <w:r w:rsidRPr="00C3371F">
              <w:rPr>
                <w:lang w:val="en-US"/>
              </w:rPr>
              <w:t xml:space="preserve"> cost of $</w:t>
            </w:r>
            <w:r w:rsidR="00606797">
              <w:rPr>
                <w:noProof/>
                <w:color w:val="000000"/>
                <w:highlight w:val="black"/>
                <w:lang w:val="en-US"/>
              </w:rPr>
              <w:t>''''''''''''''''</w:t>
            </w:r>
            <w:r w:rsidRPr="00C3371F">
              <w:rPr>
                <w:lang w:val="en-US"/>
              </w:rPr>
              <w:t>/year.</w:t>
            </w:r>
          </w:p>
        </w:tc>
        <w:tc>
          <w:tcPr>
            <w:tcW w:w="0" w:type="auto"/>
            <w:shd w:val="clear" w:color="auto" w:fill="auto"/>
            <w:vAlign w:val="center"/>
          </w:tcPr>
          <w:p w:rsidR="00C940C4" w:rsidRPr="00C3371F" w:rsidRDefault="00C940C4" w:rsidP="00C940C4">
            <w:pPr>
              <w:pStyle w:val="Tabletext"/>
              <w:rPr>
                <w:lang w:val="en-US"/>
              </w:rPr>
            </w:pPr>
            <w:r w:rsidRPr="00C3371F">
              <w:rPr>
                <w:lang w:val="en-US"/>
              </w:rPr>
              <w:t>Moderate, favours nivolumab</w:t>
            </w:r>
          </w:p>
        </w:tc>
      </w:tr>
    </w:tbl>
    <w:p w:rsidR="00DA70FC" w:rsidRDefault="00DA70FC" w:rsidP="00C940C4">
      <w:pPr>
        <w:pStyle w:val="TableFooter"/>
      </w:pPr>
      <w:r>
        <w:t>HR = hazard ratio; OS = overall survival; RFS = recurrence-free survival</w:t>
      </w:r>
    </w:p>
    <w:p w:rsidR="00C940C4" w:rsidRPr="00C3371F" w:rsidRDefault="00C940C4" w:rsidP="00C940C4">
      <w:pPr>
        <w:pStyle w:val="TableFooter"/>
      </w:pPr>
      <w:r w:rsidRPr="00C3371F">
        <w:t>Source: Complied during the evaluation.</w:t>
      </w:r>
    </w:p>
    <w:p w:rsidR="00C940C4" w:rsidRPr="00C3371F" w:rsidRDefault="00C940C4" w:rsidP="00C940C4">
      <w:pPr>
        <w:widowControl/>
      </w:pPr>
    </w:p>
    <w:p w:rsidR="00C940C4" w:rsidRPr="00C3371F" w:rsidRDefault="00C940C4" w:rsidP="000B6DBA">
      <w:pPr>
        <w:pStyle w:val="ListParagraph"/>
        <w:widowControl/>
        <w:numPr>
          <w:ilvl w:val="1"/>
          <w:numId w:val="1"/>
        </w:numPr>
      </w:pPr>
      <w:r w:rsidRPr="00C3371F">
        <w:t xml:space="preserve">The recurrent disease health state is likely to represent a heterogeneous population in terms of subsequent health outcomes, with some patients likely to become disease-free after subsequent treatment and others experiencing disease progression. Thus, a single health state representing recurrence, along with static health state costs (based on unresectable Stage III and </w:t>
      </w:r>
      <w:r w:rsidR="00A62CB5">
        <w:t xml:space="preserve">Stage </w:t>
      </w:r>
      <w:r w:rsidRPr="00C3371F">
        <w:t xml:space="preserve">IV disease) and utilities may not accurately reflect the outcome of subsequent treatment(s) in terms of both costs and utilities over the time horizon of the model. </w:t>
      </w:r>
    </w:p>
    <w:p w:rsidR="00C940C4" w:rsidRPr="00C3371F" w:rsidRDefault="00C940C4" w:rsidP="000B6DBA">
      <w:pPr>
        <w:pStyle w:val="ListParagraph"/>
        <w:widowControl/>
        <w:numPr>
          <w:ilvl w:val="1"/>
          <w:numId w:val="1"/>
        </w:numPr>
      </w:pPr>
      <w:r w:rsidRPr="00C3371F">
        <w:t>The results of the economic evaluation are summarised below.</w:t>
      </w:r>
    </w:p>
    <w:p w:rsidR="00807F7E" w:rsidRDefault="00807F7E" w:rsidP="00C940C4">
      <w:pPr>
        <w:pStyle w:val="Caption"/>
        <w:keepNext/>
        <w:rPr>
          <w:rStyle w:val="CommentReference"/>
          <w:b/>
        </w:rPr>
      </w:pPr>
      <w:r>
        <w:rPr>
          <w:rStyle w:val="CommentReference"/>
          <w:b/>
        </w:rPr>
        <w:br w:type="page"/>
      </w:r>
    </w:p>
    <w:p w:rsidR="00C940C4" w:rsidRPr="00C3371F" w:rsidRDefault="00197F6E" w:rsidP="00C940C4">
      <w:pPr>
        <w:pStyle w:val="Caption"/>
        <w:keepNext/>
        <w:rPr>
          <w:rStyle w:val="CommentReference"/>
          <w:b/>
        </w:rPr>
      </w:pPr>
      <w:r w:rsidRPr="00C3371F">
        <w:rPr>
          <w:rStyle w:val="CommentReference"/>
          <w:b/>
        </w:rPr>
        <w:lastRenderedPageBreak/>
        <w:t>Table</w:t>
      </w:r>
      <w:r w:rsidR="00C940C4" w:rsidRPr="00C3371F">
        <w:rPr>
          <w:rStyle w:val="CommentReference"/>
          <w:b/>
        </w:rPr>
        <w:t xml:space="preserve"> </w:t>
      </w:r>
      <w:r w:rsidR="00C47B15">
        <w:rPr>
          <w:rStyle w:val="CommentReference"/>
          <w:b/>
          <w:noProof/>
        </w:rPr>
        <w:t>11</w:t>
      </w:r>
      <w:r w:rsidR="00C940C4" w:rsidRPr="00C3371F">
        <w:rPr>
          <w:rStyle w:val="CommentReference"/>
          <w:b/>
        </w:rPr>
        <w:t>: Results of the stepped economic evaluation: nivolumab vs observation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C940C4" w:rsidRPr="00C3371F" w:rsidTr="00C940C4">
        <w:trPr>
          <w:tblHeader/>
        </w:trPr>
        <w:tc>
          <w:tcPr>
            <w:tcW w:w="1529" w:type="pct"/>
            <w:vAlign w:val="center"/>
          </w:tcPr>
          <w:p w:rsidR="00C940C4" w:rsidRPr="00C3371F" w:rsidRDefault="00C940C4" w:rsidP="00C940C4">
            <w:pPr>
              <w:pStyle w:val="Tabletext"/>
              <w:rPr>
                <w:b/>
              </w:rPr>
            </w:pPr>
            <w:r w:rsidRPr="00C3371F">
              <w:rPr>
                <w:b/>
              </w:rPr>
              <w:t>Step and component</w:t>
            </w:r>
          </w:p>
        </w:tc>
        <w:tc>
          <w:tcPr>
            <w:tcW w:w="1359" w:type="pct"/>
            <w:vAlign w:val="center"/>
          </w:tcPr>
          <w:p w:rsidR="00C940C4" w:rsidRPr="00C3371F" w:rsidRDefault="00C940C4" w:rsidP="00C940C4">
            <w:pPr>
              <w:pStyle w:val="Tabletext"/>
              <w:jc w:val="center"/>
              <w:rPr>
                <w:b/>
              </w:rPr>
            </w:pPr>
            <w:r w:rsidRPr="00C3371F">
              <w:rPr>
                <w:b/>
              </w:rPr>
              <w:t>Nivolumab</w:t>
            </w:r>
          </w:p>
        </w:tc>
        <w:tc>
          <w:tcPr>
            <w:tcW w:w="1274" w:type="pct"/>
            <w:vAlign w:val="center"/>
          </w:tcPr>
          <w:p w:rsidR="00C940C4" w:rsidRPr="00C3371F" w:rsidRDefault="00C940C4" w:rsidP="00C940C4">
            <w:pPr>
              <w:pStyle w:val="Tabletext"/>
              <w:jc w:val="center"/>
              <w:rPr>
                <w:b/>
              </w:rPr>
            </w:pPr>
            <w:r w:rsidRPr="00C3371F">
              <w:rPr>
                <w:b/>
              </w:rPr>
              <w:t>Observation</w:t>
            </w:r>
          </w:p>
        </w:tc>
        <w:tc>
          <w:tcPr>
            <w:tcW w:w="838" w:type="pct"/>
            <w:vAlign w:val="center"/>
          </w:tcPr>
          <w:p w:rsidR="00C940C4" w:rsidRPr="00C3371F" w:rsidRDefault="00C940C4" w:rsidP="00C940C4">
            <w:pPr>
              <w:pStyle w:val="Tabletext"/>
              <w:jc w:val="center"/>
              <w:rPr>
                <w:b/>
              </w:rPr>
            </w:pPr>
            <w:r w:rsidRPr="00C3371F">
              <w:rPr>
                <w:b/>
              </w:rPr>
              <w:t>Increment</w:t>
            </w:r>
          </w:p>
        </w:tc>
      </w:tr>
      <w:tr w:rsidR="00C940C4" w:rsidRPr="00C3371F" w:rsidTr="00C940C4">
        <w:tc>
          <w:tcPr>
            <w:tcW w:w="5000" w:type="pct"/>
            <w:gridSpan w:val="4"/>
            <w:vAlign w:val="center"/>
          </w:tcPr>
          <w:p w:rsidR="00C940C4" w:rsidRPr="00C3371F" w:rsidRDefault="00C940C4" w:rsidP="00946F2A">
            <w:pPr>
              <w:pStyle w:val="Tabletext"/>
              <w:rPr>
                <w:b/>
                <w:snapToGrid w:val="0"/>
              </w:rPr>
            </w:pPr>
            <w:r w:rsidRPr="00C3371F">
              <w:rPr>
                <w:b/>
              </w:rPr>
              <w:t>Step 1: Data from placebo arm of CA184029, applying the HR from the ITC to RFS only (2 year time horizon)</w:t>
            </w:r>
          </w:p>
        </w:tc>
      </w:tr>
      <w:tr w:rsidR="00C940C4" w:rsidRPr="00C3371F" w:rsidTr="00C940C4">
        <w:tc>
          <w:tcPr>
            <w:tcW w:w="1529" w:type="pct"/>
            <w:vAlign w:val="center"/>
          </w:tcPr>
          <w:p w:rsidR="00C940C4" w:rsidRPr="00C3371F" w:rsidRDefault="00C940C4" w:rsidP="00C940C4">
            <w:pPr>
              <w:pStyle w:val="Tabletext"/>
              <w:rPr>
                <w:rFonts w:ascii="Times" w:hAnsi="Times"/>
              </w:rPr>
            </w:pPr>
            <w:proofErr w:type="spellStart"/>
            <w:r w:rsidRPr="00C3371F">
              <w:t>Costs</w:t>
            </w:r>
            <w:r w:rsidRPr="00C3371F">
              <w:rPr>
                <w:vertAlign w:val="superscript"/>
              </w:rPr>
              <w:t>a</w:t>
            </w:r>
            <w:proofErr w:type="spellEnd"/>
          </w:p>
        </w:tc>
        <w:tc>
          <w:tcPr>
            <w:tcW w:w="1359" w:type="pct"/>
          </w:tcPr>
          <w:p w:rsidR="00C940C4" w:rsidRPr="00C3371F" w:rsidRDefault="00C940C4" w:rsidP="00C940C4">
            <w:pPr>
              <w:pStyle w:val="Tabletext"/>
              <w:ind w:right="88"/>
              <w:jc w:val="center"/>
            </w:pPr>
            <w:r w:rsidRPr="00C3371F">
              <w:t>$</w:t>
            </w:r>
            <w:r w:rsidR="00606797">
              <w:rPr>
                <w:noProof/>
                <w:color w:val="000000"/>
                <w:highlight w:val="black"/>
              </w:rPr>
              <w:t>'''''''''''''''''''''</w:t>
            </w:r>
          </w:p>
        </w:tc>
        <w:tc>
          <w:tcPr>
            <w:tcW w:w="1274" w:type="pct"/>
          </w:tcPr>
          <w:p w:rsidR="00C940C4" w:rsidRPr="00C3371F" w:rsidRDefault="00C940C4" w:rsidP="00C940C4">
            <w:pPr>
              <w:pStyle w:val="Tabletext"/>
              <w:ind w:right="88"/>
              <w:jc w:val="center"/>
            </w:pPr>
            <w:r w:rsidRPr="00C3371F">
              <w:t>$</w:t>
            </w:r>
            <w:r w:rsidR="00606797">
              <w:rPr>
                <w:noProof/>
                <w:color w:val="000000"/>
                <w:highlight w:val="black"/>
              </w:rPr>
              <w:t>''''''''''''''''''</w:t>
            </w:r>
          </w:p>
        </w:tc>
        <w:tc>
          <w:tcPr>
            <w:tcW w:w="838" w:type="pct"/>
          </w:tcPr>
          <w:p w:rsidR="00C940C4" w:rsidRPr="00C3371F" w:rsidRDefault="00C940C4" w:rsidP="00C940C4">
            <w:pPr>
              <w:widowControl/>
              <w:ind w:right="88"/>
              <w:jc w:val="center"/>
              <w:rPr>
                <w:rFonts w:ascii="Arial Narrow" w:hAnsi="Arial Narrow" w:cs="Times New Roman"/>
                <w:snapToGrid/>
                <w:sz w:val="20"/>
              </w:rPr>
            </w:pPr>
            <w:r w:rsidRPr="00C3371F">
              <w:rPr>
                <w:rFonts w:ascii="Arial Narrow" w:hAnsi="Arial Narrow" w:cs="Times New Roman"/>
                <w:snapToGrid/>
                <w:sz w:val="20"/>
              </w:rPr>
              <w:t>$</w:t>
            </w:r>
            <w:r w:rsidR="00606797">
              <w:rPr>
                <w:rFonts w:ascii="Arial Narrow" w:hAnsi="Arial Narrow" w:cs="Times New Roman"/>
                <w:noProof/>
                <w:snapToGrid/>
                <w:color w:val="000000"/>
                <w:sz w:val="20"/>
                <w:highlight w:val="black"/>
              </w:rPr>
              <w:t>''''''''''''''''</w:t>
            </w:r>
          </w:p>
        </w:tc>
      </w:tr>
      <w:tr w:rsidR="00C940C4" w:rsidRPr="00C3371F" w:rsidTr="00C940C4">
        <w:tc>
          <w:tcPr>
            <w:tcW w:w="1529" w:type="pct"/>
            <w:vAlign w:val="center"/>
          </w:tcPr>
          <w:p w:rsidR="00C940C4" w:rsidRPr="00C3371F" w:rsidRDefault="00C940C4" w:rsidP="00C940C4">
            <w:pPr>
              <w:pStyle w:val="Tabletext"/>
              <w:rPr>
                <w:rFonts w:ascii="Times" w:hAnsi="Times"/>
              </w:rPr>
            </w:pPr>
            <w:r w:rsidRPr="00C3371F">
              <w:t>RFS years</w:t>
            </w:r>
          </w:p>
        </w:tc>
        <w:tc>
          <w:tcPr>
            <w:tcW w:w="1359" w:type="pct"/>
          </w:tcPr>
          <w:p w:rsidR="00C940C4" w:rsidRPr="00606797" w:rsidRDefault="00606797" w:rsidP="00C940C4">
            <w:pPr>
              <w:pStyle w:val="Tabletext"/>
              <w:jc w:val="center"/>
              <w:rPr>
                <w:highlight w:val="black"/>
              </w:rPr>
            </w:pPr>
            <w:r>
              <w:rPr>
                <w:noProof/>
                <w:color w:val="000000"/>
                <w:highlight w:val="black"/>
              </w:rPr>
              <w:t>''''''''''''''''</w:t>
            </w:r>
          </w:p>
        </w:tc>
        <w:tc>
          <w:tcPr>
            <w:tcW w:w="1274" w:type="pct"/>
          </w:tcPr>
          <w:p w:rsidR="00C940C4" w:rsidRPr="00606797" w:rsidRDefault="00606797" w:rsidP="00C940C4">
            <w:pPr>
              <w:pStyle w:val="Tabletext"/>
              <w:jc w:val="center"/>
              <w:rPr>
                <w:highlight w:val="black"/>
              </w:rPr>
            </w:pPr>
            <w:r>
              <w:rPr>
                <w:noProof/>
                <w:color w:val="000000"/>
                <w:highlight w:val="black"/>
              </w:rPr>
              <w:t>'''''''''''''''</w:t>
            </w:r>
          </w:p>
        </w:tc>
        <w:tc>
          <w:tcPr>
            <w:tcW w:w="838" w:type="pct"/>
          </w:tcPr>
          <w:p w:rsidR="00C940C4" w:rsidRPr="00606797" w:rsidRDefault="00606797" w:rsidP="00C940C4">
            <w:pPr>
              <w:pStyle w:val="Tabletext"/>
              <w:jc w:val="center"/>
              <w:rPr>
                <w:highlight w:val="black"/>
              </w:rPr>
            </w:pPr>
            <w:r>
              <w:rPr>
                <w:noProof/>
                <w:color w:val="000000"/>
                <w:highlight w:val="black"/>
              </w:rPr>
              <w:t>''''''''''''''''</w:t>
            </w:r>
          </w:p>
        </w:tc>
      </w:tr>
      <w:tr w:rsidR="00C940C4" w:rsidRPr="00C3371F" w:rsidTr="00C940C4">
        <w:tc>
          <w:tcPr>
            <w:tcW w:w="4162" w:type="pct"/>
            <w:gridSpan w:val="3"/>
            <w:vAlign w:val="center"/>
          </w:tcPr>
          <w:p w:rsidR="00C940C4" w:rsidRPr="00C3371F" w:rsidRDefault="00C940C4" w:rsidP="00C940C4">
            <w:pPr>
              <w:pStyle w:val="Tabletext"/>
              <w:rPr>
                <w:rFonts w:ascii="Times" w:hAnsi="Times"/>
                <w:snapToGrid w:val="0"/>
              </w:rPr>
            </w:pPr>
            <w:r w:rsidRPr="00C3371F">
              <w:t>Incremental cost/extra RFS year gained</w:t>
            </w:r>
          </w:p>
        </w:tc>
        <w:tc>
          <w:tcPr>
            <w:tcW w:w="838" w:type="pct"/>
            <w:vAlign w:val="center"/>
          </w:tcPr>
          <w:p w:rsidR="00C940C4" w:rsidRPr="00921196" w:rsidRDefault="00921196" w:rsidP="00921196">
            <w:pPr>
              <w:widowControl/>
              <w:jc w:val="center"/>
              <w:rPr>
                <w:rFonts w:ascii="Arial Narrow" w:hAnsi="Arial Narrow" w:cs="Times New Roman"/>
                <w:snapToGrid/>
                <w:sz w:val="20"/>
              </w:rPr>
            </w:pPr>
            <w:r>
              <w:rPr>
                <w:rFonts w:ascii="Arial Narrow" w:hAnsi="Arial Narrow" w:cs="Times New Roman"/>
                <w:snapToGrid/>
                <w:sz w:val="20"/>
              </w:rPr>
              <w:t>$</w:t>
            </w:r>
            <w:r w:rsidR="00606797">
              <w:rPr>
                <w:rFonts w:ascii="Arial Narrow" w:hAnsi="Arial Narrow" w:cs="Times New Roman"/>
                <w:noProof/>
                <w:snapToGrid/>
                <w:color w:val="000000"/>
                <w:sz w:val="20"/>
                <w:highlight w:val="black"/>
              </w:rPr>
              <w:t>''''''''''''''''''''</w:t>
            </w:r>
          </w:p>
        </w:tc>
      </w:tr>
      <w:tr w:rsidR="00C940C4" w:rsidRPr="00C3371F" w:rsidTr="00C940C4">
        <w:tc>
          <w:tcPr>
            <w:tcW w:w="5000" w:type="pct"/>
            <w:gridSpan w:val="4"/>
            <w:vAlign w:val="center"/>
          </w:tcPr>
          <w:p w:rsidR="00C940C4" w:rsidRPr="00C3371F" w:rsidRDefault="00C940C4" w:rsidP="00C940C4">
            <w:pPr>
              <w:pStyle w:val="Tabletext"/>
              <w:rPr>
                <w:b/>
              </w:rPr>
            </w:pPr>
            <w:r w:rsidRPr="00C3371F">
              <w:rPr>
                <w:b/>
              </w:rPr>
              <w:t>Step 2: Applying surrogacy relationship for transformation of treatment effect for RFS to OS: HR</w:t>
            </w:r>
            <w:r w:rsidRPr="00C3371F">
              <w:rPr>
                <w:b/>
                <w:vertAlign w:val="subscript"/>
              </w:rPr>
              <w:t>RFS</w:t>
            </w:r>
            <w:r w:rsidRPr="00C3371F">
              <w:rPr>
                <w:b/>
              </w:rPr>
              <w:t xml:space="preserve"> = HR</w:t>
            </w:r>
            <w:r w:rsidRPr="00C3371F">
              <w:rPr>
                <w:b/>
                <w:vertAlign w:val="subscript"/>
              </w:rPr>
              <w:t xml:space="preserve">OS </w:t>
            </w:r>
            <w:r w:rsidRPr="00C3371F">
              <w:rPr>
                <w:b/>
              </w:rPr>
              <w:t>(2 year time horizon)</w:t>
            </w:r>
          </w:p>
        </w:tc>
      </w:tr>
      <w:tr w:rsidR="00C940C4" w:rsidRPr="00C3371F" w:rsidTr="00C940C4">
        <w:tc>
          <w:tcPr>
            <w:tcW w:w="1529" w:type="pct"/>
            <w:vAlign w:val="center"/>
          </w:tcPr>
          <w:p w:rsidR="00C940C4" w:rsidRPr="00C3371F" w:rsidRDefault="00C940C4" w:rsidP="00C940C4">
            <w:pPr>
              <w:pStyle w:val="Tabletext"/>
              <w:rPr>
                <w:rFonts w:ascii="Times" w:hAnsi="Times"/>
              </w:rPr>
            </w:pPr>
            <w:r w:rsidRPr="00C3371F">
              <w:t>Costs</w:t>
            </w:r>
          </w:p>
        </w:tc>
        <w:tc>
          <w:tcPr>
            <w:tcW w:w="1359" w:type="pct"/>
          </w:tcPr>
          <w:p w:rsidR="00C940C4" w:rsidRPr="00C3371F" w:rsidRDefault="00C940C4" w:rsidP="00C940C4">
            <w:pPr>
              <w:pStyle w:val="Tabletext"/>
              <w:jc w:val="center"/>
            </w:pPr>
            <w:r w:rsidRPr="00C3371F">
              <w:t>$</w:t>
            </w:r>
            <w:r w:rsidR="00606797">
              <w:rPr>
                <w:noProof/>
                <w:color w:val="000000"/>
                <w:highlight w:val="black"/>
              </w:rPr>
              <w:t>'''''''''''''''''''</w:t>
            </w:r>
          </w:p>
        </w:tc>
        <w:tc>
          <w:tcPr>
            <w:tcW w:w="1274" w:type="pct"/>
          </w:tcPr>
          <w:p w:rsidR="00C940C4" w:rsidRPr="00C3371F" w:rsidRDefault="00C940C4" w:rsidP="00C940C4">
            <w:pPr>
              <w:pStyle w:val="Tabletext"/>
              <w:jc w:val="center"/>
            </w:pPr>
            <w:r w:rsidRPr="00C3371F">
              <w:t>$</w:t>
            </w:r>
            <w:r w:rsidR="00606797">
              <w:rPr>
                <w:noProof/>
                <w:color w:val="000000"/>
                <w:highlight w:val="black"/>
              </w:rPr>
              <w:t>'''''''''''''''</w:t>
            </w:r>
          </w:p>
        </w:tc>
        <w:tc>
          <w:tcPr>
            <w:tcW w:w="838" w:type="pct"/>
          </w:tcPr>
          <w:p w:rsidR="00C940C4" w:rsidRPr="00C3371F" w:rsidRDefault="00C940C4" w:rsidP="00C940C4">
            <w:pPr>
              <w:pStyle w:val="Tabletext"/>
              <w:jc w:val="center"/>
            </w:pPr>
            <w:r w:rsidRPr="00C3371F">
              <w:t>$</w:t>
            </w:r>
            <w:r w:rsidR="00606797">
              <w:rPr>
                <w:noProof/>
                <w:color w:val="000000"/>
                <w:highlight w:val="black"/>
              </w:rPr>
              <w:t>'''''''''''''''''</w:t>
            </w:r>
          </w:p>
        </w:tc>
      </w:tr>
      <w:tr w:rsidR="00C940C4" w:rsidRPr="00C3371F" w:rsidTr="00C940C4">
        <w:tc>
          <w:tcPr>
            <w:tcW w:w="1529" w:type="pct"/>
            <w:vAlign w:val="center"/>
          </w:tcPr>
          <w:p w:rsidR="00C940C4" w:rsidRPr="00C3371F" w:rsidRDefault="00921196" w:rsidP="00C940C4">
            <w:pPr>
              <w:pStyle w:val="Tabletext"/>
              <w:rPr>
                <w:rFonts w:ascii="Times" w:hAnsi="Times"/>
              </w:rPr>
            </w:pPr>
            <w:r>
              <w:t>LYs gained</w:t>
            </w:r>
          </w:p>
        </w:tc>
        <w:tc>
          <w:tcPr>
            <w:tcW w:w="1359" w:type="pct"/>
          </w:tcPr>
          <w:p w:rsidR="00C940C4" w:rsidRPr="00606797" w:rsidRDefault="00606797" w:rsidP="00C940C4">
            <w:pPr>
              <w:pStyle w:val="Tabletext"/>
              <w:jc w:val="center"/>
              <w:rPr>
                <w:highlight w:val="black"/>
              </w:rPr>
            </w:pPr>
            <w:r>
              <w:rPr>
                <w:noProof/>
                <w:color w:val="000000"/>
                <w:highlight w:val="black"/>
              </w:rPr>
              <w:t>''''''''''''''''</w:t>
            </w:r>
          </w:p>
        </w:tc>
        <w:tc>
          <w:tcPr>
            <w:tcW w:w="1274" w:type="pct"/>
          </w:tcPr>
          <w:p w:rsidR="00C940C4" w:rsidRPr="00606797" w:rsidRDefault="00606797" w:rsidP="00C940C4">
            <w:pPr>
              <w:pStyle w:val="Tabletext"/>
              <w:jc w:val="center"/>
              <w:rPr>
                <w:highlight w:val="black"/>
              </w:rPr>
            </w:pPr>
            <w:r>
              <w:rPr>
                <w:noProof/>
                <w:color w:val="000000"/>
                <w:highlight w:val="black"/>
              </w:rPr>
              <w:t>''''''''''''''''</w:t>
            </w:r>
          </w:p>
        </w:tc>
        <w:tc>
          <w:tcPr>
            <w:tcW w:w="838" w:type="pct"/>
          </w:tcPr>
          <w:p w:rsidR="00C940C4" w:rsidRPr="00606797" w:rsidRDefault="00606797" w:rsidP="00C940C4">
            <w:pPr>
              <w:pStyle w:val="Tabletext"/>
              <w:jc w:val="center"/>
              <w:rPr>
                <w:highlight w:val="black"/>
              </w:rPr>
            </w:pPr>
            <w:r>
              <w:rPr>
                <w:noProof/>
                <w:color w:val="000000"/>
                <w:highlight w:val="black"/>
              </w:rPr>
              <w:t>'''''''''''''''</w:t>
            </w:r>
          </w:p>
        </w:tc>
      </w:tr>
      <w:tr w:rsidR="00C940C4" w:rsidRPr="00C3371F" w:rsidTr="00C940C4">
        <w:tc>
          <w:tcPr>
            <w:tcW w:w="4162" w:type="pct"/>
            <w:gridSpan w:val="3"/>
            <w:vAlign w:val="center"/>
          </w:tcPr>
          <w:p w:rsidR="00C940C4" w:rsidRPr="00C3371F" w:rsidRDefault="00FD3ADC" w:rsidP="00C940C4">
            <w:pPr>
              <w:pStyle w:val="Tabletext"/>
            </w:pPr>
            <w:r>
              <w:t>Incremental cost/extra LY</w:t>
            </w:r>
            <w:r w:rsidR="00921196">
              <w:t>s</w:t>
            </w:r>
            <w:r w:rsidR="00C940C4" w:rsidRPr="00C3371F">
              <w:t xml:space="preserve"> gained</w:t>
            </w:r>
          </w:p>
        </w:tc>
        <w:tc>
          <w:tcPr>
            <w:tcW w:w="838" w:type="pct"/>
            <w:vAlign w:val="center"/>
          </w:tcPr>
          <w:p w:rsidR="00C940C4" w:rsidRPr="00C3371F" w:rsidRDefault="00C940C4" w:rsidP="00C940C4">
            <w:pPr>
              <w:widowControl/>
              <w:jc w:val="center"/>
              <w:rPr>
                <w:rFonts w:ascii="Arial Narrow" w:hAnsi="Arial Narrow" w:cs="Times New Roman"/>
                <w:snapToGrid/>
                <w:sz w:val="20"/>
              </w:rPr>
            </w:pPr>
            <w:r w:rsidRPr="00C3371F">
              <w:rPr>
                <w:rFonts w:ascii="Arial Narrow" w:hAnsi="Arial Narrow" w:cs="Times New Roman"/>
                <w:snapToGrid/>
                <w:sz w:val="20"/>
              </w:rPr>
              <w:t>$</w:t>
            </w:r>
            <w:r w:rsidR="00606797">
              <w:rPr>
                <w:rFonts w:ascii="Arial Narrow" w:hAnsi="Arial Narrow" w:cs="Times New Roman"/>
                <w:noProof/>
                <w:snapToGrid/>
                <w:color w:val="000000"/>
                <w:sz w:val="20"/>
                <w:highlight w:val="black"/>
              </w:rPr>
              <w:t>'''''''''''''''''''''</w:t>
            </w:r>
          </w:p>
        </w:tc>
      </w:tr>
      <w:tr w:rsidR="00C940C4" w:rsidRPr="00C3371F" w:rsidTr="00C940C4">
        <w:tc>
          <w:tcPr>
            <w:tcW w:w="5000" w:type="pct"/>
            <w:gridSpan w:val="4"/>
            <w:vAlign w:val="center"/>
          </w:tcPr>
          <w:p w:rsidR="00C940C4" w:rsidRPr="00C3371F" w:rsidRDefault="00C940C4" w:rsidP="00C940C4">
            <w:pPr>
              <w:pStyle w:val="Tabletext"/>
              <w:rPr>
                <w:b/>
                <w:snapToGrid w:val="0"/>
              </w:rPr>
            </w:pPr>
            <w:r w:rsidRPr="00C3371F">
              <w:rPr>
                <w:b/>
              </w:rPr>
              <w:t>Step 3: Transformation of health states to utility values (2 year time horizon)</w:t>
            </w:r>
          </w:p>
        </w:tc>
      </w:tr>
      <w:tr w:rsidR="00C940C4" w:rsidRPr="00C3371F" w:rsidTr="00C940C4">
        <w:tc>
          <w:tcPr>
            <w:tcW w:w="1529" w:type="pct"/>
            <w:vAlign w:val="center"/>
          </w:tcPr>
          <w:p w:rsidR="00C940C4" w:rsidRPr="00C3371F" w:rsidRDefault="00C940C4" w:rsidP="00C940C4">
            <w:pPr>
              <w:pStyle w:val="Tabletext"/>
              <w:rPr>
                <w:rFonts w:ascii="Times" w:hAnsi="Times"/>
              </w:rPr>
            </w:pPr>
            <w:r w:rsidRPr="00C3371F">
              <w:t>Costs</w:t>
            </w:r>
          </w:p>
        </w:tc>
        <w:tc>
          <w:tcPr>
            <w:tcW w:w="1359" w:type="pct"/>
          </w:tcPr>
          <w:p w:rsidR="00C940C4" w:rsidRPr="00C3371F" w:rsidRDefault="00C940C4" w:rsidP="00C940C4">
            <w:pPr>
              <w:pStyle w:val="Tabletext"/>
              <w:jc w:val="center"/>
            </w:pPr>
            <w:r w:rsidRPr="00C3371F">
              <w:t>$</w:t>
            </w:r>
            <w:r w:rsidR="00606797">
              <w:rPr>
                <w:noProof/>
                <w:color w:val="000000"/>
                <w:highlight w:val="black"/>
              </w:rPr>
              <w:t>''''''''''''''''''''''</w:t>
            </w:r>
          </w:p>
        </w:tc>
        <w:tc>
          <w:tcPr>
            <w:tcW w:w="1274" w:type="pct"/>
          </w:tcPr>
          <w:p w:rsidR="00C940C4" w:rsidRPr="00C3371F" w:rsidRDefault="00C940C4" w:rsidP="00C940C4">
            <w:pPr>
              <w:pStyle w:val="Tabletext"/>
              <w:jc w:val="center"/>
            </w:pPr>
            <w:r w:rsidRPr="00C3371F">
              <w:t>$</w:t>
            </w:r>
            <w:r w:rsidR="00606797">
              <w:rPr>
                <w:noProof/>
                <w:color w:val="000000"/>
                <w:highlight w:val="black"/>
              </w:rPr>
              <w:t>''''''''''''''''</w:t>
            </w:r>
          </w:p>
        </w:tc>
        <w:tc>
          <w:tcPr>
            <w:tcW w:w="838" w:type="pct"/>
          </w:tcPr>
          <w:p w:rsidR="00C940C4" w:rsidRPr="00C3371F" w:rsidRDefault="00C940C4" w:rsidP="00C940C4">
            <w:pPr>
              <w:pStyle w:val="Tabletext"/>
              <w:jc w:val="center"/>
            </w:pPr>
            <w:r w:rsidRPr="00C3371F">
              <w:t>$</w:t>
            </w:r>
            <w:r w:rsidR="00606797">
              <w:rPr>
                <w:noProof/>
                <w:color w:val="000000"/>
                <w:highlight w:val="black"/>
              </w:rPr>
              <w:t>''''''''''''''''</w:t>
            </w:r>
          </w:p>
        </w:tc>
      </w:tr>
      <w:tr w:rsidR="00C940C4" w:rsidRPr="00C3371F" w:rsidTr="00C940C4">
        <w:tc>
          <w:tcPr>
            <w:tcW w:w="1529" w:type="pct"/>
            <w:vAlign w:val="center"/>
          </w:tcPr>
          <w:p w:rsidR="00C940C4" w:rsidRPr="00C3371F" w:rsidRDefault="00C940C4" w:rsidP="00C940C4">
            <w:pPr>
              <w:pStyle w:val="Tabletext"/>
              <w:rPr>
                <w:rFonts w:ascii="Times" w:hAnsi="Times"/>
              </w:rPr>
            </w:pPr>
            <w:r w:rsidRPr="00C3371F">
              <w:t>QALYs</w:t>
            </w:r>
            <w:r w:rsidR="00921196">
              <w:t xml:space="preserve"> gained</w:t>
            </w:r>
          </w:p>
        </w:tc>
        <w:tc>
          <w:tcPr>
            <w:tcW w:w="1359" w:type="pct"/>
          </w:tcPr>
          <w:p w:rsidR="00C940C4" w:rsidRPr="00606797" w:rsidRDefault="00606797" w:rsidP="00C940C4">
            <w:pPr>
              <w:pStyle w:val="Tabletext"/>
              <w:jc w:val="center"/>
              <w:rPr>
                <w:highlight w:val="black"/>
              </w:rPr>
            </w:pPr>
            <w:r>
              <w:rPr>
                <w:noProof/>
                <w:color w:val="000000"/>
                <w:highlight w:val="black"/>
              </w:rPr>
              <w:t>'''''''''''''''</w:t>
            </w:r>
          </w:p>
        </w:tc>
        <w:tc>
          <w:tcPr>
            <w:tcW w:w="1274" w:type="pct"/>
          </w:tcPr>
          <w:p w:rsidR="00C940C4" w:rsidRPr="00606797" w:rsidRDefault="00606797" w:rsidP="00C940C4">
            <w:pPr>
              <w:pStyle w:val="Tabletext"/>
              <w:jc w:val="center"/>
              <w:rPr>
                <w:highlight w:val="black"/>
              </w:rPr>
            </w:pPr>
            <w:r>
              <w:rPr>
                <w:noProof/>
                <w:color w:val="000000"/>
                <w:highlight w:val="black"/>
              </w:rPr>
              <w:t>'''''''''''''''''</w:t>
            </w:r>
          </w:p>
        </w:tc>
        <w:tc>
          <w:tcPr>
            <w:tcW w:w="838" w:type="pct"/>
          </w:tcPr>
          <w:p w:rsidR="00C940C4" w:rsidRPr="00606797" w:rsidRDefault="00606797" w:rsidP="00C940C4">
            <w:pPr>
              <w:pStyle w:val="Tabletext"/>
              <w:jc w:val="center"/>
              <w:rPr>
                <w:highlight w:val="black"/>
              </w:rPr>
            </w:pPr>
            <w:r>
              <w:rPr>
                <w:noProof/>
                <w:color w:val="000000"/>
                <w:highlight w:val="black"/>
              </w:rPr>
              <w:t>'''''''''''''''''</w:t>
            </w:r>
          </w:p>
        </w:tc>
      </w:tr>
      <w:tr w:rsidR="00C940C4" w:rsidRPr="00C3371F" w:rsidTr="00C940C4">
        <w:tc>
          <w:tcPr>
            <w:tcW w:w="4162" w:type="pct"/>
            <w:gridSpan w:val="3"/>
            <w:vAlign w:val="center"/>
          </w:tcPr>
          <w:p w:rsidR="00C940C4" w:rsidRPr="00C3371F" w:rsidRDefault="00C940C4" w:rsidP="00C940C4">
            <w:pPr>
              <w:pStyle w:val="Tabletext"/>
            </w:pPr>
            <w:r w:rsidRPr="00C3371F">
              <w:t>Incremental cost/extra QALY gained</w:t>
            </w:r>
          </w:p>
        </w:tc>
        <w:tc>
          <w:tcPr>
            <w:tcW w:w="838" w:type="pct"/>
            <w:vAlign w:val="center"/>
          </w:tcPr>
          <w:p w:rsidR="00C940C4" w:rsidRPr="00C3371F" w:rsidRDefault="00C940C4" w:rsidP="00C940C4">
            <w:pPr>
              <w:widowControl/>
              <w:jc w:val="center"/>
              <w:rPr>
                <w:rFonts w:ascii="Arial Narrow" w:hAnsi="Arial Narrow" w:cs="Times New Roman"/>
                <w:snapToGrid/>
                <w:sz w:val="20"/>
              </w:rPr>
            </w:pPr>
            <w:r w:rsidRPr="00C3371F">
              <w:rPr>
                <w:rFonts w:ascii="Arial Narrow" w:hAnsi="Arial Narrow" w:cs="Times New Roman"/>
                <w:snapToGrid/>
                <w:sz w:val="20"/>
              </w:rPr>
              <w:t>$</w:t>
            </w:r>
            <w:r w:rsidR="00606797">
              <w:rPr>
                <w:rFonts w:ascii="Arial Narrow" w:hAnsi="Arial Narrow" w:cs="Times New Roman"/>
                <w:noProof/>
                <w:snapToGrid/>
                <w:color w:val="000000"/>
                <w:sz w:val="20"/>
                <w:highlight w:val="black"/>
              </w:rPr>
              <w:t>'''''''''''''''''''</w:t>
            </w:r>
          </w:p>
        </w:tc>
      </w:tr>
      <w:tr w:rsidR="00C940C4" w:rsidRPr="00C3371F" w:rsidTr="00C940C4">
        <w:tc>
          <w:tcPr>
            <w:tcW w:w="5000" w:type="pct"/>
            <w:gridSpan w:val="4"/>
            <w:vAlign w:val="center"/>
          </w:tcPr>
          <w:p w:rsidR="00C940C4" w:rsidRPr="00C3371F" w:rsidRDefault="00C940C4" w:rsidP="00C940C4">
            <w:pPr>
              <w:pStyle w:val="Tabletext"/>
              <w:rPr>
                <w:b/>
                <w:snapToGrid w:val="0"/>
              </w:rPr>
            </w:pPr>
            <w:r w:rsidRPr="00C3371F">
              <w:rPr>
                <w:b/>
                <w:snapToGrid w:val="0"/>
              </w:rPr>
              <w:t xml:space="preserve">Step 4: </w:t>
            </w:r>
            <w:r w:rsidRPr="00C3371F">
              <w:rPr>
                <w:b/>
              </w:rPr>
              <w:t>Extrapolation of model duration to 30 years</w:t>
            </w:r>
          </w:p>
        </w:tc>
      </w:tr>
      <w:tr w:rsidR="00C940C4" w:rsidRPr="00C3371F" w:rsidTr="00C940C4">
        <w:tc>
          <w:tcPr>
            <w:tcW w:w="1529" w:type="pct"/>
            <w:vAlign w:val="center"/>
          </w:tcPr>
          <w:p w:rsidR="00C940C4" w:rsidRPr="00C3371F" w:rsidRDefault="00C940C4" w:rsidP="00C940C4">
            <w:pPr>
              <w:pStyle w:val="Tabletext"/>
              <w:rPr>
                <w:rFonts w:ascii="Times" w:hAnsi="Times"/>
              </w:rPr>
            </w:pPr>
            <w:r w:rsidRPr="00C3371F">
              <w:t>Costs</w:t>
            </w:r>
          </w:p>
        </w:tc>
        <w:tc>
          <w:tcPr>
            <w:tcW w:w="1359" w:type="pct"/>
          </w:tcPr>
          <w:p w:rsidR="00C940C4" w:rsidRPr="00C3371F" w:rsidRDefault="00C940C4" w:rsidP="00C940C4">
            <w:pPr>
              <w:pStyle w:val="Tabletext"/>
              <w:jc w:val="center"/>
            </w:pPr>
            <w:r w:rsidRPr="00C3371F">
              <w:t>$</w:t>
            </w:r>
            <w:r w:rsidR="00606797">
              <w:rPr>
                <w:noProof/>
                <w:color w:val="000000"/>
                <w:highlight w:val="black"/>
              </w:rPr>
              <w:t>''''''''''''''''''</w:t>
            </w:r>
          </w:p>
        </w:tc>
        <w:tc>
          <w:tcPr>
            <w:tcW w:w="1274" w:type="pct"/>
          </w:tcPr>
          <w:p w:rsidR="00C940C4" w:rsidRPr="00C3371F" w:rsidRDefault="00C940C4" w:rsidP="00C940C4">
            <w:pPr>
              <w:pStyle w:val="Tabletext"/>
              <w:jc w:val="center"/>
            </w:pPr>
            <w:r w:rsidRPr="00C3371F">
              <w:t>$</w:t>
            </w:r>
            <w:r w:rsidR="00606797">
              <w:rPr>
                <w:noProof/>
                <w:color w:val="000000"/>
                <w:highlight w:val="black"/>
              </w:rPr>
              <w:t>'''''''''''''''''''''</w:t>
            </w:r>
          </w:p>
        </w:tc>
        <w:tc>
          <w:tcPr>
            <w:tcW w:w="838" w:type="pct"/>
          </w:tcPr>
          <w:p w:rsidR="00C940C4" w:rsidRPr="00C3371F" w:rsidRDefault="00C940C4" w:rsidP="00C940C4">
            <w:pPr>
              <w:pStyle w:val="Tabletext"/>
              <w:jc w:val="center"/>
            </w:pPr>
            <w:r w:rsidRPr="00C3371F">
              <w:t>$</w:t>
            </w:r>
            <w:r w:rsidR="00606797">
              <w:rPr>
                <w:noProof/>
                <w:color w:val="000000"/>
                <w:highlight w:val="black"/>
              </w:rPr>
              <w:t>''''''''''''''''</w:t>
            </w:r>
          </w:p>
        </w:tc>
      </w:tr>
      <w:tr w:rsidR="00C940C4" w:rsidRPr="00C3371F" w:rsidTr="00C940C4">
        <w:tc>
          <w:tcPr>
            <w:tcW w:w="1529" w:type="pct"/>
            <w:vAlign w:val="center"/>
          </w:tcPr>
          <w:p w:rsidR="00C940C4" w:rsidRPr="00C3371F" w:rsidRDefault="00C940C4" w:rsidP="00C940C4">
            <w:pPr>
              <w:pStyle w:val="Tabletext"/>
              <w:rPr>
                <w:rFonts w:ascii="Times" w:hAnsi="Times"/>
              </w:rPr>
            </w:pPr>
            <w:r w:rsidRPr="00C3371F">
              <w:t>QALYs</w:t>
            </w:r>
            <w:r w:rsidR="00921196">
              <w:t xml:space="preserve"> gained</w:t>
            </w:r>
          </w:p>
        </w:tc>
        <w:tc>
          <w:tcPr>
            <w:tcW w:w="1359" w:type="pct"/>
          </w:tcPr>
          <w:p w:rsidR="00C940C4" w:rsidRPr="00606797" w:rsidRDefault="00606797" w:rsidP="00C940C4">
            <w:pPr>
              <w:pStyle w:val="Tabletext"/>
              <w:jc w:val="center"/>
              <w:rPr>
                <w:highlight w:val="black"/>
              </w:rPr>
            </w:pPr>
            <w:r>
              <w:rPr>
                <w:noProof/>
                <w:color w:val="000000"/>
                <w:highlight w:val="black"/>
              </w:rPr>
              <w:t>''''''''''''''''</w:t>
            </w:r>
          </w:p>
        </w:tc>
        <w:tc>
          <w:tcPr>
            <w:tcW w:w="1274" w:type="pct"/>
          </w:tcPr>
          <w:p w:rsidR="00C940C4" w:rsidRPr="00606797" w:rsidRDefault="00606797" w:rsidP="00C940C4">
            <w:pPr>
              <w:pStyle w:val="Tabletext"/>
              <w:jc w:val="center"/>
              <w:rPr>
                <w:highlight w:val="black"/>
              </w:rPr>
            </w:pPr>
            <w:r>
              <w:rPr>
                <w:noProof/>
                <w:color w:val="000000"/>
                <w:highlight w:val="black"/>
              </w:rPr>
              <w:t>'''''''''''''''</w:t>
            </w:r>
          </w:p>
        </w:tc>
        <w:tc>
          <w:tcPr>
            <w:tcW w:w="838" w:type="pct"/>
          </w:tcPr>
          <w:p w:rsidR="00C940C4" w:rsidRPr="00606797" w:rsidRDefault="00606797" w:rsidP="00C940C4">
            <w:pPr>
              <w:pStyle w:val="Tabletext"/>
              <w:jc w:val="center"/>
              <w:rPr>
                <w:highlight w:val="black"/>
              </w:rPr>
            </w:pPr>
            <w:r>
              <w:rPr>
                <w:noProof/>
                <w:color w:val="000000"/>
                <w:highlight w:val="black"/>
              </w:rPr>
              <w:t>'''''''''''''''''</w:t>
            </w:r>
          </w:p>
        </w:tc>
      </w:tr>
      <w:tr w:rsidR="00C940C4" w:rsidRPr="00C3371F" w:rsidTr="00C940C4">
        <w:tc>
          <w:tcPr>
            <w:tcW w:w="4162" w:type="pct"/>
            <w:gridSpan w:val="3"/>
            <w:vAlign w:val="center"/>
          </w:tcPr>
          <w:p w:rsidR="00C940C4" w:rsidRPr="00C3371F" w:rsidRDefault="00C940C4" w:rsidP="00C940C4">
            <w:pPr>
              <w:pStyle w:val="Tabletext"/>
              <w:rPr>
                <w:rFonts w:ascii="Times" w:hAnsi="Times"/>
              </w:rPr>
            </w:pPr>
            <w:r w:rsidRPr="00C3371F">
              <w:rPr>
                <w:b/>
              </w:rPr>
              <w:t>Incremental cost/extra QALY gained (base case)</w:t>
            </w:r>
          </w:p>
        </w:tc>
        <w:tc>
          <w:tcPr>
            <w:tcW w:w="838" w:type="pct"/>
            <w:vAlign w:val="center"/>
          </w:tcPr>
          <w:p w:rsidR="00C940C4" w:rsidRPr="00C3371F" w:rsidRDefault="00C940C4" w:rsidP="00C940C4">
            <w:pPr>
              <w:pStyle w:val="Tabletext"/>
              <w:jc w:val="center"/>
            </w:pPr>
            <w:r w:rsidRPr="00C3371F">
              <w:t>$</w:t>
            </w:r>
            <w:r w:rsidR="00606797">
              <w:rPr>
                <w:noProof/>
                <w:color w:val="000000"/>
                <w:highlight w:val="black"/>
              </w:rPr>
              <w:t>''''''''''''''''</w:t>
            </w:r>
          </w:p>
        </w:tc>
      </w:tr>
    </w:tbl>
    <w:p w:rsidR="00C940C4" w:rsidRPr="00C3371F" w:rsidRDefault="00C940C4" w:rsidP="00C940C4">
      <w:pPr>
        <w:pStyle w:val="TableFooter"/>
      </w:pPr>
      <w:proofErr w:type="spellStart"/>
      <w:proofErr w:type="gramStart"/>
      <w:r w:rsidRPr="00C3371F">
        <w:rPr>
          <w:vertAlign w:val="superscript"/>
        </w:rPr>
        <w:t>a</w:t>
      </w:r>
      <w:proofErr w:type="spellEnd"/>
      <w:proofErr w:type="gramEnd"/>
      <w:r w:rsidRPr="00C3371F">
        <w:t xml:space="preserve"> This differed from the estimate provided in the submission. The ICER provided in the submission included total costs that were derived from the model which still applied the one-to-one surrogacy of the HR for RFS to OS (as per Step 2).</w:t>
      </w:r>
    </w:p>
    <w:p w:rsidR="00C940C4" w:rsidRPr="00C3371F" w:rsidRDefault="00C940C4" w:rsidP="00C940C4">
      <w:pPr>
        <w:pStyle w:val="TableFooter"/>
      </w:pPr>
      <w:r w:rsidRPr="00C3371F">
        <w:t xml:space="preserve">HR = hazard ratio; </w:t>
      </w:r>
      <w:r w:rsidR="00921196">
        <w:t xml:space="preserve">ICER = incremental cost-effectiveness ratio; </w:t>
      </w:r>
      <w:r w:rsidR="00921196" w:rsidRPr="00C3371F">
        <w:t xml:space="preserve">ITC = indirect treatment comparison; </w:t>
      </w:r>
      <w:r w:rsidR="00921196">
        <w:t xml:space="preserve">LY = life year; </w:t>
      </w:r>
      <w:r w:rsidR="00921196" w:rsidRPr="00C3371F">
        <w:t>OS = overall survival</w:t>
      </w:r>
      <w:r w:rsidR="00921196">
        <w:t>;</w:t>
      </w:r>
      <w:r w:rsidR="00921196" w:rsidRPr="00C3371F">
        <w:t xml:space="preserve"> QA</w:t>
      </w:r>
      <w:r w:rsidR="00921196">
        <w:t>LY = quality-adjusted life year; RFS = recurrence-free survival</w:t>
      </w:r>
    </w:p>
    <w:p w:rsidR="00C940C4" w:rsidRPr="00C3371F" w:rsidRDefault="00C940C4" w:rsidP="00C940C4">
      <w:pPr>
        <w:pStyle w:val="TableFooter"/>
        <w:rPr>
          <w:sz w:val="20"/>
        </w:rPr>
      </w:pPr>
      <w:r w:rsidRPr="00C3371F">
        <w:t xml:space="preserve">Source: Complied during the evaluation based on information presented in </w:t>
      </w:r>
      <w:r w:rsidRPr="00C3371F">
        <w:rPr>
          <w:rStyle w:val="TablefootnoteChar"/>
        </w:rPr>
        <w:t>‘9.</w:t>
      </w:r>
      <w:r w:rsidRPr="00290152">
        <w:rPr>
          <w:rStyle w:val="TablefootnoteChar"/>
        </w:rPr>
        <w:t>AdjNIVO_Section3model</w:t>
      </w:r>
      <w:r w:rsidRPr="00C3371F">
        <w:rPr>
          <w:rStyle w:val="TablefootnoteChar"/>
        </w:rPr>
        <w:t>_March2018.xlsx’</w:t>
      </w:r>
    </w:p>
    <w:p w:rsidR="00C940C4" w:rsidRDefault="00C940C4" w:rsidP="00C940C4"/>
    <w:p w:rsidR="00794224" w:rsidRDefault="00794224" w:rsidP="00C940C4">
      <w:r>
        <w:t>The redacted table shows ICERs in the range of more than $200,000/extra RFS year-gained; more than $200,000/extra LY gained; more than $200,000/extra QALY gained; and $15,000</w:t>
      </w:r>
      <w:r w:rsidR="002F5704">
        <w:t>/extra QALY gained</w:t>
      </w:r>
      <w:r>
        <w:t xml:space="preserve"> - $45,000/extra QALY gained (base case).</w:t>
      </w:r>
    </w:p>
    <w:p w:rsidR="00794224" w:rsidRPr="00C3371F" w:rsidRDefault="00794224" w:rsidP="00C940C4"/>
    <w:p w:rsidR="00C940C4" w:rsidRDefault="00C940C4" w:rsidP="000B6DBA">
      <w:pPr>
        <w:pStyle w:val="ListParagraph"/>
        <w:widowControl/>
        <w:numPr>
          <w:ilvl w:val="1"/>
          <w:numId w:val="1"/>
        </w:numPr>
      </w:pPr>
      <w:r w:rsidRPr="00C3371F">
        <w:t xml:space="preserve">The above table indicated that the extrapolation from </w:t>
      </w:r>
      <w:r w:rsidR="00606797">
        <w:rPr>
          <w:noProof/>
          <w:color w:val="000000"/>
          <w:highlight w:val="black"/>
        </w:rPr>
        <w:t>'''</w:t>
      </w:r>
      <w:r w:rsidRPr="00C3371F">
        <w:t xml:space="preserve"> years to </w:t>
      </w:r>
      <w:r w:rsidR="00606797">
        <w:rPr>
          <w:noProof/>
          <w:color w:val="000000"/>
          <w:highlight w:val="black"/>
        </w:rPr>
        <w:t>'''''</w:t>
      </w:r>
      <w:r w:rsidRPr="00C3371F">
        <w:t xml:space="preserve"> years had a substantial impact on the final results of the economic model. As noted above, the modelled RFS and OS curves were based on an indirect comparison and the subsequently extrapolated survival curves (and the consequent duration for each health state) are highly uncertain.</w:t>
      </w:r>
    </w:p>
    <w:p w:rsidR="00C940C4" w:rsidRPr="00C3371F" w:rsidRDefault="00C940C4" w:rsidP="000B6DBA">
      <w:pPr>
        <w:pStyle w:val="ListParagraph"/>
        <w:widowControl/>
        <w:numPr>
          <w:ilvl w:val="1"/>
          <w:numId w:val="1"/>
        </w:numPr>
      </w:pPr>
      <w:r w:rsidRPr="00C3371F">
        <w:t>Key sensitivity analyses presented in the submission are summarised in the table below</w:t>
      </w:r>
      <w:r w:rsidR="008A7403">
        <w:t xml:space="preserve">. </w:t>
      </w:r>
    </w:p>
    <w:p w:rsidR="00807F7E" w:rsidRDefault="00807F7E" w:rsidP="00C940C4">
      <w:pPr>
        <w:pStyle w:val="TableHead"/>
      </w:pPr>
      <w:r>
        <w:br w:type="page"/>
      </w:r>
    </w:p>
    <w:p w:rsidR="00C940C4" w:rsidRPr="00921196" w:rsidRDefault="00A96B5A" w:rsidP="00C940C4">
      <w:pPr>
        <w:pStyle w:val="TableHead"/>
      </w:pPr>
      <w:r w:rsidRPr="00921196">
        <w:lastRenderedPageBreak/>
        <w:t>Table</w:t>
      </w:r>
      <w:r w:rsidR="0070771C" w:rsidRPr="00921196">
        <w:rPr>
          <w:noProof/>
        </w:rPr>
        <w:t>:</w:t>
      </w:r>
      <w:r w:rsidR="0070771C" w:rsidRPr="00921196">
        <w:t xml:space="preserve"> Sensitivity analysis of the economic model</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68"/>
        <w:gridCol w:w="2836"/>
        <w:gridCol w:w="992"/>
        <w:gridCol w:w="992"/>
        <w:gridCol w:w="1058"/>
      </w:tblGrid>
      <w:tr w:rsidR="004A18C4" w:rsidRPr="00921196" w:rsidTr="00697BBB">
        <w:trPr>
          <w:cantSplit/>
          <w:tblHeader/>
        </w:trPr>
        <w:tc>
          <w:tcPr>
            <w:tcW w:w="3368" w:type="dxa"/>
            <w:vMerge w:val="restart"/>
            <w:noWrap/>
            <w:tcMar>
              <w:top w:w="0" w:type="dxa"/>
              <w:left w:w="108" w:type="dxa"/>
              <w:bottom w:w="0" w:type="dxa"/>
              <w:right w:w="108" w:type="dxa"/>
            </w:tcMar>
          </w:tcPr>
          <w:p w:rsidR="004A18C4" w:rsidRPr="00921196" w:rsidRDefault="004A18C4" w:rsidP="003818BF">
            <w:pPr>
              <w:pStyle w:val="Tabletext"/>
              <w:rPr>
                <w:b/>
              </w:rPr>
            </w:pPr>
            <w:r w:rsidRPr="00921196">
              <w:rPr>
                <w:b/>
              </w:rPr>
              <w:t>Variable tested</w:t>
            </w:r>
            <w:r w:rsidRPr="00921196">
              <w:rPr>
                <w:b/>
              </w:rPr>
              <w:br/>
              <w:t>(base case)</w:t>
            </w:r>
          </w:p>
        </w:tc>
        <w:tc>
          <w:tcPr>
            <w:tcW w:w="2836" w:type="dxa"/>
            <w:vMerge w:val="restart"/>
            <w:noWrap/>
            <w:tcMar>
              <w:top w:w="0" w:type="dxa"/>
              <w:left w:w="108" w:type="dxa"/>
              <w:bottom w:w="0" w:type="dxa"/>
              <w:right w:w="108" w:type="dxa"/>
            </w:tcMar>
          </w:tcPr>
          <w:p w:rsidR="004A18C4" w:rsidRPr="00921196" w:rsidRDefault="004A18C4" w:rsidP="003818BF">
            <w:pPr>
              <w:pStyle w:val="Tabletext"/>
              <w:jc w:val="center"/>
              <w:rPr>
                <w:b/>
              </w:rPr>
            </w:pPr>
            <w:r w:rsidRPr="00921196">
              <w:rPr>
                <w:b/>
              </w:rPr>
              <w:t>Sensitivity analysis</w:t>
            </w:r>
          </w:p>
        </w:tc>
        <w:tc>
          <w:tcPr>
            <w:tcW w:w="3042" w:type="dxa"/>
            <w:gridSpan w:val="3"/>
            <w:noWrap/>
            <w:tcMar>
              <w:top w:w="0" w:type="dxa"/>
              <w:left w:w="108" w:type="dxa"/>
              <w:bottom w:w="0" w:type="dxa"/>
              <w:right w:w="108" w:type="dxa"/>
            </w:tcMar>
          </w:tcPr>
          <w:p w:rsidR="004A18C4" w:rsidRPr="00921196" w:rsidRDefault="004A18C4" w:rsidP="003818BF">
            <w:pPr>
              <w:pStyle w:val="Tabletext"/>
              <w:jc w:val="center"/>
              <w:rPr>
                <w:b/>
              </w:rPr>
            </w:pPr>
            <w:r w:rsidRPr="00921196">
              <w:rPr>
                <w:b/>
              </w:rPr>
              <w:t>Nivolumab vs observation</w:t>
            </w:r>
          </w:p>
        </w:tc>
      </w:tr>
      <w:tr w:rsidR="004A18C4" w:rsidRPr="00921196" w:rsidTr="00697BBB">
        <w:trPr>
          <w:cantSplit/>
          <w:tblHeader/>
        </w:trPr>
        <w:tc>
          <w:tcPr>
            <w:tcW w:w="3368" w:type="dxa"/>
            <w:vMerge/>
            <w:noWrap/>
            <w:tcMar>
              <w:top w:w="0" w:type="dxa"/>
              <w:left w:w="108" w:type="dxa"/>
              <w:bottom w:w="0" w:type="dxa"/>
              <w:right w:w="108" w:type="dxa"/>
            </w:tcMar>
            <w:hideMark/>
          </w:tcPr>
          <w:p w:rsidR="004A18C4" w:rsidRPr="00921196" w:rsidRDefault="004A18C4" w:rsidP="003818BF">
            <w:pPr>
              <w:pStyle w:val="Tabletext"/>
              <w:rPr>
                <w:b/>
              </w:rPr>
            </w:pPr>
          </w:p>
        </w:tc>
        <w:tc>
          <w:tcPr>
            <w:tcW w:w="2836" w:type="dxa"/>
            <w:vMerge/>
            <w:noWrap/>
            <w:tcMar>
              <w:top w:w="0" w:type="dxa"/>
              <w:left w:w="108" w:type="dxa"/>
              <w:bottom w:w="0" w:type="dxa"/>
              <w:right w:w="108" w:type="dxa"/>
            </w:tcMar>
            <w:hideMark/>
          </w:tcPr>
          <w:p w:rsidR="004A18C4" w:rsidRPr="00921196" w:rsidRDefault="004A18C4" w:rsidP="003818BF">
            <w:pPr>
              <w:pStyle w:val="Tabletext"/>
              <w:rPr>
                <w:b/>
              </w:rPr>
            </w:pPr>
          </w:p>
        </w:tc>
        <w:tc>
          <w:tcPr>
            <w:tcW w:w="992" w:type="dxa"/>
            <w:noWrap/>
            <w:tcMar>
              <w:top w:w="0" w:type="dxa"/>
              <w:left w:w="108" w:type="dxa"/>
              <w:bottom w:w="0" w:type="dxa"/>
              <w:right w:w="108" w:type="dxa"/>
            </w:tcMar>
            <w:hideMark/>
          </w:tcPr>
          <w:p w:rsidR="004A18C4" w:rsidRPr="00921196" w:rsidRDefault="004A18C4" w:rsidP="003818BF">
            <w:pPr>
              <w:pStyle w:val="Tabletext"/>
              <w:jc w:val="center"/>
              <w:rPr>
                <w:b/>
              </w:rPr>
            </w:pPr>
            <w:r w:rsidRPr="00921196">
              <w:rPr>
                <w:b/>
              </w:rPr>
              <w:t>Inc. Costs</w:t>
            </w:r>
          </w:p>
        </w:tc>
        <w:tc>
          <w:tcPr>
            <w:tcW w:w="992" w:type="dxa"/>
            <w:tcMar>
              <w:top w:w="0" w:type="dxa"/>
              <w:left w:w="108" w:type="dxa"/>
              <w:bottom w:w="0" w:type="dxa"/>
              <w:right w:w="108" w:type="dxa"/>
            </w:tcMar>
            <w:hideMark/>
          </w:tcPr>
          <w:p w:rsidR="004A18C4" w:rsidRPr="00921196" w:rsidRDefault="004A18C4" w:rsidP="003818BF">
            <w:pPr>
              <w:pStyle w:val="Tabletext"/>
              <w:jc w:val="center"/>
              <w:rPr>
                <w:b/>
              </w:rPr>
            </w:pPr>
            <w:r w:rsidRPr="00921196">
              <w:rPr>
                <w:b/>
              </w:rPr>
              <w:t>Inc. QALYs</w:t>
            </w:r>
          </w:p>
        </w:tc>
        <w:tc>
          <w:tcPr>
            <w:tcW w:w="1058" w:type="dxa"/>
            <w:noWrap/>
            <w:tcMar>
              <w:top w:w="0" w:type="dxa"/>
              <w:left w:w="108" w:type="dxa"/>
              <w:bottom w:w="0" w:type="dxa"/>
              <w:right w:w="108" w:type="dxa"/>
            </w:tcMar>
            <w:hideMark/>
          </w:tcPr>
          <w:p w:rsidR="004A18C4" w:rsidRPr="00921196" w:rsidRDefault="004A18C4" w:rsidP="003818BF">
            <w:pPr>
              <w:pStyle w:val="Tabletext"/>
              <w:jc w:val="center"/>
              <w:rPr>
                <w:b/>
              </w:rPr>
            </w:pPr>
            <w:r w:rsidRPr="00921196">
              <w:rPr>
                <w:b/>
              </w:rPr>
              <w:t>ICER</w:t>
            </w:r>
          </w:p>
        </w:tc>
      </w:tr>
      <w:tr w:rsidR="004A18C4" w:rsidRPr="00921196" w:rsidTr="00697BBB">
        <w:trPr>
          <w:cantSplit/>
          <w:tblHeader/>
        </w:trPr>
        <w:tc>
          <w:tcPr>
            <w:tcW w:w="3368" w:type="dxa"/>
            <w:noWrap/>
            <w:tcMar>
              <w:top w:w="0" w:type="dxa"/>
              <w:left w:w="108" w:type="dxa"/>
              <w:bottom w:w="0" w:type="dxa"/>
              <w:right w:w="108" w:type="dxa"/>
            </w:tcMar>
            <w:hideMark/>
          </w:tcPr>
          <w:p w:rsidR="004A18C4" w:rsidRPr="00921196" w:rsidRDefault="004A18C4" w:rsidP="003818BF">
            <w:pPr>
              <w:pStyle w:val="Tabletext"/>
              <w:rPr>
                <w:b/>
              </w:rPr>
            </w:pPr>
            <w:bookmarkStart w:id="20" w:name="_Hlk507757062"/>
            <w:r w:rsidRPr="00921196">
              <w:rPr>
                <w:b/>
              </w:rPr>
              <w:t xml:space="preserve">Base case </w:t>
            </w:r>
          </w:p>
        </w:tc>
        <w:tc>
          <w:tcPr>
            <w:tcW w:w="2836" w:type="dxa"/>
            <w:noWrap/>
            <w:tcMar>
              <w:top w:w="0" w:type="dxa"/>
              <w:left w:w="108" w:type="dxa"/>
              <w:bottom w:w="0" w:type="dxa"/>
              <w:right w:w="108" w:type="dxa"/>
            </w:tcMar>
            <w:hideMark/>
          </w:tcPr>
          <w:p w:rsidR="004A18C4" w:rsidRPr="00921196" w:rsidRDefault="004A18C4" w:rsidP="003818BF">
            <w:pPr>
              <w:pStyle w:val="Tabletext"/>
              <w:rPr>
                <w:b/>
              </w:rPr>
            </w:pPr>
            <w:r w:rsidRPr="00921196">
              <w:rPr>
                <w:b/>
              </w:rPr>
              <w:t>-</w:t>
            </w:r>
          </w:p>
        </w:tc>
        <w:tc>
          <w:tcPr>
            <w:tcW w:w="992" w:type="dxa"/>
            <w:noWrap/>
            <w:tcMar>
              <w:top w:w="0" w:type="dxa"/>
              <w:left w:w="108" w:type="dxa"/>
              <w:bottom w:w="0" w:type="dxa"/>
              <w:right w:w="108" w:type="dxa"/>
            </w:tcMar>
            <w:hideMark/>
          </w:tcPr>
          <w:p w:rsidR="004A18C4" w:rsidRPr="00921196" w:rsidRDefault="004A18C4" w:rsidP="003818BF">
            <w:pPr>
              <w:pStyle w:val="Tabletext"/>
              <w:ind w:right="33"/>
              <w:jc w:val="right"/>
              <w:rPr>
                <w:b/>
                <w:color w:val="000000"/>
                <w:lang w:eastAsia="en-AU"/>
              </w:rPr>
            </w:pPr>
            <w:r w:rsidRPr="00921196">
              <w:rPr>
                <w:b/>
                <w:color w:val="000000"/>
                <w:lang w:eastAsia="en-AU"/>
              </w:rPr>
              <w:t>$</w:t>
            </w:r>
            <w:r w:rsidR="00606797">
              <w:rPr>
                <w:b/>
                <w:noProof/>
                <w:color w:val="000000"/>
                <w:highlight w:val="black"/>
                <w:lang w:eastAsia="en-AU"/>
              </w:rPr>
              <w:t>''''''''''''</w:t>
            </w:r>
          </w:p>
        </w:tc>
        <w:tc>
          <w:tcPr>
            <w:tcW w:w="992" w:type="dxa"/>
            <w:tcMar>
              <w:top w:w="0" w:type="dxa"/>
              <w:left w:w="108" w:type="dxa"/>
              <w:bottom w:w="0" w:type="dxa"/>
              <w:right w:w="108" w:type="dxa"/>
            </w:tcMar>
            <w:hideMark/>
          </w:tcPr>
          <w:p w:rsidR="004A18C4" w:rsidRPr="00606797" w:rsidRDefault="00606797" w:rsidP="003818BF">
            <w:pPr>
              <w:pStyle w:val="Tabletext"/>
              <w:ind w:right="33"/>
              <w:jc w:val="right"/>
              <w:rPr>
                <w:b/>
                <w:color w:val="000000"/>
                <w:highlight w:val="black"/>
                <w:lang w:eastAsia="en-AU"/>
              </w:rPr>
            </w:pPr>
            <w:r>
              <w:rPr>
                <w:b/>
                <w:noProof/>
                <w:color w:val="000000"/>
                <w:highlight w:val="black"/>
                <w:lang w:eastAsia="en-AU"/>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33"/>
              <w:jc w:val="right"/>
              <w:rPr>
                <w:b/>
                <w:color w:val="000000"/>
                <w:lang w:eastAsia="en-AU"/>
              </w:rPr>
            </w:pPr>
            <w:r w:rsidRPr="00921196">
              <w:rPr>
                <w:b/>
                <w:color w:val="000000"/>
                <w:lang w:eastAsia="en-AU"/>
              </w:rPr>
              <w:t>$</w:t>
            </w:r>
            <w:r w:rsidR="00606797">
              <w:rPr>
                <w:b/>
                <w:noProof/>
                <w:color w:val="000000"/>
                <w:highlight w:val="black"/>
                <w:lang w:eastAsia="en-AU"/>
              </w:rPr>
              <w:t>'''''''''''''</w:t>
            </w:r>
          </w:p>
        </w:tc>
      </w:tr>
      <w:tr w:rsidR="004A18C4" w:rsidRPr="00921196" w:rsidTr="00697BBB">
        <w:trPr>
          <w:cantSplit/>
        </w:trPr>
        <w:tc>
          <w:tcPr>
            <w:tcW w:w="9246" w:type="dxa"/>
            <w:gridSpan w:val="5"/>
            <w:noWrap/>
            <w:tcMar>
              <w:top w:w="0" w:type="dxa"/>
              <w:left w:w="108" w:type="dxa"/>
              <w:bottom w:w="0" w:type="dxa"/>
              <w:right w:w="108" w:type="dxa"/>
            </w:tcMar>
            <w:hideMark/>
          </w:tcPr>
          <w:p w:rsidR="004A18C4" w:rsidRPr="00921196" w:rsidRDefault="004A18C4" w:rsidP="003818BF">
            <w:pPr>
              <w:pStyle w:val="Tabletext"/>
              <w:rPr>
                <w:b/>
                <w:highlight w:val="yellow"/>
              </w:rPr>
            </w:pPr>
            <w:r w:rsidRPr="00921196">
              <w:rPr>
                <w:b/>
                <w:u w:val="single"/>
              </w:rPr>
              <w:t>Treatment effect and surrogacy variables</w:t>
            </w:r>
          </w:p>
        </w:tc>
      </w:tr>
      <w:tr w:rsidR="004A18C4" w:rsidRPr="00921196" w:rsidTr="00697BBB">
        <w:trPr>
          <w:cantSplit/>
        </w:trPr>
        <w:tc>
          <w:tcPr>
            <w:tcW w:w="3368" w:type="dxa"/>
            <w:vMerge w:val="restart"/>
            <w:noWrap/>
            <w:tcMar>
              <w:top w:w="0" w:type="dxa"/>
              <w:left w:w="108" w:type="dxa"/>
              <w:bottom w:w="0" w:type="dxa"/>
              <w:right w:w="108" w:type="dxa"/>
            </w:tcMar>
            <w:hideMark/>
          </w:tcPr>
          <w:p w:rsidR="004A18C4" w:rsidRPr="00921196" w:rsidRDefault="004A18C4" w:rsidP="003818BF">
            <w:pPr>
              <w:pStyle w:val="Tabletext"/>
              <w:rPr>
                <w:lang w:val="es-ES"/>
              </w:rPr>
            </w:pPr>
            <w:r w:rsidRPr="00921196">
              <w:rPr>
                <w:lang w:val="es-ES"/>
              </w:rPr>
              <w:t xml:space="preserve">NIVO HR </w:t>
            </w:r>
            <w:r w:rsidRPr="00921196">
              <w:rPr>
                <w:vertAlign w:val="subscript"/>
                <w:lang w:val="es-ES"/>
              </w:rPr>
              <w:t>RFS</w:t>
            </w:r>
            <w:r w:rsidRPr="00921196">
              <w:rPr>
                <w:vertAlign w:val="subscript"/>
                <w:lang w:val="es-ES"/>
              </w:rPr>
              <w:br/>
            </w:r>
            <w:r w:rsidRPr="00A96B5A">
              <w:rPr>
                <w:lang w:val="es-ES"/>
              </w:rPr>
              <w:t>(</w:t>
            </w:r>
            <w:r w:rsidR="00606797">
              <w:rPr>
                <w:noProof/>
                <w:color w:val="000000"/>
                <w:highlight w:val="black"/>
                <w:lang w:val="es-ES"/>
              </w:rPr>
              <w:t>'''' ''''''' ''''''''</w:t>
            </w:r>
            <w:r w:rsidRPr="00921196">
              <w:rPr>
                <w:lang w:val="es-ES"/>
              </w:rPr>
              <w:t>)</w:t>
            </w:r>
          </w:p>
          <w:p w:rsidR="004A18C4" w:rsidRPr="00921196" w:rsidRDefault="004A18C4" w:rsidP="003818BF">
            <w:pPr>
              <w:pStyle w:val="Tabletext"/>
              <w:rPr>
                <w:szCs w:val="18"/>
              </w:rPr>
            </w:pPr>
            <w:r w:rsidRPr="00921196">
              <w:rPr>
                <w:szCs w:val="18"/>
              </w:rPr>
              <w:t>(</w:t>
            </w:r>
            <w:r w:rsidR="00606797">
              <w:rPr>
                <w:noProof/>
                <w:color w:val="000000"/>
                <w:szCs w:val="18"/>
                <w:highlight w:val="black"/>
              </w:rPr>
              <w:t>''''''''''''</w:t>
            </w:r>
            <w:r w:rsidRPr="00921196">
              <w:rPr>
                <w:szCs w:val="18"/>
              </w:rPr>
              <w:t>)</w:t>
            </w:r>
          </w:p>
        </w:tc>
        <w:tc>
          <w:tcPr>
            <w:tcW w:w="2836" w:type="dxa"/>
            <w:noWrap/>
            <w:tcMar>
              <w:top w:w="0" w:type="dxa"/>
              <w:left w:w="108" w:type="dxa"/>
              <w:bottom w:w="0" w:type="dxa"/>
              <w:right w:w="108" w:type="dxa"/>
            </w:tcMar>
            <w:hideMark/>
          </w:tcPr>
          <w:p w:rsidR="004A18C4" w:rsidRPr="00921196" w:rsidRDefault="004A18C4" w:rsidP="003818BF">
            <w:pPr>
              <w:pStyle w:val="Tabletext"/>
            </w:pPr>
            <w:r w:rsidRPr="00921196">
              <w:t xml:space="preserve">95% LCL </w:t>
            </w:r>
            <w:r w:rsidR="00606797">
              <w:rPr>
                <w:noProof/>
                <w:color w:val="000000"/>
                <w:highlight w:val="black"/>
              </w:rPr>
              <w:t>'''''''''''</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hideMark/>
          </w:tcPr>
          <w:p w:rsidR="004A18C4" w:rsidRPr="00921196" w:rsidRDefault="004A18C4" w:rsidP="003818BF">
            <w:pPr>
              <w:pStyle w:val="Tabletext"/>
              <w:rPr>
                <w:rFonts w:eastAsiaTheme="minorHAnsi" w:cs="Arial"/>
                <w:sz w:val="18"/>
                <w:szCs w:val="18"/>
              </w:rPr>
            </w:pPr>
          </w:p>
        </w:tc>
        <w:tc>
          <w:tcPr>
            <w:tcW w:w="2836" w:type="dxa"/>
            <w:tcBorders>
              <w:bottom w:val="nil"/>
            </w:tcBorders>
            <w:noWrap/>
            <w:tcMar>
              <w:top w:w="0" w:type="dxa"/>
              <w:left w:w="108" w:type="dxa"/>
              <w:bottom w:w="0" w:type="dxa"/>
              <w:right w:w="108" w:type="dxa"/>
            </w:tcMar>
            <w:hideMark/>
          </w:tcPr>
          <w:p w:rsidR="004A18C4" w:rsidRPr="00921196" w:rsidRDefault="004A18C4" w:rsidP="003818BF">
            <w:pPr>
              <w:pStyle w:val="Tabletext"/>
            </w:pPr>
            <w:r w:rsidRPr="00921196">
              <w:t xml:space="preserve">95% UCL </w:t>
            </w:r>
            <w:r w:rsidR="00606797">
              <w:rPr>
                <w:noProof/>
                <w:color w:val="000000"/>
                <w:highlight w:val="black"/>
              </w:rPr>
              <w:t>''''''''''</w:t>
            </w:r>
          </w:p>
        </w:tc>
        <w:tc>
          <w:tcPr>
            <w:tcW w:w="992" w:type="dxa"/>
            <w:tcBorders>
              <w:bottom w:val="nil"/>
            </w:tcBorders>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Borders>
              <w:bottom w:val="nil"/>
            </w:tcBorders>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tcBorders>
              <w:bottom w:val="nil"/>
            </w:tcBorders>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noWrap/>
            <w:tcMar>
              <w:top w:w="0" w:type="dxa"/>
              <w:left w:w="108" w:type="dxa"/>
              <w:bottom w:w="0" w:type="dxa"/>
              <w:right w:w="108" w:type="dxa"/>
            </w:tcMar>
          </w:tcPr>
          <w:p w:rsidR="004A18C4" w:rsidRPr="00921196" w:rsidRDefault="004A18C4" w:rsidP="003818BF">
            <w:pPr>
              <w:pStyle w:val="Tabletext"/>
            </w:pPr>
          </w:p>
        </w:tc>
        <w:tc>
          <w:tcPr>
            <w:tcW w:w="2836" w:type="dxa"/>
            <w:tcBorders>
              <w:top w:val="nil"/>
            </w:tcBorders>
            <w:noWrap/>
            <w:tcMar>
              <w:top w:w="0" w:type="dxa"/>
              <w:left w:w="108" w:type="dxa"/>
              <w:bottom w:w="0" w:type="dxa"/>
              <w:right w:w="108" w:type="dxa"/>
            </w:tcMar>
          </w:tcPr>
          <w:p w:rsidR="004A18C4" w:rsidRPr="00921196" w:rsidRDefault="004A18C4" w:rsidP="003818BF">
            <w:pPr>
              <w:pStyle w:val="Tabletext"/>
              <w:rPr>
                <w:color w:val="000000"/>
                <w:vertAlign w:val="superscript"/>
              </w:rPr>
            </w:pPr>
            <w:r w:rsidRPr="00921196">
              <w:rPr>
                <w:color w:val="000000"/>
              </w:rPr>
              <w:t>Revised (</w:t>
            </w:r>
            <w:r w:rsidRPr="00921196">
              <w:t xml:space="preserve">95% UCL </w:t>
            </w:r>
            <w:r w:rsidR="00606797">
              <w:rPr>
                <w:noProof/>
                <w:color w:val="000000"/>
                <w:highlight w:val="black"/>
              </w:rPr>
              <w:t>'''''''''''</w:t>
            </w:r>
            <w:r w:rsidRPr="00921196">
              <w:t>)</w:t>
            </w:r>
            <w:r w:rsidRPr="00921196">
              <w:rPr>
                <w:vertAlign w:val="superscript"/>
              </w:rPr>
              <w:t>a</w:t>
            </w:r>
          </w:p>
        </w:tc>
        <w:tc>
          <w:tcPr>
            <w:tcW w:w="992" w:type="dxa"/>
            <w:tcBorders>
              <w:top w:val="nil"/>
            </w:tcBorders>
            <w:noWrap/>
            <w:tcMar>
              <w:top w:w="0" w:type="dxa"/>
              <w:left w:w="108" w:type="dxa"/>
              <w:bottom w:w="0" w:type="dxa"/>
              <w:right w:w="108" w:type="dxa"/>
            </w:tcMar>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Borders>
              <w:top w:val="nil"/>
            </w:tcBorders>
            <w:tcMar>
              <w:top w:w="0" w:type="dxa"/>
              <w:left w:w="108" w:type="dxa"/>
              <w:bottom w:w="0" w:type="dxa"/>
              <w:right w:w="108" w:type="dxa"/>
            </w:tcMar>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tcBorders>
              <w:top w:val="nil"/>
            </w:tcBorders>
            <w:noWrap/>
            <w:tcMar>
              <w:top w:w="0" w:type="dxa"/>
              <w:left w:w="108" w:type="dxa"/>
              <w:bottom w:w="0" w:type="dxa"/>
              <w:right w:w="108" w:type="dxa"/>
            </w:tcMar>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restart"/>
            <w:noWrap/>
            <w:tcMar>
              <w:top w:w="0" w:type="dxa"/>
              <w:left w:w="108" w:type="dxa"/>
              <w:bottom w:w="0" w:type="dxa"/>
              <w:right w:w="108" w:type="dxa"/>
            </w:tcMar>
            <w:hideMark/>
          </w:tcPr>
          <w:p w:rsidR="004A18C4" w:rsidRPr="00921196" w:rsidRDefault="004A18C4" w:rsidP="003818BF">
            <w:pPr>
              <w:pStyle w:val="Tabletext"/>
              <w:rPr>
                <w:szCs w:val="18"/>
                <w:lang w:val="es-ES"/>
              </w:rPr>
            </w:pPr>
            <w:r w:rsidRPr="00921196">
              <w:rPr>
                <w:lang w:val="es-ES"/>
              </w:rPr>
              <w:t xml:space="preserve">NIVO HR </w:t>
            </w:r>
            <w:r w:rsidRPr="00921196">
              <w:rPr>
                <w:vertAlign w:val="subscript"/>
                <w:lang w:val="es-ES"/>
              </w:rPr>
              <w:t>RFS</w:t>
            </w:r>
            <w:r w:rsidRPr="00921196">
              <w:rPr>
                <w:vertAlign w:val="subscript"/>
                <w:lang w:val="es-ES"/>
              </w:rPr>
              <w:br/>
            </w:r>
            <w:r w:rsidRPr="00921196">
              <w:rPr>
                <w:lang w:val="es-ES"/>
              </w:rPr>
              <w:t xml:space="preserve">(HR </w:t>
            </w:r>
            <w:r w:rsidRPr="00921196">
              <w:rPr>
                <w:vertAlign w:val="subscript"/>
                <w:lang w:val="es-ES"/>
              </w:rPr>
              <w:t xml:space="preserve">OS </w:t>
            </w:r>
            <w:r w:rsidRPr="00921196">
              <w:rPr>
                <w:lang w:val="es-ES"/>
              </w:rPr>
              <w:t xml:space="preserve">= HR </w:t>
            </w:r>
            <w:r w:rsidRPr="00921196">
              <w:rPr>
                <w:vertAlign w:val="subscript"/>
                <w:lang w:val="es-ES"/>
              </w:rPr>
              <w:t>RFS</w:t>
            </w:r>
            <w:r w:rsidRPr="00921196">
              <w:rPr>
                <w:lang w:val="es-ES"/>
              </w:rPr>
              <w:t xml:space="preserve"> x </w:t>
            </w:r>
            <w:r w:rsidR="00606797">
              <w:rPr>
                <w:noProof/>
                <w:color w:val="000000"/>
                <w:highlight w:val="black"/>
                <w:lang w:val="es-ES"/>
              </w:rPr>
              <w:t>''''''''</w:t>
            </w:r>
            <w:r w:rsidRPr="00921196">
              <w:rPr>
                <w:lang w:val="es-ES"/>
              </w:rPr>
              <w:t>)</w:t>
            </w:r>
          </w:p>
        </w:tc>
        <w:tc>
          <w:tcPr>
            <w:tcW w:w="2836" w:type="dxa"/>
            <w:noWrap/>
            <w:tcMar>
              <w:top w:w="0" w:type="dxa"/>
              <w:left w:w="108" w:type="dxa"/>
              <w:bottom w:w="0" w:type="dxa"/>
              <w:right w:w="108" w:type="dxa"/>
            </w:tcMar>
            <w:hideMark/>
          </w:tcPr>
          <w:p w:rsidR="004A18C4" w:rsidRPr="00921196" w:rsidRDefault="004A18C4" w:rsidP="003818BF">
            <w:pPr>
              <w:pStyle w:val="Tabletext"/>
              <w:rPr>
                <w:lang w:val="es-ES"/>
              </w:rPr>
            </w:pPr>
            <w:r w:rsidRPr="00921196">
              <w:rPr>
                <w:lang w:val="es-ES"/>
              </w:rPr>
              <w:t xml:space="preserve">HR </w:t>
            </w:r>
            <w:r w:rsidRPr="00921196">
              <w:rPr>
                <w:vertAlign w:val="subscript"/>
                <w:lang w:val="es-ES"/>
              </w:rPr>
              <w:t>RFS</w:t>
            </w:r>
            <w:r w:rsidRPr="00921196">
              <w:rPr>
                <w:lang w:val="es-ES"/>
              </w:rPr>
              <w:t xml:space="preserve"> = 95% LCL </w:t>
            </w:r>
            <w:r w:rsidR="00606797">
              <w:rPr>
                <w:noProof/>
                <w:color w:val="000000"/>
                <w:highlight w:val="black"/>
                <w:lang w:val="es-ES"/>
              </w:rPr>
              <w:t>''''''''''</w:t>
            </w:r>
            <w:r w:rsidRPr="00921196">
              <w:rPr>
                <w:lang w:val="es-ES"/>
              </w:rPr>
              <w:br/>
              <w:t xml:space="preserve">HR </w:t>
            </w:r>
            <w:r w:rsidRPr="00921196">
              <w:rPr>
                <w:vertAlign w:val="subscript"/>
                <w:lang w:val="es-ES"/>
              </w:rPr>
              <w:t>OS</w:t>
            </w:r>
            <w:r w:rsidRPr="00921196">
              <w:rPr>
                <w:lang w:val="es-ES"/>
              </w:rPr>
              <w:t xml:space="preserve"> = </w:t>
            </w:r>
            <w:r w:rsidR="00606797">
              <w:rPr>
                <w:noProof/>
                <w:color w:val="000000"/>
                <w:highlight w:val="black"/>
                <w:lang w:val="es-ES"/>
              </w:rPr>
              <w:t>'''''''''''''</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hideMark/>
          </w:tcPr>
          <w:p w:rsidR="004A18C4" w:rsidRPr="00921196" w:rsidRDefault="004A18C4" w:rsidP="003818BF">
            <w:pPr>
              <w:pStyle w:val="Tabletext"/>
              <w:rPr>
                <w:rFonts w:eastAsiaTheme="minorHAnsi" w:cs="Arial"/>
                <w:sz w:val="18"/>
                <w:szCs w:val="18"/>
              </w:rPr>
            </w:pPr>
          </w:p>
        </w:tc>
        <w:tc>
          <w:tcPr>
            <w:tcW w:w="2836" w:type="dxa"/>
            <w:tcBorders>
              <w:bottom w:val="nil"/>
            </w:tcBorders>
            <w:noWrap/>
            <w:tcMar>
              <w:top w:w="0" w:type="dxa"/>
              <w:left w:w="108" w:type="dxa"/>
              <w:bottom w:w="0" w:type="dxa"/>
              <w:right w:w="108" w:type="dxa"/>
            </w:tcMar>
            <w:hideMark/>
          </w:tcPr>
          <w:p w:rsidR="004A18C4" w:rsidRPr="00921196" w:rsidRDefault="004A18C4" w:rsidP="003818BF">
            <w:pPr>
              <w:pStyle w:val="Tabletext"/>
              <w:rPr>
                <w:lang w:val="es-ES"/>
              </w:rPr>
            </w:pPr>
            <w:r w:rsidRPr="00921196">
              <w:rPr>
                <w:lang w:val="es-ES"/>
              </w:rPr>
              <w:t xml:space="preserve">HR </w:t>
            </w:r>
            <w:r w:rsidRPr="00921196">
              <w:rPr>
                <w:vertAlign w:val="subscript"/>
                <w:lang w:val="es-ES"/>
              </w:rPr>
              <w:t>RFS</w:t>
            </w:r>
            <w:r w:rsidRPr="00921196">
              <w:rPr>
                <w:lang w:val="es-ES"/>
              </w:rPr>
              <w:t xml:space="preserve"> = 95% UCL </w:t>
            </w:r>
            <w:r w:rsidR="00606797">
              <w:rPr>
                <w:noProof/>
                <w:color w:val="000000"/>
                <w:highlight w:val="black"/>
                <w:lang w:val="es-ES"/>
              </w:rPr>
              <w:t>''''''''''''</w:t>
            </w:r>
            <w:r w:rsidRPr="00921196">
              <w:rPr>
                <w:lang w:val="es-ES"/>
              </w:rPr>
              <w:br/>
              <w:t xml:space="preserve">HR </w:t>
            </w:r>
            <w:r w:rsidRPr="00921196">
              <w:rPr>
                <w:vertAlign w:val="subscript"/>
                <w:lang w:val="es-ES"/>
              </w:rPr>
              <w:t>OS</w:t>
            </w:r>
            <w:r w:rsidRPr="00921196">
              <w:rPr>
                <w:lang w:val="es-ES"/>
              </w:rPr>
              <w:t xml:space="preserve"> = </w:t>
            </w:r>
            <w:r w:rsidR="00606797">
              <w:rPr>
                <w:noProof/>
                <w:color w:val="000000"/>
                <w:highlight w:val="black"/>
                <w:lang w:val="es-ES"/>
              </w:rPr>
              <w:t>'''''''''''</w:t>
            </w:r>
          </w:p>
        </w:tc>
        <w:tc>
          <w:tcPr>
            <w:tcW w:w="992" w:type="dxa"/>
            <w:tcBorders>
              <w:bottom w:val="nil"/>
            </w:tcBorders>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Borders>
              <w:bottom w:val="nil"/>
            </w:tcBorders>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tcBorders>
              <w:bottom w:val="nil"/>
            </w:tcBorders>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tcPr>
          <w:p w:rsidR="004A18C4" w:rsidRPr="00921196" w:rsidRDefault="004A18C4" w:rsidP="003818BF">
            <w:pPr>
              <w:pStyle w:val="Tabletext"/>
              <w:rPr>
                <w:rFonts w:eastAsiaTheme="minorHAnsi" w:cs="Arial"/>
                <w:sz w:val="18"/>
                <w:szCs w:val="18"/>
              </w:rPr>
            </w:pPr>
          </w:p>
        </w:tc>
        <w:tc>
          <w:tcPr>
            <w:tcW w:w="2836" w:type="dxa"/>
            <w:tcBorders>
              <w:top w:val="nil"/>
            </w:tcBorders>
            <w:noWrap/>
            <w:tcMar>
              <w:top w:w="0" w:type="dxa"/>
              <w:left w:w="108" w:type="dxa"/>
              <w:bottom w:w="0" w:type="dxa"/>
              <w:right w:w="108" w:type="dxa"/>
            </w:tcMar>
          </w:tcPr>
          <w:p w:rsidR="004A18C4" w:rsidRPr="00921196" w:rsidRDefault="004A18C4" w:rsidP="00921196">
            <w:pPr>
              <w:pStyle w:val="Tabletext"/>
              <w:rPr>
                <w:lang w:val="es-ES"/>
              </w:rPr>
            </w:pPr>
            <w:proofErr w:type="spellStart"/>
            <w:r w:rsidRPr="00921196">
              <w:rPr>
                <w:lang w:val="es-ES"/>
              </w:rPr>
              <w:t>Revised</w:t>
            </w:r>
            <w:proofErr w:type="spellEnd"/>
            <w:r w:rsidR="00921196">
              <w:rPr>
                <w:lang w:val="es-ES"/>
              </w:rPr>
              <w:t>:</w:t>
            </w:r>
            <w:r w:rsidRPr="00921196">
              <w:rPr>
                <w:lang w:val="es-ES"/>
              </w:rPr>
              <w:t xml:space="preserve"> HR </w:t>
            </w:r>
            <w:r w:rsidRPr="00921196">
              <w:rPr>
                <w:vertAlign w:val="subscript"/>
                <w:lang w:val="es-ES"/>
              </w:rPr>
              <w:t>RFS</w:t>
            </w:r>
            <w:r w:rsidRPr="00921196">
              <w:rPr>
                <w:lang w:val="es-ES"/>
              </w:rPr>
              <w:t xml:space="preserve"> = 95% UCL </w:t>
            </w:r>
            <w:r w:rsidR="00606797">
              <w:rPr>
                <w:noProof/>
                <w:color w:val="000000"/>
                <w:highlight w:val="black"/>
                <w:lang w:val="es-ES"/>
              </w:rPr>
              <w:t>''''''''''</w:t>
            </w:r>
            <w:r w:rsidRPr="00921196">
              <w:rPr>
                <w:lang w:val="es-ES"/>
              </w:rPr>
              <w:br/>
              <w:t xml:space="preserve">HR </w:t>
            </w:r>
            <w:r w:rsidRPr="00921196">
              <w:rPr>
                <w:vertAlign w:val="subscript"/>
                <w:lang w:val="es-ES"/>
              </w:rPr>
              <w:t>OS</w:t>
            </w:r>
            <w:r w:rsidRPr="00921196">
              <w:rPr>
                <w:lang w:val="es-ES"/>
              </w:rPr>
              <w:t xml:space="preserve"> = </w:t>
            </w:r>
            <w:r w:rsidR="00606797">
              <w:rPr>
                <w:noProof/>
                <w:color w:val="000000"/>
                <w:highlight w:val="black"/>
                <w:lang w:val="es-ES"/>
              </w:rPr>
              <w:t>''''''''''</w:t>
            </w:r>
            <w:r w:rsidRPr="00921196">
              <w:rPr>
                <w:vertAlign w:val="superscript"/>
                <w:lang w:val="es-ES"/>
              </w:rPr>
              <w:t>a</w:t>
            </w:r>
          </w:p>
        </w:tc>
        <w:tc>
          <w:tcPr>
            <w:tcW w:w="992" w:type="dxa"/>
            <w:tcBorders>
              <w:top w:val="nil"/>
            </w:tcBorders>
            <w:noWrap/>
            <w:tcMar>
              <w:top w:w="0" w:type="dxa"/>
              <w:left w:w="108" w:type="dxa"/>
              <w:bottom w:w="0" w:type="dxa"/>
              <w:right w:w="108" w:type="dxa"/>
            </w:tcMar>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Borders>
              <w:top w:val="nil"/>
            </w:tcBorders>
            <w:tcMar>
              <w:top w:w="0" w:type="dxa"/>
              <w:left w:w="108" w:type="dxa"/>
              <w:bottom w:w="0" w:type="dxa"/>
              <w:right w:w="108" w:type="dxa"/>
            </w:tcMar>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tcBorders>
              <w:top w:val="nil"/>
            </w:tcBorders>
            <w:noWrap/>
            <w:tcMar>
              <w:top w:w="0" w:type="dxa"/>
              <w:left w:w="108" w:type="dxa"/>
              <w:bottom w:w="0" w:type="dxa"/>
              <w:right w:w="108" w:type="dxa"/>
            </w:tcMar>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9246" w:type="dxa"/>
            <w:gridSpan w:val="5"/>
            <w:noWrap/>
            <w:tcMar>
              <w:top w:w="0" w:type="dxa"/>
              <w:left w:w="108" w:type="dxa"/>
              <w:bottom w:w="0" w:type="dxa"/>
              <w:right w:w="108" w:type="dxa"/>
            </w:tcMar>
            <w:hideMark/>
          </w:tcPr>
          <w:p w:rsidR="004A18C4" w:rsidRPr="00921196" w:rsidRDefault="004A18C4" w:rsidP="003818BF">
            <w:pPr>
              <w:pStyle w:val="Tabletext"/>
              <w:rPr>
                <w:b/>
              </w:rPr>
            </w:pPr>
            <w:r w:rsidRPr="00921196">
              <w:rPr>
                <w:b/>
                <w:u w:val="single"/>
              </w:rPr>
              <w:t>Extrapolation variables</w:t>
            </w:r>
          </w:p>
        </w:tc>
      </w:tr>
      <w:tr w:rsidR="004A18C4" w:rsidRPr="00921196" w:rsidTr="00697BBB">
        <w:trPr>
          <w:cantSplit/>
        </w:trPr>
        <w:tc>
          <w:tcPr>
            <w:tcW w:w="3368" w:type="dxa"/>
            <w:vMerge w:val="restart"/>
            <w:noWrap/>
            <w:tcMar>
              <w:top w:w="0" w:type="dxa"/>
              <w:left w:w="108" w:type="dxa"/>
              <w:bottom w:w="0" w:type="dxa"/>
              <w:right w:w="108" w:type="dxa"/>
            </w:tcMar>
            <w:hideMark/>
          </w:tcPr>
          <w:p w:rsidR="004A18C4" w:rsidRPr="00921196" w:rsidRDefault="004A18C4" w:rsidP="003818BF">
            <w:pPr>
              <w:pStyle w:val="Tabletext"/>
              <w:rPr>
                <w:szCs w:val="18"/>
              </w:rPr>
            </w:pPr>
            <w:r w:rsidRPr="00921196">
              <w:t>Duration of trial based HR before HR</w:t>
            </w:r>
            <w:r w:rsidR="00921196">
              <w:t xml:space="preserve"> </w:t>
            </w:r>
            <w:r w:rsidRPr="00921196">
              <w:t>=</w:t>
            </w:r>
            <w:r w:rsidR="00921196">
              <w:t xml:space="preserve"> </w:t>
            </w:r>
            <w:r w:rsidR="00606797">
              <w:rPr>
                <w:noProof/>
                <w:color w:val="000000"/>
                <w:highlight w:val="black"/>
              </w:rPr>
              <w:t>''''</w:t>
            </w:r>
            <w:r w:rsidRPr="00921196">
              <w:t xml:space="preserve"> (</w:t>
            </w:r>
            <w:r w:rsidR="00606797">
              <w:rPr>
                <w:noProof/>
                <w:color w:val="000000"/>
                <w:highlight w:val="black"/>
              </w:rPr>
              <w:t>''''</w:t>
            </w:r>
            <w:r w:rsidRPr="00921196">
              <w:t xml:space="preserve"> years)</w:t>
            </w:r>
          </w:p>
        </w:tc>
        <w:tc>
          <w:tcPr>
            <w:tcW w:w="2836" w:type="dxa"/>
            <w:noWrap/>
            <w:tcMar>
              <w:top w:w="0" w:type="dxa"/>
              <w:left w:w="108" w:type="dxa"/>
              <w:bottom w:w="0" w:type="dxa"/>
              <w:right w:w="108" w:type="dxa"/>
            </w:tcMar>
            <w:hideMark/>
          </w:tcPr>
          <w:p w:rsidR="004A18C4" w:rsidRPr="00606797" w:rsidRDefault="00606797" w:rsidP="003818BF">
            <w:pPr>
              <w:pStyle w:val="Tabletext"/>
              <w:rPr>
                <w:highlight w:val="black"/>
              </w:rPr>
            </w:pPr>
            <w:r>
              <w:rPr>
                <w:noProof/>
                <w:color w:val="000000"/>
                <w:highlight w:val="black"/>
              </w:rPr>
              <w:t xml:space="preserve">''' </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hideMark/>
          </w:tcPr>
          <w:p w:rsidR="004A18C4" w:rsidRPr="00921196" w:rsidRDefault="004A18C4" w:rsidP="003818BF">
            <w:pPr>
              <w:pStyle w:val="Tabletext"/>
              <w:rPr>
                <w:rFonts w:eastAsiaTheme="minorHAnsi" w:cs="Arial"/>
                <w:sz w:val="18"/>
                <w:szCs w:val="18"/>
              </w:rPr>
            </w:pPr>
          </w:p>
        </w:tc>
        <w:tc>
          <w:tcPr>
            <w:tcW w:w="2836" w:type="dxa"/>
            <w:noWrap/>
            <w:tcMar>
              <w:top w:w="0" w:type="dxa"/>
              <w:left w:w="108" w:type="dxa"/>
              <w:bottom w:w="0" w:type="dxa"/>
              <w:right w:w="108" w:type="dxa"/>
            </w:tcMar>
            <w:hideMark/>
          </w:tcPr>
          <w:p w:rsidR="004A18C4" w:rsidRPr="00606797" w:rsidRDefault="00606797" w:rsidP="003818BF">
            <w:pPr>
              <w:pStyle w:val="Tabletext"/>
              <w:rPr>
                <w:highlight w:val="black"/>
              </w:rPr>
            </w:pPr>
            <w:r>
              <w:rPr>
                <w:noProof/>
                <w:color w:val="000000"/>
                <w:highlight w:val="black"/>
              </w:rPr>
              <w:t>'''''''</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restart"/>
            <w:noWrap/>
            <w:tcMar>
              <w:top w:w="0" w:type="dxa"/>
              <w:left w:w="108" w:type="dxa"/>
              <w:bottom w:w="0" w:type="dxa"/>
              <w:right w:w="108" w:type="dxa"/>
            </w:tcMar>
            <w:hideMark/>
          </w:tcPr>
          <w:p w:rsidR="004A18C4" w:rsidRPr="00921196" w:rsidRDefault="004A18C4" w:rsidP="003818BF">
            <w:pPr>
              <w:pStyle w:val="Tabletext"/>
            </w:pPr>
            <w:r w:rsidRPr="00921196">
              <w:t>Convergence extrapolation (HR based assumptions until start variable in years, then linear decline in incremental effect until converge end variable in years).</w:t>
            </w:r>
          </w:p>
          <w:p w:rsidR="004A18C4" w:rsidRPr="00921196" w:rsidRDefault="004A18C4" w:rsidP="003818BF">
            <w:pPr>
              <w:pStyle w:val="Tabletext"/>
              <w:rPr>
                <w:szCs w:val="18"/>
              </w:rPr>
            </w:pPr>
            <w:r w:rsidRPr="00921196">
              <w:t>No convergence assumed in the base case</w:t>
            </w:r>
          </w:p>
        </w:tc>
        <w:tc>
          <w:tcPr>
            <w:tcW w:w="2836" w:type="dxa"/>
            <w:noWrap/>
            <w:tcMar>
              <w:top w:w="0" w:type="dxa"/>
              <w:left w:w="108" w:type="dxa"/>
              <w:bottom w:w="0" w:type="dxa"/>
              <w:right w:w="108" w:type="dxa"/>
            </w:tcMar>
            <w:hideMark/>
          </w:tcPr>
          <w:p w:rsidR="004A18C4" w:rsidRPr="00606797" w:rsidRDefault="00606797" w:rsidP="003818BF">
            <w:pPr>
              <w:pStyle w:val="Tabletext"/>
              <w:rPr>
                <w:highlight w:val="black"/>
              </w:rPr>
            </w:pPr>
            <w:r>
              <w:rPr>
                <w:noProof/>
                <w:color w:val="000000"/>
                <w:highlight w:val="black"/>
              </w:rPr>
              <w:t>'''''''''''' '''' ''''''''' ''''''</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hideMark/>
          </w:tcPr>
          <w:p w:rsidR="004A18C4" w:rsidRPr="00921196" w:rsidRDefault="004A18C4" w:rsidP="003818BF">
            <w:pPr>
              <w:pStyle w:val="Tabletext"/>
              <w:rPr>
                <w:rFonts w:eastAsiaTheme="minorHAnsi" w:cs="Arial"/>
                <w:sz w:val="18"/>
                <w:szCs w:val="18"/>
              </w:rPr>
            </w:pPr>
          </w:p>
        </w:tc>
        <w:tc>
          <w:tcPr>
            <w:tcW w:w="2836" w:type="dxa"/>
            <w:noWrap/>
            <w:tcMar>
              <w:top w:w="0" w:type="dxa"/>
              <w:left w:w="108" w:type="dxa"/>
              <w:bottom w:w="0" w:type="dxa"/>
              <w:right w:w="108" w:type="dxa"/>
            </w:tcMar>
            <w:hideMark/>
          </w:tcPr>
          <w:p w:rsidR="004A18C4" w:rsidRPr="00606797" w:rsidRDefault="00606797" w:rsidP="003818BF">
            <w:pPr>
              <w:pStyle w:val="Tabletext"/>
              <w:rPr>
                <w:highlight w:val="black"/>
              </w:rPr>
            </w:pPr>
            <w:r>
              <w:rPr>
                <w:noProof/>
                <w:color w:val="000000"/>
                <w:highlight w:val="black"/>
              </w:rPr>
              <w:t>''''''''''' '''' '''''''''' '''''</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hideMark/>
          </w:tcPr>
          <w:p w:rsidR="004A18C4" w:rsidRPr="00921196" w:rsidRDefault="004A18C4" w:rsidP="003818BF">
            <w:pPr>
              <w:pStyle w:val="Tabletext"/>
              <w:rPr>
                <w:rFonts w:eastAsiaTheme="minorHAnsi" w:cs="Arial"/>
                <w:sz w:val="18"/>
                <w:szCs w:val="18"/>
              </w:rPr>
            </w:pPr>
          </w:p>
        </w:tc>
        <w:tc>
          <w:tcPr>
            <w:tcW w:w="2836" w:type="dxa"/>
            <w:noWrap/>
            <w:tcMar>
              <w:top w:w="0" w:type="dxa"/>
              <w:left w:w="108" w:type="dxa"/>
              <w:bottom w:w="0" w:type="dxa"/>
              <w:right w:w="108" w:type="dxa"/>
            </w:tcMar>
            <w:hideMark/>
          </w:tcPr>
          <w:p w:rsidR="004A18C4" w:rsidRPr="00606797" w:rsidRDefault="00606797" w:rsidP="003818BF">
            <w:pPr>
              <w:pStyle w:val="Tabletext"/>
              <w:rPr>
                <w:highlight w:val="black"/>
              </w:rPr>
            </w:pPr>
            <w:r>
              <w:rPr>
                <w:noProof/>
                <w:color w:val="000000"/>
                <w:highlight w:val="black"/>
              </w:rPr>
              <w:t>''''''''''' '''' ''''''''' ''''''</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hideMark/>
          </w:tcPr>
          <w:p w:rsidR="004A18C4" w:rsidRPr="00921196" w:rsidRDefault="004A18C4" w:rsidP="003818BF">
            <w:pPr>
              <w:pStyle w:val="Tabletext"/>
              <w:rPr>
                <w:rFonts w:eastAsiaTheme="minorHAnsi" w:cs="Arial"/>
                <w:sz w:val="18"/>
                <w:szCs w:val="18"/>
              </w:rPr>
            </w:pPr>
          </w:p>
        </w:tc>
        <w:tc>
          <w:tcPr>
            <w:tcW w:w="2836" w:type="dxa"/>
            <w:noWrap/>
            <w:tcMar>
              <w:top w:w="0" w:type="dxa"/>
              <w:left w:w="108" w:type="dxa"/>
              <w:bottom w:w="0" w:type="dxa"/>
              <w:right w:w="108" w:type="dxa"/>
            </w:tcMar>
            <w:hideMark/>
          </w:tcPr>
          <w:p w:rsidR="004A18C4" w:rsidRPr="00606797" w:rsidRDefault="00606797" w:rsidP="003818BF">
            <w:pPr>
              <w:pStyle w:val="Tabletext"/>
              <w:rPr>
                <w:highlight w:val="black"/>
              </w:rPr>
            </w:pPr>
            <w:r>
              <w:rPr>
                <w:noProof/>
                <w:color w:val="000000"/>
                <w:highlight w:val="black"/>
              </w:rPr>
              <w:t>''''''''''' '''' '''''''''' '''''''</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hideMark/>
          </w:tcPr>
          <w:p w:rsidR="004A18C4" w:rsidRPr="00921196" w:rsidRDefault="004A18C4" w:rsidP="003818BF">
            <w:pPr>
              <w:pStyle w:val="Tabletext"/>
              <w:rPr>
                <w:rFonts w:eastAsiaTheme="minorHAnsi" w:cs="Arial"/>
                <w:sz w:val="18"/>
                <w:szCs w:val="18"/>
              </w:rPr>
            </w:pPr>
          </w:p>
        </w:tc>
        <w:tc>
          <w:tcPr>
            <w:tcW w:w="2836" w:type="dxa"/>
            <w:noWrap/>
            <w:tcMar>
              <w:top w:w="0" w:type="dxa"/>
              <w:left w:w="108" w:type="dxa"/>
              <w:bottom w:w="0" w:type="dxa"/>
              <w:right w:w="108" w:type="dxa"/>
            </w:tcMar>
            <w:hideMark/>
          </w:tcPr>
          <w:p w:rsidR="004A18C4" w:rsidRPr="00606797" w:rsidRDefault="00606797" w:rsidP="003818BF">
            <w:pPr>
              <w:pStyle w:val="Tabletext"/>
              <w:rPr>
                <w:highlight w:val="black"/>
              </w:rPr>
            </w:pPr>
            <w:r>
              <w:rPr>
                <w:noProof/>
                <w:color w:val="000000"/>
                <w:highlight w:val="black"/>
              </w:rPr>
              <w:t>''''''''''''' ''''' '''''''''' '''''</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hideMark/>
          </w:tcPr>
          <w:p w:rsidR="004A18C4" w:rsidRPr="00921196" w:rsidRDefault="004A18C4" w:rsidP="003818BF">
            <w:pPr>
              <w:pStyle w:val="Tabletext"/>
              <w:rPr>
                <w:rFonts w:eastAsiaTheme="minorHAnsi" w:cs="Arial"/>
                <w:sz w:val="18"/>
                <w:szCs w:val="18"/>
              </w:rPr>
            </w:pPr>
          </w:p>
        </w:tc>
        <w:tc>
          <w:tcPr>
            <w:tcW w:w="2836" w:type="dxa"/>
            <w:noWrap/>
            <w:tcMar>
              <w:top w:w="0" w:type="dxa"/>
              <w:left w:w="108" w:type="dxa"/>
              <w:bottom w:w="0" w:type="dxa"/>
              <w:right w:w="108" w:type="dxa"/>
            </w:tcMar>
            <w:hideMark/>
          </w:tcPr>
          <w:p w:rsidR="004A18C4" w:rsidRPr="00606797" w:rsidRDefault="00606797" w:rsidP="003818BF">
            <w:pPr>
              <w:pStyle w:val="Tabletext"/>
              <w:rPr>
                <w:highlight w:val="black"/>
              </w:rPr>
            </w:pPr>
            <w:r>
              <w:rPr>
                <w:noProof/>
                <w:color w:val="000000"/>
                <w:highlight w:val="black"/>
              </w:rPr>
              <w:t>'''''''''''' ''''' '''''''''' ''''''</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hideMark/>
          </w:tcPr>
          <w:p w:rsidR="004A18C4" w:rsidRPr="00921196" w:rsidRDefault="004A18C4" w:rsidP="003818BF">
            <w:pPr>
              <w:pStyle w:val="Tabletext"/>
              <w:rPr>
                <w:rFonts w:eastAsiaTheme="minorHAnsi" w:cs="Arial"/>
                <w:sz w:val="18"/>
                <w:szCs w:val="18"/>
              </w:rPr>
            </w:pPr>
          </w:p>
        </w:tc>
        <w:tc>
          <w:tcPr>
            <w:tcW w:w="2836" w:type="dxa"/>
            <w:noWrap/>
            <w:tcMar>
              <w:top w:w="0" w:type="dxa"/>
              <w:left w:w="108" w:type="dxa"/>
              <w:bottom w:w="0" w:type="dxa"/>
              <w:right w:w="108" w:type="dxa"/>
            </w:tcMar>
            <w:hideMark/>
          </w:tcPr>
          <w:p w:rsidR="004A18C4" w:rsidRPr="00606797" w:rsidRDefault="00606797" w:rsidP="003818BF">
            <w:pPr>
              <w:pStyle w:val="Tabletext"/>
              <w:rPr>
                <w:highlight w:val="black"/>
              </w:rPr>
            </w:pPr>
            <w:r>
              <w:rPr>
                <w:noProof/>
                <w:color w:val="000000"/>
                <w:highlight w:val="black"/>
              </w:rPr>
              <w:t>''''''''''' ''''' '''''''''' '''''''</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hideMark/>
          </w:tcPr>
          <w:p w:rsidR="004A18C4" w:rsidRPr="00921196" w:rsidRDefault="004A18C4" w:rsidP="003818BF">
            <w:pPr>
              <w:pStyle w:val="Tabletext"/>
              <w:rPr>
                <w:rFonts w:eastAsiaTheme="minorHAnsi" w:cs="Arial"/>
                <w:sz w:val="18"/>
                <w:szCs w:val="18"/>
              </w:rPr>
            </w:pPr>
          </w:p>
        </w:tc>
        <w:tc>
          <w:tcPr>
            <w:tcW w:w="2836" w:type="dxa"/>
            <w:noWrap/>
            <w:tcMar>
              <w:top w:w="0" w:type="dxa"/>
              <w:left w:w="108" w:type="dxa"/>
              <w:bottom w:w="0" w:type="dxa"/>
              <w:right w:w="108" w:type="dxa"/>
            </w:tcMar>
            <w:hideMark/>
          </w:tcPr>
          <w:p w:rsidR="004A18C4" w:rsidRPr="00606797" w:rsidRDefault="00606797" w:rsidP="003818BF">
            <w:pPr>
              <w:pStyle w:val="Tabletext"/>
              <w:rPr>
                <w:highlight w:val="black"/>
              </w:rPr>
            </w:pPr>
            <w:r>
              <w:rPr>
                <w:noProof/>
                <w:color w:val="000000"/>
                <w:highlight w:val="black"/>
              </w:rPr>
              <w:t>'''''''''''' '''' ''''''''''' '''''''</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vAlign w:val="center"/>
            <w:hideMark/>
          </w:tcPr>
          <w:p w:rsidR="004A18C4" w:rsidRPr="00921196" w:rsidRDefault="004A18C4" w:rsidP="003818BF">
            <w:pPr>
              <w:pStyle w:val="Tabletext"/>
              <w:rPr>
                <w:rFonts w:eastAsiaTheme="minorHAnsi" w:cs="Arial"/>
                <w:sz w:val="18"/>
                <w:szCs w:val="18"/>
              </w:rPr>
            </w:pPr>
          </w:p>
        </w:tc>
        <w:tc>
          <w:tcPr>
            <w:tcW w:w="2836" w:type="dxa"/>
            <w:noWrap/>
            <w:tcMar>
              <w:top w:w="0" w:type="dxa"/>
              <w:left w:w="108" w:type="dxa"/>
              <w:bottom w:w="0" w:type="dxa"/>
              <w:right w:w="108" w:type="dxa"/>
            </w:tcMar>
            <w:hideMark/>
          </w:tcPr>
          <w:p w:rsidR="004A18C4" w:rsidRPr="00606797" w:rsidRDefault="00606797" w:rsidP="003818BF">
            <w:pPr>
              <w:pStyle w:val="Tabletext"/>
              <w:rPr>
                <w:highlight w:val="black"/>
              </w:rPr>
            </w:pPr>
            <w:r>
              <w:rPr>
                <w:noProof/>
                <w:color w:val="000000"/>
                <w:highlight w:val="black"/>
              </w:rPr>
              <w:t>''''''''''' ''''' '''''''''' '''''</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9246" w:type="dxa"/>
            <w:gridSpan w:val="5"/>
            <w:noWrap/>
            <w:tcMar>
              <w:top w:w="0" w:type="dxa"/>
              <w:left w:w="108" w:type="dxa"/>
              <w:bottom w:w="0" w:type="dxa"/>
              <w:right w:w="108" w:type="dxa"/>
            </w:tcMar>
            <w:hideMark/>
          </w:tcPr>
          <w:p w:rsidR="004A18C4" w:rsidRPr="00921196" w:rsidRDefault="004A18C4" w:rsidP="003818BF">
            <w:pPr>
              <w:pStyle w:val="Tabletext"/>
              <w:ind w:right="97"/>
              <w:rPr>
                <w:b/>
                <w:color w:val="000000"/>
              </w:rPr>
            </w:pPr>
            <w:r w:rsidRPr="00921196">
              <w:rPr>
                <w:b/>
                <w:color w:val="000000"/>
              </w:rPr>
              <w:t>Model structure</w:t>
            </w:r>
          </w:p>
        </w:tc>
      </w:tr>
      <w:tr w:rsidR="004A18C4" w:rsidRPr="00921196" w:rsidTr="00697BBB">
        <w:trPr>
          <w:cantSplit/>
        </w:trPr>
        <w:tc>
          <w:tcPr>
            <w:tcW w:w="3368" w:type="dxa"/>
            <w:vMerge w:val="restart"/>
            <w:noWrap/>
            <w:tcMar>
              <w:top w:w="0" w:type="dxa"/>
              <w:left w:w="108" w:type="dxa"/>
              <w:bottom w:w="0" w:type="dxa"/>
              <w:right w:w="108" w:type="dxa"/>
            </w:tcMar>
            <w:hideMark/>
          </w:tcPr>
          <w:p w:rsidR="004A18C4" w:rsidRPr="00921196" w:rsidRDefault="004A18C4" w:rsidP="003818BF">
            <w:pPr>
              <w:pStyle w:val="Tabletext"/>
              <w:rPr>
                <w:szCs w:val="18"/>
              </w:rPr>
            </w:pPr>
            <w:r w:rsidRPr="00921196">
              <w:t>Model duration (</w:t>
            </w:r>
            <w:r w:rsidR="00606797">
              <w:rPr>
                <w:noProof/>
                <w:color w:val="000000"/>
                <w:highlight w:val="black"/>
              </w:rPr>
              <w:t>''''''</w:t>
            </w:r>
            <w:r w:rsidRPr="00921196">
              <w:t xml:space="preserve"> years)</w:t>
            </w:r>
          </w:p>
        </w:tc>
        <w:tc>
          <w:tcPr>
            <w:tcW w:w="2836" w:type="dxa"/>
            <w:noWrap/>
            <w:tcMar>
              <w:top w:w="0" w:type="dxa"/>
              <w:left w:w="108" w:type="dxa"/>
              <w:bottom w:w="0" w:type="dxa"/>
              <w:right w:w="108" w:type="dxa"/>
            </w:tcMar>
            <w:hideMark/>
          </w:tcPr>
          <w:p w:rsidR="004A18C4" w:rsidRPr="00921196" w:rsidRDefault="00606797" w:rsidP="003818BF">
            <w:pPr>
              <w:pStyle w:val="Tabletext"/>
            </w:pPr>
            <w:r>
              <w:rPr>
                <w:noProof/>
                <w:color w:val="000000"/>
                <w:highlight w:val="black"/>
              </w:rPr>
              <w:t>''''''</w:t>
            </w:r>
            <w:r w:rsidR="004A18C4" w:rsidRPr="00921196">
              <w:t xml:space="preserve"> years</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noWrap/>
            <w:tcMar>
              <w:top w:w="0" w:type="dxa"/>
              <w:left w:w="108" w:type="dxa"/>
              <w:bottom w:w="0" w:type="dxa"/>
              <w:right w:w="108" w:type="dxa"/>
            </w:tcMar>
          </w:tcPr>
          <w:p w:rsidR="004A18C4" w:rsidRPr="00921196" w:rsidRDefault="004A18C4" w:rsidP="003818BF">
            <w:pPr>
              <w:pStyle w:val="Tabletext"/>
              <w:rPr>
                <w:szCs w:val="18"/>
              </w:rPr>
            </w:pPr>
          </w:p>
        </w:tc>
        <w:tc>
          <w:tcPr>
            <w:tcW w:w="2836" w:type="dxa"/>
            <w:noWrap/>
            <w:tcMar>
              <w:top w:w="0" w:type="dxa"/>
              <w:left w:w="108" w:type="dxa"/>
              <w:bottom w:w="0" w:type="dxa"/>
              <w:right w:w="108" w:type="dxa"/>
            </w:tcMar>
            <w:hideMark/>
          </w:tcPr>
          <w:p w:rsidR="004A18C4" w:rsidRPr="00921196" w:rsidRDefault="00606797" w:rsidP="003818BF">
            <w:pPr>
              <w:pStyle w:val="Tabletext"/>
            </w:pPr>
            <w:r>
              <w:rPr>
                <w:noProof/>
                <w:color w:val="000000"/>
                <w:highlight w:val="black"/>
              </w:rPr>
              <w:t>'''''</w:t>
            </w:r>
            <w:r w:rsidR="004A18C4" w:rsidRPr="00921196">
              <w:t xml:space="preserve"> years</w:t>
            </w:r>
          </w:p>
        </w:tc>
        <w:tc>
          <w:tcPr>
            <w:tcW w:w="992"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hideMark/>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hideMark/>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DF6E54" w:rsidRPr="00921196" w:rsidTr="00697BBB">
        <w:trPr>
          <w:cantSplit/>
        </w:trPr>
        <w:tc>
          <w:tcPr>
            <w:tcW w:w="9246" w:type="dxa"/>
            <w:gridSpan w:val="5"/>
            <w:noWrap/>
            <w:tcMar>
              <w:top w:w="0" w:type="dxa"/>
              <w:left w:w="108" w:type="dxa"/>
              <w:bottom w:w="0" w:type="dxa"/>
              <w:right w:w="108" w:type="dxa"/>
            </w:tcMar>
          </w:tcPr>
          <w:p w:rsidR="00DF6E54" w:rsidRPr="00F11A53" w:rsidRDefault="00DF6E54" w:rsidP="003818BF">
            <w:pPr>
              <w:pStyle w:val="Tabletext"/>
              <w:ind w:right="97"/>
              <w:rPr>
                <w:b/>
                <w:color w:val="000000"/>
              </w:rPr>
            </w:pPr>
            <w:r w:rsidRPr="00F11A53">
              <w:rPr>
                <w:b/>
                <w:szCs w:val="18"/>
              </w:rPr>
              <w:t>Patient Characteristics</w:t>
            </w:r>
          </w:p>
        </w:tc>
      </w:tr>
      <w:tr w:rsidR="004A18C4" w:rsidRPr="00921196" w:rsidTr="00697BBB">
        <w:trPr>
          <w:cantSplit/>
        </w:trPr>
        <w:tc>
          <w:tcPr>
            <w:tcW w:w="3368" w:type="dxa"/>
            <w:vMerge w:val="restart"/>
            <w:noWrap/>
            <w:tcMar>
              <w:top w:w="0" w:type="dxa"/>
              <w:left w:w="108" w:type="dxa"/>
              <w:bottom w:w="0" w:type="dxa"/>
              <w:right w:w="108" w:type="dxa"/>
            </w:tcMar>
          </w:tcPr>
          <w:p w:rsidR="004A18C4" w:rsidRPr="00921196" w:rsidRDefault="004A18C4" w:rsidP="003818BF">
            <w:pPr>
              <w:pStyle w:val="Tabletext"/>
              <w:rPr>
                <w:szCs w:val="18"/>
              </w:rPr>
            </w:pPr>
            <w:r w:rsidRPr="00921196">
              <w:rPr>
                <w:szCs w:val="18"/>
              </w:rPr>
              <w:t>Patient age (51 years)</w:t>
            </w:r>
          </w:p>
        </w:tc>
        <w:tc>
          <w:tcPr>
            <w:tcW w:w="2836" w:type="dxa"/>
            <w:noWrap/>
            <w:tcMar>
              <w:top w:w="0" w:type="dxa"/>
              <w:left w:w="108" w:type="dxa"/>
              <w:bottom w:w="0" w:type="dxa"/>
              <w:right w:w="108" w:type="dxa"/>
            </w:tcMar>
          </w:tcPr>
          <w:p w:rsidR="004A18C4" w:rsidRPr="00921196" w:rsidRDefault="00606797" w:rsidP="003818BF">
            <w:pPr>
              <w:pStyle w:val="Tabletext"/>
            </w:pPr>
            <w:r>
              <w:rPr>
                <w:noProof/>
                <w:color w:val="000000"/>
                <w:highlight w:val="black"/>
              </w:rPr>
              <w:t xml:space="preserve">'''''' </w:t>
            </w:r>
            <w:r w:rsidR="004A18C4" w:rsidRPr="00921196">
              <w:t>years</w:t>
            </w:r>
          </w:p>
        </w:tc>
        <w:tc>
          <w:tcPr>
            <w:tcW w:w="992" w:type="dxa"/>
            <w:noWrap/>
            <w:tcMar>
              <w:top w:w="0" w:type="dxa"/>
              <w:left w:w="108" w:type="dxa"/>
              <w:bottom w:w="0" w:type="dxa"/>
              <w:right w:w="108" w:type="dxa"/>
            </w:tcMar>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r w:rsidR="004A18C4" w:rsidRPr="00921196" w:rsidTr="00697BBB">
        <w:trPr>
          <w:cantSplit/>
        </w:trPr>
        <w:tc>
          <w:tcPr>
            <w:tcW w:w="3368" w:type="dxa"/>
            <w:vMerge/>
            <w:noWrap/>
            <w:tcMar>
              <w:top w:w="0" w:type="dxa"/>
              <w:left w:w="108" w:type="dxa"/>
              <w:bottom w:w="0" w:type="dxa"/>
              <w:right w:w="108" w:type="dxa"/>
            </w:tcMar>
          </w:tcPr>
          <w:p w:rsidR="004A18C4" w:rsidRPr="00921196" w:rsidRDefault="004A18C4" w:rsidP="003818BF">
            <w:pPr>
              <w:pStyle w:val="Tabletext"/>
              <w:rPr>
                <w:szCs w:val="18"/>
              </w:rPr>
            </w:pPr>
          </w:p>
        </w:tc>
        <w:tc>
          <w:tcPr>
            <w:tcW w:w="2836" w:type="dxa"/>
            <w:noWrap/>
            <w:tcMar>
              <w:top w:w="0" w:type="dxa"/>
              <w:left w:w="108" w:type="dxa"/>
              <w:bottom w:w="0" w:type="dxa"/>
              <w:right w:w="108" w:type="dxa"/>
            </w:tcMar>
          </w:tcPr>
          <w:p w:rsidR="004A18C4" w:rsidRPr="00921196" w:rsidRDefault="00606797" w:rsidP="003818BF">
            <w:pPr>
              <w:pStyle w:val="Tabletext"/>
            </w:pPr>
            <w:r>
              <w:rPr>
                <w:noProof/>
                <w:color w:val="000000"/>
                <w:highlight w:val="black"/>
              </w:rPr>
              <w:t xml:space="preserve">''''' </w:t>
            </w:r>
            <w:r w:rsidR="004A18C4" w:rsidRPr="00921196">
              <w:t>years</w:t>
            </w:r>
          </w:p>
        </w:tc>
        <w:tc>
          <w:tcPr>
            <w:tcW w:w="992" w:type="dxa"/>
            <w:noWrap/>
            <w:tcMar>
              <w:top w:w="0" w:type="dxa"/>
              <w:left w:w="108" w:type="dxa"/>
              <w:bottom w:w="0" w:type="dxa"/>
              <w:right w:w="108" w:type="dxa"/>
            </w:tcMar>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c>
          <w:tcPr>
            <w:tcW w:w="992" w:type="dxa"/>
            <w:tcMar>
              <w:top w:w="0" w:type="dxa"/>
              <w:left w:w="108" w:type="dxa"/>
              <w:bottom w:w="0" w:type="dxa"/>
              <w:right w:w="108" w:type="dxa"/>
            </w:tcMar>
          </w:tcPr>
          <w:p w:rsidR="004A18C4" w:rsidRPr="00606797" w:rsidRDefault="00606797" w:rsidP="003818BF">
            <w:pPr>
              <w:pStyle w:val="Tabletext"/>
              <w:ind w:right="97"/>
              <w:jc w:val="right"/>
              <w:rPr>
                <w:color w:val="000000"/>
                <w:highlight w:val="black"/>
              </w:rPr>
            </w:pPr>
            <w:r>
              <w:rPr>
                <w:noProof/>
                <w:color w:val="000000"/>
                <w:highlight w:val="black"/>
              </w:rPr>
              <w:t>'''''''''''''''''</w:t>
            </w:r>
          </w:p>
        </w:tc>
        <w:tc>
          <w:tcPr>
            <w:tcW w:w="1058" w:type="dxa"/>
            <w:noWrap/>
            <w:tcMar>
              <w:top w:w="0" w:type="dxa"/>
              <w:left w:w="108" w:type="dxa"/>
              <w:bottom w:w="0" w:type="dxa"/>
              <w:right w:w="108" w:type="dxa"/>
            </w:tcMar>
          </w:tcPr>
          <w:p w:rsidR="004A18C4" w:rsidRPr="00921196" w:rsidRDefault="004A18C4" w:rsidP="003818BF">
            <w:pPr>
              <w:pStyle w:val="Tabletext"/>
              <w:ind w:right="97"/>
              <w:jc w:val="right"/>
              <w:rPr>
                <w:color w:val="000000"/>
              </w:rPr>
            </w:pPr>
            <w:r w:rsidRPr="00921196">
              <w:rPr>
                <w:color w:val="000000"/>
              </w:rPr>
              <w:t>$</w:t>
            </w:r>
            <w:r w:rsidR="00606797">
              <w:rPr>
                <w:noProof/>
                <w:color w:val="000000"/>
                <w:highlight w:val="black"/>
              </w:rPr>
              <w:t>''''''''''''''''</w:t>
            </w:r>
          </w:p>
        </w:tc>
      </w:tr>
    </w:tbl>
    <w:bookmarkEnd w:id="20"/>
    <w:p w:rsidR="00946F2A" w:rsidRPr="00921196" w:rsidRDefault="00946F2A" w:rsidP="00946F2A">
      <w:pPr>
        <w:pStyle w:val="Tablefootnote"/>
      </w:pPr>
      <w:proofErr w:type="spellStart"/>
      <w:proofErr w:type="gramStart"/>
      <w:r w:rsidRPr="00921196">
        <w:rPr>
          <w:vertAlign w:val="superscript"/>
        </w:rPr>
        <w:t>a</w:t>
      </w:r>
      <w:proofErr w:type="spellEnd"/>
      <w:proofErr w:type="gramEnd"/>
      <w:r w:rsidR="00921196">
        <w:rPr>
          <w:vertAlign w:val="superscript"/>
        </w:rPr>
        <w:t xml:space="preserve"> </w:t>
      </w:r>
      <w:r w:rsidRPr="00921196">
        <w:t>The UCL for RFS HR was incorrectly reported in this table as HR</w:t>
      </w:r>
      <w:r w:rsidR="00C11B8A">
        <w:t xml:space="preserve"> </w:t>
      </w:r>
      <w:r w:rsidRPr="00921196">
        <w:t>=</w:t>
      </w:r>
      <w:r w:rsidR="00C11B8A">
        <w:t xml:space="preserve"> </w:t>
      </w:r>
      <w:r w:rsidR="00606797">
        <w:rPr>
          <w:noProof/>
          <w:color w:val="000000"/>
          <w:highlight w:val="black"/>
        </w:rPr>
        <w:t>''''''''''</w:t>
      </w:r>
      <w:r w:rsidRPr="00921196">
        <w:t>. This should have been HR</w:t>
      </w:r>
      <w:r w:rsidR="00C11B8A">
        <w:t xml:space="preserve"> </w:t>
      </w:r>
      <w:r w:rsidRPr="00921196">
        <w:t>=</w:t>
      </w:r>
      <w:r w:rsidR="00C11B8A">
        <w:t xml:space="preserve"> </w:t>
      </w:r>
      <w:r w:rsidR="00606797">
        <w:rPr>
          <w:noProof/>
          <w:color w:val="000000"/>
          <w:highlight w:val="black"/>
        </w:rPr>
        <w:t>'''''''''''</w:t>
      </w:r>
      <w:r w:rsidRPr="00921196">
        <w:t xml:space="preserve">. </w:t>
      </w:r>
    </w:p>
    <w:p w:rsidR="00946F2A" w:rsidRPr="00921196" w:rsidRDefault="00921196" w:rsidP="00946F2A">
      <w:pPr>
        <w:pStyle w:val="Tablefootnote"/>
      </w:pPr>
      <w:r w:rsidRPr="00921196">
        <w:t>AE = adverse event; HR = hazard ratio</w:t>
      </w:r>
      <w:r>
        <w:t xml:space="preserve">; LCL = lower confidence limit; </w:t>
      </w:r>
      <w:r w:rsidR="00946F2A" w:rsidRPr="00921196">
        <w:t xml:space="preserve">ICER = incremental cost-effectiveness ratio; </w:t>
      </w:r>
      <w:r>
        <w:t xml:space="preserve">IFN = interferon; </w:t>
      </w:r>
      <w:proofErr w:type="spellStart"/>
      <w:r w:rsidRPr="00921196">
        <w:t>Inc</w:t>
      </w:r>
      <w:proofErr w:type="spellEnd"/>
      <w:r w:rsidRPr="00921196">
        <w:t xml:space="preserve"> = incremental;</w:t>
      </w:r>
      <w:r>
        <w:t xml:space="preserve"> IPI = ipilimumab; </w:t>
      </w:r>
      <w:r w:rsidRPr="00921196">
        <w:t xml:space="preserve">NIVO = nivolumab; </w:t>
      </w:r>
      <w:r>
        <w:t xml:space="preserve">OS = overall survival; PBO = placebo; </w:t>
      </w:r>
      <w:r w:rsidRPr="00921196">
        <w:t xml:space="preserve">QALY = quality-adjusted life year; </w:t>
      </w:r>
      <w:r>
        <w:t>RFS = recurrence-free survival; UCL = upper confidence limit</w:t>
      </w:r>
    </w:p>
    <w:p w:rsidR="00946F2A" w:rsidRPr="00921196" w:rsidRDefault="00946F2A" w:rsidP="00946F2A">
      <w:pPr>
        <w:pStyle w:val="Tablefootnote"/>
      </w:pPr>
      <w:r w:rsidRPr="00921196">
        <w:t>Source: Table 96, p166 Section 3 of the submission</w:t>
      </w:r>
    </w:p>
    <w:p w:rsidR="00C940C4" w:rsidRPr="00C3371F" w:rsidRDefault="00C940C4" w:rsidP="000B6DBA">
      <w:pPr>
        <w:pStyle w:val="ListParagraph"/>
        <w:widowControl/>
        <w:numPr>
          <w:ilvl w:val="1"/>
          <w:numId w:val="1"/>
        </w:numPr>
      </w:pPr>
      <w:r w:rsidRPr="00C3371F">
        <w:t xml:space="preserve">The </w:t>
      </w:r>
      <w:r w:rsidR="008A7403">
        <w:t xml:space="preserve">PBAC noted </w:t>
      </w:r>
      <w:r w:rsidRPr="00C3371F">
        <w:t>that</w:t>
      </w:r>
      <w:r w:rsidR="00232E01">
        <w:t xml:space="preserve"> </w:t>
      </w:r>
      <w:r w:rsidRPr="00C3371F">
        <w:t xml:space="preserve">the model was </w:t>
      </w:r>
      <w:r w:rsidR="008A7403">
        <w:t xml:space="preserve">variable and </w:t>
      </w:r>
      <w:r w:rsidRPr="00C3371F">
        <w:t xml:space="preserve">sensitive to the modelled treatment effect and time horizon. Setting the RFS and OS curves starting to converge at year five, and completely converge at the end of year 10 resulted in an ICER of </w:t>
      </w:r>
      <w:r w:rsidR="000847B5">
        <w:t>$</w:t>
      </w:r>
      <w:r w:rsidR="00181F40">
        <w:t>105,000</w:t>
      </w:r>
      <w:r w:rsidR="009B4D73">
        <w:t>/QALY</w:t>
      </w:r>
      <w:r w:rsidR="00181F40">
        <w:t xml:space="preserve"> - $200,000</w:t>
      </w:r>
      <w:r w:rsidRPr="00C3371F">
        <w:t>/QALY for the comparison of nivolumab v</w:t>
      </w:r>
      <w:r w:rsidR="00F43AC5">
        <w:t>ersu</w:t>
      </w:r>
      <w:r w:rsidRPr="00C3371F">
        <w:t xml:space="preserve">s observation. Setting the time horizon of the model to </w:t>
      </w:r>
      <w:r w:rsidR="00F43AC5">
        <w:t>10</w:t>
      </w:r>
      <w:r w:rsidRPr="00C3371F">
        <w:t xml:space="preserve"> years </w:t>
      </w:r>
      <w:r w:rsidR="00ED503A" w:rsidRPr="00C3371F">
        <w:t xml:space="preserve">(without convergence of the extrapolated curves) </w:t>
      </w:r>
      <w:r w:rsidRPr="00C3371F">
        <w:t xml:space="preserve">resulted in an ICER of </w:t>
      </w:r>
      <w:r w:rsidR="00FB13ED">
        <w:t>$75,000</w:t>
      </w:r>
      <w:r w:rsidR="009B4D73">
        <w:t>/QALY</w:t>
      </w:r>
      <w:r w:rsidR="00FB13ED">
        <w:t xml:space="preserve"> - $105,000</w:t>
      </w:r>
      <w:r w:rsidRPr="00C3371F">
        <w:t>/QALY for the comparison of nivolumab v</w:t>
      </w:r>
      <w:r w:rsidR="00A62CB5">
        <w:t>ersu</w:t>
      </w:r>
      <w:r w:rsidRPr="00C3371F">
        <w:t xml:space="preserve">s observation. See Figure 3 below. </w:t>
      </w:r>
    </w:p>
    <w:p w:rsidR="00C940C4" w:rsidRPr="00C3371F" w:rsidRDefault="00A96B5A" w:rsidP="00C940C4">
      <w:pPr>
        <w:pStyle w:val="TableHead"/>
      </w:pPr>
      <w:r w:rsidRPr="002868B6">
        <w:lastRenderedPageBreak/>
        <w:t>Figure</w:t>
      </w:r>
      <w:r w:rsidR="00C940C4" w:rsidRPr="002868B6">
        <w:t xml:space="preserve"> 3: ICER</w:t>
      </w:r>
      <w:r w:rsidR="00C940C4" w:rsidRPr="00C3371F">
        <w:t xml:space="preserve"> ($/QALY) over the time horizon of the model (nivolumab vs observation)</w:t>
      </w:r>
    </w:p>
    <w:p w:rsidR="00C940C4" w:rsidRPr="00C3371F" w:rsidRDefault="00606797" w:rsidP="00C940C4">
      <w:r>
        <w:rPr>
          <w:noProof/>
          <w:snapToGrid/>
          <w:lang w:eastAsia="en-AU"/>
        </w:rPr>
        <w:drawing>
          <wp:inline distT="0" distB="0" distL="0" distR="0">
            <wp:extent cx="5088255" cy="3385185"/>
            <wp:effectExtent l="0" t="0" r="0" b="5715"/>
            <wp:docPr id="1" name="Picture 1" title="Figure 3: ICER ($/QALY) over the time horizon of the model (nivolumab vs observa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8255" cy="3385185"/>
                    </a:xfrm>
                    <a:prstGeom prst="rect">
                      <a:avLst/>
                    </a:prstGeom>
                  </pic:spPr>
                </pic:pic>
              </a:graphicData>
            </a:graphic>
          </wp:inline>
        </w:drawing>
      </w:r>
    </w:p>
    <w:p w:rsidR="00C940C4" w:rsidRPr="00C11B8A" w:rsidRDefault="00C11B8A" w:rsidP="00C940C4">
      <w:pPr>
        <w:rPr>
          <w:rFonts w:ascii="Arial Narrow" w:hAnsi="Arial Narrow"/>
          <w:sz w:val="18"/>
          <w:szCs w:val="18"/>
        </w:rPr>
      </w:pPr>
      <w:r w:rsidRPr="00C11B8A">
        <w:rPr>
          <w:rFonts w:ascii="Arial Narrow" w:hAnsi="Arial Narrow"/>
          <w:sz w:val="18"/>
          <w:szCs w:val="18"/>
        </w:rPr>
        <w:t>ICER = incremental cost-effectiveness ratio; QALY = quality-adjusted life year</w:t>
      </w:r>
    </w:p>
    <w:p w:rsidR="00C11B8A" w:rsidRPr="00C3371F" w:rsidRDefault="00C11B8A" w:rsidP="00C940C4"/>
    <w:p w:rsidR="00290152" w:rsidRPr="005C7AC1" w:rsidRDefault="00290152" w:rsidP="000B6DBA">
      <w:pPr>
        <w:pStyle w:val="ListParagraph"/>
        <w:widowControl/>
        <w:numPr>
          <w:ilvl w:val="1"/>
          <w:numId w:val="1"/>
        </w:numPr>
      </w:pPr>
      <w:r w:rsidRPr="005C7AC1">
        <w:t xml:space="preserve">The </w:t>
      </w:r>
      <w:r w:rsidR="00456432">
        <w:t xml:space="preserve">PBAC and </w:t>
      </w:r>
      <w:r w:rsidRPr="005C7AC1">
        <w:t xml:space="preserve">ESC </w:t>
      </w:r>
      <w:r w:rsidR="00456432">
        <w:t xml:space="preserve">noted </w:t>
      </w:r>
      <w:r w:rsidRPr="005C7AC1">
        <w:t xml:space="preserve">that the significant uncertainty </w:t>
      </w:r>
      <w:r w:rsidR="008633E5">
        <w:t>surrounding</w:t>
      </w:r>
      <w:r w:rsidR="008633E5" w:rsidRPr="005C7AC1">
        <w:t xml:space="preserve"> </w:t>
      </w:r>
      <w:r w:rsidRPr="005C7AC1">
        <w:t xml:space="preserve">the </w:t>
      </w:r>
      <w:r w:rsidR="00FD3ADC" w:rsidRPr="005C7AC1">
        <w:t xml:space="preserve">magnitude of </w:t>
      </w:r>
      <w:r w:rsidRPr="005C7AC1">
        <w:t xml:space="preserve">OS benefit of nivolumab over observation </w:t>
      </w:r>
      <w:r w:rsidR="008633E5">
        <w:t>resulted in an uncertain and highly variable ICER</w:t>
      </w:r>
      <w:r w:rsidRPr="005C7AC1">
        <w:t xml:space="preserve">. The </w:t>
      </w:r>
      <w:r w:rsidR="00456432">
        <w:t xml:space="preserve">PBAC and </w:t>
      </w:r>
      <w:r w:rsidRPr="005C7AC1">
        <w:t xml:space="preserve">ESC </w:t>
      </w:r>
      <w:r w:rsidR="008633E5">
        <w:t xml:space="preserve">also </w:t>
      </w:r>
      <w:r w:rsidRPr="005C7AC1">
        <w:t xml:space="preserve">considered that </w:t>
      </w:r>
      <w:r w:rsidR="008633E5">
        <w:t>as the RFS to OS</w:t>
      </w:r>
      <w:r w:rsidRPr="005C7AC1">
        <w:t xml:space="preserve"> relationship is a</w:t>
      </w:r>
      <w:r w:rsidR="00456432">
        <w:t xml:space="preserve"> key </w:t>
      </w:r>
      <w:r w:rsidRPr="005C7AC1">
        <w:t xml:space="preserve">driver </w:t>
      </w:r>
      <w:r w:rsidR="00456432">
        <w:t>of</w:t>
      </w:r>
      <w:r w:rsidRPr="005C7AC1">
        <w:t xml:space="preserve"> the model, which is then compounded by the application of the 30-year time horizon</w:t>
      </w:r>
      <w:r w:rsidR="002C48C3" w:rsidRPr="005C7AC1">
        <w:t xml:space="preserve"> and </w:t>
      </w:r>
      <w:r w:rsidR="008633E5">
        <w:t xml:space="preserve">the </w:t>
      </w:r>
      <w:r w:rsidR="002C48C3" w:rsidRPr="005C7AC1">
        <w:t>transition probabilit</w:t>
      </w:r>
      <w:r w:rsidR="008633E5">
        <w:t>y issues</w:t>
      </w:r>
      <w:r w:rsidR="002C48C3" w:rsidRPr="005C7AC1">
        <w:t>, the base case ICER</w:t>
      </w:r>
      <w:r w:rsidR="008633E5">
        <w:t xml:space="preserve"> of </w:t>
      </w:r>
      <w:r w:rsidR="009B4D73">
        <w:t xml:space="preserve">$15,000/QALY - $45,000/QALY </w:t>
      </w:r>
      <w:r w:rsidR="008633E5">
        <w:t>wa</w:t>
      </w:r>
      <w:r w:rsidR="002C48C3" w:rsidRPr="005C7AC1">
        <w:t xml:space="preserve">s likely to be significantly underestimated. </w:t>
      </w:r>
    </w:p>
    <w:p w:rsidR="00C940C4" w:rsidRPr="009F1345" w:rsidRDefault="00C940C4" w:rsidP="009F1345">
      <w:pPr>
        <w:pStyle w:val="Heading2"/>
        <w:spacing w:before="240" w:after="120"/>
        <w:rPr>
          <w:i w:val="0"/>
        </w:rPr>
      </w:pPr>
      <w:bookmarkStart w:id="21" w:name="_Toc371170711"/>
      <w:bookmarkStart w:id="22" w:name="_Toc511318443"/>
      <w:bookmarkStart w:id="23" w:name="_Toc511661683"/>
      <w:r w:rsidRPr="00C3371F">
        <w:rPr>
          <w:i w:val="0"/>
        </w:rPr>
        <w:t>Drug cost/patient</w:t>
      </w:r>
      <w:bookmarkEnd w:id="21"/>
      <w:r w:rsidRPr="00C3371F">
        <w:rPr>
          <w:i w:val="0"/>
        </w:rPr>
        <w:t>/course: $</w:t>
      </w:r>
      <w:bookmarkEnd w:id="22"/>
      <w:bookmarkEnd w:id="23"/>
      <w:r w:rsidR="00606797" w:rsidRPr="009F1345">
        <w:rPr>
          <w:i w:val="0"/>
        </w:rPr>
        <w:t>''''''''''''''</w:t>
      </w:r>
      <w:r w:rsidR="00085801" w:rsidRPr="009F1345">
        <w:footnoteReference w:id="13"/>
      </w:r>
    </w:p>
    <w:p w:rsidR="00C940C4" w:rsidRPr="00C3371F" w:rsidRDefault="00C940C4" w:rsidP="000B6DBA">
      <w:pPr>
        <w:pStyle w:val="ListParagraph"/>
        <w:keepNext/>
        <w:widowControl/>
        <w:numPr>
          <w:ilvl w:val="1"/>
          <w:numId w:val="1"/>
        </w:numPr>
      </w:pPr>
      <w:r w:rsidRPr="00C3371F">
        <w:t>Based on a mean (SD) weight of 81.33 (SD</w:t>
      </w:r>
      <w:r w:rsidR="00A62CB5">
        <w:t>:</w:t>
      </w:r>
      <w:r w:rsidRPr="00C3371F">
        <w:t xml:space="preserve"> 19.42) kilograms per person (CA209238), assuming a normal distribution around the mean. The expected number of whole 20</w:t>
      </w:r>
      <w:r w:rsidR="00A62CB5">
        <w:t xml:space="preserve"> </w:t>
      </w:r>
      <w:r w:rsidRPr="00C3371F">
        <w:t>mg dispensing intervals (i.e. incorporating wastage, as nivolumab may be dispensed in 20</w:t>
      </w:r>
      <w:r w:rsidR="00A62CB5">
        <w:t xml:space="preserve"> </w:t>
      </w:r>
      <w:r w:rsidRPr="00C3371F">
        <w:t>mg intervals) per dose was calculated to be 12.70, which equated to a mean dose 254</w:t>
      </w:r>
      <w:r w:rsidR="00A62CB5">
        <w:t xml:space="preserve"> </w:t>
      </w:r>
      <w:r w:rsidRPr="00C3371F">
        <w:t>mg per person. This was multiplied by the expected average number of doses of nivolumab (</w:t>
      </w:r>
      <w:r w:rsidR="00606797">
        <w:rPr>
          <w:noProof/>
          <w:color w:val="000000"/>
          <w:highlight w:val="black"/>
        </w:rPr>
        <w:t>'''''''''</w:t>
      </w:r>
      <w:r w:rsidRPr="00C3371F">
        <w:t xml:space="preserve"> doses) as observed in CA209238, assuming 70% will be dispensed for use in a private hospital (based on PBS statistics for ipilimumab, nivolumab and pembrolizumab).</w:t>
      </w:r>
    </w:p>
    <w:p w:rsidR="00807F7E" w:rsidRDefault="00807F7E" w:rsidP="00F63678">
      <w:pPr>
        <w:pStyle w:val="Heading2"/>
      </w:pPr>
      <w:bookmarkStart w:id="24" w:name="_Toc511318445"/>
      <w:bookmarkStart w:id="25" w:name="_Toc511661685"/>
      <w:r>
        <w:br w:type="page"/>
      </w:r>
    </w:p>
    <w:p w:rsidR="00F63678" w:rsidRPr="009F1345" w:rsidRDefault="00F63678" w:rsidP="009F1345">
      <w:pPr>
        <w:pStyle w:val="Heading2"/>
        <w:spacing w:before="240" w:after="120"/>
        <w:rPr>
          <w:i w:val="0"/>
        </w:rPr>
      </w:pPr>
      <w:r w:rsidRPr="009F1345">
        <w:rPr>
          <w:i w:val="0"/>
        </w:rPr>
        <w:lastRenderedPageBreak/>
        <w:t>Estimated PBS usage &amp; financial implications</w:t>
      </w:r>
    </w:p>
    <w:p w:rsidR="00F63678" w:rsidRPr="005F0757" w:rsidRDefault="00F63678" w:rsidP="000B6DBA">
      <w:pPr>
        <w:pStyle w:val="ListParagraph"/>
        <w:widowControl/>
        <w:numPr>
          <w:ilvl w:val="1"/>
          <w:numId w:val="1"/>
        </w:numPr>
      </w:pPr>
      <w:r>
        <w:t>This submission w</w:t>
      </w:r>
      <w:r w:rsidR="0066168A">
        <w:t xml:space="preserve">as </w:t>
      </w:r>
      <w:r>
        <w:t>considered by DUSC.</w:t>
      </w:r>
    </w:p>
    <w:p w:rsidR="00F63678" w:rsidRDefault="00F63678" w:rsidP="000B6DBA">
      <w:pPr>
        <w:pStyle w:val="ListParagraph"/>
        <w:widowControl/>
        <w:numPr>
          <w:ilvl w:val="1"/>
          <w:numId w:val="1"/>
        </w:numPr>
      </w:pPr>
      <w:r w:rsidRPr="005F0757">
        <w:t>The submission used an epidemiological approach to estimate the likely extent and use of nivolumab and associated financial implications to the PBS.</w:t>
      </w:r>
    </w:p>
    <w:p w:rsidR="00F63678" w:rsidRDefault="00F63678" w:rsidP="000B6DBA">
      <w:pPr>
        <w:pStyle w:val="ListParagraph"/>
        <w:numPr>
          <w:ilvl w:val="1"/>
          <w:numId w:val="1"/>
        </w:numPr>
      </w:pPr>
      <w:r>
        <w:t xml:space="preserve">The </w:t>
      </w:r>
      <w:r w:rsidR="00A54A08">
        <w:t xml:space="preserve">PBAC considered that the size of the </w:t>
      </w:r>
      <w:r>
        <w:t xml:space="preserve">eligible patient population </w:t>
      </w:r>
      <w:r w:rsidR="00A54A08">
        <w:t xml:space="preserve">was uncertain. The submission </w:t>
      </w:r>
      <w:r>
        <w:t xml:space="preserve">estimated </w:t>
      </w:r>
      <w:r w:rsidR="00A54A08">
        <w:t xml:space="preserve">it </w:t>
      </w:r>
      <w:r>
        <w:t>from the:</w:t>
      </w:r>
    </w:p>
    <w:p w:rsidR="00D44BD6" w:rsidRDefault="00D44BD6" w:rsidP="000B6DBA">
      <w:pPr>
        <w:pStyle w:val="PBACHeading1"/>
        <w:numPr>
          <w:ilvl w:val="0"/>
          <w:numId w:val="7"/>
        </w:numPr>
        <w:ind w:left="1077" w:hanging="357"/>
        <w:jc w:val="both"/>
        <w:rPr>
          <w:b w:val="0"/>
          <w:sz w:val="24"/>
          <w:szCs w:val="24"/>
        </w:rPr>
      </w:pPr>
      <w:r>
        <w:rPr>
          <w:b w:val="0"/>
          <w:sz w:val="24"/>
          <w:szCs w:val="24"/>
        </w:rPr>
        <w:t>i</w:t>
      </w:r>
      <w:r w:rsidR="00F63678" w:rsidRPr="00D44BD6">
        <w:rPr>
          <w:b w:val="0"/>
          <w:sz w:val="24"/>
          <w:szCs w:val="24"/>
        </w:rPr>
        <w:t xml:space="preserve">ncidence of melanoma, using </w:t>
      </w:r>
      <w:r w:rsidR="00A62CB5" w:rsidRPr="00D44BD6">
        <w:rPr>
          <w:b w:val="0"/>
          <w:sz w:val="24"/>
          <w:szCs w:val="24"/>
        </w:rPr>
        <w:t>Australian Institute of Health and Welfare (</w:t>
      </w:r>
      <w:r w:rsidR="00F63678" w:rsidRPr="00D44BD6">
        <w:rPr>
          <w:b w:val="0"/>
          <w:sz w:val="24"/>
          <w:szCs w:val="24"/>
        </w:rPr>
        <w:t>AIHW</w:t>
      </w:r>
      <w:r w:rsidR="00A62CB5" w:rsidRPr="00D44BD6">
        <w:rPr>
          <w:b w:val="0"/>
          <w:sz w:val="24"/>
          <w:szCs w:val="24"/>
        </w:rPr>
        <w:t>)</w:t>
      </w:r>
      <w:r w:rsidR="00F63678" w:rsidRPr="00D44BD6">
        <w:rPr>
          <w:b w:val="0"/>
          <w:sz w:val="24"/>
          <w:szCs w:val="24"/>
        </w:rPr>
        <w:t xml:space="preserve"> cancer projections 2007-2020 and a simple linear extrapolation of these data to 2024</w:t>
      </w:r>
      <w:r>
        <w:rPr>
          <w:b w:val="0"/>
          <w:sz w:val="24"/>
          <w:szCs w:val="24"/>
        </w:rPr>
        <w:t>.</w:t>
      </w:r>
      <w:r w:rsidRPr="00D44BD6">
        <w:rPr>
          <w:b w:val="0"/>
          <w:sz w:val="24"/>
          <w:szCs w:val="24"/>
        </w:rPr>
        <w:t xml:space="preserve"> The PBAC </w:t>
      </w:r>
      <w:r>
        <w:rPr>
          <w:b w:val="0"/>
          <w:sz w:val="24"/>
          <w:szCs w:val="24"/>
        </w:rPr>
        <w:t>and DUSC noted that t</w:t>
      </w:r>
      <w:r w:rsidRPr="00D44BD6">
        <w:rPr>
          <w:b w:val="0"/>
          <w:sz w:val="24"/>
          <w:szCs w:val="24"/>
        </w:rPr>
        <w:t xml:space="preserve">he use of incident melanoma estimates to quantify the eligible population </w:t>
      </w:r>
      <w:r w:rsidR="00BD2187">
        <w:rPr>
          <w:b w:val="0"/>
          <w:sz w:val="24"/>
          <w:szCs w:val="24"/>
        </w:rPr>
        <w:t>is</w:t>
      </w:r>
      <w:r w:rsidRPr="00D44BD6">
        <w:rPr>
          <w:b w:val="0"/>
          <w:sz w:val="24"/>
          <w:szCs w:val="24"/>
        </w:rPr>
        <w:t xml:space="preserve"> based on diagnosis of primary disease, and do</w:t>
      </w:r>
      <w:r w:rsidR="00BD2187">
        <w:rPr>
          <w:b w:val="0"/>
          <w:sz w:val="24"/>
          <w:szCs w:val="24"/>
        </w:rPr>
        <w:t>es</w:t>
      </w:r>
      <w:r w:rsidRPr="00D44BD6">
        <w:rPr>
          <w:b w:val="0"/>
          <w:sz w:val="24"/>
          <w:szCs w:val="24"/>
        </w:rPr>
        <w:t xml:space="preserve"> not incorporate those patients diagnosed with earlier stages of disease that subsequently progress to later stages</w:t>
      </w:r>
      <w:r>
        <w:rPr>
          <w:b w:val="0"/>
          <w:sz w:val="24"/>
          <w:szCs w:val="24"/>
        </w:rPr>
        <w:t>;</w:t>
      </w:r>
    </w:p>
    <w:p w:rsidR="00F63678" w:rsidRPr="00D44BD6" w:rsidRDefault="00D44BD6" w:rsidP="000B6DBA">
      <w:pPr>
        <w:pStyle w:val="PBACHeading1"/>
        <w:numPr>
          <w:ilvl w:val="0"/>
          <w:numId w:val="5"/>
        </w:numPr>
        <w:jc w:val="both"/>
        <w:rPr>
          <w:b w:val="0"/>
          <w:sz w:val="24"/>
          <w:szCs w:val="24"/>
        </w:rPr>
      </w:pPr>
      <w:proofErr w:type="gramStart"/>
      <w:r w:rsidRPr="00D44BD6">
        <w:rPr>
          <w:b w:val="0"/>
          <w:sz w:val="24"/>
          <w:szCs w:val="24"/>
        </w:rPr>
        <w:t>p</w:t>
      </w:r>
      <w:r w:rsidR="00F63678" w:rsidRPr="00D44BD6">
        <w:rPr>
          <w:b w:val="0"/>
          <w:sz w:val="24"/>
          <w:szCs w:val="24"/>
        </w:rPr>
        <w:t>roportion</w:t>
      </w:r>
      <w:proofErr w:type="gramEnd"/>
      <w:r w:rsidR="00F63678" w:rsidRPr="00D44BD6">
        <w:rPr>
          <w:b w:val="0"/>
          <w:sz w:val="24"/>
          <w:szCs w:val="24"/>
        </w:rPr>
        <w:t xml:space="preserve"> of incident patients diagnosed with Stage III and </w:t>
      </w:r>
      <w:r w:rsidR="00A62CB5" w:rsidRPr="00D44BD6">
        <w:rPr>
          <w:b w:val="0"/>
          <w:sz w:val="24"/>
          <w:szCs w:val="24"/>
        </w:rPr>
        <w:t xml:space="preserve">Stage </w:t>
      </w:r>
      <w:r w:rsidR="00F63678" w:rsidRPr="00D44BD6">
        <w:rPr>
          <w:b w:val="0"/>
          <w:sz w:val="24"/>
          <w:szCs w:val="24"/>
        </w:rPr>
        <w:t xml:space="preserve">IV disease based on disease stage of primary melanoma diagnosis from a population of some 17,600 patients from thirteen cancer centres in the </w:t>
      </w:r>
      <w:r w:rsidR="00A62CB5" w:rsidRPr="00D44BD6">
        <w:rPr>
          <w:b w:val="0"/>
          <w:sz w:val="24"/>
          <w:szCs w:val="24"/>
        </w:rPr>
        <w:t>U</w:t>
      </w:r>
      <w:r w:rsidR="00FE01A4" w:rsidRPr="00D44BD6">
        <w:rPr>
          <w:b w:val="0"/>
          <w:sz w:val="24"/>
          <w:szCs w:val="24"/>
        </w:rPr>
        <w:t>S</w:t>
      </w:r>
      <w:r w:rsidR="00A62CB5" w:rsidRPr="00D44BD6">
        <w:rPr>
          <w:b w:val="0"/>
          <w:sz w:val="24"/>
          <w:szCs w:val="24"/>
        </w:rPr>
        <w:t>A</w:t>
      </w:r>
      <w:r w:rsidR="00F63678" w:rsidRPr="00D44BD6">
        <w:rPr>
          <w:b w:val="0"/>
          <w:sz w:val="24"/>
          <w:szCs w:val="24"/>
        </w:rPr>
        <w:t xml:space="preserve"> (Balch</w:t>
      </w:r>
      <w:r w:rsidR="00A62CB5" w:rsidRPr="00D44BD6">
        <w:rPr>
          <w:b w:val="0"/>
          <w:sz w:val="24"/>
          <w:szCs w:val="24"/>
        </w:rPr>
        <w:t>,</w:t>
      </w:r>
      <w:r w:rsidR="00F63678" w:rsidRPr="00D44BD6">
        <w:rPr>
          <w:b w:val="0"/>
          <w:sz w:val="24"/>
          <w:szCs w:val="24"/>
        </w:rPr>
        <w:t xml:space="preserve"> 2001)</w:t>
      </w:r>
      <w:r w:rsidRPr="00D44BD6">
        <w:rPr>
          <w:b w:val="0"/>
          <w:sz w:val="24"/>
          <w:szCs w:val="24"/>
        </w:rPr>
        <w:t>. The PBAC and DUSC considered that the 2001 study, which was</w:t>
      </w:r>
      <w:r w:rsidRPr="00D44BD6">
        <w:rPr>
          <w:sz w:val="24"/>
          <w:szCs w:val="24"/>
        </w:rPr>
        <w:t xml:space="preserve"> </w:t>
      </w:r>
      <w:r w:rsidRPr="00D44BD6">
        <w:rPr>
          <w:b w:val="0"/>
          <w:sz w:val="24"/>
          <w:szCs w:val="24"/>
        </w:rPr>
        <w:t>in an American population, may differ from the current proposed PBS population</w:t>
      </w:r>
      <w:r w:rsidR="00A62CB5" w:rsidRPr="00D44BD6">
        <w:rPr>
          <w:b w:val="0"/>
          <w:sz w:val="24"/>
          <w:szCs w:val="24"/>
        </w:rPr>
        <w:t>; and</w:t>
      </w:r>
    </w:p>
    <w:p w:rsidR="00F63678" w:rsidRDefault="00D44BD6" w:rsidP="000B6DBA">
      <w:pPr>
        <w:pStyle w:val="ListParagraph"/>
        <w:numPr>
          <w:ilvl w:val="0"/>
          <w:numId w:val="5"/>
        </w:numPr>
      </w:pPr>
      <w:proofErr w:type="gramStart"/>
      <w:r>
        <w:t>a</w:t>
      </w:r>
      <w:r w:rsidR="00F63678">
        <w:t>ssumption</w:t>
      </w:r>
      <w:proofErr w:type="gramEnd"/>
      <w:r w:rsidR="00F63678">
        <w:t xml:space="preserve"> </w:t>
      </w:r>
      <w:r w:rsidR="00606797">
        <w:rPr>
          <w:noProof/>
          <w:color w:val="000000"/>
          <w:highlight w:val="black"/>
        </w:rPr>
        <w:t>''''''' ''''''''</w:t>
      </w:r>
      <w:r w:rsidR="00F63678">
        <w:t xml:space="preserve">% of Stage III disease will be </w:t>
      </w:r>
      <w:proofErr w:type="spellStart"/>
      <w:r w:rsidR="00F63678">
        <w:t>resectable</w:t>
      </w:r>
      <w:proofErr w:type="spellEnd"/>
      <w:r w:rsidR="00F63678">
        <w:t xml:space="preserve">, </w:t>
      </w:r>
      <w:r w:rsidR="00606797">
        <w:rPr>
          <w:noProof/>
          <w:color w:val="000000"/>
          <w:highlight w:val="black"/>
        </w:rPr>
        <w:t>'''''</w:t>
      </w:r>
      <w:r w:rsidR="00F63678">
        <w:t xml:space="preserve">% of Stage IV-M1a, </w:t>
      </w:r>
      <w:r w:rsidR="00606797">
        <w:rPr>
          <w:noProof/>
          <w:color w:val="000000"/>
          <w:highlight w:val="black"/>
        </w:rPr>
        <w:t>'''''</w:t>
      </w:r>
      <w:r w:rsidR="00F63678">
        <w:t xml:space="preserve">% of Stage IV-M1b and </w:t>
      </w:r>
      <w:r w:rsidR="00606797">
        <w:rPr>
          <w:noProof/>
          <w:color w:val="000000"/>
          <w:highlight w:val="black"/>
        </w:rPr>
        <w:t>'''</w:t>
      </w:r>
      <w:r w:rsidR="00F63678">
        <w:t xml:space="preserve">% of Stage IV-M1c are surgically </w:t>
      </w:r>
      <w:proofErr w:type="spellStart"/>
      <w:r w:rsidR="00F63678">
        <w:t>resectable</w:t>
      </w:r>
      <w:proofErr w:type="spellEnd"/>
      <w:r w:rsidR="00F63678">
        <w:t>.</w:t>
      </w:r>
    </w:p>
    <w:p w:rsidR="00F63678" w:rsidRPr="00AA2F65" w:rsidRDefault="00F63678" w:rsidP="000B6DBA">
      <w:pPr>
        <w:pStyle w:val="ListParagraph"/>
        <w:widowControl/>
        <w:numPr>
          <w:ilvl w:val="1"/>
          <w:numId w:val="1"/>
        </w:numPr>
      </w:pPr>
      <w:r w:rsidRPr="00AA2F65">
        <w:t>The table below describes the estimated use and financial implications of listing adjuvant nivolumab</w:t>
      </w:r>
      <w:r>
        <w:t>.</w:t>
      </w:r>
    </w:p>
    <w:p w:rsidR="00F63678" w:rsidRPr="00C25D9C" w:rsidRDefault="00F63678" w:rsidP="00F63678">
      <w:r w:rsidRPr="001C533E">
        <w:rPr>
          <w:rStyle w:val="CommentReference"/>
        </w:rPr>
        <w:t>Table 13: Estimated</w:t>
      </w:r>
      <w:r w:rsidRPr="001222FC">
        <w:rPr>
          <w:rStyle w:val="CommentReference"/>
        </w:rPr>
        <w:t xml:space="preserve">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6"/>
        <w:gridCol w:w="1166"/>
        <w:gridCol w:w="1165"/>
        <w:gridCol w:w="1165"/>
        <w:gridCol w:w="1165"/>
        <w:gridCol w:w="1165"/>
        <w:gridCol w:w="1163"/>
      </w:tblGrid>
      <w:tr w:rsidR="00F63678" w:rsidRPr="00D1078F" w:rsidTr="00A640EB">
        <w:trPr>
          <w:tblHeader/>
        </w:trPr>
        <w:tc>
          <w:tcPr>
            <w:tcW w:w="1119" w:type="pct"/>
            <w:shd w:val="clear" w:color="auto" w:fill="auto"/>
            <w:vAlign w:val="center"/>
          </w:tcPr>
          <w:p w:rsidR="00F63678" w:rsidRPr="003639A6" w:rsidRDefault="00F63678" w:rsidP="00A640EB">
            <w:pPr>
              <w:pStyle w:val="Tabletext"/>
            </w:pPr>
          </w:p>
        </w:tc>
        <w:tc>
          <w:tcPr>
            <w:tcW w:w="647" w:type="pct"/>
            <w:shd w:val="clear" w:color="auto" w:fill="auto"/>
            <w:vAlign w:val="center"/>
          </w:tcPr>
          <w:p w:rsidR="00F63678" w:rsidRPr="00D1078F" w:rsidRDefault="00F63678" w:rsidP="00A640EB">
            <w:pPr>
              <w:pStyle w:val="Tabletext"/>
              <w:jc w:val="center"/>
              <w:rPr>
                <w:b/>
              </w:rPr>
            </w:pPr>
            <w:r w:rsidRPr="00D1078F">
              <w:rPr>
                <w:b/>
              </w:rPr>
              <w:t>Year 1</w:t>
            </w:r>
          </w:p>
        </w:tc>
        <w:tc>
          <w:tcPr>
            <w:tcW w:w="647" w:type="pct"/>
            <w:shd w:val="clear" w:color="auto" w:fill="auto"/>
            <w:vAlign w:val="center"/>
          </w:tcPr>
          <w:p w:rsidR="00F63678" w:rsidRPr="00D1078F" w:rsidRDefault="00F63678" w:rsidP="00A640EB">
            <w:pPr>
              <w:pStyle w:val="Tabletext"/>
              <w:jc w:val="center"/>
              <w:rPr>
                <w:b/>
              </w:rPr>
            </w:pPr>
            <w:r w:rsidRPr="00D1078F">
              <w:rPr>
                <w:b/>
              </w:rPr>
              <w:t>Year 2</w:t>
            </w:r>
          </w:p>
        </w:tc>
        <w:tc>
          <w:tcPr>
            <w:tcW w:w="647" w:type="pct"/>
            <w:shd w:val="clear" w:color="auto" w:fill="auto"/>
            <w:vAlign w:val="center"/>
          </w:tcPr>
          <w:p w:rsidR="00F63678" w:rsidRPr="00D1078F" w:rsidRDefault="00F63678" w:rsidP="00A640EB">
            <w:pPr>
              <w:pStyle w:val="Tabletext"/>
              <w:jc w:val="center"/>
              <w:rPr>
                <w:b/>
              </w:rPr>
            </w:pPr>
            <w:r w:rsidRPr="00D1078F">
              <w:rPr>
                <w:b/>
              </w:rPr>
              <w:t>Year 3</w:t>
            </w:r>
          </w:p>
        </w:tc>
        <w:tc>
          <w:tcPr>
            <w:tcW w:w="647" w:type="pct"/>
            <w:shd w:val="clear" w:color="auto" w:fill="auto"/>
            <w:vAlign w:val="center"/>
          </w:tcPr>
          <w:p w:rsidR="00F63678" w:rsidRPr="00D1078F" w:rsidRDefault="00F63678" w:rsidP="00A640EB">
            <w:pPr>
              <w:pStyle w:val="Tabletext"/>
              <w:jc w:val="center"/>
              <w:rPr>
                <w:b/>
              </w:rPr>
            </w:pPr>
            <w:r w:rsidRPr="00D1078F">
              <w:rPr>
                <w:b/>
              </w:rPr>
              <w:t>Year 4</w:t>
            </w:r>
          </w:p>
        </w:tc>
        <w:tc>
          <w:tcPr>
            <w:tcW w:w="647" w:type="pct"/>
            <w:shd w:val="clear" w:color="auto" w:fill="auto"/>
            <w:vAlign w:val="center"/>
          </w:tcPr>
          <w:p w:rsidR="00F63678" w:rsidRPr="00D1078F" w:rsidRDefault="00F63678" w:rsidP="00A640EB">
            <w:pPr>
              <w:pStyle w:val="Tabletext"/>
              <w:jc w:val="center"/>
              <w:rPr>
                <w:b/>
              </w:rPr>
            </w:pPr>
            <w:r w:rsidRPr="00D1078F">
              <w:rPr>
                <w:b/>
              </w:rPr>
              <w:t>Year 5</w:t>
            </w:r>
          </w:p>
        </w:tc>
        <w:tc>
          <w:tcPr>
            <w:tcW w:w="646" w:type="pct"/>
          </w:tcPr>
          <w:p w:rsidR="00F63678" w:rsidRPr="00D1078F" w:rsidRDefault="00F63678" w:rsidP="00A640EB">
            <w:pPr>
              <w:pStyle w:val="Tabletext"/>
              <w:jc w:val="center"/>
              <w:rPr>
                <w:b/>
              </w:rPr>
            </w:pPr>
            <w:r w:rsidRPr="00D1078F">
              <w:rPr>
                <w:b/>
              </w:rPr>
              <w:t>Year 6</w:t>
            </w:r>
          </w:p>
        </w:tc>
      </w:tr>
      <w:tr w:rsidR="00F63678" w:rsidRPr="00D1078F" w:rsidTr="00A640EB">
        <w:tc>
          <w:tcPr>
            <w:tcW w:w="5000" w:type="pct"/>
            <w:gridSpan w:val="7"/>
            <w:shd w:val="clear" w:color="auto" w:fill="auto"/>
            <w:vAlign w:val="center"/>
          </w:tcPr>
          <w:p w:rsidR="00F63678" w:rsidRPr="00D1078F" w:rsidRDefault="00F63678" w:rsidP="00A640EB">
            <w:pPr>
              <w:pStyle w:val="Tabletext"/>
              <w:rPr>
                <w:b/>
                <w:bCs/>
                <w:color w:val="000000"/>
              </w:rPr>
            </w:pPr>
            <w:r w:rsidRPr="00D1078F">
              <w:rPr>
                <w:b/>
                <w:bCs/>
                <w:color w:val="000000"/>
              </w:rPr>
              <w:t>Estimated extent of use</w:t>
            </w:r>
          </w:p>
        </w:tc>
      </w:tr>
      <w:tr w:rsidR="00F63678" w:rsidRPr="003639A6" w:rsidTr="00A640EB">
        <w:tc>
          <w:tcPr>
            <w:tcW w:w="1119" w:type="pct"/>
            <w:shd w:val="clear" w:color="auto" w:fill="auto"/>
            <w:vAlign w:val="center"/>
          </w:tcPr>
          <w:p w:rsidR="00F63678" w:rsidRPr="003639A6" w:rsidRDefault="00F63678" w:rsidP="00A640EB">
            <w:pPr>
              <w:pStyle w:val="Tabletext"/>
              <w:rPr>
                <w:rFonts w:ascii="Times" w:hAnsi="Times"/>
              </w:rPr>
            </w:pPr>
            <w:r w:rsidRPr="003639A6">
              <w:t>Number of patients treated</w:t>
            </w:r>
          </w:p>
        </w:tc>
        <w:tc>
          <w:tcPr>
            <w:tcW w:w="647" w:type="pct"/>
            <w:shd w:val="clear" w:color="auto" w:fill="auto"/>
            <w:vAlign w:val="bottom"/>
          </w:tcPr>
          <w:p w:rsidR="00F63678" w:rsidRPr="00606797" w:rsidRDefault="00606797" w:rsidP="00A640EB">
            <w:pPr>
              <w:pStyle w:val="Tabletext"/>
              <w:jc w:val="right"/>
              <w:rPr>
                <w:highlight w:val="black"/>
              </w:rPr>
            </w:pPr>
            <w:r>
              <w:rPr>
                <w:noProof/>
                <w:color w:val="000000"/>
                <w:highlight w:val="black"/>
              </w:rPr>
              <w:t>'''''''''''''</w:t>
            </w:r>
          </w:p>
        </w:tc>
        <w:tc>
          <w:tcPr>
            <w:tcW w:w="647" w:type="pct"/>
            <w:shd w:val="clear" w:color="auto" w:fill="auto"/>
            <w:vAlign w:val="bottom"/>
          </w:tcPr>
          <w:p w:rsidR="00F63678" w:rsidRPr="00606797" w:rsidRDefault="00606797" w:rsidP="00A640EB">
            <w:pPr>
              <w:pStyle w:val="Tabletext"/>
              <w:jc w:val="right"/>
              <w:rPr>
                <w:highlight w:val="black"/>
              </w:rPr>
            </w:pPr>
            <w:r>
              <w:rPr>
                <w:noProof/>
                <w:color w:val="000000"/>
                <w:highlight w:val="black"/>
              </w:rPr>
              <w:t>'''''''''''''''</w:t>
            </w:r>
          </w:p>
        </w:tc>
        <w:tc>
          <w:tcPr>
            <w:tcW w:w="647" w:type="pct"/>
            <w:shd w:val="clear" w:color="auto" w:fill="auto"/>
            <w:vAlign w:val="bottom"/>
          </w:tcPr>
          <w:p w:rsidR="00F63678" w:rsidRPr="00606797" w:rsidRDefault="00606797" w:rsidP="00A640EB">
            <w:pPr>
              <w:pStyle w:val="Tabletext"/>
              <w:jc w:val="right"/>
              <w:rPr>
                <w:highlight w:val="black"/>
              </w:rPr>
            </w:pPr>
            <w:r>
              <w:rPr>
                <w:noProof/>
                <w:color w:val="000000"/>
                <w:highlight w:val="black"/>
              </w:rPr>
              <w:t>''''''''''''''</w:t>
            </w:r>
          </w:p>
        </w:tc>
        <w:tc>
          <w:tcPr>
            <w:tcW w:w="647" w:type="pct"/>
            <w:shd w:val="clear" w:color="auto" w:fill="auto"/>
            <w:vAlign w:val="bottom"/>
          </w:tcPr>
          <w:p w:rsidR="00F63678" w:rsidRPr="00606797" w:rsidRDefault="00606797" w:rsidP="00A640EB">
            <w:pPr>
              <w:pStyle w:val="Tabletext"/>
              <w:jc w:val="right"/>
              <w:rPr>
                <w:highlight w:val="black"/>
              </w:rPr>
            </w:pPr>
            <w:r>
              <w:rPr>
                <w:noProof/>
                <w:color w:val="000000"/>
                <w:highlight w:val="black"/>
              </w:rPr>
              <w:t>'''''''''''''</w:t>
            </w:r>
          </w:p>
        </w:tc>
        <w:tc>
          <w:tcPr>
            <w:tcW w:w="647" w:type="pct"/>
            <w:shd w:val="clear" w:color="auto" w:fill="auto"/>
            <w:vAlign w:val="bottom"/>
          </w:tcPr>
          <w:p w:rsidR="00F63678" w:rsidRPr="00606797" w:rsidRDefault="00606797" w:rsidP="00A640EB">
            <w:pPr>
              <w:pStyle w:val="Tabletext"/>
              <w:jc w:val="right"/>
              <w:rPr>
                <w:highlight w:val="black"/>
              </w:rPr>
            </w:pPr>
            <w:r>
              <w:rPr>
                <w:noProof/>
                <w:color w:val="000000"/>
                <w:highlight w:val="black"/>
              </w:rPr>
              <w:t>''''''''''''</w:t>
            </w:r>
          </w:p>
        </w:tc>
        <w:tc>
          <w:tcPr>
            <w:tcW w:w="646" w:type="pct"/>
            <w:vAlign w:val="bottom"/>
          </w:tcPr>
          <w:p w:rsidR="00F63678" w:rsidRPr="00606797" w:rsidRDefault="00606797" w:rsidP="00A640EB">
            <w:pPr>
              <w:pStyle w:val="Tabletext"/>
              <w:jc w:val="right"/>
              <w:rPr>
                <w:highlight w:val="black"/>
              </w:rPr>
            </w:pPr>
            <w:r>
              <w:rPr>
                <w:noProof/>
                <w:color w:val="000000"/>
                <w:highlight w:val="black"/>
              </w:rPr>
              <w:t>''''''''''''''</w:t>
            </w:r>
          </w:p>
        </w:tc>
      </w:tr>
      <w:tr w:rsidR="00F63678" w:rsidRPr="003639A6" w:rsidTr="00A640EB">
        <w:tc>
          <w:tcPr>
            <w:tcW w:w="1119" w:type="pct"/>
            <w:shd w:val="clear" w:color="auto" w:fill="auto"/>
            <w:vAlign w:val="center"/>
          </w:tcPr>
          <w:p w:rsidR="00F63678" w:rsidRPr="003639A6" w:rsidRDefault="00F63678" w:rsidP="00A640EB">
            <w:pPr>
              <w:pStyle w:val="Tabletext"/>
              <w:rPr>
                <w:rFonts w:ascii="Times" w:hAnsi="Times"/>
              </w:rPr>
            </w:pPr>
            <w:r w:rsidRPr="003639A6">
              <w:t xml:space="preserve">Number of </w:t>
            </w:r>
            <w:r>
              <w:t>scripts</w:t>
            </w:r>
            <w:r w:rsidRPr="003639A6">
              <w:t xml:space="preserve"> </w:t>
            </w:r>
            <w:proofErr w:type="spellStart"/>
            <w:r w:rsidRPr="003639A6">
              <w:t>dispensed</w:t>
            </w:r>
            <w:r w:rsidRPr="003639A6">
              <w:rPr>
                <w:vertAlign w:val="superscript"/>
              </w:rPr>
              <w:t>a</w:t>
            </w:r>
            <w:proofErr w:type="spellEnd"/>
          </w:p>
        </w:tc>
        <w:tc>
          <w:tcPr>
            <w:tcW w:w="647" w:type="pct"/>
            <w:shd w:val="clear" w:color="auto" w:fill="auto"/>
            <w:vAlign w:val="bottom"/>
          </w:tcPr>
          <w:p w:rsidR="00F63678" w:rsidRPr="00606797" w:rsidRDefault="00606797" w:rsidP="00A640EB">
            <w:pPr>
              <w:pStyle w:val="Tabletext"/>
              <w:jc w:val="right"/>
              <w:rPr>
                <w:highlight w:val="black"/>
              </w:rPr>
            </w:pPr>
            <w:r>
              <w:rPr>
                <w:noProof/>
                <w:color w:val="000000"/>
                <w:highlight w:val="black"/>
              </w:rPr>
              <w:t>''''''''''''</w:t>
            </w:r>
          </w:p>
        </w:tc>
        <w:tc>
          <w:tcPr>
            <w:tcW w:w="647" w:type="pct"/>
            <w:shd w:val="clear" w:color="auto" w:fill="auto"/>
            <w:vAlign w:val="bottom"/>
          </w:tcPr>
          <w:p w:rsidR="00F63678" w:rsidRPr="00606797" w:rsidRDefault="00606797" w:rsidP="00A640EB">
            <w:pPr>
              <w:pStyle w:val="Tabletext"/>
              <w:jc w:val="right"/>
              <w:rPr>
                <w:highlight w:val="black"/>
              </w:rPr>
            </w:pPr>
            <w:r>
              <w:rPr>
                <w:noProof/>
                <w:color w:val="000000"/>
                <w:highlight w:val="black"/>
              </w:rPr>
              <w:t>'''''''''''''</w:t>
            </w:r>
          </w:p>
        </w:tc>
        <w:tc>
          <w:tcPr>
            <w:tcW w:w="647" w:type="pct"/>
            <w:shd w:val="clear" w:color="auto" w:fill="auto"/>
            <w:vAlign w:val="bottom"/>
          </w:tcPr>
          <w:p w:rsidR="00F63678" w:rsidRPr="00606797" w:rsidRDefault="00606797" w:rsidP="00A640EB">
            <w:pPr>
              <w:pStyle w:val="Tabletext"/>
              <w:jc w:val="right"/>
              <w:rPr>
                <w:highlight w:val="black"/>
              </w:rPr>
            </w:pPr>
            <w:r>
              <w:rPr>
                <w:noProof/>
                <w:color w:val="000000"/>
                <w:highlight w:val="black"/>
              </w:rPr>
              <w:t>''''''''''''</w:t>
            </w:r>
          </w:p>
        </w:tc>
        <w:tc>
          <w:tcPr>
            <w:tcW w:w="647" w:type="pct"/>
            <w:shd w:val="clear" w:color="auto" w:fill="auto"/>
            <w:vAlign w:val="bottom"/>
          </w:tcPr>
          <w:p w:rsidR="00F63678" w:rsidRPr="00606797" w:rsidRDefault="00606797" w:rsidP="00A640EB">
            <w:pPr>
              <w:pStyle w:val="Tabletext"/>
              <w:jc w:val="right"/>
              <w:rPr>
                <w:highlight w:val="black"/>
              </w:rPr>
            </w:pPr>
            <w:r>
              <w:rPr>
                <w:noProof/>
                <w:color w:val="000000"/>
                <w:highlight w:val="black"/>
              </w:rPr>
              <w:t>'''''''''''</w:t>
            </w:r>
          </w:p>
        </w:tc>
        <w:tc>
          <w:tcPr>
            <w:tcW w:w="647" w:type="pct"/>
            <w:shd w:val="clear" w:color="auto" w:fill="auto"/>
            <w:vAlign w:val="bottom"/>
          </w:tcPr>
          <w:p w:rsidR="00F63678" w:rsidRPr="00606797" w:rsidRDefault="00606797" w:rsidP="00A640EB">
            <w:pPr>
              <w:pStyle w:val="Tabletext"/>
              <w:jc w:val="right"/>
              <w:rPr>
                <w:highlight w:val="black"/>
              </w:rPr>
            </w:pPr>
            <w:r>
              <w:rPr>
                <w:noProof/>
                <w:color w:val="000000"/>
                <w:highlight w:val="black"/>
              </w:rPr>
              <w:t>'''''''''''''</w:t>
            </w:r>
          </w:p>
        </w:tc>
        <w:tc>
          <w:tcPr>
            <w:tcW w:w="646" w:type="pct"/>
            <w:vAlign w:val="bottom"/>
          </w:tcPr>
          <w:p w:rsidR="00F63678" w:rsidRPr="00606797" w:rsidRDefault="00606797" w:rsidP="00A640EB">
            <w:pPr>
              <w:pStyle w:val="Tabletext"/>
              <w:jc w:val="right"/>
              <w:rPr>
                <w:highlight w:val="black"/>
              </w:rPr>
            </w:pPr>
            <w:r>
              <w:rPr>
                <w:noProof/>
                <w:color w:val="000000"/>
                <w:highlight w:val="black"/>
              </w:rPr>
              <w:t>''''''''''''</w:t>
            </w:r>
          </w:p>
        </w:tc>
      </w:tr>
      <w:tr w:rsidR="00F63678" w:rsidRPr="00D1078F" w:rsidTr="00A640EB">
        <w:tc>
          <w:tcPr>
            <w:tcW w:w="5000" w:type="pct"/>
            <w:gridSpan w:val="7"/>
            <w:shd w:val="clear" w:color="auto" w:fill="auto"/>
            <w:vAlign w:val="center"/>
          </w:tcPr>
          <w:p w:rsidR="00F63678" w:rsidRPr="00D1078F" w:rsidRDefault="00F63678" w:rsidP="00A640EB">
            <w:pPr>
              <w:pStyle w:val="Tabletext"/>
              <w:rPr>
                <w:b/>
                <w:bCs/>
                <w:color w:val="000000"/>
              </w:rPr>
            </w:pPr>
            <w:r w:rsidRPr="00D1078F">
              <w:rPr>
                <w:b/>
                <w:bCs/>
                <w:color w:val="000000"/>
              </w:rPr>
              <w:t xml:space="preserve">Estimated </w:t>
            </w:r>
            <w:r>
              <w:rPr>
                <w:b/>
                <w:bCs/>
                <w:color w:val="000000"/>
              </w:rPr>
              <w:t>financial implications of nivolumab</w:t>
            </w:r>
          </w:p>
        </w:tc>
      </w:tr>
      <w:tr w:rsidR="00F63678" w:rsidRPr="003639A6" w:rsidTr="00A640EB">
        <w:tc>
          <w:tcPr>
            <w:tcW w:w="1119" w:type="pct"/>
            <w:shd w:val="clear" w:color="auto" w:fill="auto"/>
            <w:vAlign w:val="center"/>
          </w:tcPr>
          <w:p w:rsidR="00F63678" w:rsidRPr="00DA44C9" w:rsidRDefault="00F63678" w:rsidP="00A640EB">
            <w:pPr>
              <w:pStyle w:val="Tabletext"/>
              <w:rPr>
                <w:rFonts w:ascii="Times" w:hAnsi="Times"/>
                <w:szCs w:val="20"/>
              </w:rPr>
            </w:pPr>
            <w:r w:rsidRPr="00DA44C9">
              <w:rPr>
                <w:szCs w:val="20"/>
              </w:rPr>
              <w:t>Cost to PBS/RPBS</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6" w:type="pct"/>
            <w:vAlign w:val="bottom"/>
          </w:tcPr>
          <w:p w:rsidR="00F63678" w:rsidRPr="004426CE" w:rsidRDefault="00F63678" w:rsidP="00A640EB">
            <w:pPr>
              <w:pStyle w:val="Tabletext"/>
              <w:jc w:val="right"/>
            </w:pPr>
            <w:r w:rsidRPr="004426CE">
              <w:t>$</w:t>
            </w:r>
            <w:r w:rsidR="00606797">
              <w:rPr>
                <w:noProof/>
                <w:color w:val="000000"/>
                <w:highlight w:val="black"/>
              </w:rPr>
              <w:t>'''''''''''''''''''''''''''''</w:t>
            </w:r>
          </w:p>
        </w:tc>
      </w:tr>
      <w:tr w:rsidR="00F63678" w:rsidRPr="003639A6" w:rsidTr="00A640EB">
        <w:tc>
          <w:tcPr>
            <w:tcW w:w="1119" w:type="pct"/>
            <w:shd w:val="clear" w:color="auto" w:fill="auto"/>
            <w:vAlign w:val="center"/>
          </w:tcPr>
          <w:p w:rsidR="00F63678" w:rsidRPr="00DA44C9" w:rsidRDefault="00F63678" w:rsidP="00A640EB">
            <w:pPr>
              <w:pStyle w:val="Tabletext"/>
              <w:rPr>
                <w:szCs w:val="20"/>
              </w:rPr>
            </w:pPr>
            <w:proofErr w:type="spellStart"/>
            <w:r w:rsidRPr="00DA44C9">
              <w:rPr>
                <w:szCs w:val="20"/>
              </w:rPr>
              <w:t>Copayments</w:t>
            </w:r>
            <w:proofErr w:type="spellEnd"/>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6" w:type="pct"/>
            <w:vAlign w:val="bottom"/>
          </w:tcPr>
          <w:p w:rsidR="00F63678" w:rsidRPr="004426CE" w:rsidRDefault="00F63678" w:rsidP="00A640EB">
            <w:pPr>
              <w:pStyle w:val="Tabletext"/>
              <w:jc w:val="right"/>
            </w:pPr>
            <w:r w:rsidRPr="004426CE">
              <w:t>$</w:t>
            </w:r>
            <w:r w:rsidR="00606797">
              <w:rPr>
                <w:noProof/>
                <w:color w:val="000000"/>
                <w:highlight w:val="black"/>
              </w:rPr>
              <w:t>'''''''''''''''</w:t>
            </w:r>
          </w:p>
        </w:tc>
      </w:tr>
      <w:tr w:rsidR="00F63678" w:rsidRPr="003639A6" w:rsidTr="00A640EB">
        <w:tc>
          <w:tcPr>
            <w:tcW w:w="1119" w:type="pct"/>
            <w:shd w:val="clear" w:color="auto" w:fill="auto"/>
            <w:vAlign w:val="center"/>
          </w:tcPr>
          <w:p w:rsidR="00F63678" w:rsidRPr="00DA44C9" w:rsidRDefault="00F63678" w:rsidP="00A640EB">
            <w:pPr>
              <w:pStyle w:val="Tabletext"/>
              <w:rPr>
                <w:szCs w:val="20"/>
              </w:rPr>
            </w:pPr>
            <w:r w:rsidRPr="00DA44C9">
              <w:rPr>
                <w:szCs w:val="20"/>
              </w:rPr>
              <w:t xml:space="preserve">Cost to PBS/RPBS less </w:t>
            </w:r>
            <w:proofErr w:type="spellStart"/>
            <w:r w:rsidRPr="00DA44C9">
              <w:rPr>
                <w:szCs w:val="20"/>
              </w:rPr>
              <w:t>copayments</w:t>
            </w:r>
            <w:proofErr w:type="spellEnd"/>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7" w:type="pct"/>
            <w:shd w:val="clear" w:color="auto" w:fill="auto"/>
            <w:vAlign w:val="bottom"/>
          </w:tcPr>
          <w:p w:rsidR="00F63678" w:rsidRPr="004426CE" w:rsidRDefault="00F63678" w:rsidP="00A640EB">
            <w:pPr>
              <w:pStyle w:val="Tabletext"/>
              <w:jc w:val="right"/>
            </w:pPr>
            <w:r w:rsidRPr="004426CE">
              <w:t>$</w:t>
            </w:r>
            <w:r w:rsidR="00606797">
              <w:rPr>
                <w:noProof/>
                <w:color w:val="000000"/>
                <w:highlight w:val="black"/>
              </w:rPr>
              <w:t>''''''''''''''''''''''''''''</w:t>
            </w:r>
          </w:p>
        </w:tc>
        <w:tc>
          <w:tcPr>
            <w:tcW w:w="646" w:type="pct"/>
            <w:vAlign w:val="bottom"/>
          </w:tcPr>
          <w:p w:rsidR="00F63678" w:rsidRPr="004426CE" w:rsidRDefault="00F63678" w:rsidP="00A640EB">
            <w:pPr>
              <w:pStyle w:val="Tabletext"/>
              <w:jc w:val="right"/>
            </w:pPr>
            <w:r w:rsidRPr="004426CE">
              <w:t>$</w:t>
            </w:r>
            <w:r w:rsidR="00606797">
              <w:rPr>
                <w:noProof/>
                <w:color w:val="000000"/>
                <w:highlight w:val="black"/>
              </w:rPr>
              <w:t>''''''''''''''''''''''''''''''''</w:t>
            </w:r>
          </w:p>
        </w:tc>
      </w:tr>
      <w:tr w:rsidR="00F63678" w:rsidRPr="003639A6" w:rsidTr="00A640EB">
        <w:tc>
          <w:tcPr>
            <w:tcW w:w="5000" w:type="pct"/>
            <w:gridSpan w:val="7"/>
            <w:shd w:val="clear" w:color="auto" w:fill="auto"/>
            <w:vAlign w:val="center"/>
          </w:tcPr>
          <w:p w:rsidR="00F63678" w:rsidRPr="003639A6" w:rsidRDefault="00F63678" w:rsidP="00A640EB">
            <w:pPr>
              <w:pStyle w:val="Tabletext"/>
              <w:rPr>
                <w:bCs/>
                <w:color w:val="000000"/>
              </w:rPr>
            </w:pPr>
            <w:r w:rsidRPr="00D1078F">
              <w:rPr>
                <w:b/>
                <w:bCs/>
                <w:color w:val="000000"/>
              </w:rPr>
              <w:t xml:space="preserve">Estimated </w:t>
            </w:r>
            <w:r>
              <w:rPr>
                <w:b/>
                <w:bCs/>
                <w:color w:val="000000"/>
              </w:rPr>
              <w:t>financial implications for medicines to treat disease recurrence (avoided)</w:t>
            </w:r>
          </w:p>
        </w:tc>
      </w:tr>
      <w:tr w:rsidR="00F63678" w:rsidRPr="003639A6" w:rsidTr="00A640EB">
        <w:tc>
          <w:tcPr>
            <w:tcW w:w="1119" w:type="pct"/>
            <w:shd w:val="clear" w:color="auto" w:fill="auto"/>
            <w:vAlign w:val="center"/>
          </w:tcPr>
          <w:p w:rsidR="00F63678" w:rsidRPr="00DA44C9" w:rsidRDefault="00F63678" w:rsidP="00A640EB">
            <w:pPr>
              <w:pStyle w:val="Tabletext"/>
              <w:rPr>
                <w:szCs w:val="20"/>
              </w:rPr>
            </w:pPr>
            <w:r w:rsidRPr="00DA44C9">
              <w:rPr>
                <w:szCs w:val="20"/>
              </w:rPr>
              <w:t>Cost to PBS/RPBS</w:t>
            </w:r>
          </w:p>
        </w:tc>
        <w:tc>
          <w:tcPr>
            <w:tcW w:w="647" w:type="pct"/>
            <w:shd w:val="clear" w:color="auto" w:fill="auto"/>
            <w:vAlign w:val="bottom"/>
          </w:tcPr>
          <w:p w:rsidR="00F63678" w:rsidRPr="00DA44C9" w:rsidRDefault="00F63678" w:rsidP="00A640EB">
            <w:pPr>
              <w:pStyle w:val="Tabletext"/>
              <w:jc w:val="right"/>
              <w:rPr>
                <w:szCs w:val="20"/>
              </w:rPr>
            </w:pPr>
            <w:r w:rsidRPr="00DA44C9">
              <w:rPr>
                <w:szCs w:val="20"/>
              </w:rPr>
              <w:t>-$</w:t>
            </w:r>
            <w:r w:rsidR="00606797">
              <w:rPr>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right"/>
              <w:rPr>
                <w:szCs w:val="20"/>
              </w:rPr>
            </w:pPr>
            <w:r w:rsidRPr="00DA44C9">
              <w:rPr>
                <w:szCs w:val="20"/>
              </w:rPr>
              <w:t>-$</w:t>
            </w:r>
            <w:r w:rsidR="00606797">
              <w:rPr>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right"/>
              <w:rPr>
                <w:szCs w:val="20"/>
              </w:rPr>
            </w:pPr>
            <w:r w:rsidRPr="00DA44C9">
              <w:rPr>
                <w:szCs w:val="20"/>
              </w:rPr>
              <w:t>-$</w:t>
            </w:r>
            <w:r w:rsidR="00606797">
              <w:rPr>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right"/>
              <w:rPr>
                <w:szCs w:val="20"/>
              </w:rPr>
            </w:pPr>
            <w:r w:rsidRPr="00DA44C9">
              <w:rPr>
                <w:szCs w:val="20"/>
              </w:rPr>
              <w:t>-$</w:t>
            </w:r>
            <w:r w:rsidR="00606797">
              <w:rPr>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right"/>
              <w:rPr>
                <w:szCs w:val="20"/>
              </w:rPr>
            </w:pPr>
            <w:r w:rsidRPr="00DA44C9">
              <w:rPr>
                <w:szCs w:val="20"/>
              </w:rPr>
              <w:t>-$</w:t>
            </w:r>
            <w:r w:rsidR="00606797">
              <w:rPr>
                <w:noProof/>
                <w:color w:val="000000"/>
                <w:szCs w:val="20"/>
                <w:highlight w:val="black"/>
              </w:rPr>
              <w:t>'''''''''''''''''''''''''''</w:t>
            </w:r>
          </w:p>
        </w:tc>
        <w:tc>
          <w:tcPr>
            <w:tcW w:w="646" w:type="pct"/>
            <w:vAlign w:val="bottom"/>
          </w:tcPr>
          <w:p w:rsidR="00F63678" w:rsidRPr="00DA44C9" w:rsidRDefault="00F63678" w:rsidP="00A640EB">
            <w:pPr>
              <w:pStyle w:val="Tabletext"/>
              <w:jc w:val="right"/>
              <w:rPr>
                <w:szCs w:val="20"/>
              </w:rPr>
            </w:pPr>
            <w:r w:rsidRPr="00DA44C9">
              <w:rPr>
                <w:szCs w:val="20"/>
              </w:rPr>
              <w:t>-$</w:t>
            </w:r>
            <w:r w:rsidR="00606797">
              <w:rPr>
                <w:noProof/>
                <w:color w:val="000000"/>
                <w:szCs w:val="20"/>
                <w:highlight w:val="black"/>
              </w:rPr>
              <w:t>''''''''''''''''''''''''''''</w:t>
            </w:r>
          </w:p>
        </w:tc>
      </w:tr>
      <w:tr w:rsidR="00F63678" w:rsidRPr="00FC22AB" w:rsidTr="00A640EB">
        <w:tc>
          <w:tcPr>
            <w:tcW w:w="5000" w:type="pct"/>
            <w:gridSpan w:val="7"/>
            <w:shd w:val="clear" w:color="auto" w:fill="auto"/>
            <w:vAlign w:val="center"/>
          </w:tcPr>
          <w:p w:rsidR="00F63678" w:rsidRPr="00FC22AB" w:rsidRDefault="00F63678" w:rsidP="00A640EB">
            <w:pPr>
              <w:pStyle w:val="Tabletext"/>
              <w:rPr>
                <w:b/>
                <w:bCs/>
                <w:color w:val="000000"/>
              </w:rPr>
            </w:pPr>
            <w:r w:rsidRPr="00FC22AB">
              <w:rPr>
                <w:b/>
                <w:bCs/>
                <w:color w:val="000000"/>
              </w:rPr>
              <w:t>Net financial implications</w:t>
            </w:r>
          </w:p>
        </w:tc>
      </w:tr>
      <w:tr w:rsidR="00F63678" w:rsidRPr="003639A6" w:rsidTr="00A640EB">
        <w:tc>
          <w:tcPr>
            <w:tcW w:w="1119" w:type="pct"/>
            <w:shd w:val="clear" w:color="auto" w:fill="auto"/>
            <w:vAlign w:val="center"/>
          </w:tcPr>
          <w:p w:rsidR="00F63678" w:rsidRPr="00DA44C9" w:rsidRDefault="00F63678" w:rsidP="00A640EB">
            <w:pPr>
              <w:pStyle w:val="Tabletext"/>
              <w:rPr>
                <w:szCs w:val="20"/>
              </w:rPr>
            </w:pPr>
            <w:r w:rsidRPr="00DA44C9">
              <w:rPr>
                <w:szCs w:val="20"/>
              </w:rPr>
              <w:t>Net cost to PBS/RPBS</w:t>
            </w:r>
          </w:p>
        </w:tc>
        <w:tc>
          <w:tcPr>
            <w:tcW w:w="647" w:type="pct"/>
            <w:shd w:val="clear" w:color="auto" w:fill="auto"/>
            <w:vAlign w:val="bottom"/>
          </w:tcPr>
          <w:p w:rsidR="00F63678" w:rsidRPr="00DA44C9" w:rsidRDefault="00F63678" w:rsidP="00A640EB">
            <w:pPr>
              <w:pStyle w:val="Tabletext"/>
              <w:jc w:val="center"/>
              <w:rPr>
                <w:bCs/>
                <w:color w:val="000000"/>
                <w:szCs w:val="20"/>
              </w:rPr>
            </w:pPr>
            <w:r w:rsidRPr="00DA44C9">
              <w:rPr>
                <w:rFonts w:cs="Arial"/>
                <w:color w:val="000000"/>
                <w:szCs w:val="20"/>
              </w:rPr>
              <w:t>$</w:t>
            </w:r>
            <w:r w:rsidR="00606797">
              <w:rPr>
                <w:rFonts w:cs="Arial"/>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center"/>
              <w:rPr>
                <w:bCs/>
                <w:color w:val="000000"/>
                <w:szCs w:val="20"/>
              </w:rPr>
            </w:pPr>
            <w:r w:rsidRPr="00DA44C9">
              <w:rPr>
                <w:rFonts w:cs="Arial"/>
                <w:color w:val="000000"/>
                <w:szCs w:val="20"/>
              </w:rPr>
              <w:t>$</w:t>
            </w:r>
            <w:r w:rsidR="00606797">
              <w:rPr>
                <w:rFonts w:cs="Arial"/>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center"/>
              <w:rPr>
                <w:bCs/>
                <w:color w:val="000000"/>
                <w:szCs w:val="20"/>
              </w:rPr>
            </w:pPr>
            <w:r w:rsidRPr="00DA44C9">
              <w:rPr>
                <w:rFonts w:cs="Arial"/>
                <w:color w:val="000000"/>
                <w:szCs w:val="20"/>
              </w:rPr>
              <w:t>$</w:t>
            </w:r>
            <w:r w:rsidR="00606797">
              <w:rPr>
                <w:rFonts w:cs="Arial"/>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center"/>
              <w:rPr>
                <w:bCs/>
                <w:color w:val="000000"/>
                <w:szCs w:val="20"/>
              </w:rPr>
            </w:pPr>
            <w:r w:rsidRPr="00DA44C9">
              <w:rPr>
                <w:rFonts w:cs="Arial"/>
                <w:color w:val="000000"/>
                <w:szCs w:val="20"/>
              </w:rPr>
              <w:t>$</w:t>
            </w:r>
            <w:r w:rsidR="00606797">
              <w:rPr>
                <w:rFonts w:cs="Arial"/>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center"/>
              <w:rPr>
                <w:bCs/>
                <w:color w:val="000000"/>
                <w:szCs w:val="20"/>
              </w:rPr>
            </w:pPr>
            <w:r w:rsidRPr="00DA44C9">
              <w:rPr>
                <w:rFonts w:cs="Arial"/>
                <w:color w:val="000000"/>
                <w:szCs w:val="20"/>
              </w:rPr>
              <w:t>$</w:t>
            </w:r>
            <w:r w:rsidR="00606797">
              <w:rPr>
                <w:rFonts w:cs="Arial"/>
                <w:noProof/>
                <w:color w:val="000000"/>
                <w:szCs w:val="20"/>
                <w:highlight w:val="black"/>
              </w:rPr>
              <w:t>'''''''''''''''''''''''''''''</w:t>
            </w:r>
          </w:p>
        </w:tc>
        <w:tc>
          <w:tcPr>
            <w:tcW w:w="646" w:type="pct"/>
            <w:vAlign w:val="bottom"/>
          </w:tcPr>
          <w:p w:rsidR="00F63678" w:rsidRPr="00DA44C9" w:rsidRDefault="00F63678" w:rsidP="00A640EB">
            <w:pPr>
              <w:pStyle w:val="Tabletext"/>
              <w:jc w:val="center"/>
              <w:rPr>
                <w:bCs/>
                <w:color w:val="000000"/>
                <w:szCs w:val="20"/>
              </w:rPr>
            </w:pPr>
            <w:r w:rsidRPr="00DA44C9">
              <w:rPr>
                <w:rFonts w:cs="Arial"/>
                <w:color w:val="000000"/>
                <w:szCs w:val="20"/>
              </w:rPr>
              <w:t>$</w:t>
            </w:r>
            <w:r w:rsidR="00606797">
              <w:rPr>
                <w:rFonts w:cs="Arial"/>
                <w:noProof/>
                <w:color w:val="000000"/>
                <w:szCs w:val="20"/>
                <w:highlight w:val="black"/>
              </w:rPr>
              <w:t>''''''''''''''''''''''''''''</w:t>
            </w:r>
          </w:p>
        </w:tc>
      </w:tr>
      <w:tr w:rsidR="00F63678" w:rsidRPr="003639A6" w:rsidTr="00A640EB">
        <w:tc>
          <w:tcPr>
            <w:tcW w:w="1119" w:type="pct"/>
            <w:shd w:val="clear" w:color="auto" w:fill="auto"/>
            <w:vAlign w:val="center"/>
          </w:tcPr>
          <w:p w:rsidR="00F63678" w:rsidRPr="00DA44C9" w:rsidRDefault="00F63678" w:rsidP="00A640EB">
            <w:pPr>
              <w:pStyle w:val="Tabletext"/>
              <w:rPr>
                <w:szCs w:val="20"/>
              </w:rPr>
            </w:pPr>
            <w:r w:rsidRPr="00DA44C9">
              <w:rPr>
                <w:szCs w:val="20"/>
              </w:rPr>
              <w:t xml:space="preserve">Net cost to </w:t>
            </w:r>
            <w:proofErr w:type="spellStart"/>
            <w:r w:rsidRPr="00DA44C9">
              <w:rPr>
                <w:szCs w:val="20"/>
              </w:rPr>
              <w:t>MBS</w:t>
            </w:r>
            <w:r w:rsidRPr="00DA44C9">
              <w:rPr>
                <w:szCs w:val="20"/>
                <w:vertAlign w:val="superscript"/>
              </w:rPr>
              <w:t>b</w:t>
            </w:r>
            <w:proofErr w:type="spellEnd"/>
          </w:p>
        </w:tc>
        <w:tc>
          <w:tcPr>
            <w:tcW w:w="647" w:type="pct"/>
            <w:shd w:val="clear" w:color="auto" w:fill="auto"/>
            <w:vAlign w:val="bottom"/>
          </w:tcPr>
          <w:p w:rsidR="00F63678" w:rsidRPr="00DA44C9" w:rsidRDefault="00F63678" w:rsidP="00A640EB">
            <w:pPr>
              <w:pStyle w:val="Tabletext"/>
              <w:jc w:val="center"/>
              <w:rPr>
                <w:bCs/>
                <w:color w:val="000000"/>
                <w:szCs w:val="20"/>
              </w:rPr>
            </w:pPr>
            <w:r w:rsidRPr="00DA44C9">
              <w:rPr>
                <w:rFonts w:cs="Arial"/>
                <w:color w:val="000000"/>
                <w:szCs w:val="20"/>
              </w:rPr>
              <w:t>$1</w:t>
            </w:r>
            <w:r w:rsidR="00606797">
              <w:rPr>
                <w:rFonts w:cs="Arial"/>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center"/>
              <w:rPr>
                <w:bCs/>
                <w:color w:val="000000"/>
                <w:szCs w:val="20"/>
              </w:rPr>
            </w:pPr>
            <w:r w:rsidRPr="00DA44C9">
              <w:rPr>
                <w:rFonts w:cs="Arial"/>
                <w:color w:val="000000"/>
                <w:szCs w:val="20"/>
              </w:rPr>
              <w:t>$</w:t>
            </w:r>
            <w:r w:rsidR="00606797">
              <w:rPr>
                <w:rFonts w:cs="Arial"/>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center"/>
              <w:rPr>
                <w:bCs/>
                <w:color w:val="000000"/>
                <w:szCs w:val="20"/>
              </w:rPr>
            </w:pPr>
            <w:r w:rsidRPr="00DA44C9">
              <w:rPr>
                <w:rFonts w:cs="Arial"/>
                <w:color w:val="000000"/>
                <w:szCs w:val="20"/>
              </w:rPr>
              <w:t>$</w:t>
            </w:r>
            <w:r w:rsidR="00606797">
              <w:rPr>
                <w:rFonts w:cs="Arial"/>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center"/>
              <w:rPr>
                <w:bCs/>
                <w:color w:val="000000"/>
                <w:szCs w:val="20"/>
              </w:rPr>
            </w:pPr>
            <w:r w:rsidRPr="00DA44C9">
              <w:rPr>
                <w:rFonts w:cs="Arial"/>
                <w:color w:val="000000"/>
                <w:szCs w:val="20"/>
              </w:rPr>
              <w:t>$</w:t>
            </w:r>
            <w:r w:rsidR="00606797">
              <w:rPr>
                <w:rFonts w:cs="Arial"/>
                <w:noProof/>
                <w:color w:val="000000"/>
                <w:szCs w:val="20"/>
                <w:highlight w:val="black"/>
              </w:rPr>
              <w:t>''''''''''''''''''''''''''</w:t>
            </w:r>
          </w:p>
        </w:tc>
        <w:tc>
          <w:tcPr>
            <w:tcW w:w="647" w:type="pct"/>
            <w:shd w:val="clear" w:color="auto" w:fill="auto"/>
            <w:vAlign w:val="bottom"/>
          </w:tcPr>
          <w:p w:rsidR="00F63678" w:rsidRPr="00DA44C9" w:rsidRDefault="00F63678" w:rsidP="00A640EB">
            <w:pPr>
              <w:pStyle w:val="Tabletext"/>
              <w:jc w:val="center"/>
              <w:rPr>
                <w:bCs/>
                <w:color w:val="000000"/>
                <w:szCs w:val="20"/>
              </w:rPr>
            </w:pPr>
            <w:r w:rsidRPr="00DA44C9">
              <w:rPr>
                <w:rFonts w:cs="Arial"/>
                <w:color w:val="000000"/>
                <w:szCs w:val="20"/>
              </w:rPr>
              <w:t>$</w:t>
            </w:r>
            <w:r w:rsidR="00606797">
              <w:rPr>
                <w:rFonts w:cs="Arial"/>
                <w:noProof/>
                <w:color w:val="000000"/>
                <w:szCs w:val="20"/>
                <w:highlight w:val="black"/>
              </w:rPr>
              <w:t>'''''''''''''''''''''''</w:t>
            </w:r>
          </w:p>
        </w:tc>
        <w:tc>
          <w:tcPr>
            <w:tcW w:w="646" w:type="pct"/>
            <w:vAlign w:val="bottom"/>
          </w:tcPr>
          <w:p w:rsidR="00F63678" w:rsidRPr="00DA44C9" w:rsidRDefault="00F63678" w:rsidP="00A640EB">
            <w:pPr>
              <w:pStyle w:val="Tabletext"/>
              <w:jc w:val="center"/>
              <w:rPr>
                <w:bCs/>
                <w:color w:val="000000"/>
                <w:szCs w:val="20"/>
              </w:rPr>
            </w:pPr>
            <w:r w:rsidRPr="00DA44C9">
              <w:rPr>
                <w:rFonts w:cs="Arial"/>
                <w:color w:val="000000"/>
                <w:szCs w:val="20"/>
              </w:rPr>
              <w:t>$</w:t>
            </w:r>
            <w:r w:rsidR="00606797">
              <w:rPr>
                <w:rFonts w:cs="Arial"/>
                <w:noProof/>
                <w:color w:val="000000"/>
                <w:szCs w:val="20"/>
                <w:highlight w:val="black"/>
              </w:rPr>
              <w:t>''''''''''''''''''''''</w:t>
            </w:r>
          </w:p>
        </w:tc>
      </w:tr>
      <w:tr w:rsidR="00F63678" w:rsidRPr="003639A6" w:rsidTr="00A640EB">
        <w:tc>
          <w:tcPr>
            <w:tcW w:w="1119" w:type="pct"/>
            <w:shd w:val="clear" w:color="auto" w:fill="auto"/>
            <w:vAlign w:val="center"/>
          </w:tcPr>
          <w:p w:rsidR="00F63678" w:rsidRPr="00DA44C9" w:rsidRDefault="00F63678" w:rsidP="00A640EB">
            <w:pPr>
              <w:pStyle w:val="Tabletext"/>
              <w:rPr>
                <w:szCs w:val="20"/>
              </w:rPr>
            </w:pPr>
            <w:r w:rsidRPr="00DA44C9">
              <w:rPr>
                <w:szCs w:val="20"/>
              </w:rPr>
              <w:t>Net cost to PBS/RPBS/MBS</w:t>
            </w:r>
          </w:p>
        </w:tc>
        <w:tc>
          <w:tcPr>
            <w:tcW w:w="647" w:type="pct"/>
            <w:shd w:val="clear" w:color="auto" w:fill="auto"/>
            <w:vAlign w:val="center"/>
          </w:tcPr>
          <w:p w:rsidR="00F63678" w:rsidRPr="00DA44C9" w:rsidRDefault="00F63678" w:rsidP="00A640EB">
            <w:pPr>
              <w:pStyle w:val="Tabletext"/>
              <w:jc w:val="center"/>
              <w:rPr>
                <w:bCs/>
                <w:color w:val="000000"/>
                <w:szCs w:val="20"/>
              </w:rPr>
            </w:pPr>
            <w:r w:rsidRPr="00DA44C9">
              <w:rPr>
                <w:szCs w:val="20"/>
              </w:rPr>
              <w:t>$</w:t>
            </w:r>
            <w:r w:rsidR="00606797">
              <w:rPr>
                <w:noProof/>
                <w:color w:val="000000"/>
                <w:szCs w:val="20"/>
                <w:highlight w:val="black"/>
              </w:rPr>
              <w:t>'''''''''''''''''''''''''''</w:t>
            </w:r>
          </w:p>
        </w:tc>
        <w:tc>
          <w:tcPr>
            <w:tcW w:w="647" w:type="pct"/>
            <w:shd w:val="clear" w:color="auto" w:fill="auto"/>
            <w:vAlign w:val="center"/>
          </w:tcPr>
          <w:p w:rsidR="00F63678" w:rsidRPr="00DA44C9" w:rsidRDefault="00F63678" w:rsidP="00A640EB">
            <w:pPr>
              <w:pStyle w:val="Tabletext"/>
              <w:jc w:val="center"/>
              <w:rPr>
                <w:bCs/>
                <w:color w:val="000000"/>
                <w:szCs w:val="20"/>
              </w:rPr>
            </w:pPr>
            <w:r w:rsidRPr="00DA44C9">
              <w:rPr>
                <w:szCs w:val="20"/>
              </w:rPr>
              <w:t>$</w:t>
            </w:r>
            <w:r w:rsidR="00606797">
              <w:rPr>
                <w:noProof/>
                <w:color w:val="000000"/>
                <w:szCs w:val="20"/>
                <w:highlight w:val="black"/>
              </w:rPr>
              <w:t>'''''''''''''''''''''''''''''</w:t>
            </w:r>
          </w:p>
        </w:tc>
        <w:tc>
          <w:tcPr>
            <w:tcW w:w="647" w:type="pct"/>
            <w:shd w:val="clear" w:color="auto" w:fill="auto"/>
            <w:vAlign w:val="center"/>
          </w:tcPr>
          <w:p w:rsidR="00F63678" w:rsidRPr="00DA44C9" w:rsidRDefault="00F63678" w:rsidP="00A640EB">
            <w:pPr>
              <w:pStyle w:val="Tabletext"/>
              <w:jc w:val="center"/>
              <w:rPr>
                <w:bCs/>
                <w:color w:val="000000"/>
                <w:szCs w:val="20"/>
              </w:rPr>
            </w:pPr>
            <w:r w:rsidRPr="00DA44C9">
              <w:rPr>
                <w:szCs w:val="20"/>
              </w:rPr>
              <w:t>$</w:t>
            </w:r>
            <w:r w:rsidR="00606797">
              <w:rPr>
                <w:noProof/>
                <w:color w:val="000000"/>
                <w:szCs w:val="20"/>
                <w:highlight w:val="black"/>
              </w:rPr>
              <w:t>'''''''''''''''''''''''''''</w:t>
            </w:r>
          </w:p>
        </w:tc>
        <w:tc>
          <w:tcPr>
            <w:tcW w:w="647" w:type="pct"/>
            <w:shd w:val="clear" w:color="auto" w:fill="auto"/>
            <w:vAlign w:val="center"/>
          </w:tcPr>
          <w:p w:rsidR="00F63678" w:rsidRPr="00DA44C9" w:rsidRDefault="00F63678" w:rsidP="00A640EB">
            <w:pPr>
              <w:pStyle w:val="Tabletext"/>
              <w:jc w:val="center"/>
              <w:rPr>
                <w:bCs/>
                <w:color w:val="000000"/>
                <w:szCs w:val="20"/>
              </w:rPr>
            </w:pPr>
            <w:r w:rsidRPr="00DA44C9">
              <w:rPr>
                <w:szCs w:val="20"/>
              </w:rPr>
              <w:t>$</w:t>
            </w:r>
            <w:r w:rsidR="00606797">
              <w:rPr>
                <w:noProof/>
                <w:color w:val="000000"/>
                <w:szCs w:val="20"/>
                <w:highlight w:val="black"/>
              </w:rPr>
              <w:t>''''''''''''''''''''''''''''''''</w:t>
            </w:r>
          </w:p>
        </w:tc>
        <w:tc>
          <w:tcPr>
            <w:tcW w:w="647" w:type="pct"/>
            <w:shd w:val="clear" w:color="auto" w:fill="auto"/>
            <w:vAlign w:val="center"/>
          </w:tcPr>
          <w:p w:rsidR="00F63678" w:rsidRPr="00DA44C9" w:rsidRDefault="00F63678" w:rsidP="00A640EB">
            <w:pPr>
              <w:pStyle w:val="Tabletext"/>
              <w:jc w:val="center"/>
              <w:rPr>
                <w:bCs/>
                <w:color w:val="000000"/>
                <w:szCs w:val="20"/>
              </w:rPr>
            </w:pPr>
            <w:r w:rsidRPr="00DA44C9">
              <w:rPr>
                <w:szCs w:val="20"/>
              </w:rPr>
              <w:t>$</w:t>
            </w:r>
            <w:r w:rsidR="00606797">
              <w:rPr>
                <w:noProof/>
                <w:color w:val="000000"/>
                <w:szCs w:val="20"/>
                <w:highlight w:val="black"/>
              </w:rPr>
              <w:t>''''''''''''''''''''''''''''''</w:t>
            </w:r>
          </w:p>
        </w:tc>
        <w:tc>
          <w:tcPr>
            <w:tcW w:w="646" w:type="pct"/>
            <w:vAlign w:val="center"/>
          </w:tcPr>
          <w:p w:rsidR="00F63678" w:rsidRPr="00DA44C9" w:rsidRDefault="00F63678" w:rsidP="00A640EB">
            <w:pPr>
              <w:pStyle w:val="Tabletext"/>
              <w:jc w:val="center"/>
              <w:rPr>
                <w:bCs/>
                <w:color w:val="000000"/>
                <w:szCs w:val="20"/>
              </w:rPr>
            </w:pPr>
            <w:r w:rsidRPr="00DA44C9">
              <w:rPr>
                <w:szCs w:val="20"/>
              </w:rPr>
              <w:t>$</w:t>
            </w:r>
            <w:r w:rsidR="00606797">
              <w:rPr>
                <w:noProof/>
                <w:color w:val="000000"/>
                <w:szCs w:val="20"/>
                <w:highlight w:val="black"/>
              </w:rPr>
              <w:t>'''''''''''''''''''''''''''''</w:t>
            </w:r>
          </w:p>
        </w:tc>
      </w:tr>
    </w:tbl>
    <w:p w:rsidR="00F63678" w:rsidRDefault="00F63678" w:rsidP="00F63678">
      <w:pPr>
        <w:pStyle w:val="TableFooter"/>
        <w:tabs>
          <w:tab w:val="left" w:pos="142"/>
        </w:tabs>
      </w:pPr>
      <w:proofErr w:type="spellStart"/>
      <w:proofErr w:type="gramStart"/>
      <w:r w:rsidRPr="003639A6">
        <w:rPr>
          <w:vertAlign w:val="superscript"/>
        </w:rPr>
        <w:t>a</w:t>
      </w:r>
      <w:proofErr w:type="spellEnd"/>
      <w:proofErr w:type="gramEnd"/>
      <w:r>
        <w:tab/>
      </w:r>
      <w:r w:rsidRPr="003639A6">
        <w:t xml:space="preserve">Assuming </w:t>
      </w:r>
      <w:r>
        <w:t>2</w:t>
      </w:r>
      <w:r w:rsidRPr="003639A6">
        <w:t xml:space="preserve"> </w:t>
      </w:r>
      <w:r>
        <w:t xml:space="preserve">per patient </w:t>
      </w:r>
      <w:r w:rsidRPr="003639A6">
        <w:t>per year as estimated by the submission.</w:t>
      </w:r>
    </w:p>
    <w:p w:rsidR="00F63678" w:rsidRDefault="00F63678" w:rsidP="00F63678">
      <w:pPr>
        <w:pStyle w:val="TableFooter"/>
        <w:tabs>
          <w:tab w:val="left" w:pos="142"/>
        </w:tabs>
      </w:pPr>
      <w:proofErr w:type="gramStart"/>
      <w:r w:rsidRPr="00813B9C">
        <w:rPr>
          <w:vertAlign w:val="superscript"/>
        </w:rPr>
        <w:t>b</w:t>
      </w:r>
      <w:proofErr w:type="gramEnd"/>
      <w:r>
        <w:rPr>
          <w:vertAlign w:val="superscript"/>
        </w:rPr>
        <w:t xml:space="preserve"> </w:t>
      </w:r>
      <w:r>
        <w:t xml:space="preserve">The submission assumed that the administration cost of nivolumab relates to MBS Item 13915. The expected number of drug administrations and MBS items per patient course is 19.6. The cost to the MBS per administration is $55.30 (85% </w:t>
      </w:r>
      <w:proofErr w:type="gramStart"/>
      <w:r>
        <w:t>benefit</w:t>
      </w:r>
      <w:proofErr w:type="gramEnd"/>
      <w:r>
        <w:t>)</w:t>
      </w:r>
    </w:p>
    <w:p w:rsidR="00C11B8A" w:rsidRDefault="00C11B8A" w:rsidP="00F63678">
      <w:pPr>
        <w:pStyle w:val="TableFooter"/>
      </w:pPr>
      <w:r>
        <w:t>MBS = Medicare Benefits Schedule; PBS = Pharmaceutical Benefits Scheme; RPBS = Repatriation Pharmaceutical Benefits Scheme</w:t>
      </w:r>
    </w:p>
    <w:p w:rsidR="00F63678" w:rsidRDefault="00F63678" w:rsidP="00F63678">
      <w:pPr>
        <w:pStyle w:val="TableFooter"/>
        <w:rPr>
          <w:rStyle w:val="CommentReference"/>
        </w:rPr>
      </w:pPr>
      <w:r>
        <w:t>Source: Table 106, Table 111, and Table 112 of the submission.</w:t>
      </w:r>
    </w:p>
    <w:p w:rsidR="00F63678" w:rsidRDefault="00F63678" w:rsidP="00F63678">
      <w:pPr>
        <w:widowControl/>
      </w:pPr>
    </w:p>
    <w:p w:rsidR="00580C7D" w:rsidRDefault="00580C7D" w:rsidP="00F63678">
      <w:pPr>
        <w:widowControl/>
      </w:pPr>
      <w:r>
        <w:lastRenderedPageBreak/>
        <w:t>The redacted table shows that at year 6, the estimated number of patients was less than 10,000 per year and the net cost to the PBS would be more than $100 million per year.</w:t>
      </w:r>
    </w:p>
    <w:p w:rsidR="00580C7D" w:rsidRPr="00C25D9C" w:rsidRDefault="00580C7D" w:rsidP="00F63678">
      <w:pPr>
        <w:widowControl/>
      </w:pPr>
    </w:p>
    <w:p w:rsidR="006C0F0F" w:rsidRDefault="00DA44C9" w:rsidP="000B6DBA">
      <w:pPr>
        <w:pStyle w:val="ListParagraph"/>
        <w:widowControl/>
        <w:numPr>
          <w:ilvl w:val="1"/>
          <w:numId w:val="1"/>
        </w:numPr>
      </w:pPr>
      <w:r>
        <w:t xml:space="preserve">The PBAC noted the very high estimated financial impact of </w:t>
      </w:r>
      <w:r w:rsidR="00D44BD6">
        <w:t xml:space="preserve">listing </w:t>
      </w:r>
      <w:r>
        <w:t xml:space="preserve">nivolumab </w:t>
      </w:r>
      <w:r w:rsidR="00D44BD6">
        <w:t xml:space="preserve">for use </w:t>
      </w:r>
      <w:r>
        <w:t>the completely resected melanoma population to the PBS and RPBS.</w:t>
      </w:r>
    </w:p>
    <w:p w:rsidR="0066168A" w:rsidRPr="0041506F" w:rsidRDefault="00FE01A4" w:rsidP="000B6DBA">
      <w:pPr>
        <w:pStyle w:val="ListParagraph"/>
        <w:widowControl/>
        <w:numPr>
          <w:ilvl w:val="1"/>
          <w:numId w:val="1"/>
        </w:numPr>
      </w:pPr>
      <w:r w:rsidRPr="0041506F">
        <w:t xml:space="preserve">PBAC and </w:t>
      </w:r>
      <w:r w:rsidR="0066168A" w:rsidRPr="0041506F">
        <w:t xml:space="preserve">DUSC </w:t>
      </w:r>
      <w:r w:rsidR="00F84472" w:rsidRPr="0041506F">
        <w:t>considered that</w:t>
      </w:r>
      <w:r w:rsidR="0066168A" w:rsidRPr="0041506F">
        <w:t xml:space="preserve"> </w:t>
      </w:r>
      <w:r w:rsidR="0066168A" w:rsidRPr="0041506F">
        <w:rPr>
          <w:rFonts w:asciiTheme="minorHAnsi" w:hAnsiTheme="minorHAnsi"/>
          <w:szCs w:val="24"/>
        </w:rPr>
        <w:t xml:space="preserve">the cost offsets </w:t>
      </w:r>
      <w:r w:rsidR="00F84472" w:rsidRPr="0041506F">
        <w:rPr>
          <w:rFonts w:asciiTheme="minorHAnsi" w:hAnsiTheme="minorHAnsi"/>
          <w:szCs w:val="24"/>
        </w:rPr>
        <w:t>we</w:t>
      </w:r>
      <w:r w:rsidR="0066168A" w:rsidRPr="0041506F">
        <w:rPr>
          <w:rFonts w:asciiTheme="minorHAnsi" w:hAnsiTheme="minorHAnsi"/>
          <w:szCs w:val="24"/>
        </w:rPr>
        <w:t xml:space="preserve">re overestimated. The main issues </w:t>
      </w:r>
      <w:r w:rsidR="00F84472" w:rsidRPr="0041506F">
        <w:rPr>
          <w:rFonts w:asciiTheme="minorHAnsi" w:hAnsiTheme="minorHAnsi"/>
          <w:szCs w:val="24"/>
        </w:rPr>
        <w:t>we</w:t>
      </w:r>
      <w:r w:rsidR="0066168A" w:rsidRPr="0041506F">
        <w:rPr>
          <w:rFonts w:asciiTheme="minorHAnsi" w:hAnsiTheme="minorHAnsi"/>
          <w:szCs w:val="24"/>
        </w:rPr>
        <w:t>re</w:t>
      </w:r>
      <w:r w:rsidR="00A54A08">
        <w:rPr>
          <w:rFonts w:asciiTheme="minorHAnsi" w:hAnsiTheme="minorHAnsi"/>
          <w:szCs w:val="24"/>
        </w:rPr>
        <w:t xml:space="preserve"> that</w:t>
      </w:r>
      <w:r w:rsidR="0066168A" w:rsidRPr="0041506F">
        <w:rPr>
          <w:rFonts w:asciiTheme="minorHAnsi" w:hAnsiTheme="minorHAnsi"/>
          <w:szCs w:val="24"/>
        </w:rPr>
        <w:t>:</w:t>
      </w:r>
    </w:p>
    <w:p w:rsidR="0066168A" w:rsidRPr="0041506F" w:rsidRDefault="00A54A08" w:rsidP="000B6DBA">
      <w:pPr>
        <w:pStyle w:val="PBACHeading1"/>
        <w:numPr>
          <w:ilvl w:val="0"/>
          <w:numId w:val="7"/>
        </w:numPr>
        <w:ind w:left="1077" w:hanging="357"/>
        <w:jc w:val="both"/>
        <w:rPr>
          <w:b w:val="0"/>
          <w:sz w:val="24"/>
          <w:szCs w:val="24"/>
        </w:rPr>
      </w:pPr>
      <w:proofErr w:type="gramStart"/>
      <w:r>
        <w:rPr>
          <w:b w:val="0"/>
          <w:sz w:val="24"/>
          <w:szCs w:val="24"/>
        </w:rPr>
        <w:t>t</w:t>
      </w:r>
      <w:r w:rsidR="0066168A" w:rsidRPr="0041506F">
        <w:rPr>
          <w:b w:val="0"/>
          <w:sz w:val="24"/>
          <w:szCs w:val="24"/>
        </w:rPr>
        <w:t>he</w:t>
      </w:r>
      <w:proofErr w:type="gramEnd"/>
      <w:r w:rsidR="0066168A" w:rsidRPr="0041506F">
        <w:rPr>
          <w:b w:val="0"/>
          <w:sz w:val="24"/>
          <w:szCs w:val="24"/>
        </w:rPr>
        <w:t xml:space="preserve"> submission claimed cost savings to the PBS/RPBS due to patients avoiding recurrence. DUSC considered the current </w:t>
      </w:r>
      <w:r w:rsidR="00D44BD6">
        <w:rPr>
          <w:b w:val="0"/>
          <w:sz w:val="24"/>
          <w:szCs w:val="24"/>
        </w:rPr>
        <w:t>RSA</w:t>
      </w:r>
      <w:r w:rsidR="0066168A" w:rsidRPr="0041506F">
        <w:rPr>
          <w:b w:val="0"/>
          <w:sz w:val="24"/>
          <w:szCs w:val="24"/>
        </w:rPr>
        <w:t xml:space="preserve"> reduces the cost of nivolumab for unresectable melanoma to Government, and the estimated cost offsets are likely to be overestimated</w:t>
      </w:r>
      <w:r>
        <w:rPr>
          <w:b w:val="0"/>
          <w:sz w:val="24"/>
          <w:szCs w:val="24"/>
        </w:rPr>
        <w:t>;</w:t>
      </w:r>
    </w:p>
    <w:p w:rsidR="0066168A" w:rsidRPr="0041506F" w:rsidRDefault="00A54A08" w:rsidP="000B6DBA">
      <w:pPr>
        <w:pStyle w:val="PBACHeading1"/>
        <w:numPr>
          <w:ilvl w:val="0"/>
          <w:numId w:val="7"/>
        </w:numPr>
        <w:ind w:left="1077" w:hanging="357"/>
        <w:jc w:val="both"/>
        <w:rPr>
          <w:b w:val="0"/>
          <w:sz w:val="24"/>
          <w:szCs w:val="24"/>
        </w:rPr>
      </w:pPr>
      <w:r>
        <w:rPr>
          <w:b w:val="0"/>
          <w:sz w:val="24"/>
          <w:szCs w:val="24"/>
        </w:rPr>
        <w:t>t</w:t>
      </w:r>
      <w:r w:rsidR="0066168A" w:rsidRPr="0041506F">
        <w:rPr>
          <w:b w:val="0"/>
          <w:sz w:val="24"/>
          <w:szCs w:val="24"/>
        </w:rPr>
        <w:t>he proposed PBS restriction is broader than the eligibility criteria for the CA209238 and CA184029 trials</w:t>
      </w:r>
      <w:r>
        <w:rPr>
          <w:b w:val="0"/>
          <w:sz w:val="24"/>
          <w:szCs w:val="24"/>
        </w:rPr>
        <w:t>; and</w:t>
      </w:r>
    </w:p>
    <w:p w:rsidR="0066168A" w:rsidRPr="0066168A" w:rsidRDefault="00A54A08" w:rsidP="000B6DBA">
      <w:pPr>
        <w:pStyle w:val="PBACHeading1"/>
        <w:numPr>
          <w:ilvl w:val="0"/>
          <w:numId w:val="7"/>
        </w:numPr>
        <w:ind w:left="1077" w:hanging="357"/>
        <w:jc w:val="both"/>
        <w:rPr>
          <w:szCs w:val="24"/>
        </w:rPr>
      </w:pPr>
      <w:proofErr w:type="gramStart"/>
      <w:r>
        <w:rPr>
          <w:b w:val="0"/>
          <w:sz w:val="24"/>
          <w:szCs w:val="24"/>
        </w:rPr>
        <w:t>u</w:t>
      </w:r>
      <w:r w:rsidR="0066168A" w:rsidRPr="0041506F">
        <w:rPr>
          <w:b w:val="0"/>
          <w:sz w:val="24"/>
          <w:szCs w:val="24"/>
        </w:rPr>
        <w:t>ptake</w:t>
      </w:r>
      <w:proofErr w:type="gramEnd"/>
      <w:r w:rsidR="0066168A" w:rsidRPr="0041506F">
        <w:rPr>
          <w:b w:val="0"/>
          <w:sz w:val="24"/>
          <w:szCs w:val="24"/>
        </w:rPr>
        <w:t xml:space="preserve"> is likely to be very high overall, but low in patients who have a good prognosis from resection alone (such as patients with Stage IIIA disease) and in older patients.</w:t>
      </w:r>
    </w:p>
    <w:p w:rsidR="00D03747" w:rsidRDefault="00D03747" w:rsidP="000B6DBA">
      <w:pPr>
        <w:pStyle w:val="ListParagraph"/>
        <w:widowControl/>
        <w:numPr>
          <w:ilvl w:val="1"/>
          <w:numId w:val="1"/>
        </w:numPr>
      </w:pPr>
      <w:r>
        <w:t xml:space="preserve">The pre-PBAC response maintained that the cost offsets were reasonable as they were based on the rates of recurrence observed </w:t>
      </w:r>
      <w:r w:rsidR="0066168A">
        <w:t>in the nivolumab and placebo arms of the clinical trials and the economic model. The recurrence free survival curves at six years represent a number needed to treat w</w:t>
      </w:r>
      <w:r w:rsidR="00A54A08">
        <w:t>ith nivolumab of approximately five</w:t>
      </w:r>
      <w:r w:rsidR="0066168A">
        <w:t xml:space="preserve"> in the adjuvant setting to avoid one recurrence. The pre-PBAC claimed that it was estimated that over the first six years of listing that </w:t>
      </w:r>
      <w:r w:rsidR="00A019DE">
        <w:t xml:space="preserve">less than 10,000 </w:t>
      </w:r>
      <w:r w:rsidR="0066168A">
        <w:t>patients would avoid recurrence; the cost offsets in the analysis reflected this relationship.</w:t>
      </w:r>
    </w:p>
    <w:p w:rsidR="00195BA4" w:rsidRPr="009F1345" w:rsidRDefault="00195BA4" w:rsidP="009F1345">
      <w:pPr>
        <w:pStyle w:val="Heading2"/>
        <w:spacing w:before="240" w:after="120"/>
        <w:rPr>
          <w:i w:val="0"/>
        </w:rPr>
      </w:pPr>
      <w:bookmarkStart w:id="26" w:name="_Toc511318446"/>
      <w:bookmarkStart w:id="27" w:name="_Toc511661686"/>
      <w:bookmarkEnd w:id="24"/>
      <w:bookmarkEnd w:id="25"/>
      <w:r w:rsidRPr="00C3371F">
        <w:rPr>
          <w:i w:val="0"/>
        </w:rPr>
        <w:t>Quality Use of Medicines</w:t>
      </w:r>
    </w:p>
    <w:p w:rsidR="00195BA4" w:rsidRPr="00C3371F" w:rsidRDefault="00195BA4" w:rsidP="000B6DBA">
      <w:pPr>
        <w:pStyle w:val="ListParagraph"/>
        <w:widowControl/>
        <w:numPr>
          <w:ilvl w:val="1"/>
          <w:numId w:val="1"/>
        </w:numPr>
      </w:pPr>
      <w:r w:rsidRPr="00C3371F">
        <w:t>The submission described a number of activities to support the quality use of medicines, including:</w:t>
      </w:r>
    </w:p>
    <w:p w:rsidR="00195BA4" w:rsidRPr="00C3371F" w:rsidRDefault="00195BA4" w:rsidP="000B6DBA">
      <w:pPr>
        <w:pStyle w:val="ListParagraph"/>
        <w:widowControl/>
        <w:numPr>
          <w:ilvl w:val="0"/>
          <w:numId w:val="5"/>
        </w:numPr>
        <w:spacing w:after="80"/>
        <w:ind w:left="1077" w:hanging="357"/>
      </w:pPr>
      <w:r w:rsidRPr="00C3371F">
        <w:t>Physician education;</w:t>
      </w:r>
    </w:p>
    <w:p w:rsidR="00195BA4" w:rsidRPr="00C3371F" w:rsidRDefault="00195BA4" w:rsidP="000B6DBA">
      <w:pPr>
        <w:pStyle w:val="ListParagraph"/>
        <w:widowControl/>
        <w:numPr>
          <w:ilvl w:val="0"/>
          <w:numId w:val="5"/>
        </w:numPr>
        <w:spacing w:after="80"/>
        <w:ind w:left="1077" w:hanging="357"/>
      </w:pPr>
      <w:r w:rsidRPr="00C3371F">
        <w:t>Immuno-oncology preceptorship;</w:t>
      </w:r>
    </w:p>
    <w:p w:rsidR="00195BA4" w:rsidRPr="00C3371F" w:rsidRDefault="00195BA4" w:rsidP="000B6DBA">
      <w:pPr>
        <w:pStyle w:val="ListParagraph"/>
        <w:widowControl/>
        <w:numPr>
          <w:ilvl w:val="0"/>
          <w:numId w:val="5"/>
        </w:numPr>
        <w:spacing w:after="80"/>
        <w:ind w:left="1077" w:hanging="357"/>
      </w:pPr>
      <w:r w:rsidRPr="00C3371F">
        <w:t>Peer-to-peer support;</w:t>
      </w:r>
    </w:p>
    <w:p w:rsidR="00195BA4" w:rsidRPr="00C3371F" w:rsidRDefault="00195BA4" w:rsidP="000B6DBA">
      <w:pPr>
        <w:pStyle w:val="ListParagraph"/>
        <w:widowControl/>
        <w:numPr>
          <w:ilvl w:val="0"/>
          <w:numId w:val="5"/>
        </w:numPr>
        <w:spacing w:after="80"/>
        <w:ind w:left="1077" w:hanging="357"/>
      </w:pPr>
      <w:r w:rsidRPr="00C3371F">
        <w:t>Nursing and pharmacy in-services</w:t>
      </w:r>
    </w:p>
    <w:p w:rsidR="00195BA4" w:rsidRPr="00C3371F" w:rsidRDefault="00195BA4" w:rsidP="000B6DBA">
      <w:pPr>
        <w:pStyle w:val="ListParagraph"/>
        <w:widowControl/>
        <w:numPr>
          <w:ilvl w:val="0"/>
          <w:numId w:val="5"/>
        </w:numPr>
        <w:spacing w:after="80"/>
        <w:ind w:left="1077" w:hanging="357"/>
      </w:pPr>
      <w:r w:rsidRPr="00C3371F">
        <w:t xml:space="preserve">Risk Management Plan; </w:t>
      </w:r>
    </w:p>
    <w:p w:rsidR="00195BA4" w:rsidRPr="00C3371F" w:rsidRDefault="00195BA4" w:rsidP="000B6DBA">
      <w:pPr>
        <w:pStyle w:val="ListParagraph"/>
        <w:widowControl/>
        <w:numPr>
          <w:ilvl w:val="0"/>
          <w:numId w:val="5"/>
        </w:numPr>
        <w:spacing w:after="80"/>
        <w:ind w:left="1077" w:hanging="357"/>
      </w:pPr>
      <w:r w:rsidRPr="00C3371F">
        <w:t>Additional educational materials for awareness and management of immune-related adverse reactions (</w:t>
      </w:r>
      <w:proofErr w:type="spellStart"/>
      <w:r w:rsidRPr="00C3371F">
        <w:t>irARs</w:t>
      </w:r>
      <w:proofErr w:type="spellEnd"/>
      <w:r w:rsidRPr="00C3371F">
        <w:t>);</w:t>
      </w:r>
    </w:p>
    <w:p w:rsidR="00195BA4" w:rsidRPr="00C3371F" w:rsidRDefault="00195BA4" w:rsidP="000B6DBA">
      <w:pPr>
        <w:pStyle w:val="ListParagraph"/>
        <w:widowControl/>
        <w:numPr>
          <w:ilvl w:val="0"/>
          <w:numId w:val="5"/>
        </w:numPr>
        <w:spacing w:after="80"/>
        <w:ind w:left="1077" w:hanging="357"/>
      </w:pPr>
      <w:r w:rsidRPr="00C3371F">
        <w:t>Educational Materials &amp; Tools; and</w:t>
      </w:r>
    </w:p>
    <w:p w:rsidR="00195BA4" w:rsidRPr="00C3371F" w:rsidRDefault="00195BA4" w:rsidP="000B6DBA">
      <w:pPr>
        <w:pStyle w:val="ListParagraph"/>
        <w:widowControl/>
        <w:numPr>
          <w:ilvl w:val="0"/>
          <w:numId w:val="5"/>
        </w:numPr>
        <w:spacing w:after="80"/>
        <w:ind w:left="1077" w:hanging="357"/>
      </w:pPr>
      <w:r w:rsidRPr="00C3371F">
        <w:t>Guidance on Monitoring and Treating Immune Related Adverse Reactions.</w:t>
      </w:r>
    </w:p>
    <w:p w:rsidR="00807F7E" w:rsidRDefault="00807F7E" w:rsidP="00C940C4">
      <w:pPr>
        <w:pStyle w:val="Heading2"/>
        <w:rPr>
          <w:i w:val="0"/>
        </w:rPr>
      </w:pPr>
      <w:r>
        <w:rPr>
          <w:i w:val="0"/>
        </w:rPr>
        <w:br w:type="page"/>
      </w:r>
    </w:p>
    <w:p w:rsidR="00C940C4" w:rsidRPr="009F1345" w:rsidRDefault="00C940C4" w:rsidP="009F1345">
      <w:pPr>
        <w:pStyle w:val="Heading2"/>
        <w:spacing w:before="240" w:after="120"/>
        <w:rPr>
          <w:i w:val="0"/>
        </w:rPr>
      </w:pPr>
      <w:r w:rsidRPr="00C3371F">
        <w:rPr>
          <w:i w:val="0"/>
        </w:rPr>
        <w:lastRenderedPageBreak/>
        <w:t>Financial Management – Risk Sharing Arrangements</w:t>
      </w:r>
      <w:bookmarkEnd w:id="26"/>
      <w:bookmarkEnd w:id="27"/>
    </w:p>
    <w:p w:rsidR="00411BA0" w:rsidRDefault="00C940C4" w:rsidP="000B6DBA">
      <w:pPr>
        <w:pStyle w:val="ListParagraph"/>
        <w:widowControl/>
        <w:numPr>
          <w:ilvl w:val="1"/>
          <w:numId w:val="1"/>
        </w:numPr>
      </w:pPr>
      <w:r w:rsidRPr="00C3371F">
        <w:t xml:space="preserve">The submission did not provide any information on potential </w:t>
      </w:r>
      <w:r w:rsidR="00A62CB5">
        <w:t>RSAs</w:t>
      </w:r>
      <w:r w:rsidRPr="00C3371F">
        <w:t xml:space="preserve"> for nivolumab as adjuvant treatment in resected melanoma. However, the</w:t>
      </w:r>
      <w:r w:rsidR="008633E5">
        <w:t xml:space="preserve"> PBAC noted that there</w:t>
      </w:r>
      <w:r w:rsidRPr="00C3371F">
        <w:t xml:space="preserve"> </w:t>
      </w:r>
      <w:r w:rsidRPr="006353EF">
        <w:t xml:space="preserve">is a </w:t>
      </w:r>
      <w:r w:rsidR="00A62CB5">
        <w:t>RSA</w:t>
      </w:r>
      <w:r w:rsidRPr="006353EF">
        <w:t xml:space="preserve"> (in the form of annual expenditure caps) in place for the treatment of unresectable Stage III or Stage IV malignant melanoma, which is shared by the sponsors for nivolumab and pembrolizumab. The sponsors are required to rebate </w:t>
      </w:r>
      <w:r w:rsidR="00606797">
        <w:rPr>
          <w:noProof/>
          <w:color w:val="000000"/>
          <w:highlight w:val="black"/>
        </w:rPr>
        <w:t>''''''''</w:t>
      </w:r>
      <w:r w:rsidRPr="006353EF">
        <w:t>% to the Commonwealth for costs exceeding the agreed annual expenditure caps. Regardless of whether the PBAC recommends the sequential use of PD-1 inhibitors for different lines of therapy (i.e. in the metastatic setting following the adjuvant setting), the availability of nivolumab in the earlier stages of melanoma will impact on the extent of utilisation and therefore the financial implications for medicines for Stage III</w:t>
      </w:r>
      <w:r w:rsidR="00A62CB5">
        <w:t xml:space="preserve"> or Stage </w:t>
      </w:r>
      <w:r w:rsidRPr="006353EF">
        <w:t>IV unresectable melanoma. These include ipilimumab, nivolumab, pembrolizumab and the BRAF/MEK inhibitors (</w:t>
      </w:r>
      <w:r w:rsidR="00A62CB5">
        <w:t>DAB+TRAM</w:t>
      </w:r>
      <w:r w:rsidRPr="006353EF">
        <w:t xml:space="preserve">; vemurafenib + cobimetinib). </w:t>
      </w:r>
      <w:r w:rsidR="00B55170" w:rsidRPr="005C7AC1">
        <w:t xml:space="preserve">The ESC noted that the market size for unresectable melanoma </w:t>
      </w:r>
      <w:r w:rsidR="007F3593">
        <w:t>might</w:t>
      </w:r>
      <w:r w:rsidR="007F3593" w:rsidRPr="005C7AC1">
        <w:t xml:space="preserve"> </w:t>
      </w:r>
      <w:r w:rsidR="00B55170" w:rsidRPr="005C7AC1">
        <w:t>also change if nivolumab was PBS-subsidised</w:t>
      </w:r>
      <w:r w:rsidR="00AA09EB" w:rsidRPr="005C7AC1">
        <w:t xml:space="preserve">, due to the cases of recurrent disease avoided. </w:t>
      </w:r>
    </w:p>
    <w:p w:rsidR="00551048" w:rsidRDefault="00F63678" w:rsidP="009F1345">
      <w:pPr>
        <w:widowControl/>
        <w:ind w:left="720"/>
        <w:rPr>
          <w:i/>
        </w:rPr>
      </w:pPr>
      <w:r w:rsidRPr="00F63678">
        <w:rPr>
          <w:i/>
        </w:rPr>
        <w:t>For more detail on PBAC’s view, see section 7 PBAC outcome.</w:t>
      </w:r>
    </w:p>
    <w:p w:rsidR="00B30D8E" w:rsidRPr="009F1345" w:rsidRDefault="00551048" w:rsidP="009F1345">
      <w:pPr>
        <w:pStyle w:val="PBACHeading1"/>
        <w:spacing w:before="240" w:after="120"/>
        <w:ind w:left="720"/>
        <w:outlineLvl w:val="0"/>
      </w:pPr>
      <w:r w:rsidRPr="00525B39">
        <w:t>PBAC Outcome</w:t>
      </w:r>
    </w:p>
    <w:p w:rsidR="000F6A22" w:rsidRDefault="00B30D8E" w:rsidP="000B6DBA">
      <w:pPr>
        <w:numPr>
          <w:ilvl w:val="1"/>
          <w:numId w:val="1"/>
        </w:numPr>
        <w:spacing w:after="120"/>
        <w:rPr>
          <w:rFonts w:asciiTheme="minorHAnsi" w:hAnsiTheme="minorHAnsi"/>
          <w:bCs/>
          <w:lang w:val="en-GB"/>
        </w:rPr>
      </w:pPr>
      <w:r>
        <w:rPr>
          <w:rFonts w:asciiTheme="minorHAnsi" w:hAnsiTheme="minorHAnsi"/>
          <w:bCs/>
          <w:lang w:val="en-GB"/>
        </w:rPr>
        <w:t xml:space="preserve">The PBAC did not recommend listing of nivolumab as an adjuvant treatment for </w:t>
      </w:r>
      <w:r w:rsidR="00FF477C">
        <w:rPr>
          <w:rFonts w:asciiTheme="minorHAnsi" w:hAnsiTheme="minorHAnsi"/>
          <w:bCs/>
          <w:lang w:val="en-GB"/>
        </w:rPr>
        <w:t>completely resected st</w:t>
      </w:r>
      <w:r w:rsidR="000F6A22">
        <w:rPr>
          <w:rFonts w:asciiTheme="minorHAnsi" w:hAnsiTheme="minorHAnsi"/>
          <w:bCs/>
          <w:lang w:val="en-GB"/>
        </w:rPr>
        <w:t>age III and IV melanoma.</w:t>
      </w:r>
      <w:r w:rsidR="00FF477C" w:rsidRPr="00FF477C">
        <w:t xml:space="preserve"> </w:t>
      </w:r>
      <w:r w:rsidR="00FF477C" w:rsidRPr="00FF477C">
        <w:rPr>
          <w:rFonts w:asciiTheme="minorHAnsi" w:hAnsiTheme="minorHAnsi"/>
          <w:bCs/>
          <w:lang w:val="en-GB"/>
        </w:rPr>
        <w:t xml:space="preserve">The PBAC acknowledged that there was a high unmet clinical need for effective therapies to reduce the risk of recurrence of resected stage III and IV melanoma, and considered that in some circumstances recurrence was less likely for nivolumab compared to placebo. However the PBAC considered </w:t>
      </w:r>
      <w:r w:rsidR="000F6A22">
        <w:rPr>
          <w:rFonts w:asciiTheme="minorHAnsi" w:hAnsiTheme="minorHAnsi"/>
          <w:bCs/>
          <w:lang w:val="en-GB"/>
        </w:rPr>
        <w:t xml:space="preserve">that there was uncertainty in the magnitude of the clinical benefit which resulted in a </w:t>
      </w:r>
      <w:r w:rsidR="00D25244">
        <w:rPr>
          <w:rFonts w:asciiTheme="minorHAnsi" w:hAnsiTheme="minorHAnsi"/>
          <w:bCs/>
          <w:lang w:val="en-GB"/>
        </w:rPr>
        <w:t>highly uncertain</w:t>
      </w:r>
      <w:r w:rsidR="000F6A22">
        <w:rPr>
          <w:rFonts w:asciiTheme="minorHAnsi" w:hAnsiTheme="minorHAnsi"/>
          <w:bCs/>
          <w:lang w:val="en-GB"/>
        </w:rPr>
        <w:t xml:space="preserve"> incremental cost-effectiveness ratio (ICER) and a very high and uncertain estimated financial impact. </w:t>
      </w:r>
    </w:p>
    <w:p w:rsidR="004B3CD3" w:rsidRDefault="000F6A22" w:rsidP="000B6DBA">
      <w:pPr>
        <w:numPr>
          <w:ilvl w:val="1"/>
          <w:numId w:val="1"/>
        </w:numPr>
        <w:spacing w:after="120"/>
        <w:rPr>
          <w:rFonts w:asciiTheme="minorHAnsi" w:hAnsiTheme="minorHAnsi"/>
          <w:bCs/>
          <w:lang w:val="en-GB"/>
        </w:rPr>
      </w:pPr>
      <w:r>
        <w:rPr>
          <w:rFonts w:asciiTheme="minorHAnsi" w:hAnsiTheme="minorHAnsi"/>
          <w:bCs/>
          <w:lang w:val="en-GB"/>
        </w:rPr>
        <w:t>The PBAC considered that the nominated comparator</w:t>
      </w:r>
      <w:r w:rsidR="005A5EC7">
        <w:rPr>
          <w:rFonts w:asciiTheme="minorHAnsi" w:hAnsiTheme="minorHAnsi"/>
          <w:bCs/>
          <w:lang w:val="en-GB"/>
        </w:rPr>
        <w:t>,</w:t>
      </w:r>
      <w:r>
        <w:rPr>
          <w:rFonts w:asciiTheme="minorHAnsi" w:hAnsiTheme="minorHAnsi"/>
          <w:bCs/>
          <w:lang w:val="en-GB"/>
        </w:rPr>
        <w:t xml:space="preserve"> observation</w:t>
      </w:r>
      <w:r w:rsidR="005A5EC7">
        <w:rPr>
          <w:rFonts w:asciiTheme="minorHAnsi" w:hAnsiTheme="minorHAnsi"/>
          <w:bCs/>
          <w:lang w:val="en-GB"/>
        </w:rPr>
        <w:t>,</w:t>
      </w:r>
      <w:r w:rsidR="00D6745A">
        <w:rPr>
          <w:rFonts w:asciiTheme="minorHAnsi" w:hAnsiTheme="minorHAnsi"/>
          <w:bCs/>
          <w:lang w:val="en-GB"/>
        </w:rPr>
        <w:t xml:space="preserve"> </w:t>
      </w:r>
      <w:r>
        <w:rPr>
          <w:rFonts w:asciiTheme="minorHAnsi" w:hAnsiTheme="minorHAnsi"/>
          <w:bCs/>
          <w:lang w:val="en-GB"/>
        </w:rPr>
        <w:t>was reasonable</w:t>
      </w:r>
      <w:r w:rsidR="00D6745A">
        <w:rPr>
          <w:rFonts w:asciiTheme="minorHAnsi" w:hAnsiTheme="minorHAnsi"/>
          <w:bCs/>
          <w:lang w:val="en-GB"/>
        </w:rPr>
        <w:t xml:space="preserve"> in this submission</w:t>
      </w:r>
      <w:r>
        <w:rPr>
          <w:rFonts w:asciiTheme="minorHAnsi" w:hAnsiTheme="minorHAnsi"/>
          <w:bCs/>
          <w:lang w:val="en-GB"/>
        </w:rPr>
        <w:t>; however</w:t>
      </w:r>
      <w:r w:rsidR="00D6745A">
        <w:rPr>
          <w:rFonts w:asciiTheme="minorHAnsi" w:hAnsiTheme="minorHAnsi"/>
          <w:bCs/>
          <w:lang w:val="en-GB"/>
        </w:rPr>
        <w:t>,</w:t>
      </w:r>
      <w:r>
        <w:rPr>
          <w:rFonts w:asciiTheme="minorHAnsi" w:hAnsiTheme="minorHAnsi"/>
          <w:bCs/>
          <w:lang w:val="en-GB"/>
        </w:rPr>
        <w:t xml:space="preserve"> noted that the submission did not adequately consider </w:t>
      </w:r>
      <w:r w:rsidR="009E0CF7">
        <w:rPr>
          <w:rFonts w:asciiTheme="minorHAnsi" w:hAnsiTheme="minorHAnsi"/>
          <w:bCs/>
          <w:lang w:val="en-GB"/>
        </w:rPr>
        <w:t>the place in therapy for nivolumab. T</w:t>
      </w:r>
      <w:r>
        <w:rPr>
          <w:rFonts w:asciiTheme="minorHAnsi" w:hAnsiTheme="minorHAnsi"/>
          <w:bCs/>
          <w:lang w:val="en-GB"/>
        </w:rPr>
        <w:t xml:space="preserve">he </w:t>
      </w:r>
      <w:r w:rsidR="009E0CF7">
        <w:rPr>
          <w:rFonts w:asciiTheme="minorHAnsi" w:hAnsiTheme="minorHAnsi"/>
          <w:bCs/>
          <w:lang w:val="en-GB"/>
        </w:rPr>
        <w:t xml:space="preserve">submission did not fully capture the treatment pathways for patients who </w:t>
      </w:r>
      <w:r w:rsidR="001F3C47">
        <w:rPr>
          <w:rFonts w:asciiTheme="minorHAnsi" w:hAnsiTheme="minorHAnsi"/>
          <w:bCs/>
          <w:lang w:val="en-GB"/>
        </w:rPr>
        <w:t xml:space="preserve">would </w:t>
      </w:r>
      <w:r w:rsidR="009E0CF7">
        <w:rPr>
          <w:rFonts w:asciiTheme="minorHAnsi" w:hAnsiTheme="minorHAnsi"/>
          <w:bCs/>
          <w:lang w:val="en-GB"/>
        </w:rPr>
        <w:t xml:space="preserve">have recurrence of disease and the </w:t>
      </w:r>
      <w:r>
        <w:rPr>
          <w:rFonts w:asciiTheme="minorHAnsi" w:hAnsiTheme="minorHAnsi"/>
          <w:bCs/>
          <w:lang w:val="en-GB"/>
        </w:rPr>
        <w:t xml:space="preserve">downstream consequences of programmed cell death-1 (PD-1) inhibitor therapy in the unresectable malignant melanoma setting. </w:t>
      </w:r>
      <w:r w:rsidR="00D6745A">
        <w:rPr>
          <w:rFonts w:asciiTheme="minorHAnsi" w:hAnsiTheme="minorHAnsi"/>
          <w:bCs/>
          <w:lang w:val="en-GB"/>
        </w:rPr>
        <w:t>If nivolumab becomes available for use as adjuvant therapy, it is likely to alter the use of PD-1 inhibitors in the unresectable setting and th</w:t>
      </w:r>
      <w:r w:rsidR="009E0CF7">
        <w:rPr>
          <w:rFonts w:asciiTheme="minorHAnsi" w:hAnsiTheme="minorHAnsi"/>
          <w:bCs/>
          <w:lang w:val="en-GB"/>
        </w:rPr>
        <w:t>is</w:t>
      </w:r>
      <w:r w:rsidR="00D6745A">
        <w:rPr>
          <w:rFonts w:asciiTheme="minorHAnsi" w:hAnsiTheme="minorHAnsi"/>
          <w:bCs/>
          <w:lang w:val="en-GB"/>
        </w:rPr>
        <w:t xml:space="preserve"> impact</w:t>
      </w:r>
      <w:r w:rsidR="00232E01">
        <w:rPr>
          <w:rFonts w:asciiTheme="minorHAnsi" w:hAnsiTheme="minorHAnsi"/>
          <w:bCs/>
          <w:lang w:val="en-GB"/>
        </w:rPr>
        <w:t>, particularly in terms of overall survival,</w:t>
      </w:r>
      <w:r w:rsidR="00D6745A">
        <w:rPr>
          <w:rFonts w:asciiTheme="minorHAnsi" w:hAnsiTheme="minorHAnsi"/>
          <w:bCs/>
          <w:lang w:val="en-GB"/>
        </w:rPr>
        <w:t xml:space="preserve"> remains an area of uncertainty.</w:t>
      </w:r>
    </w:p>
    <w:p w:rsidR="004B3CD3" w:rsidRDefault="004B3CD3" w:rsidP="000B6DBA">
      <w:pPr>
        <w:numPr>
          <w:ilvl w:val="1"/>
          <w:numId w:val="1"/>
        </w:numPr>
        <w:spacing w:after="120"/>
        <w:rPr>
          <w:rFonts w:asciiTheme="minorHAnsi" w:hAnsiTheme="minorHAnsi"/>
          <w:bCs/>
          <w:lang w:val="en-GB"/>
        </w:rPr>
      </w:pPr>
      <w:r>
        <w:rPr>
          <w:rFonts w:asciiTheme="minorHAnsi" w:hAnsiTheme="minorHAnsi"/>
          <w:bCs/>
          <w:lang w:val="en-GB"/>
        </w:rPr>
        <w:t xml:space="preserve">The PBAC noted that </w:t>
      </w:r>
      <w:r w:rsidR="009E0CF7">
        <w:rPr>
          <w:rFonts w:asciiTheme="minorHAnsi" w:hAnsiTheme="minorHAnsi"/>
          <w:bCs/>
          <w:lang w:val="en-GB"/>
        </w:rPr>
        <w:t xml:space="preserve">the submission was based on an indirect comparison </w:t>
      </w:r>
      <w:r w:rsidR="001F3C47">
        <w:rPr>
          <w:rFonts w:asciiTheme="minorHAnsi" w:hAnsiTheme="minorHAnsi"/>
          <w:bCs/>
          <w:lang w:val="en-GB"/>
        </w:rPr>
        <w:t>between nivolumab and</w:t>
      </w:r>
      <w:r w:rsidR="009E0CF7">
        <w:rPr>
          <w:rFonts w:asciiTheme="minorHAnsi" w:hAnsiTheme="minorHAnsi"/>
          <w:bCs/>
          <w:lang w:val="en-GB"/>
        </w:rPr>
        <w:t xml:space="preserve"> placebo, with ipilimumab (which is not PBS listed for this population) as the common comparator. Two randomised controlled trials were included in the analysis - CA209238, which compared nivolumab to ipilimumab in patients with Stage IIIB/C or Stage IV melanoma, and CA184029 which compared ipilimumab to placebo in patients with Stage III disease. The PBAC </w:t>
      </w:r>
      <w:r w:rsidR="00456432">
        <w:rPr>
          <w:rFonts w:asciiTheme="minorHAnsi" w:hAnsiTheme="minorHAnsi"/>
          <w:bCs/>
          <w:lang w:val="en-GB"/>
        </w:rPr>
        <w:t xml:space="preserve">questioned the </w:t>
      </w:r>
      <w:r w:rsidR="000E7FD3">
        <w:rPr>
          <w:rFonts w:asciiTheme="minorHAnsi" w:hAnsiTheme="minorHAnsi"/>
          <w:bCs/>
          <w:lang w:val="en-GB"/>
        </w:rPr>
        <w:t>applicability</w:t>
      </w:r>
      <w:r w:rsidR="00456432">
        <w:rPr>
          <w:rFonts w:asciiTheme="minorHAnsi" w:hAnsiTheme="minorHAnsi"/>
          <w:bCs/>
          <w:lang w:val="en-GB"/>
        </w:rPr>
        <w:t xml:space="preserve"> of </w:t>
      </w:r>
      <w:r w:rsidR="00456432">
        <w:rPr>
          <w:rFonts w:asciiTheme="minorHAnsi" w:hAnsiTheme="minorHAnsi"/>
          <w:bCs/>
          <w:lang w:val="en-GB"/>
        </w:rPr>
        <w:lastRenderedPageBreak/>
        <w:t>the clinical evidence to the requested patient population. T</w:t>
      </w:r>
      <w:r>
        <w:rPr>
          <w:rFonts w:asciiTheme="minorHAnsi" w:hAnsiTheme="minorHAnsi"/>
          <w:bCs/>
          <w:lang w:val="en-GB"/>
        </w:rPr>
        <w:t>he submission requested use for patients with completely resected Stage III and Stage IV melanoma</w:t>
      </w:r>
      <w:r w:rsidR="00456432">
        <w:rPr>
          <w:rFonts w:asciiTheme="minorHAnsi" w:hAnsiTheme="minorHAnsi"/>
          <w:bCs/>
          <w:lang w:val="en-GB"/>
        </w:rPr>
        <w:t xml:space="preserve">; however, </w:t>
      </w:r>
      <w:r>
        <w:rPr>
          <w:rFonts w:asciiTheme="minorHAnsi" w:hAnsiTheme="minorHAnsi"/>
          <w:bCs/>
          <w:lang w:val="en-GB"/>
        </w:rPr>
        <w:t xml:space="preserve">no </w:t>
      </w:r>
      <w:r w:rsidR="00A54A08">
        <w:rPr>
          <w:rFonts w:asciiTheme="minorHAnsi" w:hAnsiTheme="minorHAnsi"/>
          <w:bCs/>
          <w:lang w:val="en-GB"/>
        </w:rPr>
        <w:t xml:space="preserve">data for the effectiveness of nivolumab in patients with completely resected Stage IIIA melanoma was presented and no </w:t>
      </w:r>
      <w:r>
        <w:rPr>
          <w:rFonts w:asciiTheme="minorHAnsi" w:hAnsiTheme="minorHAnsi"/>
          <w:bCs/>
          <w:lang w:val="en-GB"/>
        </w:rPr>
        <w:t xml:space="preserve">comparative data was presented for patients with Stage IIIA or Stage IV melanoma. </w:t>
      </w:r>
      <w:r w:rsidR="00DA44C9">
        <w:rPr>
          <w:rFonts w:asciiTheme="minorHAnsi" w:hAnsiTheme="minorHAnsi"/>
          <w:bCs/>
          <w:lang w:val="en-GB"/>
        </w:rPr>
        <w:t>In addition to stage of disease, the PBAC considered that there were a number of transitivity issues between the trials, including the duration of follow-up, maturity of the data, average age of the patients and duration of ipilimumab treatment.</w:t>
      </w:r>
    </w:p>
    <w:p w:rsidR="005A5EC7" w:rsidRDefault="009E0CF7" w:rsidP="000B6DBA">
      <w:pPr>
        <w:numPr>
          <w:ilvl w:val="1"/>
          <w:numId w:val="1"/>
        </w:numPr>
        <w:spacing w:after="120"/>
        <w:rPr>
          <w:rFonts w:asciiTheme="minorHAnsi" w:hAnsiTheme="minorHAnsi"/>
          <w:bCs/>
          <w:lang w:val="en-GB"/>
        </w:rPr>
      </w:pPr>
      <w:r>
        <w:rPr>
          <w:rFonts w:asciiTheme="minorHAnsi" w:hAnsiTheme="minorHAnsi"/>
          <w:bCs/>
          <w:lang w:val="en-GB"/>
        </w:rPr>
        <w:t xml:space="preserve">The primary outcome of the indirect comparison was recurrence free survival (RFS). The PBAC noted that </w:t>
      </w:r>
      <w:r w:rsidR="001F3C47">
        <w:rPr>
          <w:rFonts w:asciiTheme="minorHAnsi" w:hAnsiTheme="minorHAnsi"/>
          <w:bCs/>
          <w:lang w:val="en-GB"/>
        </w:rPr>
        <w:t>the data from trial CA209238 were</w:t>
      </w:r>
      <w:r w:rsidR="001073A2">
        <w:rPr>
          <w:rFonts w:asciiTheme="minorHAnsi" w:hAnsiTheme="minorHAnsi"/>
          <w:bCs/>
          <w:lang w:val="en-GB"/>
        </w:rPr>
        <w:t xml:space="preserve"> immature and that the median RFS had not yet been reached. The indirect hazard ratio for RFS was 0.50 (95% confidence interval (CI): 0.38, 0.65). The PBAC considered that the submission’s claim that nivolumab was superior to placebo in terms of RFS was reasonable. However, the PBAC considered that due to the concerns regarding the transitivity issues between the trials</w:t>
      </w:r>
      <w:r w:rsidR="00232E01">
        <w:rPr>
          <w:rFonts w:asciiTheme="minorHAnsi" w:hAnsiTheme="minorHAnsi"/>
          <w:bCs/>
          <w:lang w:val="en-GB"/>
        </w:rPr>
        <w:t>, the immaturity of the data from CA209238</w:t>
      </w:r>
      <w:r w:rsidR="001073A2">
        <w:rPr>
          <w:rFonts w:asciiTheme="minorHAnsi" w:hAnsiTheme="minorHAnsi"/>
          <w:bCs/>
          <w:lang w:val="en-GB"/>
        </w:rPr>
        <w:t xml:space="preserve"> and the indirect nature of the comparison, the magnitude of the treatment effect was highly uncertain. In addition, the PBAC noted that the Kaplan-Meier plots from both trials for RFS suggested that the relative treatment effect was not constant over time, with the curves overlying each other before diverging at three months. </w:t>
      </w:r>
      <w:r w:rsidR="00DA44C9">
        <w:rPr>
          <w:rFonts w:asciiTheme="minorHAnsi" w:hAnsiTheme="minorHAnsi"/>
          <w:bCs/>
          <w:lang w:val="en-GB"/>
        </w:rPr>
        <w:t xml:space="preserve">The </w:t>
      </w:r>
      <w:r w:rsidR="001073A2">
        <w:rPr>
          <w:rFonts w:asciiTheme="minorHAnsi" w:hAnsiTheme="minorHAnsi"/>
          <w:bCs/>
          <w:lang w:val="en-GB"/>
        </w:rPr>
        <w:t>submission did not assess the proportional hazard assumption in either of the trials,</w:t>
      </w:r>
      <w:r w:rsidR="00DA44C9">
        <w:rPr>
          <w:rFonts w:asciiTheme="minorHAnsi" w:hAnsiTheme="minorHAnsi"/>
          <w:bCs/>
          <w:lang w:val="en-GB"/>
        </w:rPr>
        <w:t xml:space="preserve"> and if the proportional hazard assumption does not hold, </w:t>
      </w:r>
      <w:r w:rsidR="001073A2">
        <w:rPr>
          <w:rFonts w:asciiTheme="minorHAnsi" w:hAnsiTheme="minorHAnsi"/>
          <w:bCs/>
          <w:lang w:val="en-GB"/>
        </w:rPr>
        <w:t>the estimated HR, as a measure of the relative treatment effect may be unreliable as it would be dependent on follow-up time.</w:t>
      </w:r>
      <w:r w:rsidR="00DA44C9">
        <w:rPr>
          <w:rFonts w:asciiTheme="minorHAnsi" w:hAnsiTheme="minorHAnsi"/>
          <w:bCs/>
          <w:lang w:val="en-GB"/>
        </w:rPr>
        <w:t xml:space="preserve"> </w:t>
      </w:r>
    </w:p>
    <w:p w:rsidR="005A5EC7" w:rsidRDefault="005A5EC7" w:rsidP="000B6DBA">
      <w:pPr>
        <w:numPr>
          <w:ilvl w:val="1"/>
          <w:numId w:val="1"/>
        </w:numPr>
        <w:spacing w:after="120"/>
        <w:rPr>
          <w:rFonts w:asciiTheme="minorHAnsi" w:hAnsiTheme="minorHAnsi"/>
          <w:bCs/>
          <w:lang w:val="en-GB"/>
        </w:rPr>
      </w:pPr>
      <w:r>
        <w:rPr>
          <w:rFonts w:asciiTheme="minorHAnsi" w:hAnsiTheme="minorHAnsi"/>
          <w:bCs/>
          <w:lang w:val="en-GB"/>
        </w:rPr>
        <w:t>The PBAC considered that the submission’s claim that nivolumab was inferior to placebo in terms of safety was reasonable.</w:t>
      </w:r>
    </w:p>
    <w:p w:rsidR="007F3593" w:rsidRDefault="007F3593" w:rsidP="000B6DBA">
      <w:pPr>
        <w:numPr>
          <w:ilvl w:val="1"/>
          <w:numId w:val="1"/>
        </w:numPr>
        <w:spacing w:after="120"/>
        <w:rPr>
          <w:rFonts w:asciiTheme="minorHAnsi" w:hAnsiTheme="minorHAnsi"/>
          <w:bCs/>
          <w:lang w:val="en-GB"/>
        </w:rPr>
      </w:pPr>
      <w:r>
        <w:rPr>
          <w:rFonts w:asciiTheme="minorHAnsi" w:hAnsiTheme="minorHAnsi"/>
          <w:bCs/>
          <w:lang w:val="en-GB"/>
        </w:rPr>
        <w:t>The PBAC considered that the ICER presented in the submission was uncertain, highly variable and likely underestimated. The PBAC raised a number of concerns</w:t>
      </w:r>
      <w:r w:rsidR="00CF3FB0">
        <w:rPr>
          <w:rFonts w:asciiTheme="minorHAnsi" w:hAnsiTheme="minorHAnsi"/>
          <w:bCs/>
          <w:lang w:val="en-GB"/>
        </w:rPr>
        <w:t>, including:</w:t>
      </w:r>
    </w:p>
    <w:p w:rsidR="004C4AFB" w:rsidRDefault="004C4AFB" w:rsidP="000B6DBA">
      <w:pPr>
        <w:numPr>
          <w:ilvl w:val="1"/>
          <w:numId w:val="8"/>
        </w:numPr>
        <w:spacing w:after="120"/>
        <w:ind w:left="1077" w:hanging="357"/>
        <w:rPr>
          <w:rFonts w:asciiTheme="minorHAnsi" w:hAnsiTheme="minorHAnsi"/>
          <w:bCs/>
          <w:lang w:val="en-GB"/>
        </w:rPr>
      </w:pPr>
      <w:r>
        <w:rPr>
          <w:rFonts w:asciiTheme="minorHAnsi" w:hAnsiTheme="minorHAnsi"/>
          <w:bCs/>
          <w:lang w:val="en-GB"/>
        </w:rPr>
        <w:t xml:space="preserve">The assumption that </w:t>
      </w:r>
      <w:r w:rsidR="00F33548">
        <w:rPr>
          <w:rFonts w:asciiTheme="minorHAnsi" w:hAnsiTheme="minorHAnsi"/>
          <w:bCs/>
          <w:lang w:val="en-GB"/>
        </w:rPr>
        <w:t xml:space="preserve">the </w:t>
      </w:r>
      <w:r>
        <w:rPr>
          <w:rFonts w:asciiTheme="minorHAnsi" w:hAnsiTheme="minorHAnsi"/>
          <w:bCs/>
          <w:lang w:val="en-GB"/>
        </w:rPr>
        <w:t xml:space="preserve">RFS </w:t>
      </w:r>
      <w:r w:rsidR="00F33548">
        <w:rPr>
          <w:rFonts w:asciiTheme="minorHAnsi" w:hAnsiTheme="minorHAnsi"/>
          <w:bCs/>
          <w:lang w:val="en-GB"/>
        </w:rPr>
        <w:t xml:space="preserve">hazard ratio derived from the indirect comparison </w:t>
      </w:r>
      <w:r>
        <w:rPr>
          <w:rFonts w:asciiTheme="minorHAnsi" w:hAnsiTheme="minorHAnsi"/>
          <w:bCs/>
          <w:lang w:val="en-GB"/>
        </w:rPr>
        <w:t xml:space="preserve">was a surrogate for </w:t>
      </w:r>
      <w:r w:rsidR="00F33548">
        <w:rPr>
          <w:rFonts w:asciiTheme="minorHAnsi" w:hAnsiTheme="minorHAnsi"/>
          <w:bCs/>
          <w:lang w:val="en-GB"/>
        </w:rPr>
        <w:t xml:space="preserve">the </w:t>
      </w:r>
      <w:r>
        <w:rPr>
          <w:rFonts w:asciiTheme="minorHAnsi" w:hAnsiTheme="minorHAnsi"/>
          <w:bCs/>
          <w:lang w:val="en-GB"/>
        </w:rPr>
        <w:t>OS</w:t>
      </w:r>
      <w:r w:rsidR="00F33548">
        <w:rPr>
          <w:rFonts w:asciiTheme="minorHAnsi" w:hAnsiTheme="minorHAnsi"/>
          <w:bCs/>
          <w:lang w:val="en-GB"/>
        </w:rPr>
        <w:t xml:space="preserve"> hazard ratio</w:t>
      </w:r>
      <w:r>
        <w:rPr>
          <w:rFonts w:asciiTheme="minorHAnsi" w:hAnsiTheme="minorHAnsi"/>
          <w:bCs/>
          <w:lang w:val="en-GB"/>
        </w:rPr>
        <w:t>. The PBAC and ESC considered that further evidence was required to establish if there is a surrogacy relationship between RFS and OS with PD-1 inhibitor therapy</w:t>
      </w:r>
      <w:r w:rsidR="000E7FD3">
        <w:rPr>
          <w:rFonts w:asciiTheme="minorHAnsi" w:hAnsiTheme="minorHAnsi"/>
          <w:bCs/>
          <w:lang w:val="en-GB"/>
        </w:rPr>
        <w:t xml:space="preserve"> and the quantification of the relationship</w:t>
      </w:r>
      <w:r>
        <w:rPr>
          <w:rFonts w:asciiTheme="minorHAnsi" w:hAnsiTheme="minorHAnsi"/>
          <w:bCs/>
          <w:lang w:val="en-GB"/>
        </w:rPr>
        <w:t xml:space="preserve"> (see </w:t>
      </w:r>
      <w:r w:rsidR="002F4912">
        <w:rPr>
          <w:rFonts w:asciiTheme="minorHAnsi" w:hAnsiTheme="minorHAnsi"/>
          <w:bCs/>
          <w:lang w:val="en-GB"/>
        </w:rPr>
        <w:t>paragraphs 6.38 to 6.40</w:t>
      </w:r>
      <w:r>
        <w:rPr>
          <w:rFonts w:asciiTheme="minorHAnsi" w:hAnsiTheme="minorHAnsi"/>
          <w:bCs/>
          <w:lang w:val="en-GB"/>
        </w:rPr>
        <w:t>)</w:t>
      </w:r>
      <w:r w:rsidR="00F33548">
        <w:rPr>
          <w:rFonts w:asciiTheme="minorHAnsi" w:hAnsiTheme="minorHAnsi"/>
          <w:bCs/>
          <w:lang w:val="en-GB"/>
        </w:rPr>
        <w:t>.</w:t>
      </w:r>
    </w:p>
    <w:p w:rsidR="00F33548" w:rsidRDefault="00F33548" w:rsidP="000B6DBA">
      <w:pPr>
        <w:numPr>
          <w:ilvl w:val="1"/>
          <w:numId w:val="8"/>
        </w:numPr>
        <w:spacing w:after="120"/>
        <w:ind w:left="1077" w:hanging="357"/>
        <w:rPr>
          <w:rFonts w:asciiTheme="minorHAnsi" w:hAnsiTheme="minorHAnsi"/>
          <w:bCs/>
          <w:lang w:val="en-GB"/>
        </w:rPr>
      </w:pPr>
      <w:r>
        <w:rPr>
          <w:rFonts w:asciiTheme="minorHAnsi" w:hAnsiTheme="minorHAnsi"/>
          <w:bCs/>
          <w:lang w:val="en-GB"/>
        </w:rPr>
        <w:t>That the measure of relative treatment effect applied in the model was based on the indirect comparison which was highly uncertain given the immaturity of the RFS data in CA209238 and the transitivity issues.</w:t>
      </w:r>
    </w:p>
    <w:p w:rsidR="00CF3FB0" w:rsidRPr="00DF275C" w:rsidRDefault="00F33548" w:rsidP="000B6DBA">
      <w:pPr>
        <w:numPr>
          <w:ilvl w:val="1"/>
          <w:numId w:val="8"/>
        </w:numPr>
        <w:spacing w:after="120"/>
        <w:ind w:left="1077" w:hanging="357"/>
        <w:rPr>
          <w:rFonts w:asciiTheme="minorHAnsi" w:hAnsiTheme="minorHAnsi"/>
          <w:bCs/>
          <w:lang w:val="en-GB"/>
        </w:rPr>
      </w:pPr>
      <w:r w:rsidRPr="00DF275C">
        <w:rPr>
          <w:rFonts w:asciiTheme="minorHAnsi" w:hAnsiTheme="minorHAnsi"/>
          <w:bCs/>
          <w:lang w:val="en-GB"/>
        </w:rPr>
        <w:t xml:space="preserve">The application of static costs and utilities to each health state which would not accurately reflect the outcome of patients </w:t>
      </w:r>
      <w:r w:rsidR="00DF275C" w:rsidRPr="00DF275C">
        <w:rPr>
          <w:rFonts w:asciiTheme="minorHAnsi" w:hAnsiTheme="minorHAnsi"/>
          <w:bCs/>
          <w:lang w:val="en-GB"/>
        </w:rPr>
        <w:t>treated</w:t>
      </w:r>
      <w:r w:rsidRPr="00DF275C">
        <w:rPr>
          <w:rFonts w:asciiTheme="minorHAnsi" w:hAnsiTheme="minorHAnsi"/>
          <w:bCs/>
          <w:lang w:val="en-GB"/>
        </w:rPr>
        <w:t xml:space="preserve"> in the adjuvant setting over the time horizon of </w:t>
      </w:r>
      <w:r w:rsidR="00DF275C" w:rsidRPr="00DF275C">
        <w:rPr>
          <w:rFonts w:asciiTheme="minorHAnsi" w:hAnsiTheme="minorHAnsi"/>
          <w:bCs/>
          <w:lang w:val="en-GB"/>
        </w:rPr>
        <w:t>the model (</w:t>
      </w:r>
      <w:r w:rsidR="00606797">
        <w:rPr>
          <w:rFonts w:asciiTheme="minorHAnsi" w:hAnsiTheme="minorHAnsi"/>
          <w:bCs/>
          <w:noProof/>
          <w:color w:val="000000"/>
          <w:highlight w:val="black"/>
          <w:lang w:val="en-GB"/>
        </w:rPr>
        <w:t>'''''</w:t>
      </w:r>
      <w:r w:rsidRPr="00DF275C">
        <w:rPr>
          <w:rFonts w:asciiTheme="minorHAnsi" w:hAnsiTheme="minorHAnsi"/>
          <w:bCs/>
          <w:lang w:val="en-GB"/>
        </w:rPr>
        <w:t xml:space="preserve"> years</w:t>
      </w:r>
      <w:r w:rsidR="00DF275C" w:rsidRPr="00DF275C">
        <w:rPr>
          <w:rFonts w:asciiTheme="minorHAnsi" w:hAnsiTheme="minorHAnsi"/>
          <w:bCs/>
          <w:lang w:val="en-GB"/>
        </w:rPr>
        <w:t xml:space="preserve">) as recurrence after adjuvant treatment could include a heterogeneous population (e.g. recurrence with local versus distant metastases) with different final health outcomes and it is unlikely that costs and utilities would remain static over the </w:t>
      </w:r>
      <w:r w:rsidR="00606797">
        <w:rPr>
          <w:rFonts w:asciiTheme="minorHAnsi" w:hAnsiTheme="minorHAnsi"/>
          <w:bCs/>
          <w:noProof/>
          <w:color w:val="000000"/>
          <w:highlight w:val="black"/>
          <w:lang w:val="en-GB"/>
        </w:rPr>
        <w:t>''''''</w:t>
      </w:r>
      <w:r w:rsidR="00DF275C" w:rsidRPr="00DF275C">
        <w:rPr>
          <w:rFonts w:asciiTheme="minorHAnsi" w:hAnsiTheme="minorHAnsi"/>
          <w:bCs/>
          <w:lang w:val="en-GB"/>
        </w:rPr>
        <w:t xml:space="preserve"> year horizon. </w:t>
      </w:r>
    </w:p>
    <w:p w:rsidR="00DF275C" w:rsidRDefault="00DF275C" w:rsidP="000B6DBA">
      <w:pPr>
        <w:numPr>
          <w:ilvl w:val="1"/>
          <w:numId w:val="8"/>
        </w:numPr>
        <w:spacing w:after="120"/>
        <w:ind w:left="1077" w:hanging="357"/>
        <w:rPr>
          <w:rFonts w:asciiTheme="minorHAnsi" w:hAnsiTheme="minorHAnsi"/>
          <w:bCs/>
          <w:lang w:val="en-GB"/>
        </w:rPr>
      </w:pPr>
      <w:r>
        <w:rPr>
          <w:rFonts w:asciiTheme="minorHAnsi" w:hAnsiTheme="minorHAnsi"/>
          <w:bCs/>
          <w:lang w:val="en-GB"/>
        </w:rPr>
        <w:lastRenderedPageBreak/>
        <w:t>The population in the model which was based on CA184029 (mean age of 51 years, Stage III patients only) was not applicable to the proposed patient population (mean age at diagnosis of 63 years, Stage III and Stage IV patients).</w:t>
      </w:r>
    </w:p>
    <w:p w:rsidR="005F3434" w:rsidRDefault="005F3434" w:rsidP="000B6DBA">
      <w:pPr>
        <w:numPr>
          <w:ilvl w:val="1"/>
          <w:numId w:val="8"/>
        </w:numPr>
        <w:spacing w:after="120"/>
        <w:ind w:left="1077" w:hanging="357"/>
        <w:rPr>
          <w:rFonts w:asciiTheme="minorHAnsi" w:hAnsiTheme="minorHAnsi"/>
          <w:bCs/>
          <w:lang w:val="en-GB"/>
        </w:rPr>
      </w:pPr>
      <w:r>
        <w:rPr>
          <w:rFonts w:asciiTheme="minorHAnsi" w:hAnsiTheme="minorHAnsi"/>
          <w:bCs/>
          <w:lang w:val="en-GB"/>
        </w:rPr>
        <w:t xml:space="preserve">The issues noted by ESC as outlined in paragraphs 6.44 to 6.47 above. </w:t>
      </w:r>
    </w:p>
    <w:p w:rsidR="00551048" w:rsidRPr="00525B39" w:rsidRDefault="00DF275C" w:rsidP="00DF275C">
      <w:pPr>
        <w:spacing w:after="120"/>
        <w:ind w:left="720"/>
        <w:rPr>
          <w:rFonts w:asciiTheme="minorHAnsi" w:hAnsiTheme="minorHAnsi"/>
          <w:bCs/>
          <w:lang w:val="en-GB"/>
        </w:rPr>
      </w:pPr>
      <w:r>
        <w:rPr>
          <w:rFonts w:asciiTheme="minorHAnsi" w:hAnsiTheme="minorHAnsi"/>
          <w:bCs/>
          <w:lang w:val="en-GB"/>
        </w:rPr>
        <w:t>Overall, these issues left the PBAC with considerable uncertainty as to the reliability of the cost-effectiveness of nivolumab adjuvant therapy.</w:t>
      </w:r>
    </w:p>
    <w:p w:rsidR="00A858A5" w:rsidRDefault="00A858A5" w:rsidP="000B6DBA">
      <w:pPr>
        <w:numPr>
          <w:ilvl w:val="1"/>
          <w:numId w:val="1"/>
        </w:numPr>
        <w:spacing w:after="120"/>
        <w:rPr>
          <w:rFonts w:asciiTheme="minorHAnsi" w:hAnsiTheme="minorHAnsi"/>
          <w:bCs/>
          <w:lang w:val="en-GB"/>
        </w:rPr>
      </w:pPr>
      <w:r>
        <w:rPr>
          <w:rFonts w:asciiTheme="minorHAnsi" w:hAnsiTheme="minorHAnsi"/>
          <w:bCs/>
          <w:lang w:val="en-GB"/>
        </w:rPr>
        <w:t xml:space="preserve">The PBAC considered that </w:t>
      </w:r>
      <w:r w:rsidR="001F3C47">
        <w:rPr>
          <w:rFonts w:asciiTheme="minorHAnsi" w:hAnsiTheme="minorHAnsi"/>
          <w:bCs/>
          <w:lang w:val="en-GB"/>
        </w:rPr>
        <w:t xml:space="preserve">although </w:t>
      </w:r>
      <w:r>
        <w:rPr>
          <w:rFonts w:asciiTheme="minorHAnsi" w:hAnsiTheme="minorHAnsi"/>
          <w:bCs/>
          <w:lang w:val="en-GB"/>
        </w:rPr>
        <w:t>the financi</w:t>
      </w:r>
      <w:r w:rsidR="001F3C47">
        <w:rPr>
          <w:rFonts w:asciiTheme="minorHAnsi" w:hAnsiTheme="minorHAnsi"/>
          <w:bCs/>
          <w:lang w:val="en-GB"/>
        </w:rPr>
        <w:t xml:space="preserve">al estimates were uncertain, </w:t>
      </w:r>
      <w:r>
        <w:rPr>
          <w:rFonts w:asciiTheme="minorHAnsi" w:hAnsiTheme="minorHAnsi"/>
          <w:bCs/>
          <w:lang w:val="en-GB"/>
        </w:rPr>
        <w:t>the financial impact was very high (</w:t>
      </w:r>
      <w:r w:rsidR="00E03312">
        <w:rPr>
          <w:rFonts w:asciiTheme="minorHAnsi" w:hAnsiTheme="minorHAnsi"/>
          <w:bCs/>
          <w:lang w:val="en-GB"/>
        </w:rPr>
        <w:t xml:space="preserve">over </w:t>
      </w:r>
      <w:r w:rsidR="007F2EE4">
        <w:rPr>
          <w:rFonts w:asciiTheme="minorHAnsi" w:hAnsiTheme="minorHAnsi"/>
          <w:bCs/>
          <w:lang w:val="en-GB"/>
        </w:rPr>
        <w:t xml:space="preserve">the range of more than $100 </w:t>
      </w:r>
      <w:r>
        <w:rPr>
          <w:rFonts w:asciiTheme="minorHAnsi" w:hAnsiTheme="minorHAnsi"/>
          <w:bCs/>
          <w:lang w:val="en-GB"/>
        </w:rPr>
        <w:t xml:space="preserve">per year for less than </w:t>
      </w:r>
      <w:r w:rsidR="003254E0">
        <w:rPr>
          <w:rFonts w:asciiTheme="minorHAnsi" w:hAnsiTheme="minorHAnsi"/>
          <w:bCs/>
          <w:lang w:val="en-GB"/>
        </w:rPr>
        <w:t xml:space="preserve">10,000 </w:t>
      </w:r>
      <w:r>
        <w:rPr>
          <w:rFonts w:asciiTheme="minorHAnsi" w:hAnsiTheme="minorHAnsi"/>
          <w:bCs/>
          <w:lang w:val="en-GB"/>
        </w:rPr>
        <w:t>patients per year</w:t>
      </w:r>
      <w:r w:rsidR="001F3C47">
        <w:rPr>
          <w:rFonts w:asciiTheme="minorHAnsi" w:hAnsiTheme="minorHAnsi"/>
          <w:bCs/>
          <w:lang w:val="en-GB"/>
        </w:rPr>
        <w:t>)</w:t>
      </w:r>
      <w:r>
        <w:rPr>
          <w:rFonts w:asciiTheme="minorHAnsi" w:hAnsiTheme="minorHAnsi"/>
          <w:bCs/>
          <w:lang w:val="en-GB"/>
        </w:rPr>
        <w:t xml:space="preserve">. This was particularly concerning in the context of the uncertain estimate of cost-effectiveness. </w:t>
      </w:r>
    </w:p>
    <w:p w:rsidR="000979E7" w:rsidRPr="00F11A53" w:rsidRDefault="00DA44C9" w:rsidP="000B6DBA">
      <w:pPr>
        <w:numPr>
          <w:ilvl w:val="1"/>
          <w:numId w:val="1"/>
        </w:numPr>
        <w:spacing w:after="120"/>
        <w:rPr>
          <w:rFonts w:asciiTheme="minorHAnsi" w:hAnsiTheme="minorHAnsi"/>
          <w:bCs/>
          <w:lang w:val="en-GB"/>
        </w:rPr>
      </w:pPr>
      <w:r w:rsidRPr="00F11A53">
        <w:rPr>
          <w:rFonts w:asciiTheme="minorHAnsi" w:hAnsiTheme="minorHAnsi"/>
          <w:bCs/>
          <w:lang w:val="en-GB"/>
        </w:rPr>
        <w:t xml:space="preserve">The PBAC noted that no clinical evidence was presented for patients with mucosal or ocular melanoma, patients who had received prior anti-cancer treatment, other than surgery, for melanoma, or patients with an Eastern Cooperative Oncology Group (ECOG) performance status of greater than 1. The PBAC recommended that any future </w:t>
      </w:r>
      <w:r w:rsidR="000979E7" w:rsidRPr="00F11A53">
        <w:rPr>
          <w:rFonts w:asciiTheme="minorHAnsi" w:hAnsiTheme="minorHAnsi"/>
          <w:bCs/>
          <w:lang w:val="en-GB"/>
        </w:rPr>
        <w:t xml:space="preserve">proposed </w:t>
      </w:r>
      <w:r w:rsidRPr="00F11A53">
        <w:rPr>
          <w:rFonts w:asciiTheme="minorHAnsi" w:hAnsiTheme="minorHAnsi"/>
          <w:bCs/>
          <w:lang w:val="en-GB"/>
        </w:rPr>
        <w:t xml:space="preserve">PBS listing be </w:t>
      </w:r>
      <w:r w:rsidR="000979E7" w:rsidRPr="00F11A53">
        <w:rPr>
          <w:rFonts w:asciiTheme="minorHAnsi" w:hAnsiTheme="minorHAnsi"/>
          <w:bCs/>
          <w:lang w:val="en-GB"/>
        </w:rPr>
        <w:t xml:space="preserve">amended to </w:t>
      </w:r>
      <w:r w:rsidR="00F11A53" w:rsidRPr="00F11A53">
        <w:rPr>
          <w:rFonts w:asciiTheme="minorHAnsi" w:hAnsiTheme="minorHAnsi"/>
          <w:bCs/>
          <w:lang w:val="en-GB"/>
        </w:rPr>
        <w:t>reflect these limitations in clinical evidence</w:t>
      </w:r>
      <w:r w:rsidR="000979E7" w:rsidRPr="00F11A53">
        <w:rPr>
          <w:rFonts w:asciiTheme="minorHAnsi" w:hAnsiTheme="minorHAnsi"/>
          <w:bCs/>
          <w:lang w:val="en-GB"/>
        </w:rPr>
        <w:t>.</w:t>
      </w:r>
    </w:p>
    <w:p w:rsidR="00DA44C9" w:rsidRPr="00F11A53" w:rsidRDefault="000979E7" w:rsidP="000B6DBA">
      <w:pPr>
        <w:numPr>
          <w:ilvl w:val="1"/>
          <w:numId w:val="1"/>
        </w:numPr>
        <w:spacing w:after="120"/>
        <w:rPr>
          <w:rFonts w:asciiTheme="minorHAnsi" w:hAnsiTheme="minorHAnsi"/>
          <w:bCs/>
          <w:lang w:val="en-GB"/>
        </w:rPr>
      </w:pPr>
      <w:r w:rsidRPr="00F11A53">
        <w:rPr>
          <w:rFonts w:asciiTheme="minorHAnsi" w:hAnsiTheme="minorHAnsi"/>
          <w:bCs/>
          <w:lang w:val="en-GB"/>
        </w:rPr>
        <w:t xml:space="preserve">The PBAC recommended that any future submissions be made </w:t>
      </w:r>
      <w:r w:rsidR="008C4C55" w:rsidRPr="00F11A53">
        <w:rPr>
          <w:rFonts w:asciiTheme="minorHAnsi" w:hAnsiTheme="minorHAnsi"/>
          <w:bCs/>
          <w:lang w:val="en-GB"/>
        </w:rPr>
        <w:t xml:space="preserve">as </w:t>
      </w:r>
      <w:r w:rsidRPr="00F11A53">
        <w:rPr>
          <w:rFonts w:asciiTheme="minorHAnsi" w:hAnsiTheme="minorHAnsi"/>
          <w:bCs/>
          <w:lang w:val="en-GB"/>
        </w:rPr>
        <w:t>Section 100 – Efficient Funding of Chemotherapy</w:t>
      </w:r>
      <w:r w:rsidR="00DA44C9" w:rsidRPr="00F11A53">
        <w:rPr>
          <w:rFonts w:asciiTheme="minorHAnsi" w:hAnsiTheme="minorHAnsi"/>
          <w:bCs/>
          <w:lang w:val="en-GB"/>
        </w:rPr>
        <w:t xml:space="preserve"> </w:t>
      </w:r>
      <w:r w:rsidR="008C4C55" w:rsidRPr="00F11A53">
        <w:rPr>
          <w:rFonts w:asciiTheme="minorHAnsi" w:hAnsiTheme="minorHAnsi"/>
          <w:bCs/>
          <w:lang w:val="en-GB"/>
        </w:rPr>
        <w:t>program.</w:t>
      </w:r>
    </w:p>
    <w:p w:rsidR="00E03312" w:rsidRDefault="00E03312" w:rsidP="000B6DBA">
      <w:pPr>
        <w:numPr>
          <w:ilvl w:val="1"/>
          <w:numId w:val="1"/>
        </w:numPr>
        <w:spacing w:after="120"/>
        <w:rPr>
          <w:rFonts w:asciiTheme="minorHAnsi" w:hAnsiTheme="minorHAnsi"/>
          <w:bCs/>
          <w:lang w:val="en-GB"/>
        </w:rPr>
      </w:pPr>
      <w:r>
        <w:rPr>
          <w:rFonts w:asciiTheme="minorHAnsi" w:hAnsiTheme="minorHAnsi"/>
          <w:bCs/>
          <w:lang w:val="en-GB"/>
        </w:rPr>
        <w:t>The PBAC considered that any future resubmission should be a major submission to allow for evaluation of updated overall survival data, economic modelling and financial impact.</w:t>
      </w:r>
    </w:p>
    <w:p w:rsidR="00E03312" w:rsidRDefault="00E03312" w:rsidP="000B6DBA">
      <w:pPr>
        <w:numPr>
          <w:ilvl w:val="1"/>
          <w:numId w:val="1"/>
        </w:numPr>
        <w:spacing w:after="120"/>
        <w:rPr>
          <w:rFonts w:asciiTheme="minorHAnsi" w:hAnsiTheme="minorHAnsi"/>
          <w:bCs/>
          <w:lang w:val="en-GB"/>
        </w:rPr>
      </w:pPr>
      <w:r>
        <w:rPr>
          <w:rFonts w:asciiTheme="minorHAnsi" w:hAnsiTheme="minorHAnsi"/>
          <w:bCs/>
          <w:lang w:val="en-GB"/>
        </w:rPr>
        <w:t>The PBAC noted that this submission is eligible for an Independent Review.</w:t>
      </w:r>
    </w:p>
    <w:p w:rsidR="00551048" w:rsidRPr="00525B39" w:rsidRDefault="00551048" w:rsidP="00551048">
      <w:pPr>
        <w:spacing w:before="240"/>
        <w:rPr>
          <w:rFonts w:asciiTheme="minorHAnsi" w:hAnsiTheme="minorHAnsi"/>
          <w:b/>
          <w:bCs/>
          <w:lang w:val="en-GB"/>
        </w:rPr>
      </w:pPr>
      <w:r w:rsidRPr="00525B39">
        <w:rPr>
          <w:rFonts w:asciiTheme="minorHAnsi" w:hAnsiTheme="minorHAnsi"/>
          <w:b/>
          <w:bCs/>
          <w:lang w:val="en-GB"/>
        </w:rPr>
        <w:t>Outcome:</w:t>
      </w:r>
    </w:p>
    <w:p w:rsidR="00551048" w:rsidRPr="009F1345" w:rsidRDefault="00551048" w:rsidP="00551048">
      <w:pPr>
        <w:rPr>
          <w:rFonts w:asciiTheme="minorHAnsi" w:hAnsiTheme="minorHAnsi"/>
          <w:bCs/>
          <w:lang w:val="en-GB"/>
        </w:rPr>
      </w:pPr>
      <w:r w:rsidRPr="00525B39">
        <w:rPr>
          <w:rFonts w:asciiTheme="minorHAnsi" w:hAnsiTheme="minorHAnsi"/>
          <w:bCs/>
          <w:lang w:val="en-GB"/>
        </w:rPr>
        <w:t xml:space="preserve">Rejected </w:t>
      </w:r>
    </w:p>
    <w:p w:rsidR="000B6DBA" w:rsidRPr="00C07617" w:rsidRDefault="000B6DBA" w:rsidP="009F1345">
      <w:pPr>
        <w:pStyle w:val="PBACHeading1"/>
        <w:spacing w:before="240" w:after="120"/>
        <w:outlineLvl w:val="0"/>
        <w:rPr>
          <w:rFonts w:asciiTheme="minorHAnsi" w:hAnsiTheme="minorHAnsi"/>
          <w:b w:val="0"/>
        </w:rPr>
      </w:pPr>
      <w:r w:rsidRPr="00C07617">
        <w:rPr>
          <w:rFonts w:asciiTheme="minorHAnsi" w:hAnsiTheme="minorHAnsi"/>
        </w:rPr>
        <w:t>Context for Decision</w:t>
      </w:r>
    </w:p>
    <w:p w:rsidR="000B6DBA" w:rsidRPr="009F1345" w:rsidRDefault="000B6DBA" w:rsidP="009F1345">
      <w:pPr>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B6DBA" w:rsidRPr="003B2534" w:rsidRDefault="000B6DBA" w:rsidP="009F1345">
      <w:pPr>
        <w:pStyle w:val="PBACHeading1"/>
        <w:spacing w:before="240" w:after="120"/>
        <w:outlineLvl w:val="0"/>
      </w:pPr>
      <w:r w:rsidRPr="0011288D">
        <w:t>Sponsor’s Comment</w:t>
      </w:r>
    </w:p>
    <w:p w:rsidR="00551048" w:rsidRPr="00BF5F79" w:rsidRDefault="000B6DBA" w:rsidP="00BF5F79">
      <w:pPr>
        <w:spacing w:after="120"/>
        <w:ind w:left="709"/>
        <w:rPr>
          <w:rFonts w:asciiTheme="minorHAnsi" w:hAnsiTheme="minorHAnsi"/>
          <w:bCs/>
        </w:rPr>
      </w:pPr>
      <w:r w:rsidRPr="00C07617">
        <w:rPr>
          <w:rFonts w:asciiTheme="minorHAnsi" w:hAnsiTheme="minorHAnsi"/>
          <w:bCs/>
        </w:rPr>
        <w:t>The sponsor had no comment.</w:t>
      </w:r>
    </w:p>
    <w:sectPr w:rsidR="00551048" w:rsidRPr="00BF5F79" w:rsidSect="005D161C">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9C527A" w15:done="0"/>
  <w15:commentEx w15:paraId="23FC83FD" w15:paraIdParent="579C527A" w15:done="0"/>
  <w15:commentEx w15:paraId="719E54C9" w15:done="0"/>
  <w15:commentEx w15:paraId="622795E2" w15:paraIdParent="719E54C9" w15:done="0"/>
  <w15:commentEx w15:paraId="23ADEA7A" w15:done="0"/>
  <w15:commentEx w15:paraId="620908F5" w15:paraIdParent="23ADEA7A" w15:done="0"/>
  <w15:commentEx w15:paraId="737CD2F8" w15:done="0"/>
  <w15:commentEx w15:paraId="1404021C" w15:done="0"/>
  <w15:commentEx w15:paraId="7980F1B8" w15:done="0"/>
  <w15:commentEx w15:paraId="1872E287" w15:done="0"/>
  <w15:commentEx w15:paraId="797E7102" w15:done="0"/>
  <w15:commentEx w15:paraId="7BA4D217" w15:paraIdParent="797E7102" w15:done="0"/>
  <w15:commentEx w15:paraId="3DC509E0" w15:done="0"/>
  <w15:commentEx w15:paraId="209178A1" w15:done="0"/>
  <w15:commentEx w15:paraId="5E4AF25D" w15:done="0"/>
  <w15:commentEx w15:paraId="3DDBCB7E" w15:paraIdParent="5E4AF25D" w15:done="0"/>
  <w15:commentEx w15:paraId="6208C506" w15:done="0"/>
  <w15:commentEx w15:paraId="54E5CE9E" w15:paraIdParent="6208C506" w15:done="0"/>
  <w15:commentEx w15:paraId="463891CE" w15:done="0"/>
  <w15:commentEx w15:paraId="5DA00ADE" w15:paraIdParent="463891CE" w15:done="0"/>
  <w15:commentEx w15:paraId="45722893" w15:done="0"/>
  <w15:commentEx w15:paraId="0156F81B" w15:paraIdParent="45722893" w15:done="0"/>
  <w15:commentEx w15:paraId="3E4DA2D0" w15:done="0"/>
  <w15:commentEx w15:paraId="0F83293D" w15:paraIdParent="3E4DA2D0" w15:done="0"/>
  <w15:commentEx w15:paraId="7F956A0B" w15:done="0"/>
  <w15:commentEx w15:paraId="1EB1B773" w15:done="0"/>
  <w15:commentEx w15:paraId="55BB6549" w15:paraIdParent="1EB1B773" w15:done="0"/>
  <w15:commentEx w15:paraId="4B9EBA99" w15:done="0"/>
  <w15:commentEx w15:paraId="5ACD8EF0" w15:paraIdParent="4B9EBA99" w15:done="0"/>
  <w15:commentEx w15:paraId="07EA596F" w15:done="0"/>
  <w15:commentEx w15:paraId="0AB6D184" w15:done="0"/>
  <w15:commentEx w15:paraId="141C2DAA" w15:paraIdParent="0AB6D184" w15:done="0"/>
  <w15:commentEx w15:paraId="600F4B19" w15:done="0"/>
  <w15:commentEx w15:paraId="2FB7F5AF" w15:done="0"/>
  <w15:commentEx w15:paraId="3F5910AB" w15:paraIdParent="2FB7F5AF" w15:done="0"/>
  <w15:commentEx w15:paraId="56E13EA5" w15:done="0"/>
  <w15:commentEx w15:paraId="1A2D2792" w15:paraIdParent="56E13EA5" w15:done="0"/>
  <w15:commentEx w15:paraId="13E4A1D2" w15:done="0"/>
  <w15:commentEx w15:paraId="1AFF2933" w15:paraIdParent="13E4A1D2" w15:done="0"/>
  <w15:commentEx w15:paraId="49DC4CAA" w15:done="0"/>
  <w15:commentEx w15:paraId="2375E602" w15:done="0"/>
  <w15:commentEx w15:paraId="3BA21784" w15:paraIdParent="2375E602" w15:done="0"/>
  <w15:commentEx w15:paraId="37B20362" w15:done="0"/>
  <w15:commentEx w15:paraId="49C65448" w15:done="0"/>
  <w15:commentEx w15:paraId="2AC53F4D" w15:paraIdParent="49C65448" w15:done="0"/>
  <w15:commentEx w15:paraId="72043AEC" w15:done="0"/>
  <w15:commentEx w15:paraId="54F287E0" w15:paraIdParent="72043AEC" w15:done="0"/>
  <w15:commentEx w15:paraId="37058647" w15:done="0"/>
  <w15:commentEx w15:paraId="28DC9FC6" w15:paraIdParent="37058647" w15:done="0"/>
  <w15:commentEx w15:paraId="32EA2D0C" w15:done="0"/>
  <w15:commentEx w15:paraId="5CCEEF16" w15:paraIdParent="32EA2D0C" w15:done="0"/>
  <w15:commentEx w15:paraId="09B71502" w15:done="0"/>
  <w15:commentEx w15:paraId="4FADA46C" w15:paraIdParent="09B71502" w15:done="0"/>
  <w15:commentEx w15:paraId="5389B400" w15:done="0"/>
  <w15:commentEx w15:paraId="64CB4C00" w15:paraIdParent="5389B400" w15:done="0"/>
  <w15:commentEx w15:paraId="5800B295" w15:done="0"/>
  <w15:commentEx w15:paraId="00CF00FA" w15:paraIdParent="5800B295" w15:done="0"/>
  <w15:commentEx w15:paraId="614ADC8B" w15:done="0"/>
  <w15:commentEx w15:paraId="3396AC77" w15:paraIdParent="614ADC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797" w:rsidRDefault="00606797" w:rsidP="00124A51">
      <w:r>
        <w:separator/>
      </w:r>
    </w:p>
    <w:p w:rsidR="00606797" w:rsidRDefault="00606797"/>
  </w:endnote>
  <w:endnote w:type="continuationSeparator" w:id="0">
    <w:p w:rsidR="00606797" w:rsidRDefault="00606797" w:rsidP="00124A51">
      <w:r>
        <w:continuationSeparator/>
      </w:r>
    </w:p>
    <w:p w:rsidR="00606797" w:rsidRDefault="00606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97" w:rsidRDefault="006067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3D" w:rsidRPr="00027164" w:rsidRDefault="0030553D" w:rsidP="00015886">
    <w:pPr>
      <w:ind w:right="360"/>
      <w:jc w:val="center"/>
      <w:rPr>
        <w:b/>
        <w:sz w:val="20"/>
        <w:szCs w:val="20"/>
      </w:rPr>
    </w:pPr>
    <w:r w:rsidRPr="00027164">
      <w:rPr>
        <w:b/>
        <w:sz w:val="20"/>
        <w:szCs w:val="20"/>
      </w:rPr>
      <w:fldChar w:fldCharType="begin"/>
    </w:r>
    <w:r w:rsidRPr="00027164">
      <w:rPr>
        <w:b/>
        <w:sz w:val="20"/>
        <w:szCs w:val="20"/>
      </w:rPr>
      <w:instrText xml:space="preserve"> PAGE   \* MERGEFORMAT </w:instrText>
    </w:r>
    <w:r w:rsidRPr="00027164">
      <w:rPr>
        <w:b/>
        <w:sz w:val="20"/>
        <w:szCs w:val="20"/>
      </w:rPr>
      <w:fldChar w:fldCharType="separate"/>
    </w:r>
    <w:r w:rsidR="009F1345">
      <w:rPr>
        <w:b/>
        <w:noProof/>
        <w:sz w:val="20"/>
        <w:szCs w:val="20"/>
      </w:rPr>
      <w:t>31</w:t>
    </w:r>
    <w:r w:rsidRPr="00027164">
      <w:rPr>
        <w:b/>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97" w:rsidRDefault="00606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797" w:rsidRDefault="00606797" w:rsidP="00124A51">
      <w:r>
        <w:separator/>
      </w:r>
    </w:p>
    <w:p w:rsidR="00606797" w:rsidRDefault="00606797"/>
  </w:footnote>
  <w:footnote w:type="continuationSeparator" w:id="0">
    <w:p w:rsidR="00606797" w:rsidRDefault="00606797" w:rsidP="00124A51">
      <w:r>
        <w:continuationSeparator/>
      </w:r>
    </w:p>
    <w:p w:rsidR="00606797" w:rsidRDefault="00606797"/>
  </w:footnote>
  <w:footnote w:id="1">
    <w:p w:rsidR="0030553D" w:rsidRDefault="0030553D">
      <w:pPr>
        <w:pStyle w:val="FootnoteText"/>
      </w:pPr>
      <w:r>
        <w:rPr>
          <w:rStyle w:val="FootnoteReference"/>
        </w:rPr>
        <w:footnoteRef/>
      </w:r>
      <w:r>
        <w:t xml:space="preserve"> The American Joint Committee on Cancer (AJCC) Cancer Staging Manual defines the accepted guidelines for the tumour, node, metastasis (TMN) staging system for melanoma, which relies upon assessments of the primary tumour (T) in terms of tumour thickness and the presence/absence of ulceration, the extent of spread to regional lymph nodes (N), and the presence of distant metastases (M). The information from TNM staging is combined to classify patients into AJCC prognostic stage groups.</w:t>
      </w:r>
    </w:p>
  </w:footnote>
  <w:footnote w:id="2">
    <w:p w:rsidR="0030553D" w:rsidRDefault="0030553D">
      <w:pPr>
        <w:pStyle w:val="FootnoteText"/>
      </w:pPr>
      <w:r>
        <w:rPr>
          <w:rStyle w:val="FootnoteReference"/>
        </w:rPr>
        <w:footnoteRef/>
      </w:r>
      <w:r>
        <w:t xml:space="preserve"> </w:t>
      </w:r>
      <w:proofErr w:type="spellStart"/>
      <w:r w:rsidRPr="005502FE">
        <w:t>Gershenwald</w:t>
      </w:r>
      <w:proofErr w:type="spellEnd"/>
      <w:r w:rsidRPr="005502FE">
        <w:t xml:space="preserve"> JE, </w:t>
      </w:r>
      <w:proofErr w:type="spellStart"/>
      <w:r w:rsidRPr="005502FE">
        <w:t>Scolyer</w:t>
      </w:r>
      <w:proofErr w:type="spellEnd"/>
      <w:r w:rsidRPr="005502FE">
        <w:t xml:space="preserve"> RA, Hess KR, </w:t>
      </w:r>
      <w:proofErr w:type="spellStart"/>
      <w:r w:rsidRPr="005502FE">
        <w:t>Sondak</w:t>
      </w:r>
      <w:proofErr w:type="spellEnd"/>
      <w:r w:rsidRPr="005502FE">
        <w:t xml:space="preserve"> VK, Long GV, Ross MI, et al. Melanoma staging: Evidence-based changes in the American Joint Committee on Cancer eighth edition cancer staging manual. CA: A Cancer Journal for Clinicians. 2017;</w:t>
      </w:r>
      <w:r>
        <w:t xml:space="preserve"> </w:t>
      </w:r>
      <w:r w:rsidRPr="005502FE">
        <w:t>67(6):472-92.</w:t>
      </w:r>
      <w:r>
        <w:t xml:space="preserve"> </w:t>
      </w:r>
    </w:p>
  </w:footnote>
  <w:footnote w:id="3">
    <w:p w:rsidR="0030553D" w:rsidRDefault="0030553D">
      <w:pPr>
        <w:pStyle w:val="FootnoteText"/>
      </w:pPr>
      <w:r>
        <w:rPr>
          <w:rStyle w:val="FootnoteReference"/>
        </w:rPr>
        <w:footnoteRef/>
      </w:r>
      <w:r>
        <w:t xml:space="preserve"> Note: both the 6th and 7th editions of the AJCC Cancer Staging Manual, which were used in the clinical trials presented in the submission, only included three Stage III subgroups (Stages III A-C). </w:t>
      </w:r>
    </w:p>
  </w:footnote>
  <w:footnote w:id="4">
    <w:p w:rsidR="0030553D" w:rsidRDefault="0030553D">
      <w:pPr>
        <w:pStyle w:val="FootnoteText"/>
      </w:pPr>
      <w:r>
        <w:rPr>
          <w:rStyle w:val="FootnoteReference"/>
        </w:rPr>
        <w:footnoteRef/>
      </w:r>
      <w:r w:rsidRPr="00755DC8">
        <w:rPr>
          <w:lang w:val="fr-FR"/>
        </w:rPr>
        <w:t xml:space="preserve"> </w:t>
      </w:r>
      <w:r w:rsidRPr="00755DC8">
        <w:rPr>
          <w:noProof/>
          <w:lang w:val="fr-FR"/>
        </w:rPr>
        <w:t>Carlino M, Atkinson V</w:t>
      </w:r>
      <w:r w:rsidRPr="00755DC8">
        <w:rPr>
          <w:i/>
          <w:noProof/>
          <w:lang w:val="fr-FR"/>
        </w:rPr>
        <w:t>, et al.</w:t>
      </w:r>
      <w:r w:rsidRPr="00755DC8">
        <w:rPr>
          <w:noProof/>
          <w:lang w:val="fr-FR"/>
        </w:rPr>
        <w:t xml:space="preserve"> </w:t>
      </w:r>
      <w:r w:rsidRPr="005634CF">
        <w:rPr>
          <w:noProof/>
        </w:rPr>
        <w:t>What  is the role of adjuv</w:t>
      </w:r>
      <w:r>
        <w:rPr>
          <w:noProof/>
        </w:rPr>
        <w:t>a</w:t>
      </w:r>
      <w:r w:rsidRPr="005634CF">
        <w:rPr>
          <w:noProof/>
        </w:rPr>
        <w:t xml:space="preserve">nt systemic therapy in patients with resected stage II/III melanoma? (Draft) Sydney: Cancer Council Australia; 2018 [updated 16 March 2018; cited 20 March ]. Available from: </w:t>
      </w:r>
      <w:hyperlink r:id="rId1" w:history="1">
        <w:r w:rsidRPr="005634CF">
          <w:rPr>
            <w:rStyle w:val="Hyperlink"/>
            <w:noProof/>
          </w:rPr>
          <w:t>https://wiki.cancer.org.au/australia/Clinical_question:What_is_the_role_of_adjuvant_systemic_therapy_in_patients_with_resected_melanoma%3F</w:t>
        </w:r>
      </w:hyperlink>
      <w:r w:rsidRPr="005634CF">
        <w:rPr>
          <w:noProof/>
        </w:rPr>
        <w:t>.</w:t>
      </w:r>
      <w:r>
        <w:rPr>
          <w:noProof/>
        </w:rPr>
        <w:t xml:space="preserve"> </w:t>
      </w:r>
      <w:r w:rsidRPr="009837EF">
        <w:rPr>
          <w:i/>
          <w:noProof/>
        </w:rPr>
        <w:t>This site was accessed on 20 March 2018. The draft guidelines are no longer accessible as the consultation period has concluded.</w:t>
      </w:r>
    </w:p>
  </w:footnote>
  <w:footnote w:id="5">
    <w:p w:rsidR="0030553D" w:rsidRDefault="0030553D" w:rsidP="00481AF1">
      <w:r w:rsidRPr="00481AF1">
        <w:rPr>
          <w:rStyle w:val="FootnoteReference"/>
          <w:sz w:val="18"/>
          <w:szCs w:val="18"/>
          <w:vertAlign w:val="baseline"/>
        </w:rPr>
        <w:footnoteRef/>
      </w:r>
      <w:r>
        <w:rPr>
          <w:rFonts w:asciiTheme="minorHAnsi" w:hAnsiTheme="minorHAnsi"/>
          <w:bCs/>
          <w:sz w:val="18"/>
          <w:szCs w:val="18"/>
        </w:rPr>
        <w:t xml:space="preserve"> </w:t>
      </w:r>
      <w:proofErr w:type="spellStart"/>
      <w:r w:rsidRPr="00481AF1">
        <w:rPr>
          <w:rFonts w:asciiTheme="minorHAnsi" w:hAnsiTheme="minorHAnsi"/>
          <w:bCs/>
          <w:sz w:val="18"/>
          <w:szCs w:val="18"/>
        </w:rPr>
        <w:t>Cherny</w:t>
      </w:r>
      <w:proofErr w:type="spellEnd"/>
      <w:r w:rsidRPr="00481AF1">
        <w:rPr>
          <w:rFonts w:asciiTheme="minorHAnsi" w:hAnsiTheme="minorHAnsi"/>
          <w:bCs/>
          <w:sz w:val="18"/>
          <w:szCs w:val="18"/>
        </w:rPr>
        <w:t xml:space="preserve"> NI, </w:t>
      </w:r>
      <w:r>
        <w:rPr>
          <w:rFonts w:asciiTheme="minorHAnsi" w:hAnsiTheme="minorHAnsi"/>
          <w:bCs/>
          <w:sz w:val="18"/>
          <w:szCs w:val="18"/>
        </w:rPr>
        <w:t xml:space="preserve">Sullivan R, Dafni U, et al. A standardised, generic, validated approach to stratify the magnitude of clinical benefits that can be anticipated from anti-cancer therapies: the European Society for Medical Oncology Magnitude of Clinical Benefits Scale (ESMO-MCBS). </w:t>
      </w:r>
      <w:proofErr w:type="gramStart"/>
      <w:r>
        <w:rPr>
          <w:rFonts w:asciiTheme="minorHAnsi" w:hAnsiTheme="minorHAnsi"/>
          <w:bCs/>
          <w:sz w:val="18"/>
          <w:szCs w:val="18"/>
        </w:rPr>
        <w:t>Annals of Oncology.</w:t>
      </w:r>
      <w:proofErr w:type="gramEnd"/>
      <w:r>
        <w:rPr>
          <w:rFonts w:asciiTheme="minorHAnsi" w:hAnsiTheme="minorHAnsi"/>
          <w:bCs/>
          <w:sz w:val="18"/>
          <w:szCs w:val="18"/>
        </w:rPr>
        <w:t xml:space="preserve"> 2015;26:1547-1573</w:t>
      </w:r>
    </w:p>
  </w:footnote>
  <w:footnote w:id="6">
    <w:p w:rsidR="0030553D" w:rsidRDefault="0030553D">
      <w:pPr>
        <w:pStyle w:val="FootnoteText"/>
      </w:pPr>
      <w:r>
        <w:rPr>
          <w:rStyle w:val="FootnoteReference"/>
        </w:rPr>
        <w:footnoteRef/>
      </w:r>
      <w:r>
        <w:t xml:space="preserve"> The number of prognostic Stage III groupings was increased from 3 to 4 subgroups (Stages IIIA-IIID) in the 8th edition of the AJCC Cancer Staging Manual. </w:t>
      </w:r>
    </w:p>
  </w:footnote>
  <w:footnote w:id="7">
    <w:p w:rsidR="0030553D" w:rsidRPr="00755DC8" w:rsidRDefault="0030553D" w:rsidP="00224029">
      <w:pPr>
        <w:pStyle w:val="FootnoteText"/>
        <w:rPr>
          <w:lang w:val="fr-FR"/>
        </w:rPr>
      </w:pPr>
      <w:r>
        <w:rPr>
          <w:rStyle w:val="FootnoteReference"/>
        </w:rPr>
        <w:footnoteRef/>
      </w:r>
      <w:r w:rsidRPr="00755DC8">
        <w:rPr>
          <w:lang w:val="fr-FR"/>
        </w:rPr>
        <w:t xml:space="preserve"> </w:t>
      </w:r>
      <w:proofErr w:type="gramStart"/>
      <w:r w:rsidRPr="00755DC8">
        <w:rPr>
          <w:lang w:val="fr-FR"/>
        </w:rPr>
        <w:t>Source:</w:t>
      </w:r>
      <w:proofErr w:type="gramEnd"/>
      <w:r w:rsidRPr="00755DC8">
        <w:rPr>
          <w:lang w:val="fr-FR"/>
        </w:rPr>
        <w:t xml:space="preserve"> https://clinicaltrials.gov/show/NCT03068455</w:t>
      </w:r>
    </w:p>
  </w:footnote>
  <w:footnote w:id="8">
    <w:p w:rsidR="0030553D" w:rsidRDefault="0030553D">
      <w:pPr>
        <w:pStyle w:val="FootnoteText"/>
      </w:pPr>
      <w:r>
        <w:rPr>
          <w:rStyle w:val="FootnoteReference"/>
        </w:rPr>
        <w:footnoteRef/>
      </w:r>
      <w:r>
        <w:t xml:space="preserve"> </w:t>
      </w:r>
      <w:r w:rsidRPr="00AC5BBF">
        <w:t xml:space="preserve">The final analysis of OS in CA209238 was to be performed at the end of the </w:t>
      </w:r>
      <w:r>
        <w:t>trial</w:t>
      </w:r>
      <w:r w:rsidRPr="00AC5BBF">
        <w:t xml:space="preserve">. The estimated </w:t>
      </w:r>
      <w:r>
        <w:t>trial</w:t>
      </w:r>
      <w:r w:rsidRPr="00AC5BBF">
        <w:t xml:space="preserve"> completion date was the end of November 2019</w:t>
      </w:r>
      <w:r>
        <w:t xml:space="preserve"> (</w:t>
      </w:r>
      <w:hyperlink r:id="rId2" w:history="1">
        <w:r w:rsidRPr="007A07AD">
          <w:rPr>
            <w:rStyle w:val="Hyperlink"/>
          </w:rPr>
          <w:t>www.clinicaltrials.gov</w:t>
        </w:r>
      </w:hyperlink>
      <w:r>
        <w:t xml:space="preserve"> NCT02388906)</w:t>
      </w:r>
      <w:r w:rsidRPr="00AC5BBF">
        <w:t>.</w:t>
      </w:r>
    </w:p>
  </w:footnote>
  <w:footnote w:id="9">
    <w:p w:rsidR="0030553D" w:rsidRDefault="0030553D">
      <w:pPr>
        <w:pStyle w:val="FootnoteText"/>
      </w:pPr>
      <w:r>
        <w:rPr>
          <w:rStyle w:val="FootnoteReference"/>
        </w:rPr>
        <w:footnoteRef/>
      </w:r>
      <w:r>
        <w:t xml:space="preserve"> Median follow-up for RFS was 2.7 years, and for OS was 5.3 years. The HR for OS in the intention-to-treat population in CA184029 (ipilimumab versus placebo) was 0.72 (95% CI: 0.59, 0.88)</w:t>
      </w:r>
    </w:p>
  </w:footnote>
  <w:footnote w:id="10">
    <w:p w:rsidR="0030553D" w:rsidRDefault="0030553D" w:rsidP="00C940C4">
      <w:pPr>
        <w:pStyle w:val="FootnoteText"/>
      </w:pPr>
      <w:r>
        <w:rPr>
          <w:rStyle w:val="FootnoteReference"/>
        </w:rPr>
        <w:footnoteRef/>
      </w:r>
      <w:r>
        <w:t xml:space="preserve"> </w:t>
      </w:r>
      <w:proofErr w:type="spellStart"/>
      <w:proofErr w:type="gramStart"/>
      <w:r w:rsidRPr="00CC1802">
        <w:t>Suciu</w:t>
      </w:r>
      <w:proofErr w:type="spellEnd"/>
      <w:r w:rsidRPr="00CC1802">
        <w:t xml:space="preserve"> S, </w:t>
      </w:r>
      <w:proofErr w:type="spellStart"/>
      <w:r w:rsidRPr="00CC1802">
        <w:t>Eggermont</w:t>
      </w:r>
      <w:proofErr w:type="spellEnd"/>
      <w:r w:rsidRPr="00CC1802">
        <w:t xml:space="preserve"> AMM, </w:t>
      </w:r>
      <w:proofErr w:type="spellStart"/>
      <w:r w:rsidRPr="00CC1802">
        <w:t>Lorigan</w:t>
      </w:r>
      <w:proofErr w:type="spellEnd"/>
      <w:r w:rsidRPr="00CC1802">
        <w:t xml:space="preserve"> P, Kirkwood JM, </w:t>
      </w:r>
      <w:proofErr w:type="spellStart"/>
      <w:r w:rsidRPr="00CC1802">
        <w:t>Markovic</w:t>
      </w:r>
      <w:proofErr w:type="spellEnd"/>
      <w:r w:rsidRPr="00CC1802">
        <w:t xml:space="preserve"> SN, </w:t>
      </w:r>
      <w:proofErr w:type="spellStart"/>
      <w:r w:rsidRPr="00CC1802">
        <w:t>Garbe</w:t>
      </w:r>
      <w:proofErr w:type="spellEnd"/>
      <w:r w:rsidRPr="00CC1802">
        <w:t xml:space="preserve"> C, et al. Relapse-Free Survival as a Surrogate for Overall Survival in the Evaluation of Stage II-III Melanoma Adjuvant Therapy.</w:t>
      </w:r>
      <w:proofErr w:type="gramEnd"/>
      <w:r w:rsidRPr="00CC1802">
        <w:t xml:space="preserve"> </w:t>
      </w:r>
      <w:proofErr w:type="gramStart"/>
      <w:r w:rsidRPr="00CC1802">
        <w:t>Journal of the National Cancer Institute.</w:t>
      </w:r>
      <w:proofErr w:type="gramEnd"/>
      <w:r w:rsidRPr="00CC1802">
        <w:t xml:space="preserve"> 2018</w:t>
      </w:r>
      <w:proofErr w:type="gramStart"/>
      <w:r w:rsidRPr="00CC1802">
        <w:t>;110</w:t>
      </w:r>
      <w:proofErr w:type="gramEnd"/>
      <w:r w:rsidRPr="00CC1802">
        <w:t>(1):87-96.</w:t>
      </w:r>
    </w:p>
  </w:footnote>
  <w:footnote w:id="11">
    <w:p w:rsidR="0030553D" w:rsidRDefault="0030553D" w:rsidP="00C940C4">
      <w:pPr>
        <w:pStyle w:val="FootnoteText"/>
      </w:pPr>
      <w:r>
        <w:rPr>
          <w:rStyle w:val="FootnoteReference"/>
        </w:rPr>
        <w:footnoteRef/>
      </w:r>
      <w:r>
        <w:t xml:space="preserve"> In contrast to the trials included in the derivation of the regression model, which included patients with resected grade II-III disease cutaneous melanoma, CA209238 included patients with Grade IV disease and with other subtypes of melanoma (e.g. mucosal and </w:t>
      </w:r>
      <w:proofErr w:type="spellStart"/>
      <w:r>
        <w:t>acral</w:t>
      </w:r>
      <w:proofErr w:type="spellEnd"/>
      <w:r>
        <w:t xml:space="preserve"> melanoma).</w:t>
      </w:r>
    </w:p>
  </w:footnote>
  <w:footnote w:id="12">
    <w:p w:rsidR="0030553D" w:rsidRDefault="0030553D" w:rsidP="00C940C4">
      <w:pPr>
        <w:pStyle w:val="FootnoteText"/>
      </w:pPr>
      <w:r>
        <w:rPr>
          <w:rStyle w:val="FootnoteReference"/>
        </w:rPr>
        <w:footnoteRef/>
      </w:r>
      <w:r>
        <w:t xml:space="preserve"> The model only allowed changes to the proportion of patients in the RFS health state beyond year 15 where the OS curve lay below the modelled RFS curve. However, this did not occur over the 30 year time horizon of the submission’s base case. </w:t>
      </w:r>
    </w:p>
  </w:footnote>
  <w:footnote w:id="13">
    <w:p w:rsidR="0030553D" w:rsidRDefault="0030553D" w:rsidP="00085801">
      <w:pPr>
        <w:pStyle w:val="FootnoteText"/>
      </w:pPr>
      <w:r>
        <w:rPr>
          <w:rStyle w:val="FootnoteReference"/>
        </w:rPr>
        <w:footnoteRef/>
      </w:r>
      <w:r>
        <w:t xml:space="preserve"> Note: This does not include the $20 TGA-licensed compounder’s fee.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97" w:rsidRDefault="006067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3D" w:rsidRPr="00195BA4" w:rsidRDefault="0030553D" w:rsidP="00195BA4">
    <w:pPr>
      <w:pStyle w:val="Header"/>
      <w:jc w:val="center"/>
      <w:rPr>
        <w:i/>
      </w:rPr>
    </w:pPr>
    <w:r>
      <w:rPr>
        <w:i/>
      </w:rPr>
      <w:t>Public Summary Document</w:t>
    </w:r>
    <w:r w:rsidRPr="00195BA4">
      <w:rPr>
        <w:i/>
      </w:rPr>
      <w:t xml:space="preserve"> – July 2018 PBAC Meeting</w:t>
    </w:r>
  </w:p>
  <w:p w:rsidR="0030553D" w:rsidRPr="005C7AC1" w:rsidRDefault="0030553D" w:rsidP="005C7AC1">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97" w:rsidRDefault="006067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CD1"/>
    <w:multiLevelType w:val="multilevel"/>
    <w:tmpl w:val="597EAA6E"/>
    <w:lvl w:ilvl="0">
      <w:start w:val="1"/>
      <w:numFmt w:val="decimal"/>
      <w:lvlText w:val="%1"/>
      <w:lvlJc w:val="left"/>
      <w:pPr>
        <w:ind w:left="862" w:hanging="720"/>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720"/>
      </w:pPr>
      <w:rPr>
        <w:rFonts w:ascii="Symbol" w:hAnsi="Symbol"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CB12695"/>
    <w:multiLevelType w:val="hybridMultilevel"/>
    <w:tmpl w:val="AC282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5F6E36"/>
    <w:multiLevelType w:val="multilevel"/>
    <w:tmpl w:val="47DAE318"/>
    <w:lvl w:ilvl="0">
      <w:start w:val="1"/>
      <w:numFmt w:val="bullet"/>
      <w:lvlText w:val=""/>
      <w:lvlJc w:val="left"/>
      <w:pPr>
        <w:ind w:left="720" w:hanging="720"/>
      </w:pPr>
      <w:rPr>
        <w:rFonts w:ascii="Symbol" w:hAnsi="Symbol" w:hint="default"/>
        <w:b w:val="0"/>
        <w:sz w:val="24"/>
        <w:szCs w:val="24"/>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69517D"/>
    <w:multiLevelType w:val="hybridMultilevel"/>
    <w:tmpl w:val="8E7258C6"/>
    <w:lvl w:ilvl="0" w:tplc="0C090001">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095303"/>
    <w:multiLevelType w:val="hybridMultilevel"/>
    <w:tmpl w:val="B6A21B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A572B"/>
    <w:multiLevelType w:val="hybridMultilevel"/>
    <w:tmpl w:val="ABB839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D3CCF494">
      <w:start w:val="1"/>
      <w:numFmt w:val="bullet"/>
      <w:lvlText w:val=""/>
      <w:lvlJc w:val="left"/>
      <w:pPr>
        <w:ind w:left="2520" w:hanging="360"/>
      </w:pPr>
      <w:rPr>
        <w:rFonts w:ascii="Symbol" w:hAnsi="Symbol"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74B05F00"/>
    <w:multiLevelType w:val="hybridMultilevel"/>
    <w:tmpl w:val="D9BCA1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784D033C"/>
    <w:multiLevelType w:val="multilevel"/>
    <w:tmpl w:val="3F4CC2D6"/>
    <w:lvl w:ilvl="0">
      <w:start w:val="1"/>
      <w:numFmt w:val="decimal"/>
      <w:pStyle w:val="PBACHeading1"/>
      <w:lvlText w:val="%1"/>
      <w:lvlJc w:val="left"/>
      <w:pPr>
        <w:ind w:left="862" w:hanging="720"/>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1"/>
  </w:num>
  <w:num w:numId="4">
    <w:abstractNumId w:val="4"/>
  </w:num>
  <w:num w:numId="5">
    <w:abstractNumId w:val="7"/>
  </w:num>
  <w:num w:numId="6">
    <w:abstractNumId w:val="6"/>
  </w:num>
  <w:num w:numId="7">
    <w:abstractNumId w:val="2"/>
  </w:num>
  <w:num w:numId="8">
    <w:abstractNumId w:val="0"/>
  </w:num>
  <w:num w:numId="9">
    <w:abstractNumId w:val="3"/>
  </w:num>
  <w:num w:numId="10">
    <w:abstractNumId w:val="8"/>
  </w:num>
  <w:num w:numId="11">
    <w:abstractNumId w:va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G">
    <w15:presenceInfo w15:providerId="None" w15:userId="DG"/>
  </w15:person>
  <w15:person w15:author="Leesa Lerrel Pridham">
    <w15:presenceInfo w15:providerId="AD" w15:userId="S-1-5-21-1390582872-192029990-4074164785-24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Lees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te0psahzaw9uedrptx2wtkept0pwt0dazt&quot;&gt;Melanoma&lt;record-ids&gt;&lt;item&gt;1&lt;/item&gt;&lt;item&gt;2&lt;/item&gt;&lt;item&gt;3&lt;/item&gt;&lt;item&gt;6&lt;/item&gt;&lt;item&gt;9&lt;/item&gt;&lt;item&gt;11&lt;/item&gt;&lt;item&gt;12&lt;/item&gt;&lt;item&gt;13&lt;/item&gt;&lt;item&gt;21&lt;/item&gt;&lt;item&gt;35&lt;/item&gt;&lt;item&gt;40&lt;/item&gt;&lt;item&gt;42&lt;/item&gt;&lt;item&gt;44&lt;/item&gt;&lt;item&gt;45&lt;/item&gt;&lt;item&gt;56&lt;/item&gt;&lt;item&gt;57&lt;/item&gt;&lt;item&gt;58&lt;/item&gt;&lt;item&gt;61&lt;/item&gt;&lt;item&gt;63&lt;/item&gt;&lt;item&gt;64&lt;/item&gt;&lt;item&gt;70&lt;/item&gt;&lt;item&gt;78&lt;/item&gt;&lt;item&gt;91&lt;/item&gt;&lt;item&gt;93&lt;/item&gt;&lt;item&gt;97&lt;/item&gt;&lt;item&gt;98&lt;/item&gt;&lt;item&gt;106&lt;/item&gt;&lt;item&gt;107&lt;/item&gt;&lt;item&gt;108&lt;/item&gt;&lt;/record-ids&gt;&lt;/item&gt;&lt;/Libraries&gt;"/>
  </w:docVars>
  <w:rsids>
    <w:rsidRoot w:val="00E65E79"/>
    <w:rsid w:val="000003B0"/>
    <w:rsid w:val="00000790"/>
    <w:rsid w:val="0000110B"/>
    <w:rsid w:val="000016F4"/>
    <w:rsid w:val="0000183C"/>
    <w:rsid w:val="000032AF"/>
    <w:rsid w:val="00003499"/>
    <w:rsid w:val="000037DA"/>
    <w:rsid w:val="000039B7"/>
    <w:rsid w:val="00005B27"/>
    <w:rsid w:val="000069C4"/>
    <w:rsid w:val="0001134A"/>
    <w:rsid w:val="00012030"/>
    <w:rsid w:val="0001205E"/>
    <w:rsid w:val="00012084"/>
    <w:rsid w:val="00013247"/>
    <w:rsid w:val="000157C1"/>
    <w:rsid w:val="00015886"/>
    <w:rsid w:val="000162EF"/>
    <w:rsid w:val="0002074F"/>
    <w:rsid w:val="00021C5B"/>
    <w:rsid w:val="0002225F"/>
    <w:rsid w:val="00022ACD"/>
    <w:rsid w:val="00023763"/>
    <w:rsid w:val="00023846"/>
    <w:rsid w:val="00023B95"/>
    <w:rsid w:val="00023F00"/>
    <w:rsid w:val="000261DD"/>
    <w:rsid w:val="0002646C"/>
    <w:rsid w:val="000267CF"/>
    <w:rsid w:val="00027164"/>
    <w:rsid w:val="000306EB"/>
    <w:rsid w:val="00031F82"/>
    <w:rsid w:val="000320F6"/>
    <w:rsid w:val="00032D06"/>
    <w:rsid w:val="0003324E"/>
    <w:rsid w:val="00033863"/>
    <w:rsid w:val="00035BA8"/>
    <w:rsid w:val="00035DC0"/>
    <w:rsid w:val="00036829"/>
    <w:rsid w:val="00040895"/>
    <w:rsid w:val="0004100E"/>
    <w:rsid w:val="00043366"/>
    <w:rsid w:val="00043417"/>
    <w:rsid w:val="00043C37"/>
    <w:rsid w:val="00045017"/>
    <w:rsid w:val="00045336"/>
    <w:rsid w:val="00045A2B"/>
    <w:rsid w:val="00045AA8"/>
    <w:rsid w:val="00046244"/>
    <w:rsid w:val="0004698F"/>
    <w:rsid w:val="00046EDC"/>
    <w:rsid w:val="00050A92"/>
    <w:rsid w:val="00051A6F"/>
    <w:rsid w:val="000521C9"/>
    <w:rsid w:val="000522B7"/>
    <w:rsid w:val="00052363"/>
    <w:rsid w:val="00052DA8"/>
    <w:rsid w:val="0005330D"/>
    <w:rsid w:val="00053646"/>
    <w:rsid w:val="000539D0"/>
    <w:rsid w:val="00053E6F"/>
    <w:rsid w:val="0005433C"/>
    <w:rsid w:val="00054621"/>
    <w:rsid w:val="000546D7"/>
    <w:rsid w:val="000548C2"/>
    <w:rsid w:val="000551BA"/>
    <w:rsid w:val="00060618"/>
    <w:rsid w:val="000609A1"/>
    <w:rsid w:val="0006170F"/>
    <w:rsid w:val="00061EDE"/>
    <w:rsid w:val="000641B3"/>
    <w:rsid w:val="00066360"/>
    <w:rsid w:val="00066C27"/>
    <w:rsid w:val="000672A2"/>
    <w:rsid w:val="000673BA"/>
    <w:rsid w:val="000702A8"/>
    <w:rsid w:val="00070AA6"/>
    <w:rsid w:val="00071155"/>
    <w:rsid w:val="00071248"/>
    <w:rsid w:val="00071715"/>
    <w:rsid w:val="000720B9"/>
    <w:rsid w:val="000724E0"/>
    <w:rsid w:val="000737F7"/>
    <w:rsid w:val="00074134"/>
    <w:rsid w:val="0007672F"/>
    <w:rsid w:val="000774F0"/>
    <w:rsid w:val="00077846"/>
    <w:rsid w:val="00077A5D"/>
    <w:rsid w:val="00080048"/>
    <w:rsid w:val="00080909"/>
    <w:rsid w:val="000812CA"/>
    <w:rsid w:val="000818DA"/>
    <w:rsid w:val="00081CC3"/>
    <w:rsid w:val="0008258D"/>
    <w:rsid w:val="000833D7"/>
    <w:rsid w:val="00083AC8"/>
    <w:rsid w:val="00083AD7"/>
    <w:rsid w:val="00083E99"/>
    <w:rsid w:val="000841A5"/>
    <w:rsid w:val="000847B5"/>
    <w:rsid w:val="000856C5"/>
    <w:rsid w:val="00085801"/>
    <w:rsid w:val="00086618"/>
    <w:rsid w:val="00090C7E"/>
    <w:rsid w:val="00091064"/>
    <w:rsid w:val="00092600"/>
    <w:rsid w:val="0009262B"/>
    <w:rsid w:val="0009297C"/>
    <w:rsid w:val="00093310"/>
    <w:rsid w:val="00093B81"/>
    <w:rsid w:val="0009445C"/>
    <w:rsid w:val="00095FE5"/>
    <w:rsid w:val="00095FEB"/>
    <w:rsid w:val="00096284"/>
    <w:rsid w:val="000962A9"/>
    <w:rsid w:val="00096A3D"/>
    <w:rsid w:val="00096A8B"/>
    <w:rsid w:val="000979E7"/>
    <w:rsid w:val="00097C1E"/>
    <w:rsid w:val="000A07A7"/>
    <w:rsid w:val="000A1B10"/>
    <w:rsid w:val="000A281F"/>
    <w:rsid w:val="000A354F"/>
    <w:rsid w:val="000A3B29"/>
    <w:rsid w:val="000A4598"/>
    <w:rsid w:val="000A546C"/>
    <w:rsid w:val="000A56F0"/>
    <w:rsid w:val="000A5D1A"/>
    <w:rsid w:val="000A6B8B"/>
    <w:rsid w:val="000A7D08"/>
    <w:rsid w:val="000B0670"/>
    <w:rsid w:val="000B0E75"/>
    <w:rsid w:val="000B14E9"/>
    <w:rsid w:val="000B1E23"/>
    <w:rsid w:val="000B325C"/>
    <w:rsid w:val="000B4FB0"/>
    <w:rsid w:val="000B5AB7"/>
    <w:rsid w:val="000B6CAC"/>
    <w:rsid w:val="000B6DBA"/>
    <w:rsid w:val="000B7612"/>
    <w:rsid w:val="000C153C"/>
    <w:rsid w:val="000C1601"/>
    <w:rsid w:val="000C3DF9"/>
    <w:rsid w:val="000C3FC4"/>
    <w:rsid w:val="000C40B5"/>
    <w:rsid w:val="000C4B16"/>
    <w:rsid w:val="000C64B4"/>
    <w:rsid w:val="000C6713"/>
    <w:rsid w:val="000C7EBA"/>
    <w:rsid w:val="000D117B"/>
    <w:rsid w:val="000D1BFC"/>
    <w:rsid w:val="000D281A"/>
    <w:rsid w:val="000D2F04"/>
    <w:rsid w:val="000D326A"/>
    <w:rsid w:val="000D466D"/>
    <w:rsid w:val="000D51FB"/>
    <w:rsid w:val="000D637D"/>
    <w:rsid w:val="000D6658"/>
    <w:rsid w:val="000D7C5C"/>
    <w:rsid w:val="000E1285"/>
    <w:rsid w:val="000E135D"/>
    <w:rsid w:val="000E139E"/>
    <w:rsid w:val="000E15E5"/>
    <w:rsid w:val="000E17F7"/>
    <w:rsid w:val="000E1F03"/>
    <w:rsid w:val="000E29F9"/>
    <w:rsid w:val="000E2C51"/>
    <w:rsid w:val="000E3D94"/>
    <w:rsid w:val="000E4845"/>
    <w:rsid w:val="000E6168"/>
    <w:rsid w:val="000E78C3"/>
    <w:rsid w:val="000E7FD3"/>
    <w:rsid w:val="000F00BA"/>
    <w:rsid w:val="000F1B66"/>
    <w:rsid w:val="000F1D4D"/>
    <w:rsid w:val="000F316A"/>
    <w:rsid w:val="000F3A7A"/>
    <w:rsid w:val="000F3C74"/>
    <w:rsid w:val="000F3E8C"/>
    <w:rsid w:val="000F45F8"/>
    <w:rsid w:val="000F4BB8"/>
    <w:rsid w:val="000F5027"/>
    <w:rsid w:val="000F64E8"/>
    <w:rsid w:val="000F69E8"/>
    <w:rsid w:val="000F6A22"/>
    <w:rsid w:val="000F6C1E"/>
    <w:rsid w:val="000F708E"/>
    <w:rsid w:val="000F7127"/>
    <w:rsid w:val="000F726B"/>
    <w:rsid w:val="00100F8A"/>
    <w:rsid w:val="0010123F"/>
    <w:rsid w:val="00101C85"/>
    <w:rsid w:val="001039F2"/>
    <w:rsid w:val="00103A33"/>
    <w:rsid w:val="00104146"/>
    <w:rsid w:val="00104E7A"/>
    <w:rsid w:val="00105517"/>
    <w:rsid w:val="0010598A"/>
    <w:rsid w:val="00105AE2"/>
    <w:rsid w:val="00106B80"/>
    <w:rsid w:val="001073A2"/>
    <w:rsid w:val="0011032E"/>
    <w:rsid w:val="0011036F"/>
    <w:rsid w:val="001108B2"/>
    <w:rsid w:val="00111273"/>
    <w:rsid w:val="0011348B"/>
    <w:rsid w:val="00113C69"/>
    <w:rsid w:val="001155F0"/>
    <w:rsid w:val="00115982"/>
    <w:rsid w:val="00115AF2"/>
    <w:rsid w:val="00116C53"/>
    <w:rsid w:val="00120293"/>
    <w:rsid w:val="001211EB"/>
    <w:rsid w:val="001216C0"/>
    <w:rsid w:val="00121799"/>
    <w:rsid w:val="001222FC"/>
    <w:rsid w:val="001229E1"/>
    <w:rsid w:val="00123DBB"/>
    <w:rsid w:val="0012468C"/>
    <w:rsid w:val="001246B8"/>
    <w:rsid w:val="00124A51"/>
    <w:rsid w:val="00126621"/>
    <w:rsid w:val="001301E9"/>
    <w:rsid w:val="00131D82"/>
    <w:rsid w:val="001328BD"/>
    <w:rsid w:val="001330C4"/>
    <w:rsid w:val="00133D36"/>
    <w:rsid w:val="001348F5"/>
    <w:rsid w:val="00136C85"/>
    <w:rsid w:val="00136F71"/>
    <w:rsid w:val="00137645"/>
    <w:rsid w:val="00137D0D"/>
    <w:rsid w:val="0014015A"/>
    <w:rsid w:val="00140D40"/>
    <w:rsid w:val="00140E99"/>
    <w:rsid w:val="001419D7"/>
    <w:rsid w:val="00142AC3"/>
    <w:rsid w:val="001435FB"/>
    <w:rsid w:val="00143A60"/>
    <w:rsid w:val="00143A88"/>
    <w:rsid w:val="00145540"/>
    <w:rsid w:val="001456B0"/>
    <w:rsid w:val="00145834"/>
    <w:rsid w:val="00145FD1"/>
    <w:rsid w:val="00147327"/>
    <w:rsid w:val="0014794C"/>
    <w:rsid w:val="001503BA"/>
    <w:rsid w:val="00152E9D"/>
    <w:rsid w:val="00155604"/>
    <w:rsid w:val="001558B8"/>
    <w:rsid w:val="001560F9"/>
    <w:rsid w:val="00157130"/>
    <w:rsid w:val="001576B1"/>
    <w:rsid w:val="00157AD0"/>
    <w:rsid w:val="00160086"/>
    <w:rsid w:val="00160A4C"/>
    <w:rsid w:val="00162913"/>
    <w:rsid w:val="00163EFF"/>
    <w:rsid w:val="001642DB"/>
    <w:rsid w:val="0016499B"/>
    <w:rsid w:val="00165072"/>
    <w:rsid w:val="001661FB"/>
    <w:rsid w:val="001675E1"/>
    <w:rsid w:val="00167986"/>
    <w:rsid w:val="00167A0A"/>
    <w:rsid w:val="00170B01"/>
    <w:rsid w:val="00172079"/>
    <w:rsid w:val="0017210E"/>
    <w:rsid w:val="00172593"/>
    <w:rsid w:val="00172D63"/>
    <w:rsid w:val="00172DA8"/>
    <w:rsid w:val="00173565"/>
    <w:rsid w:val="00173B07"/>
    <w:rsid w:val="00173EAB"/>
    <w:rsid w:val="001747D7"/>
    <w:rsid w:val="001748F4"/>
    <w:rsid w:val="00174F66"/>
    <w:rsid w:val="00181CDD"/>
    <w:rsid w:val="00181D9C"/>
    <w:rsid w:val="00181F40"/>
    <w:rsid w:val="00183DC9"/>
    <w:rsid w:val="00186B79"/>
    <w:rsid w:val="001872FF"/>
    <w:rsid w:val="00187350"/>
    <w:rsid w:val="0018752F"/>
    <w:rsid w:val="00187D71"/>
    <w:rsid w:val="00190901"/>
    <w:rsid w:val="00190A9D"/>
    <w:rsid w:val="00191B8C"/>
    <w:rsid w:val="00191F51"/>
    <w:rsid w:val="00192B3A"/>
    <w:rsid w:val="00193AB1"/>
    <w:rsid w:val="0019482C"/>
    <w:rsid w:val="00195222"/>
    <w:rsid w:val="001956F9"/>
    <w:rsid w:val="00195BA4"/>
    <w:rsid w:val="001964E7"/>
    <w:rsid w:val="001975D8"/>
    <w:rsid w:val="00197F6E"/>
    <w:rsid w:val="001A2FF1"/>
    <w:rsid w:val="001A43FA"/>
    <w:rsid w:val="001A59FB"/>
    <w:rsid w:val="001A6354"/>
    <w:rsid w:val="001A7AE8"/>
    <w:rsid w:val="001B1B8F"/>
    <w:rsid w:val="001B204E"/>
    <w:rsid w:val="001B3443"/>
    <w:rsid w:val="001B4D20"/>
    <w:rsid w:val="001B6AA5"/>
    <w:rsid w:val="001B6F3D"/>
    <w:rsid w:val="001C2A9B"/>
    <w:rsid w:val="001C354C"/>
    <w:rsid w:val="001C4299"/>
    <w:rsid w:val="001C533E"/>
    <w:rsid w:val="001C551D"/>
    <w:rsid w:val="001C5F84"/>
    <w:rsid w:val="001C5F94"/>
    <w:rsid w:val="001C6507"/>
    <w:rsid w:val="001C6E66"/>
    <w:rsid w:val="001C7D40"/>
    <w:rsid w:val="001D0D0E"/>
    <w:rsid w:val="001D1067"/>
    <w:rsid w:val="001D1810"/>
    <w:rsid w:val="001D1CAB"/>
    <w:rsid w:val="001D30E8"/>
    <w:rsid w:val="001D315B"/>
    <w:rsid w:val="001D4391"/>
    <w:rsid w:val="001D5424"/>
    <w:rsid w:val="001D5F3F"/>
    <w:rsid w:val="001D6227"/>
    <w:rsid w:val="001D67EA"/>
    <w:rsid w:val="001D73EA"/>
    <w:rsid w:val="001E238E"/>
    <w:rsid w:val="001E2483"/>
    <w:rsid w:val="001E2B1E"/>
    <w:rsid w:val="001E2D56"/>
    <w:rsid w:val="001E2FAC"/>
    <w:rsid w:val="001E30D4"/>
    <w:rsid w:val="001E35A9"/>
    <w:rsid w:val="001E52EB"/>
    <w:rsid w:val="001E61D2"/>
    <w:rsid w:val="001E6BB0"/>
    <w:rsid w:val="001E740C"/>
    <w:rsid w:val="001E7732"/>
    <w:rsid w:val="001F0DD4"/>
    <w:rsid w:val="001F1235"/>
    <w:rsid w:val="001F1CB3"/>
    <w:rsid w:val="001F38B5"/>
    <w:rsid w:val="001F3C47"/>
    <w:rsid w:val="001F50D9"/>
    <w:rsid w:val="001F5A99"/>
    <w:rsid w:val="001F7361"/>
    <w:rsid w:val="002011B0"/>
    <w:rsid w:val="00202DFD"/>
    <w:rsid w:val="00203181"/>
    <w:rsid w:val="00203783"/>
    <w:rsid w:val="0020385F"/>
    <w:rsid w:val="00204560"/>
    <w:rsid w:val="00204BD4"/>
    <w:rsid w:val="00205E54"/>
    <w:rsid w:val="00207021"/>
    <w:rsid w:val="00207092"/>
    <w:rsid w:val="0020732F"/>
    <w:rsid w:val="0020736E"/>
    <w:rsid w:val="00207D00"/>
    <w:rsid w:val="002105C1"/>
    <w:rsid w:val="002150EC"/>
    <w:rsid w:val="00216F9E"/>
    <w:rsid w:val="002172D9"/>
    <w:rsid w:val="002200DB"/>
    <w:rsid w:val="0022060B"/>
    <w:rsid w:val="002207BF"/>
    <w:rsid w:val="00220C92"/>
    <w:rsid w:val="00221DF9"/>
    <w:rsid w:val="00223B49"/>
    <w:rsid w:val="00224029"/>
    <w:rsid w:val="0022418A"/>
    <w:rsid w:val="00224BFB"/>
    <w:rsid w:val="00224DD4"/>
    <w:rsid w:val="00226FDB"/>
    <w:rsid w:val="0022732A"/>
    <w:rsid w:val="002309CC"/>
    <w:rsid w:val="0023209F"/>
    <w:rsid w:val="00232754"/>
    <w:rsid w:val="00232E01"/>
    <w:rsid w:val="00235109"/>
    <w:rsid w:val="0023549E"/>
    <w:rsid w:val="0023629D"/>
    <w:rsid w:val="002370FA"/>
    <w:rsid w:val="002371AD"/>
    <w:rsid w:val="00237255"/>
    <w:rsid w:val="0024046E"/>
    <w:rsid w:val="002424AF"/>
    <w:rsid w:val="002439DC"/>
    <w:rsid w:val="00243E3F"/>
    <w:rsid w:val="00244DC8"/>
    <w:rsid w:val="002458BA"/>
    <w:rsid w:val="0024636C"/>
    <w:rsid w:val="00247925"/>
    <w:rsid w:val="00253F31"/>
    <w:rsid w:val="00254168"/>
    <w:rsid w:val="00254638"/>
    <w:rsid w:val="00254934"/>
    <w:rsid w:val="00254DCF"/>
    <w:rsid w:val="0025534B"/>
    <w:rsid w:val="0025586B"/>
    <w:rsid w:val="00255BB7"/>
    <w:rsid w:val="00255D1F"/>
    <w:rsid w:val="00256715"/>
    <w:rsid w:val="00257541"/>
    <w:rsid w:val="0026074A"/>
    <w:rsid w:val="00262A1A"/>
    <w:rsid w:val="00262A87"/>
    <w:rsid w:val="002642E2"/>
    <w:rsid w:val="002647FF"/>
    <w:rsid w:val="00264BDE"/>
    <w:rsid w:val="00264D26"/>
    <w:rsid w:val="00265335"/>
    <w:rsid w:val="002668B1"/>
    <w:rsid w:val="00267138"/>
    <w:rsid w:val="00267642"/>
    <w:rsid w:val="00267AEA"/>
    <w:rsid w:val="002700E6"/>
    <w:rsid w:val="00270BC4"/>
    <w:rsid w:val="00270D45"/>
    <w:rsid w:val="0027294B"/>
    <w:rsid w:val="00274A08"/>
    <w:rsid w:val="002751DE"/>
    <w:rsid w:val="00275C5A"/>
    <w:rsid w:val="002774D6"/>
    <w:rsid w:val="002802B7"/>
    <w:rsid w:val="00280868"/>
    <w:rsid w:val="00281014"/>
    <w:rsid w:val="0028164B"/>
    <w:rsid w:val="002818CB"/>
    <w:rsid w:val="00281D4D"/>
    <w:rsid w:val="002832D3"/>
    <w:rsid w:val="002833AE"/>
    <w:rsid w:val="00283DBC"/>
    <w:rsid w:val="0028652E"/>
    <w:rsid w:val="002868B6"/>
    <w:rsid w:val="00286C50"/>
    <w:rsid w:val="00286E1D"/>
    <w:rsid w:val="002876CF"/>
    <w:rsid w:val="00287FE1"/>
    <w:rsid w:val="00290152"/>
    <w:rsid w:val="00292114"/>
    <w:rsid w:val="00292B77"/>
    <w:rsid w:val="0029392C"/>
    <w:rsid w:val="002944EB"/>
    <w:rsid w:val="00295F9C"/>
    <w:rsid w:val="002A0382"/>
    <w:rsid w:val="002A14AB"/>
    <w:rsid w:val="002A2D91"/>
    <w:rsid w:val="002A2F50"/>
    <w:rsid w:val="002A3175"/>
    <w:rsid w:val="002A349C"/>
    <w:rsid w:val="002A529B"/>
    <w:rsid w:val="002A5744"/>
    <w:rsid w:val="002A5B58"/>
    <w:rsid w:val="002A5D57"/>
    <w:rsid w:val="002A7F79"/>
    <w:rsid w:val="002B02EE"/>
    <w:rsid w:val="002B09A4"/>
    <w:rsid w:val="002B0DC9"/>
    <w:rsid w:val="002B19B1"/>
    <w:rsid w:val="002B1C1F"/>
    <w:rsid w:val="002B2BBC"/>
    <w:rsid w:val="002B432F"/>
    <w:rsid w:val="002B5334"/>
    <w:rsid w:val="002B62B3"/>
    <w:rsid w:val="002B6754"/>
    <w:rsid w:val="002B6CCE"/>
    <w:rsid w:val="002C192A"/>
    <w:rsid w:val="002C1A3B"/>
    <w:rsid w:val="002C2510"/>
    <w:rsid w:val="002C2775"/>
    <w:rsid w:val="002C27C1"/>
    <w:rsid w:val="002C3A8B"/>
    <w:rsid w:val="002C3F6C"/>
    <w:rsid w:val="002C432D"/>
    <w:rsid w:val="002C48C3"/>
    <w:rsid w:val="002C5099"/>
    <w:rsid w:val="002C5889"/>
    <w:rsid w:val="002C71CE"/>
    <w:rsid w:val="002D10E6"/>
    <w:rsid w:val="002D1635"/>
    <w:rsid w:val="002D3324"/>
    <w:rsid w:val="002D3BB9"/>
    <w:rsid w:val="002D5614"/>
    <w:rsid w:val="002D577C"/>
    <w:rsid w:val="002D77D2"/>
    <w:rsid w:val="002E056A"/>
    <w:rsid w:val="002E0A61"/>
    <w:rsid w:val="002E15B9"/>
    <w:rsid w:val="002E195F"/>
    <w:rsid w:val="002E1AA0"/>
    <w:rsid w:val="002E2158"/>
    <w:rsid w:val="002E6104"/>
    <w:rsid w:val="002E710B"/>
    <w:rsid w:val="002E7722"/>
    <w:rsid w:val="002E784D"/>
    <w:rsid w:val="002E7BC2"/>
    <w:rsid w:val="002E7E32"/>
    <w:rsid w:val="002E7EE2"/>
    <w:rsid w:val="002F0596"/>
    <w:rsid w:val="002F07BA"/>
    <w:rsid w:val="002F0DA9"/>
    <w:rsid w:val="002F4912"/>
    <w:rsid w:val="002F5704"/>
    <w:rsid w:val="002F5D83"/>
    <w:rsid w:val="002F643C"/>
    <w:rsid w:val="002F6C05"/>
    <w:rsid w:val="002F71C0"/>
    <w:rsid w:val="002F7D40"/>
    <w:rsid w:val="003000EF"/>
    <w:rsid w:val="00300ABE"/>
    <w:rsid w:val="00301017"/>
    <w:rsid w:val="0030155F"/>
    <w:rsid w:val="00304208"/>
    <w:rsid w:val="0030553D"/>
    <w:rsid w:val="0030587B"/>
    <w:rsid w:val="00305B19"/>
    <w:rsid w:val="00306D98"/>
    <w:rsid w:val="0030786C"/>
    <w:rsid w:val="0031031A"/>
    <w:rsid w:val="00310522"/>
    <w:rsid w:val="00310981"/>
    <w:rsid w:val="00311885"/>
    <w:rsid w:val="003129D2"/>
    <w:rsid w:val="00313C04"/>
    <w:rsid w:val="003141E1"/>
    <w:rsid w:val="00315498"/>
    <w:rsid w:val="003157C3"/>
    <w:rsid w:val="003166FE"/>
    <w:rsid w:val="00317BA1"/>
    <w:rsid w:val="00321790"/>
    <w:rsid w:val="00322107"/>
    <w:rsid w:val="00322846"/>
    <w:rsid w:val="00322CA2"/>
    <w:rsid w:val="003237DE"/>
    <w:rsid w:val="00323B8A"/>
    <w:rsid w:val="00323D5D"/>
    <w:rsid w:val="003254E0"/>
    <w:rsid w:val="0032615A"/>
    <w:rsid w:val="00326DA7"/>
    <w:rsid w:val="003270E4"/>
    <w:rsid w:val="00327E26"/>
    <w:rsid w:val="00330F5C"/>
    <w:rsid w:val="00331906"/>
    <w:rsid w:val="00332848"/>
    <w:rsid w:val="003330F5"/>
    <w:rsid w:val="00333CC8"/>
    <w:rsid w:val="00334C1F"/>
    <w:rsid w:val="00334E2F"/>
    <w:rsid w:val="00335489"/>
    <w:rsid w:val="00335F9E"/>
    <w:rsid w:val="003366C9"/>
    <w:rsid w:val="003371B0"/>
    <w:rsid w:val="00337BB3"/>
    <w:rsid w:val="00340DF1"/>
    <w:rsid w:val="003425D4"/>
    <w:rsid w:val="003439AE"/>
    <w:rsid w:val="0034400D"/>
    <w:rsid w:val="00344A33"/>
    <w:rsid w:val="0034575B"/>
    <w:rsid w:val="003461E6"/>
    <w:rsid w:val="00350463"/>
    <w:rsid w:val="003517F9"/>
    <w:rsid w:val="00351DFF"/>
    <w:rsid w:val="003527A6"/>
    <w:rsid w:val="00352BD5"/>
    <w:rsid w:val="00353738"/>
    <w:rsid w:val="00354412"/>
    <w:rsid w:val="0035539A"/>
    <w:rsid w:val="0035566B"/>
    <w:rsid w:val="0035620E"/>
    <w:rsid w:val="003563EC"/>
    <w:rsid w:val="00356A64"/>
    <w:rsid w:val="0035752F"/>
    <w:rsid w:val="00360F01"/>
    <w:rsid w:val="003624C4"/>
    <w:rsid w:val="0036284E"/>
    <w:rsid w:val="00362F30"/>
    <w:rsid w:val="003654AC"/>
    <w:rsid w:val="00365A42"/>
    <w:rsid w:val="00366298"/>
    <w:rsid w:val="003673A3"/>
    <w:rsid w:val="003710CF"/>
    <w:rsid w:val="00371CF5"/>
    <w:rsid w:val="00372087"/>
    <w:rsid w:val="00372FEB"/>
    <w:rsid w:val="00373349"/>
    <w:rsid w:val="0037358A"/>
    <w:rsid w:val="00373D80"/>
    <w:rsid w:val="003743B1"/>
    <w:rsid w:val="00374853"/>
    <w:rsid w:val="003750F6"/>
    <w:rsid w:val="003760FC"/>
    <w:rsid w:val="00377401"/>
    <w:rsid w:val="003775CD"/>
    <w:rsid w:val="00380415"/>
    <w:rsid w:val="0038174E"/>
    <w:rsid w:val="003818BF"/>
    <w:rsid w:val="003832EB"/>
    <w:rsid w:val="0038365C"/>
    <w:rsid w:val="0038369B"/>
    <w:rsid w:val="003837B5"/>
    <w:rsid w:val="00383B78"/>
    <w:rsid w:val="00385A9D"/>
    <w:rsid w:val="00385F41"/>
    <w:rsid w:val="00386E51"/>
    <w:rsid w:val="0038797C"/>
    <w:rsid w:val="003901ED"/>
    <w:rsid w:val="003902B1"/>
    <w:rsid w:val="0039130D"/>
    <w:rsid w:val="00393923"/>
    <w:rsid w:val="00394E9D"/>
    <w:rsid w:val="00396329"/>
    <w:rsid w:val="00396896"/>
    <w:rsid w:val="00396FD0"/>
    <w:rsid w:val="003971FA"/>
    <w:rsid w:val="00397845"/>
    <w:rsid w:val="003A1A7A"/>
    <w:rsid w:val="003A2392"/>
    <w:rsid w:val="003A2831"/>
    <w:rsid w:val="003A33E7"/>
    <w:rsid w:val="003A3DDC"/>
    <w:rsid w:val="003A3ED1"/>
    <w:rsid w:val="003A450E"/>
    <w:rsid w:val="003A5CAF"/>
    <w:rsid w:val="003A7525"/>
    <w:rsid w:val="003A78A9"/>
    <w:rsid w:val="003B21D4"/>
    <w:rsid w:val="003B2534"/>
    <w:rsid w:val="003B5A4F"/>
    <w:rsid w:val="003B5B61"/>
    <w:rsid w:val="003B5C09"/>
    <w:rsid w:val="003B5CF2"/>
    <w:rsid w:val="003C0FA8"/>
    <w:rsid w:val="003C1654"/>
    <w:rsid w:val="003C4423"/>
    <w:rsid w:val="003C44D2"/>
    <w:rsid w:val="003C4BEB"/>
    <w:rsid w:val="003C528F"/>
    <w:rsid w:val="003C5F4E"/>
    <w:rsid w:val="003C7D19"/>
    <w:rsid w:val="003C7EC6"/>
    <w:rsid w:val="003D0968"/>
    <w:rsid w:val="003D1828"/>
    <w:rsid w:val="003D1DE4"/>
    <w:rsid w:val="003D2422"/>
    <w:rsid w:val="003D3393"/>
    <w:rsid w:val="003D3609"/>
    <w:rsid w:val="003D39A1"/>
    <w:rsid w:val="003D3FBF"/>
    <w:rsid w:val="003D4A30"/>
    <w:rsid w:val="003D5D23"/>
    <w:rsid w:val="003D79BB"/>
    <w:rsid w:val="003D7C98"/>
    <w:rsid w:val="003E0543"/>
    <w:rsid w:val="003E204F"/>
    <w:rsid w:val="003E22D4"/>
    <w:rsid w:val="003E4F19"/>
    <w:rsid w:val="003E4F49"/>
    <w:rsid w:val="003E50EE"/>
    <w:rsid w:val="003E55C2"/>
    <w:rsid w:val="003E6558"/>
    <w:rsid w:val="003E7402"/>
    <w:rsid w:val="003E74D1"/>
    <w:rsid w:val="003F21E6"/>
    <w:rsid w:val="003F231B"/>
    <w:rsid w:val="003F25FB"/>
    <w:rsid w:val="003F4156"/>
    <w:rsid w:val="003F6C75"/>
    <w:rsid w:val="0040048E"/>
    <w:rsid w:val="00400B29"/>
    <w:rsid w:val="0040435C"/>
    <w:rsid w:val="0040504B"/>
    <w:rsid w:val="00406D87"/>
    <w:rsid w:val="00407B37"/>
    <w:rsid w:val="00410708"/>
    <w:rsid w:val="0041080B"/>
    <w:rsid w:val="00410EC7"/>
    <w:rsid w:val="0041192A"/>
    <w:rsid w:val="00411B39"/>
    <w:rsid w:val="00411BA0"/>
    <w:rsid w:val="00413A1E"/>
    <w:rsid w:val="00413B48"/>
    <w:rsid w:val="00414476"/>
    <w:rsid w:val="00414654"/>
    <w:rsid w:val="00414C2E"/>
    <w:rsid w:val="0041506F"/>
    <w:rsid w:val="004151CF"/>
    <w:rsid w:val="004158F9"/>
    <w:rsid w:val="00415AC1"/>
    <w:rsid w:val="00416364"/>
    <w:rsid w:val="00417C92"/>
    <w:rsid w:val="00420AA6"/>
    <w:rsid w:val="00420B9F"/>
    <w:rsid w:val="00422260"/>
    <w:rsid w:val="0042413F"/>
    <w:rsid w:val="00424DE4"/>
    <w:rsid w:val="00425AED"/>
    <w:rsid w:val="00425DC0"/>
    <w:rsid w:val="00431698"/>
    <w:rsid w:val="004319F8"/>
    <w:rsid w:val="00431E55"/>
    <w:rsid w:val="004321F6"/>
    <w:rsid w:val="00433044"/>
    <w:rsid w:val="00433CCC"/>
    <w:rsid w:val="004354C0"/>
    <w:rsid w:val="00435FBA"/>
    <w:rsid w:val="00436CD7"/>
    <w:rsid w:val="004375B9"/>
    <w:rsid w:val="00440389"/>
    <w:rsid w:val="004411E1"/>
    <w:rsid w:val="004416A2"/>
    <w:rsid w:val="004421BC"/>
    <w:rsid w:val="004428D0"/>
    <w:rsid w:val="00443358"/>
    <w:rsid w:val="00443DE1"/>
    <w:rsid w:val="004443A7"/>
    <w:rsid w:val="0044442C"/>
    <w:rsid w:val="00445941"/>
    <w:rsid w:val="00445943"/>
    <w:rsid w:val="00445EE5"/>
    <w:rsid w:val="004464EB"/>
    <w:rsid w:val="00447945"/>
    <w:rsid w:val="00447D26"/>
    <w:rsid w:val="00453957"/>
    <w:rsid w:val="0045584A"/>
    <w:rsid w:val="00455866"/>
    <w:rsid w:val="00455D45"/>
    <w:rsid w:val="00456432"/>
    <w:rsid w:val="00456C6C"/>
    <w:rsid w:val="0045719A"/>
    <w:rsid w:val="004572DC"/>
    <w:rsid w:val="00457A3A"/>
    <w:rsid w:val="00461745"/>
    <w:rsid w:val="00461B04"/>
    <w:rsid w:val="00461EEA"/>
    <w:rsid w:val="00461F09"/>
    <w:rsid w:val="00461FFB"/>
    <w:rsid w:val="00464398"/>
    <w:rsid w:val="00464595"/>
    <w:rsid w:val="00464782"/>
    <w:rsid w:val="004647EA"/>
    <w:rsid w:val="00465543"/>
    <w:rsid w:val="00470C7F"/>
    <w:rsid w:val="004725A4"/>
    <w:rsid w:val="00472A79"/>
    <w:rsid w:val="00473632"/>
    <w:rsid w:val="00473ED0"/>
    <w:rsid w:val="00473F19"/>
    <w:rsid w:val="00474C2A"/>
    <w:rsid w:val="00475968"/>
    <w:rsid w:val="00475E22"/>
    <w:rsid w:val="00477687"/>
    <w:rsid w:val="00477D34"/>
    <w:rsid w:val="00477EE9"/>
    <w:rsid w:val="00480466"/>
    <w:rsid w:val="0048088E"/>
    <w:rsid w:val="00481AF1"/>
    <w:rsid w:val="00482720"/>
    <w:rsid w:val="0048336E"/>
    <w:rsid w:val="004835E7"/>
    <w:rsid w:val="00484CE2"/>
    <w:rsid w:val="00484DE9"/>
    <w:rsid w:val="00484FB2"/>
    <w:rsid w:val="004857C1"/>
    <w:rsid w:val="00485BE0"/>
    <w:rsid w:val="00485CC0"/>
    <w:rsid w:val="004867E2"/>
    <w:rsid w:val="00486EFF"/>
    <w:rsid w:val="00490E33"/>
    <w:rsid w:val="004919E0"/>
    <w:rsid w:val="00491B3A"/>
    <w:rsid w:val="00492603"/>
    <w:rsid w:val="00492877"/>
    <w:rsid w:val="00492CFD"/>
    <w:rsid w:val="00494683"/>
    <w:rsid w:val="00494774"/>
    <w:rsid w:val="00494DD5"/>
    <w:rsid w:val="00495996"/>
    <w:rsid w:val="004962D2"/>
    <w:rsid w:val="0049650B"/>
    <w:rsid w:val="00497C3D"/>
    <w:rsid w:val="004A0343"/>
    <w:rsid w:val="004A05E6"/>
    <w:rsid w:val="004A0DA1"/>
    <w:rsid w:val="004A18C4"/>
    <w:rsid w:val="004A2301"/>
    <w:rsid w:val="004A4AF6"/>
    <w:rsid w:val="004A52E9"/>
    <w:rsid w:val="004A5430"/>
    <w:rsid w:val="004A562C"/>
    <w:rsid w:val="004A636C"/>
    <w:rsid w:val="004A6597"/>
    <w:rsid w:val="004A7848"/>
    <w:rsid w:val="004A7EE4"/>
    <w:rsid w:val="004B1278"/>
    <w:rsid w:val="004B1CB4"/>
    <w:rsid w:val="004B1ED1"/>
    <w:rsid w:val="004B2F18"/>
    <w:rsid w:val="004B33D7"/>
    <w:rsid w:val="004B3CD3"/>
    <w:rsid w:val="004B3DDB"/>
    <w:rsid w:val="004B3E58"/>
    <w:rsid w:val="004B44FD"/>
    <w:rsid w:val="004B5CFC"/>
    <w:rsid w:val="004B774D"/>
    <w:rsid w:val="004B7FAB"/>
    <w:rsid w:val="004C1637"/>
    <w:rsid w:val="004C3EB8"/>
    <w:rsid w:val="004C4133"/>
    <w:rsid w:val="004C4AED"/>
    <w:rsid w:val="004C4AFB"/>
    <w:rsid w:val="004C4FF2"/>
    <w:rsid w:val="004C593D"/>
    <w:rsid w:val="004D1410"/>
    <w:rsid w:val="004D2850"/>
    <w:rsid w:val="004D2C2D"/>
    <w:rsid w:val="004D31D8"/>
    <w:rsid w:val="004D32DA"/>
    <w:rsid w:val="004D3641"/>
    <w:rsid w:val="004D4408"/>
    <w:rsid w:val="004D4D9F"/>
    <w:rsid w:val="004D55F8"/>
    <w:rsid w:val="004D5D6A"/>
    <w:rsid w:val="004D7227"/>
    <w:rsid w:val="004E0E7F"/>
    <w:rsid w:val="004E0EB8"/>
    <w:rsid w:val="004E2ADC"/>
    <w:rsid w:val="004E4000"/>
    <w:rsid w:val="004E4078"/>
    <w:rsid w:val="004E43B2"/>
    <w:rsid w:val="004E4F7C"/>
    <w:rsid w:val="004E56DD"/>
    <w:rsid w:val="004E75F2"/>
    <w:rsid w:val="004E7BDE"/>
    <w:rsid w:val="004F02F6"/>
    <w:rsid w:val="004F1D02"/>
    <w:rsid w:val="004F2679"/>
    <w:rsid w:val="004F2F21"/>
    <w:rsid w:val="004F4DA2"/>
    <w:rsid w:val="004F4E94"/>
    <w:rsid w:val="004F50ED"/>
    <w:rsid w:val="004F5A76"/>
    <w:rsid w:val="004F6126"/>
    <w:rsid w:val="004F6490"/>
    <w:rsid w:val="004F6913"/>
    <w:rsid w:val="004F7865"/>
    <w:rsid w:val="004F7C0D"/>
    <w:rsid w:val="00500659"/>
    <w:rsid w:val="00501596"/>
    <w:rsid w:val="0050219B"/>
    <w:rsid w:val="00503B31"/>
    <w:rsid w:val="00503C5A"/>
    <w:rsid w:val="00503C65"/>
    <w:rsid w:val="00503F17"/>
    <w:rsid w:val="00505A26"/>
    <w:rsid w:val="005063E3"/>
    <w:rsid w:val="00506928"/>
    <w:rsid w:val="00507096"/>
    <w:rsid w:val="00507CE2"/>
    <w:rsid w:val="005139CE"/>
    <w:rsid w:val="00514E25"/>
    <w:rsid w:val="005152B5"/>
    <w:rsid w:val="00517626"/>
    <w:rsid w:val="005210B2"/>
    <w:rsid w:val="00521319"/>
    <w:rsid w:val="00521946"/>
    <w:rsid w:val="00521DC3"/>
    <w:rsid w:val="00521F31"/>
    <w:rsid w:val="00521F8A"/>
    <w:rsid w:val="00522511"/>
    <w:rsid w:val="00522BC8"/>
    <w:rsid w:val="00523BB1"/>
    <w:rsid w:val="00523C28"/>
    <w:rsid w:val="00524B51"/>
    <w:rsid w:val="00525826"/>
    <w:rsid w:val="00531551"/>
    <w:rsid w:val="00532EEA"/>
    <w:rsid w:val="0053358D"/>
    <w:rsid w:val="00533B74"/>
    <w:rsid w:val="00533EDB"/>
    <w:rsid w:val="00535688"/>
    <w:rsid w:val="00536944"/>
    <w:rsid w:val="00536F42"/>
    <w:rsid w:val="00537182"/>
    <w:rsid w:val="0053752C"/>
    <w:rsid w:val="0053775A"/>
    <w:rsid w:val="00542743"/>
    <w:rsid w:val="00542C2D"/>
    <w:rsid w:val="00542DB9"/>
    <w:rsid w:val="00543A63"/>
    <w:rsid w:val="005445CD"/>
    <w:rsid w:val="005502FE"/>
    <w:rsid w:val="00551048"/>
    <w:rsid w:val="005512EA"/>
    <w:rsid w:val="00551565"/>
    <w:rsid w:val="00551985"/>
    <w:rsid w:val="00551B2B"/>
    <w:rsid w:val="00552BD3"/>
    <w:rsid w:val="00552D10"/>
    <w:rsid w:val="00552FC8"/>
    <w:rsid w:val="005534EA"/>
    <w:rsid w:val="00554BF1"/>
    <w:rsid w:val="00555109"/>
    <w:rsid w:val="0055717A"/>
    <w:rsid w:val="0056016C"/>
    <w:rsid w:val="00561AA2"/>
    <w:rsid w:val="005634CF"/>
    <w:rsid w:val="00566930"/>
    <w:rsid w:val="0056696F"/>
    <w:rsid w:val="00566CFD"/>
    <w:rsid w:val="00567544"/>
    <w:rsid w:val="0057135D"/>
    <w:rsid w:val="00571930"/>
    <w:rsid w:val="00572269"/>
    <w:rsid w:val="0057244A"/>
    <w:rsid w:val="005736EC"/>
    <w:rsid w:val="00573B4B"/>
    <w:rsid w:val="005753E0"/>
    <w:rsid w:val="00575D8D"/>
    <w:rsid w:val="00576972"/>
    <w:rsid w:val="00577916"/>
    <w:rsid w:val="00580A48"/>
    <w:rsid w:val="00580C7D"/>
    <w:rsid w:val="00580FD3"/>
    <w:rsid w:val="005811E7"/>
    <w:rsid w:val="00581ED8"/>
    <w:rsid w:val="00583614"/>
    <w:rsid w:val="00583699"/>
    <w:rsid w:val="00584891"/>
    <w:rsid w:val="00585CDD"/>
    <w:rsid w:val="00586F9D"/>
    <w:rsid w:val="00587058"/>
    <w:rsid w:val="005875F0"/>
    <w:rsid w:val="00587F9F"/>
    <w:rsid w:val="00590FA6"/>
    <w:rsid w:val="005917F7"/>
    <w:rsid w:val="00591957"/>
    <w:rsid w:val="005926CE"/>
    <w:rsid w:val="00592D43"/>
    <w:rsid w:val="00593CB6"/>
    <w:rsid w:val="00594272"/>
    <w:rsid w:val="00594F74"/>
    <w:rsid w:val="0059682E"/>
    <w:rsid w:val="00597482"/>
    <w:rsid w:val="00597BF9"/>
    <w:rsid w:val="00597CF6"/>
    <w:rsid w:val="005A01D9"/>
    <w:rsid w:val="005A373D"/>
    <w:rsid w:val="005A5C9C"/>
    <w:rsid w:val="005A5EC7"/>
    <w:rsid w:val="005A7A3B"/>
    <w:rsid w:val="005B139D"/>
    <w:rsid w:val="005B2153"/>
    <w:rsid w:val="005B231F"/>
    <w:rsid w:val="005B2A40"/>
    <w:rsid w:val="005B2A6D"/>
    <w:rsid w:val="005B3626"/>
    <w:rsid w:val="005B5857"/>
    <w:rsid w:val="005B673F"/>
    <w:rsid w:val="005B68F6"/>
    <w:rsid w:val="005B71F6"/>
    <w:rsid w:val="005B7821"/>
    <w:rsid w:val="005C13F2"/>
    <w:rsid w:val="005C1B83"/>
    <w:rsid w:val="005C2556"/>
    <w:rsid w:val="005C270E"/>
    <w:rsid w:val="005C2D55"/>
    <w:rsid w:val="005C2E23"/>
    <w:rsid w:val="005C3061"/>
    <w:rsid w:val="005C3125"/>
    <w:rsid w:val="005C346B"/>
    <w:rsid w:val="005C520E"/>
    <w:rsid w:val="005C5882"/>
    <w:rsid w:val="005C60CA"/>
    <w:rsid w:val="005C7AC1"/>
    <w:rsid w:val="005D044D"/>
    <w:rsid w:val="005D0ABD"/>
    <w:rsid w:val="005D1433"/>
    <w:rsid w:val="005D161C"/>
    <w:rsid w:val="005D18AD"/>
    <w:rsid w:val="005D1EE3"/>
    <w:rsid w:val="005D246F"/>
    <w:rsid w:val="005D26B4"/>
    <w:rsid w:val="005D302D"/>
    <w:rsid w:val="005D55B0"/>
    <w:rsid w:val="005E4420"/>
    <w:rsid w:val="005E53F2"/>
    <w:rsid w:val="005E6CBC"/>
    <w:rsid w:val="005E6CF9"/>
    <w:rsid w:val="005E73C0"/>
    <w:rsid w:val="005E744A"/>
    <w:rsid w:val="005F10E4"/>
    <w:rsid w:val="005F1D64"/>
    <w:rsid w:val="005F2706"/>
    <w:rsid w:val="005F2EB9"/>
    <w:rsid w:val="005F3434"/>
    <w:rsid w:val="005F3867"/>
    <w:rsid w:val="005F4854"/>
    <w:rsid w:val="005F5F79"/>
    <w:rsid w:val="005F64A1"/>
    <w:rsid w:val="005F6A8F"/>
    <w:rsid w:val="005F7E1D"/>
    <w:rsid w:val="006013AA"/>
    <w:rsid w:val="006030E8"/>
    <w:rsid w:val="00603DB9"/>
    <w:rsid w:val="00604FF4"/>
    <w:rsid w:val="00605A06"/>
    <w:rsid w:val="00605F35"/>
    <w:rsid w:val="00606797"/>
    <w:rsid w:val="00607669"/>
    <w:rsid w:val="006077C9"/>
    <w:rsid w:val="00607AFD"/>
    <w:rsid w:val="00607CAD"/>
    <w:rsid w:val="00607F9E"/>
    <w:rsid w:val="00610C3A"/>
    <w:rsid w:val="00611611"/>
    <w:rsid w:val="00612F97"/>
    <w:rsid w:val="0061345D"/>
    <w:rsid w:val="00616802"/>
    <w:rsid w:val="00616AE4"/>
    <w:rsid w:val="00617E12"/>
    <w:rsid w:val="00621477"/>
    <w:rsid w:val="00624691"/>
    <w:rsid w:val="00624A63"/>
    <w:rsid w:val="006251E3"/>
    <w:rsid w:val="00626C8C"/>
    <w:rsid w:val="00631157"/>
    <w:rsid w:val="0063158F"/>
    <w:rsid w:val="00631D6B"/>
    <w:rsid w:val="006330A1"/>
    <w:rsid w:val="00633276"/>
    <w:rsid w:val="0063479F"/>
    <w:rsid w:val="006353EF"/>
    <w:rsid w:val="006353F0"/>
    <w:rsid w:val="00635E95"/>
    <w:rsid w:val="006364A1"/>
    <w:rsid w:val="0063684B"/>
    <w:rsid w:val="00636A45"/>
    <w:rsid w:val="00637BFD"/>
    <w:rsid w:val="006406D6"/>
    <w:rsid w:val="006413C5"/>
    <w:rsid w:val="00641C4E"/>
    <w:rsid w:val="00642A9E"/>
    <w:rsid w:val="00643AFF"/>
    <w:rsid w:val="00643C2A"/>
    <w:rsid w:val="006471CC"/>
    <w:rsid w:val="006474A4"/>
    <w:rsid w:val="006474D5"/>
    <w:rsid w:val="0065079F"/>
    <w:rsid w:val="00651679"/>
    <w:rsid w:val="006525C3"/>
    <w:rsid w:val="006536AF"/>
    <w:rsid w:val="0065379F"/>
    <w:rsid w:val="00653DCE"/>
    <w:rsid w:val="00654FE6"/>
    <w:rsid w:val="006555B9"/>
    <w:rsid w:val="00656DA8"/>
    <w:rsid w:val="00657926"/>
    <w:rsid w:val="00660934"/>
    <w:rsid w:val="0066168A"/>
    <w:rsid w:val="00661C6B"/>
    <w:rsid w:val="0066211E"/>
    <w:rsid w:val="00662911"/>
    <w:rsid w:val="00662C4C"/>
    <w:rsid w:val="00662FF2"/>
    <w:rsid w:val="00663238"/>
    <w:rsid w:val="0066327D"/>
    <w:rsid w:val="00664B48"/>
    <w:rsid w:val="00664E91"/>
    <w:rsid w:val="00665D74"/>
    <w:rsid w:val="00666794"/>
    <w:rsid w:val="006706F7"/>
    <w:rsid w:val="0067080A"/>
    <w:rsid w:val="00671154"/>
    <w:rsid w:val="0067169D"/>
    <w:rsid w:val="0067215D"/>
    <w:rsid w:val="00673C43"/>
    <w:rsid w:val="00674E42"/>
    <w:rsid w:val="00676196"/>
    <w:rsid w:val="0067679A"/>
    <w:rsid w:val="00676CCF"/>
    <w:rsid w:val="00676DA9"/>
    <w:rsid w:val="00680107"/>
    <w:rsid w:val="0068045A"/>
    <w:rsid w:val="0068091A"/>
    <w:rsid w:val="00682112"/>
    <w:rsid w:val="006853B1"/>
    <w:rsid w:val="00686957"/>
    <w:rsid w:val="006872BA"/>
    <w:rsid w:val="00687EDF"/>
    <w:rsid w:val="0069042F"/>
    <w:rsid w:val="00691648"/>
    <w:rsid w:val="006917D7"/>
    <w:rsid w:val="00693DC6"/>
    <w:rsid w:val="0069442B"/>
    <w:rsid w:val="00694457"/>
    <w:rsid w:val="00694903"/>
    <w:rsid w:val="00694D7C"/>
    <w:rsid w:val="00694F44"/>
    <w:rsid w:val="006966A7"/>
    <w:rsid w:val="0069720F"/>
    <w:rsid w:val="00697BBB"/>
    <w:rsid w:val="006A091E"/>
    <w:rsid w:val="006A0938"/>
    <w:rsid w:val="006A0D62"/>
    <w:rsid w:val="006A285C"/>
    <w:rsid w:val="006A41B0"/>
    <w:rsid w:val="006A6C59"/>
    <w:rsid w:val="006A6D0E"/>
    <w:rsid w:val="006A7E5F"/>
    <w:rsid w:val="006A7EDB"/>
    <w:rsid w:val="006B0524"/>
    <w:rsid w:val="006B261B"/>
    <w:rsid w:val="006B2B19"/>
    <w:rsid w:val="006B2C90"/>
    <w:rsid w:val="006B350D"/>
    <w:rsid w:val="006B4313"/>
    <w:rsid w:val="006B47F8"/>
    <w:rsid w:val="006B4838"/>
    <w:rsid w:val="006B4A78"/>
    <w:rsid w:val="006B68EA"/>
    <w:rsid w:val="006B6DD0"/>
    <w:rsid w:val="006C054E"/>
    <w:rsid w:val="006C0F0F"/>
    <w:rsid w:val="006C2A8E"/>
    <w:rsid w:val="006C2D90"/>
    <w:rsid w:val="006C43BF"/>
    <w:rsid w:val="006C443B"/>
    <w:rsid w:val="006C5C09"/>
    <w:rsid w:val="006C6F99"/>
    <w:rsid w:val="006D0995"/>
    <w:rsid w:val="006D0E55"/>
    <w:rsid w:val="006D1888"/>
    <w:rsid w:val="006D3C7D"/>
    <w:rsid w:val="006D4412"/>
    <w:rsid w:val="006D5D5F"/>
    <w:rsid w:val="006D66C1"/>
    <w:rsid w:val="006E079C"/>
    <w:rsid w:val="006E1907"/>
    <w:rsid w:val="006E346C"/>
    <w:rsid w:val="006E39BA"/>
    <w:rsid w:val="006E3C9A"/>
    <w:rsid w:val="006E432E"/>
    <w:rsid w:val="006E71C9"/>
    <w:rsid w:val="006F18E8"/>
    <w:rsid w:val="006F1B23"/>
    <w:rsid w:val="006F306C"/>
    <w:rsid w:val="006F63A5"/>
    <w:rsid w:val="006F72C1"/>
    <w:rsid w:val="006F74BF"/>
    <w:rsid w:val="006F7C37"/>
    <w:rsid w:val="0070142B"/>
    <w:rsid w:val="00701F20"/>
    <w:rsid w:val="0070276E"/>
    <w:rsid w:val="00702838"/>
    <w:rsid w:val="00702F8F"/>
    <w:rsid w:val="007045A4"/>
    <w:rsid w:val="00704794"/>
    <w:rsid w:val="0070488A"/>
    <w:rsid w:val="00705701"/>
    <w:rsid w:val="007059B6"/>
    <w:rsid w:val="00705ADC"/>
    <w:rsid w:val="007060D9"/>
    <w:rsid w:val="007063A2"/>
    <w:rsid w:val="0070685F"/>
    <w:rsid w:val="0070771C"/>
    <w:rsid w:val="007078ED"/>
    <w:rsid w:val="00710A61"/>
    <w:rsid w:val="00711A36"/>
    <w:rsid w:val="00712D34"/>
    <w:rsid w:val="0071529C"/>
    <w:rsid w:val="00715C4B"/>
    <w:rsid w:val="007172AD"/>
    <w:rsid w:val="00720039"/>
    <w:rsid w:val="00720612"/>
    <w:rsid w:val="00721232"/>
    <w:rsid w:val="007219DF"/>
    <w:rsid w:val="007227E7"/>
    <w:rsid w:val="00722B1B"/>
    <w:rsid w:val="007238CA"/>
    <w:rsid w:val="0072416F"/>
    <w:rsid w:val="00724A86"/>
    <w:rsid w:val="00724B66"/>
    <w:rsid w:val="007263C2"/>
    <w:rsid w:val="00727C94"/>
    <w:rsid w:val="00731EAE"/>
    <w:rsid w:val="00735033"/>
    <w:rsid w:val="00735328"/>
    <w:rsid w:val="00735E8E"/>
    <w:rsid w:val="0073685B"/>
    <w:rsid w:val="00741B1F"/>
    <w:rsid w:val="00743908"/>
    <w:rsid w:val="00745C26"/>
    <w:rsid w:val="00746096"/>
    <w:rsid w:val="00746A07"/>
    <w:rsid w:val="00746CEA"/>
    <w:rsid w:val="00747594"/>
    <w:rsid w:val="00752142"/>
    <w:rsid w:val="007523F9"/>
    <w:rsid w:val="007534D3"/>
    <w:rsid w:val="00755DC8"/>
    <w:rsid w:val="00756995"/>
    <w:rsid w:val="007573E8"/>
    <w:rsid w:val="00760707"/>
    <w:rsid w:val="00760C4E"/>
    <w:rsid w:val="00761427"/>
    <w:rsid w:val="00763EA8"/>
    <w:rsid w:val="00765B1A"/>
    <w:rsid w:val="00766FCD"/>
    <w:rsid w:val="007706BD"/>
    <w:rsid w:val="00770702"/>
    <w:rsid w:val="00772A33"/>
    <w:rsid w:val="00772A53"/>
    <w:rsid w:val="00772CE7"/>
    <w:rsid w:val="00775957"/>
    <w:rsid w:val="00775CF3"/>
    <w:rsid w:val="00781331"/>
    <w:rsid w:val="007836CE"/>
    <w:rsid w:val="007843F2"/>
    <w:rsid w:val="00784B83"/>
    <w:rsid w:val="00784E91"/>
    <w:rsid w:val="00790124"/>
    <w:rsid w:val="00791AB0"/>
    <w:rsid w:val="00793903"/>
    <w:rsid w:val="00794224"/>
    <w:rsid w:val="007951D7"/>
    <w:rsid w:val="00796D0F"/>
    <w:rsid w:val="007972AB"/>
    <w:rsid w:val="007A01AA"/>
    <w:rsid w:val="007A0A12"/>
    <w:rsid w:val="007A132D"/>
    <w:rsid w:val="007A39AA"/>
    <w:rsid w:val="007A482B"/>
    <w:rsid w:val="007A4CAF"/>
    <w:rsid w:val="007B0D68"/>
    <w:rsid w:val="007B1BF3"/>
    <w:rsid w:val="007B251D"/>
    <w:rsid w:val="007B41C5"/>
    <w:rsid w:val="007B4F58"/>
    <w:rsid w:val="007B528D"/>
    <w:rsid w:val="007B5D59"/>
    <w:rsid w:val="007B77D1"/>
    <w:rsid w:val="007B78DB"/>
    <w:rsid w:val="007C1127"/>
    <w:rsid w:val="007C1CD9"/>
    <w:rsid w:val="007C1DF0"/>
    <w:rsid w:val="007C2821"/>
    <w:rsid w:val="007C361D"/>
    <w:rsid w:val="007C4984"/>
    <w:rsid w:val="007C4B84"/>
    <w:rsid w:val="007C4C6F"/>
    <w:rsid w:val="007C641C"/>
    <w:rsid w:val="007D004F"/>
    <w:rsid w:val="007D03F4"/>
    <w:rsid w:val="007D048B"/>
    <w:rsid w:val="007D0B38"/>
    <w:rsid w:val="007D190C"/>
    <w:rsid w:val="007D2AD4"/>
    <w:rsid w:val="007D4971"/>
    <w:rsid w:val="007D4A9D"/>
    <w:rsid w:val="007D5440"/>
    <w:rsid w:val="007D6F33"/>
    <w:rsid w:val="007D7AED"/>
    <w:rsid w:val="007E2193"/>
    <w:rsid w:val="007E3C4D"/>
    <w:rsid w:val="007E5C66"/>
    <w:rsid w:val="007E6E7B"/>
    <w:rsid w:val="007E6ED6"/>
    <w:rsid w:val="007E71D3"/>
    <w:rsid w:val="007E73C4"/>
    <w:rsid w:val="007F1017"/>
    <w:rsid w:val="007F1A69"/>
    <w:rsid w:val="007F224A"/>
    <w:rsid w:val="007F2B4B"/>
    <w:rsid w:val="007F2EE4"/>
    <w:rsid w:val="007F2FD0"/>
    <w:rsid w:val="007F3593"/>
    <w:rsid w:val="007F3B03"/>
    <w:rsid w:val="007F3B30"/>
    <w:rsid w:val="007F4668"/>
    <w:rsid w:val="007F4A3F"/>
    <w:rsid w:val="007F4A61"/>
    <w:rsid w:val="007F4BFC"/>
    <w:rsid w:val="007F61C2"/>
    <w:rsid w:val="007F64AB"/>
    <w:rsid w:val="008003E5"/>
    <w:rsid w:val="0080148C"/>
    <w:rsid w:val="00801C1F"/>
    <w:rsid w:val="008026BB"/>
    <w:rsid w:val="0080354D"/>
    <w:rsid w:val="00803D42"/>
    <w:rsid w:val="00805142"/>
    <w:rsid w:val="00805F26"/>
    <w:rsid w:val="00806248"/>
    <w:rsid w:val="00807A8B"/>
    <w:rsid w:val="00807F7E"/>
    <w:rsid w:val="00811383"/>
    <w:rsid w:val="00811804"/>
    <w:rsid w:val="00812149"/>
    <w:rsid w:val="00812CAC"/>
    <w:rsid w:val="008137AF"/>
    <w:rsid w:val="008138D5"/>
    <w:rsid w:val="00813A17"/>
    <w:rsid w:val="00813C0B"/>
    <w:rsid w:val="00813C25"/>
    <w:rsid w:val="008145B3"/>
    <w:rsid w:val="008166EF"/>
    <w:rsid w:val="00816B0E"/>
    <w:rsid w:val="00820C84"/>
    <w:rsid w:val="00820FC0"/>
    <w:rsid w:val="00821B47"/>
    <w:rsid w:val="00822ED6"/>
    <w:rsid w:val="00824C1E"/>
    <w:rsid w:val="008250E9"/>
    <w:rsid w:val="00825751"/>
    <w:rsid w:val="008264EB"/>
    <w:rsid w:val="00827588"/>
    <w:rsid w:val="00830D26"/>
    <w:rsid w:val="00831E75"/>
    <w:rsid w:val="00833B05"/>
    <w:rsid w:val="008362B4"/>
    <w:rsid w:val="00840218"/>
    <w:rsid w:val="00840CA2"/>
    <w:rsid w:val="0084374F"/>
    <w:rsid w:val="008443A2"/>
    <w:rsid w:val="00845645"/>
    <w:rsid w:val="00845AF4"/>
    <w:rsid w:val="008472DF"/>
    <w:rsid w:val="00847DF5"/>
    <w:rsid w:val="00850706"/>
    <w:rsid w:val="00851F59"/>
    <w:rsid w:val="0085309D"/>
    <w:rsid w:val="00853348"/>
    <w:rsid w:val="00853749"/>
    <w:rsid w:val="00853778"/>
    <w:rsid w:val="00853964"/>
    <w:rsid w:val="00854F91"/>
    <w:rsid w:val="00855B50"/>
    <w:rsid w:val="00855F35"/>
    <w:rsid w:val="00856897"/>
    <w:rsid w:val="00856E9A"/>
    <w:rsid w:val="00856EC1"/>
    <w:rsid w:val="00860222"/>
    <w:rsid w:val="0086075D"/>
    <w:rsid w:val="00861E44"/>
    <w:rsid w:val="00861EEB"/>
    <w:rsid w:val="00862429"/>
    <w:rsid w:val="0086244C"/>
    <w:rsid w:val="00862502"/>
    <w:rsid w:val="008633E5"/>
    <w:rsid w:val="00864A11"/>
    <w:rsid w:val="0086525E"/>
    <w:rsid w:val="008660D4"/>
    <w:rsid w:val="008666C1"/>
    <w:rsid w:val="008671DC"/>
    <w:rsid w:val="00867D87"/>
    <w:rsid w:val="00870715"/>
    <w:rsid w:val="008707B1"/>
    <w:rsid w:val="008719EE"/>
    <w:rsid w:val="00871FA9"/>
    <w:rsid w:val="008728E9"/>
    <w:rsid w:val="008735CB"/>
    <w:rsid w:val="008747E8"/>
    <w:rsid w:val="0088005C"/>
    <w:rsid w:val="00882874"/>
    <w:rsid w:val="00883787"/>
    <w:rsid w:val="00883F26"/>
    <w:rsid w:val="00883FDD"/>
    <w:rsid w:val="008848C6"/>
    <w:rsid w:val="00885B62"/>
    <w:rsid w:val="00886CD2"/>
    <w:rsid w:val="00892780"/>
    <w:rsid w:val="00892A36"/>
    <w:rsid w:val="00893239"/>
    <w:rsid w:val="00894489"/>
    <w:rsid w:val="00895181"/>
    <w:rsid w:val="00895AC6"/>
    <w:rsid w:val="008963A5"/>
    <w:rsid w:val="00896B21"/>
    <w:rsid w:val="008A00E3"/>
    <w:rsid w:val="008A083E"/>
    <w:rsid w:val="008A0852"/>
    <w:rsid w:val="008A1816"/>
    <w:rsid w:val="008A2CDB"/>
    <w:rsid w:val="008A3363"/>
    <w:rsid w:val="008A3371"/>
    <w:rsid w:val="008A3C3E"/>
    <w:rsid w:val="008A3DF8"/>
    <w:rsid w:val="008A4286"/>
    <w:rsid w:val="008A4C00"/>
    <w:rsid w:val="008A5755"/>
    <w:rsid w:val="008A6E1E"/>
    <w:rsid w:val="008A7403"/>
    <w:rsid w:val="008A79DE"/>
    <w:rsid w:val="008B0E32"/>
    <w:rsid w:val="008B1757"/>
    <w:rsid w:val="008B52E3"/>
    <w:rsid w:val="008B5527"/>
    <w:rsid w:val="008B6DC0"/>
    <w:rsid w:val="008B7D7E"/>
    <w:rsid w:val="008C0110"/>
    <w:rsid w:val="008C0BDE"/>
    <w:rsid w:val="008C0C4A"/>
    <w:rsid w:val="008C293C"/>
    <w:rsid w:val="008C3CED"/>
    <w:rsid w:val="008C4C55"/>
    <w:rsid w:val="008C5935"/>
    <w:rsid w:val="008C6997"/>
    <w:rsid w:val="008C7ECB"/>
    <w:rsid w:val="008D0C3E"/>
    <w:rsid w:val="008D265C"/>
    <w:rsid w:val="008D2C2D"/>
    <w:rsid w:val="008D31E4"/>
    <w:rsid w:val="008D4119"/>
    <w:rsid w:val="008D46A7"/>
    <w:rsid w:val="008D4755"/>
    <w:rsid w:val="008D4A3A"/>
    <w:rsid w:val="008D4C3D"/>
    <w:rsid w:val="008D571B"/>
    <w:rsid w:val="008D7AA5"/>
    <w:rsid w:val="008E0D3C"/>
    <w:rsid w:val="008E1B9E"/>
    <w:rsid w:val="008E32E7"/>
    <w:rsid w:val="008E39E0"/>
    <w:rsid w:val="008E3FD0"/>
    <w:rsid w:val="008E45FD"/>
    <w:rsid w:val="008E55AB"/>
    <w:rsid w:val="008E7ED2"/>
    <w:rsid w:val="008F120A"/>
    <w:rsid w:val="008F127B"/>
    <w:rsid w:val="008F27E0"/>
    <w:rsid w:val="008F37A2"/>
    <w:rsid w:val="008F48EB"/>
    <w:rsid w:val="008F4F0B"/>
    <w:rsid w:val="008F670A"/>
    <w:rsid w:val="008F67CB"/>
    <w:rsid w:val="009006DF"/>
    <w:rsid w:val="00900FB4"/>
    <w:rsid w:val="0090156E"/>
    <w:rsid w:val="00901641"/>
    <w:rsid w:val="00901749"/>
    <w:rsid w:val="00902D22"/>
    <w:rsid w:val="009046C4"/>
    <w:rsid w:val="00904A8B"/>
    <w:rsid w:val="00905789"/>
    <w:rsid w:val="00905A4F"/>
    <w:rsid w:val="009062A5"/>
    <w:rsid w:val="00906A9C"/>
    <w:rsid w:val="009077B2"/>
    <w:rsid w:val="00907831"/>
    <w:rsid w:val="009102DA"/>
    <w:rsid w:val="00911272"/>
    <w:rsid w:val="0091222D"/>
    <w:rsid w:val="009135D6"/>
    <w:rsid w:val="0091455C"/>
    <w:rsid w:val="0091483B"/>
    <w:rsid w:val="0091493C"/>
    <w:rsid w:val="00914C77"/>
    <w:rsid w:val="00914CEF"/>
    <w:rsid w:val="00914DDE"/>
    <w:rsid w:val="009177D7"/>
    <w:rsid w:val="009208EE"/>
    <w:rsid w:val="00920EFE"/>
    <w:rsid w:val="00921196"/>
    <w:rsid w:val="009211E6"/>
    <w:rsid w:val="009219A5"/>
    <w:rsid w:val="00923042"/>
    <w:rsid w:val="0092369B"/>
    <w:rsid w:val="00923F4B"/>
    <w:rsid w:val="00925BCB"/>
    <w:rsid w:val="00925F62"/>
    <w:rsid w:val="0092707E"/>
    <w:rsid w:val="00927569"/>
    <w:rsid w:val="00927F5E"/>
    <w:rsid w:val="0093164A"/>
    <w:rsid w:val="00931A99"/>
    <w:rsid w:val="0093225B"/>
    <w:rsid w:val="00932830"/>
    <w:rsid w:val="00932D40"/>
    <w:rsid w:val="00935B60"/>
    <w:rsid w:val="00937E69"/>
    <w:rsid w:val="00941DF6"/>
    <w:rsid w:val="00941EB9"/>
    <w:rsid w:val="009426CB"/>
    <w:rsid w:val="00943D90"/>
    <w:rsid w:val="00946F2A"/>
    <w:rsid w:val="00947B79"/>
    <w:rsid w:val="009510A2"/>
    <w:rsid w:val="00953257"/>
    <w:rsid w:val="00953A40"/>
    <w:rsid w:val="009551CD"/>
    <w:rsid w:val="00955B2C"/>
    <w:rsid w:val="00956729"/>
    <w:rsid w:val="00960A52"/>
    <w:rsid w:val="00962162"/>
    <w:rsid w:val="0096240C"/>
    <w:rsid w:val="0096294A"/>
    <w:rsid w:val="00962CB9"/>
    <w:rsid w:val="00964312"/>
    <w:rsid w:val="00964AAC"/>
    <w:rsid w:val="00965B8A"/>
    <w:rsid w:val="00965BE8"/>
    <w:rsid w:val="00966736"/>
    <w:rsid w:val="00966EF6"/>
    <w:rsid w:val="0096782A"/>
    <w:rsid w:val="00967C31"/>
    <w:rsid w:val="00970462"/>
    <w:rsid w:val="00970859"/>
    <w:rsid w:val="00970E3D"/>
    <w:rsid w:val="009717AC"/>
    <w:rsid w:val="00972EDC"/>
    <w:rsid w:val="00973E2D"/>
    <w:rsid w:val="00974936"/>
    <w:rsid w:val="00976653"/>
    <w:rsid w:val="00982641"/>
    <w:rsid w:val="009830B1"/>
    <w:rsid w:val="009837EF"/>
    <w:rsid w:val="009839EE"/>
    <w:rsid w:val="00983BED"/>
    <w:rsid w:val="00983E57"/>
    <w:rsid w:val="00983F05"/>
    <w:rsid w:val="00984E85"/>
    <w:rsid w:val="00984F20"/>
    <w:rsid w:val="00985BCD"/>
    <w:rsid w:val="0098675D"/>
    <w:rsid w:val="00986C7E"/>
    <w:rsid w:val="00987396"/>
    <w:rsid w:val="009877F9"/>
    <w:rsid w:val="00990800"/>
    <w:rsid w:val="0099125B"/>
    <w:rsid w:val="00992BFF"/>
    <w:rsid w:val="00994A39"/>
    <w:rsid w:val="00994A4B"/>
    <w:rsid w:val="0099516B"/>
    <w:rsid w:val="00996A6D"/>
    <w:rsid w:val="00996B1A"/>
    <w:rsid w:val="00996FA2"/>
    <w:rsid w:val="00997060"/>
    <w:rsid w:val="009A0064"/>
    <w:rsid w:val="009A1724"/>
    <w:rsid w:val="009A2168"/>
    <w:rsid w:val="009A5370"/>
    <w:rsid w:val="009A561B"/>
    <w:rsid w:val="009A5CE0"/>
    <w:rsid w:val="009A7F10"/>
    <w:rsid w:val="009B0649"/>
    <w:rsid w:val="009B0B09"/>
    <w:rsid w:val="009B0D76"/>
    <w:rsid w:val="009B334D"/>
    <w:rsid w:val="009B33FF"/>
    <w:rsid w:val="009B3E26"/>
    <w:rsid w:val="009B3F10"/>
    <w:rsid w:val="009B4306"/>
    <w:rsid w:val="009B4D73"/>
    <w:rsid w:val="009B7CA3"/>
    <w:rsid w:val="009C19B5"/>
    <w:rsid w:val="009C2782"/>
    <w:rsid w:val="009C5067"/>
    <w:rsid w:val="009C5B24"/>
    <w:rsid w:val="009C6CEA"/>
    <w:rsid w:val="009C7B85"/>
    <w:rsid w:val="009C7C2D"/>
    <w:rsid w:val="009C7D65"/>
    <w:rsid w:val="009D0D49"/>
    <w:rsid w:val="009D17C5"/>
    <w:rsid w:val="009D31A7"/>
    <w:rsid w:val="009D3EDB"/>
    <w:rsid w:val="009D50D1"/>
    <w:rsid w:val="009D5B91"/>
    <w:rsid w:val="009D5EE2"/>
    <w:rsid w:val="009D6E8D"/>
    <w:rsid w:val="009D792E"/>
    <w:rsid w:val="009E08BB"/>
    <w:rsid w:val="009E0A42"/>
    <w:rsid w:val="009E0CF7"/>
    <w:rsid w:val="009E0DFE"/>
    <w:rsid w:val="009E1CF9"/>
    <w:rsid w:val="009E2B8E"/>
    <w:rsid w:val="009E2DEC"/>
    <w:rsid w:val="009E375D"/>
    <w:rsid w:val="009E4C07"/>
    <w:rsid w:val="009E50A2"/>
    <w:rsid w:val="009E52D5"/>
    <w:rsid w:val="009E549B"/>
    <w:rsid w:val="009E6351"/>
    <w:rsid w:val="009E7ADB"/>
    <w:rsid w:val="009F04C0"/>
    <w:rsid w:val="009F05A7"/>
    <w:rsid w:val="009F1345"/>
    <w:rsid w:val="009F3170"/>
    <w:rsid w:val="009F4827"/>
    <w:rsid w:val="009F5F9A"/>
    <w:rsid w:val="009F6958"/>
    <w:rsid w:val="009F6BBE"/>
    <w:rsid w:val="009F6FE9"/>
    <w:rsid w:val="009F7E80"/>
    <w:rsid w:val="00A01184"/>
    <w:rsid w:val="00A019DE"/>
    <w:rsid w:val="00A0210C"/>
    <w:rsid w:val="00A03BC2"/>
    <w:rsid w:val="00A03D43"/>
    <w:rsid w:val="00A04380"/>
    <w:rsid w:val="00A04480"/>
    <w:rsid w:val="00A04897"/>
    <w:rsid w:val="00A05AA5"/>
    <w:rsid w:val="00A11CD0"/>
    <w:rsid w:val="00A12D1D"/>
    <w:rsid w:val="00A13948"/>
    <w:rsid w:val="00A140F8"/>
    <w:rsid w:val="00A1555B"/>
    <w:rsid w:val="00A155C5"/>
    <w:rsid w:val="00A15757"/>
    <w:rsid w:val="00A15F8E"/>
    <w:rsid w:val="00A169F9"/>
    <w:rsid w:val="00A16AD8"/>
    <w:rsid w:val="00A200C8"/>
    <w:rsid w:val="00A21CF3"/>
    <w:rsid w:val="00A21E07"/>
    <w:rsid w:val="00A2225D"/>
    <w:rsid w:val="00A2372E"/>
    <w:rsid w:val="00A239F9"/>
    <w:rsid w:val="00A25008"/>
    <w:rsid w:val="00A25B95"/>
    <w:rsid w:val="00A26049"/>
    <w:rsid w:val="00A276BA"/>
    <w:rsid w:val="00A27AEC"/>
    <w:rsid w:val="00A3102C"/>
    <w:rsid w:val="00A311E0"/>
    <w:rsid w:val="00A31DC6"/>
    <w:rsid w:val="00A320DB"/>
    <w:rsid w:val="00A3350E"/>
    <w:rsid w:val="00A345C0"/>
    <w:rsid w:val="00A35D16"/>
    <w:rsid w:val="00A35EC4"/>
    <w:rsid w:val="00A37BCD"/>
    <w:rsid w:val="00A37C38"/>
    <w:rsid w:val="00A37F62"/>
    <w:rsid w:val="00A40439"/>
    <w:rsid w:val="00A40B41"/>
    <w:rsid w:val="00A40BFC"/>
    <w:rsid w:val="00A43078"/>
    <w:rsid w:val="00A43848"/>
    <w:rsid w:val="00A43C47"/>
    <w:rsid w:val="00A43C59"/>
    <w:rsid w:val="00A50ECD"/>
    <w:rsid w:val="00A518F3"/>
    <w:rsid w:val="00A526D5"/>
    <w:rsid w:val="00A52729"/>
    <w:rsid w:val="00A53571"/>
    <w:rsid w:val="00A53675"/>
    <w:rsid w:val="00A54438"/>
    <w:rsid w:val="00A54A08"/>
    <w:rsid w:val="00A54F05"/>
    <w:rsid w:val="00A552C8"/>
    <w:rsid w:val="00A56352"/>
    <w:rsid w:val="00A564D7"/>
    <w:rsid w:val="00A56B6A"/>
    <w:rsid w:val="00A578DC"/>
    <w:rsid w:val="00A61587"/>
    <w:rsid w:val="00A61784"/>
    <w:rsid w:val="00A62CB5"/>
    <w:rsid w:val="00A63D66"/>
    <w:rsid w:val="00A640EB"/>
    <w:rsid w:val="00A64B6E"/>
    <w:rsid w:val="00A64DA5"/>
    <w:rsid w:val="00A64FA5"/>
    <w:rsid w:val="00A65FBD"/>
    <w:rsid w:val="00A66D6A"/>
    <w:rsid w:val="00A66EBF"/>
    <w:rsid w:val="00A6725B"/>
    <w:rsid w:val="00A70605"/>
    <w:rsid w:val="00A70B03"/>
    <w:rsid w:val="00A70E72"/>
    <w:rsid w:val="00A73097"/>
    <w:rsid w:val="00A73134"/>
    <w:rsid w:val="00A73A91"/>
    <w:rsid w:val="00A73DDF"/>
    <w:rsid w:val="00A74027"/>
    <w:rsid w:val="00A75FAA"/>
    <w:rsid w:val="00A760C3"/>
    <w:rsid w:val="00A777B2"/>
    <w:rsid w:val="00A80ADF"/>
    <w:rsid w:val="00A83890"/>
    <w:rsid w:val="00A83910"/>
    <w:rsid w:val="00A83C2C"/>
    <w:rsid w:val="00A858A5"/>
    <w:rsid w:val="00A86E8B"/>
    <w:rsid w:val="00A87164"/>
    <w:rsid w:val="00A879A4"/>
    <w:rsid w:val="00A90878"/>
    <w:rsid w:val="00A922CA"/>
    <w:rsid w:val="00A93072"/>
    <w:rsid w:val="00A930AC"/>
    <w:rsid w:val="00A93953"/>
    <w:rsid w:val="00A94F24"/>
    <w:rsid w:val="00A959D8"/>
    <w:rsid w:val="00A96A54"/>
    <w:rsid w:val="00A96B5A"/>
    <w:rsid w:val="00A96EC3"/>
    <w:rsid w:val="00A970A9"/>
    <w:rsid w:val="00AA09EB"/>
    <w:rsid w:val="00AA113D"/>
    <w:rsid w:val="00AA3C1E"/>
    <w:rsid w:val="00AA40C2"/>
    <w:rsid w:val="00AA4662"/>
    <w:rsid w:val="00AA6C7D"/>
    <w:rsid w:val="00AA7037"/>
    <w:rsid w:val="00AA76AF"/>
    <w:rsid w:val="00AA7FD6"/>
    <w:rsid w:val="00AB042A"/>
    <w:rsid w:val="00AB22D1"/>
    <w:rsid w:val="00AB2D34"/>
    <w:rsid w:val="00AB3430"/>
    <w:rsid w:val="00AB4AD1"/>
    <w:rsid w:val="00AB692E"/>
    <w:rsid w:val="00AB7707"/>
    <w:rsid w:val="00AB7CFA"/>
    <w:rsid w:val="00AC0541"/>
    <w:rsid w:val="00AC06E6"/>
    <w:rsid w:val="00AC45BC"/>
    <w:rsid w:val="00AC4D66"/>
    <w:rsid w:val="00AC573C"/>
    <w:rsid w:val="00AC5B48"/>
    <w:rsid w:val="00AC5BBF"/>
    <w:rsid w:val="00AC611E"/>
    <w:rsid w:val="00AC667C"/>
    <w:rsid w:val="00AC695C"/>
    <w:rsid w:val="00AC6E6D"/>
    <w:rsid w:val="00AD0AD9"/>
    <w:rsid w:val="00AD2AB2"/>
    <w:rsid w:val="00AD3327"/>
    <w:rsid w:val="00AD3D8F"/>
    <w:rsid w:val="00AD457E"/>
    <w:rsid w:val="00AD4B37"/>
    <w:rsid w:val="00AD5F1C"/>
    <w:rsid w:val="00AD6502"/>
    <w:rsid w:val="00AD7823"/>
    <w:rsid w:val="00AE0850"/>
    <w:rsid w:val="00AE1B6C"/>
    <w:rsid w:val="00AE1E5B"/>
    <w:rsid w:val="00AE28D5"/>
    <w:rsid w:val="00AF1315"/>
    <w:rsid w:val="00AF16B3"/>
    <w:rsid w:val="00AF19BF"/>
    <w:rsid w:val="00AF2DC3"/>
    <w:rsid w:val="00AF2F70"/>
    <w:rsid w:val="00AF3857"/>
    <w:rsid w:val="00AF4F1F"/>
    <w:rsid w:val="00AF509B"/>
    <w:rsid w:val="00AF6546"/>
    <w:rsid w:val="00AF6B30"/>
    <w:rsid w:val="00B010A5"/>
    <w:rsid w:val="00B01DE2"/>
    <w:rsid w:val="00B033E5"/>
    <w:rsid w:val="00B03A63"/>
    <w:rsid w:val="00B055BF"/>
    <w:rsid w:val="00B0640F"/>
    <w:rsid w:val="00B07222"/>
    <w:rsid w:val="00B10045"/>
    <w:rsid w:val="00B1028E"/>
    <w:rsid w:val="00B110D3"/>
    <w:rsid w:val="00B11877"/>
    <w:rsid w:val="00B1279F"/>
    <w:rsid w:val="00B14452"/>
    <w:rsid w:val="00B15458"/>
    <w:rsid w:val="00B16ADA"/>
    <w:rsid w:val="00B17BF7"/>
    <w:rsid w:val="00B201A4"/>
    <w:rsid w:val="00B213A6"/>
    <w:rsid w:val="00B23026"/>
    <w:rsid w:val="00B23C3D"/>
    <w:rsid w:val="00B24DF6"/>
    <w:rsid w:val="00B27648"/>
    <w:rsid w:val="00B30D8E"/>
    <w:rsid w:val="00B329A6"/>
    <w:rsid w:val="00B33471"/>
    <w:rsid w:val="00B343CB"/>
    <w:rsid w:val="00B34FE2"/>
    <w:rsid w:val="00B35504"/>
    <w:rsid w:val="00B357D8"/>
    <w:rsid w:val="00B36FE6"/>
    <w:rsid w:val="00B37BFC"/>
    <w:rsid w:val="00B4014E"/>
    <w:rsid w:val="00B40358"/>
    <w:rsid w:val="00B40A23"/>
    <w:rsid w:val="00B4130E"/>
    <w:rsid w:val="00B414CC"/>
    <w:rsid w:val="00B41614"/>
    <w:rsid w:val="00B41CB8"/>
    <w:rsid w:val="00B42851"/>
    <w:rsid w:val="00B42CD0"/>
    <w:rsid w:val="00B42F80"/>
    <w:rsid w:val="00B435CB"/>
    <w:rsid w:val="00B44B82"/>
    <w:rsid w:val="00B45DF9"/>
    <w:rsid w:val="00B50032"/>
    <w:rsid w:val="00B50DB8"/>
    <w:rsid w:val="00B5182C"/>
    <w:rsid w:val="00B5318F"/>
    <w:rsid w:val="00B53654"/>
    <w:rsid w:val="00B53905"/>
    <w:rsid w:val="00B54B5B"/>
    <w:rsid w:val="00B55170"/>
    <w:rsid w:val="00B5562E"/>
    <w:rsid w:val="00B57000"/>
    <w:rsid w:val="00B608C3"/>
    <w:rsid w:val="00B60939"/>
    <w:rsid w:val="00B60AFD"/>
    <w:rsid w:val="00B60EDB"/>
    <w:rsid w:val="00B61EBF"/>
    <w:rsid w:val="00B62715"/>
    <w:rsid w:val="00B62ABC"/>
    <w:rsid w:val="00B65192"/>
    <w:rsid w:val="00B6637B"/>
    <w:rsid w:val="00B66482"/>
    <w:rsid w:val="00B75945"/>
    <w:rsid w:val="00B801E0"/>
    <w:rsid w:val="00B818A4"/>
    <w:rsid w:val="00B84117"/>
    <w:rsid w:val="00B84C7A"/>
    <w:rsid w:val="00B85AA2"/>
    <w:rsid w:val="00B86166"/>
    <w:rsid w:val="00B8649C"/>
    <w:rsid w:val="00B86527"/>
    <w:rsid w:val="00B86DD2"/>
    <w:rsid w:val="00B86EF6"/>
    <w:rsid w:val="00B86F09"/>
    <w:rsid w:val="00B87F0A"/>
    <w:rsid w:val="00B90344"/>
    <w:rsid w:val="00B92237"/>
    <w:rsid w:val="00B92D0B"/>
    <w:rsid w:val="00B94371"/>
    <w:rsid w:val="00B94481"/>
    <w:rsid w:val="00B944B6"/>
    <w:rsid w:val="00B945FF"/>
    <w:rsid w:val="00B94945"/>
    <w:rsid w:val="00B9544A"/>
    <w:rsid w:val="00B960B9"/>
    <w:rsid w:val="00B96901"/>
    <w:rsid w:val="00BA2A59"/>
    <w:rsid w:val="00BA322D"/>
    <w:rsid w:val="00BA3570"/>
    <w:rsid w:val="00BA5D43"/>
    <w:rsid w:val="00BA6201"/>
    <w:rsid w:val="00BA6AC5"/>
    <w:rsid w:val="00BA70FB"/>
    <w:rsid w:val="00BA71A3"/>
    <w:rsid w:val="00BA7B38"/>
    <w:rsid w:val="00BB0BDD"/>
    <w:rsid w:val="00BB1338"/>
    <w:rsid w:val="00BB1448"/>
    <w:rsid w:val="00BB26B1"/>
    <w:rsid w:val="00BB2A73"/>
    <w:rsid w:val="00BB2AD5"/>
    <w:rsid w:val="00BB3809"/>
    <w:rsid w:val="00BB4ACC"/>
    <w:rsid w:val="00BB60E9"/>
    <w:rsid w:val="00BB6FE3"/>
    <w:rsid w:val="00BB703E"/>
    <w:rsid w:val="00BB7405"/>
    <w:rsid w:val="00BC0904"/>
    <w:rsid w:val="00BC0C27"/>
    <w:rsid w:val="00BC3631"/>
    <w:rsid w:val="00BC3A2F"/>
    <w:rsid w:val="00BC3E4A"/>
    <w:rsid w:val="00BC5B17"/>
    <w:rsid w:val="00BC5DB5"/>
    <w:rsid w:val="00BD028D"/>
    <w:rsid w:val="00BD2187"/>
    <w:rsid w:val="00BD68A3"/>
    <w:rsid w:val="00BD6938"/>
    <w:rsid w:val="00BD6CF3"/>
    <w:rsid w:val="00BD70DB"/>
    <w:rsid w:val="00BD72E6"/>
    <w:rsid w:val="00BE0F0F"/>
    <w:rsid w:val="00BE11FE"/>
    <w:rsid w:val="00BE1782"/>
    <w:rsid w:val="00BE2180"/>
    <w:rsid w:val="00BE21F2"/>
    <w:rsid w:val="00BE4104"/>
    <w:rsid w:val="00BE41BD"/>
    <w:rsid w:val="00BE4275"/>
    <w:rsid w:val="00BE5294"/>
    <w:rsid w:val="00BE5C59"/>
    <w:rsid w:val="00BE7213"/>
    <w:rsid w:val="00BE7F36"/>
    <w:rsid w:val="00BF0511"/>
    <w:rsid w:val="00BF0781"/>
    <w:rsid w:val="00BF0F95"/>
    <w:rsid w:val="00BF10E1"/>
    <w:rsid w:val="00BF2433"/>
    <w:rsid w:val="00BF3655"/>
    <w:rsid w:val="00BF4936"/>
    <w:rsid w:val="00BF5F79"/>
    <w:rsid w:val="00BF61C9"/>
    <w:rsid w:val="00BF6C94"/>
    <w:rsid w:val="00C00424"/>
    <w:rsid w:val="00C0255B"/>
    <w:rsid w:val="00C031D5"/>
    <w:rsid w:val="00C05B89"/>
    <w:rsid w:val="00C06698"/>
    <w:rsid w:val="00C07790"/>
    <w:rsid w:val="00C106B5"/>
    <w:rsid w:val="00C11B8A"/>
    <w:rsid w:val="00C12C14"/>
    <w:rsid w:val="00C13ADC"/>
    <w:rsid w:val="00C13E33"/>
    <w:rsid w:val="00C14A67"/>
    <w:rsid w:val="00C15819"/>
    <w:rsid w:val="00C15875"/>
    <w:rsid w:val="00C16B3B"/>
    <w:rsid w:val="00C16EFF"/>
    <w:rsid w:val="00C17452"/>
    <w:rsid w:val="00C200AA"/>
    <w:rsid w:val="00C200F0"/>
    <w:rsid w:val="00C20624"/>
    <w:rsid w:val="00C20800"/>
    <w:rsid w:val="00C23717"/>
    <w:rsid w:val="00C237ED"/>
    <w:rsid w:val="00C24632"/>
    <w:rsid w:val="00C24C30"/>
    <w:rsid w:val="00C25418"/>
    <w:rsid w:val="00C25D9C"/>
    <w:rsid w:val="00C263A4"/>
    <w:rsid w:val="00C2778B"/>
    <w:rsid w:val="00C30BDD"/>
    <w:rsid w:val="00C31649"/>
    <w:rsid w:val="00C332FA"/>
    <w:rsid w:val="00C335EB"/>
    <w:rsid w:val="00C3371F"/>
    <w:rsid w:val="00C33CA2"/>
    <w:rsid w:val="00C352D6"/>
    <w:rsid w:val="00C36ACD"/>
    <w:rsid w:val="00C40385"/>
    <w:rsid w:val="00C41943"/>
    <w:rsid w:val="00C41C5B"/>
    <w:rsid w:val="00C43A44"/>
    <w:rsid w:val="00C446D2"/>
    <w:rsid w:val="00C475AA"/>
    <w:rsid w:val="00C47B15"/>
    <w:rsid w:val="00C52104"/>
    <w:rsid w:val="00C525E6"/>
    <w:rsid w:val="00C55259"/>
    <w:rsid w:val="00C56267"/>
    <w:rsid w:val="00C56351"/>
    <w:rsid w:val="00C57414"/>
    <w:rsid w:val="00C57F74"/>
    <w:rsid w:val="00C62B87"/>
    <w:rsid w:val="00C6457F"/>
    <w:rsid w:val="00C64F1D"/>
    <w:rsid w:val="00C65576"/>
    <w:rsid w:val="00C66165"/>
    <w:rsid w:val="00C714D8"/>
    <w:rsid w:val="00C7151A"/>
    <w:rsid w:val="00C71893"/>
    <w:rsid w:val="00C71F60"/>
    <w:rsid w:val="00C72241"/>
    <w:rsid w:val="00C740AD"/>
    <w:rsid w:val="00C750C8"/>
    <w:rsid w:val="00C7560F"/>
    <w:rsid w:val="00C75D10"/>
    <w:rsid w:val="00C764CC"/>
    <w:rsid w:val="00C767F1"/>
    <w:rsid w:val="00C772F3"/>
    <w:rsid w:val="00C80A0E"/>
    <w:rsid w:val="00C80D34"/>
    <w:rsid w:val="00C81088"/>
    <w:rsid w:val="00C8213F"/>
    <w:rsid w:val="00C825E9"/>
    <w:rsid w:val="00C83160"/>
    <w:rsid w:val="00C840C7"/>
    <w:rsid w:val="00C8679A"/>
    <w:rsid w:val="00C8797A"/>
    <w:rsid w:val="00C900B8"/>
    <w:rsid w:val="00C90C71"/>
    <w:rsid w:val="00C9182E"/>
    <w:rsid w:val="00C91E80"/>
    <w:rsid w:val="00C92492"/>
    <w:rsid w:val="00C9262B"/>
    <w:rsid w:val="00C931CF"/>
    <w:rsid w:val="00C938CF"/>
    <w:rsid w:val="00C93B2A"/>
    <w:rsid w:val="00C940C4"/>
    <w:rsid w:val="00C9482E"/>
    <w:rsid w:val="00C957E0"/>
    <w:rsid w:val="00C9624D"/>
    <w:rsid w:val="00C964D2"/>
    <w:rsid w:val="00C966A1"/>
    <w:rsid w:val="00C969DA"/>
    <w:rsid w:val="00C96C77"/>
    <w:rsid w:val="00CA2C77"/>
    <w:rsid w:val="00CA3C57"/>
    <w:rsid w:val="00CA444F"/>
    <w:rsid w:val="00CA512B"/>
    <w:rsid w:val="00CA5245"/>
    <w:rsid w:val="00CA671A"/>
    <w:rsid w:val="00CA71F4"/>
    <w:rsid w:val="00CA7B09"/>
    <w:rsid w:val="00CB1DC5"/>
    <w:rsid w:val="00CB1DF5"/>
    <w:rsid w:val="00CB2F2A"/>
    <w:rsid w:val="00CB38DB"/>
    <w:rsid w:val="00CB50D3"/>
    <w:rsid w:val="00CB529E"/>
    <w:rsid w:val="00CB5B1A"/>
    <w:rsid w:val="00CB6B22"/>
    <w:rsid w:val="00CB752F"/>
    <w:rsid w:val="00CB7F5F"/>
    <w:rsid w:val="00CC0300"/>
    <w:rsid w:val="00CC0F22"/>
    <w:rsid w:val="00CC1ABD"/>
    <w:rsid w:val="00CC1B39"/>
    <w:rsid w:val="00CC2A6F"/>
    <w:rsid w:val="00CC427C"/>
    <w:rsid w:val="00CC5037"/>
    <w:rsid w:val="00CC5133"/>
    <w:rsid w:val="00CC6385"/>
    <w:rsid w:val="00CC71D6"/>
    <w:rsid w:val="00CD0A40"/>
    <w:rsid w:val="00CD0F68"/>
    <w:rsid w:val="00CD2DAC"/>
    <w:rsid w:val="00CD37CB"/>
    <w:rsid w:val="00CD6ADC"/>
    <w:rsid w:val="00CD7258"/>
    <w:rsid w:val="00CE32F8"/>
    <w:rsid w:val="00CE5AD4"/>
    <w:rsid w:val="00CE5E2A"/>
    <w:rsid w:val="00CE6274"/>
    <w:rsid w:val="00CE677D"/>
    <w:rsid w:val="00CE747D"/>
    <w:rsid w:val="00CF1E30"/>
    <w:rsid w:val="00CF2B8D"/>
    <w:rsid w:val="00CF3FB0"/>
    <w:rsid w:val="00CF44C6"/>
    <w:rsid w:val="00CF456B"/>
    <w:rsid w:val="00CF4F38"/>
    <w:rsid w:val="00CF5A22"/>
    <w:rsid w:val="00D003B0"/>
    <w:rsid w:val="00D01160"/>
    <w:rsid w:val="00D011DB"/>
    <w:rsid w:val="00D0262E"/>
    <w:rsid w:val="00D02DD0"/>
    <w:rsid w:val="00D03747"/>
    <w:rsid w:val="00D0418C"/>
    <w:rsid w:val="00D07E28"/>
    <w:rsid w:val="00D110BD"/>
    <w:rsid w:val="00D11F16"/>
    <w:rsid w:val="00D1309D"/>
    <w:rsid w:val="00D13675"/>
    <w:rsid w:val="00D141E1"/>
    <w:rsid w:val="00D14656"/>
    <w:rsid w:val="00D1781E"/>
    <w:rsid w:val="00D17BB3"/>
    <w:rsid w:val="00D17D6C"/>
    <w:rsid w:val="00D20A02"/>
    <w:rsid w:val="00D20D8A"/>
    <w:rsid w:val="00D214B5"/>
    <w:rsid w:val="00D22EEB"/>
    <w:rsid w:val="00D23D3A"/>
    <w:rsid w:val="00D24419"/>
    <w:rsid w:val="00D25244"/>
    <w:rsid w:val="00D2570F"/>
    <w:rsid w:val="00D2754D"/>
    <w:rsid w:val="00D27B27"/>
    <w:rsid w:val="00D3196C"/>
    <w:rsid w:val="00D31DA9"/>
    <w:rsid w:val="00D33451"/>
    <w:rsid w:val="00D33BE9"/>
    <w:rsid w:val="00D3495A"/>
    <w:rsid w:val="00D34E63"/>
    <w:rsid w:val="00D35289"/>
    <w:rsid w:val="00D357FF"/>
    <w:rsid w:val="00D35908"/>
    <w:rsid w:val="00D36AD2"/>
    <w:rsid w:val="00D418BE"/>
    <w:rsid w:val="00D42039"/>
    <w:rsid w:val="00D424C7"/>
    <w:rsid w:val="00D43B2A"/>
    <w:rsid w:val="00D43C77"/>
    <w:rsid w:val="00D4489B"/>
    <w:rsid w:val="00D44BD6"/>
    <w:rsid w:val="00D45030"/>
    <w:rsid w:val="00D45B34"/>
    <w:rsid w:val="00D47575"/>
    <w:rsid w:val="00D47C18"/>
    <w:rsid w:val="00D51358"/>
    <w:rsid w:val="00D51415"/>
    <w:rsid w:val="00D5286F"/>
    <w:rsid w:val="00D52CBA"/>
    <w:rsid w:val="00D54E15"/>
    <w:rsid w:val="00D5552C"/>
    <w:rsid w:val="00D56AF9"/>
    <w:rsid w:val="00D57712"/>
    <w:rsid w:val="00D6002C"/>
    <w:rsid w:val="00D6054A"/>
    <w:rsid w:val="00D618F8"/>
    <w:rsid w:val="00D63929"/>
    <w:rsid w:val="00D641D8"/>
    <w:rsid w:val="00D64A1B"/>
    <w:rsid w:val="00D6637B"/>
    <w:rsid w:val="00D6745A"/>
    <w:rsid w:val="00D67EAC"/>
    <w:rsid w:val="00D70F16"/>
    <w:rsid w:val="00D71166"/>
    <w:rsid w:val="00D71224"/>
    <w:rsid w:val="00D713E4"/>
    <w:rsid w:val="00D74FD5"/>
    <w:rsid w:val="00D76A44"/>
    <w:rsid w:val="00D81369"/>
    <w:rsid w:val="00D815EF"/>
    <w:rsid w:val="00D81787"/>
    <w:rsid w:val="00D81F7C"/>
    <w:rsid w:val="00D82E41"/>
    <w:rsid w:val="00D83939"/>
    <w:rsid w:val="00D8456C"/>
    <w:rsid w:val="00D84A0C"/>
    <w:rsid w:val="00D851D0"/>
    <w:rsid w:val="00D86524"/>
    <w:rsid w:val="00D90007"/>
    <w:rsid w:val="00D91923"/>
    <w:rsid w:val="00D927DD"/>
    <w:rsid w:val="00D93753"/>
    <w:rsid w:val="00D94AD3"/>
    <w:rsid w:val="00D961EA"/>
    <w:rsid w:val="00DA11F3"/>
    <w:rsid w:val="00DA28DC"/>
    <w:rsid w:val="00DA2CF1"/>
    <w:rsid w:val="00DA3167"/>
    <w:rsid w:val="00DA44C9"/>
    <w:rsid w:val="00DA4DC3"/>
    <w:rsid w:val="00DA5978"/>
    <w:rsid w:val="00DA70FC"/>
    <w:rsid w:val="00DA77A5"/>
    <w:rsid w:val="00DB123B"/>
    <w:rsid w:val="00DB12AB"/>
    <w:rsid w:val="00DB383A"/>
    <w:rsid w:val="00DB42B4"/>
    <w:rsid w:val="00DB484F"/>
    <w:rsid w:val="00DB6139"/>
    <w:rsid w:val="00DB6FC0"/>
    <w:rsid w:val="00DB7568"/>
    <w:rsid w:val="00DB7C48"/>
    <w:rsid w:val="00DB7FAE"/>
    <w:rsid w:val="00DC04F6"/>
    <w:rsid w:val="00DC1F5A"/>
    <w:rsid w:val="00DC2A07"/>
    <w:rsid w:val="00DC2F19"/>
    <w:rsid w:val="00DC2F30"/>
    <w:rsid w:val="00DC3C2C"/>
    <w:rsid w:val="00DC3C57"/>
    <w:rsid w:val="00DC5501"/>
    <w:rsid w:val="00DC628E"/>
    <w:rsid w:val="00DC741D"/>
    <w:rsid w:val="00DD1D4C"/>
    <w:rsid w:val="00DD273C"/>
    <w:rsid w:val="00DD2883"/>
    <w:rsid w:val="00DD3235"/>
    <w:rsid w:val="00DD357A"/>
    <w:rsid w:val="00DD39D0"/>
    <w:rsid w:val="00DD3CBD"/>
    <w:rsid w:val="00DD3F28"/>
    <w:rsid w:val="00DD4537"/>
    <w:rsid w:val="00DD4AC2"/>
    <w:rsid w:val="00DD4E15"/>
    <w:rsid w:val="00DD5B7F"/>
    <w:rsid w:val="00DD66DF"/>
    <w:rsid w:val="00DE0543"/>
    <w:rsid w:val="00DE3138"/>
    <w:rsid w:val="00DE33BE"/>
    <w:rsid w:val="00DE37F8"/>
    <w:rsid w:val="00DE37F9"/>
    <w:rsid w:val="00DE499B"/>
    <w:rsid w:val="00DE4A06"/>
    <w:rsid w:val="00DE4FCB"/>
    <w:rsid w:val="00DE51AC"/>
    <w:rsid w:val="00DE7832"/>
    <w:rsid w:val="00DF0A88"/>
    <w:rsid w:val="00DF18F4"/>
    <w:rsid w:val="00DF18FC"/>
    <w:rsid w:val="00DF275C"/>
    <w:rsid w:val="00DF5D2B"/>
    <w:rsid w:val="00DF61FF"/>
    <w:rsid w:val="00DF6838"/>
    <w:rsid w:val="00DF6E54"/>
    <w:rsid w:val="00E001AB"/>
    <w:rsid w:val="00E00749"/>
    <w:rsid w:val="00E00E8E"/>
    <w:rsid w:val="00E01931"/>
    <w:rsid w:val="00E01CC7"/>
    <w:rsid w:val="00E03312"/>
    <w:rsid w:val="00E03850"/>
    <w:rsid w:val="00E05630"/>
    <w:rsid w:val="00E067CB"/>
    <w:rsid w:val="00E069F6"/>
    <w:rsid w:val="00E06DBB"/>
    <w:rsid w:val="00E06E5F"/>
    <w:rsid w:val="00E10149"/>
    <w:rsid w:val="00E10549"/>
    <w:rsid w:val="00E10806"/>
    <w:rsid w:val="00E1136B"/>
    <w:rsid w:val="00E1155F"/>
    <w:rsid w:val="00E13057"/>
    <w:rsid w:val="00E16372"/>
    <w:rsid w:val="00E16A44"/>
    <w:rsid w:val="00E17382"/>
    <w:rsid w:val="00E2032B"/>
    <w:rsid w:val="00E20E4D"/>
    <w:rsid w:val="00E20ED6"/>
    <w:rsid w:val="00E21358"/>
    <w:rsid w:val="00E21528"/>
    <w:rsid w:val="00E215E2"/>
    <w:rsid w:val="00E21AF0"/>
    <w:rsid w:val="00E2249B"/>
    <w:rsid w:val="00E22A0D"/>
    <w:rsid w:val="00E249FD"/>
    <w:rsid w:val="00E24FC1"/>
    <w:rsid w:val="00E2771E"/>
    <w:rsid w:val="00E318B8"/>
    <w:rsid w:val="00E32223"/>
    <w:rsid w:val="00E33385"/>
    <w:rsid w:val="00E33D3C"/>
    <w:rsid w:val="00E34948"/>
    <w:rsid w:val="00E35CE8"/>
    <w:rsid w:val="00E36689"/>
    <w:rsid w:val="00E37569"/>
    <w:rsid w:val="00E37C75"/>
    <w:rsid w:val="00E40ED3"/>
    <w:rsid w:val="00E41E30"/>
    <w:rsid w:val="00E43D70"/>
    <w:rsid w:val="00E447AF"/>
    <w:rsid w:val="00E450ED"/>
    <w:rsid w:val="00E466F3"/>
    <w:rsid w:val="00E479EA"/>
    <w:rsid w:val="00E47B2C"/>
    <w:rsid w:val="00E51560"/>
    <w:rsid w:val="00E532E3"/>
    <w:rsid w:val="00E54347"/>
    <w:rsid w:val="00E548DC"/>
    <w:rsid w:val="00E5532D"/>
    <w:rsid w:val="00E55424"/>
    <w:rsid w:val="00E55529"/>
    <w:rsid w:val="00E55BB5"/>
    <w:rsid w:val="00E565F9"/>
    <w:rsid w:val="00E61CEE"/>
    <w:rsid w:val="00E645D4"/>
    <w:rsid w:val="00E65E79"/>
    <w:rsid w:val="00E66BA2"/>
    <w:rsid w:val="00E67416"/>
    <w:rsid w:val="00E67E07"/>
    <w:rsid w:val="00E70F91"/>
    <w:rsid w:val="00E718B6"/>
    <w:rsid w:val="00E721FE"/>
    <w:rsid w:val="00E723BA"/>
    <w:rsid w:val="00E73581"/>
    <w:rsid w:val="00E73F32"/>
    <w:rsid w:val="00E74F89"/>
    <w:rsid w:val="00E75B18"/>
    <w:rsid w:val="00E77CC1"/>
    <w:rsid w:val="00E80C48"/>
    <w:rsid w:val="00E80F2A"/>
    <w:rsid w:val="00E82888"/>
    <w:rsid w:val="00E832FE"/>
    <w:rsid w:val="00E833F7"/>
    <w:rsid w:val="00E83BDF"/>
    <w:rsid w:val="00E83EA7"/>
    <w:rsid w:val="00E857B4"/>
    <w:rsid w:val="00E85934"/>
    <w:rsid w:val="00E85AD6"/>
    <w:rsid w:val="00E864E6"/>
    <w:rsid w:val="00E87622"/>
    <w:rsid w:val="00E87A1D"/>
    <w:rsid w:val="00E91029"/>
    <w:rsid w:val="00E91CFA"/>
    <w:rsid w:val="00E92659"/>
    <w:rsid w:val="00E926A5"/>
    <w:rsid w:val="00E93A29"/>
    <w:rsid w:val="00E9505C"/>
    <w:rsid w:val="00E96179"/>
    <w:rsid w:val="00E97B65"/>
    <w:rsid w:val="00EA10E9"/>
    <w:rsid w:val="00EA17C3"/>
    <w:rsid w:val="00EA2560"/>
    <w:rsid w:val="00EA2CAA"/>
    <w:rsid w:val="00EA2D18"/>
    <w:rsid w:val="00EA2E84"/>
    <w:rsid w:val="00EA3166"/>
    <w:rsid w:val="00EA3864"/>
    <w:rsid w:val="00EA3CE9"/>
    <w:rsid w:val="00EA49AA"/>
    <w:rsid w:val="00EA5FBB"/>
    <w:rsid w:val="00EA634A"/>
    <w:rsid w:val="00EA67C6"/>
    <w:rsid w:val="00EB04A8"/>
    <w:rsid w:val="00EB1091"/>
    <w:rsid w:val="00EB15B6"/>
    <w:rsid w:val="00EB19BD"/>
    <w:rsid w:val="00EB21C7"/>
    <w:rsid w:val="00EB2FC5"/>
    <w:rsid w:val="00EB3393"/>
    <w:rsid w:val="00EB3CA1"/>
    <w:rsid w:val="00EB4227"/>
    <w:rsid w:val="00EB4916"/>
    <w:rsid w:val="00EB6699"/>
    <w:rsid w:val="00EB698E"/>
    <w:rsid w:val="00EB73FE"/>
    <w:rsid w:val="00EC00C9"/>
    <w:rsid w:val="00EC1D37"/>
    <w:rsid w:val="00EC2649"/>
    <w:rsid w:val="00EC29EE"/>
    <w:rsid w:val="00EC2E92"/>
    <w:rsid w:val="00EC317C"/>
    <w:rsid w:val="00EC346F"/>
    <w:rsid w:val="00EC3B41"/>
    <w:rsid w:val="00EC573F"/>
    <w:rsid w:val="00ED14B1"/>
    <w:rsid w:val="00ED1595"/>
    <w:rsid w:val="00ED1921"/>
    <w:rsid w:val="00ED1F7C"/>
    <w:rsid w:val="00ED25A8"/>
    <w:rsid w:val="00ED42B6"/>
    <w:rsid w:val="00ED503A"/>
    <w:rsid w:val="00ED57EA"/>
    <w:rsid w:val="00ED5E17"/>
    <w:rsid w:val="00EE07D3"/>
    <w:rsid w:val="00EE0A78"/>
    <w:rsid w:val="00EE22AF"/>
    <w:rsid w:val="00EE362F"/>
    <w:rsid w:val="00EE4243"/>
    <w:rsid w:val="00EE55A9"/>
    <w:rsid w:val="00EE57FE"/>
    <w:rsid w:val="00EE6442"/>
    <w:rsid w:val="00EE67B1"/>
    <w:rsid w:val="00EE6D2A"/>
    <w:rsid w:val="00EE717D"/>
    <w:rsid w:val="00EE7B53"/>
    <w:rsid w:val="00EF0000"/>
    <w:rsid w:val="00EF0171"/>
    <w:rsid w:val="00EF070D"/>
    <w:rsid w:val="00EF147C"/>
    <w:rsid w:val="00EF1B25"/>
    <w:rsid w:val="00EF2799"/>
    <w:rsid w:val="00EF35A9"/>
    <w:rsid w:val="00EF3877"/>
    <w:rsid w:val="00EF4747"/>
    <w:rsid w:val="00EF4BF8"/>
    <w:rsid w:val="00EF4CF0"/>
    <w:rsid w:val="00EF5D3D"/>
    <w:rsid w:val="00EF75FC"/>
    <w:rsid w:val="00EF77C1"/>
    <w:rsid w:val="00EF7DB9"/>
    <w:rsid w:val="00F01191"/>
    <w:rsid w:val="00F02253"/>
    <w:rsid w:val="00F03C2E"/>
    <w:rsid w:val="00F04A66"/>
    <w:rsid w:val="00F04C60"/>
    <w:rsid w:val="00F04E27"/>
    <w:rsid w:val="00F0516C"/>
    <w:rsid w:val="00F0553B"/>
    <w:rsid w:val="00F05869"/>
    <w:rsid w:val="00F06522"/>
    <w:rsid w:val="00F0674C"/>
    <w:rsid w:val="00F067A2"/>
    <w:rsid w:val="00F07C9A"/>
    <w:rsid w:val="00F1009B"/>
    <w:rsid w:val="00F11A53"/>
    <w:rsid w:val="00F11B72"/>
    <w:rsid w:val="00F1263A"/>
    <w:rsid w:val="00F161CC"/>
    <w:rsid w:val="00F163CC"/>
    <w:rsid w:val="00F2021B"/>
    <w:rsid w:val="00F209CD"/>
    <w:rsid w:val="00F2294B"/>
    <w:rsid w:val="00F22CF1"/>
    <w:rsid w:val="00F24837"/>
    <w:rsid w:val="00F2575F"/>
    <w:rsid w:val="00F2647E"/>
    <w:rsid w:val="00F272F5"/>
    <w:rsid w:val="00F27565"/>
    <w:rsid w:val="00F307BA"/>
    <w:rsid w:val="00F310D4"/>
    <w:rsid w:val="00F31D5A"/>
    <w:rsid w:val="00F31D90"/>
    <w:rsid w:val="00F33391"/>
    <w:rsid w:val="00F33548"/>
    <w:rsid w:val="00F33623"/>
    <w:rsid w:val="00F33AA6"/>
    <w:rsid w:val="00F33DE9"/>
    <w:rsid w:val="00F34A1E"/>
    <w:rsid w:val="00F34DC8"/>
    <w:rsid w:val="00F358BC"/>
    <w:rsid w:val="00F3619A"/>
    <w:rsid w:val="00F37CC2"/>
    <w:rsid w:val="00F37E05"/>
    <w:rsid w:val="00F40AAA"/>
    <w:rsid w:val="00F40BA7"/>
    <w:rsid w:val="00F40BED"/>
    <w:rsid w:val="00F42033"/>
    <w:rsid w:val="00F43AC5"/>
    <w:rsid w:val="00F454C8"/>
    <w:rsid w:val="00F469E6"/>
    <w:rsid w:val="00F46CB6"/>
    <w:rsid w:val="00F46D86"/>
    <w:rsid w:val="00F47DE8"/>
    <w:rsid w:val="00F527B1"/>
    <w:rsid w:val="00F53F37"/>
    <w:rsid w:val="00F541C6"/>
    <w:rsid w:val="00F542C1"/>
    <w:rsid w:val="00F54871"/>
    <w:rsid w:val="00F5580F"/>
    <w:rsid w:val="00F55E73"/>
    <w:rsid w:val="00F55E8B"/>
    <w:rsid w:val="00F55EDA"/>
    <w:rsid w:val="00F5645B"/>
    <w:rsid w:val="00F57AE0"/>
    <w:rsid w:val="00F57F65"/>
    <w:rsid w:val="00F60092"/>
    <w:rsid w:val="00F60468"/>
    <w:rsid w:val="00F60E8C"/>
    <w:rsid w:val="00F626A7"/>
    <w:rsid w:val="00F6304D"/>
    <w:rsid w:val="00F63224"/>
    <w:rsid w:val="00F63678"/>
    <w:rsid w:val="00F63E70"/>
    <w:rsid w:val="00F64487"/>
    <w:rsid w:val="00F64DD5"/>
    <w:rsid w:val="00F65F4B"/>
    <w:rsid w:val="00F6621F"/>
    <w:rsid w:val="00F6686A"/>
    <w:rsid w:val="00F66E3F"/>
    <w:rsid w:val="00F70C9D"/>
    <w:rsid w:val="00F70E8D"/>
    <w:rsid w:val="00F718AB"/>
    <w:rsid w:val="00F74CD9"/>
    <w:rsid w:val="00F74DA8"/>
    <w:rsid w:val="00F74F82"/>
    <w:rsid w:val="00F77120"/>
    <w:rsid w:val="00F8019C"/>
    <w:rsid w:val="00F80501"/>
    <w:rsid w:val="00F80A7B"/>
    <w:rsid w:val="00F80E5D"/>
    <w:rsid w:val="00F82F9B"/>
    <w:rsid w:val="00F84472"/>
    <w:rsid w:val="00F851CE"/>
    <w:rsid w:val="00F85C9D"/>
    <w:rsid w:val="00F90885"/>
    <w:rsid w:val="00F91219"/>
    <w:rsid w:val="00F93BA8"/>
    <w:rsid w:val="00F93CFF"/>
    <w:rsid w:val="00F93D72"/>
    <w:rsid w:val="00F94BAE"/>
    <w:rsid w:val="00F973A9"/>
    <w:rsid w:val="00F977E0"/>
    <w:rsid w:val="00F97A78"/>
    <w:rsid w:val="00FA0A89"/>
    <w:rsid w:val="00FA0B20"/>
    <w:rsid w:val="00FA106A"/>
    <w:rsid w:val="00FA1C62"/>
    <w:rsid w:val="00FA24E7"/>
    <w:rsid w:val="00FA25F0"/>
    <w:rsid w:val="00FA37E1"/>
    <w:rsid w:val="00FA3C1A"/>
    <w:rsid w:val="00FA5170"/>
    <w:rsid w:val="00FA60D3"/>
    <w:rsid w:val="00FA6233"/>
    <w:rsid w:val="00FA6593"/>
    <w:rsid w:val="00FA6F3D"/>
    <w:rsid w:val="00FA7547"/>
    <w:rsid w:val="00FB13ED"/>
    <w:rsid w:val="00FB15F0"/>
    <w:rsid w:val="00FB27F5"/>
    <w:rsid w:val="00FB2FCB"/>
    <w:rsid w:val="00FB485C"/>
    <w:rsid w:val="00FB55F2"/>
    <w:rsid w:val="00FB74D6"/>
    <w:rsid w:val="00FB7CDC"/>
    <w:rsid w:val="00FC0647"/>
    <w:rsid w:val="00FC1074"/>
    <w:rsid w:val="00FC1884"/>
    <w:rsid w:val="00FC1CBB"/>
    <w:rsid w:val="00FC202A"/>
    <w:rsid w:val="00FC2CBF"/>
    <w:rsid w:val="00FC371D"/>
    <w:rsid w:val="00FC45AD"/>
    <w:rsid w:val="00FC477C"/>
    <w:rsid w:val="00FC5417"/>
    <w:rsid w:val="00FC5F0B"/>
    <w:rsid w:val="00FC7C16"/>
    <w:rsid w:val="00FD0904"/>
    <w:rsid w:val="00FD09B7"/>
    <w:rsid w:val="00FD0A41"/>
    <w:rsid w:val="00FD20B2"/>
    <w:rsid w:val="00FD2100"/>
    <w:rsid w:val="00FD2C32"/>
    <w:rsid w:val="00FD3ADC"/>
    <w:rsid w:val="00FD436C"/>
    <w:rsid w:val="00FD446D"/>
    <w:rsid w:val="00FD5702"/>
    <w:rsid w:val="00FD6394"/>
    <w:rsid w:val="00FE01A4"/>
    <w:rsid w:val="00FE063C"/>
    <w:rsid w:val="00FE0A49"/>
    <w:rsid w:val="00FE0E6C"/>
    <w:rsid w:val="00FE0F0A"/>
    <w:rsid w:val="00FE1002"/>
    <w:rsid w:val="00FE1217"/>
    <w:rsid w:val="00FE12D4"/>
    <w:rsid w:val="00FE6A59"/>
    <w:rsid w:val="00FE70C3"/>
    <w:rsid w:val="00FF2572"/>
    <w:rsid w:val="00FF3927"/>
    <w:rsid w:val="00FF3DCF"/>
    <w:rsid w:val="00FF4714"/>
    <w:rsid w:val="00FF477C"/>
    <w:rsid w:val="00FF492C"/>
    <w:rsid w:val="00FF4A21"/>
    <w:rsid w:val="00FF5AA3"/>
    <w:rsid w:val="00FF5AD8"/>
    <w:rsid w:val="00FF62FE"/>
    <w:rsid w:val="00FF67DA"/>
    <w:rsid w:val="00FF6FA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D52CBA"/>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D52CBA"/>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Summarybox2">
    <w:name w:val="Summary box2"/>
    <w:basedOn w:val="TableNormal"/>
    <w:next w:val="TableGrid"/>
    <w:rsid w:val="004D3641"/>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4D3641"/>
    <w:pPr>
      <w:keepNext/>
      <w:adjustRightInd w:val="0"/>
      <w:spacing w:before="60" w:after="60"/>
      <w:jc w:val="left"/>
      <w:textAlignment w:val="baseline"/>
    </w:pPr>
    <w:rPr>
      <w:rFonts w:ascii="Arial Narrow" w:eastAsia="SimSun" w:hAnsi="Arial Narrow" w:cs="Times New Roman"/>
      <w:b/>
      <w:snapToGrid/>
      <w:sz w:val="20"/>
      <w:szCs w:val="20"/>
      <w:lang w:eastAsia="en-AU"/>
    </w:rPr>
  </w:style>
  <w:style w:type="paragraph" w:customStyle="1" w:styleId="Tablefootnote">
    <w:name w:val="Table footnote"/>
    <w:basedOn w:val="Normal"/>
    <w:link w:val="TablefootnoteChar"/>
    <w:qFormat/>
    <w:rsid w:val="00524B51"/>
    <w:pPr>
      <w:keepNext/>
      <w:keepLines/>
      <w:widowControl/>
      <w:spacing w:after="360"/>
      <w:contextualSpacing/>
      <w:jc w:val="left"/>
    </w:pPr>
    <w:rPr>
      <w:rFonts w:ascii="Arial Narrow" w:hAnsi="Arial Narrow" w:cs="Times New Roman"/>
      <w:snapToGrid/>
      <w:sz w:val="18"/>
    </w:rPr>
  </w:style>
  <w:style w:type="character" w:customStyle="1" w:styleId="TablefootnoteChar">
    <w:name w:val="Table footnote Char"/>
    <w:basedOn w:val="DefaultParagraphFont"/>
    <w:link w:val="Tablefootnote"/>
    <w:rsid w:val="00524B51"/>
    <w:rPr>
      <w:rFonts w:ascii="Arial Narrow" w:hAnsi="Arial Narrow"/>
      <w:sz w:val="18"/>
      <w:szCs w:val="22"/>
      <w:lang w:eastAsia="en-US"/>
    </w:rPr>
  </w:style>
  <w:style w:type="paragraph" w:customStyle="1" w:styleId="TableText0">
    <w:name w:val="Table Text"/>
    <w:basedOn w:val="Normal"/>
    <w:link w:val="TableTextChar0"/>
    <w:rsid w:val="00FC2CBF"/>
    <w:pPr>
      <w:keepNext/>
      <w:widowControl/>
      <w:spacing w:before="40" w:after="40"/>
    </w:pPr>
    <w:rPr>
      <w:rFonts w:ascii="Arial Narrow" w:eastAsiaTheme="minorHAnsi" w:hAnsi="Arial Narrow" w:cstheme="minorBidi"/>
      <w:snapToGrid/>
      <w:color w:val="000000" w:themeColor="text1"/>
      <w:sz w:val="20"/>
    </w:rPr>
  </w:style>
  <w:style w:type="character" w:customStyle="1" w:styleId="TableTextChar0">
    <w:name w:val="Table Text Char"/>
    <w:link w:val="TableText0"/>
    <w:rsid w:val="00FC2CBF"/>
    <w:rPr>
      <w:rFonts w:ascii="Arial Narrow" w:eastAsiaTheme="minorHAnsi" w:hAnsi="Arial Narrow" w:cstheme="minorBidi"/>
      <w:color w:val="000000" w:themeColor="text1"/>
      <w:szCs w:val="22"/>
      <w:lang w:eastAsia="en-US"/>
    </w:rPr>
  </w:style>
  <w:style w:type="paragraph" w:styleId="FootnoteText">
    <w:name w:val="footnote text"/>
    <w:basedOn w:val="Normal"/>
    <w:link w:val="FootnoteTextChar"/>
    <w:unhideWhenUsed/>
    <w:rsid w:val="00694457"/>
    <w:pPr>
      <w:widowControl/>
    </w:pPr>
    <w:rPr>
      <w:rFonts w:asciiTheme="minorHAnsi" w:eastAsiaTheme="minorHAnsi" w:hAnsiTheme="minorHAnsi" w:cstheme="minorBidi"/>
      <w:snapToGrid/>
      <w:color w:val="000000" w:themeColor="text1"/>
      <w:sz w:val="18"/>
      <w:szCs w:val="20"/>
    </w:rPr>
  </w:style>
  <w:style w:type="character" w:customStyle="1" w:styleId="FootnoteTextChar">
    <w:name w:val="Footnote Text Char"/>
    <w:basedOn w:val="DefaultParagraphFont"/>
    <w:link w:val="FootnoteText"/>
    <w:rsid w:val="00694457"/>
    <w:rPr>
      <w:rFonts w:asciiTheme="minorHAnsi" w:eastAsiaTheme="minorHAnsi" w:hAnsiTheme="minorHAnsi" w:cstheme="minorBidi"/>
      <w:color w:val="000000" w:themeColor="text1"/>
      <w:sz w:val="18"/>
      <w:lang w:eastAsia="en-US"/>
    </w:rPr>
  </w:style>
  <w:style w:type="character" w:styleId="FootnoteReference">
    <w:name w:val="footnote reference"/>
    <w:basedOn w:val="DefaultParagraphFont"/>
    <w:semiHidden/>
    <w:unhideWhenUsed/>
    <w:rsid w:val="00474C2A"/>
    <w:rPr>
      <w:vertAlign w:val="superscript"/>
    </w:rPr>
  </w:style>
  <w:style w:type="paragraph" w:customStyle="1" w:styleId="TableHeading0">
    <w:name w:val="Table Heading"/>
    <w:basedOn w:val="Normal"/>
    <w:rsid w:val="005A5C9C"/>
    <w:pPr>
      <w:keepNext/>
      <w:widowControl/>
      <w:spacing w:after="60"/>
    </w:pPr>
    <w:rPr>
      <w:rFonts w:ascii="Arial Narrow" w:eastAsiaTheme="minorHAnsi" w:hAnsi="Arial Narrow" w:cstheme="minorBidi"/>
      <w:b/>
      <w:snapToGrid/>
      <w:color w:val="000000" w:themeColor="text1"/>
      <w:sz w:val="20"/>
    </w:rPr>
  </w:style>
  <w:style w:type="character" w:styleId="Emphasis">
    <w:name w:val="Emphasis"/>
    <w:basedOn w:val="DefaultParagraphFont"/>
    <w:uiPriority w:val="20"/>
    <w:qFormat/>
    <w:rsid w:val="00F34A1E"/>
    <w:rPr>
      <w:i/>
      <w:iCs/>
    </w:rPr>
  </w:style>
  <w:style w:type="character" w:customStyle="1" w:styleId="BodyText1Char">
    <w:name w:val="Body Text1 Char"/>
    <w:link w:val="BodyText1"/>
    <w:locked/>
    <w:rsid w:val="00F163CC"/>
    <w:rPr>
      <w:rFonts w:ascii="Arial" w:hAnsi="Arial"/>
      <w:sz w:val="22"/>
      <w:szCs w:val="22"/>
      <w:lang w:eastAsia="en-GB"/>
    </w:rPr>
  </w:style>
  <w:style w:type="paragraph" w:customStyle="1" w:styleId="BodyText1">
    <w:name w:val="Body Text1"/>
    <w:basedOn w:val="Normal"/>
    <w:link w:val="BodyText1Char"/>
    <w:autoRedefine/>
    <w:qFormat/>
    <w:rsid w:val="00F163CC"/>
    <w:pPr>
      <w:spacing w:before="120" w:after="120" w:line="276" w:lineRule="auto"/>
    </w:pPr>
    <w:rPr>
      <w:rFonts w:ascii="Arial" w:hAnsi="Arial" w:cs="Times New Roman"/>
      <w:snapToGrid/>
      <w:sz w:val="22"/>
      <w:lang w:eastAsia="en-GB"/>
    </w:rPr>
  </w:style>
  <w:style w:type="paragraph" w:customStyle="1" w:styleId="EndNoteBibliographyTitle">
    <w:name w:val="EndNote Bibliography Title"/>
    <w:basedOn w:val="Normal"/>
    <w:link w:val="EndNoteBibliographyTitleChar"/>
    <w:rsid w:val="005634CF"/>
    <w:pPr>
      <w:jc w:val="center"/>
    </w:pPr>
    <w:rPr>
      <w:noProof/>
      <w:lang w:val="en-US"/>
    </w:rPr>
  </w:style>
  <w:style w:type="character" w:customStyle="1" w:styleId="EndNoteBibliographyTitleChar">
    <w:name w:val="EndNote Bibliography Title Char"/>
    <w:basedOn w:val="ListParagraphChar"/>
    <w:link w:val="EndNoteBibliographyTitle"/>
    <w:rsid w:val="005634CF"/>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5634CF"/>
    <w:rPr>
      <w:noProof/>
      <w:lang w:val="en-US"/>
    </w:rPr>
  </w:style>
  <w:style w:type="character" w:customStyle="1" w:styleId="EndNoteBibliographyChar">
    <w:name w:val="EndNote Bibliography Char"/>
    <w:basedOn w:val="ListParagraphChar"/>
    <w:link w:val="EndNoteBibliography"/>
    <w:rsid w:val="005634CF"/>
    <w:rPr>
      <w:rFonts w:ascii="Calibri" w:hAnsi="Calibri" w:cs="Arial"/>
      <w:noProof/>
      <w:snapToGrid w:val="0"/>
      <w:sz w:val="24"/>
      <w:szCs w:val="22"/>
      <w:lang w:val="en-US" w:eastAsia="en-US"/>
    </w:rPr>
  </w:style>
  <w:style w:type="table" w:customStyle="1" w:styleId="TableGrid1">
    <w:name w:val="Table Grid1"/>
    <w:basedOn w:val="TableNormal"/>
    <w:next w:val="TableGrid"/>
    <w:uiPriority w:val="59"/>
    <w:rsid w:val="002B0D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rsid w:val="000B6DBA"/>
    <w:pPr>
      <w:widowControl/>
      <w:numPr>
        <w:numId w:val="9"/>
      </w:numPr>
      <w:spacing w:after="200" w:line="276" w:lineRule="auto"/>
      <w:contextualSpacing/>
      <w:jc w:val="left"/>
    </w:pPr>
    <w:rPr>
      <w:rFonts w:ascii="Times New Roman" w:eastAsiaTheme="minorHAnsi" w:hAnsi="Times New Roman" w:cstheme="minorBidi"/>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List Bullet 2" w:uiPriority="99"/>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D52CBA"/>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D52CBA"/>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Summarybox2">
    <w:name w:val="Summary box2"/>
    <w:basedOn w:val="TableNormal"/>
    <w:next w:val="TableGrid"/>
    <w:rsid w:val="004D3641"/>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4D3641"/>
    <w:pPr>
      <w:keepNext/>
      <w:adjustRightInd w:val="0"/>
      <w:spacing w:before="60" w:after="60"/>
      <w:jc w:val="left"/>
      <w:textAlignment w:val="baseline"/>
    </w:pPr>
    <w:rPr>
      <w:rFonts w:ascii="Arial Narrow" w:eastAsia="SimSun" w:hAnsi="Arial Narrow" w:cs="Times New Roman"/>
      <w:b/>
      <w:snapToGrid/>
      <w:sz w:val="20"/>
      <w:szCs w:val="20"/>
      <w:lang w:eastAsia="en-AU"/>
    </w:rPr>
  </w:style>
  <w:style w:type="paragraph" w:customStyle="1" w:styleId="Tablefootnote">
    <w:name w:val="Table footnote"/>
    <w:basedOn w:val="Normal"/>
    <w:link w:val="TablefootnoteChar"/>
    <w:qFormat/>
    <w:rsid w:val="00524B51"/>
    <w:pPr>
      <w:keepNext/>
      <w:keepLines/>
      <w:widowControl/>
      <w:spacing w:after="360"/>
      <w:contextualSpacing/>
      <w:jc w:val="left"/>
    </w:pPr>
    <w:rPr>
      <w:rFonts w:ascii="Arial Narrow" w:hAnsi="Arial Narrow" w:cs="Times New Roman"/>
      <w:snapToGrid/>
      <w:sz w:val="18"/>
    </w:rPr>
  </w:style>
  <w:style w:type="character" w:customStyle="1" w:styleId="TablefootnoteChar">
    <w:name w:val="Table footnote Char"/>
    <w:basedOn w:val="DefaultParagraphFont"/>
    <w:link w:val="Tablefootnote"/>
    <w:rsid w:val="00524B51"/>
    <w:rPr>
      <w:rFonts w:ascii="Arial Narrow" w:hAnsi="Arial Narrow"/>
      <w:sz w:val="18"/>
      <w:szCs w:val="22"/>
      <w:lang w:eastAsia="en-US"/>
    </w:rPr>
  </w:style>
  <w:style w:type="paragraph" w:customStyle="1" w:styleId="TableText0">
    <w:name w:val="Table Text"/>
    <w:basedOn w:val="Normal"/>
    <w:link w:val="TableTextChar0"/>
    <w:rsid w:val="00FC2CBF"/>
    <w:pPr>
      <w:keepNext/>
      <w:widowControl/>
      <w:spacing w:before="40" w:after="40"/>
    </w:pPr>
    <w:rPr>
      <w:rFonts w:ascii="Arial Narrow" w:eastAsiaTheme="minorHAnsi" w:hAnsi="Arial Narrow" w:cstheme="minorBidi"/>
      <w:snapToGrid/>
      <w:color w:val="000000" w:themeColor="text1"/>
      <w:sz w:val="20"/>
    </w:rPr>
  </w:style>
  <w:style w:type="character" w:customStyle="1" w:styleId="TableTextChar0">
    <w:name w:val="Table Text Char"/>
    <w:link w:val="TableText0"/>
    <w:rsid w:val="00FC2CBF"/>
    <w:rPr>
      <w:rFonts w:ascii="Arial Narrow" w:eastAsiaTheme="minorHAnsi" w:hAnsi="Arial Narrow" w:cstheme="minorBidi"/>
      <w:color w:val="000000" w:themeColor="text1"/>
      <w:szCs w:val="22"/>
      <w:lang w:eastAsia="en-US"/>
    </w:rPr>
  </w:style>
  <w:style w:type="paragraph" w:styleId="FootnoteText">
    <w:name w:val="footnote text"/>
    <w:basedOn w:val="Normal"/>
    <w:link w:val="FootnoteTextChar"/>
    <w:unhideWhenUsed/>
    <w:rsid w:val="00694457"/>
    <w:pPr>
      <w:widowControl/>
    </w:pPr>
    <w:rPr>
      <w:rFonts w:asciiTheme="minorHAnsi" w:eastAsiaTheme="minorHAnsi" w:hAnsiTheme="minorHAnsi" w:cstheme="minorBidi"/>
      <w:snapToGrid/>
      <w:color w:val="000000" w:themeColor="text1"/>
      <w:sz w:val="18"/>
      <w:szCs w:val="20"/>
    </w:rPr>
  </w:style>
  <w:style w:type="character" w:customStyle="1" w:styleId="FootnoteTextChar">
    <w:name w:val="Footnote Text Char"/>
    <w:basedOn w:val="DefaultParagraphFont"/>
    <w:link w:val="FootnoteText"/>
    <w:rsid w:val="00694457"/>
    <w:rPr>
      <w:rFonts w:asciiTheme="minorHAnsi" w:eastAsiaTheme="minorHAnsi" w:hAnsiTheme="minorHAnsi" w:cstheme="minorBidi"/>
      <w:color w:val="000000" w:themeColor="text1"/>
      <w:sz w:val="18"/>
      <w:lang w:eastAsia="en-US"/>
    </w:rPr>
  </w:style>
  <w:style w:type="character" w:styleId="FootnoteReference">
    <w:name w:val="footnote reference"/>
    <w:basedOn w:val="DefaultParagraphFont"/>
    <w:semiHidden/>
    <w:unhideWhenUsed/>
    <w:rsid w:val="00474C2A"/>
    <w:rPr>
      <w:vertAlign w:val="superscript"/>
    </w:rPr>
  </w:style>
  <w:style w:type="paragraph" w:customStyle="1" w:styleId="TableHeading0">
    <w:name w:val="Table Heading"/>
    <w:basedOn w:val="Normal"/>
    <w:rsid w:val="005A5C9C"/>
    <w:pPr>
      <w:keepNext/>
      <w:widowControl/>
      <w:spacing w:after="60"/>
    </w:pPr>
    <w:rPr>
      <w:rFonts w:ascii="Arial Narrow" w:eastAsiaTheme="minorHAnsi" w:hAnsi="Arial Narrow" w:cstheme="minorBidi"/>
      <w:b/>
      <w:snapToGrid/>
      <w:color w:val="000000" w:themeColor="text1"/>
      <w:sz w:val="20"/>
    </w:rPr>
  </w:style>
  <w:style w:type="character" w:styleId="Emphasis">
    <w:name w:val="Emphasis"/>
    <w:basedOn w:val="DefaultParagraphFont"/>
    <w:uiPriority w:val="20"/>
    <w:qFormat/>
    <w:rsid w:val="00F34A1E"/>
    <w:rPr>
      <w:i/>
      <w:iCs/>
    </w:rPr>
  </w:style>
  <w:style w:type="character" w:customStyle="1" w:styleId="BodyText1Char">
    <w:name w:val="Body Text1 Char"/>
    <w:link w:val="BodyText1"/>
    <w:locked/>
    <w:rsid w:val="00F163CC"/>
    <w:rPr>
      <w:rFonts w:ascii="Arial" w:hAnsi="Arial"/>
      <w:sz w:val="22"/>
      <w:szCs w:val="22"/>
      <w:lang w:eastAsia="en-GB"/>
    </w:rPr>
  </w:style>
  <w:style w:type="paragraph" w:customStyle="1" w:styleId="BodyText1">
    <w:name w:val="Body Text1"/>
    <w:basedOn w:val="Normal"/>
    <w:link w:val="BodyText1Char"/>
    <w:autoRedefine/>
    <w:qFormat/>
    <w:rsid w:val="00F163CC"/>
    <w:pPr>
      <w:spacing w:before="120" w:after="120" w:line="276" w:lineRule="auto"/>
    </w:pPr>
    <w:rPr>
      <w:rFonts w:ascii="Arial" w:hAnsi="Arial" w:cs="Times New Roman"/>
      <w:snapToGrid/>
      <w:sz w:val="22"/>
      <w:lang w:eastAsia="en-GB"/>
    </w:rPr>
  </w:style>
  <w:style w:type="paragraph" w:customStyle="1" w:styleId="EndNoteBibliographyTitle">
    <w:name w:val="EndNote Bibliography Title"/>
    <w:basedOn w:val="Normal"/>
    <w:link w:val="EndNoteBibliographyTitleChar"/>
    <w:rsid w:val="005634CF"/>
    <w:pPr>
      <w:jc w:val="center"/>
    </w:pPr>
    <w:rPr>
      <w:noProof/>
      <w:lang w:val="en-US"/>
    </w:rPr>
  </w:style>
  <w:style w:type="character" w:customStyle="1" w:styleId="EndNoteBibliographyTitleChar">
    <w:name w:val="EndNote Bibliography Title Char"/>
    <w:basedOn w:val="ListParagraphChar"/>
    <w:link w:val="EndNoteBibliographyTitle"/>
    <w:rsid w:val="005634CF"/>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5634CF"/>
    <w:rPr>
      <w:noProof/>
      <w:lang w:val="en-US"/>
    </w:rPr>
  </w:style>
  <w:style w:type="character" w:customStyle="1" w:styleId="EndNoteBibliographyChar">
    <w:name w:val="EndNote Bibliography Char"/>
    <w:basedOn w:val="ListParagraphChar"/>
    <w:link w:val="EndNoteBibliography"/>
    <w:rsid w:val="005634CF"/>
    <w:rPr>
      <w:rFonts w:ascii="Calibri" w:hAnsi="Calibri" w:cs="Arial"/>
      <w:noProof/>
      <w:snapToGrid w:val="0"/>
      <w:sz w:val="24"/>
      <w:szCs w:val="22"/>
      <w:lang w:val="en-US" w:eastAsia="en-US"/>
    </w:rPr>
  </w:style>
  <w:style w:type="table" w:customStyle="1" w:styleId="TableGrid1">
    <w:name w:val="Table Grid1"/>
    <w:basedOn w:val="TableNormal"/>
    <w:next w:val="TableGrid"/>
    <w:uiPriority w:val="59"/>
    <w:rsid w:val="002B0D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rsid w:val="000B6DBA"/>
    <w:pPr>
      <w:widowControl/>
      <w:numPr>
        <w:numId w:val="9"/>
      </w:numPr>
      <w:spacing w:after="200" w:line="276" w:lineRule="auto"/>
      <w:contextualSpacing/>
      <w:jc w:val="left"/>
    </w:pPr>
    <w:rPr>
      <w:rFonts w:ascii="Times New Roman" w:eastAsiaTheme="minorHAnsi" w:hAnsi="Times New Roman" w:cstheme="minorBidi"/>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clinicaltrials.gov" TargetMode="External"/><Relationship Id="rId1" Type="http://schemas.openxmlformats.org/officeDocument/2006/relationships/hyperlink" Target="https://wiki.cancer.org.au/australia/Clinical_question:What_is_the_role_of_adjuvant_systemic_therapy_in_patients_with_resected_melanoma%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4FDFC-AC98-48DE-89E9-B650C59B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11594</Words>
  <Characters>66453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2018-10-10T23:52:00Z</dcterms:created>
  <dcterms:modified xsi:type="dcterms:W3CDTF">2018-10-18T04:53:00Z</dcterms:modified>
</cp:coreProperties>
</file>