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115" w:rsidRPr="00461CCF" w:rsidRDefault="004A108B" w:rsidP="000567DF">
      <w:pPr>
        <w:jc w:val="left"/>
        <w:rPr>
          <w:b/>
          <w:sz w:val="36"/>
          <w:szCs w:val="36"/>
        </w:rPr>
      </w:pPr>
      <w:r w:rsidRPr="00461CCF">
        <w:rPr>
          <w:b/>
          <w:sz w:val="36"/>
          <w:szCs w:val="36"/>
        </w:rPr>
        <w:t>6.08</w:t>
      </w:r>
      <w:r w:rsidR="00B60939" w:rsidRPr="00461CCF">
        <w:rPr>
          <w:b/>
          <w:sz w:val="36"/>
          <w:szCs w:val="36"/>
        </w:rPr>
        <w:tab/>
      </w:r>
      <w:r w:rsidR="00082115" w:rsidRPr="00461CCF">
        <w:rPr>
          <w:b/>
          <w:sz w:val="36"/>
          <w:szCs w:val="36"/>
        </w:rPr>
        <w:t>NIVOLUMAB (OPDIVO®) plus IPILIMUMAB (YERVOY®)</w:t>
      </w:r>
    </w:p>
    <w:p w:rsidR="0013443C" w:rsidRPr="00964B4C" w:rsidRDefault="0013443C" w:rsidP="0013443C">
      <w:pPr>
        <w:ind w:left="720"/>
        <w:jc w:val="left"/>
        <w:rPr>
          <w:rFonts w:ascii="Arial Bold" w:hAnsi="Arial Bold"/>
          <w:b/>
          <w:szCs w:val="24"/>
        </w:rPr>
      </w:pPr>
    </w:p>
    <w:p w:rsidR="00F62A84" w:rsidRPr="0018664B" w:rsidRDefault="000567DF" w:rsidP="0013443C">
      <w:pPr>
        <w:ind w:left="720"/>
        <w:jc w:val="left"/>
        <w:rPr>
          <w:b/>
          <w:sz w:val="36"/>
          <w:szCs w:val="36"/>
        </w:rPr>
      </w:pPr>
      <w:r w:rsidRPr="0018664B">
        <w:rPr>
          <w:b/>
          <w:sz w:val="36"/>
          <w:szCs w:val="36"/>
        </w:rPr>
        <w:t>NIVOLUMAB (OPDIVO</w:t>
      </w:r>
      <w:r w:rsidR="007264A9" w:rsidRPr="0018664B">
        <w:rPr>
          <w:b/>
          <w:sz w:val="36"/>
          <w:szCs w:val="36"/>
        </w:rPr>
        <w:t>®</w:t>
      </w:r>
      <w:r w:rsidRPr="0018664B">
        <w:rPr>
          <w:b/>
          <w:sz w:val="36"/>
          <w:szCs w:val="36"/>
        </w:rPr>
        <w:t>) concentrate solution for intravenous infusion, 40</w:t>
      </w:r>
      <w:r w:rsidR="00136B30" w:rsidRPr="0018664B">
        <w:rPr>
          <w:b/>
          <w:sz w:val="36"/>
          <w:szCs w:val="36"/>
        </w:rPr>
        <w:t xml:space="preserve"> </w:t>
      </w:r>
      <w:r w:rsidRPr="0018664B">
        <w:rPr>
          <w:b/>
          <w:sz w:val="36"/>
          <w:szCs w:val="36"/>
        </w:rPr>
        <w:t>mg/4</w:t>
      </w:r>
      <w:r w:rsidR="00136B30" w:rsidRPr="0018664B">
        <w:rPr>
          <w:b/>
          <w:sz w:val="36"/>
          <w:szCs w:val="36"/>
        </w:rPr>
        <w:t xml:space="preserve"> </w:t>
      </w:r>
      <w:r w:rsidRPr="0018664B">
        <w:rPr>
          <w:b/>
          <w:sz w:val="36"/>
          <w:szCs w:val="36"/>
        </w:rPr>
        <w:t>mL, 1 x 4</w:t>
      </w:r>
      <w:r w:rsidR="00136B30" w:rsidRPr="0018664B">
        <w:rPr>
          <w:b/>
          <w:sz w:val="36"/>
          <w:szCs w:val="36"/>
        </w:rPr>
        <w:t xml:space="preserve"> </w:t>
      </w:r>
      <w:r w:rsidRPr="0018664B">
        <w:rPr>
          <w:b/>
          <w:sz w:val="36"/>
          <w:szCs w:val="36"/>
        </w:rPr>
        <w:t>mL vial, concentrate solution for intravenous infusion, 100</w:t>
      </w:r>
      <w:r w:rsidR="00136B30" w:rsidRPr="0018664B">
        <w:rPr>
          <w:b/>
          <w:sz w:val="36"/>
          <w:szCs w:val="36"/>
        </w:rPr>
        <w:t xml:space="preserve"> </w:t>
      </w:r>
      <w:r w:rsidRPr="0018664B">
        <w:rPr>
          <w:b/>
          <w:sz w:val="36"/>
          <w:szCs w:val="36"/>
        </w:rPr>
        <w:t>mg/10</w:t>
      </w:r>
      <w:r w:rsidR="00136B30" w:rsidRPr="0018664B">
        <w:rPr>
          <w:b/>
          <w:sz w:val="36"/>
          <w:szCs w:val="36"/>
        </w:rPr>
        <w:t xml:space="preserve"> </w:t>
      </w:r>
      <w:r w:rsidRPr="0018664B">
        <w:rPr>
          <w:b/>
          <w:sz w:val="36"/>
          <w:szCs w:val="36"/>
        </w:rPr>
        <w:t>mL, 1 x 10</w:t>
      </w:r>
      <w:r w:rsidR="00136B30" w:rsidRPr="0018664B">
        <w:rPr>
          <w:b/>
          <w:sz w:val="36"/>
          <w:szCs w:val="36"/>
        </w:rPr>
        <w:t xml:space="preserve"> </w:t>
      </w:r>
      <w:r w:rsidRPr="0018664B">
        <w:rPr>
          <w:b/>
          <w:sz w:val="36"/>
          <w:szCs w:val="36"/>
        </w:rPr>
        <w:t>mL vial</w:t>
      </w:r>
      <w:r w:rsidR="00ED375A" w:rsidRPr="0018664B">
        <w:rPr>
          <w:b/>
          <w:sz w:val="36"/>
          <w:szCs w:val="36"/>
        </w:rPr>
        <w:t>, Bristol-Myers Squibb, plus</w:t>
      </w:r>
    </w:p>
    <w:p w:rsidR="0013443C" w:rsidRPr="0018664B" w:rsidRDefault="0013443C" w:rsidP="0013443C">
      <w:pPr>
        <w:ind w:firstLine="720"/>
        <w:jc w:val="left"/>
        <w:rPr>
          <w:b/>
          <w:sz w:val="36"/>
          <w:szCs w:val="36"/>
        </w:rPr>
      </w:pPr>
    </w:p>
    <w:p w:rsidR="0068354F" w:rsidRPr="002518B4" w:rsidRDefault="000567DF" w:rsidP="002518B4">
      <w:pPr>
        <w:ind w:left="720"/>
        <w:jc w:val="left"/>
        <w:rPr>
          <w:b/>
          <w:sz w:val="36"/>
          <w:szCs w:val="36"/>
        </w:rPr>
      </w:pPr>
      <w:r w:rsidRPr="0018664B">
        <w:rPr>
          <w:b/>
          <w:sz w:val="36"/>
          <w:szCs w:val="36"/>
        </w:rPr>
        <w:t>IPILIMUMAB (YERVOY</w:t>
      </w:r>
      <w:r w:rsidR="007264A9" w:rsidRPr="0018664B">
        <w:rPr>
          <w:b/>
          <w:sz w:val="36"/>
          <w:szCs w:val="36"/>
        </w:rPr>
        <w:t>®</w:t>
      </w:r>
      <w:r w:rsidRPr="0018664B">
        <w:rPr>
          <w:b/>
          <w:sz w:val="36"/>
          <w:szCs w:val="36"/>
        </w:rPr>
        <w:t>) concentrate solution for intravenous infusion 50</w:t>
      </w:r>
      <w:r w:rsidR="00136B30" w:rsidRPr="0018664B">
        <w:rPr>
          <w:b/>
          <w:sz w:val="36"/>
          <w:szCs w:val="36"/>
        </w:rPr>
        <w:t xml:space="preserve"> </w:t>
      </w:r>
      <w:r w:rsidRPr="0018664B">
        <w:rPr>
          <w:b/>
          <w:sz w:val="36"/>
          <w:szCs w:val="36"/>
        </w:rPr>
        <w:t>mg/10</w:t>
      </w:r>
      <w:r w:rsidR="00136B30" w:rsidRPr="0018664B">
        <w:rPr>
          <w:b/>
          <w:sz w:val="36"/>
          <w:szCs w:val="36"/>
        </w:rPr>
        <w:t xml:space="preserve"> </w:t>
      </w:r>
      <w:r w:rsidRPr="0018664B">
        <w:rPr>
          <w:b/>
          <w:sz w:val="36"/>
          <w:szCs w:val="36"/>
        </w:rPr>
        <w:t>mL</w:t>
      </w:r>
      <w:r w:rsidR="00ED375A" w:rsidRPr="0018664B">
        <w:rPr>
          <w:b/>
          <w:sz w:val="36"/>
          <w:szCs w:val="36"/>
        </w:rPr>
        <w:t xml:space="preserve">, </w:t>
      </w:r>
      <w:r w:rsidRPr="0018664B">
        <w:rPr>
          <w:b/>
          <w:sz w:val="36"/>
          <w:szCs w:val="36"/>
        </w:rPr>
        <w:t>1 x 10</w:t>
      </w:r>
      <w:r w:rsidR="00136B30" w:rsidRPr="0018664B">
        <w:rPr>
          <w:b/>
          <w:sz w:val="36"/>
          <w:szCs w:val="36"/>
        </w:rPr>
        <w:t xml:space="preserve"> </w:t>
      </w:r>
      <w:r w:rsidRPr="0018664B">
        <w:rPr>
          <w:b/>
          <w:sz w:val="36"/>
          <w:szCs w:val="36"/>
        </w:rPr>
        <w:t>mL</w:t>
      </w:r>
      <w:r w:rsidR="007264A9" w:rsidRPr="0018664B">
        <w:rPr>
          <w:b/>
          <w:sz w:val="36"/>
          <w:szCs w:val="36"/>
        </w:rPr>
        <w:t xml:space="preserve">, </w:t>
      </w:r>
      <w:r w:rsidR="0068354F" w:rsidRPr="0018664B">
        <w:rPr>
          <w:b/>
          <w:sz w:val="36"/>
          <w:szCs w:val="36"/>
        </w:rPr>
        <w:t>Bristol-Myers Squibb</w:t>
      </w:r>
    </w:p>
    <w:p w:rsidR="001F294C" w:rsidRPr="00461CCF" w:rsidRDefault="001F294C" w:rsidP="00241478">
      <w:pPr>
        <w:pStyle w:val="PBACHeading1"/>
        <w:keepNext/>
        <w:keepLines/>
        <w:spacing w:before="240" w:after="120"/>
        <w:outlineLvl w:val="0"/>
      </w:pPr>
      <w:bookmarkStart w:id="0" w:name="_Toc514248480"/>
      <w:r w:rsidRPr="00461CCF">
        <w:t>Purpose of Application</w:t>
      </w:r>
      <w:bookmarkEnd w:id="0"/>
    </w:p>
    <w:p w:rsidR="001F294C" w:rsidRPr="00EF3C6A" w:rsidRDefault="001F294C" w:rsidP="00241478">
      <w:pPr>
        <w:pStyle w:val="ListParagraph"/>
        <w:keepNext/>
        <w:keepLines/>
        <w:widowControl/>
        <w:numPr>
          <w:ilvl w:val="1"/>
          <w:numId w:val="3"/>
        </w:numPr>
      </w:pPr>
      <w:r w:rsidRPr="00EF3C6A">
        <w:t xml:space="preserve">The submission requested a Section 100 (Efficient Funding of Chemotherapy) listing for nivolumab in combination with </w:t>
      </w:r>
      <w:proofErr w:type="spellStart"/>
      <w:r w:rsidRPr="00EF3C6A">
        <w:t>ipilimumab</w:t>
      </w:r>
      <w:proofErr w:type="spellEnd"/>
      <w:r w:rsidRPr="00EF3C6A">
        <w:t xml:space="preserve"> (NIVO+IPI) as the first line treatment of Stage IV clear cell variant renal cell carcinoma (RCC) in patients meeting the International Metastatic Renal Cell Carcinoma Database Consortium (IMDC) intermediate to poor risk group criteria.</w:t>
      </w:r>
    </w:p>
    <w:p w:rsidR="001F294C" w:rsidRPr="00EF3C6A" w:rsidRDefault="001F294C" w:rsidP="001F294C">
      <w:pPr>
        <w:pStyle w:val="ListParagraph"/>
        <w:widowControl/>
        <w:numPr>
          <w:ilvl w:val="1"/>
          <w:numId w:val="3"/>
        </w:numPr>
        <w:spacing w:after="120"/>
      </w:pPr>
      <w:r w:rsidRPr="00EF3C6A">
        <w:t xml:space="preserve">The requested listing was based on a cost-utility analysis of NIVO+IPI compared with </w:t>
      </w:r>
      <w:proofErr w:type="spellStart"/>
      <w:r w:rsidRPr="00EF3C6A">
        <w:t>sunitinib</w:t>
      </w:r>
      <w:proofErr w:type="spellEnd"/>
      <w:r w:rsidRPr="00EF3C6A">
        <w:t>. The key components of the clinical issue addressed by the submission are summarised below.</w:t>
      </w:r>
    </w:p>
    <w:p w:rsidR="00320C2A" w:rsidRPr="00EF3C6A" w:rsidRDefault="00320C2A" w:rsidP="00A0262B">
      <w:pPr>
        <w:pStyle w:val="Caption"/>
        <w:keepNext/>
        <w:keepLines/>
        <w:spacing w:after="0"/>
        <w:rPr>
          <w:rStyle w:val="CommentReference"/>
          <w:b/>
          <w:color w:val="auto"/>
        </w:rPr>
      </w:pPr>
      <w:r w:rsidRPr="00EF3C6A">
        <w:rPr>
          <w:rStyle w:val="CommentReference"/>
          <w:b/>
          <w:color w:val="auto"/>
        </w:rPr>
        <w:lastRenderedPageBreak/>
        <w:t xml:space="preserve">Table </w:t>
      </w:r>
      <w:r w:rsidR="004A2895">
        <w:rPr>
          <w:rStyle w:val="CommentReference"/>
          <w:b/>
          <w:noProof/>
          <w:color w:val="auto"/>
        </w:rPr>
        <w:t>1</w:t>
      </w:r>
      <w:r w:rsidRPr="00EF3C6A">
        <w:rPr>
          <w:rStyle w:val="CommentReference"/>
          <w:b/>
          <w:color w:val="auto"/>
        </w:rPr>
        <w:t>: Key components of the clinical issue addressed by the submission</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7624"/>
      </w:tblGrid>
      <w:tr w:rsidR="001F294C" w:rsidRPr="00EF3C6A" w:rsidTr="00136B30">
        <w:tc>
          <w:tcPr>
            <w:tcW w:w="864" w:type="pct"/>
            <w:vAlign w:val="center"/>
          </w:tcPr>
          <w:p w:rsidR="001F294C" w:rsidRPr="00EF3C6A" w:rsidRDefault="001F294C" w:rsidP="00A0262B">
            <w:pPr>
              <w:pStyle w:val="Tabletext"/>
              <w:keepNext/>
              <w:keepLines/>
              <w:rPr>
                <w:b/>
              </w:rPr>
            </w:pPr>
            <w:r w:rsidRPr="00EF3C6A">
              <w:rPr>
                <w:b/>
              </w:rPr>
              <w:t>Component</w:t>
            </w:r>
          </w:p>
        </w:tc>
        <w:tc>
          <w:tcPr>
            <w:tcW w:w="4136" w:type="pct"/>
            <w:vAlign w:val="center"/>
          </w:tcPr>
          <w:p w:rsidR="001F294C" w:rsidRPr="00EF3C6A" w:rsidRDefault="001F294C" w:rsidP="00A0262B">
            <w:pPr>
              <w:pStyle w:val="Tabletext"/>
              <w:keepNext/>
              <w:keepLines/>
              <w:jc w:val="center"/>
              <w:rPr>
                <w:b/>
              </w:rPr>
            </w:pPr>
            <w:r w:rsidRPr="00EF3C6A">
              <w:rPr>
                <w:b/>
              </w:rPr>
              <w:t>Description</w:t>
            </w:r>
          </w:p>
        </w:tc>
      </w:tr>
      <w:tr w:rsidR="001F294C" w:rsidRPr="00EF3C6A" w:rsidTr="00136B30">
        <w:tc>
          <w:tcPr>
            <w:tcW w:w="864" w:type="pct"/>
            <w:vAlign w:val="center"/>
          </w:tcPr>
          <w:p w:rsidR="001F294C" w:rsidRPr="00EF3C6A" w:rsidRDefault="001F294C" w:rsidP="00A0262B">
            <w:pPr>
              <w:pStyle w:val="Tabletext"/>
              <w:keepNext/>
              <w:keepLines/>
            </w:pPr>
            <w:r w:rsidRPr="00EF3C6A">
              <w:t>Population</w:t>
            </w:r>
          </w:p>
        </w:tc>
        <w:tc>
          <w:tcPr>
            <w:tcW w:w="4136" w:type="pct"/>
            <w:vAlign w:val="center"/>
          </w:tcPr>
          <w:p w:rsidR="001F294C" w:rsidRPr="00EF3C6A" w:rsidRDefault="001F294C" w:rsidP="00A0262B">
            <w:pPr>
              <w:pStyle w:val="Tabletext"/>
              <w:keepNext/>
              <w:keepLines/>
            </w:pPr>
            <w:r w:rsidRPr="00EF3C6A">
              <w:t>Intermediate or poor risk (per IMDC scoring system) stage IV* clear cell variant RCC</w:t>
            </w:r>
            <w:r w:rsidR="005C75D6" w:rsidRPr="00EF3C6A">
              <w:t xml:space="preserve"> with a WHO performance status ≤ 2</w:t>
            </w:r>
          </w:p>
        </w:tc>
      </w:tr>
      <w:tr w:rsidR="001F294C" w:rsidRPr="00EF3C6A" w:rsidTr="00136B30">
        <w:tc>
          <w:tcPr>
            <w:tcW w:w="864" w:type="pct"/>
            <w:vAlign w:val="center"/>
          </w:tcPr>
          <w:p w:rsidR="001F294C" w:rsidRPr="00EF3C6A" w:rsidRDefault="001F294C" w:rsidP="00A0262B">
            <w:pPr>
              <w:pStyle w:val="Tabletext"/>
              <w:keepNext/>
              <w:keepLines/>
            </w:pPr>
            <w:r w:rsidRPr="00EF3C6A">
              <w:t>Intervention</w:t>
            </w:r>
          </w:p>
        </w:tc>
        <w:tc>
          <w:tcPr>
            <w:tcW w:w="4136" w:type="pct"/>
            <w:vAlign w:val="center"/>
          </w:tcPr>
          <w:p w:rsidR="00686DC9" w:rsidRPr="00EF3C6A" w:rsidRDefault="00686DC9" w:rsidP="00A0262B">
            <w:pPr>
              <w:pStyle w:val="Tabletext"/>
              <w:keepNext/>
              <w:keepLines/>
              <w:rPr>
                <w:u w:val="single"/>
              </w:rPr>
            </w:pPr>
            <w:r w:rsidRPr="00EF3C6A">
              <w:rPr>
                <w:u w:val="single"/>
              </w:rPr>
              <w:t>Initial combination phase:</w:t>
            </w:r>
          </w:p>
          <w:p w:rsidR="00686DC9" w:rsidRPr="00EF3C6A" w:rsidRDefault="001F294C" w:rsidP="00A0262B">
            <w:pPr>
              <w:pStyle w:val="Tabletext"/>
              <w:keepNext/>
              <w:keepLines/>
            </w:pPr>
            <w:r w:rsidRPr="00EF3C6A">
              <w:t xml:space="preserve">Nivolumab 3mg/kg IV combined with </w:t>
            </w:r>
            <w:proofErr w:type="spellStart"/>
            <w:r w:rsidRPr="00EF3C6A">
              <w:t>ipilimumab</w:t>
            </w:r>
            <w:proofErr w:type="spellEnd"/>
            <w:r w:rsidRPr="00EF3C6A">
              <w:t xml:space="preserve"> 1mg/kg IV every 3 weeks for 4 doses</w:t>
            </w:r>
            <w:r w:rsidR="00686DC9" w:rsidRPr="00EF3C6A">
              <w:t>.</w:t>
            </w:r>
          </w:p>
          <w:p w:rsidR="00686DC9" w:rsidRPr="00EF3C6A" w:rsidRDefault="00686DC9" w:rsidP="00A0262B">
            <w:pPr>
              <w:pStyle w:val="Tabletext"/>
              <w:keepNext/>
              <w:keepLines/>
              <w:rPr>
                <w:u w:val="single"/>
              </w:rPr>
            </w:pPr>
            <w:r w:rsidRPr="00EF3C6A">
              <w:rPr>
                <w:u w:val="single"/>
              </w:rPr>
              <w:t>Single agent maintenance phase:</w:t>
            </w:r>
            <w:r w:rsidR="001F294C" w:rsidRPr="00EF3C6A">
              <w:rPr>
                <w:u w:val="single"/>
              </w:rPr>
              <w:t xml:space="preserve"> </w:t>
            </w:r>
          </w:p>
          <w:p w:rsidR="001F294C" w:rsidRPr="00EF3C6A" w:rsidRDefault="00686DC9" w:rsidP="00A0262B">
            <w:pPr>
              <w:pStyle w:val="Tabletext"/>
              <w:keepNext/>
              <w:keepLines/>
            </w:pPr>
            <w:r w:rsidRPr="00EF3C6A">
              <w:t>N</w:t>
            </w:r>
            <w:r w:rsidR="001F294C" w:rsidRPr="00EF3C6A">
              <w:t>ivolumab 3mg/kg IV every 2 weeks, until RECIST v 1.1 defined progression or unacceptable toxicity</w:t>
            </w:r>
            <w:r w:rsidR="00F24FB1" w:rsidRPr="00EF3C6A">
              <w:t xml:space="preserve"> </w:t>
            </w:r>
          </w:p>
          <w:p w:rsidR="00686DC9" w:rsidRPr="00EF3C6A" w:rsidRDefault="00686DC9" w:rsidP="000B3042">
            <w:pPr>
              <w:pStyle w:val="Tabletext"/>
              <w:keepNext/>
              <w:keepLines/>
            </w:pPr>
            <w:r w:rsidRPr="00EF3C6A">
              <w:t xml:space="preserve">The doses in the initial combination phase differed to those proposed in the malignant melanoma setting, which were: nivolumab 1 mg/kg + </w:t>
            </w:r>
            <w:proofErr w:type="spellStart"/>
            <w:r w:rsidRPr="00EF3C6A">
              <w:t>ipilimumab</w:t>
            </w:r>
            <w:proofErr w:type="spellEnd"/>
            <w:r w:rsidRPr="00EF3C6A">
              <w:t xml:space="preserve"> 3mg/kg for up to 4 doses.</w:t>
            </w:r>
          </w:p>
        </w:tc>
      </w:tr>
      <w:tr w:rsidR="001F294C" w:rsidRPr="00EF3C6A" w:rsidTr="00136B30">
        <w:tc>
          <w:tcPr>
            <w:tcW w:w="864" w:type="pct"/>
            <w:vAlign w:val="center"/>
          </w:tcPr>
          <w:p w:rsidR="001F294C" w:rsidRPr="00EF3C6A" w:rsidRDefault="001F294C" w:rsidP="00A0262B">
            <w:pPr>
              <w:pStyle w:val="Tabletext"/>
              <w:keepNext/>
              <w:keepLines/>
            </w:pPr>
            <w:r w:rsidRPr="00EF3C6A">
              <w:t>Comparator</w:t>
            </w:r>
          </w:p>
        </w:tc>
        <w:tc>
          <w:tcPr>
            <w:tcW w:w="4136" w:type="pct"/>
            <w:vAlign w:val="center"/>
          </w:tcPr>
          <w:p w:rsidR="001F294C" w:rsidRPr="00EF3C6A" w:rsidRDefault="001F294C" w:rsidP="00A0262B">
            <w:pPr>
              <w:pStyle w:val="Tabletext"/>
              <w:keepNext/>
              <w:keepLines/>
            </w:pPr>
            <w:proofErr w:type="spellStart"/>
            <w:r w:rsidRPr="00EF3C6A">
              <w:t>Sunitinib</w:t>
            </w:r>
            <w:proofErr w:type="spellEnd"/>
            <w:r w:rsidRPr="00EF3C6A">
              <w:t xml:space="preserve"> 50mg </w:t>
            </w:r>
            <w:proofErr w:type="spellStart"/>
            <w:r w:rsidRPr="00EF3C6A">
              <w:t>po</w:t>
            </w:r>
            <w:proofErr w:type="spellEnd"/>
            <w:r w:rsidRPr="00EF3C6A">
              <w:t xml:space="preserve"> once daily for 4 weeks followed by 2 weeks off, every cycle. Treatment was continued until RECIST v 1.1 defined progression or unacceptable toxicity</w:t>
            </w:r>
          </w:p>
        </w:tc>
      </w:tr>
      <w:tr w:rsidR="001F294C" w:rsidRPr="00EF3C6A" w:rsidTr="00136B30">
        <w:tc>
          <w:tcPr>
            <w:tcW w:w="864" w:type="pct"/>
            <w:vAlign w:val="center"/>
          </w:tcPr>
          <w:p w:rsidR="001F294C" w:rsidRPr="00EF3C6A" w:rsidRDefault="000B1E3A" w:rsidP="00A0262B">
            <w:pPr>
              <w:pStyle w:val="Tabletext"/>
              <w:keepNext/>
              <w:keepLines/>
            </w:pPr>
            <w:r w:rsidRPr="00EF3C6A">
              <w:t xml:space="preserve">Primary </w:t>
            </w:r>
            <w:r w:rsidR="001F294C" w:rsidRPr="00EF3C6A">
              <w:t>Outcomes</w:t>
            </w:r>
          </w:p>
        </w:tc>
        <w:tc>
          <w:tcPr>
            <w:tcW w:w="4136" w:type="pct"/>
            <w:vAlign w:val="center"/>
          </w:tcPr>
          <w:p w:rsidR="001F294C" w:rsidRPr="00EF3C6A" w:rsidRDefault="001F294C" w:rsidP="00A0262B">
            <w:pPr>
              <w:pStyle w:val="Tabletext"/>
              <w:keepNext/>
              <w:keepLines/>
            </w:pPr>
            <w:r w:rsidRPr="00EF3C6A">
              <w:t xml:space="preserve">OS, PFS, ORR </w:t>
            </w:r>
          </w:p>
        </w:tc>
      </w:tr>
      <w:tr w:rsidR="001F294C" w:rsidRPr="00EF3C6A" w:rsidTr="00136B30">
        <w:tc>
          <w:tcPr>
            <w:tcW w:w="864" w:type="pct"/>
            <w:vAlign w:val="center"/>
          </w:tcPr>
          <w:p w:rsidR="001F294C" w:rsidRPr="00EF3C6A" w:rsidRDefault="001F294C" w:rsidP="00A0262B">
            <w:pPr>
              <w:pStyle w:val="Tabletext"/>
              <w:keepNext/>
              <w:keepLines/>
            </w:pPr>
            <w:r w:rsidRPr="00EF3C6A">
              <w:t>Clinical claim</w:t>
            </w:r>
          </w:p>
        </w:tc>
        <w:tc>
          <w:tcPr>
            <w:tcW w:w="4136" w:type="pct"/>
            <w:vAlign w:val="center"/>
          </w:tcPr>
          <w:p w:rsidR="001F294C" w:rsidRPr="00EF3C6A" w:rsidRDefault="001F294C" w:rsidP="00A0262B">
            <w:pPr>
              <w:pStyle w:val="Tabletext"/>
              <w:keepNext/>
              <w:keepLines/>
            </w:pPr>
            <w:r w:rsidRPr="00EF3C6A">
              <w:t xml:space="preserve">Nivolumab in combination with </w:t>
            </w:r>
            <w:proofErr w:type="spellStart"/>
            <w:r w:rsidRPr="00EF3C6A">
              <w:t>ipilimumab</w:t>
            </w:r>
            <w:proofErr w:type="spellEnd"/>
            <w:r w:rsidRPr="00EF3C6A">
              <w:t xml:space="preserve"> is superior in terms of efficacy (on the basis of OS), when compared to </w:t>
            </w:r>
            <w:proofErr w:type="spellStart"/>
            <w:r w:rsidRPr="00EF3C6A">
              <w:t>sunitinib</w:t>
            </w:r>
            <w:proofErr w:type="spellEnd"/>
            <w:r w:rsidRPr="00EF3C6A">
              <w:t xml:space="preserve"> and has a clinically acceptable safety profile for patients with treatment naive advanced/metastatic clear cell variant RCC of intermediate/poor risk according to the IMDC scoring system</w:t>
            </w:r>
          </w:p>
        </w:tc>
      </w:tr>
    </w:tbl>
    <w:p w:rsidR="001F294C" w:rsidRPr="00EF3C6A" w:rsidRDefault="00273B9D" w:rsidP="00A0262B">
      <w:pPr>
        <w:pStyle w:val="TableFooter"/>
        <w:keepNext/>
        <w:keepLines/>
      </w:pPr>
      <w:r w:rsidRPr="00EF3C6A">
        <w:t xml:space="preserve">Abbreviations: </w:t>
      </w:r>
      <w:r w:rsidR="001F294C" w:rsidRPr="00EF3C6A">
        <w:t xml:space="preserve">IMDC = International Metastatic RCC Database Consortium; IV = intravenously; ORR = objective response rate; OS = overall survival; PFS = progression free survival; </w:t>
      </w:r>
      <w:proofErr w:type="spellStart"/>
      <w:r w:rsidR="001F294C" w:rsidRPr="00EF3C6A">
        <w:t>po</w:t>
      </w:r>
      <w:proofErr w:type="spellEnd"/>
      <w:r w:rsidR="001F294C" w:rsidRPr="00EF3C6A">
        <w:t xml:space="preserve"> = per oral administration; RCC = renal cell carcinoma; RECIST v 1.1 = Response Evaluation Criteria </w:t>
      </w:r>
      <w:proofErr w:type="gramStart"/>
      <w:r w:rsidR="001F294C" w:rsidRPr="00EF3C6A">
        <w:t>In</w:t>
      </w:r>
      <w:proofErr w:type="gramEnd"/>
      <w:r w:rsidR="001F294C" w:rsidRPr="00EF3C6A">
        <w:t xml:space="preserve"> Solid Tumours version 1.1</w:t>
      </w:r>
      <w:r w:rsidR="005C75D6" w:rsidRPr="00EF3C6A">
        <w:t>; WHO = World Health Organisation</w:t>
      </w:r>
    </w:p>
    <w:p w:rsidR="001F294C" w:rsidRPr="00EF3C6A" w:rsidRDefault="001F294C" w:rsidP="00A0262B">
      <w:pPr>
        <w:pStyle w:val="TableFooter"/>
        <w:keepNext/>
        <w:keepLines/>
      </w:pPr>
      <w:r w:rsidRPr="00EF3C6A">
        <w:t xml:space="preserve">* Stage IV was staged according to the American Joint Committee on Cancer. </w:t>
      </w:r>
    </w:p>
    <w:p w:rsidR="001F294C" w:rsidRPr="00EF3C6A" w:rsidRDefault="0099569A" w:rsidP="00160ED7">
      <w:pPr>
        <w:pStyle w:val="TableFooter"/>
        <w:keepNext/>
        <w:keepLines/>
      </w:pPr>
      <w:r w:rsidRPr="00EF3C6A">
        <w:t>Source: Table 1, p 17 and Ta</w:t>
      </w:r>
      <w:r w:rsidR="00160ED7">
        <w:t>ble 31, p 57 of the submission.</w:t>
      </w:r>
    </w:p>
    <w:p w:rsidR="001F294C" w:rsidRPr="00EF3C6A" w:rsidRDefault="001F294C" w:rsidP="00160ED7">
      <w:pPr>
        <w:pStyle w:val="PBACHeading1"/>
        <w:keepNext/>
        <w:keepLines/>
        <w:spacing w:before="240" w:after="120"/>
        <w:outlineLvl w:val="0"/>
      </w:pPr>
      <w:bookmarkStart w:id="1" w:name="_Toc514248481"/>
      <w:r w:rsidRPr="00EF3C6A">
        <w:t>Requested listing</w:t>
      </w:r>
      <w:bookmarkEnd w:id="1"/>
    </w:p>
    <w:tbl>
      <w:tblPr>
        <w:tblW w:w="9180" w:type="dxa"/>
        <w:tblBorders>
          <w:top w:val="single" w:sz="4" w:space="0" w:color="auto"/>
          <w:bottom w:val="single" w:sz="4" w:space="0" w:color="auto"/>
          <w:insideH w:val="single" w:sz="4" w:space="0" w:color="auto"/>
        </w:tblBorders>
        <w:tblLook w:val="04A0" w:firstRow="1" w:lastRow="0" w:firstColumn="1" w:lastColumn="0" w:noHBand="0" w:noVBand="1"/>
      </w:tblPr>
      <w:tblGrid>
        <w:gridCol w:w="2682"/>
        <w:gridCol w:w="557"/>
        <w:gridCol w:w="586"/>
        <w:gridCol w:w="1011"/>
        <w:gridCol w:w="2482"/>
        <w:gridCol w:w="1862"/>
      </w:tblGrid>
      <w:tr w:rsidR="001F294C" w:rsidRPr="00EF3C6A" w:rsidTr="001F294C">
        <w:trPr>
          <w:tblHeader/>
        </w:trPr>
        <w:tc>
          <w:tcPr>
            <w:tcW w:w="0" w:type="auto"/>
          </w:tcPr>
          <w:p w:rsidR="001F294C" w:rsidRPr="00EF3C6A" w:rsidRDefault="001F294C" w:rsidP="001F294C">
            <w:pPr>
              <w:jc w:val="left"/>
              <w:rPr>
                <w:rFonts w:ascii="Arial Narrow" w:hAnsi="Arial Narrow"/>
                <w:b/>
                <w:sz w:val="20"/>
                <w:szCs w:val="20"/>
              </w:rPr>
            </w:pPr>
            <w:r w:rsidRPr="00EF3C6A">
              <w:rPr>
                <w:rFonts w:ascii="Arial Narrow" w:hAnsi="Arial Narrow"/>
                <w:b/>
                <w:sz w:val="20"/>
                <w:szCs w:val="20"/>
              </w:rPr>
              <w:t>Name, restriction, manner of administration, form</w:t>
            </w:r>
          </w:p>
        </w:tc>
        <w:tc>
          <w:tcPr>
            <w:tcW w:w="0" w:type="auto"/>
            <w:gridSpan w:val="2"/>
          </w:tcPr>
          <w:p w:rsidR="001F294C" w:rsidRPr="00EF3C6A" w:rsidRDefault="001F294C" w:rsidP="001F294C">
            <w:pPr>
              <w:jc w:val="center"/>
              <w:rPr>
                <w:rFonts w:ascii="Arial Narrow" w:hAnsi="Arial Narrow"/>
                <w:b/>
                <w:sz w:val="20"/>
                <w:szCs w:val="20"/>
              </w:rPr>
            </w:pPr>
            <w:r w:rsidRPr="00EF3C6A">
              <w:rPr>
                <w:rFonts w:ascii="Arial Narrow" w:hAnsi="Arial Narrow"/>
                <w:b/>
                <w:sz w:val="20"/>
                <w:szCs w:val="20"/>
              </w:rPr>
              <w:t>Maximum qty</w:t>
            </w:r>
          </w:p>
        </w:tc>
        <w:tc>
          <w:tcPr>
            <w:tcW w:w="924" w:type="dxa"/>
          </w:tcPr>
          <w:p w:rsidR="001F294C" w:rsidRPr="00EF3C6A" w:rsidRDefault="001F294C" w:rsidP="001F294C">
            <w:pPr>
              <w:jc w:val="center"/>
              <w:rPr>
                <w:rFonts w:ascii="Arial Narrow" w:hAnsi="Arial Narrow"/>
                <w:b/>
                <w:sz w:val="20"/>
                <w:szCs w:val="20"/>
              </w:rPr>
            </w:pPr>
            <w:r w:rsidRPr="00EF3C6A">
              <w:rPr>
                <w:rFonts w:ascii="Arial Narrow" w:hAnsi="Arial Narrow"/>
                <w:b/>
                <w:sz w:val="20"/>
                <w:szCs w:val="20"/>
              </w:rPr>
              <w:t>No. of repeats</w:t>
            </w:r>
          </w:p>
        </w:tc>
        <w:tc>
          <w:tcPr>
            <w:tcW w:w="2268" w:type="dxa"/>
          </w:tcPr>
          <w:p w:rsidR="001F294C" w:rsidRPr="00EF3C6A" w:rsidRDefault="001F294C" w:rsidP="001F294C">
            <w:pPr>
              <w:jc w:val="left"/>
              <w:rPr>
                <w:rFonts w:ascii="Arial Narrow" w:hAnsi="Arial Narrow"/>
                <w:b/>
                <w:sz w:val="20"/>
                <w:szCs w:val="20"/>
              </w:rPr>
            </w:pPr>
            <w:r w:rsidRPr="00EF3C6A">
              <w:rPr>
                <w:rFonts w:ascii="Arial Narrow" w:hAnsi="Arial Narrow"/>
                <w:b/>
                <w:sz w:val="20"/>
                <w:szCs w:val="20"/>
              </w:rPr>
              <w:t>Dispensed price for maximum amount</w:t>
            </w:r>
          </w:p>
        </w:tc>
        <w:tc>
          <w:tcPr>
            <w:tcW w:w="1701" w:type="dxa"/>
          </w:tcPr>
          <w:p w:rsidR="001F294C" w:rsidRPr="00EF3C6A" w:rsidRDefault="001F294C" w:rsidP="001F294C">
            <w:pPr>
              <w:rPr>
                <w:rFonts w:ascii="Arial Narrow" w:hAnsi="Arial Narrow"/>
                <w:b/>
                <w:sz w:val="20"/>
                <w:szCs w:val="20"/>
              </w:rPr>
            </w:pPr>
            <w:r w:rsidRPr="00EF3C6A">
              <w:rPr>
                <w:rFonts w:ascii="Arial Narrow" w:hAnsi="Arial Narrow"/>
                <w:b/>
                <w:sz w:val="20"/>
                <w:szCs w:val="20"/>
              </w:rPr>
              <w:t>Proprietary name and manufacturer</w:t>
            </w:r>
          </w:p>
        </w:tc>
      </w:tr>
      <w:tr w:rsidR="001F294C" w:rsidRPr="00EF3C6A" w:rsidTr="00FF4CF1">
        <w:tc>
          <w:tcPr>
            <w:tcW w:w="0" w:type="auto"/>
            <w:tcBorders>
              <w:bottom w:val="nil"/>
            </w:tcBorders>
          </w:tcPr>
          <w:p w:rsidR="001F294C" w:rsidRPr="00EF3C6A" w:rsidRDefault="001F294C" w:rsidP="001F294C">
            <w:pPr>
              <w:pStyle w:val="Tabletext"/>
              <w:rPr>
                <w:b/>
              </w:rPr>
            </w:pPr>
            <w:r w:rsidRPr="00EF3C6A">
              <w:rPr>
                <w:b/>
              </w:rPr>
              <w:t>Induction phase</w:t>
            </w:r>
          </w:p>
        </w:tc>
        <w:tc>
          <w:tcPr>
            <w:tcW w:w="0" w:type="auto"/>
            <w:gridSpan w:val="2"/>
            <w:tcBorders>
              <w:bottom w:val="nil"/>
            </w:tcBorders>
          </w:tcPr>
          <w:p w:rsidR="001F294C" w:rsidRPr="00EF3C6A" w:rsidRDefault="001F294C" w:rsidP="001F294C">
            <w:pPr>
              <w:pStyle w:val="Tabletext"/>
              <w:jc w:val="center"/>
            </w:pPr>
          </w:p>
        </w:tc>
        <w:tc>
          <w:tcPr>
            <w:tcW w:w="924" w:type="dxa"/>
            <w:tcBorders>
              <w:bottom w:val="nil"/>
            </w:tcBorders>
          </w:tcPr>
          <w:p w:rsidR="001F294C" w:rsidRPr="00EF3C6A" w:rsidRDefault="001F294C" w:rsidP="001F294C">
            <w:pPr>
              <w:pStyle w:val="Tabletext"/>
              <w:jc w:val="center"/>
            </w:pPr>
          </w:p>
        </w:tc>
        <w:tc>
          <w:tcPr>
            <w:tcW w:w="2268" w:type="dxa"/>
          </w:tcPr>
          <w:p w:rsidR="001F294C" w:rsidRPr="00EF3C6A" w:rsidRDefault="001F294C" w:rsidP="001F294C">
            <w:pPr>
              <w:pStyle w:val="Tabletext"/>
            </w:pPr>
          </w:p>
        </w:tc>
        <w:tc>
          <w:tcPr>
            <w:tcW w:w="1701" w:type="dxa"/>
          </w:tcPr>
          <w:p w:rsidR="001F294C" w:rsidRPr="00EF3C6A" w:rsidRDefault="001F294C" w:rsidP="001F294C">
            <w:pPr>
              <w:pStyle w:val="Tabletext"/>
            </w:pPr>
          </w:p>
        </w:tc>
      </w:tr>
      <w:tr w:rsidR="00FF4CF1" w:rsidRPr="00EF3C6A" w:rsidTr="00FF4CF1">
        <w:trPr>
          <w:trHeight w:val="803"/>
        </w:trPr>
        <w:tc>
          <w:tcPr>
            <w:tcW w:w="0" w:type="auto"/>
            <w:tcBorders>
              <w:top w:val="nil"/>
              <w:bottom w:val="nil"/>
            </w:tcBorders>
          </w:tcPr>
          <w:p w:rsidR="00FF4CF1" w:rsidRPr="00EF3C6A" w:rsidRDefault="00FF4CF1" w:rsidP="001F294C">
            <w:pPr>
              <w:pStyle w:val="Tabletext"/>
              <w:rPr>
                <w:lang w:val="fr-FR"/>
              </w:rPr>
            </w:pPr>
            <w:r w:rsidRPr="00EF3C6A">
              <w:rPr>
                <w:lang w:val="fr-FR"/>
              </w:rPr>
              <w:t>NIVOLUMAB</w:t>
            </w:r>
          </w:p>
          <w:p w:rsidR="00FF4CF1" w:rsidRPr="00EF3C6A" w:rsidRDefault="00FF4CF1" w:rsidP="001F294C">
            <w:pPr>
              <w:pStyle w:val="Tabletext"/>
              <w:rPr>
                <w:lang w:val="fr-FR"/>
              </w:rPr>
            </w:pPr>
            <w:r w:rsidRPr="00EF3C6A">
              <w:rPr>
                <w:lang w:val="fr-FR"/>
              </w:rPr>
              <w:t xml:space="preserve">Injection 40 mg/4 </w:t>
            </w:r>
            <w:proofErr w:type="spellStart"/>
            <w:r w:rsidRPr="00EF3C6A">
              <w:rPr>
                <w:lang w:val="fr-FR"/>
              </w:rPr>
              <w:t>mL</w:t>
            </w:r>
            <w:proofErr w:type="spellEnd"/>
            <w:r w:rsidRPr="00EF3C6A">
              <w:rPr>
                <w:lang w:val="fr-FR"/>
              </w:rPr>
              <w:t xml:space="preserve"> 1 x 4 </w:t>
            </w:r>
            <w:proofErr w:type="spellStart"/>
            <w:r w:rsidRPr="00EF3C6A">
              <w:rPr>
                <w:lang w:val="fr-FR"/>
              </w:rPr>
              <w:t>mL</w:t>
            </w:r>
            <w:proofErr w:type="spellEnd"/>
            <w:r w:rsidRPr="00EF3C6A">
              <w:rPr>
                <w:lang w:val="fr-FR"/>
              </w:rPr>
              <w:t xml:space="preserve"> </w:t>
            </w:r>
            <w:proofErr w:type="spellStart"/>
            <w:r w:rsidRPr="00EF3C6A">
              <w:rPr>
                <w:lang w:val="fr-FR"/>
              </w:rPr>
              <w:t>vial</w:t>
            </w:r>
            <w:proofErr w:type="spellEnd"/>
          </w:p>
          <w:p w:rsidR="00FF4CF1" w:rsidRPr="00EF3C6A" w:rsidRDefault="00FF4CF1" w:rsidP="001F294C">
            <w:pPr>
              <w:pStyle w:val="Tabletext"/>
              <w:rPr>
                <w:bCs/>
              </w:rPr>
            </w:pPr>
            <w:r w:rsidRPr="00EF3C6A">
              <w:rPr>
                <w:bCs/>
              </w:rPr>
              <w:t>Injection 100 mg/10 mL 1 x 10 mL vial</w:t>
            </w:r>
          </w:p>
          <w:p w:rsidR="00FF4CF1" w:rsidRPr="00EF3C6A" w:rsidRDefault="00FF4CF1" w:rsidP="001F294C">
            <w:pPr>
              <w:pStyle w:val="Tabletext"/>
              <w:rPr>
                <w:bCs/>
              </w:rPr>
            </w:pPr>
          </w:p>
          <w:p w:rsidR="00FF4CF1" w:rsidRPr="00EF3C6A" w:rsidRDefault="00FF4CF1" w:rsidP="001F294C">
            <w:pPr>
              <w:pStyle w:val="Tabletext"/>
            </w:pPr>
            <w:r w:rsidRPr="00EF3C6A">
              <w:t xml:space="preserve"> </w:t>
            </w:r>
          </w:p>
        </w:tc>
        <w:tc>
          <w:tcPr>
            <w:tcW w:w="0" w:type="auto"/>
            <w:gridSpan w:val="2"/>
            <w:tcBorders>
              <w:top w:val="nil"/>
              <w:bottom w:val="nil"/>
            </w:tcBorders>
          </w:tcPr>
          <w:p w:rsidR="00FF4CF1" w:rsidRPr="00EF3C6A" w:rsidRDefault="00FF4CF1" w:rsidP="00FF4CF1">
            <w:pPr>
              <w:pStyle w:val="Tabletext"/>
              <w:jc w:val="center"/>
            </w:pPr>
            <w:r w:rsidRPr="00EF3C6A">
              <w:t>360 mg</w:t>
            </w:r>
          </w:p>
          <w:p w:rsidR="00FF4CF1" w:rsidRPr="00EF3C6A" w:rsidRDefault="00FF4CF1" w:rsidP="001F294C">
            <w:pPr>
              <w:pStyle w:val="Tabletext"/>
              <w:jc w:val="center"/>
            </w:pPr>
          </w:p>
        </w:tc>
        <w:tc>
          <w:tcPr>
            <w:tcW w:w="924" w:type="dxa"/>
            <w:tcBorders>
              <w:top w:val="nil"/>
              <w:bottom w:val="nil"/>
            </w:tcBorders>
          </w:tcPr>
          <w:p w:rsidR="00FF4CF1" w:rsidRPr="00EF3C6A" w:rsidRDefault="00FF4CF1" w:rsidP="001F294C">
            <w:pPr>
              <w:pStyle w:val="Tabletext"/>
              <w:jc w:val="center"/>
            </w:pPr>
            <w:r w:rsidRPr="00EF3C6A">
              <w:t>3</w:t>
            </w:r>
          </w:p>
          <w:p w:rsidR="00FF4CF1" w:rsidRPr="00EF3C6A" w:rsidRDefault="00FF4CF1" w:rsidP="00FF4CF1">
            <w:pPr>
              <w:pStyle w:val="Tabletext"/>
            </w:pPr>
          </w:p>
        </w:tc>
        <w:tc>
          <w:tcPr>
            <w:tcW w:w="2268" w:type="dxa"/>
          </w:tcPr>
          <w:p w:rsidR="00FF4CF1" w:rsidRPr="00EF3C6A" w:rsidRDefault="00FF4CF1" w:rsidP="001F294C">
            <w:pPr>
              <w:pStyle w:val="Tabletext"/>
            </w:pPr>
            <w:r w:rsidRPr="00EF3C6A">
              <w:t>$7,560.13 published price</w:t>
            </w:r>
          </w:p>
          <w:p w:rsidR="00FF4CF1" w:rsidRPr="00EF3C6A" w:rsidRDefault="00FF4CF1" w:rsidP="001F294C">
            <w:pPr>
              <w:pStyle w:val="Tabletext"/>
            </w:pPr>
            <w:r w:rsidRPr="00EF3C6A">
              <w:t>$</w:t>
            </w:r>
            <w:r>
              <w:rPr>
                <w:noProof/>
                <w:color w:val="000000"/>
                <w:highlight w:val="black"/>
              </w:rPr>
              <w:t>'''''''''''''''''''''''</w:t>
            </w:r>
            <w:r w:rsidRPr="00EF3C6A">
              <w:t xml:space="preserve"> effective price</w:t>
            </w:r>
          </w:p>
          <w:p w:rsidR="00FF4CF1" w:rsidRPr="00EF3C6A" w:rsidRDefault="00FF4CF1" w:rsidP="001F294C">
            <w:pPr>
              <w:pStyle w:val="Tabletext"/>
            </w:pPr>
          </w:p>
        </w:tc>
        <w:tc>
          <w:tcPr>
            <w:tcW w:w="1701" w:type="dxa"/>
          </w:tcPr>
          <w:p w:rsidR="00FF4CF1" w:rsidRPr="00EF3C6A" w:rsidRDefault="00FF4CF1" w:rsidP="001F294C">
            <w:pPr>
              <w:pStyle w:val="Tabletext"/>
            </w:pPr>
            <w:r w:rsidRPr="00EF3C6A">
              <w:t>OPDIVO Bristo</w:t>
            </w:r>
            <w:r>
              <w:t>l-Myers Squibb Australia Pty Ltd</w:t>
            </w:r>
          </w:p>
          <w:p w:rsidR="00FF4CF1" w:rsidRPr="00EF3C6A" w:rsidRDefault="00FF4CF1" w:rsidP="001F294C">
            <w:pPr>
              <w:pStyle w:val="Tabletext"/>
            </w:pPr>
          </w:p>
        </w:tc>
      </w:tr>
      <w:tr w:rsidR="00FF4CF1" w:rsidRPr="00EF3C6A" w:rsidTr="00FF4CF1">
        <w:trPr>
          <w:trHeight w:val="802"/>
        </w:trPr>
        <w:tc>
          <w:tcPr>
            <w:tcW w:w="0" w:type="auto"/>
            <w:tcBorders>
              <w:top w:val="nil"/>
              <w:bottom w:val="nil"/>
            </w:tcBorders>
          </w:tcPr>
          <w:p w:rsidR="00FF4CF1" w:rsidRPr="00EF3C6A" w:rsidRDefault="00FF4CF1" w:rsidP="00FF4CF1">
            <w:pPr>
              <w:pStyle w:val="Tabletext"/>
              <w:rPr>
                <w:bCs/>
              </w:rPr>
            </w:pPr>
            <w:r w:rsidRPr="00EF3C6A">
              <w:rPr>
                <w:bCs/>
              </w:rPr>
              <w:t>IPILIMUMAB</w:t>
            </w:r>
          </w:p>
          <w:p w:rsidR="00FF4CF1" w:rsidRPr="00EF3C6A" w:rsidRDefault="00FF4CF1" w:rsidP="00FF4CF1">
            <w:pPr>
              <w:pStyle w:val="Tabletext"/>
              <w:rPr>
                <w:lang w:val="fr-FR"/>
              </w:rPr>
            </w:pPr>
            <w:r w:rsidRPr="00EF3C6A">
              <w:rPr>
                <w:bCs/>
              </w:rPr>
              <w:t>Injection 50 mg/10 mL 1 x 10 mL vial</w:t>
            </w:r>
          </w:p>
        </w:tc>
        <w:tc>
          <w:tcPr>
            <w:tcW w:w="0" w:type="auto"/>
            <w:gridSpan w:val="2"/>
            <w:tcBorders>
              <w:top w:val="nil"/>
              <w:bottom w:val="nil"/>
            </w:tcBorders>
          </w:tcPr>
          <w:p w:rsidR="00FF4CF1" w:rsidRPr="00EF3C6A" w:rsidRDefault="00FF4CF1" w:rsidP="001F294C">
            <w:pPr>
              <w:pStyle w:val="Tabletext"/>
              <w:jc w:val="center"/>
            </w:pPr>
            <w:r w:rsidRPr="00EF3C6A">
              <w:t>120 mg</w:t>
            </w:r>
          </w:p>
        </w:tc>
        <w:tc>
          <w:tcPr>
            <w:tcW w:w="924" w:type="dxa"/>
            <w:tcBorders>
              <w:top w:val="nil"/>
              <w:bottom w:val="nil"/>
            </w:tcBorders>
          </w:tcPr>
          <w:p w:rsidR="00FF4CF1" w:rsidRPr="00EF3C6A" w:rsidRDefault="00FF4CF1" w:rsidP="001F294C">
            <w:pPr>
              <w:pStyle w:val="Tabletext"/>
              <w:jc w:val="center"/>
            </w:pPr>
            <w:r>
              <w:t>3</w:t>
            </w:r>
          </w:p>
        </w:tc>
        <w:tc>
          <w:tcPr>
            <w:tcW w:w="2268" w:type="dxa"/>
          </w:tcPr>
          <w:p w:rsidR="00FF4CF1" w:rsidRPr="00EF3C6A" w:rsidRDefault="00FF4CF1" w:rsidP="00FF4CF1">
            <w:pPr>
              <w:pStyle w:val="Tabletext"/>
            </w:pPr>
            <w:r w:rsidRPr="00EF3C6A">
              <w:t>$17,849.89 published price</w:t>
            </w:r>
          </w:p>
          <w:p w:rsidR="00FF4CF1" w:rsidRPr="00EF3C6A" w:rsidRDefault="00FF4CF1" w:rsidP="00FF4CF1">
            <w:pPr>
              <w:pStyle w:val="Tabletext"/>
            </w:pPr>
            <w:r w:rsidRPr="00EF3C6A">
              <w:t>$</w:t>
            </w:r>
            <w:r>
              <w:rPr>
                <w:noProof/>
                <w:color w:val="000000"/>
                <w:highlight w:val="black"/>
              </w:rPr>
              <w:t>''''''''''''''''''''''</w:t>
            </w:r>
            <w:r w:rsidRPr="00EF3C6A">
              <w:t xml:space="preserve"> effective price</w:t>
            </w:r>
          </w:p>
        </w:tc>
        <w:tc>
          <w:tcPr>
            <w:tcW w:w="1701" w:type="dxa"/>
          </w:tcPr>
          <w:p w:rsidR="00FF4CF1" w:rsidRPr="00EF3C6A" w:rsidRDefault="00FF4CF1" w:rsidP="001F294C">
            <w:pPr>
              <w:pStyle w:val="Tabletext"/>
            </w:pPr>
            <w:r w:rsidRPr="00EF3C6A">
              <w:t>YERVOY Bristol-Myers Squibb Australia Pty Ltd</w:t>
            </w:r>
          </w:p>
        </w:tc>
      </w:tr>
      <w:tr w:rsidR="001F294C" w:rsidRPr="00EF3C6A" w:rsidTr="00FF4CF1">
        <w:trPr>
          <w:tblHeader/>
        </w:trPr>
        <w:tc>
          <w:tcPr>
            <w:tcW w:w="0" w:type="auto"/>
            <w:tcBorders>
              <w:top w:val="nil"/>
            </w:tcBorders>
          </w:tcPr>
          <w:p w:rsidR="001F294C" w:rsidRPr="00EF3C6A" w:rsidRDefault="001F294C" w:rsidP="001F294C">
            <w:pPr>
              <w:jc w:val="left"/>
              <w:rPr>
                <w:rFonts w:ascii="Arial Narrow" w:hAnsi="Arial Narrow"/>
                <w:b/>
                <w:sz w:val="20"/>
                <w:szCs w:val="20"/>
              </w:rPr>
            </w:pPr>
            <w:r w:rsidRPr="00EF3C6A">
              <w:rPr>
                <w:rFonts w:ascii="Arial Narrow" w:hAnsi="Arial Narrow"/>
                <w:b/>
                <w:sz w:val="20"/>
                <w:szCs w:val="20"/>
              </w:rPr>
              <w:t>Continuing phase</w:t>
            </w:r>
          </w:p>
        </w:tc>
        <w:tc>
          <w:tcPr>
            <w:tcW w:w="0" w:type="auto"/>
            <w:gridSpan w:val="2"/>
            <w:tcBorders>
              <w:top w:val="nil"/>
            </w:tcBorders>
          </w:tcPr>
          <w:p w:rsidR="001F294C" w:rsidRPr="00EF3C6A" w:rsidRDefault="001F294C" w:rsidP="001F294C">
            <w:pPr>
              <w:jc w:val="center"/>
              <w:rPr>
                <w:rFonts w:ascii="Arial Narrow" w:hAnsi="Arial Narrow"/>
                <w:b/>
                <w:sz w:val="20"/>
                <w:szCs w:val="20"/>
              </w:rPr>
            </w:pPr>
          </w:p>
        </w:tc>
        <w:tc>
          <w:tcPr>
            <w:tcW w:w="924" w:type="dxa"/>
            <w:tcBorders>
              <w:top w:val="nil"/>
            </w:tcBorders>
          </w:tcPr>
          <w:p w:rsidR="001F294C" w:rsidRPr="00EF3C6A" w:rsidRDefault="001F294C" w:rsidP="001F294C">
            <w:pPr>
              <w:jc w:val="center"/>
              <w:rPr>
                <w:rFonts w:ascii="Arial Narrow" w:hAnsi="Arial Narrow"/>
                <w:b/>
                <w:sz w:val="20"/>
                <w:szCs w:val="20"/>
              </w:rPr>
            </w:pPr>
          </w:p>
        </w:tc>
        <w:tc>
          <w:tcPr>
            <w:tcW w:w="2268" w:type="dxa"/>
          </w:tcPr>
          <w:p w:rsidR="001F294C" w:rsidRPr="00EF3C6A" w:rsidRDefault="001F294C" w:rsidP="001F294C">
            <w:pPr>
              <w:jc w:val="left"/>
              <w:rPr>
                <w:rFonts w:ascii="Arial Narrow" w:hAnsi="Arial Narrow"/>
                <w:b/>
                <w:sz w:val="20"/>
                <w:szCs w:val="20"/>
              </w:rPr>
            </w:pPr>
          </w:p>
        </w:tc>
        <w:tc>
          <w:tcPr>
            <w:tcW w:w="1701" w:type="dxa"/>
          </w:tcPr>
          <w:p w:rsidR="001F294C" w:rsidRPr="00EF3C6A" w:rsidRDefault="001F294C" w:rsidP="001F294C">
            <w:pPr>
              <w:rPr>
                <w:rFonts w:ascii="Arial Narrow" w:hAnsi="Arial Narrow"/>
                <w:b/>
                <w:sz w:val="20"/>
                <w:szCs w:val="20"/>
              </w:rPr>
            </w:pPr>
          </w:p>
        </w:tc>
      </w:tr>
      <w:tr w:rsidR="001F294C" w:rsidRPr="00EF3C6A" w:rsidTr="001F294C">
        <w:tc>
          <w:tcPr>
            <w:tcW w:w="0" w:type="auto"/>
          </w:tcPr>
          <w:p w:rsidR="001F294C" w:rsidRPr="00EF3C6A" w:rsidRDefault="001F294C" w:rsidP="001F294C">
            <w:pPr>
              <w:pStyle w:val="Tabletext"/>
              <w:rPr>
                <w:lang w:val="fr-FR"/>
              </w:rPr>
            </w:pPr>
            <w:r w:rsidRPr="00EF3C6A">
              <w:rPr>
                <w:lang w:val="fr-FR"/>
              </w:rPr>
              <w:t>NIVOLUMAB</w:t>
            </w:r>
          </w:p>
          <w:p w:rsidR="001F294C" w:rsidRPr="00EF3C6A" w:rsidRDefault="001F294C" w:rsidP="001F294C">
            <w:pPr>
              <w:pStyle w:val="Tabletext"/>
              <w:rPr>
                <w:lang w:val="fr-FR"/>
              </w:rPr>
            </w:pPr>
            <w:r w:rsidRPr="00EF3C6A">
              <w:rPr>
                <w:lang w:val="fr-FR"/>
              </w:rPr>
              <w:t xml:space="preserve">Injection 40 mg/4 </w:t>
            </w:r>
            <w:proofErr w:type="spellStart"/>
            <w:r w:rsidRPr="00EF3C6A">
              <w:rPr>
                <w:lang w:val="fr-FR"/>
              </w:rPr>
              <w:t>mL</w:t>
            </w:r>
            <w:proofErr w:type="spellEnd"/>
            <w:r w:rsidRPr="00EF3C6A">
              <w:rPr>
                <w:lang w:val="fr-FR"/>
              </w:rPr>
              <w:t xml:space="preserve"> 1 x 4 </w:t>
            </w:r>
            <w:proofErr w:type="spellStart"/>
            <w:r w:rsidRPr="00EF3C6A">
              <w:rPr>
                <w:lang w:val="fr-FR"/>
              </w:rPr>
              <w:t>mL</w:t>
            </w:r>
            <w:proofErr w:type="spellEnd"/>
            <w:r w:rsidRPr="00EF3C6A">
              <w:rPr>
                <w:lang w:val="fr-FR"/>
              </w:rPr>
              <w:t xml:space="preserve"> </w:t>
            </w:r>
            <w:proofErr w:type="spellStart"/>
            <w:r w:rsidRPr="00EF3C6A">
              <w:rPr>
                <w:lang w:val="fr-FR"/>
              </w:rPr>
              <w:t>vial</w:t>
            </w:r>
            <w:proofErr w:type="spellEnd"/>
          </w:p>
          <w:p w:rsidR="001F294C" w:rsidRPr="00EF3C6A" w:rsidRDefault="001F294C" w:rsidP="001F294C">
            <w:pPr>
              <w:pStyle w:val="Tabletext"/>
              <w:rPr>
                <w:bCs/>
              </w:rPr>
            </w:pPr>
            <w:r w:rsidRPr="00EF3C6A">
              <w:rPr>
                <w:bCs/>
              </w:rPr>
              <w:t>Injection 100 mg/10 mL 1 x 10 mL vial</w:t>
            </w:r>
          </w:p>
          <w:p w:rsidR="001F294C" w:rsidRPr="00EF3C6A" w:rsidRDefault="001F294C" w:rsidP="001F294C">
            <w:pPr>
              <w:pStyle w:val="Tabletext"/>
            </w:pPr>
            <w:r w:rsidRPr="00EF3C6A">
              <w:t xml:space="preserve"> </w:t>
            </w:r>
          </w:p>
        </w:tc>
        <w:tc>
          <w:tcPr>
            <w:tcW w:w="0" w:type="auto"/>
            <w:gridSpan w:val="2"/>
          </w:tcPr>
          <w:p w:rsidR="001F294C" w:rsidRPr="00EF3C6A" w:rsidRDefault="001F294C" w:rsidP="001F294C">
            <w:pPr>
              <w:pStyle w:val="Tabletext"/>
              <w:jc w:val="center"/>
            </w:pPr>
            <w:r w:rsidRPr="00EF3C6A">
              <w:t>360 mg</w:t>
            </w:r>
          </w:p>
          <w:p w:rsidR="001F294C" w:rsidRPr="00EF3C6A" w:rsidRDefault="001F294C" w:rsidP="00FF4CF1">
            <w:pPr>
              <w:pStyle w:val="Tabletext"/>
            </w:pPr>
          </w:p>
        </w:tc>
        <w:tc>
          <w:tcPr>
            <w:tcW w:w="924" w:type="dxa"/>
          </w:tcPr>
          <w:p w:rsidR="001F294C" w:rsidRPr="00EF3C6A" w:rsidRDefault="001F294C" w:rsidP="00FF4CF1">
            <w:pPr>
              <w:pStyle w:val="Tabletext"/>
              <w:jc w:val="center"/>
            </w:pPr>
            <w:r w:rsidRPr="00EF3C6A">
              <w:t>11</w:t>
            </w:r>
          </w:p>
          <w:p w:rsidR="001F294C" w:rsidRPr="00EF3C6A" w:rsidRDefault="001F294C" w:rsidP="001F294C">
            <w:pPr>
              <w:pStyle w:val="Tabletext"/>
              <w:jc w:val="center"/>
            </w:pPr>
          </w:p>
        </w:tc>
        <w:tc>
          <w:tcPr>
            <w:tcW w:w="2268" w:type="dxa"/>
          </w:tcPr>
          <w:p w:rsidR="001F294C" w:rsidRPr="00EF3C6A" w:rsidRDefault="001F294C" w:rsidP="001F294C">
            <w:pPr>
              <w:pStyle w:val="Tabletext"/>
            </w:pPr>
            <w:r w:rsidRPr="00EF3C6A">
              <w:t>$7,560.13 published price</w:t>
            </w:r>
          </w:p>
          <w:p w:rsidR="001F294C" w:rsidRPr="00EF3C6A" w:rsidRDefault="001F294C" w:rsidP="001F294C">
            <w:pPr>
              <w:pStyle w:val="Tabletext"/>
            </w:pPr>
            <w:r w:rsidRPr="00EF3C6A">
              <w:t>$</w:t>
            </w:r>
            <w:r w:rsidR="00B07F6B">
              <w:rPr>
                <w:noProof/>
                <w:color w:val="000000"/>
                <w:highlight w:val="black"/>
              </w:rPr>
              <w:t>'''''''''''''''''''''</w:t>
            </w:r>
            <w:r w:rsidRPr="00EF3C6A">
              <w:t xml:space="preserve"> effective price</w:t>
            </w:r>
          </w:p>
        </w:tc>
        <w:tc>
          <w:tcPr>
            <w:tcW w:w="1701" w:type="dxa"/>
          </w:tcPr>
          <w:p w:rsidR="001F294C" w:rsidRPr="00EF3C6A" w:rsidRDefault="001F294C" w:rsidP="001F294C">
            <w:pPr>
              <w:pStyle w:val="Tabletext"/>
            </w:pPr>
            <w:r w:rsidRPr="00EF3C6A">
              <w:t>OPDIVO Bristol-Myers Squibb Australia Pty Ltd</w:t>
            </w:r>
          </w:p>
        </w:tc>
      </w:tr>
      <w:tr w:rsidR="00160ED7" w:rsidRPr="00EF3C6A" w:rsidTr="001F294C">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3136" w:type="dxa"/>
            <w:gridSpan w:val="2"/>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rPr>
                <w:b/>
              </w:rPr>
            </w:pPr>
            <w:r w:rsidRPr="00EF3C6A">
              <w:rPr>
                <w:b/>
              </w:rPr>
              <w:t>Category/Program</w:t>
            </w:r>
          </w:p>
        </w:tc>
        <w:tc>
          <w:tcPr>
            <w:tcW w:w="6048" w:type="dxa"/>
            <w:gridSpan w:val="4"/>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pPr>
            <w:r w:rsidRPr="00EF3C6A">
              <w:t>Section 100 - Efficient funding of Chemotherapy</w:t>
            </w:r>
          </w:p>
        </w:tc>
      </w:tr>
      <w:tr w:rsidR="00160ED7" w:rsidRPr="00EF3C6A" w:rsidTr="001F294C">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3136" w:type="dxa"/>
            <w:gridSpan w:val="2"/>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rPr>
                <w:b/>
              </w:rPr>
            </w:pPr>
            <w:r w:rsidRPr="00EF3C6A">
              <w:rPr>
                <w:b/>
              </w:rPr>
              <w:t>Prescriber type</w:t>
            </w:r>
          </w:p>
        </w:tc>
        <w:tc>
          <w:tcPr>
            <w:tcW w:w="6048" w:type="dxa"/>
            <w:gridSpan w:val="4"/>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pPr>
            <w:r w:rsidRPr="00EF3C6A">
              <w:t>Medical Practitioners</w:t>
            </w:r>
          </w:p>
        </w:tc>
      </w:tr>
      <w:tr w:rsidR="00160ED7" w:rsidRPr="00EF3C6A" w:rsidTr="001F294C">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3136" w:type="dxa"/>
            <w:gridSpan w:val="2"/>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rPr>
                <w:b/>
              </w:rPr>
            </w:pPr>
            <w:r w:rsidRPr="00EF3C6A">
              <w:rPr>
                <w:b/>
              </w:rPr>
              <w:t>Severity:</w:t>
            </w:r>
          </w:p>
        </w:tc>
        <w:tc>
          <w:tcPr>
            <w:tcW w:w="6048" w:type="dxa"/>
            <w:gridSpan w:val="4"/>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pPr>
            <w:r w:rsidRPr="00EF3C6A">
              <w:t>Stage IV</w:t>
            </w:r>
          </w:p>
        </w:tc>
      </w:tr>
      <w:tr w:rsidR="00160ED7" w:rsidRPr="00EF3C6A" w:rsidTr="001F294C">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3136" w:type="dxa"/>
            <w:gridSpan w:val="2"/>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rPr>
                <w:b/>
              </w:rPr>
            </w:pPr>
            <w:r w:rsidRPr="00EF3C6A">
              <w:rPr>
                <w:b/>
              </w:rPr>
              <w:t>Condition:</w:t>
            </w:r>
          </w:p>
        </w:tc>
        <w:tc>
          <w:tcPr>
            <w:tcW w:w="6048" w:type="dxa"/>
            <w:gridSpan w:val="4"/>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pPr>
            <w:r w:rsidRPr="00EF3C6A">
              <w:t>Clear cell variant renal cell carcinoma (RCC)</w:t>
            </w:r>
          </w:p>
        </w:tc>
      </w:tr>
      <w:tr w:rsidR="00160ED7" w:rsidRPr="00EF3C6A" w:rsidTr="001F294C">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3136" w:type="dxa"/>
            <w:gridSpan w:val="2"/>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rPr>
                <w:b/>
              </w:rPr>
            </w:pPr>
            <w:r w:rsidRPr="00EF3C6A">
              <w:rPr>
                <w:b/>
              </w:rPr>
              <w:t>PBS Indication:</w:t>
            </w:r>
          </w:p>
        </w:tc>
        <w:tc>
          <w:tcPr>
            <w:tcW w:w="6048" w:type="dxa"/>
            <w:gridSpan w:val="4"/>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pPr>
            <w:r w:rsidRPr="00EF3C6A">
              <w:t>Stage IV clear cell variant renal cell carcinoma (RCC)</w:t>
            </w:r>
          </w:p>
        </w:tc>
      </w:tr>
      <w:tr w:rsidR="00160ED7" w:rsidRPr="00EF3C6A" w:rsidTr="001F294C">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3136" w:type="dxa"/>
            <w:gridSpan w:val="2"/>
            <w:tcBorders>
              <w:top w:val="single" w:sz="4" w:space="0" w:color="auto"/>
              <w:left w:val="single" w:sz="4" w:space="0" w:color="auto"/>
              <w:bottom w:val="single" w:sz="4" w:space="0" w:color="auto"/>
              <w:right w:val="single" w:sz="4" w:space="0" w:color="auto"/>
            </w:tcBorders>
          </w:tcPr>
          <w:p w:rsidR="00160ED7" w:rsidRPr="00EF3C6A" w:rsidRDefault="00160ED7" w:rsidP="00E91F99">
            <w:pPr>
              <w:pStyle w:val="Tabletext"/>
            </w:pPr>
            <w:r w:rsidRPr="00EF3C6A">
              <w:rPr>
                <w:b/>
              </w:rPr>
              <w:t>Treatment phase:</w:t>
            </w:r>
          </w:p>
        </w:tc>
        <w:tc>
          <w:tcPr>
            <w:tcW w:w="6048" w:type="dxa"/>
            <w:gridSpan w:val="4"/>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pPr>
            <w:r w:rsidRPr="00EF3C6A">
              <w:t xml:space="preserve">Induction (combination nivolumab and </w:t>
            </w:r>
            <w:proofErr w:type="spellStart"/>
            <w:r w:rsidRPr="00EF3C6A">
              <w:t>ipilimumab</w:t>
            </w:r>
            <w:proofErr w:type="spellEnd"/>
            <w:r w:rsidRPr="00EF3C6A">
              <w:t>) phase</w:t>
            </w:r>
          </w:p>
        </w:tc>
      </w:tr>
      <w:tr w:rsidR="00160ED7" w:rsidRPr="00EF3C6A" w:rsidTr="001F294C">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3136" w:type="dxa"/>
            <w:gridSpan w:val="2"/>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rPr>
                <w:b/>
              </w:rPr>
            </w:pPr>
            <w:r w:rsidRPr="00EF3C6A">
              <w:rPr>
                <w:b/>
              </w:rPr>
              <w:lastRenderedPageBreak/>
              <w:t>Restriction:</w:t>
            </w:r>
          </w:p>
          <w:p w:rsidR="00160ED7" w:rsidRPr="00EF3C6A" w:rsidRDefault="00160ED7" w:rsidP="001F294C">
            <w:pPr>
              <w:pStyle w:val="Tabletext"/>
            </w:pPr>
          </w:p>
        </w:tc>
        <w:tc>
          <w:tcPr>
            <w:tcW w:w="6048" w:type="dxa"/>
            <w:gridSpan w:val="4"/>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pPr>
            <w:r w:rsidRPr="00EF3C6A">
              <w:fldChar w:fldCharType="begin">
                <w:ffData>
                  <w:name w:val="Check1"/>
                  <w:enabled/>
                  <w:calcOnExit w:val="0"/>
                  <w:checkBox>
                    <w:sizeAuto/>
                    <w:default w:val="0"/>
                  </w:checkBox>
                </w:ffData>
              </w:fldChar>
            </w:r>
            <w:r w:rsidRPr="00EF3C6A">
              <w:instrText xml:space="preserve"> FORMCHECKBOX </w:instrText>
            </w:r>
            <w:r w:rsidR="00D25256">
              <w:fldChar w:fldCharType="separate"/>
            </w:r>
            <w:r w:rsidRPr="00EF3C6A">
              <w:fldChar w:fldCharType="end"/>
            </w:r>
            <w:r w:rsidRPr="00EF3C6A">
              <w:t>Restricted benefit</w:t>
            </w:r>
          </w:p>
          <w:p w:rsidR="00160ED7" w:rsidRPr="00EF3C6A" w:rsidRDefault="00160ED7" w:rsidP="001F294C">
            <w:pPr>
              <w:pStyle w:val="Tabletext"/>
            </w:pPr>
            <w:r w:rsidRPr="00EF3C6A">
              <w:fldChar w:fldCharType="begin">
                <w:ffData>
                  <w:name w:val=""/>
                  <w:enabled/>
                  <w:calcOnExit w:val="0"/>
                  <w:checkBox>
                    <w:sizeAuto/>
                    <w:default w:val="0"/>
                  </w:checkBox>
                </w:ffData>
              </w:fldChar>
            </w:r>
            <w:r w:rsidRPr="00EF3C6A">
              <w:instrText xml:space="preserve"> FORMCHECKBOX </w:instrText>
            </w:r>
            <w:r w:rsidR="00D25256">
              <w:fldChar w:fldCharType="separate"/>
            </w:r>
            <w:r w:rsidRPr="00EF3C6A">
              <w:fldChar w:fldCharType="end"/>
            </w:r>
            <w:r w:rsidRPr="00EF3C6A">
              <w:t>Authority Required - In Writing</w:t>
            </w:r>
          </w:p>
          <w:p w:rsidR="00160ED7" w:rsidRPr="00EF3C6A" w:rsidRDefault="00160ED7" w:rsidP="001F294C">
            <w:pPr>
              <w:pStyle w:val="Tabletext"/>
            </w:pPr>
            <w:r w:rsidRPr="00EF3C6A">
              <w:fldChar w:fldCharType="begin">
                <w:ffData>
                  <w:name w:val="Check3"/>
                  <w:enabled/>
                  <w:calcOnExit w:val="0"/>
                  <w:checkBox>
                    <w:sizeAuto/>
                    <w:default w:val="0"/>
                  </w:checkBox>
                </w:ffData>
              </w:fldChar>
            </w:r>
            <w:r w:rsidRPr="00EF3C6A">
              <w:instrText xml:space="preserve"> FORMCHECKBOX </w:instrText>
            </w:r>
            <w:r w:rsidR="00D25256">
              <w:fldChar w:fldCharType="separate"/>
            </w:r>
            <w:r w:rsidRPr="00EF3C6A">
              <w:fldChar w:fldCharType="end"/>
            </w:r>
            <w:r w:rsidRPr="00EF3C6A">
              <w:t>Authority Required - Telephone</w:t>
            </w:r>
          </w:p>
          <w:p w:rsidR="00160ED7" w:rsidRPr="00EF3C6A" w:rsidRDefault="00160ED7" w:rsidP="001F294C">
            <w:pPr>
              <w:pStyle w:val="Tabletext"/>
            </w:pPr>
            <w:r w:rsidRPr="00EF3C6A">
              <w:fldChar w:fldCharType="begin">
                <w:ffData>
                  <w:name w:val=""/>
                  <w:enabled/>
                  <w:calcOnExit w:val="0"/>
                  <w:checkBox>
                    <w:sizeAuto/>
                    <w:default w:val="0"/>
                  </w:checkBox>
                </w:ffData>
              </w:fldChar>
            </w:r>
            <w:r w:rsidRPr="00EF3C6A">
              <w:instrText xml:space="preserve"> FORMCHECKBOX </w:instrText>
            </w:r>
            <w:r w:rsidR="00D25256">
              <w:fldChar w:fldCharType="separate"/>
            </w:r>
            <w:r w:rsidRPr="00EF3C6A">
              <w:fldChar w:fldCharType="end"/>
            </w:r>
            <w:r w:rsidRPr="00EF3C6A">
              <w:t>Authority Required – Emergency</w:t>
            </w:r>
          </w:p>
          <w:p w:rsidR="00160ED7" w:rsidRPr="00EF3C6A" w:rsidRDefault="00160ED7" w:rsidP="001F294C">
            <w:pPr>
              <w:pStyle w:val="Tabletext"/>
            </w:pPr>
            <w:r w:rsidRPr="00EF3C6A">
              <w:fldChar w:fldCharType="begin">
                <w:ffData>
                  <w:name w:val="Check5"/>
                  <w:enabled/>
                  <w:calcOnExit w:val="0"/>
                  <w:checkBox>
                    <w:sizeAuto/>
                    <w:default w:val="0"/>
                  </w:checkBox>
                </w:ffData>
              </w:fldChar>
            </w:r>
            <w:r w:rsidRPr="00EF3C6A">
              <w:instrText xml:space="preserve"> FORMCHECKBOX </w:instrText>
            </w:r>
            <w:r w:rsidR="00D25256">
              <w:fldChar w:fldCharType="separate"/>
            </w:r>
            <w:r w:rsidRPr="00EF3C6A">
              <w:fldChar w:fldCharType="end"/>
            </w:r>
            <w:r w:rsidRPr="00EF3C6A">
              <w:t>Authority Required - Electronic</w:t>
            </w:r>
          </w:p>
          <w:p w:rsidR="00160ED7" w:rsidRPr="00EF3C6A" w:rsidRDefault="00160ED7" w:rsidP="001F294C">
            <w:pPr>
              <w:pStyle w:val="Tabletext"/>
            </w:pPr>
            <w:r w:rsidRPr="00EF3C6A">
              <w:fldChar w:fldCharType="begin">
                <w:ffData>
                  <w:name w:val="Check5"/>
                  <w:enabled/>
                  <w:calcOnExit w:val="0"/>
                  <w:checkBox>
                    <w:sizeAuto/>
                    <w:default w:val="1"/>
                  </w:checkBox>
                </w:ffData>
              </w:fldChar>
            </w:r>
            <w:r w:rsidRPr="00EF3C6A">
              <w:instrText xml:space="preserve"> FORMCHECKBOX </w:instrText>
            </w:r>
            <w:r w:rsidR="00D25256">
              <w:fldChar w:fldCharType="separate"/>
            </w:r>
            <w:r w:rsidRPr="00EF3C6A">
              <w:fldChar w:fldCharType="end"/>
            </w:r>
            <w:r w:rsidRPr="00EF3C6A">
              <w:t>Streamlined</w:t>
            </w:r>
          </w:p>
        </w:tc>
      </w:tr>
      <w:tr w:rsidR="00160ED7" w:rsidRPr="00EF3C6A" w:rsidTr="001F294C">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3136" w:type="dxa"/>
            <w:gridSpan w:val="2"/>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rPr>
                <w:b/>
              </w:rPr>
            </w:pPr>
            <w:r w:rsidRPr="00EF3C6A">
              <w:rPr>
                <w:b/>
              </w:rPr>
              <w:t>Treatment criteria:</w:t>
            </w:r>
          </w:p>
          <w:p w:rsidR="00160ED7" w:rsidRPr="00EF3C6A" w:rsidRDefault="00160ED7" w:rsidP="001F294C">
            <w:pPr>
              <w:pStyle w:val="Tabletext"/>
            </w:pPr>
          </w:p>
        </w:tc>
        <w:tc>
          <w:tcPr>
            <w:tcW w:w="6048" w:type="dxa"/>
            <w:gridSpan w:val="4"/>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pPr>
            <w:r w:rsidRPr="00EF3C6A">
              <w:t>Patient must meet the International Metastatic Renal Cell Carcinoma Database Consortium (IMDC) intermediate to poor risk group criteria</w:t>
            </w:r>
          </w:p>
          <w:p w:rsidR="00160ED7" w:rsidRPr="00EF3C6A" w:rsidRDefault="00160ED7" w:rsidP="001F294C">
            <w:pPr>
              <w:pStyle w:val="Tabletext"/>
            </w:pPr>
            <w:r w:rsidRPr="00EF3C6A">
              <w:t>AND</w:t>
            </w:r>
          </w:p>
          <w:p w:rsidR="00160ED7" w:rsidRPr="00EF3C6A" w:rsidRDefault="00160ED7" w:rsidP="001F294C">
            <w:pPr>
              <w:pStyle w:val="Tabletext"/>
            </w:pPr>
            <w:r w:rsidRPr="00EF3C6A">
              <w:t>Patient must have WHO performance status of 2 or less</w:t>
            </w:r>
          </w:p>
          <w:p w:rsidR="00160ED7" w:rsidRPr="00EF3C6A" w:rsidRDefault="00160ED7" w:rsidP="001F294C">
            <w:pPr>
              <w:pStyle w:val="Tabletext"/>
            </w:pPr>
            <w:r w:rsidRPr="00EF3C6A">
              <w:t>AND</w:t>
            </w:r>
          </w:p>
          <w:p w:rsidR="00160ED7" w:rsidRPr="00EF3C6A" w:rsidRDefault="00160ED7" w:rsidP="001F294C">
            <w:pPr>
              <w:pStyle w:val="Tabletext"/>
            </w:pPr>
            <w:r w:rsidRPr="00EF3C6A">
              <w:t xml:space="preserve">Patient must receive this PBS subsidised nivolumab and </w:t>
            </w:r>
            <w:proofErr w:type="spellStart"/>
            <w:r w:rsidRPr="00EF3C6A">
              <w:t>ipilimumab</w:t>
            </w:r>
            <w:proofErr w:type="spellEnd"/>
            <w:r w:rsidRPr="00EF3C6A">
              <w:t xml:space="preserve"> concomitantly as the first line of treatment for this condition</w:t>
            </w:r>
          </w:p>
          <w:p w:rsidR="00160ED7" w:rsidRPr="00EF3C6A" w:rsidRDefault="00160ED7" w:rsidP="001F294C">
            <w:pPr>
              <w:pStyle w:val="Tabletext"/>
            </w:pPr>
            <w:r w:rsidRPr="00EF3C6A">
              <w:t>AND</w:t>
            </w:r>
          </w:p>
          <w:p w:rsidR="00160ED7" w:rsidRPr="00EF3C6A" w:rsidRDefault="00160ED7" w:rsidP="001F294C">
            <w:pPr>
              <w:pStyle w:val="Tabletext"/>
            </w:pPr>
            <w:r w:rsidRPr="00EF3C6A">
              <w:t>The treatment with nivolumab must not exceed a total of 4 doses at a maximum dose of 3 mg per kg every 3 weeks</w:t>
            </w:r>
          </w:p>
          <w:p w:rsidR="00160ED7" w:rsidRPr="00EF3C6A" w:rsidRDefault="00160ED7" w:rsidP="001F294C">
            <w:pPr>
              <w:pStyle w:val="Tabletext"/>
            </w:pPr>
            <w:r w:rsidRPr="00EF3C6A">
              <w:t>AND</w:t>
            </w:r>
          </w:p>
          <w:p w:rsidR="00160ED7" w:rsidRPr="00EF3C6A" w:rsidRDefault="00160ED7" w:rsidP="001C0E45">
            <w:pPr>
              <w:pStyle w:val="Tabletext"/>
              <w:rPr>
                <w:rFonts w:cs="Arial"/>
              </w:rPr>
            </w:pPr>
            <w:r w:rsidRPr="00EF3C6A">
              <w:t xml:space="preserve">The treatment with </w:t>
            </w:r>
            <w:proofErr w:type="spellStart"/>
            <w:r w:rsidRPr="00EF3C6A">
              <w:t>ipilimumab</w:t>
            </w:r>
            <w:proofErr w:type="spellEnd"/>
            <w:r w:rsidRPr="00EF3C6A">
              <w:t xml:space="preserve"> must not exceed a total of 4 doses at a maximum dose of 1 mg per kg every 3 weeks</w:t>
            </w:r>
          </w:p>
        </w:tc>
      </w:tr>
      <w:tr w:rsidR="00160ED7" w:rsidRPr="00EF3C6A" w:rsidTr="001F294C">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3136" w:type="dxa"/>
            <w:gridSpan w:val="2"/>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rPr>
                <w:b/>
              </w:rPr>
            </w:pPr>
            <w:r w:rsidRPr="00EF3C6A">
              <w:rPr>
                <w:b/>
              </w:rPr>
              <w:t>Prescriber Instructions:</w:t>
            </w:r>
          </w:p>
        </w:tc>
        <w:tc>
          <w:tcPr>
            <w:tcW w:w="6048" w:type="dxa"/>
            <w:gridSpan w:val="4"/>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pPr>
            <w:r w:rsidRPr="00EF3C6A">
              <w:t>The patient’s body weight must be documented in the patient’s medical records at the time treatment is initiated</w:t>
            </w:r>
          </w:p>
        </w:tc>
      </w:tr>
      <w:tr w:rsidR="00160ED7" w:rsidRPr="00EF3C6A" w:rsidTr="001F294C">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3136" w:type="dxa"/>
            <w:gridSpan w:val="2"/>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rPr>
                <w:b/>
              </w:rPr>
            </w:pPr>
            <w:r w:rsidRPr="00EF3C6A">
              <w:rPr>
                <w:b/>
              </w:rPr>
              <w:t>Administrative Advice:</w:t>
            </w:r>
          </w:p>
        </w:tc>
        <w:tc>
          <w:tcPr>
            <w:tcW w:w="6048" w:type="dxa"/>
            <w:gridSpan w:val="4"/>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pPr>
            <w:r w:rsidRPr="00EF3C6A">
              <w:t>In the first few months after start of immunotherapy, some patients can have a transient tumour flare with subsequent disease response. When progression is suspected, this should be confirmed through a confirmatory scan, taken at least 4 weeks later.</w:t>
            </w:r>
          </w:p>
          <w:p w:rsidR="00160ED7" w:rsidRPr="00EF3C6A" w:rsidRDefault="00160ED7" w:rsidP="001F294C">
            <w:pPr>
              <w:pStyle w:val="Tabletext"/>
            </w:pPr>
            <w:r w:rsidRPr="00EF3C6A">
              <w:t>No increase in the maximum number of repeats may be authorised.</w:t>
            </w:r>
          </w:p>
          <w:p w:rsidR="00160ED7" w:rsidRPr="00EF3C6A" w:rsidRDefault="00160ED7" w:rsidP="001F294C">
            <w:pPr>
              <w:pStyle w:val="Tabletext"/>
            </w:pPr>
            <w:r w:rsidRPr="00EF3C6A">
              <w:t>Special Pricing Arrangements apply.</w:t>
            </w:r>
          </w:p>
        </w:tc>
      </w:tr>
      <w:tr w:rsidR="00160ED7" w:rsidRPr="00EF3C6A" w:rsidTr="001F294C">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3136" w:type="dxa"/>
            <w:gridSpan w:val="2"/>
            <w:tcBorders>
              <w:top w:val="single" w:sz="4" w:space="0" w:color="auto"/>
              <w:left w:val="single" w:sz="4" w:space="0" w:color="auto"/>
              <w:bottom w:val="single" w:sz="4" w:space="0" w:color="auto"/>
              <w:right w:val="single" w:sz="4" w:space="0" w:color="auto"/>
            </w:tcBorders>
          </w:tcPr>
          <w:p w:rsidR="00160ED7" w:rsidRPr="00EF3C6A" w:rsidRDefault="00160ED7" w:rsidP="001E1EE5">
            <w:pPr>
              <w:pStyle w:val="Tabletext"/>
            </w:pPr>
            <w:r w:rsidRPr="00EF3C6A">
              <w:rPr>
                <w:b/>
              </w:rPr>
              <w:t>Treatment phase:</w:t>
            </w:r>
          </w:p>
        </w:tc>
        <w:tc>
          <w:tcPr>
            <w:tcW w:w="6048" w:type="dxa"/>
            <w:gridSpan w:val="4"/>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pPr>
            <w:r w:rsidRPr="00EF3C6A">
              <w:t>Continuing treatment</w:t>
            </w:r>
            <w:r>
              <w:t xml:space="preserve"> (nivolumab maintenance)</w:t>
            </w:r>
          </w:p>
        </w:tc>
      </w:tr>
      <w:tr w:rsidR="00160ED7" w:rsidRPr="00EF3C6A" w:rsidTr="001F294C">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3136" w:type="dxa"/>
            <w:gridSpan w:val="2"/>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rPr>
                <w:b/>
              </w:rPr>
            </w:pPr>
            <w:r w:rsidRPr="00EF3C6A">
              <w:rPr>
                <w:b/>
              </w:rPr>
              <w:t>Restriction:</w:t>
            </w:r>
          </w:p>
          <w:p w:rsidR="00160ED7" w:rsidRPr="00EF3C6A" w:rsidRDefault="00160ED7" w:rsidP="001F294C">
            <w:pPr>
              <w:pStyle w:val="Tabletext"/>
            </w:pPr>
          </w:p>
        </w:tc>
        <w:tc>
          <w:tcPr>
            <w:tcW w:w="6048" w:type="dxa"/>
            <w:gridSpan w:val="4"/>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pPr>
            <w:r w:rsidRPr="00EF3C6A">
              <w:fldChar w:fldCharType="begin">
                <w:ffData>
                  <w:name w:val="Check1"/>
                  <w:enabled/>
                  <w:calcOnExit w:val="0"/>
                  <w:checkBox>
                    <w:sizeAuto/>
                    <w:default w:val="0"/>
                  </w:checkBox>
                </w:ffData>
              </w:fldChar>
            </w:r>
            <w:r w:rsidRPr="00EF3C6A">
              <w:instrText xml:space="preserve"> FORMCHECKBOX </w:instrText>
            </w:r>
            <w:r w:rsidR="00D25256">
              <w:fldChar w:fldCharType="separate"/>
            </w:r>
            <w:r w:rsidRPr="00EF3C6A">
              <w:fldChar w:fldCharType="end"/>
            </w:r>
            <w:r w:rsidRPr="00EF3C6A">
              <w:t>Restricted benefit</w:t>
            </w:r>
          </w:p>
          <w:p w:rsidR="00160ED7" w:rsidRPr="00EF3C6A" w:rsidRDefault="00160ED7" w:rsidP="001F294C">
            <w:pPr>
              <w:pStyle w:val="Tabletext"/>
            </w:pPr>
            <w:r w:rsidRPr="00EF3C6A">
              <w:fldChar w:fldCharType="begin">
                <w:ffData>
                  <w:name w:val=""/>
                  <w:enabled/>
                  <w:calcOnExit w:val="0"/>
                  <w:checkBox>
                    <w:sizeAuto/>
                    <w:default w:val="0"/>
                  </w:checkBox>
                </w:ffData>
              </w:fldChar>
            </w:r>
            <w:r w:rsidRPr="00EF3C6A">
              <w:instrText xml:space="preserve"> FORMCHECKBOX </w:instrText>
            </w:r>
            <w:r w:rsidR="00D25256">
              <w:fldChar w:fldCharType="separate"/>
            </w:r>
            <w:r w:rsidRPr="00EF3C6A">
              <w:fldChar w:fldCharType="end"/>
            </w:r>
            <w:r w:rsidRPr="00EF3C6A">
              <w:t>Authority Required - In Writing</w:t>
            </w:r>
          </w:p>
          <w:p w:rsidR="00160ED7" w:rsidRPr="00EF3C6A" w:rsidRDefault="00160ED7" w:rsidP="001F294C">
            <w:pPr>
              <w:pStyle w:val="Tabletext"/>
            </w:pPr>
            <w:r w:rsidRPr="00EF3C6A">
              <w:fldChar w:fldCharType="begin">
                <w:ffData>
                  <w:name w:val="Check3"/>
                  <w:enabled/>
                  <w:calcOnExit w:val="0"/>
                  <w:checkBox>
                    <w:sizeAuto/>
                    <w:default w:val="0"/>
                  </w:checkBox>
                </w:ffData>
              </w:fldChar>
            </w:r>
            <w:r w:rsidRPr="00EF3C6A">
              <w:instrText xml:space="preserve"> FORMCHECKBOX </w:instrText>
            </w:r>
            <w:r w:rsidR="00D25256">
              <w:fldChar w:fldCharType="separate"/>
            </w:r>
            <w:r w:rsidRPr="00EF3C6A">
              <w:fldChar w:fldCharType="end"/>
            </w:r>
            <w:r w:rsidRPr="00EF3C6A">
              <w:t>Authority Required - Telephone</w:t>
            </w:r>
          </w:p>
          <w:p w:rsidR="00160ED7" w:rsidRPr="00EF3C6A" w:rsidRDefault="00160ED7" w:rsidP="001F294C">
            <w:pPr>
              <w:pStyle w:val="Tabletext"/>
            </w:pPr>
            <w:r w:rsidRPr="00EF3C6A">
              <w:fldChar w:fldCharType="begin">
                <w:ffData>
                  <w:name w:val=""/>
                  <w:enabled/>
                  <w:calcOnExit w:val="0"/>
                  <w:checkBox>
                    <w:sizeAuto/>
                    <w:default w:val="0"/>
                  </w:checkBox>
                </w:ffData>
              </w:fldChar>
            </w:r>
            <w:r w:rsidRPr="00EF3C6A">
              <w:instrText xml:space="preserve"> FORMCHECKBOX </w:instrText>
            </w:r>
            <w:r w:rsidR="00D25256">
              <w:fldChar w:fldCharType="separate"/>
            </w:r>
            <w:r w:rsidRPr="00EF3C6A">
              <w:fldChar w:fldCharType="end"/>
            </w:r>
            <w:r w:rsidRPr="00EF3C6A">
              <w:t>Authority Required – Emergency</w:t>
            </w:r>
          </w:p>
          <w:p w:rsidR="00160ED7" w:rsidRPr="00EF3C6A" w:rsidRDefault="00160ED7" w:rsidP="001F294C">
            <w:pPr>
              <w:pStyle w:val="Tabletext"/>
            </w:pPr>
            <w:r w:rsidRPr="00EF3C6A">
              <w:fldChar w:fldCharType="begin">
                <w:ffData>
                  <w:name w:val="Check5"/>
                  <w:enabled/>
                  <w:calcOnExit w:val="0"/>
                  <w:checkBox>
                    <w:sizeAuto/>
                    <w:default w:val="0"/>
                  </w:checkBox>
                </w:ffData>
              </w:fldChar>
            </w:r>
            <w:r w:rsidRPr="00EF3C6A">
              <w:instrText xml:space="preserve"> FORMCHECKBOX </w:instrText>
            </w:r>
            <w:r w:rsidR="00D25256">
              <w:fldChar w:fldCharType="separate"/>
            </w:r>
            <w:r w:rsidRPr="00EF3C6A">
              <w:fldChar w:fldCharType="end"/>
            </w:r>
            <w:r w:rsidRPr="00EF3C6A">
              <w:t>Authority Required - Electronic</w:t>
            </w:r>
          </w:p>
          <w:p w:rsidR="00160ED7" w:rsidRPr="00EF3C6A" w:rsidRDefault="00160ED7" w:rsidP="001F294C">
            <w:pPr>
              <w:pStyle w:val="Tabletext"/>
            </w:pPr>
            <w:r w:rsidRPr="00EF3C6A">
              <w:fldChar w:fldCharType="begin">
                <w:ffData>
                  <w:name w:val=""/>
                  <w:enabled/>
                  <w:calcOnExit w:val="0"/>
                  <w:checkBox>
                    <w:sizeAuto/>
                    <w:default w:val="1"/>
                  </w:checkBox>
                </w:ffData>
              </w:fldChar>
            </w:r>
            <w:r w:rsidRPr="00EF3C6A">
              <w:instrText xml:space="preserve"> FORMCHECKBOX </w:instrText>
            </w:r>
            <w:r w:rsidR="00D25256">
              <w:fldChar w:fldCharType="separate"/>
            </w:r>
            <w:r w:rsidRPr="00EF3C6A">
              <w:fldChar w:fldCharType="end"/>
            </w:r>
            <w:r w:rsidRPr="00EF3C6A">
              <w:t>Streamlined</w:t>
            </w:r>
          </w:p>
        </w:tc>
      </w:tr>
      <w:tr w:rsidR="00160ED7" w:rsidRPr="00EF3C6A" w:rsidTr="001F294C">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3136" w:type="dxa"/>
            <w:gridSpan w:val="2"/>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rPr>
                <w:b/>
              </w:rPr>
            </w:pPr>
            <w:r w:rsidRPr="00EF3C6A">
              <w:rPr>
                <w:b/>
              </w:rPr>
              <w:t>Treatment criteria:</w:t>
            </w:r>
          </w:p>
          <w:p w:rsidR="00160ED7" w:rsidRPr="00EF3C6A" w:rsidRDefault="00160ED7" w:rsidP="001F294C">
            <w:pPr>
              <w:pStyle w:val="Tabletext"/>
            </w:pPr>
          </w:p>
        </w:tc>
        <w:tc>
          <w:tcPr>
            <w:tcW w:w="6048" w:type="dxa"/>
            <w:gridSpan w:val="4"/>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pPr>
            <w:r w:rsidRPr="00EF3C6A">
              <w:t xml:space="preserve">Patient must have previously been issued with authority prescriptions for induction phase nivolumab and </w:t>
            </w:r>
            <w:proofErr w:type="spellStart"/>
            <w:r w:rsidRPr="00EF3C6A">
              <w:t>ipilimumab</w:t>
            </w:r>
            <w:proofErr w:type="spellEnd"/>
            <w:r w:rsidRPr="00EF3C6A">
              <w:t xml:space="preserve"> combination therapy for this condition</w:t>
            </w:r>
          </w:p>
          <w:p w:rsidR="00160ED7" w:rsidRPr="00EF3C6A" w:rsidRDefault="00160ED7" w:rsidP="001F294C">
            <w:pPr>
              <w:pStyle w:val="Tabletext"/>
            </w:pPr>
            <w:r w:rsidRPr="00EF3C6A">
              <w:t>AND</w:t>
            </w:r>
          </w:p>
          <w:p w:rsidR="00160ED7" w:rsidRPr="00EF3C6A" w:rsidRDefault="00160ED7" w:rsidP="001F294C">
            <w:pPr>
              <w:pStyle w:val="Tabletext"/>
            </w:pPr>
            <w:r w:rsidRPr="00EF3C6A">
              <w:t>This drug must be the sole PBS-subsided treatment for this condition</w:t>
            </w:r>
          </w:p>
          <w:p w:rsidR="00160ED7" w:rsidRPr="00EF3C6A" w:rsidRDefault="00160ED7" w:rsidP="001F294C">
            <w:pPr>
              <w:pStyle w:val="Tabletext"/>
            </w:pPr>
            <w:r w:rsidRPr="00EF3C6A">
              <w:t>AND</w:t>
            </w:r>
          </w:p>
          <w:p w:rsidR="00160ED7" w:rsidRPr="00EF3C6A" w:rsidRDefault="00160ED7" w:rsidP="001F294C">
            <w:pPr>
              <w:pStyle w:val="Tabletext"/>
            </w:pPr>
            <w:r w:rsidRPr="00EF3C6A">
              <w:t>Patient must have stable or responding disease</w:t>
            </w:r>
          </w:p>
          <w:p w:rsidR="00160ED7" w:rsidRPr="00EF3C6A" w:rsidRDefault="00160ED7" w:rsidP="001F294C">
            <w:pPr>
              <w:pStyle w:val="Tabletext"/>
            </w:pPr>
            <w:r w:rsidRPr="00EF3C6A">
              <w:t>AND</w:t>
            </w:r>
          </w:p>
          <w:p w:rsidR="00160ED7" w:rsidRPr="00EF3C6A" w:rsidRDefault="00160ED7" w:rsidP="001F294C">
            <w:pPr>
              <w:pStyle w:val="Tabletext"/>
              <w:rPr>
                <w:rFonts w:cs="Arial"/>
              </w:rPr>
            </w:pPr>
            <w:r w:rsidRPr="00EF3C6A">
              <w:rPr>
                <w:rFonts w:cs="Arial"/>
              </w:rPr>
              <w:t>The treatment with nivolumab must not exceed a maximum dose of 3 mg per kg every 2 weeks.</w:t>
            </w:r>
          </w:p>
        </w:tc>
      </w:tr>
      <w:tr w:rsidR="00160ED7" w:rsidRPr="00EF3C6A" w:rsidTr="001F294C">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3136" w:type="dxa"/>
            <w:gridSpan w:val="2"/>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rPr>
                <w:b/>
              </w:rPr>
            </w:pPr>
            <w:r w:rsidRPr="00EF3C6A">
              <w:rPr>
                <w:b/>
              </w:rPr>
              <w:t>Prescriber Instructions:</w:t>
            </w:r>
          </w:p>
        </w:tc>
        <w:tc>
          <w:tcPr>
            <w:tcW w:w="6048" w:type="dxa"/>
            <w:gridSpan w:val="4"/>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pPr>
            <w:r w:rsidRPr="00EF3C6A">
              <w:t>The patient’s body weight must be documented in the patient’s medical records at the time treatment is initiated</w:t>
            </w:r>
          </w:p>
        </w:tc>
      </w:tr>
      <w:tr w:rsidR="00160ED7" w:rsidRPr="00EF3C6A" w:rsidTr="001F294C">
        <w:tblPrEx>
          <w:tblBorders>
            <w:top w:val="none" w:sz="0" w:space="0" w:color="auto"/>
            <w:bottom w:val="none" w:sz="0" w:space="0" w:color="auto"/>
            <w:insideH w:val="none" w:sz="0" w:space="0" w:color="auto"/>
          </w:tblBorders>
          <w:tblLook w:val="0000" w:firstRow="0" w:lastRow="0" w:firstColumn="0" w:lastColumn="0" w:noHBand="0" w:noVBand="0"/>
        </w:tblPrEx>
        <w:trPr>
          <w:cantSplit/>
        </w:trPr>
        <w:tc>
          <w:tcPr>
            <w:tcW w:w="3136" w:type="dxa"/>
            <w:gridSpan w:val="2"/>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rPr>
                <w:b/>
              </w:rPr>
            </w:pPr>
            <w:r w:rsidRPr="00EF3C6A">
              <w:rPr>
                <w:b/>
              </w:rPr>
              <w:t>Administrative Advice:</w:t>
            </w:r>
          </w:p>
        </w:tc>
        <w:tc>
          <w:tcPr>
            <w:tcW w:w="6048" w:type="dxa"/>
            <w:gridSpan w:val="4"/>
            <w:tcBorders>
              <w:top w:val="single" w:sz="4" w:space="0" w:color="auto"/>
              <w:left w:val="single" w:sz="4" w:space="0" w:color="auto"/>
              <w:bottom w:val="single" w:sz="4" w:space="0" w:color="auto"/>
              <w:right w:val="single" w:sz="4" w:space="0" w:color="auto"/>
            </w:tcBorders>
          </w:tcPr>
          <w:p w:rsidR="00160ED7" w:rsidRPr="00EF3C6A" w:rsidRDefault="00160ED7" w:rsidP="001F294C">
            <w:pPr>
              <w:pStyle w:val="Tabletext"/>
            </w:pPr>
            <w:r w:rsidRPr="00EF3C6A">
              <w:t>No increase in the maximum number of repeats may be authorised.</w:t>
            </w:r>
          </w:p>
          <w:p w:rsidR="00160ED7" w:rsidRPr="00EF3C6A" w:rsidRDefault="00160ED7" w:rsidP="001F294C">
            <w:pPr>
              <w:pStyle w:val="Tabletext"/>
            </w:pPr>
            <w:r w:rsidRPr="00EF3C6A">
              <w:t>Special Pricing Arrangements apply.</w:t>
            </w:r>
          </w:p>
        </w:tc>
      </w:tr>
    </w:tbl>
    <w:p w:rsidR="00982547" w:rsidRPr="00EF3C6A" w:rsidRDefault="00982547" w:rsidP="00982547">
      <w:pPr>
        <w:pStyle w:val="TableFooter"/>
      </w:pPr>
    </w:p>
    <w:p w:rsidR="00982547" w:rsidRPr="00EF3C6A" w:rsidRDefault="00982547" w:rsidP="00982547">
      <w:pPr>
        <w:pStyle w:val="TableFooter"/>
      </w:pPr>
      <w:r w:rsidRPr="00EF3C6A">
        <w:t>Abbreviations: WHO = World Health Organisation</w:t>
      </w:r>
      <w:r w:rsidR="00964B4C" w:rsidRPr="00EF3C6A">
        <w:t xml:space="preserve">; </w:t>
      </w:r>
      <w:r w:rsidRPr="00EF3C6A">
        <w:t xml:space="preserve">Source: pp 49 &amp;50 of the submission. </w:t>
      </w:r>
    </w:p>
    <w:p w:rsidR="001F294C" w:rsidRPr="00EF3C6A" w:rsidRDefault="001F294C" w:rsidP="001F294C"/>
    <w:p w:rsidR="001F294C" w:rsidRDefault="001F294C" w:rsidP="001F294C">
      <w:pPr>
        <w:pStyle w:val="ListParagraph"/>
        <w:widowControl/>
        <w:numPr>
          <w:ilvl w:val="1"/>
          <w:numId w:val="3"/>
        </w:numPr>
      </w:pPr>
      <w:r w:rsidRPr="00EF3C6A">
        <w:lastRenderedPageBreak/>
        <w:t xml:space="preserve">The submission proposed a Special Pricing Arrangement (SPA) for both nivolumab and </w:t>
      </w:r>
      <w:proofErr w:type="spellStart"/>
      <w:r w:rsidRPr="00EF3C6A">
        <w:t>ipilimumab</w:t>
      </w:r>
      <w:proofErr w:type="spellEnd"/>
      <w:r w:rsidRPr="00EF3C6A">
        <w:t>, which w</w:t>
      </w:r>
      <w:r w:rsidR="00A124DA" w:rsidRPr="00EF3C6A">
        <w:t>as</w:t>
      </w:r>
      <w:r w:rsidRPr="00EF3C6A">
        <w:t xml:space="preserve"> consistent with the current monotherapy PBS listing of each drug (nivolumab for metastatic melanoma, second-line </w:t>
      </w:r>
      <w:r w:rsidR="00AE002A" w:rsidRPr="00EF3C6A">
        <w:t xml:space="preserve">non-small cell lung </w:t>
      </w:r>
      <w:r w:rsidR="00844355" w:rsidRPr="00EF3C6A">
        <w:t>cancer and</w:t>
      </w:r>
      <w:r w:rsidRPr="00EF3C6A">
        <w:t xml:space="preserve"> second-line RCC; </w:t>
      </w:r>
      <w:proofErr w:type="spellStart"/>
      <w:r w:rsidRPr="00EF3C6A">
        <w:t>ipilimumab</w:t>
      </w:r>
      <w:proofErr w:type="spellEnd"/>
      <w:r w:rsidRPr="00EF3C6A">
        <w:t xml:space="preserve"> for metastatic melanoma).</w:t>
      </w:r>
    </w:p>
    <w:p w:rsidR="00BC3EA0" w:rsidRPr="00EF3C6A" w:rsidRDefault="0013176E" w:rsidP="002B42AA">
      <w:pPr>
        <w:pStyle w:val="ListParagraph"/>
        <w:widowControl/>
        <w:numPr>
          <w:ilvl w:val="1"/>
          <w:numId w:val="3"/>
        </w:numPr>
      </w:pPr>
      <w:r>
        <w:t>Compared with the submission, t</w:t>
      </w:r>
      <w:r w:rsidR="00371B90">
        <w:t xml:space="preserve">he pre-PBAC response proposed a </w:t>
      </w:r>
      <w:r w:rsidR="00B07F6B">
        <w:rPr>
          <w:noProof/>
          <w:color w:val="000000"/>
          <w:highlight w:val="black"/>
        </w:rPr>
        <w:t>''''''</w:t>
      </w:r>
      <w:r w:rsidR="00B44518">
        <w:t>%</w:t>
      </w:r>
      <w:r>
        <w:t xml:space="preserve"> lower </w:t>
      </w:r>
      <w:r w:rsidR="002B42AA">
        <w:t>effective</w:t>
      </w:r>
      <w:r w:rsidR="00371B90">
        <w:t xml:space="preserve"> pric</w:t>
      </w:r>
      <w:r w:rsidR="002B42AA">
        <w:t xml:space="preserve">e for </w:t>
      </w:r>
      <w:r w:rsidR="00B44518">
        <w:t>nivolumab</w:t>
      </w:r>
      <w:r>
        <w:t xml:space="preserve">, </w:t>
      </w:r>
      <w:r w:rsidR="002B42AA">
        <w:t xml:space="preserve">by reducing the </w:t>
      </w:r>
      <w:r w:rsidR="00B44518">
        <w:t xml:space="preserve">100 mg vial </w:t>
      </w:r>
      <w:r w:rsidR="002B42AA">
        <w:t>price from $</w:t>
      </w:r>
      <w:r w:rsidR="00B07F6B">
        <w:rPr>
          <w:noProof/>
          <w:color w:val="000000"/>
          <w:highlight w:val="black"/>
        </w:rPr>
        <w:t>''''''''''''''''</w:t>
      </w:r>
      <w:r w:rsidR="002B42AA">
        <w:t xml:space="preserve"> to $</w:t>
      </w:r>
      <w:r w:rsidR="00B07F6B">
        <w:rPr>
          <w:noProof/>
          <w:color w:val="000000"/>
          <w:highlight w:val="black"/>
        </w:rPr>
        <w:t>'''''''''''''''''</w:t>
      </w:r>
      <w:r w:rsidR="00B44518">
        <w:t xml:space="preserve"> (with </w:t>
      </w:r>
      <w:r>
        <w:t xml:space="preserve">a </w:t>
      </w:r>
      <w:r w:rsidR="00B44518">
        <w:t xml:space="preserve">corresponding </w:t>
      </w:r>
      <w:r>
        <w:t xml:space="preserve">reduction </w:t>
      </w:r>
      <w:r w:rsidR="00B44518">
        <w:t>to the 40 mg nivolumab vial price)</w:t>
      </w:r>
      <w:r w:rsidR="002B42AA">
        <w:t xml:space="preserve">. The proposed price for </w:t>
      </w:r>
      <w:proofErr w:type="spellStart"/>
      <w:r w:rsidR="00B44518">
        <w:t>ipil</w:t>
      </w:r>
      <w:r w:rsidR="006920DD">
        <w:t>i</w:t>
      </w:r>
      <w:r w:rsidR="00B44518">
        <w:t>mumab</w:t>
      </w:r>
      <w:proofErr w:type="spellEnd"/>
      <w:r w:rsidR="00B44518">
        <w:t xml:space="preserve"> </w:t>
      </w:r>
      <w:r w:rsidR="002B42AA">
        <w:t>remained unchanged.</w:t>
      </w:r>
    </w:p>
    <w:p w:rsidR="00E87FAB" w:rsidRPr="00EF3C6A" w:rsidRDefault="00E87FAB" w:rsidP="00E87FAB">
      <w:pPr>
        <w:pStyle w:val="ListParagraph"/>
        <w:widowControl/>
        <w:numPr>
          <w:ilvl w:val="1"/>
          <w:numId w:val="3"/>
        </w:numPr>
      </w:pPr>
      <w:r w:rsidRPr="00EF3C6A">
        <w:t xml:space="preserve">The requested restriction included patients with a World Health Organisation (WHO) performance status of ≤ 2. The submission </w:t>
      </w:r>
      <w:r w:rsidR="00A741B8" w:rsidRPr="00EF3C6A">
        <w:t>state</w:t>
      </w:r>
      <w:r w:rsidR="00B44518">
        <w:t>d</w:t>
      </w:r>
      <w:r w:rsidR="00A741B8" w:rsidRPr="00EF3C6A">
        <w:t xml:space="preserve"> this</w:t>
      </w:r>
      <w:r w:rsidRPr="00EF3C6A">
        <w:t xml:space="preserve"> was included to align</w:t>
      </w:r>
      <w:r w:rsidR="00A741B8" w:rsidRPr="00EF3C6A">
        <w:t xml:space="preserve"> with the</w:t>
      </w:r>
      <w:r w:rsidRPr="00EF3C6A">
        <w:t xml:space="preserve"> clinical criteria </w:t>
      </w:r>
      <w:r w:rsidR="00A741B8" w:rsidRPr="00EF3C6A">
        <w:t>for</w:t>
      </w:r>
      <w:r w:rsidRPr="00EF3C6A">
        <w:t xml:space="preserve"> other PBS listed medicines for RCC. However, the key clinical evidence only included patients with a </w:t>
      </w:r>
      <w:proofErr w:type="spellStart"/>
      <w:r w:rsidRPr="00EF3C6A">
        <w:t>Karnofsky</w:t>
      </w:r>
      <w:proofErr w:type="spellEnd"/>
      <w:r w:rsidRPr="00EF3C6A">
        <w:t xml:space="preserve"> Performance Status (KPS) ≥ 70, with 90% of patients having a KPS ≥ 80. Although the literature is inconsistent regarding the translation of KPS to WHO/Eastern Cooperative Oncology Group (ECOG) performance status, literature by West et al</w:t>
      </w:r>
      <w:r w:rsidRPr="00EF3C6A">
        <w:rPr>
          <w:rStyle w:val="FootnoteReference"/>
        </w:rPr>
        <w:footnoteReference w:id="1"/>
      </w:r>
      <w:r w:rsidRPr="00EF3C6A">
        <w:t xml:space="preserve"> (2015) suggested that KPS ≥ 70 corresponds to WHO/ECOG ≤1. Therefore, t</w:t>
      </w:r>
      <w:r w:rsidRPr="00EF3C6A">
        <w:rPr>
          <w:szCs w:val="24"/>
        </w:rPr>
        <w:t>he requested restriction would allow patients with worse performance status and more limited functional capacity to be treated than those patients who were included in the key clinical evidence (CA209214).</w:t>
      </w:r>
    </w:p>
    <w:p w:rsidR="001C0E45" w:rsidRPr="00EF3C6A" w:rsidRDefault="001C0E45" w:rsidP="00E047A0">
      <w:pPr>
        <w:pStyle w:val="ListParagraph"/>
        <w:widowControl/>
        <w:numPr>
          <w:ilvl w:val="1"/>
          <w:numId w:val="3"/>
        </w:numPr>
        <w:rPr>
          <w:szCs w:val="24"/>
        </w:rPr>
      </w:pPr>
      <w:r w:rsidRPr="00EF3C6A">
        <w:rPr>
          <w:szCs w:val="24"/>
        </w:rPr>
        <w:t>The ESC</w:t>
      </w:r>
      <w:r w:rsidR="00E047A0" w:rsidRPr="00EF3C6A">
        <w:rPr>
          <w:szCs w:val="24"/>
        </w:rPr>
        <w:t xml:space="preserve"> acknowledged that </w:t>
      </w:r>
      <w:r w:rsidR="008D6289" w:rsidRPr="00EF3C6A">
        <w:rPr>
          <w:szCs w:val="24"/>
        </w:rPr>
        <w:t>including</w:t>
      </w:r>
      <w:r w:rsidR="00E047A0" w:rsidRPr="00EF3C6A">
        <w:rPr>
          <w:szCs w:val="24"/>
        </w:rPr>
        <w:t xml:space="preserve"> WHO performance status ≤ 2 </w:t>
      </w:r>
      <w:r w:rsidR="008D6289" w:rsidRPr="00EF3C6A">
        <w:rPr>
          <w:szCs w:val="24"/>
        </w:rPr>
        <w:t xml:space="preserve">in the restriction </w:t>
      </w:r>
      <w:r w:rsidR="00E047A0" w:rsidRPr="00EF3C6A">
        <w:rPr>
          <w:szCs w:val="24"/>
        </w:rPr>
        <w:t xml:space="preserve">(rather than KPS ≥ 70) may enable use in a broader </w:t>
      </w:r>
      <w:r w:rsidR="00F96A77" w:rsidRPr="00EF3C6A">
        <w:rPr>
          <w:szCs w:val="24"/>
        </w:rPr>
        <w:t>patient group</w:t>
      </w:r>
      <w:r w:rsidR="00E047A0" w:rsidRPr="00EF3C6A">
        <w:rPr>
          <w:szCs w:val="24"/>
        </w:rPr>
        <w:t xml:space="preserve"> tha</w:t>
      </w:r>
      <w:r w:rsidR="00575836" w:rsidRPr="00EF3C6A">
        <w:rPr>
          <w:szCs w:val="24"/>
        </w:rPr>
        <w:t>n</w:t>
      </w:r>
      <w:r w:rsidR="00E047A0" w:rsidRPr="00EF3C6A">
        <w:rPr>
          <w:szCs w:val="24"/>
        </w:rPr>
        <w:t xml:space="preserve"> included in the key trial. However, the ESC </w:t>
      </w:r>
      <w:r w:rsidRPr="00EF3C6A">
        <w:rPr>
          <w:szCs w:val="24"/>
        </w:rPr>
        <w:t xml:space="preserve">considered that </w:t>
      </w:r>
      <w:r w:rsidR="00E047A0" w:rsidRPr="00EF3C6A">
        <w:rPr>
          <w:szCs w:val="24"/>
        </w:rPr>
        <w:t>WHO performance status</w:t>
      </w:r>
      <w:r w:rsidRPr="00EF3C6A">
        <w:rPr>
          <w:szCs w:val="24"/>
        </w:rPr>
        <w:t xml:space="preserve"> is more commonly used in Australian clinical practice, and noted that use of </w:t>
      </w:r>
      <w:r w:rsidR="00E047A0" w:rsidRPr="00EF3C6A">
        <w:rPr>
          <w:szCs w:val="24"/>
        </w:rPr>
        <w:t>WHO performance status</w:t>
      </w:r>
      <w:r w:rsidRPr="00EF3C6A">
        <w:rPr>
          <w:szCs w:val="24"/>
        </w:rPr>
        <w:t xml:space="preserve"> </w:t>
      </w:r>
      <w:r w:rsidR="00E047A0" w:rsidRPr="00EF3C6A">
        <w:rPr>
          <w:szCs w:val="24"/>
        </w:rPr>
        <w:t xml:space="preserve">≤ 2 </w:t>
      </w:r>
      <w:r w:rsidRPr="00EF3C6A">
        <w:rPr>
          <w:szCs w:val="24"/>
        </w:rPr>
        <w:t xml:space="preserve">(rather than KPS) would align with the </w:t>
      </w:r>
      <w:r w:rsidR="00E047A0" w:rsidRPr="00EF3C6A">
        <w:rPr>
          <w:szCs w:val="24"/>
        </w:rPr>
        <w:t>restrictions</w:t>
      </w:r>
      <w:r w:rsidRPr="00EF3C6A">
        <w:rPr>
          <w:szCs w:val="24"/>
        </w:rPr>
        <w:t xml:space="preserve"> for other PBS</w:t>
      </w:r>
      <w:r w:rsidR="00A66CBB" w:rsidRPr="00EF3C6A">
        <w:rPr>
          <w:szCs w:val="24"/>
        </w:rPr>
        <w:t>-</w:t>
      </w:r>
      <w:r w:rsidRPr="00EF3C6A">
        <w:rPr>
          <w:szCs w:val="24"/>
        </w:rPr>
        <w:t xml:space="preserve">listed medicines for RCC including </w:t>
      </w:r>
      <w:proofErr w:type="spellStart"/>
      <w:r w:rsidRPr="00EF3C6A">
        <w:rPr>
          <w:szCs w:val="24"/>
        </w:rPr>
        <w:t>sunitinib</w:t>
      </w:r>
      <w:proofErr w:type="spellEnd"/>
      <w:r w:rsidRPr="00EF3C6A">
        <w:rPr>
          <w:szCs w:val="24"/>
        </w:rPr>
        <w:t xml:space="preserve"> (the comparator) and nivolumab in later-line RCC. Therefore, the ESC </w:t>
      </w:r>
      <w:r w:rsidR="00B44518">
        <w:rPr>
          <w:szCs w:val="24"/>
        </w:rPr>
        <w:t xml:space="preserve">and the PBAC </w:t>
      </w:r>
      <w:r w:rsidRPr="00EF3C6A">
        <w:rPr>
          <w:szCs w:val="24"/>
        </w:rPr>
        <w:t xml:space="preserve">considered that it </w:t>
      </w:r>
      <w:r w:rsidR="00B44518">
        <w:rPr>
          <w:szCs w:val="24"/>
        </w:rPr>
        <w:t>would</w:t>
      </w:r>
      <w:r w:rsidRPr="00EF3C6A">
        <w:rPr>
          <w:szCs w:val="24"/>
        </w:rPr>
        <w:t xml:space="preserve"> be appropriate </w:t>
      </w:r>
      <w:r w:rsidR="003E431D" w:rsidRPr="00EF3C6A">
        <w:rPr>
          <w:szCs w:val="24"/>
        </w:rPr>
        <w:t xml:space="preserve">for the restriction </w:t>
      </w:r>
      <w:r w:rsidRPr="00EF3C6A">
        <w:rPr>
          <w:szCs w:val="24"/>
        </w:rPr>
        <w:t>to include WHO performance status ≤ 2</w:t>
      </w:r>
      <w:r w:rsidR="003E431D" w:rsidRPr="00EF3C6A">
        <w:rPr>
          <w:szCs w:val="24"/>
        </w:rPr>
        <w:t>,</w:t>
      </w:r>
      <w:r w:rsidRPr="00EF3C6A">
        <w:rPr>
          <w:szCs w:val="24"/>
        </w:rPr>
        <w:t xml:space="preserve"> as requested by the submission. </w:t>
      </w:r>
    </w:p>
    <w:p w:rsidR="00E82959" w:rsidRPr="00EF3C6A" w:rsidRDefault="00E82959" w:rsidP="00AB2C28">
      <w:pPr>
        <w:pStyle w:val="ListParagraph"/>
        <w:widowControl/>
        <w:numPr>
          <w:ilvl w:val="1"/>
          <w:numId w:val="3"/>
        </w:numPr>
      </w:pPr>
      <w:r w:rsidRPr="00EF3C6A">
        <w:t xml:space="preserve">The sponsor is seeking PBS listing for combined NIVO+IPI as a first line treatment of RCC before </w:t>
      </w:r>
      <w:r w:rsidR="00575836" w:rsidRPr="00EF3C6A">
        <w:t xml:space="preserve">either </w:t>
      </w:r>
      <w:r w:rsidRPr="00EF3C6A">
        <w:t xml:space="preserve">nivolumab </w:t>
      </w:r>
      <w:r w:rsidR="00575836" w:rsidRPr="00EF3C6A">
        <w:t xml:space="preserve">or </w:t>
      </w:r>
      <w:proofErr w:type="spellStart"/>
      <w:r w:rsidRPr="00EF3C6A">
        <w:t>ipilimumab</w:t>
      </w:r>
      <w:proofErr w:type="spellEnd"/>
      <w:r w:rsidRPr="00EF3C6A">
        <w:t xml:space="preserve"> monotherap</w:t>
      </w:r>
      <w:r w:rsidR="00575836" w:rsidRPr="00EF3C6A">
        <w:t>y</w:t>
      </w:r>
      <w:r w:rsidRPr="00EF3C6A">
        <w:t xml:space="preserve"> have been determined as being acceptable first line treatments for RCC. Nivolumab monotherapy is not currently PBS listed for first line treatment of RCC, and </w:t>
      </w:r>
      <w:proofErr w:type="spellStart"/>
      <w:r w:rsidRPr="00EF3C6A">
        <w:t>ipilimumab</w:t>
      </w:r>
      <w:proofErr w:type="spellEnd"/>
      <w:r w:rsidRPr="00EF3C6A">
        <w:t xml:space="preserve"> is not currently listed on the PBS for RCC. </w:t>
      </w:r>
      <w:r w:rsidR="00ED48FD" w:rsidRPr="00EF3C6A">
        <w:t>T</w:t>
      </w:r>
      <w:r w:rsidRPr="00EF3C6A">
        <w:t xml:space="preserve">herefore, </w:t>
      </w:r>
      <w:r w:rsidR="00ED48FD" w:rsidRPr="00EF3C6A">
        <w:t xml:space="preserve">the evaluation </w:t>
      </w:r>
      <w:r w:rsidR="00B44518">
        <w:t xml:space="preserve">and the PBAC </w:t>
      </w:r>
      <w:r w:rsidR="00ED48FD" w:rsidRPr="00EF3C6A">
        <w:t xml:space="preserve">considered that </w:t>
      </w:r>
      <w:r w:rsidRPr="00EF3C6A">
        <w:t>the contribution of each medicine to the combined treatment effect</w:t>
      </w:r>
      <w:r w:rsidR="00ED48FD" w:rsidRPr="00EF3C6A">
        <w:t xml:space="preserve"> was unclear, as was the benefit and harm balance of combination therapy over each of the individual medicines</w:t>
      </w:r>
      <w:r w:rsidRPr="00EF3C6A">
        <w:t xml:space="preserve">. </w:t>
      </w:r>
    </w:p>
    <w:p w:rsidR="003E431D" w:rsidRPr="00EF3C6A" w:rsidRDefault="003E431D" w:rsidP="00B20E16">
      <w:pPr>
        <w:pStyle w:val="ListParagraph"/>
        <w:widowControl/>
        <w:numPr>
          <w:ilvl w:val="1"/>
          <w:numId w:val="3"/>
        </w:numPr>
      </w:pPr>
      <w:r w:rsidRPr="00EF3C6A">
        <w:t xml:space="preserve">The </w:t>
      </w:r>
      <w:r w:rsidR="00FF4CF1">
        <w:t>Pre-Sub-Committee Response (</w:t>
      </w:r>
      <w:r w:rsidRPr="00EF3C6A">
        <w:t>PSCR</w:t>
      </w:r>
      <w:r w:rsidR="00FF4CF1">
        <w:t>)</w:t>
      </w:r>
      <w:r w:rsidR="00B72E65" w:rsidRPr="00EF3C6A">
        <w:t xml:space="preserve"> </w:t>
      </w:r>
      <w:r w:rsidR="00E41E2E" w:rsidRPr="00EF3C6A">
        <w:t>provided information regarding</w:t>
      </w:r>
      <w:r w:rsidR="00B72E65" w:rsidRPr="00EF3C6A">
        <w:t xml:space="preserve"> the o</w:t>
      </w:r>
      <w:r w:rsidR="00ED48FD" w:rsidRPr="00EF3C6A">
        <w:t>bjective</w:t>
      </w:r>
      <w:r w:rsidR="00B72E65" w:rsidRPr="00EF3C6A">
        <w:t xml:space="preserve"> response rates observed in</w:t>
      </w:r>
      <w:r w:rsidR="00B20E16" w:rsidRPr="00EF3C6A">
        <w:t xml:space="preserve"> exploratory and phase II studies of nivolumab or </w:t>
      </w:r>
      <w:proofErr w:type="spellStart"/>
      <w:r w:rsidR="00B20E16" w:rsidRPr="00EF3C6A">
        <w:t>ipilimumab</w:t>
      </w:r>
      <w:proofErr w:type="spellEnd"/>
      <w:r w:rsidR="00B20E16" w:rsidRPr="00EF3C6A">
        <w:t xml:space="preserve"> monotherapy, or </w:t>
      </w:r>
      <w:r w:rsidR="00E41E2E" w:rsidRPr="00EF3C6A">
        <w:t xml:space="preserve">as </w:t>
      </w:r>
      <w:r w:rsidR="00B20E16" w:rsidRPr="00EF3C6A">
        <w:t>combin</w:t>
      </w:r>
      <w:r w:rsidR="00E41E2E" w:rsidRPr="00EF3C6A">
        <w:t>ation therapy</w:t>
      </w:r>
      <w:r w:rsidR="00B20E16" w:rsidRPr="00EF3C6A">
        <w:t xml:space="preserve"> at different doses. The </w:t>
      </w:r>
      <w:r w:rsidR="00ED48FD" w:rsidRPr="00EF3C6A">
        <w:t>objective</w:t>
      </w:r>
      <w:r w:rsidR="00B20E16" w:rsidRPr="00EF3C6A">
        <w:t xml:space="preserve"> response rates </w:t>
      </w:r>
      <w:r w:rsidR="00B20E16" w:rsidRPr="00EF3C6A">
        <w:lastRenderedPageBreak/>
        <w:t xml:space="preserve">for nivolumab monotherapy (CA209009, n = 24) and </w:t>
      </w:r>
      <w:proofErr w:type="spellStart"/>
      <w:r w:rsidR="00B20E16" w:rsidRPr="00EF3C6A">
        <w:t>ipilimumab</w:t>
      </w:r>
      <w:proofErr w:type="spellEnd"/>
      <w:r w:rsidR="00B20E16" w:rsidRPr="00EF3C6A">
        <w:t xml:space="preserve"> monotherapy (MDX010-11, n = 12) were 13% and 25%, respectively which the PSCR described as “suboptimal”, versus 42% for NIVO+IPI in the pivotal trial, CA209214. </w:t>
      </w:r>
      <w:r w:rsidR="00ED48FD" w:rsidRPr="00EF3C6A">
        <w:t xml:space="preserve">The ESC considered that </w:t>
      </w:r>
      <w:r w:rsidR="00A66CBB" w:rsidRPr="00EF3C6A">
        <w:t>there was a biological rationale for the combination</w:t>
      </w:r>
      <w:r w:rsidR="00E41E2E" w:rsidRPr="00EF3C6A">
        <w:t xml:space="preserve"> and that </w:t>
      </w:r>
      <w:r w:rsidR="00ED48FD" w:rsidRPr="00EF3C6A">
        <w:t>it was clinically appropriate to combine the two agents.</w:t>
      </w:r>
    </w:p>
    <w:p w:rsidR="001E1FFE" w:rsidRPr="00EF3C6A" w:rsidRDefault="007871DC" w:rsidP="001E1FFE">
      <w:pPr>
        <w:pStyle w:val="ListParagraph"/>
        <w:widowControl/>
        <w:numPr>
          <w:ilvl w:val="1"/>
          <w:numId w:val="3"/>
        </w:numPr>
      </w:pPr>
      <w:r w:rsidRPr="00EF3C6A">
        <w:t>T</w:t>
      </w:r>
      <w:r w:rsidR="001E1FFE" w:rsidRPr="00EF3C6A">
        <w:t xml:space="preserve">he proposed listing allowed patients to be continued </w:t>
      </w:r>
      <w:r w:rsidR="004A108B" w:rsidRPr="00EF3C6A">
        <w:t xml:space="preserve">on </w:t>
      </w:r>
      <w:r w:rsidR="001E1FFE" w:rsidRPr="00EF3C6A">
        <w:t xml:space="preserve">treatment after suspected progression and requested a confirmatory scan to be taken at least four weeks later. </w:t>
      </w:r>
      <w:r w:rsidR="00B622DE" w:rsidRPr="00EF3C6A">
        <w:t>This was consistent with the key clinical evidence CA209214, where patients in both arms were permitted to continue treatment beyond initial investigator assessed progression where clinical benefit and toleration of study drug was being observed</w:t>
      </w:r>
      <w:r w:rsidR="00013CB6" w:rsidRPr="00EF3C6A">
        <w:t>.</w:t>
      </w:r>
      <w:r w:rsidR="00B622DE" w:rsidRPr="00EF3C6A">
        <w:t xml:space="preserve"> </w:t>
      </w:r>
      <w:r w:rsidR="001E1FFE" w:rsidRPr="00EF3C6A">
        <w:t>The incidence of pseudo-progression events needs to be weighed against the harms of overtreatment with immunotherapy and delayed or missed opportunities for alternate therapeutic options for genuine progression.</w:t>
      </w:r>
    </w:p>
    <w:p w:rsidR="008D4860" w:rsidRPr="00EF3C6A" w:rsidRDefault="00C46B1A" w:rsidP="00C46B1A">
      <w:pPr>
        <w:pStyle w:val="ListParagraph"/>
        <w:numPr>
          <w:ilvl w:val="1"/>
          <w:numId w:val="3"/>
        </w:numPr>
      </w:pPr>
      <w:r w:rsidRPr="00EF3C6A">
        <w:t xml:space="preserve">The submission </w:t>
      </w:r>
      <w:r w:rsidR="00197763" w:rsidRPr="00EF3C6A">
        <w:t xml:space="preserve">requested </w:t>
      </w:r>
      <w:r w:rsidR="00575836" w:rsidRPr="00EF3C6A">
        <w:t>a flow-on change to the current restriction for nivolumab in the second-line RCC setting</w:t>
      </w:r>
      <w:r w:rsidR="00C82C15" w:rsidRPr="00EF3C6A">
        <w:t xml:space="preserve">: </w:t>
      </w:r>
      <w:r w:rsidR="00197763" w:rsidRPr="00EF3C6A">
        <w:t>removal of</w:t>
      </w:r>
      <w:r w:rsidRPr="00EF3C6A">
        <w:t xml:space="preserve"> </w:t>
      </w:r>
      <w:r w:rsidR="00346A43" w:rsidRPr="00EF3C6A">
        <w:t xml:space="preserve">the </w:t>
      </w:r>
      <w:r w:rsidRPr="00EF3C6A">
        <w:t xml:space="preserve">requirement for </w:t>
      </w:r>
      <w:r w:rsidR="00197763" w:rsidRPr="00EF3C6A">
        <w:t xml:space="preserve">patients to have received </w:t>
      </w:r>
      <w:r w:rsidRPr="00EF3C6A">
        <w:t xml:space="preserve">prior </w:t>
      </w:r>
      <w:r w:rsidR="00BC0D4D" w:rsidRPr="00EF3C6A">
        <w:t>tyrosine kinase inhibitor (</w:t>
      </w:r>
      <w:r w:rsidRPr="00EF3C6A">
        <w:t>TKI</w:t>
      </w:r>
      <w:r w:rsidR="00BC0D4D" w:rsidRPr="00EF3C6A">
        <w:t>)</w:t>
      </w:r>
      <w:r w:rsidRPr="00EF3C6A">
        <w:t xml:space="preserve"> therapy</w:t>
      </w:r>
      <w:r w:rsidR="00575836" w:rsidRPr="00EF3C6A">
        <w:t>. The submission stated this was</w:t>
      </w:r>
      <w:r w:rsidRPr="00EF3C6A">
        <w:t xml:space="preserve"> because of “inequitable access issues for patients who received NIVO+IPI as a first line therapy”. </w:t>
      </w:r>
      <w:r w:rsidR="00197763" w:rsidRPr="00EF3C6A">
        <w:t xml:space="preserve">The submission similarly requested removal of the requirement for patients to have received prior TKI therapy </w:t>
      </w:r>
      <w:r w:rsidR="00C82C15" w:rsidRPr="00EF3C6A">
        <w:t>before commencing</w:t>
      </w:r>
      <w:r w:rsidR="00197763" w:rsidRPr="00EF3C6A">
        <w:t xml:space="preserve"> </w:t>
      </w:r>
      <w:proofErr w:type="spellStart"/>
      <w:r w:rsidR="00197763" w:rsidRPr="00EF3C6A">
        <w:t>everolimus</w:t>
      </w:r>
      <w:proofErr w:type="spellEnd"/>
      <w:r w:rsidR="00197763" w:rsidRPr="00EF3C6A">
        <w:t xml:space="preserve">, </w:t>
      </w:r>
      <w:proofErr w:type="spellStart"/>
      <w:r w:rsidR="00197763" w:rsidRPr="00EF3C6A">
        <w:t>axitinib</w:t>
      </w:r>
      <w:proofErr w:type="spellEnd"/>
      <w:r w:rsidR="00197763" w:rsidRPr="00EF3C6A">
        <w:t xml:space="preserve">, sorafenib </w:t>
      </w:r>
      <w:r w:rsidR="00C82C15" w:rsidRPr="00EF3C6A">
        <w:t xml:space="preserve">or </w:t>
      </w:r>
      <w:r w:rsidR="00197763" w:rsidRPr="00EF3C6A">
        <w:t xml:space="preserve">cabozantinib. </w:t>
      </w:r>
      <w:r w:rsidRPr="00EF3C6A">
        <w:t xml:space="preserve">The PBS requirement </w:t>
      </w:r>
      <w:r w:rsidR="003E431D" w:rsidRPr="00EF3C6A">
        <w:t>for</w:t>
      </w:r>
      <w:r w:rsidRPr="00EF3C6A">
        <w:t xml:space="preserve"> prior TKI use in the current nivolumab listing reflects the patient population enrolled in the key nivolumab trial CA025 (July 2016 PBAC Meeting) and is consistent with the TGA approved indication for use of nivolumab monotherapy in RCC which specifies that patients should have had prior anti-angiogenic therapy</w:t>
      </w:r>
      <w:r w:rsidR="00D760F3" w:rsidRPr="00EF3C6A">
        <w:t xml:space="preserve"> (</w:t>
      </w:r>
      <w:r w:rsidR="00A35D2B" w:rsidRPr="00EF3C6A">
        <w:t xml:space="preserve">e.g. </w:t>
      </w:r>
      <w:proofErr w:type="spellStart"/>
      <w:r w:rsidR="00A35D2B" w:rsidRPr="00EF3C6A">
        <w:t>s</w:t>
      </w:r>
      <w:r w:rsidR="00D248A6" w:rsidRPr="00EF3C6A">
        <w:t>unitinib</w:t>
      </w:r>
      <w:proofErr w:type="spellEnd"/>
      <w:r w:rsidR="00BF6859" w:rsidRPr="00EF3C6A">
        <w:t xml:space="preserve"> and</w:t>
      </w:r>
      <w:r w:rsidR="00D248A6" w:rsidRPr="00EF3C6A">
        <w:t xml:space="preserve"> </w:t>
      </w:r>
      <w:proofErr w:type="spellStart"/>
      <w:r w:rsidR="00D248A6" w:rsidRPr="00EF3C6A">
        <w:t>pazopanib</w:t>
      </w:r>
      <w:proofErr w:type="spellEnd"/>
      <w:r w:rsidR="00D248A6" w:rsidRPr="00EF3C6A">
        <w:t>)</w:t>
      </w:r>
      <w:r w:rsidRPr="00EF3C6A">
        <w:t>.</w:t>
      </w:r>
      <w:r w:rsidR="007A23AD" w:rsidRPr="00EF3C6A">
        <w:t xml:space="preserve"> Additionally, </w:t>
      </w:r>
      <w:r w:rsidR="00A52636" w:rsidRPr="00EF3C6A">
        <w:t xml:space="preserve">no evidence was provided in the submission to support the use of nivolumab </w:t>
      </w:r>
      <w:r w:rsidR="00A35D2B" w:rsidRPr="00EF3C6A">
        <w:t>monotherapy</w:t>
      </w:r>
      <w:r w:rsidR="009A1857" w:rsidRPr="00EF3C6A">
        <w:t xml:space="preserve"> following progression after </w:t>
      </w:r>
      <w:r w:rsidR="00A35D2B" w:rsidRPr="00EF3C6A">
        <w:t xml:space="preserve">first line treatment with </w:t>
      </w:r>
      <w:r w:rsidR="009A1857" w:rsidRPr="00EF3C6A">
        <w:t>NIVO+IPI</w:t>
      </w:r>
      <w:r w:rsidR="00576137" w:rsidRPr="00EF3C6A">
        <w:t>.</w:t>
      </w:r>
      <w:r w:rsidR="009A1857" w:rsidRPr="00EF3C6A">
        <w:t xml:space="preserve"> </w:t>
      </w:r>
    </w:p>
    <w:p w:rsidR="00C46B1A" w:rsidRPr="00EF3C6A" w:rsidRDefault="00197763" w:rsidP="00C46B1A">
      <w:pPr>
        <w:pStyle w:val="ListParagraph"/>
        <w:numPr>
          <w:ilvl w:val="1"/>
          <w:numId w:val="3"/>
        </w:numPr>
      </w:pPr>
      <w:r w:rsidRPr="00EF3C6A">
        <w:t xml:space="preserve">The ESC considered that </w:t>
      </w:r>
      <w:r w:rsidR="008D4860" w:rsidRPr="00EF3C6A">
        <w:t xml:space="preserve">it </w:t>
      </w:r>
      <w:r w:rsidR="00C82C15" w:rsidRPr="00EF3C6A">
        <w:t xml:space="preserve">may not be clinically appropriate for </w:t>
      </w:r>
      <w:r w:rsidRPr="00EF3C6A">
        <w:t xml:space="preserve">patients </w:t>
      </w:r>
      <w:r w:rsidR="00C82C15" w:rsidRPr="00EF3C6A">
        <w:t xml:space="preserve">who progress on NIVO+IPI to </w:t>
      </w:r>
      <w:r w:rsidR="007F150A" w:rsidRPr="00EF3C6A">
        <w:t xml:space="preserve">then </w:t>
      </w:r>
      <w:r w:rsidR="00C82C15" w:rsidRPr="00EF3C6A">
        <w:t>be treated with</w:t>
      </w:r>
      <w:r w:rsidRPr="00EF3C6A">
        <w:t xml:space="preserve"> </w:t>
      </w:r>
      <w:r w:rsidR="00C82C15" w:rsidRPr="00EF3C6A">
        <w:t xml:space="preserve">second-line </w:t>
      </w:r>
      <w:r w:rsidRPr="00EF3C6A">
        <w:t>nivolumab monotherapy (</w:t>
      </w:r>
      <w:r w:rsidR="008D4860" w:rsidRPr="00EF3C6A">
        <w:t xml:space="preserve">noting that the </w:t>
      </w:r>
      <w:r w:rsidR="00C82C15" w:rsidRPr="00EF3C6A">
        <w:t xml:space="preserve">requested </w:t>
      </w:r>
      <w:r w:rsidRPr="00EF3C6A">
        <w:t xml:space="preserve">NIVO+IPI </w:t>
      </w:r>
      <w:r w:rsidR="008D4860" w:rsidRPr="00EF3C6A">
        <w:t xml:space="preserve">regimen </w:t>
      </w:r>
      <w:r w:rsidR="00C82C15" w:rsidRPr="00EF3C6A">
        <w:t xml:space="preserve">involves four doses of </w:t>
      </w:r>
      <w:r w:rsidR="007F150A" w:rsidRPr="00EF3C6A">
        <w:t xml:space="preserve">NIVO+IPI </w:t>
      </w:r>
      <w:r w:rsidRPr="00EF3C6A">
        <w:t>induction</w:t>
      </w:r>
      <w:r w:rsidR="008D4860" w:rsidRPr="00EF3C6A">
        <w:t>,</w:t>
      </w:r>
      <w:r w:rsidRPr="00EF3C6A">
        <w:t xml:space="preserve"> followed by nivolumab monotherapy</w:t>
      </w:r>
      <w:r w:rsidR="00C82C15" w:rsidRPr="00EF3C6A">
        <w:t xml:space="preserve"> until progression</w:t>
      </w:r>
      <w:r w:rsidR="008D4860" w:rsidRPr="00EF3C6A">
        <w:t xml:space="preserve">; and </w:t>
      </w:r>
      <w:r w:rsidR="00C82C15" w:rsidRPr="00EF3C6A">
        <w:t xml:space="preserve">the </w:t>
      </w:r>
      <w:r w:rsidR="008D4860" w:rsidRPr="00EF3C6A">
        <w:t xml:space="preserve">requested restriction </w:t>
      </w:r>
      <w:r w:rsidR="00C82C15" w:rsidRPr="00EF3C6A">
        <w:t>did not require</w:t>
      </w:r>
      <w:r w:rsidR="008D4860" w:rsidRPr="00EF3C6A">
        <w:t xml:space="preserve"> patient</w:t>
      </w:r>
      <w:r w:rsidR="00DF3355" w:rsidRPr="00EF3C6A">
        <w:t>s</w:t>
      </w:r>
      <w:r w:rsidR="008D4860" w:rsidRPr="00EF3C6A">
        <w:t xml:space="preserve"> to have completed the full four doses </w:t>
      </w:r>
      <w:r w:rsidR="007F150A" w:rsidRPr="00EF3C6A">
        <w:t>of</w:t>
      </w:r>
      <w:r w:rsidR="008D4860" w:rsidRPr="00EF3C6A">
        <w:t xml:space="preserve"> </w:t>
      </w:r>
      <w:proofErr w:type="spellStart"/>
      <w:r w:rsidR="008D4860" w:rsidRPr="00EF3C6A">
        <w:t>ipilimumab</w:t>
      </w:r>
      <w:proofErr w:type="spellEnd"/>
      <w:r w:rsidR="00C82C15" w:rsidRPr="00EF3C6A">
        <w:t xml:space="preserve"> prior to commencing nivolumab monotherapy</w:t>
      </w:r>
      <w:r w:rsidRPr="00EF3C6A">
        <w:t xml:space="preserve">). </w:t>
      </w:r>
      <w:r w:rsidR="008D4860" w:rsidRPr="00EF3C6A">
        <w:t>T</w:t>
      </w:r>
      <w:r w:rsidRPr="00EF3C6A">
        <w:t xml:space="preserve">he ESC noted that the submission similarly requested removal of the requirement for patients to have received prior TKI therapy </w:t>
      </w:r>
      <w:r w:rsidR="008D4860" w:rsidRPr="00EF3C6A">
        <w:t xml:space="preserve">before </w:t>
      </w:r>
      <w:r w:rsidR="00C82C15" w:rsidRPr="00EF3C6A">
        <w:t>commencin</w:t>
      </w:r>
      <w:r w:rsidR="008D4860" w:rsidRPr="00EF3C6A">
        <w:t xml:space="preserve">g </w:t>
      </w:r>
      <w:proofErr w:type="spellStart"/>
      <w:r w:rsidRPr="00EF3C6A">
        <w:t>everolimus</w:t>
      </w:r>
      <w:proofErr w:type="spellEnd"/>
      <w:r w:rsidRPr="00EF3C6A">
        <w:t xml:space="preserve">, </w:t>
      </w:r>
      <w:proofErr w:type="spellStart"/>
      <w:r w:rsidRPr="00EF3C6A">
        <w:t>axitinib</w:t>
      </w:r>
      <w:proofErr w:type="spellEnd"/>
      <w:r w:rsidRPr="00EF3C6A">
        <w:t xml:space="preserve">, sorafenib </w:t>
      </w:r>
      <w:r w:rsidR="00C82C15" w:rsidRPr="00EF3C6A">
        <w:t>or</w:t>
      </w:r>
      <w:r w:rsidRPr="00EF3C6A">
        <w:t xml:space="preserve"> cabozantinib. </w:t>
      </w:r>
      <w:r w:rsidR="008D4860" w:rsidRPr="00EF3C6A">
        <w:t xml:space="preserve">The ESC </w:t>
      </w:r>
      <w:r w:rsidR="00B44518">
        <w:t xml:space="preserve">and PBAC </w:t>
      </w:r>
      <w:r w:rsidR="008D4860" w:rsidRPr="00EF3C6A">
        <w:t xml:space="preserve">noted that no evidence was presented to </w:t>
      </w:r>
      <w:r w:rsidR="00DF3355" w:rsidRPr="00EF3C6A">
        <w:t xml:space="preserve">support this request, and considered that </w:t>
      </w:r>
      <w:r w:rsidR="00C82C15" w:rsidRPr="00EF3C6A">
        <w:t xml:space="preserve">the current requirement for patients to </w:t>
      </w:r>
      <w:r w:rsidR="00DF3355" w:rsidRPr="00EF3C6A">
        <w:t xml:space="preserve">trial TKI therapy prior to these therapies (i.e. </w:t>
      </w:r>
      <w:proofErr w:type="spellStart"/>
      <w:r w:rsidR="00DF3355" w:rsidRPr="00EF3C6A">
        <w:t>everolimus</w:t>
      </w:r>
      <w:proofErr w:type="spellEnd"/>
      <w:r w:rsidR="00DF3355" w:rsidRPr="00EF3C6A">
        <w:t xml:space="preserve">, </w:t>
      </w:r>
      <w:proofErr w:type="spellStart"/>
      <w:r w:rsidR="00DF3355" w:rsidRPr="00EF3C6A">
        <w:t>axitinib</w:t>
      </w:r>
      <w:proofErr w:type="spellEnd"/>
      <w:r w:rsidR="00DF3355" w:rsidRPr="00EF3C6A">
        <w:t>, sorafenib and cabozantinib)</w:t>
      </w:r>
      <w:r w:rsidR="00C82C15" w:rsidRPr="00EF3C6A">
        <w:t xml:space="preserve"> remained clinically appropriate</w:t>
      </w:r>
      <w:r w:rsidR="00DF3355" w:rsidRPr="00EF3C6A">
        <w:t>.</w:t>
      </w:r>
    </w:p>
    <w:p w:rsidR="008E7534" w:rsidRDefault="008E7534" w:rsidP="0080479A">
      <w:pPr>
        <w:pStyle w:val="ListParagraph"/>
        <w:numPr>
          <w:ilvl w:val="1"/>
          <w:numId w:val="3"/>
        </w:numPr>
      </w:pPr>
      <w:r w:rsidRPr="00EF3C6A">
        <w:t>The pro</w:t>
      </w:r>
      <w:r w:rsidR="005921E3">
        <w:t>posed restriction for NIVO+IPI wa</w:t>
      </w:r>
      <w:r w:rsidRPr="00EF3C6A">
        <w:t xml:space="preserve">s based on the IMDC system, rather than the </w:t>
      </w:r>
      <w:r w:rsidR="007F150A" w:rsidRPr="00EF3C6A">
        <w:t xml:space="preserve">Memorial Sloan-Kettering Cancer </w:t>
      </w:r>
      <w:proofErr w:type="spellStart"/>
      <w:r w:rsidR="007F150A" w:rsidRPr="00EF3C6A">
        <w:t>Center</w:t>
      </w:r>
      <w:proofErr w:type="spellEnd"/>
      <w:r w:rsidR="007F150A" w:rsidRPr="00EF3C6A">
        <w:t xml:space="preserve"> (</w:t>
      </w:r>
      <w:r w:rsidRPr="00EF3C6A">
        <w:t>MSKCC</w:t>
      </w:r>
      <w:r w:rsidR="007F150A" w:rsidRPr="00EF3C6A">
        <w:t>)</w:t>
      </w:r>
      <w:r w:rsidRPr="00EF3C6A">
        <w:t xml:space="preserve"> system that is </w:t>
      </w:r>
      <w:r w:rsidR="007F150A" w:rsidRPr="00EF3C6A">
        <w:t xml:space="preserve">used </w:t>
      </w:r>
      <w:r w:rsidRPr="00EF3C6A">
        <w:t xml:space="preserve">in the </w:t>
      </w:r>
      <w:proofErr w:type="spellStart"/>
      <w:r w:rsidR="007F150A" w:rsidRPr="00EF3C6A">
        <w:t>sunitinib</w:t>
      </w:r>
      <w:proofErr w:type="spellEnd"/>
      <w:r w:rsidR="007F150A" w:rsidRPr="00EF3C6A">
        <w:t xml:space="preserve"> </w:t>
      </w:r>
      <w:r w:rsidRPr="00EF3C6A">
        <w:t>restriction. The submission stated that the two systems have a high level of concordance</w:t>
      </w:r>
      <w:r w:rsidR="007F150A" w:rsidRPr="00EF3C6A">
        <w:t xml:space="preserve">, </w:t>
      </w:r>
      <w:r w:rsidR="007F150A" w:rsidRPr="00EF3C6A">
        <w:lastRenderedPageBreak/>
        <w:t>but</w:t>
      </w:r>
      <w:r w:rsidRPr="00EF3C6A">
        <w:t xml:space="preserve"> that MSKCC has been superseded by IMDC.</w:t>
      </w:r>
      <w:r w:rsidR="00B277CF">
        <w:t xml:space="preserve"> </w:t>
      </w:r>
      <w:r w:rsidR="0080479A">
        <w:t>The PBAC agreed that the IMDC system (rather than MSKCC) is currently used in clinical practice</w:t>
      </w:r>
      <w:r w:rsidR="0080479A" w:rsidRPr="0080479A">
        <w:t xml:space="preserve"> </w:t>
      </w:r>
      <w:r w:rsidR="0080479A">
        <w:t>and thus would be more appropriate for inclusion in the</w:t>
      </w:r>
      <w:r w:rsidR="005921E3">
        <w:t xml:space="preserve"> </w:t>
      </w:r>
      <w:r w:rsidR="0080479A">
        <w:t>PBS restriction for NIVO + IPI</w:t>
      </w:r>
      <w:r w:rsidR="00E65ACB">
        <w:t>.</w:t>
      </w:r>
    </w:p>
    <w:p w:rsidR="00EF3C6A" w:rsidRPr="00F90A91" w:rsidRDefault="00EF3C6A" w:rsidP="00EF3C6A">
      <w:pPr>
        <w:pStyle w:val="ListParagraph"/>
        <w:ind w:left="709"/>
        <w:rPr>
          <w:rFonts w:asciiTheme="minorHAnsi" w:hAnsiTheme="minorHAnsi"/>
          <w:i/>
        </w:rPr>
      </w:pPr>
      <w:r w:rsidRPr="00525B39">
        <w:rPr>
          <w:rFonts w:asciiTheme="minorHAnsi" w:hAnsiTheme="minorHAnsi"/>
          <w:i/>
        </w:rPr>
        <w:t>For more detail on PBAC’s view, see section 7 PBAC outcome.</w:t>
      </w:r>
    </w:p>
    <w:p w:rsidR="00755DFA" w:rsidRPr="00160ED7" w:rsidRDefault="001F294C" w:rsidP="001F294C">
      <w:pPr>
        <w:pStyle w:val="PBACHeading1"/>
        <w:keepNext/>
        <w:keepLines/>
        <w:spacing w:before="240" w:after="120"/>
        <w:outlineLvl w:val="0"/>
      </w:pPr>
      <w:bookmarkStart w:id="2" w:name="_Toc514248482"/>
      <w:r w:rsidRPr="00EF3C6A">
        <w:t>Background</w:t>
      </w:r>
      <w:bookmarkEnd w:id="2"/>
    </w:p>
    <w:p w:rsidR="001F294C" w:rsidRPr="006068C2" w:rsidRDefault="001F294C" w:rsidP="00160ED7">
      <w:pPr>
        <w:spacing w:before="240" w:after="120"/>
        <w:rPr>
          <w:b/>
          <w:i/>
          <w:sz w:val="28"/>
          <w:szCs w:val="28"/>
        </w:rPr>
      </w:pPr>
      <w:r w:rsidRPr="006068C2">
        <w:rPr>
          <w:b/>
          <w:i/>
          <w:sz w:val="28"/>
          <w:szCs w:val="28"/>
        </w:rPr>
        <w:t>Registration status</w:t>
      </w:r>
    </w:p>
    <w:p w:rsidR="001F294C" w:rsidRDefault="001F294C" w:rsidP="00C465FD">
      <w:pPr>
        <w:pStyle w:val="ListParagraph"/>
        <w:widowControl/>
        <w:numPr>
          <w:ilvl w:val="1"/>
          <w:numId w:val="3"/>
        </w:numPr>
      </w:pPr>
      <w:r w:rsidRPr="00EF3C6A">
        <w:t xml:space="preserve">The submission was made under </w:t>
      </w:r>
      <w:r w:rsidR="00AC626E" w:rsidRPr="00EF3C6A">
        <w:t xml:space="preserve">the </w:t>
      </w:r>
      <w:r w:rsidRPr="00EF3C6A">
        <w:t xml:space="preserve">TGA/PBAC Parallel Process. At the time of </w:t>
      </w:r>
      <w:r w:rsidR="00C465FD">
        <w:t>PBAC</w:t>
      </w:r>
      <w:r w:rsidR="00A73B23" w:rsidRPr="00EF3C6A">
        <w:t xml:space="preserve"> </w:t>
      </w:r>
      <w:r w:rsidR="008D6289" w:rsidRPr="00EF3C6A">
        <w:t>consideration</w:t>
      </w:r>
      <w:r w:rsidR="00A73B23" w:rsidRPr="00EF3C6A">
        <w:t xml:space="preserve">, the </w:t>
      </w:r>
      <w:r w:rsidR="00C465FD">
        <w:t>TGA approval letter was available</w:t>
      </w:r>
      <w:r w:rsidR="007C5DD8">
        <w:t xml:space="preserve"> which stated that </w:t>
      </w:r>
      <w:r w:rsidR="00C465FD">
        <w:t>the Delegate</w:t>
      </w:r>
      <w:r w:rsidR="007C5DD8">
        <w:t xml:space="preserve"> has decided</w:t>
      </w:r>
      <w:r w:rsidR="00C465FD">
        <w:t xml:space="preserve"> to approve the registration of nivolumab for: “nivolumab, in combination with </w:t>
      </w:r>
      <w:proofErr w:type="spellStart"/>
      <w:r w:rsidR="00C465FD">
        <w:t>ipilimumab</w:t>
      </w:r>
      <w:proofErr w:type="spellEnd"/>
      <w:r w:rsidR="00C465FD">
        <w:t>, is indicated for the treatment of patients with intermediate/poor-risk, previously untreated advanced renal cell carcinoma. Nivolumab, as monotherapy, is indicated for the treatment of patients with advanced clear cell renal cell carcinoma after prior anti-angiogenic therapy.”</w:t>
      </w:r>
    </w:p>
    <w:p w:rsidR="00AE0033" w:rsidRPr="00EF3C6A" w:rsidRDefault="00AE0033" w:rsidP="00C465FD">
      <w:pPr>
        <w:pStyle w:val="ListParagraph"/>
        <w:widowControl/>
        <w:numPr>
          <w:ilvl w:val="1"/>
          <w:numId w:val="3"/>
        </w:numPr>
      </w:pPr>
      <w:r>
        <w:t xml:space="preserve">The PBAC also noted that </w:t>
      </w:r>
      <w:r w:rsidR="007C5DD8">
        <w:t xml:space="preserve">there were ongoing trials for </w:t>
      </w:r>
      <w:r>
        <w:t xml:space="preserve">a range of other regimens for the first-line treatment of RCC, including </w:t>
      </w:r>
      <w:r w:rsidR="0080479A">
        <w:t xml:space="preserve">single-agent </w:t>
      </w:r>
      <w:r>
        <w:t>pembrolizumab</w:t>
      </w:r>
      <w:r w:rsidR="0080479A">
        <w:t>, pembrolizumab in combination with</w:t>
      </w:r>
      <w:r>
        <w:t xml:space="preserve"> other therapies, </w:t>
      </w:r>
      <w:proofErr w:type="spellStart"/>
      <w:r w:rsidRPr="00AE0033">
        <w:t>avelumab</w:t>
      </w:r>
      <w:proofErr w:type="spellEnd"/>
      <w:r w:rsidRPr="00AE0033">
        <w:t xml:space="preserve"> + </w:t>
      </w:r>
      <w:proofErr w:type="spellStart"/>
      <w:r w:rsidRPr="00AE0033">
        <w:t>axitinib</w:t>
      </w:r>
      <w:proofErr w:type="spellEnd"/>
      <w:r w:rsidR="0080479A">
        <w:t>,</w:t>
      </w:r>
      <w:r>
        <w:t xml:space="preserve"> and</w:t>
      </w:r>
      <w:r w:rsidRPr="00AE0033">
        <w:t xml:space="preserve"> nivolumab + cabozantinib</w:t>
      </w:r>
      <w:r>
        <w:t xml:space="preserve">. </w:t>
      </w:r>
    </w:p>
    <w:p w:rsidR="001F294C" w:rsidRPr="006068C2" w:rsidRDefault="001F294C" w:rsidP="00160ED7">
      <w:pPr>
        <w:widowControl/>
        <w:spacing w:before="240" w:after="120"/>
        <w:rPr>
          <w:b/>
          <w:i/>
          <w:sz w:val="28"/>
          <w:szCs w:val="28"/>
        </w:rPr>
      </w:pPr>
      <w:r w:rsidRPr="006068C2">
        <w:rPr>
          <w:b/>
          <w:i/>
          <w:sz w:val="28"/>
          <w:szCs w:val="28"/>
        </w:rPr>
        <w:t>Previous PBAC consideration</w:t>
      </w:r>
    </w:p>
    <w:p w:rsidR="001F294C" w:rsidRPr="00EF3C6A" w:rsidRDefault="001F294C" w:rsidP="001F294C">
      <w:pPr>
        <w:pStyle w:val="ListParagraph"/>
        <w:widowControl/>
        <w:numPr>
          <w:ilvl w:val="1"/>
          <w:numId w:val="3"/>
        </w:numPr>
      </w:pPr>
      <w:r w:rsidRPr="00EF3C6A">
        <w:t xml:space="preserve">This was the first submission to </w:t>
      </w:r>
      <w:r w:rsidR="007F150A" w:rsidRPr="00EF3C6A">
        <w:t xml:space="preserve">the </w:t>
      </w:r>
      <w:r w:rsidRPr="00EF3C6A">
        <w:t xml:space="preserve">PBAC for NIVO+IPI for the treatment of Stage IV clear cell variant RCC. </w:t>
      </w:r>
    </w:p>
    <w:p w:rsidR="001F294C" w:rsidRPr="00EF3C6A" w:rsidRDefault="001F294C" w:rsidP="00160ED7">
      <w:pPr>
        <w:pStyle w:val="ListParagraph"/>
        <w:widowControl/>
        <w:numPr>
          <w:ilvl w:val="1"/>
          <w:numId w:val="3"/>
        </w:numPr>
        <w:spacing w:before="240" w:after="120"/>
      </w:pPr>
      <w:r w:rsidRPr="00EF3C6A">
        <w:t xml:space="preserve">There was a concurrent submission for </w:t>
      </w:r>
      <w:r w:rsidR="00D516D9" w:rsidRPr="00EF3C6A">
        <w:t xml:space="preserve">consideration at the July 2018 PBAC meeting for </w:t>
      </w:r>
      <w:r w:rsidRPr="00EF3C6A">
        <w:t>NIVO+IPI for the treatment of metastatic melanoma.</w:t>
      </w:r>
    </w:p>
    <w:p w:rsidR="001F294C" w:rsidRPr="00EF3C6A" w:rsidRDefault="001F294C" w:rsidP="001F294C">
      <w:pPr>
        <w:pStyle w:val="PBACHeading1"/>
        <w:keepNext/>
        <w:keepLines/>
        <w:spacing w:before="240" w:after="120"/>
        <w:outlineLvl w:val="0"/>
      </w:pPr>
      <w:bookmarkStart w:id="3" w:name="_Toc514248483"/>
      <w:r w:rsidRPr="00EF3C6A">
        <w:t>Population and disease</w:t>
      </w:r>
      <w:bookmarkEnd w:id="3"/>
    </w:p>
    <w:p w:rsidR="001F294C" w:rsidRPr="00EF3C6A" w:rsidRDefault="001F294C" w:rsidP="001F294C">
      <w:pPr>
        <w:pStyle w:val="ListParagraph"/>
        <w:widowControl/>
        <w:numPr>
          <w:ilvl w:val="1"/>
          <w:numId w:val="3"/>
        </w:numPr>
      </w:pPr>
      <w:r w:rsidRPr="00EF3C6A">
        <w:t>Renal cell carcinoma (RCC) is a form of kidney cancer that arises from the cells of the renal tubule, and accounts for up to 90% of primary renal neoplasms</w:t>
      </w:r>
      <w:r w:rsidRPr="00EF3C6A">
        <w:rPr>
          <w:rStyle w:val="FootnoteReference"/>
        </w:rPr>
        <w:footnoteReference w:id="2"/>
      </w:r>
      <w:r w:rsidRPr="00EF3C6A">
        <w:t>. Clear cell variants accounts for 70-80% of all RCC cases</w:t>
      </w:r>
      <w:r w:rsidRPr="00EF3C6A">
        <w:rPr>
          <w:rStyle w:val="FootnoteReference"/>
        </w:rPr>
        <w:footnoteReference w:id="3"/>
      </w:r>
      <w:r w:rsidRPr="00EF3C6A">
        <w:t>. For patients with treatment naïve metastatic RCC, their prognos</w:t>
      </w:r>
      <w:r w:rsidR="0096088E" w:rsidRPr="00EF3C6A">
        <w:t>is</w:t>
      </w:r>
      <w:r w:rsidRPr="00EF3C6A">
        <w:t xml:space="preserve"> can be categorised as favourable, intermediate or poor based on </w:t>
      </w:r>
      <w:r w:rsidR="00A10DC0" w:rsidRPr="00EF3C6A">
        <w:t xml:space="preserve">the </w:t>
      </w:r>
      <w:r w:rsidRPr="00EF3C6A">
        <w:t>IMDC or MSKCC system</w:t>
      </w:r>
      <w:r w:rsidR="007F150A" w:rsidRPr="00EF3C6A">
        <w:t>s</w:t>
      </w:r>
      <w:r w:rsidRPr="00EF3C6A">
        <w:t>.</w:t>
      </w:r>
    </w:p>
    <w:p w:rsidR="001F294C" w:rsidRPr="00EF3C6A" w:rsidRDefault="001F294C" w:rsidP="001F294C">
      <w:pPr>
        <w:pStyle w:val="ListParagraph"/>
        <w:widowControl/>
        <w:numPr>
          <w:ilvl w:val="1"/>
          <w:numId w:val="3"/>
        </w:numPr>
      </w:pPr>
      <w:r w:rsidRPr="00EF3C6A">
        <w:t xml:space="preserve">The life expectancy for intermediate and poor risk </w:t>
      </w:r>
      <w:r w:rsidR="00014F27" w:rsidRPr="00EF3C6A">
        <w:t>patients</w:t>
      </w:r>
      <w:r w:rsidRPr="00EF3C6A">
        <w:t xml:space="preserve"> is generally short (22.5</w:t>
      </w:r>
      <w:r w:rsidR="004E2B0F" w:rsidRPr="00EF3C6A">
        <w:t xml:space="preserve"> months</w:t>
      </w:r>
      <w:r w:rsidRPr="00EF3C6A">
        <w:t xml:space="preserve"> </w:t>
      </w:r>
      <w:r w:rsidR="004E2B0F" w:rsidRPr="00EF3C6A">
        <w:t>and</w:t>
      </w:r>
      <w:r w:rsidRPr="00EF3C6A">
        <w:t xml:space="preserve"> 7.8 months </w:t>
      </w:r>
      <w:r w:rsidR="004E2B0F" w:rsidRPr="00EF3C6A">
        <w:t>respectively</w:t>
      </w:r>
      <w:r w:rsidR="00E02243" w:rsidRPr="00EF3C6A">
        <w:t>)</w:t>
      </w:r>
      <w:r w:rsidRPr="00EF3C6A">
        <w:rPr>
          <w:rStyle w:val="FootnoteReference"/>
        </w:rPr>
        <w:footnoteReference w:id="4"/>
      </w:r>
      <w:r w:rsidRPr="00EF3C6A">
        <w:t xml:space="preserve">. NIVO+IPI was proposed as a first line treatment </w:t>
      </w:r>
      <w:r w:rsidRPr="00EF3C6A">
        <w:lastRenderedPageBreak/>
        <w:t>for patients with clear cell variant RCC whose prognos</w:t>
      </w:r>
      <w:r w:rsidR="00C02D72" w:rsidRPr="00EF3C6A">
        <w:t>is</w:t>
      </w:r>
      <w:r w:rsidRPr="00EF3C6A">
        <w:t xml:space="preserve"> was categorised as intermediate to poor based on IMDC. </w:t>
      </w:r>
    </w:p>
    <w:p w:rsidR="001F294C" w:rsidRPr="00EF3C6A" w:rsidRDefault="001F294C" w:rsidP="001F294C">
      <w:pPr>
        <w:pStyle w:val="PBACHeading1"/>
        <w:keepNext/>
        <w:keepLines/>
        <w:spacing w:before="240" w:after="120"/>
        <w:outlineLvl w:val="0"/>
      </w:pPr>
      <w:bookmarkStart w:id="4" w:name="_Toc514248484"/>
      <w:r w:rsidRPr="00EF3C6A">
        <w:t>Comparator</w:t>
      </w:r>
      <w:bookmarkEnd w:id="4"/>
    </w:p>
    <w:p w:rsidR="0005134A" w:rsidRPr="00EF3C6A" w:rsidRDefault="001F294C" w:rsidP="00F063A3">
      <w:pPr>
        <w:pStyle w:val="ListParagraph"/>
        <w:widowControl/>
        <w:numPr>
          <w:ilvl w:val="1"/>
          <w:numId w:val="3"/>
        </w:numPr>
      </w:pPr>
      <w:r w:rsidRPr="00EF3C6A">
        <w:t xml:space="preserve">The submission nominated </w:t>
      </w:r>
      <w:proofErr w:type="spellStart"/>
      <w:r w:rsidRPr="00EF3C6A">
        <w:t>sunitinib</w:t>
      </w:r>
      <w:proofErr w:type="spellEnd"/>
      <w:r w:rsidRPr="00EF3C6A">
        <w:t xml:space="preserve"> as the main comparator.</w:t>
      </w:r>
      <w:r w:rsidR="00B941B7" w:rsidRPr="00EF3C6A">
        <w:t xml:space="preserve"> </w:t>
      </w:r>
      <w:r w:rsidR="008E7534" w:rsidRPr="00EF3C6A">
        <w:t xml:space="preserve">The submission argued that </w:t>
      </w:r>
      <w:proofErr w:type="spellStart"/>
      <w:r w:rsidR="008E7534" w:rsidRPr="00EF3C6A">
        <w:t>sunitinib</w:t>
      </w:r>
      <w:proofErr w:type="spellEnd"/>
      <w:r w:rsidR="008E7534" w:rsidRPr="00EF3C6A">
        <w:t xml:space="preserve"> was the standard of care for patients with Stage IV RCC who are capable of receiving systemic first-line treatment.</w:t>
      </w:r>
      <w:r w:rsidR="00F063A3" w:rsidRPr="00EF3C6A">
        <w:t xml:space="preserve"> The submission further argued that </w:t>
      </w:r>
      <w:proofErr w:type="spellStart"/>
      <w:r w:rsidR="00F063A3" w:rsidRPr="00EF3C6A">
        <w:t>sunitinib</w:t>
      </w:r>
      <w:proofErr w:type="spellEnd"/>
      <w:r w:rsidR="00F063A3" w:rsidRPr="00EF3C6A">
        <w:t xml:space="preserve"> was the first PBS-listed targeted therapy for the treatment of Stage IV, clear cell variant RCC, with </w:t>
      </w:r>
      <w:proofErr w:type="spellStart"/>
      <w:r w:rsidR="00F063A3" w:rsidRPr="00EF3C6A">
        <w:t>pazopanib</w:t>
      </w:r>
      <w:proofErr w:type="spellEnd"/>
      <w:r w:rsidR="00F063A3" w:rsidRPr="00EF3C6A">
        <w:t xml:space="preserve"> listed on a cost-minimisation basis to </w:t>
      </w:r>
      <w:proofErr w:type="spellStart"/>
      <w:r w:rsidR="00F063A3" w:rsidRPr="00EF3C6A">
        <w:t>sunitinib</w:t>
      </w:r>
      <w:proofErr w:type="spellEnd"/>
      <w:r w:rsidR="00F063A3" w:rsidRPr="00EF3C6A">
        <w:t xml:space="preserve"> in the first-line setting.</w:t>
      </w:r>
    </w:p>
    <w:p w:rsidR="005D6C9F" w:rsidRPr="00EF3C6A" w:rsidRDefault="001F294C" w:rsidP="00A35D2B">
      <w:pPr>
        <w:pStyle w:val="ListParagraph"/>
        <w:widowControl/>
        <w:numPr>
          <w:ilvl w:val="1"/>
          <w:numId w:val="3"/>
        </w:numPr>
      </w:pPr>
      <w:proofErr w:type="spellStart"/>
      <w:r w:rsidRPr="00EF3C6A">
        <w:t>Sunitinib</w:t>
      </w:r>
      <w:proofErr w:type="spellEnd"/>
      <w:r w:rsidRPr="00EF3C6A">
        <w:t xml:space="preserve"> is currently listed on the PBS as a first line treatment for RCC patients whose prognos</w:t>
      </w:r>
      <w:r w:rsidR="00B20E38" w:rsidRPr="00EF3C6A">
        <w:t>is</w:t>
      </w:r>
      <w:r w:rsidRPr="00EF3C6A">
        <w:t xml:space="preserve"> was categorised as </w:t>
      </w:r>
      <w:r w:rsidRPr="00EF3C6A">
        <w:rPr>
          <w:u w:val="single"/>
        </w:rPr>
        <w:t>favourable to intermediate</w:t>
      </w:r>
      <w:r w:rsidR="008E7534" w:rsidRPr="00EF3C6A">
        <w:t>. However, the</w:t>
      </w:r>
      <w:r w:rsidR="00C55301" w:rsidRPr="00EF3C6A">
        <w:t xml:space="preserve"> proposed restriction for NIVO+IPI </w:t>
      </w:r>
      <w:r w:rsidR="008E7534" w:rsidRPr="00EF3C6A">
        <w:t>is</w:t>
      </w:r>
      <w:r w:rsidR="00C55301" w:rsidRPr="00EF3C6A">
        <w:t xml:space="preserve"> for patients at </w:t>
      </w:r>
      <w:r w:rsidR="00C55301" w:rsidRPr="00EF3C6A">
        <w:rPr>
          <w:u w:val="single"/>
        </w:rPr>
        <w:t>intermediate to poor risk</w:t>
      </w:r>
      <w:r w:rsidR="00C55301" w:rsidRPr="00EF3C6A">
        <w:t xml:space="preserve"> </w:t>
      </w:r>
      <w:r w:rsidR="008E7534" w:rsidRPr="00EF3C6A">
        <w:t xml:space="preserve">(that is, </w:t>
      </w:r>
      <w:proofErr w:type="spellStart"/>
      <w:r w:rsidR="008E7534" w:rsidRPr="00EF3C6A">
        <w:t>s</w:t>
      </w:r>
      <w:r w:rsidRPr="00EF3C6A">
        <w:t>unitinib</w:t>
      </w:r>
      <w:proofErr w:type="spellEnd"/>
      <w:r w:rsidRPr="00EF3C6A">
        <w:t xml:space="preserve"> </w:t>
      </w:r>
      <w:r w:rsidR="00180950" w:rsidRPr="00EF3C6A">
        <w:t>is</w:t>
      </w:r>
      <w:r w:rsidRPr="00EF3C6A">
        <w:t xml:space="preserve"> not </w:t>
      </w:r>
      <w:r w:rsidR="008E7534" w:rsidRPr="00EF3C6A">
        <w:t>PBS-</w:t>
      </w:r>
      <w:r w:rsidRPr="00EF3C6A">
        <w:t xml:space="preserve">listed </w:t>
      </w:r>
      <w:r w:rsidR="008E7534" w:rsidRPr="00EF3C6A">
        <w:t xml:space="preserve">for </w:t>
      </w:r>
      <w:r w:rsidRPr="00EF3C6A">
        <w:t xml:space="preserve">patients </w:t>
      </w:r>
      <w:r w:rsidR="00180950" w:rsidRPr="00EF3C6A">
        <w:t>a</w:t>
      </w:r>
      <w:r w:rsidR="00AF77C2" w:rsidRPr="00EF3C6A">
        <w:t>t</w:t>
      </w:r>
      <w:r w:rsidR="00180950" w:rsidRPr="00EF3C6A">
        <w:t xml:space="preserve"> </w:t>
      </w:r>
      <w:r w:rsidRPr="00EF3C6A">
        <w:t>poor prognos</w:t>
      </w:r>
      <w:r w:rsidR="00AF77C2" w:rsidRPr="00EF3C6A">
        <w:t>t</w:t>
      </w:r>
      <w:r w:rsidR="00180950" w:rsidRPr="00EF3C6A">
        <w:t>i</w:t>
      </w:r>
      <w:r w:rsidR="00AF77C2" w:rsidRPr="00EF3C6A">
        <w:t>c risk</w:t>
      </w:r>
      <w:r w:rsidR="008E7534" w:rsidRPr="00EF3C6A">
        <w:t>)</w:t>
      </w:r>
      <w:r w:rsidRPr="00EF3C6A">
        <w:t xml:space="preserve">. </w:t>
      </w:r>
    </w:p>
    <w:p w:rsidR="001648D0" w:rsidRPr="00EF3C6A" w:rsidRDefault="005D6C9F" w:rsidP="008E7534">
      <w:pPr>
        <w:pStyle w:val="ListParagraph"/>
        <w:widowControl/>
        <w:numPr>
          <w:ilvl w:val="1"/>
          <w:numId w:val="3"/>
        </w:numPr>
      </w:pPr>
      <w:r w:rsidRPr="00EF3C6A">
        <w:t xml:space="preserve">The submission and the PSCR argued that, in clinical practice, the majority of patients </w:t>
      </w:r>
      <w:r w:rsidR="003042B8" w:rsidRPr="00EF3C6A">
        <w:t>at poor risk</w:t>
      </w:r>
      <w:r w:rsidR="00A55483" w:rsidRPr="00EF3C6A">
        <w:t xml:space="preserve"> who are capable of receiving systemic treatment </w:t>
      </w:r>
      <w:r w:rsidR="007531E8" w:rsidRPr="00EF3C6A">
        <w:t xml:space="preserve">currently </w:t>
      </w:r>
      <w:r w:rsidRPr="00EF3C6A">
        <w:t xml:space="preserve">receive </w:t>
      </w:r>
      <w:proofErr w:type="spellStart"/>
      <w:r w:rsidRPr="00EF3C6A">
        <w:t>sunitinib</w:t>
      </w:r>
      <w:proofErr w:type="spellEnd"/>
      <w:r w:rsidRPr="00EF3C6A">
        <w:t xml:space="preserve"> </w:t>
      </w:r>
      <w:r w:rsidR="00A55483" w:rsidRPr="00EF3C6A">
        <w:t xml:space="preserve">(or </w:t>
      </w:r>
      <w:proofErr w:type="spellStart"/>
      <w:r w:rsidR="00A55483" w:rsidRPr="00EF3C6A">
        <w:t>pazopanib</w:t>
      </w:r>
      <w:proofErr w:type="spellEnd"/>
      <w:r w:rsidR="00A55483" w:rsidRPr="00EF3C6A">
        <w:t xml:space="preserve">), </w:t>
      </w:r>
      <w:r w:rsidRPr="00EF3C6A">
        <w:t xml:space="preserve">despite such use being outside the PBS restriction. </w:t>
      </w:r>
      <w:r w:rsidR="003042B8" w:rsidRPr="00EF3C6A">
        <w:t xml:space="preserve">The </w:t>
      </w:r>
      <w:r w:rsidRPr="00EF3C6A">
        <w:t xml:space="preserve">PSCR stated that a patterns of care analysis </w:t>
      </w:r>
      <w:r w:rsidR="00054EC6" w:rsidRPr="00EF3C6A">
        <w:t>of</w:t>
      </w:r>
      <w:r w:rsidRPr="00EF3C6A">
        <w:t xml:space="preserve"> </w:t>
      </w:r>
      <w:r w:rsidR="008E7534" w:rsidRPr="00EF3C6A">
        <w:t xml:space="preserve">patients with </w:t>
      </w:r>
      <w:r w:rsidRPr="00EF3C6A">
        <w:t>RCC in Australia (Day 2015) indicated that the majority of poor risk patients (18</w:t>
      </w:r>
      <w:r w:rsidR="00513844" w:rsidRPr="00EF3C6A">
        <w:t xml:space="preserve">/28, 64.3%) received </w:t>
      </w:r>
      <w:proofErr w:type="spellStart"/>
      <w:r w:rsidR="00513844" w:rsidRPr="00EF3C6A">
        <w:t>sunitinib</w:t>
      </w:r>
      <w:proofErr w:type="spellEnd"/>
      <w:r w:rsidRPr="00EF3C6A">
        <w:t>.</w:t>
      </w:r>
      <w:r w:rsidR="001715DD" w:rsidRPr="00EF3C6A">
        <w:t xml:space="preserve"> </w:t>
      </w:r>
      <w:r w:rsidR="001648D0" w:rsidRPr="00EF3C6A">
        <w:t xml:space="preserve">Further, the PSCR stated that </w:t>
      </w:r>
      <w:r w:rsidR="007531E8" w:rsidRPr="00EF3C6A">
        <w:t>an advisory panel of local oncologists</w:t>
      </w:r>
      <w:r w:rsidR="007F150A" w:rsidRPr="00EF3C6A">
        <w:t xml:space="preserve"> (n = 12)</w:t>
      </w:r>
      <w:r w:rsidR="007531E8" w:rsidRPr="00EF3C6A">
        <w:t xml:space="preserve"> indicated that </w:t>
      </w:r>
      <w:proofErr w:type="spellStart"/>
      <w:r w:rsidR="00A55483" w:rsidRPr="00EF3C6A">
        <w:t>sunitin</w:t>
      </w:r>
      <w:r w:rsidR="007531E8" w:rsidRPr="00EF3C6A">
        <w:t>i</w:t>
      </w:r>
      <w:r w:rsidR="00A55483" w:rsidRPr="00EF3C6A">
        <w:t>b</w:t>
      </w:r>
      <w:proofErr w:type="spellEnd"/>
      <w:r w:rsidR="001648D0" w:rsidRPr="00EF3C6A">
        <w:t xml:space="preserve"> was </w:t>
      </w:r>
      <w:r w:rsidR="007531E8" w:rsidRPr="00EF3C6A">
        <w:t xml:space="preserve">used </w:t>
      </w:r>
      <w:r w:rsidR="008E7534" w:rsidRPr="00EF3C6A">
        <w:t xml:space="preserve">irrespective of prognostic risk </w:t>
      </w:r>
      <w:r w:rsidR="007531E8" w:rsidRPr="00EF3C6A">
        <w:t>in clinical practice.</w:t>
      </w:r>
      <w:r w:rsidR="00A55483" w:rsidRPr="00EF3C6A">
        <w:t xml:space="preserve"> </w:t>
      </w:r>
      <w:r w:rsidR="001648D0" w:rsidRPr="00EF3C6A">
        <w:t xml:space="preserve"> </w:t>
      </w:r>
    </w:p>
    <w:p w:rsidR="003042B8" w:rsidRPr="00EF3C6A" w:rsidRDefault="00AC7142" w:rsidP="00A35D2B">
      <w:pPr>
        <w:pStyle w:val="ListParagraph"/>
        <w:widowControl/>
        <w:numPr>
          <w:ilvl w:val="1"/>
          <w:numId w:val="3"/>
        </w:numPr>
      </w:pPr>
      <w:r w:rsidRPr="00EF3C6A">
        <w:t xml:space="preserve">The submission stated that </w:t>
      </w:r>
      <w:r w:rsidR="00F063A3" w:rsidRPr="00EF3C6A">
        <w:t xml:space="preserve">patients at </w:t>
      </w:r>
      <w:r w:rsidR="00A35D2B" w:rsidRPr="00EF3C6A">
        <w:t xml:space="preserve">poor risk were </w:t>
      </w:r>
      <w:r w:rsidR="00F063A3" w:rsidRPr="00EF3C6A">
        <w:t xml:space="preserve">likely to have been </w:t>
      </w:r>
      <w:r w:rsidR="00A35D2B" w:rsidRPr="00EF3C6A">
        <w:t xml:space="preserve">excluded from the </w:t>
      </w:r>
      <w:proofErr w:type="spellStart"/>
      <w:r w:rsidR="00A35D2B" w:rsidRPr="00EF3C6A">
        <w:t>sunitinib</w:t>
      </w:r>
      <w:proofErr w:type="spellEnd"/>
      <w:r w:rsidR="007368CA" w:rsidRPr="00EF3C6A">
        <w:t xml:space="preserve"> </w:t>
      </w:r>
      <w:r w:rsidR="007F150A" w:rsidRPr="00EF3C6A">
        <w:t xml:space="preserve">PBS restriction </w:t>
      </w:r>
      <w:r w:rsidR="00F063A3" w:rsidRPr="00EF3C6A">
        <w:t>due to a</w:t>
      </w:r>
      <w:r w:rsidR="00A35D2B" w:rsidRPr="00EF3C6A">
        <w:t xml:space="preserve"> lack of evidence to demonstrate a superior treatment effect </w:t>
      </w:r>
      <w:r w:rsidR="00F063A3" w:rsidRPr="00EF3C6A">
        <w:t>versus</w:t>
      </w:r>
      <w:r w:rsidR="00A35D2B" w:rsidRPr="00EF3C6A">
        <w:t xml:space="preserve"> interferon-α</w:t>
      </w:r>
      <w:r w:rsidR="00F063A3" w:rsidRPr="00EF3C6A">
        <w:t xml:space="preserve"> </w:t>
      </w:r>
      <w:r w:rsidR="007368CA" w:rsidRPr="00EF3C6A">
        <w:t xml:space="preserve">in this population </w:t>
      </w:r>
      <w:r w:rsidR="00F063A3" w:rsidRPr="00EF3C6A">
        <w:t xml:space="preserve">at the time of the PBAC consideration for </w:t>
      </w:r>
      <w:proofErr w:type="spellStart"/>
      <w:r w:rsidR="00F063A3" w:rsidRPr="00EF3C6A">
        <w:t>sunitinib</w:t>
      </w:r>
      <w:proofErr w:type="spellEnd"/>
      <w:r w:rsidR="00A35D2B" w:rsidRPr="00EF3C6A">
        <w:t xml:space="preserve">. </w:t>
      </w:r>
    </w:p>
    <w:p w:rsidR="00A35D2B" w:rsidRPr="00EF3C6A" w:rsidRDefault="007368CA" w:rsidP="00A35D2B">
      <w:pPr>
        <w:pStyle w:val="ListParagraph"/>
        <w:widowControl/>
        <w:numPr>
          <w:ilvl w:val="1"/>
          <w:numId w:val="3"/>
        </w:numPr>
      </w:pPr>
      <w:r w:rsidRPr="00EF3C6A">
        <w:t>Overall, t</w:t>
      </w:r>
      <w:r w:rsidR="003042B8" w:rsidRPr="00EF3C6A">
        <w:t xml:space="preserve">he evaluation considered that </w:t>
      </w:r>
      <w:proofErr w:type="spellStart"/>
      <w:r w:rsidR="003042B8" w:rsidRPr="00EF3C6A">
        <w:t>sunitinib</w:t>
      </w:r>
      <w:proofErr w:type="spellEnd"/>
      <w:r w:rsidR="003042B8" w:rsidRPr="00EF3C6A">
        <w:t xml:space="preserve"> may not be an appropriate comparator for the patients with poor prognos</w:t>
      </w:r>
      <w:r w:rsidRPr="00EF3C6A">
        <w:t>t</w:t>
      </w:r>
      <w:r w:rsidR="003042B8" w:rsidRPr="00EF3C6A">
        <w:t>i</w:t>
      </w:r>
      <w:r w:rsidRPr="00EF3C6A">
        <w:t xml:space="preserve">c risk, and that best supportive care may have been a more appropriate comparator in </w:t>
      </w:r>
      <w:r w:rsidR="00AF77C2" w:rsidRPr="00EF3C6A">
        <w:t>this population</w:t>
      </w:r>
      <w:r w:rsidRPr="00EF3C6A">
        <w:t xml:space="preserve"> </w:t>
      </w:r>
      <w:r w:rsidR="00220B7B" w:rsidRPr="00EF3C6A">
        <w:t>in the absence of any</w:t>
      </w:r>
      <w:r w:rsidRPr="00EF3C6A">
        <w:t xml:space="preserve"> PBS-listed medicines.</w:t>
      </w:r>
      <w:r w:rsidR="003E431D" w:rsidRPr="00EF3C6A">
        <w:t xml:space="preserve"> </w:t>
      </w:r>
      <w:r w:rsidR="00AF77C2" w:rsidRPr="00EF3C6A">
        <w:t xml:space="preserve">The </w:t>
      </w:r>
      <w:r w:rsidR="00963346">
        <w:t xml:space="preserve">evaluation considered that the </w:t>
      </w:r>
      <w:r w:rsidR="00A35D2B" w:rsidRPr="00EF3C6A">
        <w:t>effectiveness and cost-effectiveness of NIVO+IPI compared with a potentially cost-ineffective treatment (</w:t>
      </w:r>
      <w:proofErr w:type="spellStart"/>
      <w:r w:rsidR="00A35D2B" w:rsidRPr="00EF3C6A">
        <w:t>sunitinib</w:t>
      </w:r>
      <w:proofErr w:type="spellEnd"/>
      <w:r w:rsidR="00A35D2B" w:rsidRPr="00EF3C6A">
        <w:t xml:space="preserve">) in patients with a poor prognosis </w:t>
      </w:r>
      <w:r w:rsidR="003042B8" w:rsidRPr="00EF3C6A">
        <w:t>wa</w:t>
      </w:r>
      <w:r w:rsidR="00A35D2B" w:rsidRPr="00EF3C6A">
        <w:t xml:space="preserve">s likely to favour NIVO+IPI. </w:t>
      </w:r>
    </w:p>
    <w:p w:rsidR="003E431D" w:rsidRPr="00EF3C6A" w:rsidRDefault="003E431D" w:rsidP="00A35D2B">
      <w:pPr>
        <w:pStyle w:val="ListParagraph"/>
        <w:widowControl/>
        <w:numPr>
          <w:ilvl w:val="1"/>
          <w:numId w:val="3"/>
        </w:numPr>
      </w:pPr>
      <w:r w:rsidRPr="00EF3C6A">
        <w:t xml:space="preserve">The PSCR argued that </w:t>
      </w:r>
      <w:r w:rsidR="00220B7B" w:rsidRPr="00EF3C6A">
        <w:t>the clinical effectiveness and cost</w:t>
      </w:r>
      <w:r w:rsidR="00220B7B" w:rsidRPr="00EF3C6A">
        <w:noBreakHyphen/>
        <w:t xml:space="preserve">effectiveness of </w:t>
      </w:r>
      <w:proofErr w:type="spellStart"/>
      <w:r w:rsidR="00220B7B" w:rsidRPr="00EF3C6A">
        <w:t>sunitinib</w:t>
      </w:r>
      <w:proofErr w:type="spellEnd"/>
      <w:r w:rsidR="00220B7B" w:rsidRPr="00EF3C6A">
        <w:t xml:space="preserve"> were “unclear” </w:t>
      </w:r>
      <w:r w:rsidR="00054EC6" w:rsidRPr="00EF3C6A">
        <w:t xml:space="preserve">in patients with a poor prognosis </w:t>
      </w:r>
      <w:r w:rsidR="00220B7B" w:rsidRPr="00EF3C6A">
        <w:t xml:space="preserve">as </w:t>
      </w:r>
      <w:r w:rsidRPr="00EF3C6A">
        <w:t xml:space="preserve">the PBAC has not made any conclusion regarding </w:t>
      </w:r>
      <w:proofErr w:type="spellStart"/>
      <w:r w:rsidRPr="00EF3C6A">
        <w:t>sunitinib</w:t>
      </w:r>
      <w:proofErr w:type="spellEnd"/>
      <w:r w:rsidRPr="00EF3C6A">
        <w:t xml:space="preserve"> </w:t>
      </w:r>
      <w:r w:rsidR="00054EC6" w:rsidRPr="00EF3C6A">
        <w:t>in this setting</w:t>
      </w:r>
      <w:r w:rsidR="001648D0" w:rsidRPr="00EF3C6A">
        <w:t>.</w:t>
      </w:r>
    </w:p>
    <w:p w:rsidR="00AD3DE1" w:rsidRDefault="00AD3DE1" w:rsidP="00AD3DE1">
      <w:pPr>
        <w:pStyle w:val="ListParagraph"/>
        <w:widowControl/>
        <w:numPr>
          <w:ilvl w:val="1"/>
          <w:numId w:val="3"/>
        </w:numPr>
      </w:pPr>
      <w:r w:rsidRPr="00EF3C6A">
        <w:t xml:space="preserve">The ESC </w:t>
      </w:r>
      <w:r w:rsidR="00963346">
        <w:t xml:space="preserve">and the PBAC </w:t>
      </w:r>
      <w:r w:rsidR="00607233" w:rsidRPr="00EF3C6A">
        <w:t>considere</w:t>
      </w:r>
      <w:r w:rsidRPr="00EF3C6A">
        <w:t xml:space="preserve">d that in clinical practice, many patients with a poor prognostic </w:t>
      </w:r>
      <w:r w:rsidR="00607233" w:rsidRPr="00EF3C6A">
        <w:t xml:space="preserve">risk </w:t>
      </w:r>
      <w:r w:rsidRPr="00EF3C6A">
        <w:t xml:space="preserve">who are capable of receiving systemic treatment will currently receive </w:t>
      </w:r>
      <w:proofErr w:type="spellStart"/>
      <w:r w:rsidRPr="00EF3C6A">
        <w:lastRenderedPageBreak/>
        <w:t>sunitinib</w:t>
      </w:r>
      <w:proofErr w:type="spellEnd"/>
      <w:r w:rsidRPr="00EF3C6A">
        <w:t>, despite such use being outside the PBS restriction. However</w:t>
      </w:r>
      <w:r w:rsidR="00607233" w:rsidRPr="00EF3C6A">
        <w:t>,</w:t>
      </w:r>
      <w:r w:rsidRPr="00EF3C6A">
        <w:t xml:space="preserve"> the ESC </w:t>
      </w:r>
      <w:r w:rsidR="007368CA" w:rsidRPr="00EF3C6A">
        <w:t>consider</w:t>
      </w:r>
      <w:r w:rsidRPr="00EF3C6A">
        <w:t xml:space="preserve">ed that the </w:t>
      </w:r>
      <w:r w:rsidR="00607233" w:rsidRPr="00EF3C6A">
        <w:t>clinical</w:t>
      </w:r>
      <w:r w:rsidRPr="00EF3C6A">
        <w:t xml:space="preserve"> eff</w:t>
      </w:r>
      <w:r w:rsidR="00607233" w:rsidRPr="00EF3C6A">
        <w:t xml:space="preserve">ectiveness </w:t>
      </w:r>
      <w:r w:rsidRPr="00EF3C6A">
        <w:t xml:space="preserve">and cost-effectiveness of </w:t>
      </w:r>
      <w:proofErr w:type="spellStart"/>
      <w:r w:rsidRPr="00EF3C6A">
        <w:t>sunitinib</w:t>
      </w:r>
      <w:proofErr w:type="spellEnd"/>
      <w:r w:rsidRPr="00EF3C6A">
        <w:t xml:space="preserve"> is unknown in this setting.</w:t>
      </w:r>
    </w:p>
    <w:p w:rsidR="00963346" w:rsidRDefault="00963346" w:rsidP="00AD3DE1">
      <w:pPr>
        <w:pStyle w:val="ListParagraph"/>
        <w:widowControl/>
        <w:numPr>
          <w:ilvl w:val="1"/>
          <w:numId w:val="3"/>
        </w:numPr>
      </w:pPr>
      <w:r>
        <w:t xml:space="preserve">The PBAC </w:t>
      </w:r>
      <w:r w:rsidRPr="00EF3C6A">
        <w:t xml:space="preserve">considered that in clinical practice, many patients with a poor prognostic risk who are capable of receiving systemic treatment will currently receive </w:t>
      </w:r>
      <w:proofErr w:type="spellStart"/>
      <w:r w:rsidRPr="00EF3C6A">
        <w:t>sunitinib</w:t>
      </w:r>
      <w:proofErr w:type="spellEnd"/>
      <w:r w:rsidRPr="00EF3C6A">
        <w:t>, despite such use being outside the PBS restriction.</w:t>
      </w:r>
      <w:r>
        <w:t xml:space="preserve"> The PBAC considered that </w:t>
      </w:r>
      <w:proofErr w:type="spellStart"/>
      <w:r>
        <w:t>sunitinib</w:t>
      </w:r>
      <w:proofErr w:type="spellEnd"/>
      <w:r>
        <w:t xml:space="preserve"> (and </w:t>
      </w:r>
      <w:proofErr w:type="spellStart"/>
      <w:r>
        <w:t>pazopanib</w:t>
      </w:r>
      <w:proofErr w:type="spellEnd"/>
      <w:r>
        <w:t>) was likely to be of limited efficacy in the poor prognostic risk population, but may be associated with significant toxicity.</w:t>
      </w:r>
    </w:p>
    <w:p w:rsidR="00EF3C6A" w:rsidRPr="00F90A91" w:rsidRDefault="00EF3C6A" w:rsidP="00EF3C6A">
      <w:pPr>
        <w:pStyle w:val="ListParagraph"/>
        <w:ind w:left="709"/>
        <w:rPr>
          <w:rFonts w:asciiTheme="minorHAnsi" w:hAnsiTheme="minorHAnsi"/>
          <w:i/>
        </w:rPr>
      </w:pPr>
      <w:r w:rsidRPr="00525B39">
        <w:rPr>
          <w:rFonts w:asciiTheme="minorHAnsi" w:hAnsiTheme="minorHAnsi"/>
          <w:i/>
        </w:rPr>
        <w:t>For more detail on PBAC’s view, see section 7 PBAC outcome.</w:t>
      </w:r>
    </w:p>
    <w:p w:rsidR="001F294C" w:rsidRPr="00EF3C6A" w:rsidRDefault="001F294C" w:rsidP="00160ED7">
      <w:pPr>
        <w:pStyle w:val="PBACHeading1"/>
        <w:keepNext/>
        <w:keepLines/>
        <w:spacing w:before="240" w:after="120"/>
        <w:outlineLvl w:val="0"/>
      </w:pPr>
      <w:bookmarkStart w:id="5" w:name="_Toc514248485"/>
      <w:r w:rsidRPr="00EF3C6A">
        <w:t>Consideration of the evidence</w:t>
      </w:r>
      <w:bookmarkEnd w:id="5"/>
    </w:p>
    <w:p w:rsidR="00EF3C6A" w:rsidRPr="006068C2" w:rsidRDefault="00EF3C6A" w:rsidP="00963346">
      <w:pPr>
        <w:spacing w:before="240" w:after="120" w:line="276" w:lineRule="auto"/>
        <w:outlineLvl w:val="1"/>
        <w:rPr>
          <w:rFonts w:asciiTheme="minorHAnsi" w:hAnsiTheme="minorHAnsi"/>
          <w:b/>
          <w:bCs/>
          <w:i/>
          <w:sz w:val="28"/>
          <w:szCs w:val="28"/>
        </w:rPr>
      </w:pPr>
      <w:r w:rsidRPr="006068C2">
        <w:rPr>
          <w:rFonts w:asciiTheme="minorHAnsi" w:hAnsiTheme="minorHAnsi"/>
          <w:b/>
          <w:bCs/>
          <w:i/>
          <w:sz w:val="28"/>
          <w:szCs w:val="28"/>
        </w:rPr>
        <w:t>Sponsor hearing</w:t>
      </w:r>
    </w:p>
    <w:p w:rsidR="00B37865" w:rsidRDefault="00EF3C6A" w:rsidP="00F842CA">
      <w:pPr>
        <w:widowControl/>
        <w:numPr>
          <w:ilvl w:val="1"/>
          <w:numId w:val="3"/>
        </w:numPr>
        <w:spacing w:after="120"/>
        <w:rPr>
          <w:rFonts w:asciiTheme="minorHAnsi" w:hAnsiTheme="minorHAnsi"/>
          <w:bCs/>
          <w:szCs w:val="24"/>
        </w:rPr>
      </w:pPr>
      <w:r w:rsidRPr="008D5620">
        <w:rPr>
          <w:rFonts w:asciiTheme="minorHAnsi" w:hAnsiTheme="minorHAnsi"/>
          <w:bCs/>
          <w:szCs w:val="24"/>
        </w:rPr>
        <w:t>The sponsor requested a hearing for this item. The clinician</w:t>
      </w:r>
      <w:r w:rsidR="009B7000" w:rsidRPr="008D5620">
        <w:rPr>
          <w:rFonts w:asciiTheme="minorHAnsi" w:hAnsiTheme="minorHAnsi"/>
          <w:bCs/>
          <w:szCs w:val="24"/>
        </w:rPr>
        <w:t xml:space="preserve"> </w:t>
      </w:r>
      <w:r w:rsidR="00BB60E7" w:rsidRPr="008D5620">
        <w:rPr>
          <w:rFonts w:asciiTheme="minorHAnsi" w:hAnsiTheme="minorHAnsi"/>
          <w:bCs/>
          <w:szCs w:val="24"/>
        </w:rPr>
        <w:t xml:space="preserve">outlined </w:t>
      </w:r>
      <w:r w:rsidR="001151EB" w:rsidRPr="008D5620">
        <w:rPr>
          <w:rFonts w:asciiTheme="minorHAnsi" w:hAnsiTheme="minorHAnsi"/>
          <w:bCs/>
          <w:szCs w:val="24"/>
        </w:rPr>
        <w:t xml:space="preserve">the importance of effective therapies in the first-line </w:t>
      </w:r>
      <w:r w:rsidR="000521C6">
        <w:rPr>
          <w:rFonts w:asciiTheme="minorHAnsi" w:hAnsiTheme="minorHAnsi"/>
          <w:bCs/>
          <w:szCs w:val="24"/>
        </w:rPr>
        <w:t xml:space="preserve">RCC </w:t>
      </w:r>
      <w:r w:rsidR="001151EB" w:rsidRPr="008D5620">
        <w:rPr>
          <w:rFonts w:asciiTheme="minorHAnsi" w:hAnsiTheme="minorHAnsi"/>
          <w:bCs/>
          <w:szCs w:val="24"/>
        </w:rPr>
        <w:t>treatment setting</w:t>
      </w:r>
      <w:r w:rsidR="008D5620" w:rsidRPr="008D5620">
        <w:rPr>
          <w:rFonts w:asciiTheme="minorHAnsi" w:hAnsiTheme="minorHAnsi"/>
          <w:bCs/>
          <w:szCs w:val="24"/>
        </w:rPr>
        <w:t xml:space="preserve">, </w:t>
      </w:r>
      <w:r w:rsidR="000521C6">
        <w:rPr>
          <w:rFonts w:asciiTheme="minorHAnsi" w:hAnsiTheme="minorHAnsi"/>
          <w:bCs/>
          <w:szCs w:val="24"/>
        </w:rPr>
        <w:t xml:space="preserve">and </w:t>
      </w:r>
      <w:r w:rsidR="008D5620" w:rsidRPr="008D5620">
        <w:rPr>
          <w:rFonts w:asciiTheme="minorHAnsi" w:hAnsiTheme="minorHAnsi"/>
          <w:bCs/>
          <w:szCs w:val="24"/>
        </w:rPr>
        <w:t>the clinical importan</w:t>
      </w:r>
      <w:r w:rsidR="000521C6">
        <w:rPr>
          <w:rFonts w:asciiTheme="minorHAnsi" w:hAnsiTheme="minorHAnsi"/>
          <w:bCs/>
          <w:szCs w:val="24"/>
        </w:rPr>
        <w:t>ce</w:t>
      </w:r>
      <w:r w:rsidR="008D5620" w:rsidRPr="008D5620">
        <w:rPr>
          <w:rFonts w:asciiTheme="minorHAnsi" w:hAnsiTheme="minorHAnsi"/>
          <w:bCs/>
          <w:szCs w:val="24"/>
        </w:rPr>
        <w:t xml:space="preserve"> of trial data </w:t>
      </w:r>
      <w:r w:rsidR="00B37865">
        <w:rPr>
          <w:rFonts w:asciiTheme="minorHAnsi" w:hAnsiTheme="minorHAnsi"/>
          <w:bCs/>
          <w:szCs w:val="24"/>
        </w:rPr>
        <w:t>showing</w:t>
      </w:r>
      <w:r w:rsidR="008D5620" w:rsidRPr="008D5620">
        <w:rPr>
          <w:rFonts w:asciiTheme="minorHAnsi" w:hAnsiTheme="minorHAnsi"/>
          <w:bCs/>
          <w:szCs w:val="24"/>
        </w:rPr>
        <w:t xml:space="preserve"> that 9% of </w:t>
      </w:r>
      <w:r w:rsidR="000521C6">
        <w:rPr>
          <w:rFonts w:asciiTheme="minorHAnsi" w:hAnsiTheme="minorHAnsi"/>
          <w:bCs/>
          <w:szCs w:val="24"/>
        </w:rPr>
        <w:t>patients achieve</w:t>
      </w:r>
      <w:r w:rsidR="00F7334A">
        <w:rPr>
          <w:rFonts w:asciiTheme="minorHAnsi" w:hAnsiTheme="minorHAnsi"/>
          <w:bCs/>
          <w:szCs w:val="24"/>
        </w:rPr>
        <w:t>d</w:t>
      </w:r>
      <w:r w:rsidR="008D5620" w:rsidRPr="008D5620">
        <w:rPr>
          <w:rFonts w:asciiTheme="minorHAnsi" w:hAnsiTheme="minorHAnsi"/>
          <w:bCs/>
          <w:szCs w:val="24"/>
        </w:rPr>
        <w:t xml:space="preserve"> a complete response </w:t>
      </w:r>
      <w:r w:rsidR="000521C6">
        <w:rPr>
          <w:rFonts w:asciiTheme="minorHAnsi" w:hAnsiTheme="minorHAnsi"/>
          <w:bCs/>
          <w:szCs w:val="24"/>
        </w:rPr>
        <w:t>with NIVO+IPI</w:t>
      </w:r>
      <w:r w:rsidR="00F842CA">
        <w:rPr>
          <w:rFonts w:asciiTheme="minorHAnsi" w:hAnsiTheme="minorHAnsi"/>
          <w:bCs/>
          <w:szCs w:val="24"/>
        </w:rPr>
        <w:t xml:space="preserve"> versus 1% with </w:t>
      </w:r>
      <w:proofErr w:type="spellStart"/>
      <w:r w:rsidR="00F842CA">
        <w:rPr>
          <w:rFonts w:asciiTheme="minorHAnsi" w:hAnsiTheme="minorHAnsi"/>
          <w:bCs/>
          <w:szCs w:val="24"/>
        </w:rPr>
        <w:t>sunitinib</w:t>
      </w:r>
      <w:proofErr w:type="spellEnd"/>
      <w:r w:rsidR="000521C6">
        <w:rPr>
          <w:rFonts w:asciiTheme="minorHAnsi" w:hAnsiTheme="minorHAnsi"/>
          <w:bCs/>
          <w:szCs w:val="24"/>
        </w:rPr>
        <w:t xml:space="preserve">. </w:t>
      </w:r>
    </w:p>
    <w:p w:rsidR="00EF3C6A" w:rsidRDefault="008D5620" w:rsidP="00B545D4">
      <w:pPr>
        <w:widowControl/>
        <w:numPr>
          <w:ilvl w:val="1"/>
          <w:numId w:val="3"/>
        </w:numPr>
        <w:spacing w:after="120"/>
        <w:rPr>
          <w:rFonts w:asciiTheme="minorHAnsi" w:hAnsiTheme="minorHAnsi"/>
          <w:bCs/>
          <w:szCs w:val="24"/>
        </w:rPr>
      </w:pPr>
      <w:r w:rsidRPr="008D5620">
        <w:rPr>
          <w:rFonts w:asciiTheme="minorHAnsi" w:hAnsiTheme="minorHAnsi"/>
          <w:bCs/>
          <w:szCs w:val="24"/>
        </w:rPr>
        <w:t xml:space="preserve">The clinician outlined the </w:t>
      </w:r>
      <w:r w:rsidR="00AF4013">
        <w:rPr>
          <w:rFonts w:asciiTheme="minorHAnsi" w:hAnsiTheme="minorHAnsi"/>
          <w:bCs/>
          <w:szCs w:val="24"/>
        </w:rPr>
        <w:t>difference in</w:t>
      </w:r>
      <w:r w:rsidR="00B37865">
        <w:rPr>
          <w:rFonts w:asciiTheme="minorHAnsi" w:hAnsiTheme="minorHAnsi"/>
          <w:bCs/>
          <w:szCs w:val="24"/>
        </w:rPr>
        <w:t xml:space="preserve"> adverse event </w:t>
      </w:r>
      <w:r w:rsidR="00AF4013">
        <w:rPr>
          <w:rFonts w:asciiTheme="minorHAnsi" w:hAnsiTheme="minorHAnsi"/>
          <w:bCs/>
          <w:szCs w:val="24"/>
        </w:rPr>
        <w:t>profile</w:t>
      </w:r>
      <w:r w:rsidR="000521C6">
        <w:rPr>
          <w:rFonts w:asciiTheme="minorHAnsi" w:hAnsiTheme="minorHAnsi"/>
          <w:bCs/>
          <w:szCs w:val="24"/>
        </w:rPr>
        <w:t>s</w:t>
      </w:r>
      <w:r w:rsidR="00AF4013">
        <w:rPr>
          <w:rFonts w:asciiTheme="minorHAnsi" w:hAnsiTheme="minorHAnsi"/>
          <w:bCs/>
          <w:szCs w:val="24"/>
        </w:rPr>
        <w:t xml:space="preserve"> between NIVO+IPI </w:t>
      </w:r>
      <w:r w:rsidR="000521C6">
        <w:rPr>
          <w:rFonts w:asciiTheme="minorHAnsi" w:hAnsiTheme="minorHAnsi"/>
          <w:bCs/>
          <w:szCs w:val="24"/>
        </w:rPr>
        <w:t xml:space="preserve">and </w:t>
      </w:r>
      <w:proofErr w:type="spellStart"/>
      <w:r w:rsidR="00AF4013">
        <w:rPr>
          <w:rFonts w:asciiTheme="minorHAnsi" w:hAnsiTheme="minorHAnsi"/>
          <w:bCs/>
          <w:szCs w:val="24"/>
        </w:rPr>
        <w:t>sunitinib</w:t>
      </w:r>
      <w:proofErr w:type="spellEnd"/>
      <w:r w:rsidR="00AF4013">
        <w:rPr>
          <w:rFonts w:asciiTheme="minorHAnsi" w:hAnsiTheme="minorHAnsi"/>
          <w:bCs/>
          <w:szCs w:val="24"/>
        </w:rPr>
        <w:t xml:space="preserve">, stating that </w:t>
      </w:r>
      <w:proofErr w:type="spellStart"/>
      <w:r w:rsidR="00F842CA">
        <w:rPr>
          <w:rFonts w:asciiTheme="minorHAnsi" w:hAnsiTheme="minorHAnsi"/>
          <w:bCs/>
          <w:szCs w:val="24"/>
        </w:rPr>
        <w:t>sunitinib</w:t>
      </w:r>
      <w:proofErr w:type="spellEnd"/>
      <w:r w:rsidR="00D4710B">
        <w:rPr>
          <w:rFonts w:asciiTheme="minorHAnsi" w:hAnsiTheme="minorHAnsi"/>
          <w:bCs/>
          <w:szCs w:val="24"/>
        </w:rPr>
        <w:t xml:space="preserve"> </w:t>
      </w:r>
      <w:r w:rsidR="00AF4013">
        <w:rPr>
          <w:rFonts w:asciiTheme="minorHAnsi" w:hAnsiTheme="minorHAnsi"/>
          <w:bCs/>
          <w:szCs w:val="24"/>
        </w:rPr>
        <w:t>was associated</w:t>
      </w:r>
      <w:r w:rsidR="00BB60E7" w:rsidRPr="008D5620">
        <w:rPr>
          <w:rFonts w:asciiTheme="minorHAnsi" w:hAnsiTheme="minorHAnsi"/>
          <w:bCs/>
          <w:szCs w:val="24"/>
        </w:rPr>
        <w:t xml:space="preserve"> </w:t>
      </w:r>
      <w:r w:rsidR="00B37865">
        <w:rPr>
          <w:rFonts w:asciiTheme="minorHAnsi" w:hAnsiTheme="minorHAnsi"/>
          <w:bCs/>
          <w:szCs w:val="24"/>
        </w:rPr>
        <w:t xml:space="preserve">with a higher rate of long-term adverse events that impact patient quality of life, such as </w:t>
      </w:r>
      <w:r w:rsidR="00F842CA">
        <w:rPr>
          <w:rFonts w:asciiTheme="minorHAnsi" w:hAnsiTheme="minorHAnsi"/>
          <w:bCs/>
          <w:szCs w:val="24"/>
        </w:rPr>
        <w:t xml:space="preserve">prolonged </w:t>
      </w:r>
      <w:r w:rsidR="00B37865">
        <w:rPr>
          <w:rFonts w:asciiTheme="minorHAnsi" w:hAnsiTheme="minorHAnsi"/>
          <w:bCs/>
          <w:szCs w:val="24"/>
        </w:rPr>
        <w:t>fatigue, taste changes</w:t>
      </w:r>
      <w:r w:rsidR="00B545D4">
        <w:rPr>
          <w:rFonts w:asciiTheme="minorHAnsi" w:hAnsiTheme="minorHAnsi"/>
          <w:bCs/>
          <w:szCs w:val="24"/>
        </w:rPr>
        <w:t xml:space="preserve"> (</w:t>
      </w:r>
      <w:proofErr w:type="spellStart"/>
      <w:r w:rsidR="00B545D4">
        <w:rPr>
          <w:rFonts w:asciiTheme="minorHAnsi" w:hAnsiTheme="minorHAnsi"/>
          <w:bCs/>
          <w:szCs w:val="24"/>
        </w:rPr>
        <w:t>d</w:t>
      </w:r>
      <w:r w:rsidR="00B545D4" w:rsidRPr="00B545D4">
        <w:rPr>
          <w:rFonts w:asciiTheme="minorHAnsi" w:hAnsiTheme="minorHAnsi"/>
          <w:bCs/>
          <w:szCs w:val="24"/>
        </w:rPr>
        <w:t>ysgeusia</w:t>
      </w:r>
      <w:proofErr w:type="spellEnd"/>
      <w:r w:rsidR="00B545D4">
        <w:rPr>
          <w:rFonts w:asciiTheme="minorHAnsi" w:hAnsiTheme="minorHAnsi"/>
          <w:bCs/>
          <w:szCs w:val="24"/>
        </w:rPr>
        <w:t>)</w:t>
      </w:r>
      <w:r w:rsidR="00F842CA">
        <w:rPr>
          <w:rFonts w:asciiTheme="minorHAnsi" w:hAnsiTheme="minorHAnsi"/>
          <w:bCs/>
          <w:szCs w:val="24"/>
        </w:rPr>
        <w:t>,</w:t>
      </w:r>
      <w:r w:rsidR="00B37865">
        <w:rPr>
          <w:rFonts w:asciiTheme="minorHAnsi" w:hAnsiTheme="minorHAnsi"/>
          <w:bCs/>
          <w:szCs w:val="24"/>
        </w:rPr>
        <w:t xml:space="preserve"> nausea</w:t>
      </w:r>
      <w:r w:rsidR="00F842CA">
        <w:rPr>
          <w:rFonts w:asciiTheme="minorHAnsi" w:hAnsiTheme="minorHAnsi"/>
          <w:bCs/>
          <w:szCs w:val="24"/>
        </w:rPr>
        <w:t>,</w:t>
      </w:r>
      <w:r w:rsidR="00B37865">
        <w:rPr>
          <w:rFonts w:asciiTheme="minorHAnsi" w:hAnsiTheme="minorHAnsi"/>
          <w:bCs/>
          <w:szCs w:val="24"/>
        </w:rPr>
        <w:t xml:space="preserve"> and painful hands and feet</w:t>
      </w:r>
      <w:r w:rsidR="00B545D4">
        <w:rPr>
          <w:rFonts w:asciiTheme="minorHAnsi" w:hAnsiTheme="minorHAnsi"/>
          <w:bCs/>
          <w:szCs w:val="24"/>
        </w:rPr>
        <w:t xml:space="preserve"> (p</w:t>
      </w:r>
      <w:r w:rsidR="00B545D4" w:rsidRPr="00B545D4">
        <w:rPr>
          <w:rFonts w:asciiTheme="minorHAnsi" w:hAnsiTheme="minorHAnsi"/>
          <w:bCs/>
          <w:szCs w:val="24"/>
        </w:rPr>
        <w:t xml:space="preserve">almar–plantar </w:t>
      </w:r>
      <w:proofErr w:type="spellStart"/>
      <w:r w:rsidR="00B545D4" w:rsidRPr="00B545D4">
        <w:rPr>
          <w:rFonts w:asciiTheme="minorHAnsi" w:hAnsiTheme="minorHAnsi"/>
          <w:bCs/>
          <w:szCs w:val="24"/>
        </w:rPr>
        <w:t>erythrodysesthesia</w:t>
      </w:r>
      <w:proofErr w:type="spellEnd"/>
      <w:r w:rsidR="00B545D4">
        <w:rPr>
          <w:rFonts w:asciiTheme="minorHAnsi" w:hAnsiTheme="minorHAnsi"/>
          <w:bCs/>
          <w:szCs w:val="24"/>
        </w:rPr>
        <w:t>)</w:t>
      </w:r>
      <w:r w:rsidR="00EF3C6A" w:rsidRPr="008D5620">
        <w:rPr>
          <w:rFonts w:asciiTheme="minorHAnsi" w:hAnsiTheme="minorHAnsi"/>
          <w:bCs/>
          <w:szCs w:val="24"/>
        </w:rPr>
        <w:t>.</w:t>
      </w:r>
      <w:r w:rsidRPr="008D5620">
        <w:rPr>
          <w:rFonts w:asciiTheme="minorHAnsi" w:hAnsiTheme="minorHAnsi"/>
          <w:bCs/>
          <w:szCs w:val="24"/>
        </w:rPr>
        <w:t xml:space="preserve"> </w:t>
      </w:r>
      <w:r w:rsidR="00B37865">
        <w:rPr>
          <w:rFonts w:asciiTheme="minorHAnsi" w:hAnsiTheme="minorHAnsi"/>
          <w:bCs/>
          <w:szCs w:val="24"/>
        </w:rPr>
        <w:t xml:space="preserve">The clinician </w:t>
      </w:r>
      <w:r w:rsidR="007F4A5C">
        <w:rPr>
          <w:rFonts w:asciiTheme="minorHAnsi" w:hAnsiTheme="minorHAnsi"/>
          <w:bCs/>
          <w:szCs w:val="24"/>
        </w:rPr>
        <w:t xml:space="preserve">considered </w:t>
      </w:r>
      <w:r w:rsidR="00B37865">
        <w:rPr>
          <w:rFonts w:asciiTheme="minorHAnsi" w:hAnsiTheme="minorHAnsi"/>
          <w:bCs/>
          <w:szCs w:val="24"/>
        </w:rPr>
        <w:t xml:space="preserve">that these adverse events, particularly fatigue, may impact a patient’s ability to work while </w:t>
      </w:r>
      <w:r w:rsidR="00F842CA">
        <w:rPr>
          <w:rFonts w:asciiTheme="minorHAnsi" w:hAnsiTheme="minorHAnsi"/>
          <w:bCs/>
          <w:szCs w:val="24"/>
        </w:rPr>
        <w:t>on</w:t>
      </w:r>
      <w:r w:rsidR="00B37865">
        <w:rPr>
          <w:rFonts w:asciiTheme="minorHAnsi" w:hAnsiTheme="minorHAnsi"/>
          <w:bCs/>
          <w:szCs w:val="24"/>
        </w:rPr>
        <w:t xml:space="preserve"> </w:t>
      </w:r>
      <w:proofErr w:type="spellStart"/>
      <w:r w:rsidR="00B37865">
        <w:rPr>
          <w:rFonts w:asciiTheme="minorHAnsi" w:hAnsiTheme="minorHAnsi"/>
          <w:bCs/>
          <w:szCs w:val="24"/>
        </w:rPr>
        <w:t>sunitinib</w:t>
      </w:r>
      <w:proofErr w:type="spellEnd"/>
      <w:r w:rsidR="00B37865">
        <w:rPr>
          <w:rFonts w:asciiTheme="minorHAnsi" w:hAnsiTheme="minorHAnsi"/>
          <w:bCs/>
          <w:szCs w:val="24"/>
        </w:rPr>
        <w:t>. The clinician stated that</w:t>
      </w:r>
      <w:r w:rsidR="00F842CA">
        <w:rPr>
          <w:rFonts w:asciiTheme="minorHAnsi" w:hAnsiTheme="minorHAnsi"/>
          <w:bCs/>
          <w:szCs w:val="24"/>
        </w:rPr>
        <w:t>,</w:t>
      </w:r>
      <w:r w:rsidR="00B37865">
        <w:rPr>
          <w:rFonts w:asciiTheme="minorHAnsi" w:hAnsiTheme="minorHAnsi"/>
          <w:bCs/>
          <w:szCs w:val="24"/>
        </w:rPr>
        <w:t xml:space="preserve"> on the other hand</w:t>
      </w:r>
      <w:r w:rsidR="00F842CA">
        <w:rPr>
          <w:rFonts w:asciiTheme="minorHAnsi" w:hAnsiTheme="minorHAnsi"/>
          <w:bCs/>
          <w:szCs w:val="24"/>
        </w:rPr>
        <w:t>,</w:t>
      </w:r>
      <w:r w:rsidR="00B37865">
        <w:rPr>
          <w:rFonts w:asciiTheme="minorHAnsi" w:hAnsiTheme="minorHAnsi"/>
          <w:bCs/>
          <w:szCs w:val="24"/>
        </w:rPr>
        <w:t xml:space="preserve"> nivolumab </w:t>
      </w:r>
      <w:r w:rsidR="00F842CA">
        <w:rPr>
          <w:rFonts w:asciiTheme="minorHAnsi" w:hAnsiTheme="minorHAnsi"/>
          <w:bCs/>
          <w:szCs w:val="24"/>
        </w:rPr>
        <w:t>was associated with</w:t>
      </w:r>
      <w:r w:rsidR="00B37865">
        <w:rPr>
          <w:rFonts w:asciiTheme="minorHAnsi" w:hAnsiTheme="minorHAnsi"/>
          <w:bCs/>
          <w:szCs w:val="24"/>
        </w:rPr>
        <w:t xml:space="preserve"> </w:t>
      </w:r>
      <w:r w:rsidR="00F842CA">
        <w:rPr>
          <w:rFonts w:asciiTheme="minorHAnsi" w:hAnsiTheme="minorHAnsi"/>
          <w:bCs/>
          <w:szCs w:val="24"/>
        </w:rPr>
        <w:t>adverse events that were short-term and</w:t>
      </w:r>
      <w:r w:rsidR="007F4A5C">
        <w:rPr>
          <w:rFonts w:asciiTheme="minorHAnsi" w:hAnsiTheme="minorHAnsi"/>
          <w:bCs/>
          <w:szCs w:val="24"/>
        </w:rPr>
        <w:t xml:space="preserve"> </w:t>
      </w:r>
      <w:r w:rsidR="004D11EC">
        <w:rPr>
          <w:rFonts w:asciiTheme="minorHAnsi" w:hAnsiTheme="minorHAnsi"/>
          <w:bCs/>
          <w:szCs w:val="24"/>
        </w:rPr>
        <w:t xml:space="preserve">that often resolved </w:t>
      </w:r>
      <w:r w:rsidR="007F4A5C">
        <w:rPr>
          <w:rFonts w:asciiTheme="minorHAnsi" w:hAnsiTheme="minorHAnsi"/>
          <w:bCs/>
          <w:szCs w:val="24"/>
        </w:rPr>
        <w:t xml:space="preserve">with treatment </w:t>
      </w:r>
      <w:r w:rsidR="00F842CA">
        <w:rPr>
          <w:rFonts w:asciiTheme="minorHAnsi" w:hAnsiTheme="minorHAnsi"/>
          <w:bCs/>
          <w:szCs w:val="24"/>
        </w:rPr>
        <w:t>(e.g.</w:t>
      </w:r>
      <w:r w:rsidR="00B37865">
        <w:rPr>
          <w:rFonts w:asciiTheme="minorHAnsi" w:hAnsiTheme="minorHAnsi"/>
          <w:bCs/>
          <w:szCs w:val="24"/>
        </w:rPr>
        <w:t xml:space="preserve"> rash that respond</w:t>
      </w:r>
      <w:r w:rsidR="00F842CA">
        <w:rPr>
          <w:rFonts w:asciiTheme="minorHAnsi" w:hAnsiTheme="minorHAnsi"/>
          <w:bCs/>
          <w:szCs w:val="24"/>
        </w:rPr>
        <w:t>s</w:t>
      </w:r>
      <w:r w:rsidR="00B37865">
        <w:rPr>
          <w:rFonts w:asciiTheme="minorHAnsi" w:hAnsiTheme="minorHAnsi"/>
          <w:bCs/>
          <w:szCs w:val="24"/>
        </w:rPr>
        <w:t xml:space="preserve"> </w:t>
      </w:r>
      <w:r w:rsidR="00F842CA">
        <w:rPr>
          <w:rFonts w:asciiTheme="minorHAnsi" w:hAnsiTheme="minorHAnsi"/>
          <w:bCs/>
          <w:szCs w:val="24"/>
        </w:rPr>
        <w:t>to</w:t>
      </w:r>
      <w:r w:rsidR="00B37865">
        <w:rPr>
          <w:rFonts w:asciiTheme="minorHAnsi" w:hAnsiTheme="minorHAnsi"/>
          <w:bCs/>
          <w:szCs w:val="24"/>
        </w:rPr>
        <w:t xml:space="preserve"> </w:t>
      </w:r>
      <w:r w:rsidR="00F842CA">
        <w:rPr>
          <w:rFonts w:asciiTheme="minorHAnsi" w:hAnsiTheme="minorHAnsi"/>
          <w:bCs/>
          <w:szCs w:val="24"/>
        </w:rPr>
        <w:t xml:space="preserve">steroid </w:t>
      </w:r>
      <w:r w:rsidR="00B37865">
        <w:rPr>
          <w:rFonts w:asciiTheme="minorHAnsi" w:hAnsiTheme="minorHAnsi"/>
          <w:bCs/>
          <w:szCs w:val="24"/>
        </w:rPr>
        <w:t>treatment</w:t>
      </w:r>
      <w:r w:rsidR="00F842CA">
        <w:rPr>
          <w:rFonts w:asciiTheme="minorHAnsi" w:hAnsiTheme="minorHAnsi"/>
          <w:bCs/>
          <w:szCs w:val="24"/>
        </w:rPr>
        <w:t>)</w:t>
      </w:r>
      <w:r w:rsidR="00B37865">
        <w:rPr>
          <w:rFonts w:asciiTheme="minorHAnsi" w:hAnsiTheme="minorHAnsi"/>
          <w:bCs/>
          <w:szCs w:val="24"/>
        </w:rPr>
        <w:t>. The clinician considered that the high discontinuation rate observed</w:t>
      </w:r>
      <w:r w:rsidR="00B545D4">
        <w:rPr>
          <w:rFonts w:asciiTheme="minorHAnsi" w:hAnsiTheme="minorHAnsi"/>
          <w:bCs/>
          <w:szCs w:val="24"/>
        </w:rPr>
        <w:t xml:space="preserve"> in the</w:t>
      </w:r>
      <w:r w:rsidR="00B37865">
        <w:rPr>
          <w:rFonts w:asciiTheme="minorHAnsi" w:hAnsiTheme="minorHAnsi"/>
          <w:bCs/>
          <w:szCs w:val="24"/>
        </w:rPr>
        <w:t xml:space="preserve"> </w:t>
      </w:r>
      <w:r w:rsidR="00B545D4">
        <w:rPr>
          <w:rFonts w:asciiTheme="minorHAnsi" w:hAnsiTheme="minorHAnsi"/>
          <w:bCs/>
          <w:szCs w:val="24"/>
        </w:rPr>
        <w:t xml:space="preserve">NIVO+IPI arm of </w:t>
      </w:r>
      <w:r w:rsidR="00B37865">
        <w:rPr>
          <w:rFonts w:asciiTheme="minorHAnsi" w:hAnsiTheme="minorHAnsi"/>
          <w:bCs/>
          <w:szCs w:val="24"/>
        </w:rPr>
        <w:t xml:space="preserve">the trial </w:t>
      </w:r>
      <w:r w:rsidR="00F842CA">
        <w:rPr>
          <w:rFonts w:asciiTheme="minorHAnsi" w:hAnsiTheme="minorHAnsi"/>
          <w:bCs/>
          <w:szCs w:val="24"/>
        </w:rPr>
        <w:t xml:space="preserve">was </w:t>
      </w:r>
      <w:r w:rsidR="00B37865">
        <w:rPr>
          <w:rFonts w:asciiTheme="minorHAnsi" w:hAnsiTheme="minorHAnsi"/>
          <w:bCs/>
          <w:szCs w:val="24"/>
        </w:rPr>
        <w:t xml:space="preserve">due to the </w:t>
      </w:r>
      <w:r w:rsidR="00F842CA">
        <w:rPr>
          <w:rFonts w:asciiTheme="minorHAnsi" w:hAnsiTheme="minorHAnsi"/>
          <w:bCs/>
          <w:szCs w:val="24"/>
        </w:rPr>
        <w:t>trial protocol e.g</w:t>
      </w:r>
      <w:r w:rsidR="00B37865">
        <w:rPr>
          <w:rFonts w:asciiTheme="minorHAnsi" w:hAnsiTheme="minorHAnsi"/>
          <w:bCs/>
          <w:szCs w:val="24"/>
        </w:rPr>
        <w:t xml:space="preserve">. </w:t>
      </w:r>
      <w:r w:rsidR="00F842CA">
        <w:rPr>
          <w:rFonts w:asciiTheme="minorHAnsi" w:hAnsiTheme="minorHAnsi"/>
          <w:bCs/>
          <w:szCs w:val="24"/>
        </w:rPr>
        <w:t xml:space="preserve">patients who experienced </w:t>
      </w:r>
      <w:r w:rsidR="00B37865">
        <w:rPr>
          <w:rFonts w:asciiTheme="minorHAnsi" w:hAnsiTheme="minorHAnsi"/>
          <w:bCs/>
          <w:szCs w:val="24"/>
        </w:rPr>
        <w:t xml:space="preserve">any </w:t>
      </w:r>
      <w:r w:rsidR="00F842CA">
        <w:rPr>
          <w:rFonts w:asciiTheme="minorHAnsi" w:hAnsiTheme="minorHAnsi"/>
          <w:bCs/>
          <w:szCs w:val="24"/>
        </w:rPr>
        <w:t>G</w:t>
      </w:r>
      <w:r w:rsidR="00B37865">
        <w:rPr>
          <w:rFonts w:asciiTheme="minorHAnsi" w:hAnsiTheme="minorHAnsi"/>
          <w:bCs/>
          <w:szCs w:val="24"/>
        </w:rPr>
        <w:t>rade 3 toxicit</w:t>
      </w:r>
      <w:r w:rsidR="007F4A5C">
        <w:rPr>
          <w:rFonts w:asciiTheme="minorHAnsi" w:hAnsiTheme="minorHAnsi"/>
          <w:bCs/>
          <w:szCs w:val="24"/>
        </w:rPr>
        <w:t>ies</w:t>
      </w:r>
      <w:r w:rsidR="00B37865">
        <w:rPr>
          <w:rFonts w:asciiTheme="minorHAnsi" w:hAnsiTheme="minorHAnsi"/>
          <w:bCs/>
          <w:szCs w:val="24"/>
        </w:rPr>
        <w:t xml:space="preserve"> </w:t>
      </w:r>
      <w:r w:rsidR="00F842CA">
        <w:rPr>
          <w:rFonts w:asciiTheme="minorHAnsi" w:hAnsiTheme="minorHAnsi"/>
          <w:bCs/>
          <w:szCs w:val="24"/>
        </w:rPr>
        <w:t xml:space="preserve">were required to withdraw from the </w:t>
      </w:r>
      <w:r w:rsidR="00B37865">
        <w:rPr>
          <w:rFonts w:asciiTheme="minorHAnsi" w:hAnsiTheme="minorHAnsi"/>
          <w:bCs/>
          <w:szCs w:val="24"/>
        </w:rPr>
        <w:t>trial</w:t>
      </w:r>
      <w:r w:rsidR="00F842CA">
        <w:rPr>
          <w:rFonts w:asciiTheme="minorHAnsi" w:hAnsiTheme="minorHAnsi"/>
          <w:bCs/>
          <w:szCs w:val="24"/>
        </w:rPr>
        <w:t>, while in</w:t>
      </w:r>
      <w:r w:rsidR="00B37865">
        <w:rPr>
          <w:rFonts w:asciiTheme="minorHAnsi" w:hAnsiTheme="minorHAnsi"/>
          <w:bCs/>
          <w:szCs w:val="24"/>
        </w:rPr>
        <w:t xml:space="preserve"> clinical practice</w:t>
      </w:r>
      <w:r w:rsidR="00F842CA">
        <w:rPr>
          <w:rFonts w:asciiTheme="minorHAnsi" w:hAnsiTheme="minorHAnsi"/>
          <w:bCs/>
          <w:szCs w:val="24"/>
        </w:rPr>
        <w:t xml:space="preserve"> many patients would recommence nivolumab once an adverse event resolves</w:t>
      </w:r>
      <w:r w:rsidR="00B37865">
        <w:rPr>
          <w:rFonts w:asciiTheme="minorHAnsi" w:hAnsiTheme="minorHAnsi"/>
          <w:bCs/>
          <w:szCs w:val="24"/>
        </w:rPr>
        <w:t xml:space="preserve">. </w:t>
      </w:r>
    </w:p>
    <w:p w:rsidR="00D4710B" w:rsidRDefault="00D4710B" w:rsidP="00B545D4">
      <w:pPr>
        <w:widowControl/>
        <w:numPr>
          <w:ilvl w:val="1"/>
          <w:numId w:val="3"/>
        </w:numPr>
        <w:spacing w:after="120"/>
        <w:rPr>
          <w:rFonts w:asciiTheme="minorHAnsi" w:hAnsiTheme="minorHAnsi"/>
          <w:bCs/>
          <w:szCs w:val="24"/>
        </w:rPr>
      </w:pPr>
      <w:r>
        <w:rPr>
          <w:rFonts w:asciiTheme="minorHAnsi" w:hAnsiTheme="minorHAnsi"/>
          <w:bCs/>
          <w:szCs w:val="24"/>
        </w:rPr>
        <w:t xml:space="preserve">The clinician considered that most of the toxicity </w:t>
      </w:r>
      <w:r w:rsidR="00B37865">
        <w:rPr>
          <w:rFonts w:asciiTheme="minorHAnsi" w:hAnsiTheme="minorHAnsi"/>
          <w:bCs/>
          <w:szCs w:val="24"/>
        </w:rPr>
        <w:t xml:space="preserve">of NIVO+IPI </w:t>
      </w:r>
      <w:r>
        <w:rPr>
          <w:rFonts w:asciiTheme="minorHAnsi" w:hAnsiTheme="minorHAnsi"/>
          <w:bCs/>
          <w:szCs w:val="24"/>
        </w:rPr>
        <w:t>was associated with the</w:t>
      </w:r>
      <w:r w:rsidR="00B37865">
        <w:rPr>
          <w:rFonts w:asciiTheme="minorHAnsi" w:hAnsiTheme="minorHAnsi"/>
          <w:bCs/>
          <w:szCs w:val="24"/>
        </w:rPr>
        <w:t xml:space="preserve"> </w:t>
      </w:r>
      <w:proofErr w:type="spellStart"/>
      <w:r w:rsidR="00B37865">
        <w:rPr>
          <w:rFonts w:asciiTheme="minorHAnsi" w:hAnsiTheme="minorHAnsi"/>
          <w:bCs/>
          <w:szCs w:val="24"/>
        </w:rPr>
        <w:t>ipil</w:t>
      </w:r>
      <w:r w:rsidR="00BC11CD">
        <w:rPr>
          <w:rFonts w:asciiTheme="minorHAnsi" w:hAnsiTheme="minorHAnsi"/>
          <w:bCs/>
          <w:szCs w:val="24"/>
        </w:rPr>
        <w:t>i</w:t>
      </w:r>
      <w:r w:rsidR="00B37865">
        <w:rPr>
          <w:rFonts w:asciiTheme="minorHAnsi" w:hAnsiTheme="minorHAnsi"/>
          <w:bCs/>
          <w:szCs w:val="24"/>
        </w:rPr>
        <w:t>mumab</w:t>
      </w:r>
      <w:proofErr w:type="spellEnd"/>
      <w:r w:rsidR="00B37865">
        <w:rPr>
          <w:rFonts w:asciiTheme="minorHAnsi" w:hAnsiTheme="minorHAnsi"/>
          <w:bCs/>
          <w:szCs w:val="24"/>
        </w:rPr>
        <w:t xml:space="preserve"> </w:t>
      </w:r>
      <w:r>
        <w:rPr>
          <w:rFonts w:asciiTheme="minorHAnsi" w:hAnsiTheme="minorHAnsi"/>
          <w:bCs/>
          <w:szCs w:val="24"/>
        </w:rPr>
        <w:t>component</w:t>
      </w:r>
      <w:r w:rsidR="00B37865">
        <w:rPr>
          <w:rFonts w:asciiTheme="minorHAnsi" w:hAnsiTheme="minorHAnsi"/>
          <w:bCs/>
          <w:szCs w:val="24"/>
        </w:rPr>
        <w:t xml:space="preserve">, which is only given for the first three months. </w:t>
      </w:r>
      <w:r w:rsidR="00B545D4">
        <w:rPr>
          <w:rFonts w:asciiTheme="minorHAnsi" w:hAnsiTheme="minorHAnsi"/>
          <w:bCs/>
          <w:szCs w:val="24"/>
        </w:rPr>
        <w:t>The clinician stated that</w:t>
      </w:r>
      <w:r w:rsidR="009E7E43">
        <w:rPr>
          <w:rFonts w:asciiTheme="minorHAnsi" w:hAnsiTheme="minorHAnsi"/>
          <w:bCs/>
          <w:szCs w:val="24"/>
        </w:rPr>
        <w:t>,</w:t>
      </w:r>
      <w:r w:rsidR="00B545D4">
        <w:rPr>
          <w:rFonts w:asciiTheme="minorHAnsi" w:hAnsiTheme="minorHAnsi"/>
          <w:bCs/>
          <w:szCs w:val="24"/>
        </w:rPr>
        <w:t xml:space="preserve"> </w:t>
      </w:r>
      <w:r>
        <w:rPr>
          <w:rFonts w:asciiTheme="minorHAnsi" w:hAnsiTheme="minorHAnsi"/>
          <w:bCs/>
          <w:szCs w:val="24"/>
        </w:rPr>
        <w:t>in practice</w:t>
      </w:r>
      <w:r w:rsidR="009E7E43">
        <w:rPr>
          <w:rFonts w:asciiTheme="minorHAnsi" w:hAnsiTheme="minorHAnsi"/>
          <w:bCs/>
          <w:szCs w:val="24"/>
        </w:rPr>
        <w:t>,</w:t>
      </w:r>
      <w:r w:rsidR="007F4A5C">
        <w:rPr>
          <w:rFonts w:asciiTheme="minorHAnsi" w:hAnsiTheme="minorHAnsi"/>
          <w:bCs/>
          <w:szCs w:val="24"/>
        </w:rPr>
        <w:t xml:space="preserve"> adverse events </w:t>
      </w:r>
      <w:r w:rsidR="009E7E43">
        <w:rPr>
          <w:rFonts w:asciiTheme="minorHAnsi" w:hAnsiTheme="minorHAnsi"/>
          <w:bCs/>
          <w:szCs w:val="24"/>
        </w:rPr>
        <w:t xml:space="preserve">likely </w:t>
      </w:r>
      <w:r w:rsidR="007F4A5C">
        <w:rPr>
          <w:rFonts w:asciiTheme="minorHAnsi" w:hAnsiTheme="minorHAnsi"/>
          <w:bCs/>
          <w:szCs w:val="24"/>
        </w:rPr>
        <w:t xml:space="preserve">associated with </w:t>
      </w:r>
      <w:proofErr w:type="spellStart"/>
      <w:r w:rsidR="007F4A5C">
        <w:rPr>
          <w:rFonts w:asciiTheme="minorHAnsi" w:hAnsiTheme="minorHAnsi"/>
          <w:bCs/>
          <w:szCs w:val="24"/>
        </w:rPr>
        <w:t>ipil</w:t>
      </w:r>
      <w:r w:rsidR="00BC11CD">
        <w:rPr>
          <w:rFonts w:asciiTheme="minorHAnsi" w:hAnsiTheme="minorHAnsi"/>
          <w:bCs/>
          <w:szCs w:val="24"/>
        </w:rPr>
        <w:t>i</w:t>
      </w:r>
      <w:r w:rsidR="007F4A5C">
        <w:rPr>
          <w:rFonts w:asciiTheme="minorHAnsi" w:hAnsiTheme="minorHAnsi"/>
          <w:bCs/>
          <w:szCs w:val="24"/>
        </w:rPr>
        <w:t>mumab</w:t>
      </w:r>
      <w:proofErr w:type="spellEnd"/>
      <w:r w:rsidR="007F4A5C">
        <w:rPr>
          <w:rFonts w:asciiTheme="minorHAnsi" w:hAnsiTheme="minorHAnsi"/>
          <w:bCs/>
          <w:szCs w:val="24"/>
        </w:rPr>
        <w:t xml:space="preserve"> </w:t>
      </w:r>
      <w:r w:rsidR="009E7E43">
        <w:rPr>
          <w:rFonts w:asciiTheme="minorHAnsi" w:hAnsiTheme="minorHAnsi"/>
          <w:bCs/>
          <w:szCs w:val="24"/>
        </w:rPr>
        <w:t>wo</w:t>
      </w:r>
      <w:r>
        <w:rPr>
          <w:rFonts w:asciiTheme="minorHAnsi" w:hAnsiTheme="minorHAnsi"/>
          <w:bCs/>
          <w:szCs w:val="24"/>
        </w:rPr>
        <w:t xml:space="preserve">uld be managed by ceasing </w:t>
      </w:r>
      <w:r w:rsidR="00B545D4">
        <w:rPr>
          <w:rFonts w:asciiTheme="minorHAnsi" w:hAnsiTheme="minorHAnsi"/>
          <w:bCs/>
          <w:szCs w:val="24"/>
        </w:rPr>
        <w:t xml:space="preserve">NIVO+IPI </w:t>
      </w:r>
      <w:r>
        <w:rPr>
          <w:rFonts w:asciiTheme="minorHAnsi" w:hAnsiTheme="minorHAnsi"/>
          <w:bCs/>
          <w:szCs w:val="24"/>
        </w:rPr>
        <w:t xml:space="preserve">and re-challenging with </w:t>
      </w:r>
      <w:r w:rsidR="00101D36">
        <w:rPr>
          <w:rFonts w:asciiTheme="minorHAnsi" w:hAnsiTheme="minorHAnsi"/>
          <w:bCs/>
          <w:szCs w:val="24"/>
        </w:rPr>
        <w:t>nivolumab</w:t>
      </w:r>
      <w:r w:rsidR="00B545D4">
        <w:rPr>
          <w:rFonts w:asciiTheme="minorHAnsi" w:hAnsiTheme="minorHAnsi"/>
          <w:bCs/>
          <w:szCs w:val="24"/>
        </w:rPr>
        <w:t xml:space="preserve"> monotherapy</w:t>
      </w:r>
      <w:r>
        <w:rPr>
          <w:rFonts w:asciiTheme="minorHAnsi" w:hAnsiTheme="minorHAnsi"/>
          <w:bCs/>
          <w:szCs w:val="24"/>
        </w:rPr>
        <w:t>.</w:t>
      </w:r>
      <w:r w:rsidR="00B37865">
        <w:rPr>
          <w:rFonts w:asciiTheme="minorHAnsi" w:hAnsiTheme="minorHAnsi"/>
          <w:bCs/>
          <w:szCs w:val="24"/>
        </w:rPr>
        <w:t xml:space="preserve"> The clinician </w:t>
      </w:r>
      <w:r w:rsidR="00B545D4">
        <w:rPr>
          <w:rFonts w:asciiTheme="minorHAnsi" w:hAnsiTheme="minorHAnsi"/>
          <w:bCs/>
          <w:szCs w:val="24"/>
        </w:rPr>
        <w:t xml:space="preserve">also </w:t>
      </w:r>
      <w:r w:rsidR="00B37865">
        <w:rPr>
          <w:rFonts w:asciiTheme="minorHAnsi" w:hAnsiTheme="minorHAnsi"/>
          <w:bCs/>
          <w:szCs w:val="24"/>
        </w:rPr>
        <w:t xml:space="preserve">highlighted that </w:t>
      </w:r>
      <w:proofErr w:type="spellStart"/>
      <w:r w:rsidR="00B545D4">
        <w:rPr>
          <w:rFonts w:asciiTheme="minorHAnsi" w:hAnsiTheme="minorHAnsi"/>
          <w:bCs/>
          <w:szCs w:val="24"/>
        </w:rPr>
        <w:t>ipilimumab</w:t>
      </w:r>
      <w:proofErr w:type="spellEnd"/>
      <w:r w:rsidR="00B545D4">
        <w:rPr>
          <w:rFonts w:asciiTheme="minorHAnsi" w:hAnsiTheme="minorHAnsi"/>
          <w:bCs/>
          <w:szCs w:val="24"/>
        </w:rPr>
        <w:t xml:space="preserve"> </w:t>
      </w:r>
      <w:r w:rsidR="00B37865">
        <w:rPr>
          <w:rFonts w:asciiTheme="minorHAnsi" w:hAnsiTheme="minorHAnsi"/>
          <w:bCs/>
          <w:szCs w:val="24"/>
        </w:rPr>
        <w:t xml:space="preserve">dosing is </w:t>
      </w:r>
      <w:r w:rsidR="004D11EC">
        <w:rPr>
          <w:rFonts w:asciiTheme="minorHAnsi" w:hAnsiTheme="minorHAnsi"/>
          <w:bCs/>
          <w:szCs w:val="24"/>
        </w:rPr>
        <w:t>lower</w:t>
      </w:r>
      <w:r w:rsidR="00B37865">
        <w:rPr>
          <w:rFonts w:asciiTheme="minorHAnsi" w:hAnsiTheme="minorHAnsi"/>
          <w:bCs/>
          <w:szCs w:val="24"/>
        </w:rPr>
        <w:t xml:space="preserve"> in RCC</w:t>
      </w:r>
      <w:r w:rsidR="00B545D4">
        <w:rPr>
          <w:rFonts w:asciiTheme="minorHAnsi" w:hAnsiTheme="minorHAnsi"/>
          <w:bCs/>
          <w:szCs w:val="24"/>
        </w:rPr>
        <w:t xml:space="preserve"> than in </w:t>
      </w:r>
      <w:r w:rsidR="00B37865">
        <w:rPr>
          <w:rFonts w:asciiTheme="minorHAnsi" w:hAnsiTheme="minorHAnsi"/>
          <w:bCs/>
          <w:szCs w:val="24"/>
        </w:rPr>
        <w:t xml:space="preserve">melanoma (e.g. 1 mg/kg </w:t>
      </w:r>
      <w:r w:rsidR="00B545D4">
        <w:rPr>
          <w:rFonts w:asciiTheme="minorHAnsi" w:hAnsiTheme="minorHAnsi"/>
          <w:bCs/>
          <w:szCs w:val="24"/>
        </w:rPr>
        <w:t xml:space="preserve">in RCC, rather than </w:t>
      </w:r>
      <w:r w:rsidR="00B37865">
        <w:rPr>
          <w:rFonts w:asciiTheme="minorHAnsi" w:hAnsiTheme="minorHAnsi"/>
          <w:bCs/>
          <w:szCs w:val="24"/>
        </w:rPr>
        <w:t>3 mg/kg</w:t>
      </w:r>
      <w:r w:rsidR="00B545D4">
        <w:rPr>
          <w:rFonts w:asciiTheme="minorHAnsi" w:hAnsiTheme="minorHAnsi"/>
          <w:bCs/>
          <w:szCs w:val="24"/>
        </w:rPr>
        <w:t xml:space="preserve"> in melanoma</w:t>
      </w:r>
      <w:r w:rsidR="00B37865">
        <w:rPr>
          <w:rFonts w:asciiTheme="minorHAnsi" w:hAnsiTheme="minorHAnsi"/>
          <w:bCs/>
          <w:szCs w:val="24"/>
        </w:rPr>
        <w:t xml:space="preserve">) which may lead to </w:t>
      </w:r>
      <w:r w:rsidR="00B545D4">
        <w:rPr>
          <w:rFonts w:asciiTheme="minorHAnsi" w:hAnsiTheme="minorHAnsi"/>
          <w:bCs/>
          <w:szCs w:val="24"/>
        </w:rPr>
        <w:t xml:space="preserve">a milder </w:t>
      </w:r>
      <w:r w:rsidR="00B37865">
        <w:rPr>
          <w:rFonts w:asciiTheme="minorHAnsi" w:hAnsiTheme="minorHAnsi"/>
          <w:bCs/>
          <w:szCs w:val="24"/>
        </w:rPr>
        <w:t>adverse event</w:t>
      </w:r>
      <w:r w:rsidR="00B545D4">
        <w:rPr>
          <w:rFonts w:asciiTheme="minorHAnsi" w:hAnsiTheme="minorHAnsi"/>
          <w:bCs/>
          <w:szCs w:val="24"/>
        </w:rPr>
        <w:t xml:space="preserve"> profile in RCC</w:t>
      </w:r>
      <w:r w:rsidR="00B37865">
        <w:rPr>
          <w:rFonts w:asciiTheme="minorHAnsi" w:hAnsiTheme="minorHAnsi"/>
          <w:bCs/>
          <w:szCs w:val="24"/>
        </w:rPr>
        <w:t>.</w:t>
      </w:r>
    </w:p>
    <w:p w:rsidR="00D4710B" w:rsidRPr="009E7E43" w:rsidRDefault="00101D36" w:rsidP="00B545D4">
      <w:pPr>
        <w:widowControl/>
        <w:numPr>
          <w:ilvl w:val="1"/>
          <w:numId w:val="3"/>
        </w:numPr>
        <w:spacing w:after="120"/>
        <w:rPr>
          <w:rFonts w:asciiTheme="minorHAnsi" w:hAnsiTheme="minorHAnsi"/>
          <w:bCs/>
          <w:szCs w:val="24"/>
        </w:rPr>
      </w:pPr>
      <w:r w:rsidRPr="009E7E43">
        <w:rPr>
          <w:rFonts w:asciiTheme="minorHAnsi" w:hAnsiTheme="minorHAnsi"/>
          <w:bCs/>
          <w:szCs w:val="24"/>
        </w:rPr>
        <w:t xml:space="preserve">The clinician acknowledged that </w:t>
      </w:r>
      <w:proofErr w:type="spellStart"/>
      <w:r w:rsidRPr="009E7E43">
        <w:rPr>
          <w:rFonts w:asciiTheme="minorHAnsi" w:hAnsiTheme="minorHAnsi"/>
          <w:bCs/>
          <w:szCs w:val="24"/>
        </w:rPr>
        <w:t>sunitinib</w:t>
      </w:r>
      <w:proofErr w:type="spellEnd"/>
      <w:r w:rsidRPr="009E7E43">
        <w:rPr>
          <w:rFonts w:asciiTheme="minorHAnsi" w:hAnsiTheme="minorHAnsi"/>
          <w:bCs/>
          <w:szCs w:val="24"/>
        </w:rPr>
        <w:t xml:space="preserve"> is </w:t>
      </w:r>
      <w:r w:rsidR="00B545D4" w:rsidRPr="009E7E43">
        <w:rPr>
          <w:rFonts w:asciiTheme="minorHAnsi" w:hAnsiTheme="minorHAnsi"/>
          <w:bCs/>
          <w:szCs w:val="24"/>
        </w:rPr>
        <w:t xml:space="preserve">unlikely to be </w:t>
      </w:r>
      <w:r w:rsidRPr="009E7E43">
        <w:rPr>
          <w:rFonts w:asciiTheme="minorHAnsi" w:hAnsiTheme="minorHAnsi"/>
          <w:bCs/>
          <w:szCs w:val="24"/>
        </w:rPr>
        <w:t xml:space="preserve">effective in </w:t>
      </w:r>
      <w:r w:rsidR="00B545D4" w:rsidRPr="009E7E43">
        <w:rPr>
          <w:rFonts w:asciiTheme="minorHAnsi" w:hAnsiTheme="minorHAnsi"/>
          <w:bCs/>
          <w:szCs w:val="24"/>
        </w:rPr>
        <w:t xml:space="preserve">patients with a </w:t>
      </w:r>
      <w:r w:rsidRPr="009E7E43">
        <w:rPr>
          <w:rFonts w:asciiTheme="minorHAnsi" w:hAnsiTheme="minorHAnsi"/>
          <w:bCs/>
          <w:szCs w:val="24"/>
        </w:rPr>
        <w:t>poor prognosis</w:t>
      </w:r>
      <w:r w:rsidR="00B545D4" w:rsidRPr="009E7E43">
        <w:rPr>
          <w:rFonts w:asciiTheme="minorHAnsi" w:hAnsiTheme="minorHAnsi"/>
          <w:bCs/>
          <w:szCs w:val="24"/>
        </w:rPr>
        <w:t>,</w:t>
      </w:r>
      <w:r w:rsidRPr="009E7E43">
        <w:rPr>
          <w:rFonts w:asciiTheme="minorHAnsi" w:hAnsiTheme="minorHAnsi"/>
          <w:bCs/>
          <w:szCs w:val="24"/>
        </w:rPr>
        <w:t xml:space="preserve"> but that </w:t>
      </w:r>
      <w:r w:rsidR="00B545D4" w:rsidRPr="009E7E43">
        <w:rPr>
          <w:rFonts w:asciiTheme="minorHAnsi" w:hAnsiTheme="minorHAnsi"/>
          <w:bCs/>
          <w:szCs w:val="24"/>
        </w:rPr>
        <w:t xml:space="preserve">these </w:t>
      </w:r>
      <w:r w:rsidRPr="009E7E43">
        <w:rPr>
          <w:rFonts w:asciiTheme="minorHAnsi" w:hAnsiTheme="minorHAnsi"/>
          <w:bCs/>
          <w:szCs w:val="24"/>
        </w:rPr>
        <w:t xml:space="preserve">patients are still treated with </w:t>
      </w:r>
      <w:proofErr w:type="spellStart"/>
      <w:r w:rsidRPr="009E7E43">
        <w:rPr>
          <w:rFonts w:asciiTheme="minorHAnsi" w:hAnsiTheme="minorHAnsi"/>
          <w:bCs/>
          <w:szCs w:val="24"/>
        </w:rPr>
        <w:t>sunitinib</w:t>
      </w:r>
      <w:proofErr w:type="spellEnd"/>
      <w:r w:rsidRPr="009E7E43">
        <w:rPr>
          <w:rFonts w:asciiTheme="minorHAnsi" w:hAnsiTheme="minorHAnsi"/>
          <w:bCs/>
          <w:szCs w:val="24"/>
        </w:rPr>
        <w:t xml:space="preserve"> as no other options are </w:t>
      </w:r>
      <w:r w:rsidRPr="009E7E43">
        <w:rPr>
          <w:rFonts w:asciiTheme="minorHAnsi" w:hAnsiTheme="minorHAnsi"/>
          <w:bCs/>
          <w:szCs w:val="24"/>
        </w:rPr>
        <w:lastRenderedPageBreak/>
        <w:t>available.</w:t>
      </w:r>
      <w:r w:rsidR="009E7E43">
        <w:rPr>
          <w:rFonts w:asciiTheme="minorHAnsi" w:hAnsiTheme="minorHAnsi"/>
          <w:bCs/>
          <w:szCs w:val="24"/>
        </w:rPr>
        <w:t xml:space="preserve"> </w:t>
      </w:r>
      <w:r w:rsidR="00D4710B" w:rsidRPr="009E7E43">
        <w:rPr>
          <w:rFonts w:asciiTheme="minorHAnsi" w:hAnsiTheme="minorHAnsi"/>
          <w:bCs/>
          <w:szCs w:val="24"/>
        </w:rPr>
        <w:t xml:space="preserve">The clinician </w:t>
      </w:r>
      <w:r w:rsidR="009E7E43">
        <w:rPr>
          <w:rFonts w:asciiTheme="minorHAnsi" w:hAnsiTheme="minorHAnsi"/>
          <w:bCs/>
          <w:szCs w:val="24"/>
        </w:rPr>
        <w:t xml:space="preserve">also </w:t>
      </w:r>
      <w:r w:rsidR="00D4710B" w:rsidRPr="009E7E43">
        <w:rPr>
          <w:rFonts w:asciiTheme="minorHAnsi" w:hAnsiTheme="minorHAnsi"/>
          <w:bCs/>
          <w:szCs w:val="24"/>
        </w:rPr>
        <w:t>acknowledged that the incremental benefit of adding</w:t>
      </w:r>
      <w:r w:rsidRPr="009E7E43">
        <w:rPr>
          <w:rFonts w:asciiTheme="minorHAnsi" w:hAnsiTheme="minorHAnsi"/>
          <w:bCs/>
          <w:szCs w:val="24"/>
        </w:rPr>
        <w:t xml:space="preserve"> </w:t>
      </w:r>
      <w:proofErr w:type="spellStart"/>
      <w:r w:rsidRPr="009E7E43">
        <w:rPr>
          <w:rFonts w:asciiTheme="minorHAnsi" w:hAnsiTheme="minorHAnsi"/>
          <w:bCs/>
          <w:szCs w:val="24"/>
        </w:rPr>
        <w:t>ipilimumab</w:t>
      </w:r>
      <w:proofErr w:type="spellEnd"/>
      <w:r w:rsidRPr="009E7E43">
        <w:rPr>
          <w:rFonts w:asciiTheme="minorHAnsi" w:hAnsiTheme="minorHAnsi"/>
          <w:bCs/>
          <w:szCs w:val="24"/>
        </w:rPr>
        <w:t xml:space="preserve"> </w:t>
      </w:r>
      <w:r w:rsidR="00B66BBB">
        <w:rPr>
          <w:rFonts w:asciiTheme="minorHAnsi" w:hAnsiTheme="minorHAnsi"/>
          <w:bCs/>
          <w:szCs w:val="24"/>
        </w:rPr>
        <w:t xml:space="preserve">to nivolumab </w:t>
      </w:r>
      <w:r w:rsidR="00D4710B" w:rsidRPr="009E7E43">
        <w:rPr>
          <w:rFonts w:asciiTheme="minorHAnsi" w:hAnsiTheme="minorHAnsi"/>
          <w:bCs/>
          <w:szCs w:val="24"/>
        </w:rPr>
        <w:t>was unknown.</w:t>
      </w:r>
    </w:p>
    <w:p w:rsidR="00EF3C6A" w:rsidRPr="006068C2" w:rsidRDefault="00EF3C6A" w:rsidP="0018664B">
      <w:pPr>
        <w:keepNext/>
        <w:keepLines/>
        <w:spacing w:before="240" w:after="120" w:line="276" w:lineRule="auto"/>
        <w:outlineLvl w:val="1"/>
        <w:rPr>
          <w:rFonts w:asciiTheme="minorHAnsi" w:hAnsiTheme="minorHAnsi"/>
          <w:b/>
          <w:bCs/>
          <w:i/>
          <w:sz w:val="28"/>
          <w:szCs w:val="28"/>
        </w:rPr>
      </w:pPr>
      <w:r w:rsidRPr="006068C2">
        <w:rPr>
          <w:rFonts w:asciiTheme="minorHAnsi" w:hAnsiTheme="minorHAnsi"/>
          <w:b/>
          <w:bCs/>
          <w:i/>
          <w:sz w:val="28"/>
          <w:szCs w:val="28"/>
        </w:rPr>
        <w:t>Consumer comments</w:t>
      </w:r>
    </w:p>
    <w:p w:rsidR="009E7E43" w:rsidRPr="00EF3C6A" w:rsidRDefault="009E7E43" w:rsidP="0018664B">
      <w:pPr>
        <w:keepNext/>
        <w:keepLines/>
        <w:widowControl/>
        <w:numPr>
          <w:ilvl w:val="1"/>
          <w:numId w:val="3"/>
        </w:numPr>
        <w:spacing w:after="120"/>
        <w:rPr>
          <w:rFonts w:asciiTheme="minorHAnsi" w:hAnsiTheme="minorHAnsi"/>
          <w:bCs/>
          <w:szCs w:val="24"/>
        </w:rPr>
      </w:pPr>
      <w:bookmarkStart w:id="6" w:name="_Toc514248486"/>
      <w:r w:rsidRPr="00EF3C6A">
        <w:rPr>
          <w:rFonts w:asciiTheme="minorHAnsi" w:hAnsiTheme="minorHAnsi"/>
          <w:bCs/>
          <w:szCs w:val="24"/>
        </w:rPr>
        <w:t>The PBAC noted and welcomed the input from individuals (</w:t>
      </w:r>
      <w:r>
        <w:rPr>
          <w:rFonts w:asciiTheme="minorHAnsi" w:hAnsiTheme="minorHAnsi"/>
          <w:bCs/>
          <w:szCs w:val="24"/>
        </w:rPr>
        <w:t>7</w:t>
      </w:r>
      <w:r w:rsidRPr="00EF3C6A">
        <w:rPr>
          <w:rFonts w:asciiTheme="minorHAnsi" w:hAnsiTheme="minorHAnsi"/>
          <w:bCs/>
          <w:szCs w:val="24"/>
        </w:rPr>
        <w:t xml:space="preserve">), health care professionals </w:t>
      </w:r>
      <w:r>
        <w:rPr>
          <w:rFonts w:asciiTheme="minorHAnsi" w:hAnsiTheme="minorHAnsi"/>
          <w:bCs/>
          <w:szCs w:val="24"/>
        </w:rPr>
        <w:t>(3</w:t>
      </w:r>
      <w:r w:rsidRPr="00EF3C6A">
        <w:rPr>
          <w:rFonts w:asciiTheme="minorHAnsi" w:hAnsiTheme="minorHAnsi"/>
          <w:bCs/>
          <w:szCs w:val="24"/>
        </w:rPr>
        <w:t xml:space="preserve">) and organisations (1) via the Consumer Comments facility on the PBS website. The comments described a range of benefits of treatment with </w:t>
      </w:r>
      <w:r>
        <w:rPr>
          <w:rFonts w:asciiTheme="minorHAnsi" w:hAnsiTheme="minorHAnsi"/>
          <w:bCs/>
          <w:szCs w:val="24"/>
        </w:rPr>
        <w:t xml:space="preserve">NIVO+IPI </w:t>
      </w:r>
      <w:r w:rsidRPr="00EF3C6A">
        <w:rPr>
          <w:rFonts w:asciiTheme="minorHAnsi" w:hAnsiTheme="minorHAnsi"/>
          <w:bCs/>
          <w:szCs w:val="24"/>
        </w:rPr>
        <w:t xml:space="preserve">including </w:t>
      </w:r>
      <w:r>
        <w:rPr>
          <w:rFonts w:asciiTheme="minorHAnsi" w:hAnsiTheme="minorHAnsi"/>
          <w:bCs/>
          <w:szCs w:val="24"/>
        </w:rPr>
        <w:t xml:space="preserve">increased quality </w:t>
      </w:r>
      <w:r w:rsidR="004D11EC">
        <w:rPr>
          <w:rFonts w:asciiTheme="minorHAnsi" w:hAnsiTheme="minorHAnsi"/>
          <w:bCs/>
          <w:szCs w:val="24"/>
        </w:rPr>
        <w:t xml:space="preserve">of life </w:t>
      </w:r>
      <w:r w:rsidR="000C789C">
        <w:rPr>
          <w:rFonts w:asciiTheme="minorHAnsi" w:hAnsiTheme="minorHAnsi"/>
          <w:bCs/>
          <w:szCs w:val="24"/>
        </w:rPr>
        <w:t xml:space="preserve">in some patients </w:t>
      </w:r>
      <w:r w:rsidR="004D11EC">
        <w:rPr>
          <w:rFonts w:asciiTheme="minorHAnsi" w:hAnsiTheme="minorHAnsi"/>
          <w:bCs/>
          <w:szCs w:val="24"/>
        </w:rPr>
        <w:t>and reductions in</w:t>
      </w:r>
      <w:r>
        <w:rPr>
          <w:rFonts w:asciiTheme="minorHAnsi" w:hAnsiTheme="minorHAnsi"/>
          <w:bCs/>
          <w:szCs w:val="24"/>
        </w:rPr>
        <w:t xml:space="preserve"> adverse events compared with some other chemothe</w:t>
      </w:r>
      <w:r w:rsidR="003D01C8">
        <w:rPr>
          <w:rFonts w:asciiTheme="minorHAnsi" w:hAnsiTheme="minorHAnsi"/>
          <w:bCs/>
          <w:szCs w:val="24"/>
        </w:rPr>
        <w:t xml:space="preserve">rapies, </w:t>
      </w:r>
      <w:r w:rsidR="004D11EC">
        <w:rPr>
          <w:rFonts w:asciiTheme="minorHAnsi" w:hAnsiTheme="minorHAnsi"/>
          <w:bCs/>
          <w:szCs w:val="24"/>
        </w:rPr>
        <w:t xml:space="preserve">a </w:t>
      </w:r>
      <w:r w:rsidR="003D01C8">
        <w:rPr>
          <w:rFonts w:asciiTheme="minorHAnsi" w:hAnsiTheme="minorHAnsi"/>
          <w:bCs/>
          <w:szCs w:val="24"/>
        </w:rPr>
        <w:t xml:space="preserve">potential for increased </w:t>
      </w:r>
      <w:r>
        <w:rPr>
          <w:rFonts w:asciiTheme="minorHAnsi" w:hAnsiTheme="minorHAnsi"/>
          <w:bCs/>
          <w:szCs w:val="24"/>
        </w:rPr>
        <w:t>overall survival</w:t>
      </w:r>
      <w:r w:rsidR="00F85611">
        <w:rPr>
          <w:rFonts w:asciiTheme="minorHAnsi" w:hAnsiTheme="minorHAnsi"/>
          <w:bCs/>
          <w:szCs w:val="24"/>
        </w:rPr>
        <w:t>,</w:t>
      </w:r>
      <w:r>
        <w:rPr>
          <w:rFonts w:asciiTheme="minorHAnsi" w:hAnsiTheme="minorHAnsi"/>
          <w:bCs/>
          <w:szCs w:val="24"/>
        </w:rPr>
        <w:t xml:space="preserve"> and the lack of alternative treatments for poor risk patients. The comments also noted the lack of affordability of NIVO+IPI in the absence of a PBS subsidy.</w:t>
      </w:r>
    </w:p>
    <w:p w:rsidR="009E7E43" w:rsidRPr="00EF3C6A" w:rsidRDefault="009E7E43" w:rsidP="0018664B">
      <w:pPr>
        <w:keepNext/>
        <w:keepLines/>
        <w:widowControl/>
        <w:numPr>
          <w:ilvl w:val="1"/>
          <w:numId w:val="3"/>
        </w:numPr>
        <w:spacing w:after="120"/>
        <w:rPr>
          <w:rFonts w:asciiTheme="minorHAnsi" w:hAnsiTheme="minorHAnsi"/>
          <w:bCs/>
          <w:szCs w:val="24"/>
        </w:rPr>
      </w:pPr>
      <w:r w:rsidRPr="00EF3C6A">
        <w:rPr>
          <w:rFonts w:asciiTheme="minorHAnsi" w:hAnsiTheme="minorHAnsi"/>
          <w:bCs/>
          <w:szCs w:val="24"/>
        </w:rPr>
        <w:t xml:space="preserve">The Medical Oncology Group of Australia (MOGA) also expressed its </w:t>
      </w:r>
      <w:r>
        <w:rPr>
          <w:rFonts w:asciiTheme="minorHAnsi" w:hAnsiTheme="minorHAnsi"/>
          <w:bCs/>
          <w:szCs w:val="24"/>
        </w:rPr>
        <w:t xml:space="preserve">strong </w:t>
      </w:r>
      <w:r w:rsidRPr="00EF3C6A">
        <w:rPr>
          <w:rFonts w:asciiTheme="minorHAnsi" w:hAnsiTheme="minorHAnsi"/>
          <w:bCs/>
          <w:szCs w:val="24"/>
        </w:rPr>
        <w:t xml:space="preserve">support for the </w:t>
      </w:r>
      <w:r>
        <w:rPr>
          <w:rFonts w:asciiTheme="minorHAnsi" w:hAnsiTheme="minorHAnsi"/>
          <w:bCs/>
          <w:szCs w:val="24"/>
        </w:rPr>
        <w:t>NIVO+IPI for RCC</w:t>
      </w:r>
      <w:r w:rsidRPr="00EF3C6A">
        <w:rPr>
          <w:rFonts w:asciiTheme="minorHAnsi" w:hAnsiTheme="minorHAnsi"/>
          <w:bCs/>
          <w:szCs w:val="24"/>
        </w:rPr>
        <w:t xml:space="preserve"> submission, </w:t>
      </w:r>
      <w:r>
        <w:t>categorising it as one of the therapies of “highest priority for PBS listing”</w:t>
      </w:r>
      <w:r w:rsidRPr="00EF3C6A">
        <w:rPr>
          <w:rFonts w:asciiTheme="minorHAnsi" w:hAnsiTheme="minorHAnsi"/>
          <w:bCs/>
          <w:szCs w:val="24"/>
        </w:rPr>
        <w:t xml:space="preserve"> on the basis of </w:t>
      </w:r>
      <w:r>
        <w:rPr>
          <w:rFonts w:asciiTheme="minorHAnsi" w:hAnsiTheme="minorHAnsi"/>
          <w:bCs/>
          <w:szCs w:val="24"/>
        </w:rPr>
        <w:t xml:space="preserve">the </w:t>
      </w:r>
      <w:r w:rsidRPr="00EF3C6A">
        <w:t>CA209214</w:t>
      </w:r>
      <w:r>
        <w:t xml:space="preserve"> trial</w:t>
      </w:r>
      <w:r w:rsidRPr="00EF3C6A">
        <w:rPr>
          <w:rFonts w:asciiTheme="minorHAnsi" w:hAnsiTheme="minorHAnsi"/>
          <w:bCs/>
          <w:szCs w:val="24"/>
        </w:rPr>
        <w:t xml:space="preserve">. The PBAC noted that the MOGA </w:t>
      </w:r>
      <w:r>
        <w:rPr>
          <w:rFonts w:asciiTheme="minorHAnsi" w:hAnsiTheme="minorHAnsi"/>
          <w:bCs/>
          <w:szCs w:val="24"/>
        </w:rPr>
        <w:t xml:space="preserve">was unable to calculate the </w:t>
      </w:r>
      <w:r w:rsidRPr="00EF3C6A">
        <w:rPr>
          <w:rFonts w:asciiTheme="minorHAnsi" w:hAnsiTheme="minorHAnsi"/>
          <w:bCs/>
          <w:szCs w:val="24"/>
        </w:rPr>
        <w:t xml:space="preserve">European Society for Medical Oncology Magnitude of Clinical Benefit Scale (ESMO-MCBS) </w:t>
      </w:r>
      <w:r>
        <w:rPr>
          <w:rFonts w:asciiTheme="minorHAnsi" w:hAnsiTheme="minorHAnsi"/>
          <w:bCs/>
          <w:szCs w:val="24"/>
        </w:rPr>
        <w:t xml:space="preserve">score </w:t>
      </w:r>
      <w:r w:rsidRPr="00EF3C6A">
        <w:rPr>
          <w:rFonts w:asciiTheme="minorHAnsi" w:hAnsiTheme="minorHAnsi"/>
          <w:bCs/>
          <w:szCs w:val="24"/>
        </w:rPr>
        <w:t xml:space="preserve">for </w:t>
      </w:r>
      <w:r>
        <w:rPr>
          <w:rFonts w:asciiTheme="minorHAnsi" w:hAnsiTheme="minorHAnsi"/>
          <w:bCs/>
          <w:szCs w:val="24"/>
        </w:rPr>
        <w:t>NIVO+IPI for RCC</w:t>
      </w:r>
      <w:r w:rsidRPr="00EF3C6A">
        <w:rPr>
          <w:rFonts w:asciiTheme="minorHAnsi" w:hAnsiTheme="minorHAnsi"/>
          <w:bCs/>
          <w:szCs w:val="24"/>
        </w:rPr>
        <w:t xml:space="preserve">, </w:t>
      </w:r>
      <w:r>
        <w:rPr>
          <w:rFonts w:asciiTheme="minorHAnsi" w:hAnsiTheme="minorHAnsi"/>
          <w:bCs/>
          <w:szCs w:val="24"/>
        </w:rPr>
        <w:t>as the data were</w:t>
      </w:r>
      <w:r w:rsidRPr="00AD0112">
        <w:rPr>
          <w:rFonts w:asciiTheme="minorHAnsi" w:hAnsiTheme="minorHAnsi"/>
          <w:bCs/>
          <w:szCs w:val="24"/>
        </w:rPr>
        <w:t xml:space="preserve"> immature and the median survival time for the </w:t>
      </w:r>
      <w:r>
        <w:rPr>
          <w:rFonts w:asciiTheme="minorHAnsi" w:hAnsiTheme="minorHAnsi"/>
          <w:bCs/>
          <w:szCs w:val="24"/>
        </w:rPr>
        <w:t xml:space="preserve">NIVO+IPI </w:t>
      </w:r>
      <w:r w:rsidRPr="00AD0112">
        <w:rPr>
          <w:rFonts w:asciiTheme="minorHAnsi" w:hAnsiTheme="minorHAnsi"/>
          <w:bCs/>
          <w:szCs w:val="24"/>
        </w:rPr>
        <w:t>arm ha</w:t>
      </w:r>
      <w:r>
        <w:rPr>
          <w:rFonts w:asciiTheme="minorHAnsi" w:hAnsiTheme="minorHAnsi"/>
          <w:bCs/>
          <w:szCs w:val="24"/>
        </w:rPr>
        <w:t>d</w:t>
      </w:r>
      <w:r w:rsidRPr="00AD0112">
        <w:rPr>
          <w:rFonts w:asciiTheme="minorHAnsi" w:hAnsiTheme="minorHAnsi"/>
          <w:bCs/>
          <w:szCs w:val="24"/>
        </w:rPr>
        <w:t xml:space="preserve"> not been reached</w:t>
      </w:r>
      <w:r>
        <w:rPr>
          <w:rFonts w:asciiTheme="minorHAnsi" w:hAnsiTheme="minorHAnsi"/>
          <w:bCs/>
          <w:szCs w:val="24"/>
        </w:rPr>
        <w:t>.</w:t>
      </w:r>
      <w:r>
        <w:rPr>
          <w:rStyle w:val="FootnoteReference"/>
          <w:rFonts w:asciiTheme="minorHAnsi" w:hAnsiTheme="minorHAnsi"/>
          <w:bCs/>
          <w:szCs w:val="24"/>
        </w:rPr>
        <w:footnoteReference w:id="5"/>
      </w:r>
    </w:p>
    <w:p w:rsidR="00F9005F" w:rsidRDefault="00F9005F">
      <w:pPr>
        <w:widowControl/>
        <w:jc w:val="left"/>
        <w:rPr>
          <w:b/>
          <w:sz w:val="28"/>
        </w:rPr>
      </w:pPr>
      <w:r>
        <w:rPr>
          <w:i/>
        </w:rPr>
        <w:br w:type="page"/>
      </w:r>
    </w:p>
    <w:p w:rsidR="001151EB" w:rsidRPr="006068C2" w:rsidRDefault="001151EB" w:rsidP="00136B30">
      <w:pPr>
        <w:pStyle w:val="Heading2"/>
        <w:spacing w:after="240"/>
      </w:pPr>
      <w:r w:rsidRPr="006068C2">
        <w:lastRenderedPageBreak/>
        <w:t>Clinical trials</w:t>
      </w:r>
      <w:bookmarkEnd w:id="6"/>
    </w:p>
    <w:p w:rsidR="001F294C" w:rsidRPr="00EF3C6A" w:rsidRDefault="001F294C" w:rsidP="001F294C">
      <w:pPr>
        <w:pStyle w:val="ListParagraph"/>
        <w:widowControl/>
        <w:numPr>
          <w:ilvl w:val="1"/>
          <w:numId w:val="3"/>
        </w:numPr>
      </w:pPr>
      <w:r w:rsidRPr="00EF3C6A">
        <w:t xml:space="preserve">The submission was based on a Phase III, head-to-head, randomised, open-label trial (CA209214) of NIVO+IPI compared with </w:t>
      </w:r>
      <w:proofErr w:type="spellStart"/>
      <w:r w:rsidRPr="00EF3C6A">
        <w:t>sunitinib</w:t>
      </w:r>
      <w:proofErr w:type="spellEnd"/>
      <w:r w:rsidRPr="00EF3C6A">
        <w:t xml:space="preserve"> monotherapy in previously untreated </w:t>
      </w:r>
      <w:r w:rsidR="00C735C0" w:rsidRPr="00EF3C6A">
        <w:t xml:space="preserve">patients with </w:t>
      </w:r>
      <w:r w:rsidRPr="00EF3C6A">
        <w:t xml:space="preserve">Stage IV clear cell variant RCC (n=1,096). </w:t>
      </w:r>
    </w:p>
    <w:p w:rsidR="001F294C" w:rsidRPr="00EF3C6A" w:rsidRDefault="00F040FF" w:rsidP="001F294C">
      <w:pPr>
        <w:pStyle w:val="ListParagraph"/>
        <w:widowControl/>
        <w:numPr>
          <w:ilvl w:val="1"/>
          <w:numId w:val="3"/>
        </w:numPr>
      </w:pPr>
      <w:r w:rsidRPr="00EF3C6A">
        <w:t>Patients</w:t>
      </w:r>
      <w:r w:rsidR="001F294C" w:rsidRPr="00EF3C6A">
        <w:t xml:space="preserve"> were randomised 1:1 to either NIVO+IPI or </w:t>
      </w:r>
      <w:proofErr w:type="spellStart"/>
      <w:r w:rsidR="001F294C" w:rsidRPr="00EF3C6A">
        <w:t>sunitinib</w:t>
      </w:r>
      <w:proofErr w:type="spellEnd"/>
      <w:r w:rsidR="001F294C" w:rsidRPr="00EF3C6A">
        <w:t xml:space="preserve"> and stratified by IMDC prognostic risk scores (0 (</w:t>
      </w:r>
      <w:r w:rsidR="00AD5E7C" w:rsidRPr="00EF3C6A">
        <w:t>favourable</w:t>
      </w:r>
      <w:r w:rsidR="001F294C" w:rsidRPr="00EF3C6A">
        <w:t xml:space="preserve">) versus 1-2 (intermediate) versus 3-6 (poor)) and region. </w:t>
      </w:r>
      <w:r w:rsidRPr="00EF3C6A">
        <w:t>Patients</w:t>
      </w:r>
      <w:r w:rsidR="001F294C" w:rsidRPr="00EF3C6A">
        <w:t xml:space="preserve"> were subsequently characterised into two groups at registration; favourable or intermediate/poor risk. </w:t>
      </w:r>
      <w:r w:rsidR="006F0B79" w:rsidRPr="00EF3C6A">
        <w:t xml:space="preserve">Both patient subgroups received treatment with NIVO+IPI or </w:t>
      </w:r>
      <w:proofErr w:type="spellStart"/>
      <w:r w:rsidR="006F0B79" w:rsidRPr="00EF3C6A">
        <w:t>sunitinib</w:t>
      </w:r>
      <w:proofErr w:type="spellEnd"/>
      <w:r w:rsidR="006F0B79" w:rsidRPr="00EF3C6A">
        <w:t xml:space="preserve"> but the intermediate/poor risk subgroup was the primary focus of the trial</w:t>
      </w:r>
      <w:r w:rsidR="00C23327" w:rsidRPr="00EF3C6A">
        <w:t xml:space="preserve"> (the “primary efficacy population”)</w:t>
      </w:r>
      <w:r w:rsidR="006F0B79" w:rsidRPr="00EF3C6A">
        <w:t xml:space="preserve">. For this subgroup (NIVO+IPI n = 425; </w:t>
      </w:r>
      <w:proofErr w:type="spellStart"/>
      <w:r w:rsidR="006F0B79" w:rsidRPr="00EF3C6A">
        <w:t>sunitinib</w:t>
      </w:r>
      <w:proofErr w:type="spellEnd"/>
      <w:r w:rsidR="006F0B79" w:rsidRPr="00EF3C6A">
        <w:t xml:space="preserve"> n = 422</w:t>
      </w:r>
      <w:r w:rsidR="00901CAD" w:rsidRPr="00EF3C6A">
        <w:t>)</w:t>
      </w:r>
      <w:r w:rsidR="006F0B79" w:rsidRPr="00EF3C6A">
        <w:t xml:space="preserve"> t</w:t>
      </w:r>
      <w:r w:rsidR="001F294C" w:rsidRPr="00EF3C6A">
        <w:t xml:space="preserve">he </w:t>
      </w:r>
      <w:r w:rsidR="00C23327" w:rsidRPr="00EF3C6A">
        <w:t>co-</w:t>
      </w:r>
      <w:r w:rsidR="001F294C" w:rsidRPr="00EF3C6A">
        <w:t xml:space="preserve">primary endpoints were overall survival (OS), progression-free survival (PFS) and objective response rate (ORR), where PFS and ORR were based on interpretation by an independent radiology review committee (IRRC) using </w:t>
      </w:r>
      <w:r w:rsidR="001F294C" w:rsidRPr="00EF3C6A">
        <w:rPr>
          <w:rStyle w:val="st"/>
        </w:rPr>
        <w:t xml:space="preserve">Response Evaluation </w:t>
      </w:r>
      <w:r w:rsidR="001F294C" w:rsidRPr="00EF3C6A">
        <w:rPr>
          <w:rStyle w:val="Emphasis"/>
          <w:i w:val="0"/>
        </w:rPr>
        <w:t>Criteria</w:t>
      </w:r>
      <w:r w:rsidR="001F294C" w:rsidRPr="00EF3C6A">
        <w:rPr>
          <w:rStyle w:val="st"/>
        </w:rPr>
        <w:t xml:space="preserve"> in Solid Tumours</w:t>
      </w:r>
      <w:r w:rsidR="001F294C" w:rsidRPr="00EF3C6A">
        <w:t xml:space="preserve"> (RECIST</w:t>
      </w:r>
      <w:r w:rsidR="001F294C" w:rsidRPr="00EF3C6A">
        <w:rPr>
          <w:rStyle w:val="st"/>
        </w:rPr>
        <w:t xml:space="preserve">) </w:t>
      </w:r>
      <w:r w:rsidR="001F294C" w:rsidRPr="00EF3C6A">
        <w:t>v 1.1</w:t>
      </w:r>
      <w:r w:rsidR="00C20DE6" w:rsidRPr="00EF3C6A">
        <w:t xml:space="preserve"> and investigator assessment</w:t>
      </w:r>
      <w:r w:rsidR="001F294C" w:rsidRPr="00EF3C6A">
        <w:t xml:space="preserve">. </w:t>
      </w:r>
    </w:p>
    <w:p w:rsidR="005F36FE" w:rsidRPr="00EF3C6A" w:rsidRDefault="001F294C" w:rsidP="003042B8">
      <w:pPr>
        <w:pStyle w:val="ListParagraph"/>
        <w:widowControl/>
        <w:numPr>
          <w:ilvl w:val="1"/>
          <w:numId w:val="3"/>
        </w:numPr>
        <w:jc w:val="left"/>
        <w:rPr>
          <w:rFonts w:cs="Calibri"/>
          <w:snapToGrid/>
          <w:szCs w:val="24"/>
          <w:lang w:val="en-US" w:eastAsia="en-AU"/>
        </w:rPr>
      </w:pPr>
      <w:r w:rsidRPr="00EF3C6A">
        <w:rPr>
          <w:rFonts w:cs="Calibri"/>
          <w:snapToGrid/>
          <w:szCs w:val="24"/>
          <w:lang w:val="en-US" w:eastAsia="en-AU"/>
        </w:rPr>
        <w:t xml:space="preserve">Details of the trial presented in the submission are provided in the table below.  </w:t>
      </w:r>
    </w:p>
    <w:p w:rsidR="00320C2A" w:rsidRPr="00EF3C6A" w:rsidRDefault="00320C2A" w:rsidP="00220B7B">
      <w:pPr>
        <w:pStyle w:val="Caption"/>
        <w:keepNext/>
        <w:keepLines/>
        <w:spacing w:after="0"/>
        <w:rPr>
          <w:rStyle w:val="CommentReference"/>
          <w:b/>
          <w:color w:val="auto"/>
        </w:rPr>
      </w:pPr>
      <w:r w:rsidRPr="00EF3C6A">
        <w:rPr>
          <w:rStyle w:val="CommentReference"/>
          <w:b/>
          <w:color w:val="auto"/>
        </w:rPr>
        <w:t xml:space="preserve">Table </w:t>
      </w:r>
      <w:r w:rsidR="004A2895">
        <w:rPr>
          <w:rStyle w:val="CommentReference"/>
          <w:b/>
          <w:noProof/>
          <w:color w:val="auto"/>
        </w:rPr>
        <w:t>2</w:t>
      </w:r>
      <w:r w:rsidRPr="00EF3C6A">
        <w:rPr>
          <w:rStyle w:val="CommentReference"/>
          <w:b/>
          <w:color w:val="auto"/>
        </w:rPr>
        <w:t>: Trial and associated report presented in the submission</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1E0" w:firstRow="1" w:lastRow="1" w:firstColumn="1" w:lastColumn="1" w:noHBand="0" w:noVBand="0"/>
      </w:tblPr>
      <w:tblGrid>
        <w:gridCol w:w="1484"/>
        <w:gridCol w:w="5644"/>
        <w:gridCol w:w="2195"/>
      </w:tblGrid>
      <w:tr w:rsidR="003F30DF" w:rsidRPr="00EF3C6A" w:rsidTr="00513A1F">
        <w:trPr>
          <w:tblHeader/>
        </w:trPr>
        <w:tc>
          <w:tcPr>
            <w:tcW w:w="796" w:type="pct"/>
            <w:tcBorders>
              <w:top w:val="single" w:sz="4" w:space="0" w:color="auto"/>
              <w:bottom w:val="single" w:sz="4" w:space="0" w:color="auto"/>
              <w:right w:val="single" w:sz="4" w:space="0" w:color="auto"/>
            </w:tcBorders>
            <w:vAlign w:val="center"/>
          </w:tcPr>
          <w:p w:rsidR="003F30DF" w:rsidRPr="00EF3C6A" w:rsidRDefault="003F30DF" w:rsidP="00220B7B">
            <w:pPr>
              <w:keepNext/>
              <w:keepLines/>
              <w:widowControl/>
              <w:jc w:val="left"/>
              <w:rPr>
                <w:rFonts w:ascii="Arial Narrow" w:hAnsi="Arial Narrow" w:cs="Times New Roman"/>
                <w:b/>
                <w:snapToGrid/>
                <w:sz w:val="20"/>
              </w:rPr>
            </w:pPr>
            <w:r w:rsidRPr="00EF3C6A">
              <w:rPr>
                <w:rFonts w:ascii="Arial Narrow" w:hAnsi="Arial Narrow" w:cs="Times New Roman"/>
                <w:b/>
                <w:snapToGrid/>
                <w:sz w:val="20"/>
              </w:rPr>
              <w:t>Trial ID</w:t>
            </w:r>
          </w:p>
        </w:tc>
        <w:tc>
          <w:tcPr>
            <w:tcW w:w="3027" w:type="pct"/>
            <w:tcBorders>
              <w:top w:val="single" w:sz="4" w:space="0" w:color="auto"/>
              <w:left w:val="single" w:sz="4" w:space="0" w:color="auto"/>
              <w:bottom w:val="single" w:sz="4" w:space="0" w:color="auto"/>
              <w:right w:val="single" w:sz="4" w:space="0" w:color="auto"/>
            </w:tcBorders>
            <w:vAlign w:val="center"/>
          </w:tcPr>
          <w:p w:rsidR="003F30DF" w:rsidRPr="00EF3C6A" w:rsidRDefault="003F30DF" w:rsidP="00220B7B">
            <w:pPr>
              <w:keepNext/>
              <w:keepLines/>
              <w:widowControl/>
              <w:jc w:val="center"/>
              <w:rPr>
                <w:rFonts w:ascii="Arial Narrow" w:hAnsi="Arial Narrow" w:cs="Times New Roman"/>
                <w:b/>
                <w:snapToGrid/>
                <w:sz w:val="20"/>
              </w:rPr>
            </w:pPr>
            <w:r w:rsidRPr="00EF3C6A">
              <w:rPr>
                <w:rFonts w:ascii="Arial Narrow" w:hAnsi="Arial Narrow" w:cs="Times New Roman"/>
                <w:b/>
                <w:snapToGrid/>
                <w:sz w:val="20"/>
              </w:rPr>
              <w:t>Protocol title/ Publication title</w:t>
            </w:r>
          </w:p>
        </w:tc>
        <w:tc>
          <w:tcPr>
            <w:tcW w:w="1177" w:type="pct"/>
            <w:tcBorders>
              <w:left w:val="single" w:sz="4" w:space="0" w:color="auto"/>
              <w:bottom w:val="single" w:sz="4" w:space="0" w:color="auto"/>
            </w:tcBorders>
            <w:vAlign w:val="center"/>
          </w:tcPr>
          <w:p w:rsidR="003F30DF" w:rsidRPr="00EF3C6A" w:rsidRDefault="003F30DF" w:rsidP="00220B7B">
            <w:pPr>
              <w:keepNext/>
              <w:keepLines/>
              <w:widowControl/>
              <w:jc w:val="center"/>
              <w:rPr>
                <w:rFonts w:ascii="Arial Narrow" w:hAnsi="Arial Narrow" w:cs="Times New Roman"/>
                <w:b/>
                <w:snapToGrid/>
                <w:sz w:val="20"/>
              </w:rPr>
            </w:pPr>
            <w:r w:rsidRPr="00EF3C6A">
              <w:rPr>
                <w:rFonts w:ascii="Arial Narrow" w:hAnsi="Arial Narrow" w:cs="Times New Roman"/>
                <w:b/>
                <w:snapToGrid/>
                <w:sz w:val="20"/>
              </w:rPr>
              <w:t>Publication citation</w:t>
            </w:r>
          </w:p>
        </w:tc>
      </w:tr>
      <w:tr w:rsidR="00FF4CF1" w:rsidRPr="00EF3C6A" w:rsidTr="00FF4CF1">
        <w:trPr>
          <w:trHeight w:val="1148"/>
        </w:trPr>
        <w:tc>
          <w:tcPr>
            <w:tcW w:w="796" w:type="pct"/>
            <w:vMerge w:val="restart"/>
            <w:tcBorders>
              <w:top w:val="single" w:sz="4" w:space="0" w:color="auto"/>
              <w:right w:val="single" w:sz="4" w:space="0" w:color="auto"/>
            </w:tcBorders>
          </w:tcPr>
          <w:p w:rsidR="00FF4CF1" w:rsidRPr="00EF3C6A" w:rsidRDefault="00FF4CF1" w:rsidP="00220B7B">
            <w:pPr>
              <w:keepNext/>
              <w:keepLines/>
              <w:widowControl/>
              <w:jc w:val="left"/>
              <w:rPr>
                <w:rFonts w:ascii="Times" w:hAnsi="Times" w:cs="Times New Roman"/>
                <w:snapToGrid/>
                <w:sz w:val="20"/>
              </w:rPr>
            </w:pPr>
            <w:r w:rsidRPr="00EF3C6A">
              <w:rPr>
                <w:rFonts w:ascii="Arial Narrow" w:hAnsi="Arial Narrow" w:cs="Times New Roman"/>
                <w:snapToGrid/>
                <w:sz w:val="20"/>
              </w:rPr>
              <w:t>Study CA209214</w:t>
            </w:r>
          </w:p>
        </w:tc>
        <w:tc>
          <w:tcPr>
            <w:tcW w:w="3027" w:type="pct"/>
            <w:tcBorders>
              <w:top w:val="single" w:sz="4" w:space="0" w:color="auto"/>
              <w:left w:val="single" w:sz="4" w:space="0" w:color="auto"/>
              <w:bottom w:val="nil"/>
              <w:right w:val="single" w:sz="4" w:space="0" w:color="auto"/>
            </w:tcBorders>
          </w:tcPr>
          <w:p w:rsidR="00FF4CF1" w:rsidRPr="00EF3C6A" w:rsidRDefault="00FF4CF1" w:rsidP="00220B7B">
            <w:pPr>
              <w:keepNext/>
              <w:keepLines/>
              <w:widowControl/>
              <w:jc w:val="left"/>
              <w:rPr>
                <w:rFonts w:ascii="Arial Narrow" w:hAnsi="Arial Narrow" w:cs="Times New Roman"/>
                <w:snapToGrid/>
                <w:sz w:val="20"/>
              </w:rPr>
            </w:pPr>
            <w:r w:rsidRPr="00EF3C6A">
              <w:rPr>
                <w:rFonts w:ascii="Arial Narrow" w:hAnsi="Arial Narrow" w:cs="Times New Roman"/>
                <w:snapToGrid/>
                <w:sz w:val="20"/>
              </w:rPr>
              <w:t xml:space="preserve">Clinical Study Report. A Phase 3, Randomized, Open-Label Study of Nivolumab Combined with Ipilimumab versus </w:t>
            </w:r>
            <w:proofErr w:type="spellStart"/>
            <w:r w:rsidRPr="00EF3C6A">
              <w:rPr>
                <w:rFonts w:ascii="Arial Narrow" w:hAnsi="Arial Narrow" w:cs="Times New Roman"/>
                <w:snapToGrid/>
                <w:sz w:val="20"/>
              </w:rPr>
              <w:t>Sunitinib</w:t>
            </w:r>
            <w:proofErr w:type="spellEnd"/>
            <w:r w:rsidRPr="00EF3C6A">
              <w:rPr>
                <w:rFonts w:ascii="Arial Narrow" w:hAnsi="Arial Narrow" w:cs="Times New Roman"/>
                <w:snapToGrid/>
                <w:sz w:val="20"/>
              </w:rPr>
              <w:t xml:space="preserve"> Monotherapy in Subjects with Previously Untreated, Advanced or Metastatic Renal Cell Carcinoma</w:t>
            </w:r>
          </w:p>
          <w:p w:rsidR="00FF4CF1" w:rsidRPr="00EF3C6A" w:rsidRDefault="00FF4CF1" w:rsidP="00FF4CF1">
            <w:pPr>
              <w:keepNext/>
              <w:keepLines/>
              <w:widowControl/>
              <w:jc w:val="left"/>
              <w:rPr>
                <w:rFonts w:ascii="Arial Narrow" w:hAnsi="Arial Narrow" w:cs="Times New Roman"/>
                <w:snapToGrid/>
                <w:sz w:val="20"/>
                <w:szCs w:val="18"/>
              </w:rPr>
            </w:pPr>
          </w:p>
        </w:tc>
        <w:tc>
          <w:tcPr>
            <w:tcW w:w="1177" w:type="pct"/>
            <w:tcBorders>
              <w:top w:val="single" w:sz="4" w:space="0" w:color="auto"/>
              <w:left w:val="single" w:sz="4" w:space="0" w:color="auto"/>
            </w:tcBorders>
          </w:tcPr>
          <w:p w:rsidR="00FF4CF1" w:rsidRPr="00EF3C6A" w:rsidRDefault="00FF4CF1" w:rsidP="00220B7B">
            <w:pPr>
              <w:keepNext/>
              <w:keepLines/>
              <w:widowControl/>
              <w:jc w:val="left"/>
              <w:rPr>
                <w:rFonts w:ascii="Arial Narrow" w:hAnsi="Arial Narrow" w:cs="Times New Roman"/>
                <w:snapToGrid/>
                <w:sz w:val="20"/>
              </w:rPr>
            </w:pPr>
            <w:r w:rsidRPr="00EF3C6A">
              <w:rPr>
                <w:rFonts w:ascii="Arial Narrow" w:hAnsi="Arial Narrow" w:cs="Times New Roman"/>
                <w:snapToGrid/>
                <w:sz w:val="20"/>
              </w:rPr>
              <w:t>September 2017</w:t>
            </w:r>
          </w:p>
          <w:p w:rsidR="00FF4CF1" w:rsidRPr="00EF3C6A" w:rsidRDefault="00FF4CF1" w:rsidP="00220B7B">
            <w:pPr>
              <w:keepNext/>
              <w:keepLines/>
              <w:widowControl/>
              <w:jc w:val="left"/>
              <w:rPr>
                <w:rFonts w:ascii="Arial Narrow" w:hAnsi="Arial Narrow" w:cs="Times New Roman"/>
                <w:snapToGrid/>
                <w:sz w:val="20"/>
              </w:rPr>
            </w:pPr>
          </w:p>
        </w:tc>
      </w:tr>
      <w:tr w:rsidR="00FF4CF1" w:rsidRPr="00EF3C6A" w:rsidTr="00FF4CF1">
        <w:trPr>
          <w:trHeight w:val="1147"/>
        </w:trPr>
        <w:tc>
          <w:tcPr>
            <w:tcW w:w="796" w:type="pct"/>
            <w:vMerge/>
            <w:tcBorders>
              <w:right w:val="single" w:sz="4" w:space="0" w:color="auto"/>
            </w:tcBorders>
          </w:tcPr>
          <w:p w:rsidR="00FF4CF1" w:rsidRPr="00EF3C6A" w:rsidRDefault="00FF4CF1" w:rsidP="00220B7B">
            <w:pPr>
              <w:keepNext/>
              <w:keepLines/>
              <w:widowControl/>
              <w:jc w:val="left"/>
              <w:rPr>
                <w:rFonts w:ascii="Arial Narrow" w:hAnsi="Arial Narrow" w:cs="Times New Roman"/>
                <w:snapToGrid/>
                <w:sz w:val="20"/>
              </w:rPr>
            </w:pPr>
          </w:p>
        </w:tc>
        <w:tc>
          <w:tcPr>
            <w:tcW w:w="3027" w:type="pct"/>
            <w:tcBorders>
              <w:top w:val="nil"/>
              <w:left w:val="single" w:sz="4" w:space="0" w:color="auto"/>
              <w:bottom w:val="nil"/>
              <w:right w:val="single" w:sz="4" w:space="0" w:color="auto"/>
            </w:tcBorders>
          </w:tcPr>
          <w:p w:rsidR="00FF4CF1" w:rsidRPr="00EF3C6A" w:rsidRDefault="00FF4CF1" w:rsidP="00FF4CF1">
            <w:pPr>
              <w:keepNext/>
              <w:keepLines/>
              <w:widowControl/>
              <w:jc w:val="left"/>
              <w:rPr>
                <w:rFonts w:ascii="Arial Narrow" w:hAnsi="Arial Narrow" w:cs="Times New Roman"/>
                <w:snapToGrid/>
                <w:sz w:val="20"/>
              </w:rPr>
            </w:pPr>
            <w:proofErr w:type="spellStart"/>
            <w:r w:rsidRPr="00EF3C6A">
              <w:rPr>
                <w:rFonts w:ascii="Arial Narrow" w:hAnsi="Arial Narrow" w:cs="Times New Roman"/>
                <w:snapToGrid/>
                <w:sz w:val="20"/>
              </w:rPr>
              <w:t>Escudier</w:t>
            </w:r>
            <w:proofErr w:type="spellEnd"/>
            <w:r w:rsidRPr="00EF3C6A">
              <w:rPr>
                <w:rFonts w:ascii="Arial Narrow" w:hAnsi="Arial Narrow" w:cs="Times New Roman"/>
                <w:snapToGrid/>
                <w:sz w:val="20"/>
              </w:rPr>
              <w:t xml:space="preserve"> B, </w:t>
            </w:r>
            <w:proofErr w:type="spellStart"/>
            <w:r w:rsidRPr="00EF3C6A">
              <w:rPr>
                <w:rFonts w:ascii="Arial Narrow" w:hAnsi="Arial Narrow" w:cs="Times New Roman"/>
                <w:snapToGrid/>
                <w:sz w:val="20"/>
              </w:rPr>
              <w:t>Tannir</w:t>
            </w:r>
            <w:proofErr w:type="spellEnd"/>
            <w:r w:rsidRPr="00EF3C6A">
              <w:rPr>
                <w:rFonts w:ascii="Arial Narrow" w:hAnsi="Arial Narrow" w:cs="Times New Roman"/>
                <w:snapToGrid/>
                <w:sz w:val="20"/>
              </w:rPr>
              <w:t xml:space="preserve"> NM, McDermott DF, et al. Checkmate 214: Efficacy </w:t>
            </w:r>
          </w:p>
          <w:p w:rsidR="00FF4CF1" w:rsidRPr="00EF3C6A" w:rsidRDefault="00FF4CF1" w:rsidP="00FF4CF1">
            <w:pPr>
              <w:keepNext/>
              <w:keepLines/>
              <w:widowControl/>
              <w:jc w:val="left"/>
              <w:rPr>
                <w:rFonts w:ascii="Arial Narrow" w:hAnsi="Arial Narrow" w:cs="Times New Roman"/>
                <w:snapToGrid/>
                <w:sz w:val="20"/>
              </w:rPr>
            </w:pPr>
            <w:proofErr w:type="gramStart"/>
            <w:r w:rsidRPr="00EF3C6A">
              <w:rPr>
                <w:rFonts w:ascii="Arial Narrow" w:hAnsi="Arial Narrow" w:cs="Times New Roman"/>
                <w:snapToGrid/>
                <w:sz w:val="20"/>
              </w:rPr>
              <w:t>and</w:t>
            </w:r>
            <w:proofErr w:type="gramEnd"/>
            <w:r w:rsidRPr="00EF3C6A">
              <w:rPr>
                <w:rFonts w:ascii="Arial Narrow" w:hAnsi="Arial Narrow" w:cs="Times New Roman"/>
                <w:snapToGrid/>
                <w:sz w:val="20"/>
              </w:rPr>
              <w:t xml:space="preserve"> safety of nivolumab 1 </w:t>
            </w:r>
            <w:proofErr w:type="spellStart"/>
            <w:r w:rsidRPr="00EF3C6A">
              <w:rPr>
                <w:rFonts w:ascii="Arial Narrow" w:hAnsi="Arial Narrow" w:cs="Times New Roman"/>
                <w:snapToGrid/>
                <w:sz w:val="20"/>
              </w:rPr>
              <w:t>ipilimumab</w:t>
            </w:r>
            <w:proofErr w:type="spellEnd"/>
            <w:r w:rsidRPr="00EF3C6A">
              <w:rPr>
                <w:rFonts w:ascii="Arial Narrow" w:hAnsi="Arial Narrow" w:cs="Times New Roman"/>
                <w:snapToGrid/>
                <w:sz w:val="20"/>
              </w:rPr>
              <w:t xml:space="preserve"> (N1l) v </w:t>
            </w:r>
            <w:proofErr w:type="spellStart"/>
            <w:r w:rsidRPr="00EF3C6A">
              <w:rPr>
                <w:rFonts w:ascii="Arial Narrow" w:hAnsi="Arial Narrow" w:cs="Times New Roman"/>
                <w:snapToGrid/>
                <w:sz w:val="20"/>
              </w:rPr>
              <w:t>sunitinib</w:t>
            </w:r>
            <w:proofErr w:type="spellEnd"/>
            <w:r w:rsidRPr="00EF3C6A">
              <w:rPr>
                <w:rFonts w:ascii="Arial Narrow" w:hAnsi="Arial Narrow" w:cs="Times New Roman"/>
                <w:snapToGrid/>
                <w:sz w:val="20"/>
              </w:rPr>
              <w:t xml:space="preserve"> (S) for treatment-naïve advanced or metastatic renal cell carcinoma (</w:t>
            </w:r>
            <w:proofErr w:type="spellStart"/>
            <w:r w:rsidRPr="00EF3C6A">
              <w:rPr>
                <w:rFonts w:ascii="Arial Narrow" w:hAnsi="Arial Narrow" w:cs="Times New Roman"/>
                <w:snapToGrid/>
                <w:sz w:val="20"/>
              </w:rPr>
              <w:t>mRCC</w:t>
            </w:r>
            <w:proofErr w:type="spellEnd"/>
            <w:r w:rsidRPr="00EF3C6A">
              <w:rPr>
                <w:rFonts w:ascii="Arial Narrow" w:hAnsi="Arial Narrow" w:cs="Times New Roman"/>
                <w:snapToGrid/>
                <w:sz w:val="20"/>
              </w:rPr>
              <w:t>), including IMDC risk and PD-L1 expression subgroups.</w:t>
            </w:r>
          </w:p>
          <w:p w:rsidR="00FF4CF1" w:rsidRPr="00EF3C6A" w:rsidRDefault="00FF4CF1" w:rsidP="00220B7B">
            <w:pPr>
              <w:keepNext/>
              <w:keepLines/>
              <w:widowControl/>
              <w:jc w:val="left"/>
              <w:rPr>
                <w:rFonts w:ascii="Arial Narrow" w:hAnsi="Arial Narrow" w:cs="Times New Roman"/>
                <w:snapToGrid/>
                <w:sz w:val="20"/>
              </w:rPr>
            </w:pPr>
          </w:p>
        </w:tc>
        <w:tc>
          <w:tcPr>
            <w:tcW w:w="1177" w:type="pct"/>
            <w:tcBorders>
              <w:left w:val="single" w:sz="4" w:space="0" w:color="auto"/>
            </w:tcBorders>
          </w:tcPr>
          <w:p w:rsidR="00FF4CF1" w:rsidRPr="00EF3C6A" w:rsidRDefault="00FF4CF1" w:rsidP="00FF4CF1">
            <w:pPr>
              <w:keepNext/>
              <w:keepLines/>
              <w:widowControl/>
              <w:jc w:val="left"/>
              <w:rPr>
                <w:rFonts w:ascii="Arial Narrow" w:hAnsi="Arial Narrow" w:cs="Times New Roman"/>
                <w:snapToGrid/>
                <w:sz w:val="20"/>
              </w:rPr>
            </w:pPr>
            <w:r w:rsidRPr="00EF3C6A">
              <w:rPr>
                <w:rFonts w:ascii="Arial Narrow" w:hAnsi="Arial Narrow" w:cs="Times New Roman"/>
                <w:snapToGrid/>
                <w:sz w:val="20"/>
              </w:rPr>
              <w:t>Annals of Oncology. 2017; 28(Suppl5): LBA5</w:t>
            </w:r>
          </w:p>
          <w:p w:rsidR="00FF4CF1" w:rsidRPr="00EF3C6A" w:rsidRDefault="00FF4CF1" w:rsidP="00220B7B">
            <w:pPr>
              <w:keepNext/>
              <w:keepLines/>
              <w:widowControl/>
              <w:jc w:val="left"/>
              <w:rPr>
                <w:rFonts w:ascii="Arial Narrow" w:hAnsi="Arial Narrow" w:cs="Times New Roman"/>
                <w:snapToGrid/>
                <w:sz w:val="20"/>
              </w:rPr>
            </w:pPr>
          </w:p>
        </w:tc>
      </w:tr>
      <w:tr w:rsidR="00FF4CF1" w:rsidRPr="00EF3C6A" w:rsidTr="00FF4CF1">
        <w:tc>
          <w:tcPr>
            <w:tcW w:w="796" w:type="pct"/>
            <w:vMerge/>
            <w:tcBorders>
              <w:right w:val="single" w:sz="4" w:space="0" w:color="auto"/>
            </w:tcBorders>
            <w:vAlign w:val="center"/>
          </w:tcPr>
          <w:p w:rsidR="00FF4CF1" w:rsidRPr="00EF3C6A" w:rsidRDefault="00FF4CF1" w:rsidP="00220B7B">
            <w:pPr>
              <w:keepNext/>
              <w:keepLines/>
              <w:widowControl/>
              <w:jc w:val="left"/>
              <w:rPr>
                <w:rFonts w:ascii="Arial Narrow" w:hAnsi="Arial Narrow" w:cs="Times New Roman"/>
                <w:snapToGrid/>
                <w:sz w:val="20"/>
              </w:rPr>
            </w:pPr>
          </w:p>
        </w:tc>
        <w:tc>
          <w:tcPr>
            <w:tcW w:w="3027" w:type="pct"/>
            <w:tcBorders>
              <w:top w:val="nil"/>
              <w:left w:val="single" w:sz="4" w:space="0" w:color="auto"/>
              <w:bottom w:val="nil"/>
              <w:right w:val="single" w:sz="4" w:space="0" w:color="auto"/>
            </w:tcBorders>
            <w:vAlign w:val="center"/>
          </w:tcPr>
          <w:p w:rsidR="00FF4CF1" w:rsidRPr="00EF3C6A" w:rsidRDefault="00FF4CF1" w:rsidP="00220B7B">
            <w:pPr>
              <w:keepNext/>
              <w:keepLines/>
              <w:widowControl/>
              <w:jc w:val="left"/>
              <w:rPr>
                <w:rFonts w:ascii="Arial Narrow" w:hAnsi="Arial Narrow" w:cs="Times New Roman"/>
                <w:snapToGrid/>
                <w:sz w:val="20"/>
                <w:szCs w:val="18"/>
              </w:rPr>
            </w:pPr>
            <w:r w:rsidRPr="00EF3C6A">
              <w:rPr>
                <w:rFonts w:ascii="Arial Narrow" w:hAnsi="Arial Narrow" w:cs="Times New Roman"/>
                <w:snapToGrid/>
                <w:sz w:val="20"/>
                <w:szCs w:val="18"/>
              </w:rPr>
              <w:t xml:space="preserve">Motzer RJ, </w:t>
            </w:r>
            <w:proofErr w:type="spellStart"/>
            <w:r w:rsidRPr="00EF3C6A">
              <w:rPr>
                <w:rFonts w:ascii="Arial Narrow" w:hAnsi="Arial Narrow" w:cs="Times New Roman"/>
                <w:snapToGrid/>
                <w:sz w:val="20"/>
                <w:szCs w:val="18"/>
              </w:rPr>
              <w:t>Tannir</w:t>
            </w:r>
            <w:proofErr w:type="spellEnd"/>
            <w:r w:rsidRPr="00EF3C6A">
              <w:rPr>
                <w:rFonts w:ascii="Arial Narrow" w:hAnsi="Arial Narrow" w:cs="Times New Roman"/>
                <w:snapToGrid/>
                <w:sz w:val="20"/>
                <w:szCs w:val="18"/>
              </w:rPr>
              <w:t xml:space="preserve"> NM, McDermott DF, et al. Nivolumab + Ipilimumab (N+I) vs </w:t>
            </w:r>
            <w:proofErr w:type="spellStart"/>
            <w:r w:rsidRPr="00EF3C6A">
              <w:rPr>
                <w:rFonts w:ascii="Arial Narrow" w:hAnsi="Arial Narrow" w:cs="Times New Roman"/>
                <w:snapToGrid/>
                <w:sz w:val="20"/>
                <w:szCs w:val="18"/>
              </w:rPr>
              <w:t>Sunitinib</w:t>
            </w:r>
            <w:proofErr w:type="spellEnd"/>
            <w:r w:rsidRPr="00EF3C6A">
              <w:rPr>
                <w:rFonts w:ascii="Arial Narrow" w:hAnsi="Arial Narrow" w:cs="Times New Roman"/>
                <w:snapToGrid/>
                <w:sz w:val="20"/>
                <w:szCs w:val="18"/>
              </w:rPr>
              <w:t xml:space="preserve"> (S) for treatment-naïve advanced or metastatic renal cell carcinoma (</w:t>
            </w:r>
            <w:proofErr w:type="spellStart"/>
            <w:r w:rsidRPr="00EF3C6A">
              <w:rPr>
                <w:rFonts w:ascii="Arial Narrow" w:hAnsi="Arial Narrow" w:cs="Times New Roman"/>
                <w:snapToGrid/>
                <w:sz w:val="20"/>
                <w:szCs w:val="18"/>
              </w:rPr>
              <w:t>aRCC</w:t>
            </w:r>
            <w:proofErr w:type="spellEnd"/>
            <w:r w:rsidRPr="00EF3C6A">
              <w:rPr>
                <w:rFonts w:ascii="Arial Narrow" w:hAnsi="Arial Narrow" w:cs="Times New Roman"/>
                <w:snapToGrid/>
                <w:sz w:val="20"/>
                <w:szCs w:val="18"/>
              </w:rPr>
              <w:t xml:space="preserve">): results from </w:t>
            </w:r>
            <w:proofErr w:type="spellStart"/>
            <w:r w:rsidRPr="00EF3C6A">
              <w:rPr>
                <w:rFonts w:ascii="Arial Narrow" w:hAnsi="Arial Narrow" w:cs="Times New Roman"/>
                <w:snapToGrid/>
                <w:sz w:val="20"/>
                <w:szCs w:val="18"/>
              </w:rPr>
              <w:t>CheckMate</w:t>
            </w:r>
            <w:proofErr w:type="spellEnd"/>
            <w:r w:rsidRPr="00EF3C6A">
              <w:rPr>
                <w:rFonts w:ascii="Arial Narrow" w:hAnsi="Arial Narrow" w:cs="Times New Roman"/>
                <w:snapToGrid/>
                <w:sz w:val="20"/>
                <w:szCs w:val="18"/>
              </w:rPr>
              <w:t xml:space="preserve"> 214, including overall survival by subgroups.</w:t>
            </w:r>
          </w:p>
          <w:p w:rsidR="00FF4CF1" w:rsidRPr="00EF3C6A" w:rsidRDefault="00FF4CF1" w:rsidP="00220B7B">
            <w:pPr>
              <w:keepNext/>
              <w:keepLines/>
              <w:widowControl/>
              <w:jc w:val="left"/>
              <w:rPr>
                <w:rFonts w:ascii="Arial Narrow" w:hAnsi="Arial Narrow" w:cs="Times New Roman"/>
                <w:snapToGrid/>
                <w:sz w:val="20"/>
                <w:szCs w:val="18"/>
                <w:lang w:eastAsia="en-AU"/>
              </w:rPr>
            </w:pPr>
          </w:p>
        </w:tc>
        <w:tc>
          <w:tcPr>
            <w:tcW w:w="1177" w:type="pct"/>
            <w:tcBorders>
              <w:left w:val="single" w:sz="4" w:space="0" w:color="auto"/>
            </w:tcBorders>
          </w:tcPr>
          <w:p w:rsidR="00FF4CF1" w:rsidRPr="00EF3C6A" w:rsidRDefault="00FF4CF1" w:rsidP="00220B7B">
            <w:pPr>
              <w:keepNext/>
              <w:keepLines/>
              <w:widowControl/>
              <w:jc w:val="left"/>
              <w:rPr>
                <w:rFonts w:ascii="Arial Narrow" w:hAnsi="Arial Narrow" w:cs="Times New Roman"/>
                <w:snapToGrid/>
                <w:sz w:val="20"/>
                <w:szCs w:val="18"/>
                <w:lang w:eastAsia="en-AU"/>
              </w:rPr>
            </w:pPr>
            <w:r w:rsidRPr="00EF3C6A">
              <w:rPr>
                <w:rFonts w:ascii="Arial Narrow" w:hAnsi="Arial Narrow" w:cs="Times New Roman"/>
                <w:snapToGrid/>
                <w:sz w:val="20"/>
              </w:rPr>
              <w:t xml:space="preserve">Journal of </w:t>
            </w:r>
            <w:proofErr w:type="spellStart"/>
            <w:r w:rsidRPr="00EF3C6A">
              <w:rPr>
                <w:rFonts w:ascii="Arial Narrow" w:hAnsi="Arial Narrow" w:cs="Times New Roman"/>
                <w:snapToGrid/>
                <w:sz w:val="20"/>
              </w:rPr>
              <w:t>Immuno</w:t>
            </w:r>
            <w:proofErr w:type="spellEnd"/>
            <w:r w:rsidRPr="00EF3C6A">
              <w:rPr>
                <w:rFonts w:ascii="Arial Narrow" w:hAnsi="Arial Narrow" w:cs="Times New Roman"/>
                <w:snapToGrid/>
                <w:sz w:val="20"/>
              </w:rPr>
              <w:t xml:space="preserve"> Therapy of Cancer. 2017; 5(</w:t>
            </w:r>
            <w:proofErr w:type="spellStart"/>
            <w:r w:rsidRPr="00EF3C6A">
              <w:rPr>
                <w:rFonts w:ascii="Arial Narrow" w:hAnsi="Arial Narrow" w:cs="Times New Roman"/>
                <w:snapToGrid/>
                <w:sz w:val="20"/>
              </w:rPr>
              <w:t>Suppl</w:t>
            </w:r>
            <w:proofErr w:type="spellEnd"/>
            <w:r w:rsidRPr="00EF3C6A">
              <w:rPr>
                <w:rFonts w:ascii="Arial Narrow" w:hAnsi="Arial Narrow" w:cs="Times New Roman"/>
                <w:snapToGrid/>
                <w:sz w:val="20"/>
              </w:rPr>
              <w:t xml:space="preserve"> 3): 89, O38:p2.</w:t>
            </w:r>
          </w:p>
        </w:tc>
      </w:tr>
      <w:tr w:rsidR="00FF4CF1" w:rsidRPr="00EF3C6A" w:rsidTr="002518B4">
        <w:tc>
          <w:tcPr>
            <w:tcW w:w="796" w:type="pct"/>
            <w:vMerge/>
            <w:tcBorders>
              <w:bottom w:val="single" w:sz="4" w:space="0" w:color="auto"/>
              <w:right w:val="single" w:sz="4" w:space="0" w:color="auto"/>
            </w:tcBorders>
            <w:vAlign w:val="center"/>
          </w:tcPr>
          <w:p w:rsidR="00FF4CF1" w:rsidRPr="00EF3C6A" w:rsidRDefault="00FF4CF1" w:rsidP="00220B7B">
            <w:pPr>
              <w:keepNext/>
              <w:keepLines/>
              <w:widowControl/>
              <w:jc w:val="left"/>
              <w:rPr>
                <w:rFonts w:ascii="Arial Narrow" w:hAnsi="Arial Narrow" w:cs="Times New Roman"/>
                <w:snapToGrid/>
                <w:sz w:val="20"/>
              </w:rPr>
            </w:pPr>
          </w:p>
        </w:tc>
        <w:tc>
          <w:tcPr>
            <w:tcW w:w="3027" w:type="pct"/>
            <w:tcBorders>
              <w:top w:val="nil"/>
              <w:left w:val="single" w:sz="4" w:space="0" w:color="auto"/>
              <w:bottom w:val="single" w:sz="4" w:space="0" w:color="auto"/>
              <w:right w:val="single" w:sz="4" w:space="0" w:color="auto"/>
            </w:tcBorders>
          </w:tcPr>
          <w:p w:rsidR="00FF4CF1" w:rsidRPr="00EF3C6A" w:rsidRDefault="00FF4CF1" w:rsidP="00220B7B">
            <w:pPr>
              <w:keepNext/>
              <w:keepLines/>
              <w:widowControl/>
              <w:jc w:val="left"/>
              <w:rPr>
                <w:rFonts w:ascii="Arial Narrow" w:hAnsi="Arial Narrow" w:cs="Times New Roman"/>
                <w:snapToGrid/>
                <w:sz w:val="20"/>
                <w:szCs w:val="18"/>
                <w:lang w:val="en-US" w:eastAsia="en-AU"/>
              </w:rPr>
            </w:pPr>
            <w:r w:rsidRPr="00EF3C6A">
              <w:rPr>
                <w:rFonts w:ascii="Arial Narrow" w:hAnsi="Arial Narrow" w:cs="Times New Roman"/>
                <w:snapToGrid/>
                <w:sz w:val="20"/>
              </w:rPr>
              <w:t xml:space="preserve">Motzer RJ, </w:t>
            </w:r>
            <w:proofErr w:type="spellStart"/>
            <w:r w:rsidRPr="00EF3C6A">
              <w:rPr>
                <w:rFonts w:ascii="Arial Narrow" w:hAnsi="Arial Narrow" w:cs="Times New Roman"/>
                <w:snapToGrid/>
                <w:sz w:val="20"/>
              </w:rPr>
              <w:t>Tannir</w:t>
            </w:r>
            <w:proofErr w:type="spellEnd"/>
            <w:r w:rsidRPr="00EF3C6A">
              <w:rPr>
                <w:rFonts w:ascii="Arial Narrow" w:hAnsi="Arial Narrow" w:cs="Times New Roman"/>
                <w:snapToGrid/>
                <w:sz w:val="20"/>
              </w:rPr>
              <w:t xml:space="preserve"> NM, McDermott DF, et al. Nivolumab plus Ipilimumab versus </w:t>
            </w:r>
            <w:proofErr w:type="spellStart"/>
            <w:r w:rsidRPr="00EF3C6A">
              <w:rPr>
                <w:rFonts w:ascii="Arial Narrow" w:hAnsi="Arial Narrow" w:cs="Times New Roman"/>
                <w:snapToGrid/>
                <w:sz w:val="20"/>
              </w:rPr>
              <w:t>Sunitinib</w:t>
            </w:r>
            <w:proofErr w:type="spellEnd"/>
            <w:r w:rsidRPr="00EF3C6A">
              <w:rPr>
                <w:rFonts w:ascii="Arial Narrow" w:hAnsi="Arial Narrow" w:cs="Times New Roman"/>
                <w:snapToGrid/>
                <w:sz w:val="20"/>
              </w:rPr>
              <w:t xml:space="preserve"> in Advanced Renal-Cell Carcinoma.</w:t>
            </w:r>
          </w:p>
        </w:tc>
        <w:tc>
          <w:tcPr>
            <w:tcW w:w="1177" w:type="pct"/>
            <w:tcBorders>
              <w:left w:val="single" w:sz="4" w:space="0" w:color="auto"/>
            </w:tcBorders>
            <w:vAlign w:val="center"/>
          </w:tcPr>
          <w:p w:rsidR="00FF4CF1" w:rsidRPr="00EF3C6A" w:rsidRDefault="00FF4CF1" w:rsidP="00220B7B">
            <w:pPr>
              <w:keepNext/>
              <w:keepLines/>
              <w:widowControl/>
              <w:jc w:val="left"/>
              <w:rPr>
                <w:rFonts w:ascii="Arial Narrow" w:hAnsi="Arial Narrow" w:cs="Times New Roman"/>
                <w:snapToGrid/>
                <w:sz w:val="20"/>
                <w:szCs w:val="18"/>
                <w:lang w:val="en-US" w:eastAsia="en-AU"/>
              </w:rPr>
            </w:pPr>
            <w:r w:rsidRPr="00EF3C6A">
              <w:rPr>
                <w:rFonts w:ascii="Arial Narrow" w:hAnsi="Arial Narrow" w:cs="Times New Roman"/>
                <w:snapToGrid/>
                <w:sz w:val="20"/>
              </w:rPr>
              <w:t>The New England Journal of Medicine. 2018; 378(14):1277-1290.</w:t>
            </w:r>
          </w:p>
        </w:tc>
      </w:tr>
    </w:tbl>
    <w:p w:rsidR="001F294C" w:rsidRPr="00EF3C6A" w:rsidRDefault="001F294C" w:rsidP="00220B7B">
      <w:pPr>
        <w:pStyle w:val="TableFooter"/>
        <w:keepNext/>
        <w:keepLines/>
      </w:pPr>
      <w:r w:rsidRPr="00EF3C6A">
        <w:t>Source: Table 30, p 55 of the submission.</w:t>
      </w:r>
    </w:p>
    <w:p w:rsidR="001F294C" w:rsidRPr="00EF3C6A" w:rsidRDefault="001F294C" w:rsidP="001F294C"/>
    <w:p w:rsidR="001F294C" w:rsidRPr="00EF3C6A" w:rsidRDefault="001F294C" w:rsidP="001F294C">
      <w:pPr>
        <w:pStyle w:val="ListParagraph"/>
        <w:widowControl/>
        <w:numPr>
          <w:ilvl w:val="1"/>
          <w:numId w:val="3"/>
        </w:numPr>
      </w:pPr>
      <w:r w:rsidRPr="00EF3C6A">
        <w:t xml:space="preserve">The key features of the direct randomised trial are summarised in the table below.  </w:t>
      </w:r>
    </w:p>
    <w:p w:rsidR="001F294C" w:rsidRPr="00EF3C6A" w:rsidRDefault="001F294C" w:rsidP="00220B7B">
      <w:pPr>
        <w:pStyle w:val="Caption"/>
        <w:keepNext/>
        <w:keepLines/>
        <w:spacing w:after="0"/>
        <w:rPr>
          <w:rStyle w:val="CommentReference"/>
          <w:b/>
          <w:color w:val="auto"/>
        </w:rPr>
      </w:pPr>
      <w:r w:rsidRPr="00EF3C6A">
        <w:rPr>
          <w:rStyle w:val="CommentReference"/>
          <w:b/>
          <w:color w:val="auto"/>
        </w:rPr>
        <w:lastRenderedPageBreak/>
        <w:t xml:space="preserve">Table </w:t>
      </w:r>
      <w:r w:rsidR="004A2895">
        <w:rPr>
          <w:rStyle w:val="CommentReference"/>
          <w:b/>
          <w:noProof/>
          <w:color w:val="auto"/>
        </w:rPr>
        <w:t>3</w:t>
      </w:r>
      <w:r w:rsidRPr="00EF3C6A">
        <w:rPr>
          <w:rStyle w:val="CommentReference"/>
          <w:b/>
          <w:color w:val="auto"/>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33"/>
        <w:gridCol w:w="867"/>
        <w:gridCol w:w="1456"/>
        <w:gridCol w:w="1157"/>
        <w:gridCol w:w="1597"/>
        <w:gridCol w:w="1159"/>
        <w:gridCol w:w="1754"/>
      </w:tblGrid>
      <w:tr w:rsidR="001B6A58" w:rsidRPr="00EF3C6A" w:rsidTr="001F294C">
        <w:tc>
          <w:tcPr>
            <w:tcW w:w="711" w:type="pct"/>
            <w:shd w:val="clear" w:color="auto" w:fill="auto"/>
            <w:vAlign w:val="center"/>
          </w:tcPr>
          <w:p w:rsidR="001F294C" w:rsidRPr="00EF3C6A" w:rsidRDefault="001F294C" w:rsidP="00220B7B">
            <w:pPr>
              <w:pStyle w:val="Tabletext"/>
              <w:keepNext/>
              <w:keepLines/>
              <w:rPr>
                <w:b/>
                <w:lang w:val="en-US"/>
              </w:rPr>
            </w:pPr>
            <w:r w:rsidRPr="00EF3C6A">
              <w:rPr>
                <w:b/>
                <w:lang w:val="en-US"/>
              </w:rPr>
              <w:t>Trial</w:t>
            </w:r>
          </w:p>
        </w:tc>
        <w:tc>
          <w:tcPr>
            <w:tcW w:w="466" w:type="pct"/>
            <w:shd w:val="clear" w:color="auto" w:fill="auto"/>
            <w:vAlign w:val="center"/>
          </w:tcPr>
          <w:p w:rsidR="001F294C" w:rsidRPr="00EF3C6A" w:rsidRDefault="001F294C" w:rsidP="00220B7B">
            <w:pPr>
              <w:pStyle w:val="Tabletext"/>
              <w:keepNext/>
              <w:keepLines/>
              <w:jc w:val="center"/>
              <w:rPr>
                <w:b/>
                <w:lang w:val="en-US"/>
              </w:rPr>
            </w:pPr>
            <w:r w:rsidRPr="00EF3C6A">
              <w:rPr>
                <w:b/>
                <w:lang w:val="en-US"/>
              </w:rPr>
              <w:t>N</w:t>
            </w:r>
          </w:p>
        </w:tc>
        <w:tc>
          <w:tcPr>
            <w:tcW w:w="782" w:type="pct"/>
            <w:shd w:val="clear" w:color="auto" w:fill="auto"/>
            <w:vAlign w:val="center"/>
          </w:tcPr>
          <w:p w:rsidR="001F294C" w:rsidRPr="00EF3C6A" w:rsidRDefault="001F294C" w:rsidP="00220B7B">
            <w:pPr>
              <w:pStyle w:val="Tabletext"/>
              <w:keepNext/>
              <w:keepLines/>
              <w:jc w:val="center"/>
              <w:rPr>
                <w:b/>
                <w:lang w:val="en-US"/>
              </w:rPr>
            </w:pPr>
            <w:r w:rsidRPr="00EF3C6A">
              <w:rPr>
                <w:b/>
                <w:lang w:val="en-US"/>
              </w:rPr>
              <w:t>Design/ duration of follow-up</w:t>
            </w:r>
          </w:p>
        </w:tc>
        <w:tc>
          <w:tcPr>
            <w:tcW w:w="621" w:type="pct"/>
            <w:shd w:val="clear" w:color="auto" w:fill="auto"/>
            <w:vAlign w:val="center"/>
          </w:tcPr>
          <w:p w:rsidR="001F294C" w:rsidRPr="00EF3C6A" w:rsidRDefault="001F294C" w:rsidP="00220B7B">
            <w:pPr>
              <w:pStyle w:val="Tabletext"/>
              <w:keepNext/>
              <w:keepLines/>
              <w:jc w:val="center"/>
              <w:rPr>
                <w:b/>
                <w:lang w:val="en-US"/>
              </w:rPr>
            </w:pPr>
            <w:r w:rsidRPr="00EF3C6A">
              <w:rPr>
                <w:b/>
                <w:lang w:val="en-US"/>
              </w:rPr>
              <w:t>Risk of bias</w:t>
            </w:r>
          </w:p>
        </w:tc>
        <w:tc>
          <w:tcPr>
            <w:tcW w:w="857" w:type="pct"/>
            <w:shd w:val="clear" w:color="auto" w:fill="auto"/>
            <w:vAlign w:val="center"/>
          </w:tcPr>
          <w:p w:rsidR="001F294C" w:rsidRPr="00EF3C6A" w:rsidRDefault="001F294C" w:rsidP="00220B7B">
            <w:pPr>
              <w:pStyle w:val="Tabletext"/>
              <w:keepNext/>
              <w:keepLines/>
              <w:jc w:val="center"/>
              <w:rPr>
                <w:b/>
                <w:lang w:val="en-US"/>
              </w:rPr>
            </w:pPr>
            <w:r w:rsidRPr="00EF3C6A">
              <w:rPr>
                <w:b/>
                <w:lang w:val="en-US"/>
              </w:rPr>
              <w:t>Patient population</w:t>
            </w:r>
          </w:p>
        </w:tc>
        <w:tc>
          <w:tcPr>
            <w:tcW w:w="622" w:type="pct"/>
            <w:shd w:val="clear" w:color="auto" w:fill="auto"/>
            <w:vAlign w:val="center"/>
          </w:tcPr>
          <w:p w:rsidR="001F294C" w:rsidRPr="00EF3C6A" w:rsidRDefault="001F294C" w:rsidP="00220B7B">
            <w:pPr>
              <w:pStyle w:val="Tabletext"/>
              <w:keepNext/>
              <w:keepLines/>
              <w:jc w:val="center"/>
              <w:rPr>
                <w:b/>
                <w:lang w:val="en-US"/>
              </w:rPr>
            </w:pPr>
            <w:r w:rsidRPr="00EF3C6A">
              <w:rPr>
                <w:b/>
                <w:lang w:val="en-US"/>
              </w:rPr>
              <w:t>Outcome(s)</w:t>
            </w:r>
          </w:p>
        </w:tc>
        <w:tc>
          <w:tcPr>
            <w:tcW w:w="941" w:type="pct"/>
            <w:shd w:val="clear" w:color="auto" w:fill="auto"/>
            <w:vAlign w:val="center"/>
          </w:tcPr>
          <w:p w:rsidR="001F294C" w:rsidRPr="00EF3C6A" w:rsidRDefault="001F294C" w:rsidP="00220B7B">
            <w:pPr>
              <w:pStyle w:val="Tabletext"/>
              <w:keepNext/>
              <w:keepLines/>
              <w:jc w:val="center"/>
              <w:rPr>
                <w:b/>
                <w:lang w:val="en-US"/>
              </w:rPr>
            </w:pPr>
            <w:r w:rsidRPr="00EF3C6A">
              <w:rPr>
                <w:b/>
                <w:lang w:val="en-US"/>
              </w:rPr>
              <w:t>Use in modelled evaluation</w:t>
            </w:r>
          </w:p>
        </w:tc>
      </w:tr>
      <w:tr w:rsidR="001F294C" w:rsidRPr="00EF3C6A" w:rsidTr="001F294C">
        <w:tc>
          <w:tcPr>
            <w:tcW w:w="5000" w:type="pct"/>
            <w:gridSpan w:val="7"/>
            <w:shd w:val="clear" w:color="auto" w:fill="auto"/>
            <w:vAlign w:val="center"/>
          </w:tcPr>
          <w:p w:rsidR="001F294C" w:rsidRPr="00EF3C6A" w:rsidRDefault="001F294C" w:rsidP="00220B7B">
            <w:pPr>
              <w:pStyle w:val="Tabletext"/>
              <w:keepNext/>
              <w:keepLines/>
              <w:rPr>
                <w:b/>
                <w:lang w:val="en-US"/>
              </w:rPr>
            </w:pPr>
            <w:r w:rsidRPr="00EF3C6A">
              <w:rPr>
                <w:b/>
                <w:lang w:val="en-US"/>
              </w:rPr>
              <w:t xml:space="preserve">NIVO+IPI compared with </w:t>
            </w:r>
            <w:proofErr w:type="spellStart"/>
            <w:r w:rsidRPr="00EF3C6A">
              <w:rPr>
                <w:b/>
                <w:lang w:val="en-US"/>
              </w:rPr>
              <w:t>sunitinib</w:t>
            </w:r>
            <w:proofErr w:type="spellEnd"/>
          </w:p>
        </w:tc>
      </w:tr>
      <w:tr w:rsidR="00FC1F12" w:rsidRPr="00EF3C6A" w:rsidTr="001F294C">
        <w:tc>
          <w:tcPr>
            <w:tcW w:w="711" w:type="pct"/>
            <w:shd w:val="clear" w:color="auto" w:fill="auto"/>
            <w:vAlign w:val="center"/>
          </w:tcPr>
          <w:p w:rsidR="00FC1F12" w:rsidRPr="00EF3C6A" w:rsidRDefault="00FC1F12" w:rsidP="00220B7B">
            <w:pPr>
              <w:pStyle w:val="Tabletext"/>
              <w:keepNext/>
              <w:keepLines/>
              <w:rPr>
                <w:lang w:val="en-US"/>
              </w:rPr>
            </w:pPr>
            <w:r w:rsidRPr="00EF3C6A">
              <w:rPr>
                <w:lang w:val="en-US"/>
              </w:rPr>
              <w:t>Patients with intermediate/poor prognosis included in Study CA209214</w:t>
            </w:r>
          </w:p>
        </w:tc>
        <w:tc>
          <w:tcPr>
            <w:tcW w:w="466" w:type="pct"/>
            <w:shd w:val="clear" w:color="auto" w:fill="auto"/>
            <w:vAlign w:val="center"/>
          </w:tcPr>
          <w:p w:rsidR="00FC1F12" w:rsidRPr="00B07F6B" w:rsidRDefault="00B07F6B" w:rsidP="00220B7B">
            <w:pPr>
              <w:pStyle w:val="Tabletext"/>
              <w:keepNext/>
              <w:keepLines/>
              <w:jc w:val="center"/>
              <w:rPr>
                <w:highlight w:val="black"/>
                <w:lang w:val="en-US"/>
              </w:rPr>
            </w:pPr>
            <w:r>
              <w:rPr>
                <w:noProof/>
                <w:color w:val="000000"/>
                <w:highlight w:val="black"/>
                <w:lang w:val="en-US"/>
              </w:rPr>
              <w:t>''''''''''</w:t>
            </w:r>
          </w:p>
        </w:tc>
        <w:tc>
          <w:tcPr>
            <w:tcW w:w="782" w:type="pct"/>
            <w:shd w:val="clear" w:color="auto" w:fill="auto"/>
            <w:vAlign w:val="center"/>
          </w:tcPr>
          <w:p w:rsidR="00FC1F12" w:rsidRPr="00FC1F12" w:rsidRDefault="00FC1F12" w:rsidP="00FC1F12">
            <w:pPr>
              <w:pStyle w:val="Tabletext"/>
              <w:keepNext/>
              <w:keepLines/>
              <w:jc w:val="center"/>
              <w:rPr>
                <w:lang w:val="en-US"/>
              </w:rPr>
            </w:pPr>
            <w:r w:rsidRPr="00FC1F12">
              <w:rPr>
                <w:lang w:val="en-US"/>
              </w:rPr>
              <w:t>R, OL</w:t>
            </w:r>
          </w:p>
          <w:p w:rsidR="00FC1F12" w:rsidRPr="00FC1F12" w:rsidRDefault="00B07F6B" w:rsidP="00220B7B">
            <w:pPr>
              <w:pStyle w:val="Tabletext"/>
              <w:keepNext/>
              <w:keepLines/>
              <w:jc w:val="center"/>
              <w:rPr>
                <w:lang w:val="en-US"/>
              </w:rPr>
            </w:pPr>
            <w:r>
              <w:rPr>
                <w:noProof/>
                <w:color w:val="000000"/>
                <w:highlight w:val="black"/>
                <w:lang w:val="en-US"/>
              </w:rPr>
              <w:t>''''''</w:t>
            </w:r>
            <w:r w:rsidR="00FC1F12" w:rsidRPr="00FC1F12">
              <w:rPr>
                <w:lang w:val="en-US"/>
              </w:rPr>
              <w:t xml:space="preserve"> </w:t>
            </w:r>
            <w:proofErr w:type="spellStart"/>
            <w:r w:rsidR="00FC1F12" w:rsidRPr="00FC1F12">
              <w:rPr>
                <w:lang w:val="en-US"/>
              </w:rPr>
              <w:t>mths</w:t>
            </w:r>
            <w:r w:rsidR="00FC1F12" w:rsidRPr="00FC1F12">
              <w:rPr>
                <w:vertAlign w:val="superscript"/>
                <w:lang w:val="en-US"/>
              </w:rPr>
              <w:t>a</w:t>
            </w:r>
            <w:proofErr w:type="spellEnd"/>
          </w:p>
        </w:tc>
        <w:tc>
          <w:tcPr>
            <w:tcW w:w="621" w:type="pct"/>
            <w:shd w:val="clear" w:color="auto" w:fill="auto"/>
            <w:vAlign w:val="center"/>
          </w:tcPr>
          <w:p w:rsidR="00FC1F12" w:rsidRPr="00EF3C6A" w:rsidRDefault="00FC1F12" w:rsidP="00220B7B">
            <w:pPr>
              <w:pStyle w:val="Tabletext"/>
              <w:keepNext/>
              <w:keepLines/>
              <w:jc w:val="center"/>
              <w:rPr>
                <w:vertAlign w:val="superscript"/>
                <w:lang w:val="en-US"/>
              </w:rPr>
            </w:pPr>
            <w:r w:rsidRPr="00EF3C6A">
              <w:rPr>
                <w:lang w:val="en-US"/>
              </w:rPr>
              <w:t>High for PFS and EQ-5D; moderate to unclear for OS </w:t>
            </w:r>
            <w:r w:rsidRPr="00EF3C6A">
              <w:rPr>
                <w:vertAlign w:val="superscript"/>
                <w:lang w:val="en-US"/>
              </w:rPr>
              <w:t>b</w:t>
            </w:r>
          </w:p>
          <w:p w:rsidR="00FC1F12" w:rsidRPr="00EF3C6A" w:rsidRDefault="00FC1F12" w:rsidP="00220B7B">
            <w:pPr>
              <w:pStyle w:val="Tabletext"/>
              <w:keepNext/>
              <w:keepLines/>
              <w:jc w:val="center"/>
              <w:rPr>
                <w:lang w:val="en-US"/>
              </w:rPr>
            </w:pPr>
          </w:p>
        </w:tc>
        <w:tc>
          <w:tcPr>
            <w:tcW w:w="857" w:type="pct"/>
            <w:shd w:val="clear" w:color="auto" w:fill="auto"/>
            <w:vAlign w:val="center"/>
          </w:tcPr>
          <w:p w:rsidR="00FC1F12" w:rsidRPr="00EF3C6A" w:rsidRDefault="00FC1F12" w:rsidP="00220B7B">
            <w:pPr>
              <w:pStyle w:val="Tabletext"/>
              <w:keepNext/>
              <w:keepLines/>
              <w:jc w:val="center"/>
              <w:rPr>
                <w:lang w:val="en-US"/>
              </w:rPr>
            </w:pPr>
            <w:r w:rsidRPr="00EF3C6A">
              <w:rPr>
                <w:lang w:val="en-US"/>
              </w:rPr>
              <w:t>Previously untreated Stage IV clear cell variant RCC who have intermediate to poor prognostic risk</w:t>
            </w:r>
          </w:p>
        </w:tc>
        <w:tc>
          <w:tcPr>
            <w:tcW w:w="622" w:type="pct"/>
            <w:shd w:val="clear" w:color="auto" w:fill="auto"/>
            <w:vAlign w:val="center"/>
          </w:tcPr>
          <w:p w:rsidR="00FC1F12" w:rsidRPr="00EF3C6A" w:rsidRDefault="00FC1F12" w:rsidP="00220B7B">
            <w:pPr>
              <w:pStyle w:val="Tabletext"/>
              <w:keepNext/>
              <w:keepLines/>
              <w:jc w:val="center"/>
              <w:rPr>
                <w:lang w:val="en-US"/>
              </w:rPr>
            </w:pPr>
            <w:proofErr w:type="spellStart"/>
            <w:r w:rsidRPr="00EF3C6A">
              <w:rPr>
                <w:lang w:val="en-US"/>
              </w:rPr>
              <w:t>ORR</w:t>
            </w:r>
            <w:r w:rsidRPr="00EF3C6A">
              <w:rPr>
                <w:vertAlign w:val="superscript"/>
                <w:lang w:val="en-US"/>
              </w:rPr>
              <w:t>c</w:t>
            </w:r>
            <w:proofErr w:type="spellEnd"/>
            <w:r w:rsidRPr="00EF3C6A">
              <w:rPr>
                <w:lang w:val="en-US"/>
              </w:rPr>
              <w:t xml:space="preserve">, </w:t>
            </w:r>
            <w:proofErr w:type="spellStart"/>
            <w:r w:rsidRPr="00EF3C6A">
              <w:rPr>
                <w:lang w:val="en-US"/>
              </w:rPr>
              <w:t>PFS</w:t>
            </w:r>
            <w:r w:rsidRPr="00EF3C6A">
              <w:rPr>
                <w:vertAlign w:val="superscript"/>
                <w:lang w:val="en-US"/>
              </w:rPr>
              <w:t>c</w:t>
            </w:r>
            <w:proofErr w:type="spellEnd"/>
            <w:r w:rsidRPr="00EF3C6A">
              <w:rPr>
                <w:lang w:val="en-US"/>
              </w:rPr>
              <w:t>, OS, EQ-5D</w:t>
            </w:r>
          </w:p>
        </w:tc>
        <w:tc>
          <w:tcPr>
            <w:tcW w:w="941" w:type="pct"/>
            <w:shd w:val="clear" w:color="auto" w:fill="auto"/>
            <w:vAlign w:val="center"/>
          </w:tcPr>
          <w:p w:rsidR="00FC1F12" w:rsidRPr="00EF3C6A" w:rsidRDefault="00FC1F12" w:rsidP="00220B7B">
            <w:pPr>
              <w:pStyle w:val="Tabletext"/>
              <w:keepNext/>
              <w:keepLines/>
              <w:jc w:val="center"/>
              <w:rPr>
                <w:lang w:val="en-US"/>
              </w:rPr>
            </w:pPr>
            <w:r w:rsidRPr="00EF3C6A">
              <w:rPr>
                <w:lang w:val="en-US"/>
              </w:rPr>
              <w:t>PFS, OS, EQ-5D used</w:t>
            </w:r>
          </w:p>
        </w:tc>
      </w:tr>
    </w:tbl>
    <w:p w:rsidR="001F294C" w:rsidRPr="00EF3C6A" w:rsidRDefault="00DA5BAE" w:rsidP="00220B7B">
      <w:pPr>
        <w:pStyle w:val="TableFooter"/>
        <w:keepNext/>
        <w:keepLines/>
      </w:pPr>
      <w:r w:rsidRPr="00EF3C6A">
        <w:t xml:space="preserve">Abbreviations: </w:t>
      </w:r>
      <w:r w:rsidR="001F294C" w:rsidRPr="00EF3C6A">
        <w:t>R=randomised; OL=open label; RCC = renal cell carcinoma; ORR = objective response rate; PFS=progression-free survival; OS=overall survival.</w:t>
      </w:r>
    </w:p>
    <w:p w:rsidR="001F294C" w:rsidRPr="00EF3C6A" w:rsidRDefault="001F294C" w:rsidP="00220B7B">
      <w:pPr>
        <w:pStyle w:val="TableFooter"/>
        <w:keepNext/>
        <w:keepLines/>
      </w:pPr>
      <w:proofErr w:type="gramStart"/>
      <w:r w:rsidRPr="00EF3C6A">
        <w:rPr>
          <w:vertAlign w:val="superscript"/>
        </w:rPr>
        <w:t>a</w:t>
      </w:r>
      <w:proofErr w:type="gramEnd"/>
      <w:r w:rsidRPr="00EF3C6A">
        <w:rPr>
          <w:vertAlign w:val="superscript"/>
        </w:rPr>
        <w:t xml:space="preserve"> </w:t>
      </w:r>
      <w:r w:rsidRPr="00EF3C6A">
        <w:t xml:space="preserve">derived from Individual Patient Data for Study CA209214. </w:t>
      </w:r>
    </w:p>
    <w:p w:rsidR="001F294C" w:rsidRPr="00EF3C6A" w:rsidRDefault="001F294C" w:rsidP="00220B7B">
      <w:pPr>
        <w:pStyle w:val="TableFooter"/>
        <w:keepNext/>
        <w:keepLines/>
      </w:pPr>
      <w:proofErr w:type="gramStart"/>
      <w:r w:rsidRPr="00EF3C6A">
        <w:rPr>
          <w:vertAlign w:val="superscript"/>
        </w:rPr>
        <w:t>b</w:t>
      </w:r>
      <w:proofErr w:type="gramEnd"/>
      <w:r w:rsidRPr="00EF3C6A">
        <w:rPr>
          <w:vertAlign w:val="superscript"/>
        </w:rPr>
        <w:t xml:space="preserve"> </w:t>
      </w:r>
      <w:r w:rsidR="009C51DA" w:rsidRPr="00EF3C6A">
        <w:t xml:space="preserve">The commentary assigned a high risk of bias </w:t>
      </w:r>
      <w:r w:rsidR="00755DFA" w:rsidRPr="00EF3C6A">
        <w:t xml:space="preserve">for PFS </w:t>
      </w:r>
      <w:r w:rsidR="009C51DA" w:rsidRPr="00EF3C6A">
        <w:t>d</w:t>
      </w:r>
      <w:r w:rsidR="002E32C3" w:rsidRPr="00EF3C6A">
        <w:t>ue to patient</w:t>
      </w:r>
      <w:r w:rsidR="00644E9E" w:rsidRPr="00EF3C6A">
        <w:t xml:space="preserve">s </w:t>
      </w:r>
      <w:r w:rsidR="00484F95" w:rsidRPr="00EF3C6A">
        <w:t>being</w:t>
      </w:r>
      <w:r w:rsidR="002E32C3" w:rsidRPr="00EF3C6A">
        <w:t xml:space="preserve"> allowed to receive subsequent therapy prior to disease progression</w:t>
      </w:r>
      <w:r w:rsidR="001B6A58" w:rsidRPr="00EF3C6A">
        <w:t>. The ESC agreed that this led to a high risk of bias for the PFS outcome.</w:t>
      </w:r>
      <w:r w:rsidR="00DF5174">
        <w:t xml:space="preserve"> Given additional information provided in the </w:t>
      </w:r>
      <w:r w:rsidR="009C51DA" w:rsidRPr="00EF3C6A">
        <w:t xml:space="preserve">PSCR </w:t>
      </w:r>
      <w:r w:rsidR="001B6A58" w:rsidRPr="00EF3C6A">
        <w:t>regarding use of subsequent therapies</w:t>
      </w:r>
      <w:r w:rsidR="005E74A7" w:rsidRPr="00EF3C6A">
        <w:t xml:space="preserve"> (discussed below)</w:t>
      </w:r>
      <w:r w:rsidR="00DF5174">
        <w:t xml:space="preserve">, </w:t>
      </w:r>
      <w:r w:rsidR="001B6A58" w:rsidRPr="00EF3C6A">
        <w:t>the ESC considered th</w:t>
      </w:r>
      <w:r w:rsidR="00DF5174">
        <w:t>at</w:t>
      </w:r>
      <w:r w:rsidR="001B6A58" w:rsidRPr="00EF3C6A">
        <w:t xml:space="preserve"> the risk of bias for OS </w:t>
      </w:r>
      <w:r w:rsidR="00DF5174">
        <w:t>was</w:t>
      </w:r>
      <w:r w:rsidR="001B6A58" w:rsidRPr="00EF3C6A">
        <w:t xml:space="preserve"> moderate</w:t>
      </w:r>
      <w:r w:rsidR="00755DFA" w:rsidRPr="00EF3C6A">
        <w:t xml:space="preserve"> </w:t>
      </w:r>
      <w:r w:rsidR="001B6A58" w:rsidRPr="00EF3C6A">
        <w:t>t</w:t>
      </w:r>
      <w:r w:rsidR="00755DFA" w:rsidRPr="00EF3C6A">
        <w:t xml:space="preserve">o </w:t>
      </w:r>
      <w:r w:rsidR="001B6A58" w:rsidRPr="00EF3C6A">
        <w:t xml:space="preserve">unclear. The ESC </w:t>
      </w:r>
      <w:r w:rsidR="005E74A7" w:rsidRPr="00EF3C6A">
        <w:t>considere</w:t>
      </w:r>
      <w:r w:rsidR="001B6A58" w:rsidRPr="00EF3C6A">
        <w:t xml:space="preserve">d that there was a </w:t>
      </w:r>
      <w:r w:rsidRPr="00EF3C6A">
        <w:t>high risk of bias for patient reported outcomes (</w:t>
      </w:r>
      <w:r w:rsidR="00CB1535" w:rsidRPr="00EF3C6A">
        <w:t xml:space="preserve">some </w:t>
      </w:r>
      <w:r w:rsidRPr="00EF3C6A">
        <w:t xml:space="preserve">adverse events, and quality of life data) </w:t>
      </w:r>
      <w:r w:rsidR="0053345E" w:rsidRPr="00EF3C6A">
        <w:t>due to the open-label design.</w:t>
      </w:r>
    </w:p>
    <w:p w:rsidR="001F294C" w:rsidRPr="00EF3C6A" w:rsidRDefault="001F294C" w:rsidP="00220B7B">
      <w:pPr>
        <w:pStyle w:val="TableFooter"/>
        <w:keepNext/>
        <w:keepLines/>
      </w:pPr>
      <w:proofErr w:type="gramStart"/>
      <w:r w:rsidRPr="00EF3C6A">
        <w:rPr>
          <w:vertAlign w:val="superscript"/>
        </w:rPr>
        <w:t>c</w:t>
      </w:r>
      <w:proofErr w:type="gramEnd"/>
      <w:r w:rsidRPr="00EF3C6A">
        <w:rPr>
          <w:vertAlign w:val="superscript"/>
        </w:rPr>
        <w:t xml:space="preserve"> </w:t>
      </w:r>
      <w:r w:rsidRPr="00EF3C6A">
        <w:t>PFS and ORR were based on interpretation by an independent radiology review committee (IRRC) using Response Evaluation Criteria in Solid Tumours (RECIST) v 1.1</w:t>
      </w:r>
      <w:r w:rsidR="0053345E" w:rsidRPr="00EF3C6A">
        <w:t xml:space="preserve"> and investigator’s assessment</w:t>
      </w:r>
      <w:r w:rsidR="00844355" w:rsidRPr="00EF3C6A">
        <w:t>.</w:t>
      </w:r>
    </w:p>
    <w:p w:rsidR="004C5912" w:rsidRPr="00EF3C6A" w:rsidRDefault="004C5912" w:rsidP="00220B7B">
      <w:pPr>
        <w:pStyle w:val="TableFooter"/>
        <w:keepNext/>
        <w:keepLines/>
      </w:pPr>
      <w:r w:rsidRPr="00EF3C6A">
        <w:t>Source: compiled during the evaluation based on Sections 2.3 and 2.4 of the submission.</w:t>
      </w:r>
    </w:p>
    <w:p w:rsidR="001F294C" w:rsidRPr="00EF3C6A" w:rsidRDefault="001F294C" w:rsidP="001F294C">
      <w:pPr>
        <w:pStyle w:val="TableFooter"/>
        <w:rPr>
          <w:sz w:val="20"/>
        </w:rPr>
      </w:pPr>
    </w:p>
    <w:p w:rsidR="001F294C" w:rsidRPr="00EF3C6A" w:rsidRDefault="001F294C" w:rsidP="001F294C">
      <w:pPr>
        <w:pStyle w:val="ListParagraph"/>
        <w:widowControl/>
        <w:numPr>
          <w:ilvl w:val="1"/>
          <w:numId w:val="3"/>
        </w:numPr>
      </w:pPr>
      <w:r w:rsidRPr="00EF3C6A">
        <w:t xml:space="preserve">The clinical database was locked in August 2017 for the planned interim analysis for OS and planned final analysis of PFS and ORR in </w:t>
      </w:r>
      <w:r w:rsidR="00C46302" w:rsidRPr="00EF3C6A">
        <w:t>patients</w:t>
      </w:r>
      <w:r w:rsidRPr="00EF3C6A">
        <w:t xml:space="preserve"> with intermediate/poor risk. An independent data monitoring committee confirmed one month after the database lock, </w:t>
      </w:r>
      <w:r w:rsidR="009F6EBB" w:rsidRPr="00EF3C6A">
        <w:t xml:space="preserve">that </w:t>
      </w:r>
      <w:r w:rsidRPr="00EF3C6A">
        <w:t xml:space="preserve">the interim OS data had crossed the pre-specified boundary for </w:t>
      </w:r>
      <w:r w:rsidR="009F6EBB" w:rsidRPr="00EF3C6A">
        <w:t xml:space="preserve">gains in </w:t>
      </w:r>
      <w:r w:rsidRPr="00EF3C6A">
        <w:t xml:space="preserve">OS (nominal significance level p &lt; 0.002) and recommended that the study </w:t>
      </w:r>
      <w:r w:rsidR="00B21EE7">
        <w:t xml:space="preserve">results be </w:t>
      </w:r>
      <w:r w:rsidR="00436597">
        <w:t>made available</w:t>
      </w:r>
      <w:r w:rsidRPr="00EF3C6A">
        <w:t>.</w:t>
      </w:r>
    </w:p>
    <w:p w:rsidR="00BD4255" w:rsidRPr="00EF3C6A" w:rsidRDefault="001F294C" w:rsidP="00DA2CCC">
      <w:pPr>
        <w:pStyle w:val="ListParagraph"/>
        <w:widowControl/>
        <w:numPr>
          <w:ilvl w:val="1"/>
          <w:numId w:val="3"/>
        </w:numPr>
        <w:shd w:val="clear" w:color="auto" w:fill="FFFFFF" w:themeFill="background1"/>
        <w:tabs>
          <w:tab w:val="left" w:pos="2694"/>
        </w:tabs>
      </w:pPr>
      <w:r w:rsidRPr="00EF3C6A">
        <w:t xml:space="preserve">Patients were allowed to receive subsequent systemic anticancer therapies before disease progression. For PFS analyses, patients were censored at </w:t>
      </w:r>
      <w:r w:rsidR="009B5937" w:rsidRPr="00EF3C6A">
        <w:t xml:space="preserve">the </w:t>
      </w:r>
      <w:r w:rsidRPr="00EF3C6A">
        <w:t xml:space="preserve">date of </w:t>
      </w:r>
      <w:r w:rsidR="009B5937" w:rsidRPr="00EF3C6A">
        <w:t xml:space="preserve">the </w:t>
      </w:r>
      <w:r w:rsidRPr="00EF3C6A">
        <w:t xml:space="preserve">last tumour assessment, conducted prior to </w:t>
      </w:r>
      <w:r w:rsidR="00FA7952" w:rsidRPr="00EF3C6A">
        <w:t xml:space="preserve">the </w:t>
      </w:r>
      <w:r w:rsidRPr="00EF3C6A">
        <w:t>initiation of new therapies</w:t>
      </w:r>
      <w:r w:rsidR="005860CC" w:rsidRPr="00EF3C6A">
        <w:t>. H</w:t>
      </w:r>
      <w:r w:rsidRPr="00EF3C6A">
        <w:t>owever the</w:t>
      </w:r>
      <w:r w:rsidR="009B5937" w:rsidRPr="00EF3C6A">
        <w:t xml:space="preserve"> evaluation</w:t>
      </w:r>
      <w:r w:rsidR="00CA2A0D">
        <w:t>,</w:t>
      </w:r>
      <w:r w:rsidR="009B5937" w:rsidRPr="00EF3C6A">
        <w:t xml:space="preserve"> ESC</w:t>
      </w:r>
      <w:r w:rsidR="00BE6752">
        <w:t xml:space="preserve"> and PBAC</w:t>
      </w:r>
      <w:r w:rsidR="009B5937" w:rsidRPr="00EF3C6A">
        <w:t xml:space="preserve"> considered that</w:t>
      </w:r>
      <w:r w:rsidRPr="00EF3C6A">
        <w:t xml:space="preserve"> PFS analyses may still be biased if patients who were censored due to receiving subsequent therapies were systematically different from those who remain in the allocated treatment, in terms of both prognosis and responses to the allocated treatment.</w:t>
      </w:r>
      <w:r w:rsidR="00AF12DA" w:rsidRPr="00EF3C6A">
        <w:t xml:space="preserve"> </w:t>
      </w:r>
      <w:r w:rsidR="00BD4255" w:rsidRPr="00EF3C6A">
        <w:t xml:space="preserve">Thus the ESC </w:t>
      </w:r>
      <w:r w:rsidR="00CA2A0D">
        <w:t xml:space="preserve">and the PBAC </w:t>
      </w:r>
      <w:r w:rsidR="00BD4255" w:rsidRPr="00EF3C6A">
        <w:t>considered that there was a high risk of bias for the PFS results.</w:t>
      </w:r>
    </w:p>
    <w:p w:rsidR="009C62D2" w:rsidRPr="00160ED7" w:rsidRDefault="00CF6A4A" w:rsidP="00160ED7">
      <w:pPr>
        <w:pStyle w:val="ListParagraph"/>
        <w:widowControl/>
        <w:numPr>
          <w:ilvl w:val="1"/>
          <w:numId w:val="3"/>
        </w:numPr>
        <w:shd w:val="clear" w:color="auto" w:fill="FFFFFF" w:themeFill="background1"/>
        <w:tabs>
          <w:tab w:val="left" w:pos="2694"/>
        </w:tabs>
        <w:rPr>
          <w:rStyle w:val="CommentReference"/>
          <w:rFonts w:ascii="Calibri" w:hAnsi="Calibri"/>
          <w:b w:val="0"/>
          <w:sz w:val="24"/>
          <w:szCs w:val="22"/>
        </w:rPr>
      </w:pPr>
      <w:r w:rsidRPr="00EF3C6A">
        <w:rPr>
          <w:iCs/>
        </w:rPr>
        <w:t>The PSCR provided additional information regarding patients who received subsequent therapies, which is shown in the table below.</w:t>
      </w:r>
      <w:r w:rsidR="001F40EA" w:rsidRPr="00EF3C6A">
        <w:rPr>
          <w:iCs/>
        </w:rPr>
        <w:t xml:space="preserve"> </w:t>
      </w:r>
      <w:r w:rsidR="00DF5174">
        <w:rPr>
          <w:iCs/>
        </w:rPr>
        <w:t xml:space="preserve">This was provided to address concerns raised in the </w:t>
      </w:r>
      <w:r w:rsidR="00DF5174" w:rsidRPr="00EF3C6A">
        <w:t xml:space="preserve">evaluation that there was potential for </w:t>
      </w:r>
      <w:r w:rsidR="00DF5174" w:rsidRPr="00EF3C6A">
        <w:rPr>
          <w:iCs/>
        </w:rPr>
        <w:t>extensive and early use of subsequent therapies in the NIVO+IPI arm, in patients who discontinue in the induction phase due to adverse events</w:t>
      </w:r>
      <w:r w:rsidR="00DF5174">
        <w:rPr>
          <w:iCs/>
        </w:rPr>
        <w:t>.</w:t>
      </w:r>
    </w:p>
    <w:p w:rsidR="00CF6A4A" w:rsidRPr="00EF3C6A" w:rsidRDefault="00CF6A4A" w:rsidP="0066236A">
      <w:pPr>
        <w:pStyle w:val="Caption"/>
        <w:keepNext/>
        <w:keepLines/>
        <w:spacing w:after="0"/>
        <w:rPr>
          <w:rStyle w:val="CommentReference"/>
          <w:bCs w:val="0"/>
          <w:color w:val="auto"/>
        </w:rPr>
      </w:pPr>
      <w:r w:rsidRPr="00EF3C6A">
        <w:rPr>
          <w:rStyle w:val="CommentReference"/>
          <w:b/>
          <w:color w:val="auto"/>
        </w:rPr>
        <w:lastRenderedPageBreak/>
        <w:t xml:space="preserve">Table 4: Post-hoc analyses for patients who received subsequent therapies prior to progression </w:t>
      </w:r>
    </w:p>
    <w:p w:rsidR="00CF6A4A" w:rsidRPr="00EF3C6A" w:rsidRDefault="00CF6A4A" w:rsidP="0066236A">
      <w:pPr>
        <w:keepNext/>
        <w:keepLines/>
        <w:spacing w:before="2" w:line="10" w:lineRule="exact"/>
        <w:jc w:val="left"/>
        <w:rPr>
          <w:rFonts w:ascii="Arial Narrow" w:eastAsia="Calibri" w:hAnsi="Arial Narrow" w:cs="Times New Roman"/>
          <w:snapToGrid/>
          <w:sz w:val="4"/>
          <w:szCs w:val="4"/>
          <w:lang w:val="en-US"/>
        </w:rPr>
      </w:pPr>
    </w:p>
    <w:tbl>
      <w:tblPr>
        <w:tblStyle w:val="TableGrid"/>
        <w:tblW w:w="4943" w:type="pct"/>
        <w:tblInd w:w="108" w:type="dxa"/>
        <w:tblLook w:val="01E0" w:firstRow="1" w:lastRow="1" w:firstColumn="1" w:lastColumn="1" w:noHBand="0" w:noVBand="0"/>
        <w:tblCaption w:val="Table 4: Post-hoc analyses for patients who received subsequent therapies prior to progression "/>
      </w:tblPr>
      <w:tblGrid>
        <w:gridCol w:w="5536"/>
        <w:gridCol w:w="1799"/>
        <w:gridCol w:w="1882"/>
      </w:tblGrid>
      <w:tr w:rsidR="00EB060B" w:rsidRPr="00EF3C6A" w:rsidTr="00FF4CF1">
        <w:trPr>
          <w:trHeight w:hRule="exact" w:val="240"/>
          <w:tblHeader/>
        </w:trPr>
        <w:tc>
          <w:tcPr>
            <w:tcW w:w="3003" w:type="pct"/>
          </w:tcPr>
          <w:p w:rsidR="00341890" w:rsidRPr="00EF3C6A" w:rsidRDefault="00341890" w:rsidP="0066236A">
            <w:pPr>
              <w:keepNext/>
              <w:keepLines/>
              <w:spacing w:line="228" w:lineRule="exact"/>
              <w:ind w:left="16"/>
              <w:jc w:val="left"/>
              <w:rPr>
                <w:rFonts w:ascii="Arial Narrow" w:hAnsi="Arial Narrow" w:cs="Times New Roman"/>
                <w:snapToGrid/>
                <w:sz w:val="20"/>
                <w:szCs w:val="20"/>
                <w:lang w:val="en-US"/>
              </w:rPr>
            </w:pPr>
            <w:r w:rsidRPr="00EF3C6A">
              <w:rPr>
                <w:rFonts w:ascii="Arial Narrow" w:hAnsi="Arial Narrow" w:cs="Times New Roman"/>
                <w:b/>
                <w:bCs/>
                <w:snapToGrid/>
                <w:spacing w:val="-1"/>
                <w:sz w:val="20"/>
                <w:szCs w:val="20"/>
                <w:lang w:val="en-US"/>
              </w:rPr>
              <w:t>S</w:t>
            </w:r>
            <w:r w:rsidRPr="00EF3C6A">
              <w:rPr>
                <w:rFonts w:ascii="Arial Narrow" w:hAnsi="Arial Narrow" w:cs="Times New Roman"/>
                <w:b/>
                <w:bCs/>
                <w:snapToGrid/>
                <w:sz w:val="20"/>
                <w:szCs w:val="20"/>
                <w:lang w:val="en-US"/>
              </w:rPr>
              <w:t>t</w:t>
            </w:r>
            <w:r w:rsidRPr="00EF3C6A">
              <w:rPr>
                <w:rFonts w:ascii="Arial Narrow" w:hAnsi="Arial Narrow" w:cs="Times New Roman"/>
                <w:b/>
                <w:bCs/>
                <w:snapToGrid/>
                <w:spacing w:val="-1"/>
                <w:sz w:val="20"/>
                <w:szCs w:val="20"/>
                <w:lang w:val="en-US"/>
              </w:rPr>
              <w:t>ud</w:t>
            </w:r>
            <w:r w:rsidRPr="00EF3C6A">
              <w:rPr>
                <w:rFonts w:ascii="Arial Narrow" w:hAnsi="Arial Narrow" w:cs="Times New Roman"/>
                <w:b/>
                <w:bCs/>
                <w:snapToGrid/>
                <w:sz w:val="20"/>
                <w:szCs w:val="20"/>
                <w:lang w:val="en-US"/>
              </w:rPr>
              <w:t>y</w:t>
            </w:r>
            <w:r w:rsidRPr="00EF3C6A">
              <w:rPr>
                <w:rFonts w:ascii="Arial Narrow" w:hAnsi="Arial Narrow" w:cs="Times New Roman"/>
                <w:b/>
                <w:bCs/>
                <w:snapToGrid/>
                <w:spacing w:val="-9"/>
                <w:sz w:val="20"/>
                <w:szCs w:val="20"/>
                <w:lang w:val="en-US"/>
              </w:rPr>
              <w:t xml:space="preserve"> </w:t>
            </w:r>
            <w:r w:rsidRPr="00EF3C6A">
              <w:rPr>
                <w:rFonts w:ascii="Arial Narrow" w:hAnsi="Arial Narrow" w:cs="Times New Roman"/>
                <w:b/>
                <w:bCs/>
                <w:snapToGrid/>
                <w:sz w:val="20"/>
                <w:szCs w:val="20"/>
                <w:lang w:val="en-US"/>
              </w:rPr>
              <w:t>CA</w:t>
            </w:r>
            <w:r w:rsidRPr="00EF3C6A">
              <w:rPr>
                <w:rFonts w:ascii="Arial Narrow" w:hAnsi="Arial Narrow" w:cs="Times New Roman"/>
                <w:b/>
                <w:bCs/>
                <w:snapToGrid/>
                <w:spacing w:val="1"/>
                <w:sz w:val="20"/>
                <w:szCs w:val="20"/>
                <w:lang w:val="en-US"/>
              </w:rPr>
              <w:t>209214</w:t>
            </w:r>
            <w:r w:rsidRPr="00EF3C6A">
              <w:rPr>
                <w:rFonts w:ascii="Arial Narrow" w:hAnsi="Arial Narrow" w:cs="Times New Roman"/>
                <w:b/>
                <w:bCs/>
                <w:snapToGrid/>
                <w:sz w:val="20"/>
                <w:szCs w:val="20"/>
                <w:lang w:val="en-US"/>
              </w:rPr>
              <w:t>,</w:t>
            </w:r>
            <w:r w:rsidRPr="00EF3C6A">
              <w:rPr>
                <w:rFonts w:ascii="Arial Narrow" w:hAnsi="Arial Narrow" w:cs="Times New Roman"/>
                <w:b/>
                <w:bCs/>
                <w:snapToGrid/>
                <w:spacing w:val="-11"/>
                <w:sz w:val="20"/>
                <w:szCs w:val="20"/>
                <w:lang w:val="en-US"/>
              </w:rPr>
              <w:t xml:space="preserve">  </w:t>
            </w:r>
            <w:r w:rsidRPr="00EF3C6A">
              <w:rPr>
                <w:rFonts w:ascii="Arial Narrow" w:hAnsi="Arial Narrow" w:cs="Times New Roman"/>
                <w:b/>
                <w:bCs/>
                <w:snapToGrid/>
                <w:spacing w:val="-1"/>
                <w:sz w:val="20"/>
                <w:szCs w:val="20"/>
                <w:lang w:val="en-US"/>
              </w:rPr>
              <w:t>n</w:t>
            </w:r>
            <w:r w:rsidRPr="00EF3C6A">
              <w:rPr>
                <w:rFonts w:ascii="Arial Narrow" w:hAnsi="Arial Narrow" w:cs="Times New Roman"/>
                <w:b/>
                <w:bCs/>
                <w:snapToGrid/>
                <w:sz w:val="20"/>
                <w:szCs w:val="20"/>
                <w:lang w:val="en-US"/>
              </w:rPr>
              <w:t>(%);</w:t>
            </w:r>
            <w:r w:rsidRPr="00EF3C6A">
              <w:rPr>
                <w:rFonts w:ascii="Arial Narrow" w:hAnsi="Arial Narrow" w:cs="Times New Roman"/>
                <w:b/>
                <w:bCs/>
                <w:snapToGrid/>
                <w:spacing w:val="-9"/>
                <w:sz w:val="20"/>
                <w:szCs w:val="20"/>
                <w:lang w:val="en-US"/>
              </w:rPr>
              <w:t xml:space="preserve"> </w:t>
            </w:r>
            <w:r w:rsidRPr="00EF3C6A">
              <w:rPr>
                <w:rFonts w:ascii="Arial Narrow" w:hAnsi="Arial Narrow" w:cs="Times New Roman"/>
                <w:b/>
                <w:bCs/>
                <w:snapToGrid/>
                <w:spacing w:val="-1"/>
                <w:sz w:val="20"/>
                <w:szCs w:val="20"/>
                <w:lang w:val="en-US"/>
              </w:rPr>
              <w:t>In</w:t>
            </w:r>
            <w:r w:rsidRPr="00EF3C6A">
              <w:rPr>
                <w:rFonts w:ascii="Arial Narrow" w:hAnsi="Arial Narrow" w:cs="Times New Roman"/>
                <w:b/>
                <w:bCs/>
                <w:snapToGrid/>
                <w:sz w:val="20"/>
                <w:szCs w:val="20"/>
                <w:lang w:val="en-US"/>
              </w:rPr>
              <w:t>te</w:t>
            </w:r>
            <w:r w:rsidRPr="00EF3C6A">
              <w:rPr>
                <w:rFonts w:ascii="Arial Narrow" w:hAnsi="Arial Narrow" w:cs="Times New Roman"/>
                <w:b/>
                <w:bCs/>
                <w:snapToGrid/>
                <w:spacing w:val="2"/>
                <w:sz w:val="20"/>
                <w:szCs w:val="20"/>
                <w:lang w:val="en-US"/>
              </w:rPr>
              <w:t>r</w:t>
            </w:r>
            <w:r w:rsidRPr="00EF3C6A">
              <w:rPr>
                <w:rFonts w:ascii="Arial Narrow" w:hAnsi="Arial Narrow" w:cs="Times New Roman"/>
                <w:b/>
                <w:bCs/>
                <w:snapToGrid/>
                <w:spacing w:val="-7"/>
                <w:sz w:val="20"/>
                <w:szCs w:val="20"/>
                <w:lang w:val="en-US"/>
              </w:rPr>
              <w:t>m</w:t>
            </w:r>
            <w:r w:rsidRPr="00EF3C6A">
              <w:rPr>
                <w:rFonts w:ascii="Arial Narrow" w:hAnsi="Arial Narrow" w:cs="Times New Roman"/>
                <w:b/>
                <w:bCs/>
                <w:snapToGrid/>
                <w:spacing w:val="2"/>
                <w:sz w:val="20"/>
                <w:szCs w:val="20"/>
                <w:lang w:val="en-US"/>
              </w:rPr>
              <w:t>e</w:t>
            </w:r>
            <w:r w:rsidRPr="00EF3C6A">
              <w:rPr>
                <w:rFonts w:ascii="Arial Narrow" w:hAnsi="Arial Narrow" w:cs="Times New Roman"/>
                <w:b/>
                <w:bCs/>
                <w:snapToGrid/>
                <w:spacing w:val="-1"/>
                <w:sz w:val="20"/>
                <w:szCs w:val="20"/>
                <w:lang w:val="en-US"/>
              </w:rPr>
              <w:t>di</w:t>
            </w:r>
            <w:r w:rsidRPr="00EF3C6A">
              <w:rPr>
                <w:rFonts w:ascii="Arial Narrow" w:hAnsi="Arial Narrow" w:cs="Times New Roman"/>
                <w:b/>
                <w:bCs/>
                <w:snapToGrid/>
                <w:spacing w:val="1"/>
                <w:sz w:val="20"/>
                <w:szCs w:val="20"/>
                <w:lang w:val="en-US"/>
              </w:rPr>
              <w:t>a</w:t>
            </w:r>
            <w:r w:rsidRPr="00EF3C6A">
              <w:rPr>
                <w:rFonts w:ascii="Arial Narrow" w:hAnsi="Arial Narrow" w:cs="Times New Roman"/>
                <w:b/>
                <w:bCs/>
                <w:snapToGrid/>
                <w:sz w:val="20"/>
                <w:szCs w:val="20"/>
                <w:lang w:val="en-US"/>
              </w:rPr>
              <w:t>te</w:t>
            </w:r>
            <w:r w:rsidRPr="00EF3C6A">
              <w:rPr>
                <w:rFonts w:ascii="Arial Narrow" w:hAnsi="Arial Narrow" w:cs="Times New Roman"/>
                <w:b/>
                <w:bCs/>
                <w:snapToGrid/>
                <w:spacing w:val="-1"/>
                <w:sz w:val="20"/>
                <w:szCs w:val="20"/>
                <w:lang w:val="en-US"/>
              </w:rPr>
              <w:t>/p</w:t>
            </w:r>
            <w:r w:rsidRPr="00EF3C6A">
              <w:rPr>
                <w:rFonts w:ascii="Arial Narrow" w:hAnsi="Arial Narrow" w:cs="Times New Roman"/>
                <w:b/>
                <w:bCs/>
                <w:snapToGrid/>
                <w:spacing w:val="1"/>
                <w:sz w:val="20"/>
                <w:szCs w:val="20"/>
                <w:lang w:val="en-US"/>
              </w:rPr>
              <w:t>oo</w:t>
            </w:r>
            <w:r w:rsidRPr="00EF3C6A">
              <w:rPr>
                <w:rFonts w:ascii="Arial Narrow" w:hAnsi="Arial Narrow" w:cs="Times New Roman"/>
                <w:b/>
                <w:bCs/>
                <w:snapToGrid/>
                <w:sz w:val="20"/>
                <w:szCs w:val="20"/>
                <w:lang w:val="en-US"/>
              </w:rPr>
              <w:t>r</w:t>
            </w:r>
            <w:r w:rsidRPr="00EF3C6A">
              <w:rPr>
                <w:rFonts w:ascii="Arial Narrow" w:hAnsi="Arial Narrow" w:cs="Times New Roman"/>
                <w:b/>
                <w:bCs/>
                <w:snapToGrid/>
                <w:spacing w:val="-9"/>
                <w:sz w:val="20"/>
                <w:szCs w:val="20"/>
                <w:lang w:val="en-US"/>
              </w:rPr>
              <w:t xml:space="preserve"> </w:t>
            </w:r>
            <w:r w:rsidRPr="00EF3C6A">
              <w:rPr>
                <w:rFonts w:ascii="Arial Narrow" w:hAnsi="Arial Narrow" w:cs="Times New Roman"/>
                <w:b/>
                <w:bCs/>
                <w:snapToGrid/>
                <w:sz w:val="20"/>
                <w:szCs w:val="20"/>
                <w:lang w:val="en-US"/>
              </w:rPr>
              <w:t>r</w:t>
            </w:r>
            <w:r w:rsidRPr="00EF3C6A">
              <w:rPr>
                <w:rFonts w:ascii="Arial Narrow" w:hAnsi="Arial Narrow" w:cs="Times New Roman"/>
                <w:b/>
                <w:bCs/>
                <w:snapToGrid/>
                <w:spacing w:val="-1"/>
                <w:sz w:val="20"/>
                <w:szCs w:val="20"/>
                <w:lang w:val="en-US"/>
              </w:rPr>
              <w:t>i</w:t>
            </w:r>
            <w:r w:rsidRPr="00EF3C6A">
              <w:rPr>
                <w:rFonts w:ascii="Arial Narrow" w:hAnsi="Arial Narrow" w:cs="Times New Roman"/>
                <w:b/>
                <w:bCs/>
                <w:snapToGrid/>
                <w:spacing w:val="1"/>
                <w:sz w:val="20"/>
                <w:szCs w:val="20"/>
                <w:lang w:val="en-US"/>
              </w:rPr>
              <w:t>s</w:t>
            </w:r>
            <w:r w:rsidRPr="00EF3C6A">
              <w:rPr>
                <w:rFonts w:ascii="Arial Narrow" w:hAnsi="Arial Narrow" w:cs="Times New Roman"/>
                <w:b/>
                <w:bCs/>
                <w:snapToGrid/>
                <w:sz w:val="20"/>
                <w:szCs w:val="20"/>
                <w:lang w:val="en-US"/>
              </w:rPr>
              <w:t>k</w:t>
            </w:r>
          </w:p>
        </w:tc>
        <w:tc>
          <w:tcPr>
            <w:tcW w:w="976" w:type="pct"/>
          </w:tcPr>
          <w:p w:rsidR="00341890" w:rsidRPr="00EF3C6A" w:rsidRDefault="00341890" w:rsidP="0066236A">
            <w:pPr>
              <w:keepNext/>
              <w:keepLines/>
              <w:spacing w:line="228" w:lineRule="exact"/>
              <w:ind w:left="824" w:hanging="789"/>
              <w:jc w:val="left"/>
              <w:rPr>
                <w:rFonts w:ascii="Arial Narrow" w:hAnsi="Arial Narrow" w:cs="Times New Roman"/>
                <w:snapToGrid/>
                <w:sz w:val="20"/>
                <w:szCs w:val="20"/>
                <w:lang w:val="en-US"/>
              </w:rPr>
            </w:pPr>
            <w:r w:rsidRPr="00EF3C6A">
              <w:rPr>
                <w:rFonts w:ascii="Arial Narrow" w:hAnsi="Arial Narrow" w:cs="Times New Roman"/>
                <w:b/>
                <w:bCs/>
                <w:snapToGrid/>
                <w:sz w:val="20"/>
                <w:szCs w:val="20"/>
                <w:lang w:val="en-US"/>
              </w:rPr>
              <w:t>N</w:t>
            </w:r>
            <w:r w:rsidRPr="00EF3C6A">
              <w:rPr>
                <w:rFonts w:ascii="Arial Narrow" w:hAnsi="Arial Narrow" w:cs="Times New Roman"/>
                <w:b/>
                <w:bCs/>
                <w:snapToGrid/>
                <w:spacing w:val="-1"/>
                <w:sz w:val="20"/>
                <w:szCs w:val="20"/>
                <w:lang w:val="en-US"/>
              </w:rPr>
              <w:t>I</w:t>
            </w:r>
            <w:r w:rsidRPr="00EF3C6A">
              <w:rPr>
                <w:rFonts w:ascii="Arial Narrow" w:hAnsi="Arial Narrow" w:cs="Times New Roman"/>
                <w:b/>
                <w:bCs/>
                <w:snapToGrid/>
                <w:sz w:val="20"/>
                <w:szCs w:val="20"/>
                <w:lang w:val="en-US"/>
              </w:rPr>
              <w:t>V</w:t>
            </w:r>
            <w:r w:rsidRPr="00EF3C6A">
              <w:rPr>
                <w:rFonts w:ascii="Arial Narrow" w:hAnsi="Arial Narrow" w:cs="Times New Roman"/>
                <w:b/>
                <w:bCs/>
                <w:snapToGrid/>
                <w:spacing w:val="1"/>
                <w:sz w:val="20"/>
                <w:szCs w:val="20"/>
                <w:lang w:val="en-US"/>
              </w:rPr>
              <w:t>O</w:t>
            </w:r>
            <w:r w:rsidR="0001137E" w:rsidRPr="00EF3C6A">
              <w:rPr>
                <w:rFonts w:ascii="Arial Narrow" w:hAnsi="Arial Narrow" w:cs="Times New Roman"/>
                <w:b/>
                <w:bCs/>
                <w:snapToGrid/>
                <w:spacing w:val="1"/>
                <w:sz w:val="20"/>
                <w:szCs w:val="20"/>
                <w:lang w:val="en-US"/>
              </w:rPr>
              <w:t xml:space="preserve"> </w:t>
            </w:r>
            <w:r w:rsidRPr="00EF3C6A">
              <w:rPr>
                <w:rFonts w:ascii="Arial Narrow" w:hAnsi="Arial Narrow" w:cs="Times New Roman"/>
                <w:b/>
                <w:bCs/>
                <w:snapToGrid/>
                <w:spacing w:val="1"/>
                <w:sz w:val="20"/>
                <w:szCs w:val="20"/>
                <w:lang w:val="en-US"/>
              </w:rPr>
              <w:t>+</w:t>
            </w:r>
            <w:r w:rsidR="0001137E" w:rsidRPr="00EF3C6A">
              <w:rPr>
                <w:rFonts w:ascii="Arial Narrow" w:hAnsi="Arial Narrow" w:cs="Times New Roman"/>
                <w:b/>
                <w:bCs/>
                <w:snapToGrid/>
                <w:spacing w:val="1"/>
                <w:sz w:val="20"/>
                <w:szCs w:val="20"/>
                <w:lang w:val="en-US"/>
              </w:rPr>
              <w:t xml:space="preserve"> </w:t>
            </w:r>
            <w:r w:rsidRPr="00EF3C6A">
              <w:rPr>
                <w:rFonts w:ascii="Arial Narrow" w:hAnsi="Arial Narrow" w:cs="Times New Roman"/>
                <w:b/>
                <w:bCs/>
                <w:snapToGrid/>
                <w:spacing w:val="-1"/>
                <w:sz w:val="20"/>
                <w:szCs w:val="20"/>
                <w:lang w:val="en-US"/>
              </w:rPr>
              <w:t>I</w:t>
            </w:r>
            <w:r w:rsidRPr="00EF3C6A">
              <w:rPr>
                <w:rFonts w:ascii="Arial Narrow" w:hAnsi="Arial Narrow" w:cs="Times New Roman"/>
                <w:b/>
                <w:bCs/>
                <w:snapToGrid/>
                <w:spacing w:val="3"/>
                <w:sz w:val="20"/>
                <w:szCs w:val="20"/>
                <w:lang w:val="en-US"/>
              </w:rPr>
              <w:t>P</w:t>
            </w:r>
            <w:r w:rsidRPr="00EF3C6A">
              <w:rPr>
                <w:rFonts w:ascii="Arial Narrow" w:hAnsi="Arial Narrow" w:cs="Times New Roman"/>
                <w:b/>
                <w:bCs/>
                <w:snapToGrid/>
                <w:sz w:val="20"/>
                <w:szCs w:val="20"/>
                <w:lang w:val="en-US"/>
              </w:rPr>
              <w:t>I</w:t>
            </w:r>
            <w:r w:rsidRPr="00EF3C6A">
              <w:rPr>
                <w:rFonts w:ascii="Arial Narrow" w:hAnsi="Arial Narrow" w:cs="Times New Roman"/>
                <w:b/>
                <w:bCs/>
                <w:snapToGrid/>
                <w:spacing w:val="-17"/>
                <w:sz w:val="20"/>
                <w:szCs w:val="20"/>
                <w:lang w:val="en-US"/>
              </w:rPr>
              <w:t xml:space="preserve"> </w:t>
            </w:r>
            <w:r w:rsidRPr="00EF3C6A">
              <w:rPr>
                <w:rFonts w:ascii="Arial Narrow" w:hAnsi="Arial Narrow" w:cs="Times New Roman"/>
                <w:b/>
                <w:bCs/>
                <w:snapToGrid/>
                <w:sz w:val="20"/>
                <w:szCs w:val="20"/>
                <w:lang w:val="en-US"/>
              </w:rPr>
              <w:t>(N</w:t>
            </w:r>
            <w:r w:rsidRPr="00EF3C6A">
              <w:rPr>
                <w:rFonts w:ascii="Arial Narrow" w:hAnsi="Arial Narrow" w:cs="Times New Roman"/>
                <w:b/>
                <w:bCs/>
                <w:snapToGrid/>
                <w:spacing w:val="-1"/>
                <w:sz w:val="20"/>
                <w:szCs w:val="20"/>
                <w:lang w:val="en-US"/>
              </w:rPr>
              <w:t>=</w:t>
            </w:r>
            <w:r w:rsidRPr="00EF3C6A">
              <w:rPr>
                <w:rFonts w:ascii="Arial Narrow" w:hAnsi="Arial Narrow" w:cs="Times New Roman"/>
                <w:b/>
                <w:bCs/>
                <w:snapToGrid/>
                <w:spacing w:val="1"/>
                <w:sz w:val="20"/>
                <w:szCs w:val="20"/>
                <w:lang w:val="en-US"/>
              </w:rPr>
              <w:t>425)</w:t>
            </w:r>
          </w:p>
        </w:tc>
        <w:tc>
          <w:tcPr>
            <w:tcW w:w="1021" w:type="pct"/>
          </w:tcPr>
          <w:p w:rsidR="00341890" w:rsidRPr="00EF3C6A" w:rsidRDefault="00EB060B" w:rsidP="0066236A">
            <w:pPr>
              <w:keepNext/>
              <w:keepLines/>
              <w:spacing w:line="228" w:lineRule="exact"/>
              <w:ind w:left="18"/>
              <w:jc w:val="left"/>
              <w:rPr>
                <w:rFonts w:ascii="Arial Narrow" w:hAnsi="Arial Narrow" w:cs="Times New Roman"/>
                <w:snapToGrid/>
                <w:sz w:val="20"/>
                <w:szCs w:val="20"/>
                <w:lang w:val="en-US"/>
              </w:rPr>
            </w:pPr>
            <w:proofErr w:type="spellStart"/>
            <w:r w:rsidRPr="00EF3C6A">
              <w:rPr>
                <w:rFonts w:ascii="Arial Narrow" w:hAnsi="Arial Narrow" w:cs="Times New Roman"/>
                <w:b/>
                <w:bCs/>
                <w:snapToGrid/>
                <w:spacing w:val="-1"/>
                <w:sz w:val="20"/>
                <w:szCs w:val="20"/>
                <w:lang w:val="en-US"/>
              </w:rPr>
              <w:t>Sunitinib</w:t>
            </w:r>
            <w:proofErr w:type="spellEnd"/>
            <w:r w:rsidR="00341890" w:rsidRPr="00EF3C6A">
              <w:rPr>
                <w:rFonts w:ascii="Arial Narrow" w:hAnsi="Arial Narrow" w:cs="Times New Roman"/>
                <w:b/>
                <w:bCs/>
                <w:snapToGrid/>
                <w:spacing w:val="-13"/>
                <w:sz w:val="20"/>
                <w:szCs w:val="20"/>
                <w:lang w:val="en-US"/>
              </w:rPr>
              <w:t xml:space="preserve"> </w:t>
            </w:r>
            <w:r w:rsidR="00341890" w:rsidRPr="00EF3C6A">
              <w:rPr>
                <w:rFonts w:ascii="Arial Narrow" w:hAnsi="Arial Narrow" w:cs="Times New Roman"/>
                <w:b/>
                <w:bCs/>
                <w:snapToGrid/>
                <w:sz w:val="20"/>
                <w:szCs w:val="20"/>
                <w:lang w:val="en-US"/>
              </w:rPr>
              <w:t>(N</w:t>
            </w:r>
            <w:r w:rsidR="00341890" w:rsidRPr="00EF3C6A">
              <w:rPr>
                <w:rFonts w:ascii="Arial Narrow" w:hAnsi="Arial Narrow" w:cs="Times New Roman"/>
                <w:b/>
                <w:bCs/>
                <w:snapToGrid/>
                <w:spacing w:val="-1"/>
                <w:sz w:val="20"/>
                <w:szCs w:val="20"/>
                <w:lang w:val="en-US"/>
              </w:rPr>
              <w:t>=</w:t>
            </w:r>
            <w:r w:rsidR="00341890" w:rsidRPr="00EF3C6A">
              <w:rPr>
                <w:rFonts w:ascii="Arial Narrow" w:hAnsi="Arial Narrow" w:cs="Times New Roman"/>
                <w:b/>
                <w:bCs/>
                <w:snapToGrid/>
                <w:spacing w:val="1"/>
                <w:sz w:val="20"/>
                <w:szCs w:val="20"/>
                <w:lang w:val="en-US"/>
              </w:rPr>
              <w:t>422)</w:t>
            </w:r>
          </w:p>
        </w:tc>
      </w:tr>
      <w:tr w:rsidR="00EB060B" w:rsidRPr="00EF3C6A" w:rsidTr="00136B30">
        <w:trPr>
          <w:trHeight w:val="739"/>
        </w:trPr>
        <w:tc>
          <w:tcPr>
            <w:tcW w:w="3003" w:type="pct"/>
            <w:tcBorders>
              <w:bottom w:val="single" w:sz="4" w:space="0" w:color="auto"/>
            </w:tcBorders>
          </w:tcPr>
          <w:p w:rsidR="00EB060B" w:rsidRPr="00EF3C6A" w:rsidRDefault="00341890" w:rsidP="0066236A">
            <w:pPr>
              <w:keepNext/>
              <w:keepLines/>
              <w:ind w:left="23"/>
              <w:jc w:val="left"/>
              <w:rPr>
                <w:rFonts w:ascii="Arial Narrow" w:hAnsi="Arial Narrow" w:cs="Times New Roman"/>
                <w:snapToGrid/>
                <w:spacing w:val="-1"/>
                <w:sz w:val="20"/>
                <w:szCs w:val="20"/>
                <w:lang w:val="en-US"/>
              </w:rPr>
            </w:pPr>
            <w:r w:rsidRPr="00EF3C6A">
              <w:rPr>
                <w:rFonts w:ascii="Arial Narrow" w:hAnsi="Arial Narrow" w:cs="Times New Roman"/>
                <w:snapToGrid/>
                <w:spacing w:val="-1"/>
                <w:sz w:val="20"/>
                <w:szCs w:val="20"/>
                <w:lang w:val="en-US"/>
              </w:rPr>
              <w:t>Patient</w:t>
            </w:r>
            <w:r w:rsidRPr="00EF3C6A">
              <w:rPr>
                <w:rFonts w:ascii="Arial Narrow" w:hAnsi="Arial Narrow" w:cs="Times New Roman"/>
                <w:snapToGrid/>
                <w:sz w:val="20"/>
                <w:szCs w:val="20"/>
                <w:lang w:val="en-US"/>
              </w:rPr>
              <w:t>s</w:t>
            </w:r>
            <w:r w:rsidRPr="00EF3C6A">
              <w:rPr>
                <w:rFonts w:ascii="Arial Narrow" w:hAnsi="Arial Narrow" w:cs="Times New Roman"/>
                <w:snapToGrid/>
                <w:spacing w:val="-3"/>
                <w:sz w:val="20"/>
                <w:szCs w:val="20"/>
                <w:lang w:val="en-US"/>
              </w:rPr>
              <w:t xml:space="preserve"> w</w:t>
            </w:r>
            <w:r w:rsidRPr="00EF3C6A">
              <w:rPr>
                <w:rFonts w:ascii="Arial Narrow" w:hAnsi="Arial Narrow" w:cs="Times New Roman"/>
                <w:snapToGrid/>
                <w:spacing w:val="-1"/>
                <w:sz w:val="20"/>
                <w:szCs w:val="20"/>
                <w:lang w:val="en-US"/>
              </w:rPr>
              <w:t>it</w:t>
            </w:r>
            <w:r w:rsidRPr="00EF3C6A">
              <w:rPr>
                <w:rFonts w:ascii="Arial Narrow" w:hAnsi="Arial Narrow" w:cs="Times New Roman"/>
                <w:snapToGrid/>
                <w:sz w:val="20"/>
                <w:szCs w:val="20"/>
                <w:lang w:val="en-US"/>
              </w:rPr>
              <w:t>h</w:t>
            </w:r>
            <w:r w:rsidRPr="00EF3C6A">
              <w:rPr>
                <w:rFonts w:ascii="Arial Narrow" w:hAnsi="Arial Narrow" w:cs="Times New Roman"/>
                <w:snapToGrid/>
                <w:spacing w:val="-6"/>
                <w:sz w:val="20"/>
                <w:szCs w:val="20"/>
                <w:lang w:val="en-US"/>
              </w:rPr>
              <w:t xml:space="preserve"> </w:t>
            </w:r>
            <w:r w:rsidRPr="00EF3C6A">
              <w:rPr>
                <w:rFonts w:ascii="Arial Narrow" w:hAnsi="Arial Narrow" w:cs="Times New Roman"/>
                <w:snapToGrid/>
                <w:spacing w:val="2"/>
                <w:sz w:val="20"/>
                <w:szCs w:val="20"/>
                <w:lang w:val="en-US"/>
              </w:rPr>
              <w:t>a</w:t>
            </w:r>
            <w:r w:rsidRPr="00EF3C6A">
              <w:rPr>
                <w:rFonts w:ascii="Arial Narrow" w:hAnsi="Arial Narrow" w:cs="Times New Roman"/>
                <w:snapToGrid/>
                <w:spacing w:val="1"/>
                <w:sz w:val="20"/>
                <w:szCs w:val="20"/>
                <w:lang w:val="en-US"/>
              </w:rPr>
              <w:t>n</w:t>
            </w:r>
            <w:r w:rsidRPr="00EF3C6A">
              <w:rPr>
                <w:rFonts w:ascii="Arial Narrow" w:hAnsi="Arial Narrow" w:cs="Times New Roman"/>
                <w:snapToGrid/>
                <w:sz w:val="20"/>
                <w:szCs w:val="20"/>
                <w:lang w:val="en-US"/>
              </w:rPr>
              <w:t>y</w:t>
            </w:r>
            <w:r w:rsidRPr="00EF3C6A">
              <w:rPr>
                <w:rFonts w:ascii="Arial Narrow" w:hAnsi="Arial Narrow" w:cs="Times New Roman"/>
                <w:snapToGrid/>
                <w:spacing w:val="-5"/>
                <w:sz w:val="20"/>
                <w:szCs w:val="20"/>
                <w:lang w:val="en-US"/>
              </w:rPr>
              <w:t xml:space="preserve"> </w:t>
            </w:r>
            <w:r w:rsidRPr="00EF3C6A">
              <w:rPr>
                <w:rFonts w:ascii="Arial Narrow" w:hAnsi="Arial Narrow" w:cs="Times New Roman"/>
                <w:snapToGrid/>
                <w:spacing w:val="-1"/>
                <w:sz w:val="20"/>
                <w:szCs w:val="20"/>
                <w:lang w:val="en-US"/>
              </w:rPr>
              <w:t>subsequent therapy</w:t>
            </w:r>
            <w:r w:rsidR="00EB060B" w:rsidRPr="00EF3C6A">
              <w:rPr>
                <w:rFonts w:ascii="Arial Narrow" w:hAnsi="Arial Narrow" w:cs="Times New Roman"/>
                <w:snapToGrid/>
                <w:spacing w:val="-1"/>
                <w:sz w:val="20"/>
                <w:szCs w:val="20"/>
                <w:lang w:val="en-US"/>
              </w:rPr>
              <w:t xml:space="preserve"> (before or after progression)</w:t>
            </w:r>
          </w:p>
          <w:p w:rsidR="00EB060B" w:rsidRPr="00EF3C6A" w:rsidRDefault="00EB060B" w:rsidP="0066236A">
            <w:pPr>
              <w:pStyle w:val="ListParagraph"/>
              <w:keepNext/>
              <w:keepLines/>
              <w:numPr>
                <w:ilvl w:val="0"/>
                <w:numId w:val="8"/>
              </w:numPr>
              <w:spacing w:after="0"/>
              <w:jc w:val="left"/>
              <w:rPr>
                <w:rFonts w:ascii="Arial Narrow" w:hAnsi="Arial Narrow" w:cs="Times New Roman"/>
                <w:snapToGrid/>
                <w:spacing w:val="-1"/>
                <w:sz w:val="20"/>
                <w:szCs w:val="20"/>
                <w:lang w:val="en-US"/>
              </w:rPr>
            </w:pPr>
            <w:r w:rsidRPr="00EF3C6A">
              <w:rPr>
                <w:rFonts w:ascii="Arial Narrow" w:hAnsi="Arial Narrow" w:cs="Times New Roman"/>
                <w:snapToGrid/>
                <w:spacing w:val="-1"/>
                <w:sz w:val="20"/>
                <w:szCs w:val="20"/>
                <w:lang w:val="en-US"/>
              </w:rPr>
              <w:t>Patient</w:t>
            </w:r>
            <w:r w:rsidRPr="00EF3C6A">
              <w:rPr>
                <w:rFonts w:ascii="Arial Narrow" w:hAnsi="Arial Narrow" w:cs="Times New Roman"/>
                <w:snapToGrid/>
                <w:sz w:val="20"/>
                <w:szCs w:val="20"/>
                <w:lang w:val="en-US"/>
              </w:rPr>
              <w:t>s</w:t>
            </w:r>
            <w:r w:rsidRPr="00EF3C6A">
              <w:rPr>
                <w:rFonts w:ascii="Arial Narrow" w:hAnsi="Arial Narrow" w:cs="Times New Roman"/>
                <w:snapToGrid/>
                <w:spacing w:val="-4"/>
                <w:sz w:val="20"/>
                <w:szCs w:val="20"/>
                <w:lang w:val="en-US"/>
              </w:rPr>
              <w:t xml:space="preserve"> </w:t>
            </w:r>
            <w:r w:rsidRPr="00EF3C6A">
              <w:rPr>
                <w:rFonts w:ascii="Arial Narrow" w:hAnsi="Arial Narrow" w:cs="Times New Roman"/>
                <w:snapToGrid/>
                <w:spacing w:val="-3"/>
                <w:sz w:val="20"/>
                <w:szCs w:val="20"/>
                <w:lang w:val="en-US"/>
              </w:rPr>
              <w:t>w</w:t>
            </w:r>
            <w:r w:rsidRPr="00EF3C6A">
              <w:rPr>
                <w:rFonts w:ascii="Arial Narrow" w:hAnsi="Arial Narrow" w:cs="Times New Roman"/>
                <w:snapToGrid/>
                <w:spacing w:val="-1"/>
                <w:sz w:val="20"/>
                <w:szCs w:val="20"/>
                <w:lang w:val="en-US"/>
              </w:rPr>
              <w:t>it</w:t>
            </w:r>
            <w:r w:rsidRPr="00EF3C6A">
              <w:rPr>
                <w:rFonts w:ascii="Arial Narrow" w:hAnsi="Arial Narrow" w:cs="Times New Roman"/>
                <w:snapToGrid/>
                <w:sz w:val="20"/>
                <w:szCs w:val="20"/>
                <w:lang w:val="en-US"/>
              </w:rPr>
              <w:t>h</w:t>
            </w:r>
            <w:r w:rsidRPr="00EF3C6A">
              <w:rPr>
                <w:rFonts w:ascii="Arial Narrow" w:hAnsi="Arial Narrow" w:cs="Times New Roman"/>
                <w:snapToGrid/>
                <w:spacing w:val="-6"/>
                <w:sz w:val="20"/>
                <w:szCs w:val="20"/>
                <w:lang w:val="en-US"/>
              </w:rPr>
              <w:t xml:space="preserve"> </w:t>
            </w:r>
            <w:r w:rsidRPr="00EF3C6A">
              <w:rPr>
                <w:rFonts w:ascii="Arial Narrow" w:hAnsi="Arial Narrow" w:cs="Times New Roman"/>
                <w:snapToGrid/>
                <w:spacing w:val="2"/>
                <w:sz w:val="20"/>
                <w:szCs w:val="20"/>
                <w:lang w:val="en-US"/>
              </w:rPr>
              <w:t>a</w:t>
            </w:r>
            <w:r w:rsidRPr="00EF3C6A">
              <w:rPr>
                <w:rFonts w:ascii="Arial Narrow" w:hAnsi="Arial Narrow" w:cs="Times New Roman"/>
                <w:snapToGrid/>
                <w:spacing w:val="1"/>
                <w:sz w:val="20"/>
                <w:szCs w:val="20"/>
                <w:lang w:val="en-US"/>
              </w:rPr>
              <w:t>n</w:t>
            </w:r>
            <w:r w:rsidRPr="00EF3C6A">
              <w:rPr>
                <w:rFonts w:ascii="Arial Narrow" w:hAnsi="Arial Narrow" w:cs="Times New Roman"/>
                <w:snapToGrid/>
                <w:sz w:val="20"/>
                <w:szCs w:val="20"/>
                <w:lang w:val="en-US"/>
              </w:rPr>
              <w:t>y</w:t>
            </w:r>
            <w:r w:rsidRPr="00EF3C6A">
              <w:rPr>
                <w:rFonts w:ascii="Arial Narrow" w:hAnsi="Arial Narrow" w:cs="Times New Roman"/>
                <w:snapToGrid/>
                <w:spacing w:val="-6"/>
                <w:sz w:val="20"/>
                <w:szCs w:val="20"/>
                <w:lang w:val="en-US"/>
              </w:rPr>
              <w:t xml:space="preserve"> </w:t>
            </w:r>
            <w:r w:rsidRPr="00EF3C6A">
              <w:rPr>
                <w:rFonts w:ascii="Arial Narrow" w:hAnsi="Arial Narrow" w:cs="Times New Roman"/>
                <w:snapToGrid/>
                <w:spacing w:val="-1"/>
                <w:sz w:val="20"/>
                <w:szCs w:val="20"/>
                <w:lang w:val="en-US"/>
              </w:rPr>
              <w:t xml:space="preserve">subsequent </w:t>
            </w:r>
            <w:r w:rsidRPr="00EF3C6A">
              <w:rPr>
                <w:rFonts w:ascii="Arial Narrow" w:hAnsi="Arial Narrow" w:cs="Times New Roman"/>
                <w:snapToGrid/>
                <w:spacing w:val="1"/>
                <w:sz w:val="20"/>
                <w:szCs w:val="20"/>
                <w:u w:val="single"/>
                <w:lang w:val="en-US"/>
              </w:rPr>
              <w:t>s</w:t>
            </w:r>
            <w:r w:rsidRPr="00EF3C6A">
              <w:rPr>
                <w:rFonts w:ascii="Arial Narrow" w:hAnsi="Arial Narrow" w:cs="Times New Roman"/>
                <w:snapToGrid/>
                <w:spacing w:val="-2"/>
                <w:sz w:val="20"/>
                <w:szCs w:val="20"/>
                <w:u w:val="single"/>
                <w:lang w:val="en-US"/>
              </w:rPr>
              <w:t>y</w:t>
            </w:r>
            <w:r w:rsidRPr="00EF3C6A">
              <w:rPr>
                <w:rFonts w:ascii="Arial Narrow" w:hAnsi="Arial Narrow" w:cs="Times New Roman"/>
                <w:snapToGrid/>
                <w:spacing w:val="1"/>
                <w:sz w:val="20"/>
                <w:szCs w:val="20"/>
                <w:u w:val="single"/>
                <w:lang w:val="en-US"/>
              </w:rPr>
              <w:t>s</w:t>
            </w:r>
            <w:r w:rsidRPr="00EF3C6A">
              <w:rPr>
                <w:rFonts w:ascii="Arial Narrow" w:hAnsi="Arial Narrow" w:cs="Times New Roman"/>
                <w:snapToGrid/>
                <w:spacing w:val="-1"/>
                <w:sz w:val="20"/>
                <w:szCs w:val="20"/>
                <w:u w:val="single"/>
                <w:lang w:val="en-US"/>
              </w:rPr>
              <w:t>t</w:t>
            </w:r>
            <w:r w:rsidRPr="00EF3C6A">
              <w:rPr>
                <w:rFonts w:ascii="Arial Narrow" w:hAnsi="Arial Narrow" w:cs="Times New Roman"/>
                <w:snapToGrid/>
                <w:spacing w:val="2"/>
                <w:sz w:val="20"/>
                <w:szCs w:val="20"/>
                <w:u w:val="single"/>
                <w:lang w:val="en-US"/>
              </w:rPr>
              <w:t>e</w:t>
            </w:r>
            <w:r w:rsidRPr="00EF3C6A">
              <w:rPr>
                <w:rFonts w:ascii="Arial Narrow" w:hAnsi="Arial Narrow" w:cs="Times New Roman"/>
                <w:snapToGrid/>
                <w:spacing w:val="-2"/>
                <w:sz w:val="20"/>
                <w:szCs w:val="20"/>
                <w:u w:val="single"/>
                <w:lang w:val="en-US"/>
              </w:rPr>
              <w:t>m</w:t>
            </w:r>
            <w:r w:rsidRPr="00EF3C6A">
              <w:rPr>
                <w:rFonts w:ascii="Arial Narrow" w:hAnsi="Arial Narrow" w:cs="Times New Roman"/>
                <w:snapToGrid/>
                <w:spacing w:val="2"/>
                <w:sz w:val="20"/>
                <w:szCs w:val="20"/>
                <w:u w:val="single"/>
                <w:lang w:val="en-US"/>
              </w:rPr>
              <w:t>i</w:t>
            </w:r>
            <w:r w:rsidRPr="00EF3C6A">
              <w:rPr>
                <w:rFonts w:ascii="Arial Narrow" w:hAnsi="Arial Narrow" w:cs="Times New Roman"/>
                <w:snapToGrid/>
                <w:sz w:val="20"/>
                <w:szCs w:val="20"/>
                <w:u w:val="single"/>
                <w:lang w:val="en-US"/>
              </w:rPr>
              <w:t>c</w:t>
            </w:r>
            <w:r w:rsidRPr="00EF3C6A">
              <w:rPr>
                <w:rFonts w:ascii="Arial Narrow" w:hAnsi="Arial Narrow" w:cs="Times New Roman"/>
                <w:snapToGrid/>
                <w:spacing w:val="-5"/>
                <w:sz w:val="20"/>
                <w:szCs w:val="20"/>
                <w:lang w:val="en-US"/>
              </w:rPr>
              <w:t xml:space="preserve"> therapy</w:t>
            </w:r>
          </w:p>
          <w:p w:rsidR="00341890" w:rsidRPr="00EF3C6A" w:rsidRDefault="00EB060B" w:rsidP="0066236A">
            <w:pPr>
              <w:pStyle w:val="ListParagraph"/>
              <w:keepNext/>
              <w:keepLines/>
              <w:numPr>
                <w:ilvl w:val="0"/>
                <w:numId w:val="8"/>
              </w:numPr>
              <w:spacing w:after="0"/>
              <w:jc w:val="left"/>
              <w:rPr>
                <w:rFonts w:ascii="Arial Narrow" w:hAnsi="Arial Narrow" w:cs="Times New Roman"/>
                <w:snapToGrid/>
                <w:sz w:val="20"/>
                <w:szCs w:val="20"/>
                <w:lang w:val="en-US"/>
              </w:rPr>
            </w:pPr>
            <w:r w:rsidRPr="00EF3C6A">
              <w:rPr>
                <w:rFonts w:ascii="Arial Narrow" w:hAnsi="Arial Narrow" w:cs="Times New Roman"/>
                <w:snapToGrid/>
                <w:spacing w:val="3"/>
                <w:sz w:val="20"/>
                <w:szCs w:val="20"/>
                <w:lang w:val="en-US"/>
              </w:rPr>
              <w:t>T</w:t>
            </w:r>
            <w:r w:rsidRPr="00EF3C6A">
              <w:rPr>
                <w:rFonts w:ascii="Arial Narrow" w:hAnsi="Arial Narrow" w:cs="Times New Roman"/>
                <w:snapToGrid/>
                <w:spacing w:val="-1"/>
                <w:sz w:val="20"/>
                <w:szCs w:val="20"/>
                <w:lang w:val="en-US"/>
              </w:rPr>
              <w:t>i</w:t>
            </w:r>
            <w:r w:rsidRPr="00EF3C6A">
              <w:rPr>
                <w:rFonts w:ascii="Arial Narrow" w:hAnsi="Arial Narrow" w:cs="Times New Roman"/>
                <w:snapToGrid/>
                <w:spacing w:val="-5"/>
                <w:sz w:val="20"/>
                <w:szCs w:val="20"/>
                <w:lang w:val="en-US"/>
              </w:rPr>
              <w:t>m</w:t>
            </w:r>
            <w:r w:rsidRPr="00EF3C6A">
              <w:rPr>
                <w:rFonts w:ascii="Arial Narrow" w:hAnsi="Arial Narrow" w:cs="Times New Roman"/>
                <w:snapToGrid/>
                <w:sz w:val="20"/>
                <w:szCs w:val="20"/>
                <w:lang w:val="en-US"/>
              </w:rPr>
              <w:t>e</w:t>
            </w:r>
            <w:r w:rsidRPr="00EF3C6A">
              <w:rPr>
                <w:rFonts w:ascii="Arial Narrow" w:hAnsi="Arial Narrow" w:cs="Times New Roman"/>
                <w:snapToGrid/>
                <w:spacing w:val="-5"/>
                <w:sz w:val="20"/>
                <w:szCs w:val="20"/>
                <w:lang w:val="en-US"/>
              </w:rPr>
              <w:t xml:space="preserve"> </w:t>
            </w:r>
            <w:r w:rsidRPr="00EF3C6A">
              <w:rPr>
                <w:rFonts w:ascii="Arial Narrow" w:hAnsi="Arial Narrow" w:cs="Times New Roman"/>
                <w:snapToGrid/>
                <w:spacing w:val="-1"/>
                <w:sz w:val="20"/>
                <w:szCs w:val="20"/>
                <w:lang w:val="en-US"/>
              </w:rPr>
              <w:t>t</w:t>
            </w:r>
            <w:r w:rsidRPr="00EF3C6A">
              <w:rPr>
                <w:rFonts w:ascii="Arial Narrow" w:hAnsi="Arial Narrow" w:cs="Times New Roman"/>
                <w:snapToGrid/>
                <w:sz w:val="20"/>
                <w:szCs w:val="20"/>
                <w:lang w:val="en-US"/>
              </w:rPr>
              <w:t>o</w:t>
            </w:r>
            <w:r w:rsidRPr="00EF3C6A">
              <w:rPr>
                <w:rFonts w:ascii="Arial Narrow" w:hAnsi="Arial Narrow" w:cs="Times New Roman"/>
                <w:snapToGrid/>
                <w:spacing w:val="-4"/>
                <w:sz w:val="20"/>
                <w:szCs w:val="20"/>
                <w:lang w:val="en-US"/>
              </w:rPr>
              <w:t xml:space="preserve"> </w:t>
            </w:r>
            <w:r w:rsidRPr="00EF3C6A">
              <w:rPr>
                <w:rFonts w:ascii="Arial Narrow" w:hAnsi="Arial Narrow" w:cs="Times New Roman"/>
                <w:snapToGrid/>
                <w:spacing w:val="-2"/>
                <w:sz w:val="20"/>
                <w:szCs w:val="20"/>
                <w:lang w:val="en-US"/>
              </w:rPr>
              <w:t>f</w:t>
            </w:r>
            <w:r w:rsidRPr="00EF3C6A">
              <w:rPr>
                <w:rFonts w:ascii="Arial Narrow" w:hAnsi="Arial Narrow" w:cs="Times New Roman"/>
                <w:snapToGrid/>
                <w:spacing w:val="-1"/>
                <w:sz w:val="20"/>
                <w:szCs w:val="20"/>
                <w:lang w:val="en-US"/>
              </w:rPr>
              <w:t>i</w:t>
            </w:r>
            <w:r w:rsidRPr="00EF3C6A">
              <w:rPr>
                <w:rFonts w:ascii="Arial Narrow" w:hAnsi="Arial Narrow" w:cs="Times New Roman"/>
                <w:snapToGrid/>
                <w:sz w:val="20"/>
                <w:szCs w:val="20"/>
                <w:lang w:val="en-US"/>
              </w:rPr>
              <w:t>r</w:t>
            </w:r>
            <w:r w:rsidRPr="00EF3C6A">
              <w:rPr>
                <w:rFonts w:ascii="Arial Narrow" w:hAnsi="Arial Narrow" w:cs="Times New Roman"/>
                <w:snapToGrid/>
                <w:spacing w:val="1"/>
                <w:sz w:val="20"/>
                <w:szCs w:val="20"/>
                <w:lang w:val="en-US"/>
              </w:rPr>
              <w:t>s</w:t>
            </w:r>
            <w:r w:rsidRPr="00EF3C6A">
              <w:rPr>
                <w:rFonts w:ascii="Arial Narrow" w:hAnsi="Arial Narrow" w:cs="Times New Roman"/>
                <w:snapToGrid/>
                <w:sz w:val="20"/>
                <w:szCs w:val="20"/>
                <w:lang w:val="en-US"/>
              </w:rPr>
              <w:t>t</w:t>
            </w:r>
            <w:r w:rsidRPr="00EF3C6A">
              <w:rPr>
                <w:rFonts w:ascii="Arial Narrow" w:hAnsi="Arial Narrow" w:cs="Times New Roman"/>
                <w:snapToGrid/>
                <w:spacing w:val="-4"/>
                <w:sz w:val="20"/>
                <w:szCs w:val="20"/>
                <w:lang w:val="en-US"/>
              </w:rPr>
              <w:t xml:space="preserve"> </w:t>
            </w:r>
            <w:r w:rsidRPr="00EF3C6A">
              <w:rPr>
                <w:rFonts w:ascii="Arial Narrow" w:hAnsi="Arial Narrow" w:cs="Times New Roman"/>
                <w:snapToGrid/>
                <w:spacing w:val="-1"/>
                <w:sz w:val="20"/>
                <w:szCs w:val="20"/>
                <w:lang w:val="en-US"/>
              </w:rPr>
              <w:t>subsequent</w:t>
            </w:r>
            <w:r w:rsidRPr="00EF3C6A">
              <w:rPr>
                <w:rFonts w:ascii="Arial Narrow" w:hAnsi="Arial Narrow" w:cs="Times New Roman"/>
                <w:snapToGrid/>
                <w:spacing w:val="1"/>
                <w:sz w:val="20"/>
                <w:szCs w:val="20"/>
                <w:lang w:val="en-US"/>
              </w:rPr>
              <w:t xml:space="preserve"> s</w:t>
            </w:r>
            <w:r w:rsidRPr="00EF3C6A">
              <w:rPr>
                <w:rFonts w:ascii="Arial Narrow" w:hAnsi="Arial Narrow" w:cs="Times New Roman"/>
                <w:snapToGrid/>
                <w:spacing w:val="-2"/>
                <w:sz w:val="20"/>
                <w:szCs w:val="20"/>
                <w:lang w:val="en-US"/>
              </w:rPr>
              <w:t>y</w:t>
            </w:r>
            <w:r w:rsidRPr="00EF3C6A">
              <w:rPr>
                <w:rFonts w:ascii="Arial Narrow" w:hAnsi="Arial Narrow" w:cs="Times New Roman"/>
                <w:snapToGrid/>
                <w:spacing w:val="1"/>
                <w:sz w:val="20"/>
                <w:szCs w:val="20"/>
                <w:lang w:val="en-US"/>
              </w:rPr>
              <w:t>s</w:t>
            </w:r>
            <w:r w:rsidRPr="00EF3C6A">
              <w:rPr>
                <w:rFonts w:ascii="Arial Narrow" w:hAnsi="Arial Narrow" w:cs="Times New Roman"/>
                <w:snapToGrid/>
                <w:spacing w:val="-1"/>
                <w:sz w:val="20"/>
                <w:szCs w:val="20"/>
                <w:lang w:val="en-US"/>
              </w:rPr>
              <w:t>t</w:t>
            </w:r>
            <w:r w:rsidRPr="00EF3C6A">
              <w:rPr>
                <w:rFonts w:ascii="Arial Narrow" w:hAnsi="Arial Narrow" w:cs="Times New Roman"/>
                <w:snapToGrid/>
                <w:spacing w:val="2"/>
                <w:sz w:val="20"/>
                <w:szCs w:val="20"/>
                <w:lang w:val="en-US"/>
              </w:rPr>
              <w:t>e</w:t>
            </w:r>
            <w:r w:rsidRPr="00EF3C6A">
              <w:rPr>
                <w:rFonts w:ascii="Arial Narrow" w:hAnsi="Arial Narrow" w:cs="Times New Roman"/>
                <w:snapToGrid/>
                <w:spacing w:val="-2"/>
                <w:sz w:val="20"/>
                <w:szCs w:val="20"/>
                <w:lang w:val="en-US"/>
              </w:rPr>
              <w:t>m</w:t>
            </w:r>
            <w:r w:rsidRPr="00EF3C6A">
              <w:rPr>
                <w:rFonts w:ascii="Arial Narrow" w:hAnsi="Arial Narrow" w:cs="Times New Roman"/>
                <w:snapToGrid/>
                <w:spacing w:val="-1"/>
                <w:sz w:val="20"/>
                <w:szCs w:val="20"/>
                <w:lang w:val="en-US"/>
              </w:rPr>
              <w:t>i</w:t>
            </w:r>
            <w:r w:rsidRPr="00EF3C6A">
              <w:rPr>
                <w:rFonts w:ascii="Arial Narrow" w:hAnsi="Arial Narrow" w:cs="Times New Roman"/>
                <w:snapToGrid/>
                <w:sz w:val="20"/>
                <w:szCs w:val="20"/>
                <w:lang w:val="en-US"/>
              </w:rPr>
              <w:t>c</w:t>
            </w:r>
            <w:r w:rsidRPr="00EF3C6A">
              <w:rPr>
                <w:rFonts w:ascii="Arial Narrow" w:hAnsi="Arial Narrow" w:cs="Times New Roman"/>
                <w:snapToGrid/>
                <w:spacing w:val="-5"/>
                <w:sz w:val="20"/>
                <w:szCs w:val="20"/>
                <w:lang w:val="en-US"/>
              </w:rPr>
              <w:t xml:space="preserve"> therapy</w:t>
            </w:r>
            <w:r w:rsidRPr="00EF3C6A">
              <w:rPr>
                <w:rFonts w:ascii="Arial Narrow" w:hAnsi="Arial Narrow" w:cs="Times New Roman"/>
                <w:snapToGrid/>
                <w:sz w:val="20"/>
                <w:szCs w:val="20"/>
                <w:lang w:val="en-US"/>
              </w:rPr>
              <w:t>,</w:t>
            </w:r>
            <w:r w:rsidRPr="00EF3C6A">
              <w:rPr>
                <w:rFonts w:ascii="Arial Narrow" w:hAnsi="Arial Narrow" w:cs="Times New Roman"/>
                <w:snapToGrid/>
                <w:spacing w:val="-1"/>
                <w:sz w:val="20"/>
                <w:szCs w:val="20"/>
                <w:lang w:val="en-US"/>
              </w:rPr>
              <w:t xml:space="preserve"> median </w:t>
            </w:r>
            <w:r w:rsidRPr="00EF3C6A">
              <w:rPr>
                <w:rFonts w:ascii="Arial Narrow" w:hAnsi="Arial Narrow" w:cs="Times New Roman"/>
                <w:snapToGrid/>
                <w:spacing w:val="-5"/>
                <w:sz w:val="20"/>
                <w:szCs w:val="20"/>
                <w:lang w:val="en-US"/>
              </w:rPr>
              <w:t>m</w:t>
            </w:r>
            <w:r w:rsidRPr="00EF3C6A">
              <w:rPr>
                <w:rFonts w:ascii="Arial Narrow" w:hAnsi="Arial Narrow" w:cs="Times New Roman"/>
                <w:snapToGrid/>
                <w:spacing w:val="1"/>
                <w:sz w:val="20"/>
                <w:szCs w:val="20"/>
                <w:lang w:val="en-US"/>
              </w:rPr>
              <w:t>o</w:t>
            </w:r>
            <w:r w:rsidRPr="00EF3C6A">
              <w:rPr>
                <w:rFonts w:ascii="Arial Narrow" w:hAnsi="Arial Narrow" w:cs="Times New Roman"/>
                <w:snapToGrid/>
                <w:spacing w:val="-2"/>
                <w:sz w:val="20"/>
                <w:szCs w:val="20"/>
                <w:lang w:val="en-US"/>
              </w:rPr>
              <w:t>n</w:t>
            </w:r>
            <w:r w:rsidRPr="00EF3C6A">
              <w:rPr>
                <w:rFonts w:ascii="Arial Narrow" w:hAnsi="Arial Narrow" w:cs="Times New Roman"/>
                <w:snapToGrid/>
                <w:spacing w:val="2"/>
                <w:sz w:val="20"/>
                <w:szCs w:val="20"/>
                <w:lang w:val="en-US"/>
              </w:rPr>
              <w:t>t</w:t>
            </w:r>
            <w:r w:rsidRPr="00EF3C6A">
              <w:rPr>
                <w:rFonts w:ascii="Arial Narrow" w:hAnsi="Arial Narrow" w:cs="Times New Roman"/>
                <w:snapToGrid/>
                <w:spacing w:val="-2"/>
                <w:sz w:val="20"/>
                <w:szCs w:val="20"/>
                <w:lang w:val="en-US"/>
              </w:rPr>
              <w:t>h</w:t>
            </w:r>
            <w:r w:rsidRPr="00EF3C6A">
              <w:rPr>
                <w:rFonts w:ascii="Arial Narrow" w:hAnsi="Arial Narrow" w:cs="Times New Roman"/>
                <w:snapToGrid/>
                <w:sz w:val="20"/>
                <w:szCs w:val="20"/>
                <w:lang w:val="en-US"/>
              </w:rPr>
              <w:t>s</w:t>
            </w:r>
            <w:r w:rsidRPr="00EF3C6A">
              <w:rPr>
                <w:rFonts w:ascii="Arial Narrow" w:hAnsi="Arial Narrow" w:cs="Times New Roman"/>
                <w:snapToGrid/>
                <w:spacing w:val="-6"/>
                <w:sz w:val="20"/>
                <w:szCs w:val="20"/>
                <w:lang w:val="en-US"/>
              </w:rPr>
              <w:t xml:space="preserve"> </w:t>
            </w:r>
            <w:r w:rsidRPr="00EF3C6A">
              <w:rPr>
                <w:rFonts w:ascii="Arial Narrow" w:hAnsi="Arial Narrow" w:cs="Times New Roman"/>
                <w:snapToGrid/>
                <w:sz w:val="20"/>
                <w:szCs w:val="20"/>
                <w:lang w:val="en-US"/>
              </w:rPr>
              <w:t>(ra</w:t>
            </w:r>
            <w:r w:rsidRPr="00EF3C6A">
              <w:rPr>
                <w:rFonts w:ascii="Arial Narrow" w:hAnsi="Arial Narrow" w:cs="Times New Roman"/>
                <w:snapToGrid/>
                <w:spacing w:val="1"/>
                <w:sz w:val="20"/>
                <w:szCs w:val="20"/>
                <w:lang w:val="en-US"/>
              </w:rPr>
              <w:t>n</w:t>
            </w:r>
            <w:r w:rsidRPr="00EF3C6A">
              <w:rPr>
                <w:rFonts w:ascii="Arial Narrow" w:hAnsi="Arial Narrow" w:cs="Times New Roman"/>
                <w:snapToGrid/>
                <w:spacing w:val="-2"/>
                <w:sz w:val="20"/>
                <w:szCs w:val="20"/>
                <w:lang w:val="en-US"/>
              </w:rPr>
              <w:t>g</w:t>
            </w:r>
            <w:r w:rsidRPr="00EF3C6A">
              <w:rPr>
                <w:rFonts w:ascii="Arial Narrow" w:hAnsi="Arial Narrow" w:cs="Times New Roman"/>
                <w:snapToGrid/>
                <w:sz w:val="20"/>
                <w:szCs w:val="20"/>
                <w:lang w:val="en-US"/>
              </w:rPr>
              <w:t>e</w:t>
            </w:r>
            <w:r w:rsidRPr="00EF3C6A">
              <w:rPr>
                <w:rFonts w:ascii="Arial Narrow" w:hAnsi="Arial Narrow" w:cs="Times New Roman"/>
                <w:snapToGrid/>
                <w:spacing w:val="3"/>
                <w:sz w:val="20"/>
                <w:szCs w:val="20"/>
                <w:lang w:val="en-US"/>
              </w:rPr>
              <w:t>)</w:t>
            </w:r>
          </w:p>
        </w:tc>
        <w:tc>
          <w:tcPr>
            <w:tcW w:w="976" w:type="pct"/>
            <w:tcBorders>
              <w:bottom w:val="single" w:sz="4" w:space="0" w:color="auto"/>
            </w:tcBorders>
          </w:tcPr>
          <w:p w:rsidR="00EB060B" w:rsidRPr="00EF3C6A" w:rsidRDefault="00B07F6B" w:rsidP="0066236A">
            <w:pPr>
              <w:keepNext/>
              <w:keepLines/>
              <w:jc w:val="left"/>
              <w:rPr>
                <w:rFonts w:ascii="Arial Narrow" w:hAnsi="Arial Narrow" w:cs="Times New Roman"/>
                <w:snapToGrid/>
                <w:spacing w:val="1"/>
                <w:sz w:val="20"/>
                <w:szCs w:val="20"/>
                <w:lang w:val="en-US"/>
              </w:rPr>
            </w:pPr>
            <w:r>
              <w:rPr>
                <w:rFonts w:ascii="Arial Narrow" w:hAnsi="Arial Narrow" w:cs="Times New Roman"/>
                <w:noProof/>
                <w:snapToGrid/>
                <w:color w:val="000000"/>
                <w:spacing w:val="1"/>
                <w:sz w:val="20"/>
                <w:szCs w:val="20"/>
                <w:highlight w:val="black"/>
                <w:lang w:val="en-US"/>
              </w:rPr>
              <w:t>'''''''''</w:t>
            </w:r>
            <w:r w:rsidR="00341890" w:rsidRPr="00EF3C6A">
              <w:rPr>
                <w:rFonts w:ascii="Arial Narrow" w:hAnsi="Arial Narrow" w:cs="Times New Roman"/>
                <w:snapToGrid/>
                <w:spacing w:val="-7"/>
                <w:sz w:val="20"/>
                <w:szCs w:val="20"/>
                <w:lang w:val="en-US"/>
              </w:rPr>
              <w:t xml:space="preserve"> </w:t>
            </w:r>
            <w:r w:rsidR="00341890" w:rsidRPr="00EF3C6A">
              <w:rPr>
                <w:rFonts w:ascii="Arial Narrow" w:hAnsi="Arial Narrow" w:cs="Times New Roman"/>
                <w:snapToGrid/>
                <w:spacing w:val="-2"/>
                <w:sz w:val="20"/>
                <w:szCs w:val="20"/>
                <w:lang w:val="en-US"/>
              </w:rPr>
              <w:t>(</w:t>
            </w:r>
            <w:r>
              <w:rPr>
                <w:rFonts w:ascii="Arial Narrow" w:hAnsi="Arial Narrow" w:cs="Times New Roman"/>
                <w:noProof/>
                <w:snapToGrid/>
                <w:color w:val="000000"/>
                <w:spacing w:val="1"/>
                <w:sz w:val="20"/>
                <w:szCs w:val="20"/>
                <w:highlight w:val="black"/>
                <w:lang w:val="en-US"/>
              </w:rPr>
              <w:t>''''''''''</w:t>
            </w:r>
            <w:r w:rsidR="00EB060B" w:rsidRPr="00EF3C6A">
              <w:rPr>
                <w:rFonts w:ascii="Arial Narrow" w:hAnsi="Arial Narrow" w:cs="Times New Roman"/>
                <w:snapToGrid/>
                <w:spacing w:val="1"/>
                <w:sz w:val="20"/>
                <w:szCs w:val="20"/>
                <w:lang w:val="en-US"/>
              </w:rPr>
              <w:t>%</w:t>
            </w:r>
            <w:r w:rsidR="00341890" w:rsidRPr="00EF3C6A">
              <w:rPr>
                <w:rFonts w:ascii="Arial Narrow" w:hAnsi="Arial Narrow" w:cs="Times New Roman"/>
                <w:snapToGrid/>
                <w:spacing w:val="1"/>
                <w:sz w:val="20"/>
                <w:szCs w:val="20"/>
                <w:lang w:val="en-US"/>
              </w:rPr>
              <w:t>)</w:t>
            </w:r>
          </w:p>
          <w:p w:rsidR="00EB060B" w:rsidRPr="00EF3C6A" w:rsidRDefault="00B07F6B" w:rsidP="0066236A">
            <w:pPr>
              <w:keepNext/>
              <w:keepLines/>
              <w:jc w:val="left"/>
              <w:rPr>
                <w:rFonts w:ascii="Arial Narrow" w:hAnsi="Arial Narrow" w:cs="Times New Roman"/>
                <w:snapToGrid/>
                <w:spacing w:val="1"/>
                <w:sz w:val="20"/>
                <w:szCs w:val="20"/>
                <w:lang w:val="en-US"/>
              </w:rPr>
            </w:pPr>
            <w:r>
              <w:rPr>
                <w:rFonts w:ascii="Arial Narrow" w:hAnsi="Arial Narrow" w:cs="Times New Roman"/>
                <w:noProof/>
                <w:snapToGrid/>
                <w:color w:val="000000"/>
                <w:spacing w:val="1"/>
                <w:sz w:val="20"/>
                <w:szCs w:val="20"/>
                <w:highlight w:val="black"/>
                <w:lang w:val="en-US"/>
              </w:rPr>
              <w:t>''''''''''</w:t>
            </w:r>
            <w:r w:rsidR="00EB060B" w:rsidRPr="00EF3C6A">
              <w:rPr>
                <w:rFonts w:ascii="Arial Narrow" w:hAnsi="Arial Narrow" w:cs="Times New Roman"/>
                <w:snapToGrid/>
                <w:spacing w:val="-7"/>
                <w:sz w:val="20"/>
                <w:szCs w:val="20"/>
                <w:lang w:val="en-US"/>
              </w:rPr>
              <w:t xml:space="preserve"> </w:t>
            </w:r>
            <w:r w:rsidR="00EB060B" w:rsidRPr="00EF3C6A">
              <w:rPr>
                <w:rFonts w:ascii="Arial Narrow" w:hAnsi="Arial Narrow" w:cs="Times New Roman"/>
                <w:snapToGrid/>
                <w:spacing w:val="-2"/>
                <w:sz w:val="20"/>
                <w:szCs w:val="20"/>
                <w:lang w:val="en-US"/>
              </w:rPr>
              <w:t>(</w:t>
            </w:r>
            <w:r>
              <w:rPr>
                <w:rFonts w:ascii="Arial Narrow" w:hAnsi="Arial Narrow" w:cs="Times New Roman"/>
                <w:noProof/>
                <w:snapToGrid/>
                <w:color w:val="000000"/>
                <w:spacing w:val="1"/>
                <w:sz w:val="20"/>
                <w:szCs w:val="20"/>
                <w:highlight w:val="black"/>
                <w:lang w:val="en-US"/>
              </w:rPr>
              <w:t>''''''''''</w:t>
            </w:r>
            <w:r w:rsidR="00EB060B" w:rsidRPr="00EF3C6A">
              <w:rPr>
                <w:rFonts w:ascii="Arial Narrow" w:hAnsi="Arial Narrow" w:cs="Times New Roman"/>
                <w:snapToGrid/>
                <w:spacing w:val="1"/>
                <w:sz w:val="20"/>
                <w:szCs w:val="20"/>
                <w:lang w:val="en-US"/>
              </w:rPr>
              <w:t>%)</w:t>
            </w:r>
          </w:p>
          <w:p w:rsidR="00341890" w:rsidRPr="00EF3C6A" w:rsidRDefault="00B07F6B" w:rsidP="0066236A">
            <w:pPr>
              <w:keepNext/>
              <w:keepLines/>
              <w:spacing w:line="225" w:lineRule="exact"/>
              <w:ind w:left="35"/>
              <w:rPr>
                <w:rFonts w:ascii="Arial Narrow" w:eastAsia="Calibri" w:hAnsi="Arial Narrow" w:cs="Times New Roman"/>
                <w:snapToGrid/>
                <w:sz w:val="22"/>
                <w:lang w:val="en-US"/>
              </w:rPr>
            </w:pPr>
            <w:r>
              <w:rPr>
                <w:rFonts w:ascii="Arial Narrow" w:hAnsi="Arial Narrow" w:cs="Times New Roman"/>
                <w:noProof/>
                <w:snapToGrid/>
                <w:color w:val="000000"/>
                <w:spacing w:val="1"/>
                <w:sz w:val="20"/>
                <w:szCs w:val="20"/>
                <w:highlight w:val="black"/>
                <w:lang w:val="en-US"/>
              </w:rPr>
              <w:t>''''''''</w:t>
            </w:r>
            <w:r w:rsidR="00EB060B" w:rsidRPr="00EF3C6A">
              <w:rPr>
                <w:rFonts w:ascii="Arial Narrow" w:hAnsi="Arial Narrow" w:cs="Times New Roman"/>
                <w:snapToGrid/>
                <w:spacing w:val="-4"/>
                <w:sz w:val="20"/>
                <w:szCs w:val="20"/>
                <w:lang w:val="en-US"/>
              </w:rPr>
              <w:t xml:space="preserve"> months </w:t>
            </w:r>
            <w:r w:rsidR="00EB060B" w:rsidRPr="00EF3C6A">
              <w:rPr>
                <w:rFonts w:ascii="Arial Narrow" w:hAnsi="Arial Narrow" w:cs="Times New Roman"/>
                <w:snapToGrid/>
                <w:spacing w:val="-2"/>
                <w:sz w:val="20"/>
                <w:szCs w:val="20"/>
                <w:lang w:val="en-US"/>
              </w:rPr>
              <w:t>(</w:t>
            </w:r>
            <w:r>
              <w:rPr>
                <w:rFonts w:ascii="Arial Narrow" w:hAnsi="Arial Narrow" w:cs="Times New Roman"/>
                <w:noProof/>
                <w:snapToGrid/>
                <w:color w:val="000000"/>
                <w:spacing w:val="1"/>
                <w:sz w:val="20"/>
                <w:szCs w:val="20"/>
                <w:highlight w:val="black"/>
                <w:lang w:val="en-US"/>
              </w:rPr>
              <w:t>'''''''</w:t>
            </w:r>
            <w:r w:rsidR="00EB060B" w:rsidRPr="00EF3C6A">
              <w:rPr>
                <w:rFonts w:ascii="Arial Narrow" w:hAnsi="Arial Narrow" w:cs="Times New Roman"/>
                <w:snapToGrid/>
                <w:sz w:val="20"/>
                <w:szCs w:val="20"/>
                <w:lang w:val="en-US"/>
              </w:rPr>
              <w:t>,</w:t>
            </w:r>
            <w:r w:rsidR="00EB060B" w:rsidRPr="00EF3C6A">
              <w:rPr>
                <w:rFonts w:ascii="Arial Narrow" w:hAnsi="Arial Narrow" w:cs="Times New Roman"/>
                <w:snapToGrid/>
                <w:spacing w:val="-6"/>
                <w:sz w:val="20"/>
                <w:szCs w:val="20"/>
                <w:lang w:val="en-US"/>
              </w:rPr>
              <w:t xml:space="preserve"> </w:t>
            </w:r>
            <w:r>
              <w:rPr>
                <w:rFonts w:ascii="Arial Narrow" w:hAnsi="Arial Narrow" w:cs="Times New Roman"/>
                <w:noProof/>
                <w:snapToGrid/>
                <w:color w:val="000000"/>
                <w:spacing w:val="1"/>
                <w:sz w:val="20"/>
                <w:szCs w:val="20"/>
                <w:highlight w:val="black"/>
                <w:lang w:val="en-US"/>
              </w:rPr>
              <w:t>''''''''''</w:t>
            </w:r>
            <w:r w:rsidR="00EB060B" w:rsidRPr="00EF3C6A">
              <w:rPr>
                <w:rFonts w:ascii="Arial Narrow" w:hAnsi="Arial Narrow" w:cs="Times New Roman"/>
                <w:snapToGrid/>
                <w:spacing w:val="1"/>
                <w:sz w:val="20"/>
                <w:szCs w:val="20"/>
                <w:lang w:val="en-US"/>
              </w:rPr>
              <w:t>)</w:t>
            </w:r>
          </w:p>
        </w:tc>
        <w:tc>
          <w:tcPr>
            <w:tcW w:w="1021" w:type="pct"/>
            <w:tcBorders>
              <w:bottom w:val="single" w:sz="4" w:space="0" w:color="auto"/>
            </w:tcBorders>
          </w:tcPr>
          <w:p w:rsidR="00EB060B" w:rsidRPr="00EF3C6A" w:rsidRDefault="00B07F6B" w:rsidP="0066236A">
            <w:pPr>
              <w:keepNext/>
              <w:keepLines/>
              <w:spacing w:line="225" w:lineRule="exact"/>
              <w:ind w:left="10"/>
              <w:jc w:val="left"/>
              <w:rPr>
                <w:rFonts w:ascii="Arial Narrow" w:hAnsi="Arial Narrow" w:cs="Times New Roman"/>
                <w:snapToGrid/>
                <w:spacing w:val="1"/>
                <w:sz w:val="20"/>
                <w:szCs w:val="20"/>
                <w:lang w:val="en-US"/>
              </w:rPr>
            </w:pPr>
            <w:r>
              <w:rPr>
                <w:rFonts w:ascii="Arial Narrow" w:hAnsi="Arial Narrow" w:cs="Times New Roman"/>
                <w:noProof/>
                <w:snapToGrid/>
                <w:color w:val="000000"/>
                <w:spacing w:val="1"/>
                <w:sz w:val="20"/>
                <w:szCs w:val="20"/>
                <w:highlight w:val="black"/>
                <w:lang w:val="en-US"/>
              </w:rPr>
              <w:t>'''''''''</w:t>
            </w:r>
            <w:r w:rsidR="00341890" w:rsidRPr="00EF3C6A">
              <w:rPr>
                <w:rFonts w:ascii="Arial Narrow" w:hAnsi="Arial Narrow" w:cs="Times New Roman"/>
                <w:snapToGrid/>
                <w:spacing w:val="-7"/>
                <w:sz w:val="20"/>
                <w:szCs w:val="20"/>
                <w:lang w:val="en-US"/>
              </w:rPr>
              <w:t xml:space="preserve"> </w:t>
            </w:r>
            <w:r w:rsidR="00341890" w:rsidRPr="00EF3C6A">
              <w:rPr>
                <w:rFonts w:ascii="Arial Narrow" w:hAnsi="Arial Narrow" w:cs="Times New Roman"/>
                <w:snapToGrid/>
                <w:spacing w:val="-2"/>
                <w:sz w:val="20"/>
                <w:szCs w:val="20"/>
                <w:lang w:val="en-US"/>
              </w:rPr>
              <w:t>(</w:t>
            </w:r>
            <w:r>
              <w:rPr>
                <w:rFonts w:ascii="Arial Narrow" w:hAnsi="Arial Narrow" w:cs="Times New Roman"/>
                <w:noProof/>
                <w:snapToGrid/>
                <w:color w:val="000000"/>
                <w:spacing w:val="1"/>
                <w:sz w:val="20"/>
                <w:szCs w:val="20"/>
                <w:highlight w:val="black"/>
                <w:lang w:val="en-US"/>
              </w:rPr>
              <w:t>''''''''''</w:t>
            </w:r>
            <w:r w:rsidR="00EB060B" w:rsidRPr="00EF3C6A">
              <w:rPr>
                <w:rFonts w:ascii="Arial Narrow" w:hAnsi="Arial Narrow" w:cs="Times New Roman"/>
                <w:snapToGrid/>
                <w:spacing w:val="1"/>
                <w:sz w:val="20"/>
                <w:szCs w:val="20"/>
                <w:lang w:val="en-US"/>
              </w:rPr>
              <w:t>%</w:t>
            </w:r>
            <w:r w:rsidR="00341890" w:rsidRPr="00EF3C6A">
              <w:rPr>
                <w:rFonts w:ascii="Arial Narrow" w:hAnsi="Arial Narrow" w:cs="Times New Roman"/>
                <w:snapToGrid/>
                <w:spacing w:val="1"/>
                <w:sz w:val="20"/>
                <w:szCs w:val="20"/>
                <w:lang w:val="en-US"/>
              </w:rPr>
              <w:t>)</w:t>
            </w:r>
          </w:p>
          <w:p w:rsidR="00EB060B" w:rsidRPr="00EF3C6A" w:rsidRDefault="00B07F6B" w:rsidP="0066236A">
            <w:pPr>
              <w:keepNext/>
              <w:keepLines/>
              <w:spacing w:line="225" w:lineRule="exact"/>
              <w:ind w:left="10"/>
              <w:jc w:val="left"/>
              <w:rPr>
                <w:rFonts w:ascii="Arial Narrow" w:hAnsi="Arial Narrow" w:cs="Times New Roman"/>
                <w:snapToGrid/>
                <w:spacing w:val="1"/>
                <w:sz w:val="20"/>
                <w:szCs w:val="20"/>
                <w:lang w:val="en-US"/>
              </w:rPr>
            </w:pPr>
            <w:r>
              <w:rPr>
                <w:rFonts w:ascii="Arial Narrow" w:hAnsi="Arial Narrow" w:cs="Times New Roman"/>
                <w:noProof/>
                <w:snapToGrid/>
                <w:color w:val="000000"/>
                <w:spacing w:val="1"/>
                <w:sz w:val="20"/>
                <w:szCs w:val="20"/>
                <w:highlight w:val="black"/>
                <w:lang w:val="en-US"/>
              </w:rPr>
              <w:t>''''''''''</w:t>
            </w:r>
            <w:r w:rsidR="00EB060B" w:rsidRPr="00EF3C6A">
              <w:rPr>
                <w:rFonts w:ascii="Arial Narrow" w:hAnsi="Arial Narrow" w:cs="Times New Roman"/>
                <w:snapToGrid/>
                <w:spacing w:val="-7"/>
                <w:sz w:val="20"/>
                <w:szCs w:val="20"/>
                <w:lang w:val="en-US"/>
              </w:rPr>
              <w:t xml:space="preserve"> </w:t>
            </w:r>
            <w:r w:rsidR="00EB060B" w:rsidRPr="00EF3C6A">
              <w:rPr>
                <w:rFonts w:ascii="Arial Narrow" w:hAnsi="Arial Narrow" w:cs="Times New Roman"/>
                <w:snapToGrid/>
                <w:spacing w:val="-2"/>
                <w:sz w:val="20"/>
                <w:szCs w:val="20"/>
                <w:lang w:val="en-US"/>
              </w:rPr>
              <w:t>(</w:t>
            </w:r>
            <w:r>
              <w:rPr>
                <w:rFonts w:ascii="Arial Narrow" w:hAnsi="Arial Narrow" w:cs="Times New Roman"/>
                <w:noProof/>
                <w:snapToGrid/>
                <w:color w:val="000000"/>
                <w:spacing w:val="1"/>
                <w:sz w:val="20"/>
                <w:szCs w:val="20"/>
                <w:highlight w:val="black"/>
                <w:lang w:val="en-US"/>
              </w:rPr>
              <w:t>''''''''''</w:t>
            </w:r>
            <w:r w:rsidR="00EB060B" w:rsidRPr="00EF3C6A">
              <w:rPr>
                <w:rFonts w:ascii="Arial Narrow" w:hAnsi="Arial Narrow" w:cs="Times New Roman"/>
                <w:snapToGrid/>
                <w:spacing w:val="1"/>
                <w:sz w:val="20"/>
                <w:szCs w:val="20"/>
                <w:lang w:val="en-US"/>
              </w:rPr>
              <w:t>%)</w:t>
            </w:r>
          </w:p>
          <w:p w:rsidR="00341890" w:rsidRPr="00EF3C6A" w:rsidRDefault="00B07F6B" w:rsidP="0066236A">
            <w:pPr>
              <w:keepNext/>
              <w:keepLines/>
              <w:spacing w:line="225" w:lineRule="exact"/>
              <w:ind w:left="35"/>
              <w:rPr>
                <w:rFonts w:ascii="Arial Narrow" w:hAnsi="Arial Narrow" w:cs="Times New Roman"/>
                <w:snapToGrid/>
                <w:sz w:val="20"/>
                <w:szCs w:val="20"/>
                <w:lang w:val="en-US"/>
              </w:rPr>
            </w:pPr>
            <w:r>
              <w:rPr>
                <w:rFonts w:ascii="Arial Narrow" w:hAnsi="Arial Narrow" w:cs="Times New Roman"/>
                <w:noProof/>
                <w:snapToGrid/>
                <w:color w:val="000000"/>
                <w:spacing w:val="1"/>
                <w:sz w:val="20"/>
                <w:szCs w:val="20"/>
                <w:highlight w:val="black"/>
                <w:lang w:val="en-US"/>
              </w:rPr>
              <w:t>'''''''</w:t>
            </w:r>
            <w:r w:rsidR="00EB060B" w:rsidRPr="00EF3C6A">
              <w:rPr>
                <w:rFonts w:ascii="Arial Narrow" w:hAnsi="Arial Narrow" w:cs="Times New Roman"/>
                <w:snapToGrid/>
                <w:spacing w:val="-4"/>
                <w:sz w:val="20"/>
                <w:szCs w:val="20"/>
                <w:lang w:val="en-US"/>
              </w:rPr>
              <w:t xml:space="preserve"> months </w:t>
            </w:r>
            <w:r w:rsidR="00EB060B" w:rsidRPr="00EF3C6A">
              <w:rPr>
                <w:rFonts w:ascii="Arial Narrow" w:hAnsi="Arial Narrow" w:cs="Times New Roman"/>
                <w:snapToGrid/>
                <w:spacing w:val="-2"/>
                <w:sz w:val="20"/>
                <w:szCs w:val="20"/>
                <w:lang w:val="en-US"/>
              </w:rPr>
              <w:t>(</w:t>
            </w:r>
            <w:r>
              <w:rPr>
                <w:rFonts w:ascii="Arial Narrow" w:hAnsi="Arial Narrow" w:cs="Times New Roman"/>
                <w:noProof/>
                <w:snapToGrid/>
                <w:color w:val="000000"/>
                <w:spacing w:val="1"/>
                <w:sz w:val="20"/>
                <w:szCs w:val="20"/>
                <w:highlight w:val="black"/>
                <w:lang w:val="en-US"/>
              </w:rPr>
              <w:t>'''''''</w:t>
            </w:r>
            <w:r w:rsidR="00EB060B" w:rsidRPr="00EF3C6A">
              <w:rPr>
                <w:rFonts w:ascii="Arial Narrow" w:hAnsi="Arial Narrow" w:cs="Times New Roman"/>
                <w:snapToGrid/>
                <w:sz w:val="20"/>
                <w:szCs w:val="20"/>
                <w:lang w:val="en-US"/>
              </w:rPr>
              <w:t>,</w:t>
            </w:r>
            <w:r w:rsidR="00EB060B" w:rsidRPr="00EF3C6A">
              <w:rPr>
                <w:rFonts w:ascii="Arial Narrow" w:hAnsi="Arial Narrow" w:cs="Times New Roman"/>
                <w:snapToGrid/>
                <w:spacing w:val="-6"/>
                <w:sz w:val="20"/>
                <w:szCs w:val="20"/>
                <w:lang w:val="en-US"/>
              </w:rPr>
              <w:t xml:space="preserve"> </w:t>
            </w:r>
            <w:r>
              <w:rPr>
                <w:rFonts w:ascii="Arial Narrow" w:hAnsi="Arial Narrow" w:cs="Times New Roman"/>
                <w:noProof/>
                <w:snapToGrid/>
                <w:color w:val="000000"/>
                <w:spacing w:val="1"/>
                <w:sz w:val="20"/>
                <w:szCs w:val="20"/>
                <w:highlight w:val="black"/>
                <w:lang w:val="en-US"/>
              </w:rPr>
              <w:t>'''''''''''</w:t>
            </w:r>
            <w:r w:rsidR="00EB060B" w:rsidRPr="00EF3C6A">
              <w:rPr>
                <w:rFonts w:ascii="Arial Narrow" w:hAnsi="Arial Narrow" w:cs="Times New Roman"/>
                <w:snapToGrid/>
                <w:spacing w:val="1"/>
                <w:sz w:val="20"/>
                <w:szCs w:val="20"/>
                <w:lang w:val="en-US"/>
              </w:rPr>
              <w:t>)</w:t>
            </w:r>
          </w:p>
        </w:tc>
      </w:tr>
      <w:tr w:rsidR="00EB060B" w:rsidRPr="00EF3C6A" w:rsidTr="00136B30">
        <w:trPr>
          <w:trHeight w:val="733"/>
        </w:trPr>
        <w:tc>
          <w:tcPr>
            <w:tcW w:w="3003" w:type="pct"/>
            <w:tcBorders>
              <w:bottom w:val="single" w:sz="4" w:space="0" w:color="auto"/>
            </w:tcBorders>
          </w:tcPr>
          <w:p w:rsidR="00EB060B" w:rsidRPr="00EF3C6A" w:rsidRDefault="00341890" w:rsidP="0066236A">
            <w:pPr>
              <w:keepNext/>
              <w:keepLines/>
              <w:ind w:left="23"/>
              <w:jc w:val="left"/>
              <w:rPr>
                <w:rFonts w:ascii="Arial Narrow" w:hAnsi="Arial Narrow" w:cs="Times New Roman"/>
                <w:snapToGrid/>
                <w:spacing w:val="-1"/>
                <w:sz w:val="20"/>
                <w:szCs w:val="20"/>
                <w:lang w:val="en-US"/>
              </w:rPr>
            </w:pPr>
            <w:r w:rsidRPr="00EF3C6A">
              <w:rPr>
                <w:rFonts w:ascii="Arial Narrow" w:hAnsi="Arial Narrow" w:cs="Times New Roman"/>
                <w:snapToGrid/>
                <w:spacing w:val="-1"/>
                <w:sz w:val="20"/>
                <w:szCs w:val="20"/>
                <w:lang w:val="en-US"/>
              </w:rPr>
              <w:t>Patient</w:t>
            </w:r>
            <w:r w:rsidRPr="00EF3C6A">
              <w:rPr>
                <w:rFonts w:ascii="Arial Narrow" w:hAnsi="Arial Narrow" w:cs="Times New Roman"/>
                <w:snapToGrid/>
                <w:sz w:val="20"/>
                <w:szCs w:val="20"/>
                <w:lang w:val="en-US"/>
              </w:rPr>
              <w:t>s</w:t>
            </w:r>
            <w:r w:rsidRPr="00EF3C6A">
              <w:rPr>
                <w:rFonts w:ascii="Arial Narrow" w:hAnsi="Arial Narrow" w:cs="Times New Roman"/>
                <w:snapToGrid/>
                <w:spacing w:val="-2"/>
                <w:sz w:val="20"/>
                <w:szCs w:val="20"/>
                <w:lang w:val="en-US"/>
              </w:rPr>
              <w:t xml:space="preserve"> </w:t>
            </w:r>
            <w:r w:rsidRPr="00EF3C6A">
              <w:rPr>
                <w:rFonts w:ascii="Arial Narrow" w:hAnsi="Arial Narrow" w:cs="Times New Roman"/>
                <w:snapToGrid/>
                <w:spacing w:val="-3"/>
                <w:sz w:val="20"/>
                <w:szCs w:val="20"/>
                <w:lang w:val="en-US"/>
              </w:rPr>
              <w:t>w</w:t>
            </w:r>
            <w:r w:rsidRPr="00EF3C6A">
              <w:rPr>
                <w:rFonts w:ascii="Arial Narrow" w:hAnsi="Arial Narrow" w:cs="Times New Roman"/>
                <w:snapToGrid/>
                <w:spacing w:val="-1"/>
                <w:sz w:val="20"/>
                <w:szCs w:val="20"/>
                <w:lang w:val="en-US"/>
              </w:rPr>
              <w:t>it</w:t>
            </w:r>
            <w:r w:rsidRPr="00EF3C6A">
              <w:rPr>
                <w:rFonts w:ascii="Arial Narrow" w:hAnsi="Arial Narrow" w:cs="Times New Roman"/>
                <w:snapToGrid/>
                <w:sz w:val="20"/>
                <w:szCs w:val="20"/>
                <w:lang w:val="en-US"/>
              </w:rPr>
              <w:t>h</w:t>
            </w:r>
            <w:r w:rsidRPr="00EF3C6A">
              <w:rPr>
                <w:rFonts w:ascii="Arial Narrow" w:hAnsi="Arial Narrow" w:cs="Times New Roman"/>
                <w:snapToGrid/>
                <w:spacing w:val="-5"/>
                <w:sz w:val="20"/>
                <w:szCs w:val="20"/>
                <w:lang w:val="en-US"/>
              </w:rPr>
              <w:t xml:space="preserve"> </w:t>
            </w:r>
            <w:r w:rsidRPr="00EF3C6A">
              <w:rPr>
                <w:rFonts w:ascii="Arial Narrow" w:hAnsi="Arial Narrow" w:cs="Times New Roman"/>
                <w:snapToGrid/>
                <w:spacing w:val="2"/>
                <w:sz w:val="20"/>
                <w:szCs w:val="20"/>
                <w:lang w:val="en-US"/>
              </w:rPr>
              <w:t>a</w:t>
            </w:r>
            <w:r w:rsidRPr="00EF3C6A">
              <w:rPr>
                <w:rFonts w:ascii="Arial Narrow" w:hAnsi="Arial Narrow" w:cs="Times New Roman"/>
                <w:snapToGrid/>
                <w:spacing w:val="1"/>
                <w:sz w:val="20"/>
                <w:szCs w:val="20"/>
                <w:lang w:val="en-US"/>
              </w:rPr>
              <w:t>n</w:t>
            </w:r>
            <w:r w:rsidRPr="00EF3C6A">
              <w:rPr>
                <w:rFonts w:ascii="Arial Narrow" w:hAnsi="Arial Narrow" w:cs="Times New Roman"/>
                <w:snapToGrid/>
                <w:sz w:val="20"/>
                <w:szCs w:val="20"/>
                <w:lang w:val="en-US"/>
              </w:rPr>
              <w:t>y</w:t>
            </w:r>
            <w:r w:rsidRPr="00EF3C6A">
              <w:rPr>
                <w:rFonts w:ascii="Arial Narrow" w:hAnsi="Arial Narrow" w:cs="Times New Roman"/>
                <w:snapToGrid/>
                <w:spacing w:val="-5"/>
                <w:sz w:val="20"/>
                <w:szCs w:val="20"/>
                <w:lang w:val="en-US"/>
              </w:rPr>
              <w:t xml:space="preserve"> </w:t>
            </w:r>
            <w:r w:rsidRPr="00EF3C6A">
              <w:rPr>
                <w:rFonts w:ascii="Arial Narrow" w:hAnsi="Arial Narrow" w:cs="Times New Roman"/>
                <w:snapToGrid/>
                <w:spacing w:val="-1"/>
                <w:sz w:val="20"/>
                <w:szCs w:val="20"/>
                <w:lang w:val="en-US"/>
              </w:rPr>
              <w:t>subsequent</w:t>
            </w:r>
            <w:r w:rsidRPr="00EF3C6A">
              <w:rPr>
                <w:rFonts w:ascii="Arial Narrow" w:hAnsi="Arial Narrow" w:cs="Times New Roman"/>
                <w:snapToGrid/>
                <w:spacing w:val="3"/>
                <w:sz w:val="20"/>
                <w:szCs w:val="20"/>
                <w:lang w:val="en-US"/>
              </w:rPr>
              <w:t xml:space="preserve"> therapy who were </w:t>
            </w:r>
            <w:r w:rsidRPr="00EF3C6A">
              <w:rPr>
                <w:rFonts w:ascii="Arial Narrow" w:hAnsi="Arial Narrow" w:cs="Times New Roman"/>
                <w:snapToGrid/>
                <w:sz w:val="20"/>
                <w:szCs w:val="20"/>
                <w:lang w:val="en-US"/>
              </w:rPr>
              <w:t>ce</w:t>
            </w:r>
            <w:r w:rsidRPr="00EF3C6A">
              <w:rPr>
                <w:rFonts w:ascii="Arial Narrow" w:hAnsi="Arial Narrow" w:cs="Times New Roman"/>
                <w:snapToGrid/>
                <w:spacing w:val="1"/>
                <w:sz w:val="20"/>
                <w:szCs w:val="20"/>
                <w:lang w:val="en-US"/>
              </w:rPr>
              <w:t>n</w:t>
            </w:r>
            <w:r w:rsidRPr="00EF3C6A">
              <w:rPr>
                <w:rFonts w:ascii="Arial Narrow" w:hAnsi="Arial Narrow" w:cs="Times New Roman"/>
                <w:snapToGrid/>
                <w:spacing w:val="-1"/>
                <w:sz w:val="20"/>
                <w:szCs w:val="20"/>
                <w:lang w:val="en-US"/>
              </w:rPr>
              <w:t>s</w:t>
            </w:r>
            <w:r w:rsidRPr="00EF3C6A">
              <w:rPr>
                <w:rFonts w:ascii="Arial Narrow" w:hAnsi="Arial Narrow" w:cs="Times New Roman"/>
                <w:snapToGrid/>
                <w:spacing w:val="1"/>
                <w:sz w:val="20"/>
                <w:szCs w:val="20"/>
                <w:lang w:val="en-US"/>
              </w:rPr>
              <w:t>o</w:t>
            </w:r>
            <w:r w:rsidRPr="00EF3C6A">
              <w:rPr>
                <w:rFonts w:ascii="Arial Narrow" w:hAnsi="Arial Narrow" w:cs="Times New Roman"/>
                <w:snapToGrid/>
                <w:sz w:val="20"/>
                <w:szCs w:val="20"/>
                <w:lang w:val="en-US"/>
              </w:rPr>
              <w:t>red</w:t>
            </w:r>
            <w:r w:rsidRPr="00EF3C6A">
              <w:rPr>
                <w:rFonts w:ascii="Arial Narrow" w:hAnsi="Arial Narrow" w:cs="Times New Roman"/>
                <w:snapToGrid/>
                <w:spacing w:val="-3"/>
                <w:sz w:val="20"/>
                <w:szCs w:val="20"/>
                <w:lang w:val="en-US"/>
              </w:rPr>
              <w:t xml:space="preserve"> </w:t>
            </w:r>
            <w:r w:rsidRPr="00EF3C6A">
              <w:rPr>
                <w:rFonts w:ascii="Arial Narrow" w:hAnsi="Arial Narrow" w:cs="Times New Roman"/>
                <w:snapToGrid/>
                <w:spacing w:val="-2"/>
                <w:sz w:val="20"/>
                <w:szCs w:val="20"/>
                <w:lang w:val="en-US"/>
              </w:rPr>
              <w:t>f</w:t>
            </w:r>
            <w:r w:rsidRPr="00EF3C6A">
              <w:rPr>
                <w:rFonts w:ascii="Arial Narrow" w:hAnsi="Arial Narrow" w:cs="Times New Roman"/>
                <w:snapToGrid/>
                <w:spacing w:val="1"/>
                <w:sz w:val="20"/>
                <w:szCs w:val="20"/>
                <w:lang w:val="en-US"/>
              </w:rPr>
              <w:t>o</w:t>
            </w:r>
            <w:r w:rsidRPr="00EF3C6A">
              <w:rPr>
                <w:rFonts w:ascii="Arial Narrow" w:hAnsi="Arial Narrow" w:cs="Times New Roman"/>
                <w:snapToGrid/>
                <w:sz w:val="20"/>
                <w:szCs w:val="20"/>
                <w:lang w:val="en-US"/>
              </w:rPr>
              <w:t>r</w:t>
            </w:r>
            <w:r w:rsidRPr="00EF3C6A">
              <w:rPr>
                <w:rFonts w:ascii="Arial Narrow" w:hAnsi="Arial Narrow" w:cs="Times New Roman"/>
                <w:snapToGrid/>
                <w:spacing w:val="-3"/>
                <w:sz w:val="20"/>
                <w:szCs w:val="20"/>
                <w:lang w:val="en-US"/>
              </w:rPr>
              <w:t xml:space="preserve"> </w:t>
            </w:r>
            <w:r w:rsidRPr="00EF3C6A">
              <w:rPr>
                <w:rFonts w:ascii="Arial Narrow" w:hAnsi="Arial Narrow" w:cs="Times New Roman"/>
                <w:snapToGrid/>
                <w:spacing w:val="2"/>
                <w:sz w:val="20"/>
                <w:szCs w:val="20"/>
                <w:lang w:val="en-US"/>
              </w:rPr>
              <w:t>P</w:t>
            </w:r>
            <w:r w:rsidRPr="00EF3C6A">
              <w:rPr>
                <w:rFonts w:ascii="Arial Narrow" w:hAnsi="Arial Narrow" w:cs="Times New Roman"/>
                <w:snapToGrid/>
                <w:spacing w:val="-1"/>
                <w:sz w:val="20"/>
                <w:szCs w:val="20"/>
                <w:lang w:val="en-US"/>
              </w:rPr>
              <w:t>F</w:t>
            </w:r>
            <w:r w:rsidRPr="00EF3C6A">
              <w:rPr>
                <w:rFonts w:ascii="Arial Narrow" w:hAnsi="Arial Narrow" w:cs="Times New Roman"/>
                <w:snapToGrid/>
                <w:sz w:val="20"/>
                <w:szCs w:val="20"/>
                <w:lang w:val="en-US"/>
              </w:rPr>
              <w:t>S</w:t>
            </w:r>
            <w:r w:rsidRPr="00EF3C6A">
              <w:rPr>
                <w:rFonts w:ascii="Arial Narrow" w:hAnsi="Arial Narrow" w:cs="Times New Roman"/>
                <w:snapToGrid/>
                <w:spacing w:val="-4"/>
                <w:sz w:val="20"/>
                <w:szCs w:val="20"/>
                <w:lang w:val="en-US"/>
              </w:rPr>
              <w:t xml:space="preserve"> </w:t>
            </w:r>
            <w:r w:rsidRPr="00EF3C6A">
              <w:rPr>
                <w:rFonts w:ascii="Arial Narrow" w:hAnsi="Arial Narrow" w:cs="Times New Roman"/>
                <w:snapToGrid/>
                <w:spacing w:val="1"/>
                <w:sz w:val="20"/>
                <w:szCs w:val="20"/>
                <w:lang w:val="en-US"/>
              </w:rPr>
              <w:t>d</w:t>
            </w:r>
            <w:r w:rsidRPr="00EF3C6A">
              <w:rPr>
                <w:rFonts w:ascii="Arial Narrow" w:hAnsi="Arial Narrow" w:cs="Times New Roman"/>
                <w:snapToGrid/>
                <w:spacing w:val="-2"/>
                <w:sz w:val="20"/>
                <w:szCs w:val="20"/>
                <w:lang w:val="en-US"/>
              </w:rPr>
              <w:t>u</w:t>
            </w:r>
            <w:r w:rsidRPr="00EF3C6A">
              <w:rPr>
                <w:rFonts w:ascii="Arial Narrow" w:hAnsi="Arial Narrow" w:cs="Times New Roman"/>
                <w:snapToGrid/>
                <w:sz w:val="20"/>
                <w:szCs w:val="20"/>
                <w:lang w:val="en-US"/>
              </w:rPr>
              <w:t>e</w:t>
            </w:r>
            <w:r w:rsidRPr="00EF3C6A">
              <w:rPr>
                <w:rFonts w:ascii="Arial Narrow" w:hAnsi="Arial Narrow" w:cs="Times New Roman"/>
                <w:snapToGrid/>
                <w:spacing w:val="-4"/>
                <w:sz w:val="20"/>
                <w:szCs w:val="20"/>
                <w:lang w:val="en-US"/>
              </w:rPr>
              <w:t xml:space="preserve"> </w:t>
            </w:r>
            <w:r w:rsidRPr="00EF3C6A">
              <w:rPr>
                <w:rFonts w:ascii="Arial Narrow" w:hAnsi="Arial Narrow" w:cs="Times New Roman"/>
                <w:snapToGrid/>
                <w:spacing w:val="-1"/>
                <w:sz w:val="20"/>
                <w:szCs w:val="20"/>
                <w:lang w:val="en-US"/>
              </w:rPr>
              <w:t>t</w:t>
            </w:r>
            <w:r w:rsidRPr="00EF3C6A">
              <w:rPr>
                <w:rFonts w:ascii="Arial Narrow" w:hAnsi="Arial Narrow" w:cs="Times New Roman"/>
                <w:snapToGrid/>
                <w:sz w:val="20"/>
                <w:szCs w:val="20"/>
                <w:lang w:val="en-US"/>
              </w:rPr>
              <w:t>o</w:t>
            </w:r>
            <w:r w:rsidRPr="00EF3C6A">
              <w:rPr>
                <w:rFonts w:ascii="Arial Narrow" w:hAnsi="Arial Narrow" w:cs="Times New Roman"/>
                <w:snapToGrid/>
                <w:spacing w:val="-3"/>
                <w:sz w:val="20"/>
                <w:szCs w:val="20"/>
                <w:lang w:val="en-US"/>
              </w:rPr>
              <w:t xml:space="preserve"> </w:t>
            </w:r>
            <w:r w:rsidRPr="00EF3C6A">
              <w:rPr>
                <w:rFonts w:ascii="Arial Narrow" w:hAnsi="Arial Narrow" w:cs="Times New Roman"/>
                <w:snapToGrid/>
                <w:spacing w:val="-1"/>
                <w:sz w:val="20"/>
                <w:szCs w:val="20"/>
                <w:lang w:val="en-US"/>
              </w:rPr>
              <w:t xml:space="preserve">subsequent therapies </w:t>
            </w:r>
            <w:r w:rsidRPr="00EF3C6A">
              <w:rPr>
                <w:rFonts w:ascii="Arial Narrow" w:hAnsi="Arial Narrow" w:cs="Times New Roman"/>
                <w:snapToGrid/>
                <w:spacing w:val="-1"/>
                <w:sz w:val="20"/>
                <w:szCs w:val="20"/>
                <w:vertAlign w:val="superscript"/>
                <w:lang w:val="en-US"/>
              </w:rPr>
              <w:t>a</w:t>
            </w:r>
          </w:p>
          <w:p w:rsidR="00341890" w:rsidRPr="00EF3C6A" w:rsidRDefault="00EB060B" w:rsidP="0066236A">
            <w:pPr>
              <w:pStyle w:val="ListParagraph"/>
              <w:keepNext/>
              <w:keepLines/>
              <w:numPr>
                <w:ilvl w:val="0"/>
                <w:numId w:val="8"/>
              </w:numPr>
              <w:spacing w:after="0"/>
              <w:jc w:val="left"/>
              <w:rPr>
                <w:rFonts w:ascii="Arial Narrow" w:hAnsi="Arial Narrow" w:cs="Times New Roman"/>
                <w:snapToGrid/>
                <w:sz w:val="20"/>
                <w:szCs w:val="20"/>
                <w:vertAlign w:val="superscript"/>
                <w:lang w:val="en-US"/>
              </w:rPr>
            </w:pPr>
            <w:r w:rsidRPr="00EF3C6A">
              <w:rPr>
                <w:rFonts w:ascii="Arial Narrow" w:hAnsi="Arial Narrow" w:cs="Times New Roman"/>
                <w:snapToGrid/>
                <w:spacing w:val="-1"/>
                <w:sz w:val="20"/>
                <w:szCs w:val="20"/>
                <w:lang w:val="en-US"/>
              </w:rPr>
              <w:t>Censored patient</w:t>
            </w:r>
            <w:r w:rsidRPr="00EF3C6A">
              <w:rPr>
                <w:rFonts w:ascii="Arial Narrow" w:hAnsi="Arial Narrow" w:cs="Times New Roman"/>
                <w:snapToGrid/>
                <w:sz w:val="20"/>
                <w:szCs w:val="20"/>
                <w:lang w:val="en-US"/>
              </w:rPr>
              <w:t>s</w:t>
            </w:r>
            <w:r w:rsidRPr="00EF3C6A">
              <w:rPr>
                <w:rFonts w:ascii="Arial Narrow" w:hAnsi="Arial Narrow" w:cs="Times New Roman"/>
                <w:snapToGrid/>
                <w:spacing w:val="-4"/>
                <w:sz w:val="20"/>
                <w:szCs w:val="20"/>
                <w:lang w:val="en-US"/>
              </w:rPr>
              <w:t xml:space="preserve"> </w:t>
            </w:r>
            <w:r w:rsidRPr="00EF3C6A">
              <w:rPr>
                <w:rFonts w:ascii="Arial Narrow" w:hAnsi="Arial Narrow" w:cs="Times New Roman"/>
                <w:snapToGrid/>
                <w:spacing w:val="-3"/>
                <w:sz w:val="20"/>
                <w:szCs w:val="20"/>
                <w:lang w:val="en-US"/>
              </w:rPr>
              <w:t>w</w:t>
            </w:r>
            <w:r w:rsidRPr="00EF3C6A">
              <w:rPr>
                <w:rFonts w:ascii="Arial Narrow" w:hAnsi="Arial Narrow" w:cs="Times New Roman"/>
                <w:snapToGrid/>
                <w:spacing w:val="-2"/>
                <w:sz w:val="20"/>
                <w:szCs w:val="20"/>
                <w:lang w:val="en-US"/>
              </w:rPr>
              <w:t>h</w:t>
            </w:r>
            <w:r w:rsidRPr="00EF3C6A">
              <w:rPr>
                <w:rFonts w:ascii="Arial Narrow" w:hAnsi="Arial Narrow" w:cs="Times New Roman"/>
                <w:snapToGrid/>
                <w:sz w:val="20"/>
                <w:szCs w:val="20"/>
                <w:lang w:val="en-US"/>
              </w:rPr>
              <w:t>o</w:t>
            </w:r>
            <w:r w:rsidRPr="00EF3C6A">
              <w:rPr>
                <w:rFonts w:ascii="Arial Narrow" w:hAnsi="Arial Narrow" w:cs="Times New Roman"/>
                <w:snapToGrid/>
                <w:spacing w:val="-5"/>
                <w:sz w:val="20"/>
                <w:szCs w:val="20"/>
                <w:lang w:val="en-US"/>
              </w:rPr>
              <w:t xml:space="preserve"> </w:t>
            </w:r>
            <w:r w:rsidRPr="00EF3C6A">
              <w:rPr>
                <w:rFonts w:ascii="Arial Narrow" w:hAnsi="Arial Narrow" w:cs="Times New Roman"/>
                <w:snapToGrid/>
                <w:sz w:val="20"/>
                <w:szCs w:val="20"/>
                <w:lang w:val="en-US"/>
              </w:rPr>
              <w:t>rece</w:t>
            </w:r>
            <w:r w:rsidRPr="00EF3C6A">
              <w:rPr>
                <w:rFonts w:ascii="Arial Narrow" w:hAnsi="Arial Narrow" w:cs="Times New Roman"/>
                <w:snapToGrid/>
                <w:spacing w:val="-1"/>
                <w:sz w:val="20"/>
                <w:szCs w:val="20"/>
                <w:lang w:val="en-US"/>
              </w:rPr>
              <w:t>i</w:t>
            </w:r>
            <w:r w:rsidRPr="00EF3C6A">
              <w:rPr>
                <w:rFonts w:ascii="Arial Narrow" w:hAnsi="Arial Narrow" w:cs="Times New Roman"/>
                <w:snapToGrid/>
                <w:spacing w:val="-2"/>
                <w:sz w:val="20"/>
                <w:szCs w:val="20"/>
                <w:lang w:val="en-US"/>
              </w:rPr>
              <w:t>v</w:t>
            </w:r>
            <w:r w:rsidRPr="00EF3C6A">
              <w:rPr>
                <w:rFonts w:ascii="Arial Narrow" w:hAnsi="Arial Narrow" w:cs="Times New Roman"/>
                <w:snapToGrid/>
                <w:sz w:val="20"/>
                <w:szCs w:val="20"/>
                <w:lang w:val="en-US"/>
              </w:rPr>
              <w:t>ed</w:t>
            </w:r>
            <w:r w:rsidRPr="00EF3C6A">
              <w:rPr>
                <w:rFonts w:ascii="Arial Narrow" w:hAnsi="Arial Narrow" w:cs="Times New Roman"/>
                <w:snapToGrid/>
                <w:spacing w:val="-5"/>
                <w:sz w:val="20"/>
                <w:szCs w:val="20"/>
                <w:lang w:val="en-US"/>
              </w:rPr>
              <w:t xml:space="preserve"> </w:t>
            </w:r>
            <w:r w:rsidRPr="00EF3C6A">
              <w:rPr>
                <w:rFonts w:ascii="Arial Narrow" w:hAnsi="Arial Narrow" w:cs="Times New Roman"/>
                <w:snapToGrid/>
                <w:spacing w:val="-1"/>
                <w:sz w:val="20"/>
                <w:szCs w:val="20"/>
                <w:lang w:val="en-US"/>
              </w:rPr>
              <w:t>subsequent</w:t>
            </w:r>
            <w:r w:rsidRPr="00EF3C6A">
              <w:rPr>
                <w:rFonts w:ascii="Arial Narrow" w:hAnsi="Arial Narrow" w:cs="Times New Roman"/>
                <w:snapToGrid/>
                <w:spacing w:val="-3"/>
                <w:sz w:val="20"/>
                <w:szCs w:val="20"/>
                <w:lang w:val="en-US"/>
              </w:rPr>
              <w:t xml:space="preserve"> </w:t>
            </w:r>
            <w:r w:rsidRPr="00EF3C6A">
              <w:rPr>
                <w:rFonts w:ascii="Arial Narrow" w:hAnsi="Arial Narrow" w:cs="Times New Roman"/>
                <w:snapToGrid/>
                <w:spacing w:val="1"/>
                <w:sz w:val="20"/>
                <w:szCs w:val="20"/>
                <w:u w:val="single"/>
                <w:lang w:val="en-US"/>
              </w:rPr>
              <w:t>s</w:t>
            </w:r>
            <w:r w:rsidRPr="00EF3C6A">
              <w:rPr>
                <w:rFonts w:ascii="Arial Narrow" w:hAnsi="Arial Narrow" w:cs="Times New Roman"/>
                <w:snapToGrid/>
                <w:spacing w:val="-2"/>
                <w:sz w:val="20"/>
                <w:szCs w:val="20"/>
                <w:u w:val="single"/>
                <w:lang w:val="en-US"/>
              </w:rPr>
              <w:t>y</w:t>
            </w:r>
            <w:r w:rsidRPr="00EF3C6A">
              <w:rPr>
                <w:rFonts w:ascii="Arial Narrow" w:hAnsi="Arial Narrow" w:cs="Times New Roman"/>
                <w:snapToGrid/>
                <w:spacing w:val="-1"/>
                <w:sz w:val="20"/>
                <w:szCs w:val="20"/>
                <w:u w:val="single"/>
                <w:lang w:val="en-US"/>
              </w:rPr>
              <w:t>st</w:t>
            </w:r>
            <w:r w:rsidRPr="00EF3C6A">
              <w:rPr>
                <w:rFonts w:ascii="Arial Narrow" w:hAnsi="Arial Narrow" w:cs="Times New Roman"/>
                <w:snapToGrid/>
                <w:spacing w:val="2"/>
                <w:sz w:val="20"/>
                <w:szCs w:val="20"/>
                <w:u w:val="single"/>
                <w:lang w:val="en-US"/>
              </w:rPr>
              <w:t>e</w:t>
            </w:r>
            <w:r w:rsidRPr="00EF3C6A">
              <w:rPr>
                <w:rFonts w:ascii="Arial Narrow" w:hAnsi="Arial Narrow" w:cs="Times New Roman"/>
                <w:snapToGrid/>
                <w:spacing w:val="-2"/>
                <w:sz w:val="20"/>
                <w:szCs w:val="20"/>
                <w:u w:val="single"/>
                <w:lang w:val="en-US"/>
              </w:rPr>
              <w:t>m</w:t>
            </w:r>
            <w:r w:rsidRPr="00EF3C6A">
              <w:rPr>
                <w:rFonts w:ascii="Arial Narrow" w:hAnsi="Arial Narrow" w:cs="Times New Roman"/>
                <w:snapToGrid/>
                <w:spacing w:val="-1"/>
                <w:sz w:val="20"/>
                <w:szCs w:val="20"/>
                <w:u w:val="single"/>
                <w:lang w:val="en-US"/>
              </w:rPr>
              <w:t>i</w:t>
            </w:r>
            <w:r w:rsidRPr="00EF3C6A">
              <w:rPr>
                <w:rFonts w:ascii="Arial Narrow" w:hAnsi="Arial Narrow" w:cs="Times New Roman"/>
                <w:snapToGrid/>
                <w:sz w:val="20"/>
                <w:szCs w:val="20"/>
                <w:u w:val="single"/>
                <w:lang w:val="en-US"/>
              </w:rPr>
              <w:t>c</w:t>
            </w:r>
            <w:r w:rsidRPr="00EF3C6A">
              <w:rPr>
                <w:rFonts w:ascii="Arial Narrow" w:hAnsi="Arial Narrow" w:cs="Times New Roman"/>
                <w:snapToGrid/>
                <w:spacing w:val="-6"/>
                <w:sz w:val="20"/>
                <w:szCs w:val="20"/>
                <w:lang w:val="en-US"/>
              </w:rPr>
              <w:t xml:space="preserve"> </w:t>
            </w:r>
            <w:r w:rsidRPr="00EF3C6A">
              <w:rPr>
                <w:rFonts w:ascii="Arial Narrow" w:hAnsi="Arial Narrow" w:cs="Times New Roman"/>
                <w:snapToGrid/>
                <w:spacing w:val="3"/>
                <w:sz w:val="20"/>
                <w:szCs w:val="20"/>
                <w:lang w:val="en-US"/>
              </w:rPr>
              <w:t>therapy</w:t>
            </w:r>
          </w:p>
        </w:tc>
        <w:tc>
          <w:tcPr>
            <w:tcW w:w="976" w:type="pct"/>
            <w:tcBorders>
              <w:bottom w:val="single" w:sz="4" w:space="0" w:color="auto"/>
            </w:tcBorders>
          </w:tcPr>
          <w:p w:rsidR="001F40EA" w:rsidRPr="00EF3C6A" w:rsidRDefault="001F40EA" w:rsidP="0066236A">
            <w:pPr>
              <w:keepNext/>
              <w:keepLines/>
              <w:jc w:val="left"/>
              <w:rPr>
                <w:rFonts w:ascii="Arial Narrow" w:hAnsi="Arial Narrow" w:cs="Times New Roman"/>
                <w:snapToGrid/>
                <w:spacing w:val="1"/>
                <w:sz w:val="20"/>
                <w:szCs w:val="20"/>
                <w:lang w:val="en-US"/>
              </w:rPr>
            </w:pPr>
          </w:p>
          <w:p w:rsidR="00EB060B" w:rsidRPr="00EF3C6A" w:rsidRDefault="00B07F6B" w:rsidP="0066236A">
            <w:pPr>
              <w:keepNext/>
              <w:keepLines/>
              <w:jc w:val="left"/>
              <w:rPr>
                <w:rFonts w:ascii="Arial Narrow" w:hAnsi="Arial Narrow" w:cs="Times New Roman"/>
                <w:snapToGrid/>
                <w:spacing w:val="1"/>
                <w:sz w:val="20"/>
                <w:szCs w:val="20"/>
                <w:lang w:val="en-US"/>
              </w:rPr>
            </w:pPr>
            <w:r>
              <w:rPr>
                <w:rFonts w:ascii="Arial Narrow" w:hAnsi="Arial Narrow" w:cs="Times New Roman"/>
                <w:noProof/>
                <w:snapToGrid/>
                <w:color w:val="000000"/>
                <w:spacing w:val="1"/>
                <w:sz w:val="20"/>
                <w:szCs w:val="20"/>
                <w:highlight w:val="black"/>
                <w:lang w:val="en-US"/>
              </w:rPr>
              <w:t>'''''</w:t>
            </w:r>
            <w:r w:rsidR="00341890" w:rsidRPr="00EF3C6A">
              <w:rPr>
                <w:rFonts w:ascii="Arial Narrow" w:hAnsi="Arial Narrow" w:cs="Times New Roman"/>
                <w:snapToGrid/>
                <w:spacing w:val="-6"/>
                <w:sz w:val="20"/>
                <w:szCs w:val="20"/>
                <w:lang w:val="en-US"/>
              </w:rPr>
              <w:t xml:space="preserve"> </w:t>
            </w:r>
            <w:r w:rsidR="00341890" w:rsidRPr="00EF3C6A">
              <w:rPr>
                <w:rFonts w:ascii="Arial Narrow" w:hAnsi="Arial Narrow" w:cs="Times New Roman"/>
                <w:snapToGrid/>
                <w:sz w:val="20"/>
                <w:szCs w:val="20"/>
                <w:lang w:val="en-US"/>
              </w:rPr>
              <w:t>(</w:t>
            </w:r>
            <w:r>
              <w:rPr>
                <w:rFonts w:ascii="Arial Narrow" w:hAnsi="Arial Narrow" w:cs="Times New Roman"/>
                <w:noProof/>
                <w:snapToGrid/>
                <w:color w:val="000000"/>
                <w:spacing w:val="-2"/>
                <w:sz w:val="20"/>
                <w:szCs w:val="20"/>
                <w:highlight w:val="black"/>
                <w:lang w:val="en-US"/>
              </w:rPr>
              <w:t>''''''''''''</w:t>
            </w:r>
            <w:r w:rsidR="00EB060B" w:rsidRPr="00EF3C6A">
              <w:rPr>
                <w:rFonts w:ascii="Arial Narrow" w:hAnsi="Arial Narrow" w:cs="Times New Roman"/>
                <w:snapToGrid/>
                <w:spacing w:val="1"/>
                <w:sz w:val="20"/>
                <w:szCs w:val="20"/>
                <w:lang w:val="en-US"/>
              </w:rPr>
              <w:t>%</w:t>
            </w:r>
            <w:r w:rsidR="00341890" w:rsidRPr="00EF3C6A">
              <w:rPr>
                <w:rFonts w:ascii="Arial Narrow" w:hAnsi="Arial Narrow" w:cs="Times New Roman"/>
                <w:snapToGrid/>
                <w:spacing w:val="1"/>
                <w:sz w:val="20"/>
                <w:szCs w:val="20"/>
                <w:lang w:val="en-US"/>
              </w:rPr>
              <w:t>)</w:t>
            </w:r>
          </w:p>
          <w:p w:rsidR="00341890" w:rsidRPr="00EF3C6A" w:rsidRDefault="00B07F6B" w:rsidP="0066236A">
            <w:pPr>
              <w:keepNext/>
              <w:keepLines/>
              <w:jc w:val="left"/>
              <w:rPr>
                <w:rFonts w:ascii="Arial Narrow" w:eastAsia="Calibri" w:hAnsi="Arial Narrow" w:cs="Times New Roman"/>
                <w:snapToGrid/>
                <w:sz w:val="22"/>
                <w:lang w:val="en-US"/>
              </w:rPr>
            </w:pPr>
            <w:r>
              <w:rPr>
                <w:rFonts w:ascii="Arial Narrow" w:hAnsi="Arial Narrow" w:cs="Times New Roman"/>
                <w:noProof/>
                <w:snapToGrid/>
                <w:color w:val="000000"/>
                <w:spacing w:val="1"/>
                <w:sz w:val="20"/>
                <w:szCs w:val="20"/>
                <w:highlight w:val="black"/>
                <w:lang w:val="en-US"/>
              </w:rPr>
              <w:t>''''''</w:t>
            </w:r>
            <w:r w:rsidR="00EB060B" w:rsidRPr="00EF3C6A">
              <w:rPr>
                <w:rFonts w:ascii="Arial Narrow" w:hAnsi="Arial Narrow" w:cs="Times New Roman"/>
                <w:snapToGrid/>
                <w:spacing w:val="-6"/>
                <w:sz w:val="20"/>
                <w:szCs w:val="20"/>
                <w:lang w:val="en-US"/>
              </w:rPr>
              <w:t xml:space="preserve"> </w:t>
            </w:r>
            <w:r w:rsidR="00EB060B" w:rsidRPr="00EF3C6A">
              <w:rPr>
                <w:rFonts w:ascii="Arial Narrow" w:hAnsi="Arial Narrow" w:cs="Times New Roman"/>
                <w:snapToGrid/>
                <w:sz w:val="20"/>
                <w:szCs w:val="20"/>
                <w:lang w:val="en-US"/>
              </w:rPr>
              <w:t>(</w:t>
            </w:r>
            <w:r>
              <w:rPr>
                <w:rFonts w:ascii="Arial Narrow" w:hAnsi="Arial Narrow" w:cs="Times New Roman"/>
                <w:noProof/>
                <w:snapToGrid/>
                <w:color w:val="000000"/>
                <w:spacing w:val="-2"/>
                <w:sz w:val="20"/>
                <w:szCs w:val="20"/>
                <w:highlight w:val="black"/>
                <w:lang w:val="en-US"/>
              </w:rPr>
              <w:t>''''''''''</w:t>
            </w:r>
            <w:r w:rsidR="00EB060B" w:rsidRPr="00EF3C6A">
              <w:rPr>
                <w:rFonts w:ascii="Arial Narrow" w:hAnsi="Arial Narrow" w:cs="Times New Roman"/>
                <w:snapToGrid/>
                <w:spacing w:val="1"/>
                <w:sz w:val="20"/>
                <w:szCs w:val="20"/>
                <w:lang w:val="en-US"/>
              </w:rPr>
              <w:t>%)</w:t>
            </w:r>
          </w:p>
        </w:tc>
        <w:tc>
          <w:tcPr>
            <w:tcW w:w="1021" w:type="pct"/>
            <w:tcBorders>
              <w:bottom w:val="single" w:sz="4" w:space="0" w:color="auto"/>
            </w:tcBorders>
          </w:tcPr>
          <w:p w:rsidR="001F40EA" w:rsidRPr="00EF3C6A" w:rsidRDefault="001F40EA" w:rsidP="0066236A">
            <w:pPr>
              <w:keepNext/>
              <w:keepLines/>
              <w:ind w:left="10"/>
              <w:jc w:val="left"/>
              <w:rPr>
                <w:rFonts w:ascii="Arial Narrow" w:hAnsi="Arial Narrow" w:cs="Times New Roman"/>
                <w:snapToGrid/>
                <w:spacing w:val="1"/>
                <w:sz w:val="20"/>
                <w:szCs w:val="20"/>
                <w:lang w:val="en-US"/>
              </w:rPr>
            </w:pPr>
          </w:p>
          <w:p w:rsidR="00EB060B" w:rsidRPr="00EF3C6A" w:rsidRDefault="00B07F6B" w:rsidP="0066236A">
            <w:pPr>
              <w:keepNext/>
              <w:keepLines/>
              <w:ind w:left="10"/>
              <w:jc w:val="left"/>
              <w:rPr>
                <w:rFonts w:ascii="Arial Narrow" w:hAnsi="Arial Narrow" w:cs="Times New Roman"/>
                <w:snapToGrid/>
                <w:spacing w:val="1"/>
                <w:sz w:val="20"/>
                <w:szCs w:val="20"/>
                <w:lang w:val="en-US"/>
              </w:rPr>
            </w:pPr>
            <w:r>
              <w:rPr>
                <w:rFonts w:ascii="Arial Narrow" w:hAnsi="Arial Narrow" w:cs="Times New Roman"/>
                <w:noProof/>
                <w:snapToGrid/>
                <w:color w:val="000000"/>
                <w:spacing w:val="1"/>
                <w:sz w:val="20"/>
                <w:szCs w:val="20"/>
                <w:highlight w:val="black"/>
                <w:lang w:val="en-US"/>
              </w:rPr>
              <w:t>'''''''''</w:t>
            </w:r>
            <w:r w:rsidR="00341890" w:rsidRPr="00EF3C6A">
              <w:rPr>
                <w:rFonts w:ascii="Arial Narrow" w:hAnsi="Arial Narrow" w:cs="Times New Roman"/>
                <w:snapToGrid/>
                <w:spacing w:val="-7"/>
                <w:sz w:val="20"/>
                <w:szCs w:val="20"/>
                <w:lang w:val="en-US"/>
              </w:rPr>
              <w:t xml:space="preserve"> </w:t>
            </w:r>
            <w:r w:rsidR="00341890" w:rsidRPr="00EF3C6A">
              <w:rPr>
                <w:rFonts w:ascii="Arial Narrow" w:hAnsi="Arial Narrow" w:cs="Times New Roman"/>
                <w:snapToGrid/>
                <w:spacing w:val="-2"/>
                <w:sz w:val="20"/>
                <w:szCs w:val="20"/>
                <w:lang w:val="en-US"/>
              </w:rPr>
              <w:t>(</w:t>
            </w:r>
            <w:r>
              <w:rPr>
                <w:rFonts w:ascii="Arial Narrow" w:hAnsi="Arial Narrow" w:cs="Times New Roman"/>
                <w:noProof/>
                <w:snapToGrid/>
                <w:color w:val="000000"/>
                <w:spacing w:val="1"/>
                <w:sz w:val="20"/>
                <w:szCs w:val="20"/>
                <w:highlight w:val="black"/>
                <w:lang w:val="en-US"/>
              </w:rPr>
              <w:t>''''''''''</w:t>
            </w:r>
            <w:r w:rsidR="00EB060B" w:rsidRPr="00EF3C6A">
              <w:rPr>
                <w:rFonts w:ascii="Arial Narrow" w:hAnsi="Arial Narrow" w:cs="Times New Roman"/>
                <w:snapToGrid/>
                <w:spacing w:val="1"/>
                <w:sz w:val="20"/>
                <w:szCs w:val="20"/>
                <w:lang w:val="en-US"/>
              </w:rPr>
              <w:t>%</w:t>
            </w:r>
            <w:r w:rsidR="00341890" w:rsidRPr="00EF3C6A">
              <w:rPr>
                <w:rFonts w:ascii="Arial Narrow" w:hAnsi="Arial Narrow" w:cs="Times New Roman"/>
                <w:snapToGrid/>
                <w:spacing w:val="1"/>
                <w:sz w:val="20"/>
                <w:szCs w:val="20"/>
                <w:lang w:val="en-US"/>
              </w:rPr>
              <w:t>)</w:t>
            </w:r>
          </w:p>
          <w:p w:rsidR="00341890" w:rsidRPr="00EF3C6A" w:rsidRDefault="00B07F6B" w:rsidP="0066236A">
            <w:pPr>
              <w:keepNext/>
              <w:keepLines/>
              <w:ind w:left="10"/>
              <w:jc w:val="left"/>
              <w:rPr>
                <w:rFonts w:ascii="Arial Narrow" w:hAnsi="Arial Narrow" w:cs="Times New Roman"/>
                <w:snapToGrid/>
                <w:sz w:val="20"/>
                <w:szCs w:val="20"/>
                <w:lang w:val="en-US"/>
              </w:rPr>
            </w:pPr>
            <w:r>
              <w:rPr>
                <w:rFonts w:ascii="Arial Narrow" w:hAnsi="Arial Narrow" w:cs="Times New Roman"/>
                <w:noProof/>
                <w:snapToGrid/>
                <w:color w:val="000000"/>
                <w:spacing w:val="1"/>
                <w:sz w:val="20"/>
                <w:szCs w:val="20"/>
                <w:highlight w:val="black"/>
                <w:lang w:val="en-US"/>
              </w:rPr>
              <w:t>''''''''''</w:t>
            </w:r>
            <w:r w:rsidR="00EB060B" w:rsidRPr="00EF3C6A">
              <w:rPr>
                <w:rFonts w:ascii="Arial Narrow" w:hAnsi="Arial Narrow" w:cs="Times New Roman"/>
                <w:snapToGrid/>
                <w:spacing w:val="-7"/>
                <w:sz w:val="20"/>
                <w:szCs w:val="20"/>
                <w:lang w:val="en-US"/>
              </w:rPr>
              <w:t xml:space="preserve"> </w:t>
            </w:r>
            <w:r w:rsidR="00EB060B" w:rsidRPr="00EF3C6A">
              <w:rPr>
                <w:rFonts w:ascii="Arial Narrow" w:hAnsi="Arial Narrow" w:cs="Times New Roman"/>
                <w:snapToGrid/>
                <w:spacing w:val="-2"/>
                <w:sz w:val="20"/>
                <w:szCs w:val="20"/>
                <w:lang w:val="en-US"/>
              </w:rPr>
              <w:t>(</w:t>
            </w:r>
            <w:r>
              <w:rPr>
                <w:rFonts w:ascii="Arial Narrow" w:hAnsi="Arial Narrow" w:cs="Times New Roman"/>
                <w:noProof/>
                <w:snapToGrid/>
                <w:color w:val="000000"/>
                <w:spacing w:val="1"/>
                <w:sz w:val="20"/>
                <w:szCs w:val="20"/>
                <w:highlight w:val="black"/>
                <w:lang w:val="en-US"/>
              </w:rPr>
              <w:t>''''''''''</w:t>
            </w:r>
            <w:r w:rsidR="00EB060B" w:rsidRPr="00EF3C6A">
              <w:rPr>
                <w:rFonts w:ascii="Arial Narrow" w:hAnsi="Arial Narrow" w:cs="Times New Roman"/>
                <w:snapToGrid/>
                <w:spacing w:val="1"/>
                <w:sz w:val="20"/>
                <w:szCs w:val="20"/>
                <w:lang w:val="en-US"/>
              </w:rPr>
              <w:t>%)</w:t>
            </w:r>
          </w:p>
        </w:tc>
      </w:tr>
      <w:tr w:rsidR="00EB060B" w:rsidRPr="00EF3C6A" w:rsidTr="00136B30">
        <w:trPr>
          <w:trHeight w:val="666"/>
        </w:trPr>
        <w:tc>
          <w:tcPr>
            <w:tcW w:w="3003" w:type="pct"/>
            <w:tcBorders>
              <w:bottom w:val="single" w:sz="4" w:space="0" w:color="auto"/>
            </w:tcBorders>
          </w:tcPr>
          <w:p w:rsidR="00EB060B" w:rsidRPr="00EF3C6A" w:rsidRDefault="00341890" w:rsidP="0066236A">
            <w:pPr>
              <w:keepNext/>
              <w:keepLines/>
              <w:ind w:left="23"/>
              <w:jc w:val="left"/>
              <w:rPr>
                <w:rFonts w:ascii="Arial Narrow" w:hAnsi="Arial Narrow" w:cs="Times New Roman"/>
                <w:snapToGrid/>
                <w:spacing w:val="-1"/>
                <w:sz w:val="20"/>
                <w:szCs w:val="20"/>
                <w:vertAlign w:val="superscript"/>
                <w:lang w:val="en-US"/>
              </w:rPr>
            </w:pPr>
            <w:r w:rsidRPr="00EF3C6A">
              <w:rPr>
                <w:rFonts w:ascii="Arial Narrow" w:hAnsi="Arial Narrow" w:cs="Times New Roman"/>
                <w:snapToGrid/>
                <w:spacing w:val="-1"/>
                <w:sz w:val="20"/>
                <w:szCs w:val="20"/>
                <w:lang w:val="en-US"/>
              </w:rPr>
              <w:t>Patient</w:t>
            </w:r>
            <w:r w:rsidRPr="00EF3C6A">
              <w:rPr>
                <w:rFonts w:ascii="Arial Narrow" w:hAnsi="Arial Narrow" w:cs="Times New Roman"/>
                <w:snapToGrid/>
                <w:sz w:val="20"/>
                <w:szCs w:val="20"/>
                <w:lang w:val="en-US"/>
              </w:rPr>
              <w:t>s</w:t>
            </w:r>
            <w:r w:rsidRPr="00EF3C6A">
              <w:rPr>
                <w:rFonts w:ascii="Arial Narrow" w:hAnsi="Arial Narrow" w:cs="Times New Roman"/>
                <w:snapToGrid/>
                <w:spacing w:val="-7"/>
                <w:sz w:val="20"/>
                <w:szCs w:val="20"/>
                <w:lang w:val="en-US"/>
              </w:rPr>
              <w:t xml:space="preserve"> </w:t>
            </w:r>
            <w:r w:rsidRPr="00EF3C6A">
              <w:rPr>
                <w:rFonts w:ascii="Arial Narrow" w:hAnsi="Arial Narrow" w:cs="Times New Roman"/>
                <w:snapToGrid/>
                <w:spacing w:val="-2"/>
                <w:sz w:val="20"/>
                <w:szCs w:val="20"/>
                <w:lang w:val="en-US"/>
              </w:rPr>
              <w:t>n</w:t>
            </w:r>
            <w:r w:rsidRPr="00EF3C6A">
              <w:rPr>
                <w:rFonts w:ascii="Arial Narrow" w:hAnsi="Arial Narrow" w:cs="Times New Roman"/>
                <w:snapToGrid/>
                <w:spacing w:val="1"/>
                <w:sz w:val="20"/>
                <w:szCs w:val="20"/>
                <w:lang w:val="en-US"/>
              </w:rPr>
              <w:t>o</w:t>
            </w:r>
            <w:r w:rsidRPr="00EF3C6A">
              <w:rPr>
                <w:rFonts w:ascii="Arial Narrow" w:hAnsi="Arial Narrow" w:cs="Times New Roman"/>
                <w:snapToGrid/>
                <w:sz w:val="20"/>
                <w:szCs w:val="20"/>
                <w:lang w:val="en-US"/>
              </w:rPr>
              <w:t>t</w:t>
            </w:r>
            <w:r w:rsidRPr="00EF3C6A">
              <w:rPr>
                <w:rFonts w:ascii="Arial Narrow" w:hAnsi="Arial Narrow" w:cs="Times New Roman"/>
                <w:snapToGrid/>
                <w:spacing w:val="-5"/>
                <w:sz w:val="20"/>
                <w:szCs w:val="20"/>
                <w:lang w:val="en-US"/>
              </w:rPr>
              <w:t xml:space="preserve"> </w:t>
            </w:r>
            <w:r w:rsidRPr="00EF3C6A">
              <w:rPr>
                <w:rFonts w:ascii="Arial Narrow" w:hAnsi="Arial Narrow" w:cs="Times New Roman"/>
                <w:snapToGrid/>
                <w:sz w:val="20"/>
                <w:szCs w:val="20"/>
                <w:lang w:val="en-US"/>
              </w:rPr>
              <w:t>c</w:t>
            </w:r>
            <w:r w:rsidRPr="00EF3C6A">
              <w:rPr>
                <w:rFonts w:ascii="Arial Narrow" w:hAnsi="Arial Narrow" w:cs="Times New Roman"/>
                <w:snapToGrid/>
                <w:spacing w:val="1"/>
                <w:sz w:val="20"/>
                <w:szCs w:val="20"/>
                <w:lang w:val="en-US"/>
              </w:rPr>
              <w:t>o</w:t>
            </w:r>
            <w:r w:rsidRPr="00EF3C6A">
              <w:rPr>
                <w:rFonts w:ascii="Arial Narrow" w:hAnsi="Arial Narrow" w:cs="Times New Roman"/>
                <w:snapToGrid/>
                <w:spacing w:val="-2"/>
                <w:sz w:val="20"/>
                <w:szCs w:val="20"/>
                <w:lang w:val="en-US"/>
              </w:rPr>
              <w:t>n</w:t>
            </w:r>
            <w:r w:rsidRPr="00EF3C6A">
              <w:rPr>
                <w:rFonts w:ascii="Arial Narrow" w:hAnsi="Arial Narrow" w:cs="Times New Roman"/>
                <w:snapToGrid/>
                <w:spacing w:val="-1"/>
                <w:sz w:val="20"/>
                <w:szCs w:val="20"/>
                <w:lang w:val="en-US"/>
              </w:rPr>
              <w:t>t</w:t>
            </w:r>
            <w:r w:rsidRPr="00EF3C6A">
              <w:rPr>
                <w:rFonts w:ascii="Arial Narrow" w:hAnsi="Arial Narrow" w:cs="Times New Roman"/>
                <w:snapToGrid/>
                <w:spacing w:val="2"/>
                <w:sz w:val="20"/>
                <w:szCs w:val="20"/>
                <w:lang w:val="en-US"/>
              </w:rPr>
              <w:t>i</w:t>
            </w:r>
            <w:r w:rsidRPr="00EF3C6A">
              <w:rPr>
                <w:rFonts w:ascii="Arial Narrow" w:hAnsi="Arial Narrow" w:cs="Times New Roman"/>
                <w:snapToGrid/>
                <w:spacing w:val="1"/>
                <w:sz w:val="20"/>
                <w:szCs w:val="20"/>
                <w:lang w:val="en-US"/>
              </w:rPr>
              <w:t>n</w:t>
            </w:r>
            <w:r w:rsidRPr="00EF3C6A">
              <w:rPr>
                <w:rFonts w:ascii="Arial Narrow" w:hAnsi="Arial Narrow" w:cs="Times New Roman"/>
                <w:snapToGrid/>
                <w:spacing w:val="-2"/>
                <w:sz w:val="20"/>
                <w:szCs w:val="20"/>
                <w:lang w:val="en-US"/>
              </w:rPr>
              <w:t>u</w:t>
            </w:r>
            <w:r w:rsidRPr="00EF3C6A">
              <w:rPr>
                <w:rFonts w:ascii="Arial Narrow" w:hAnsi="Arial Narrow" w:cs="Times New Roman"/>
                <w:snapToGrid/>
                <w:spacing w:val="-1"/>
                <w:sz w:val="20"/>
                <w:szCs w:val="20"/>
                <w:lang w:val="en-US"/>
              </w:rPr>
              <w:t>i</w:t>
            </w:r>
            <w:r w:rsidRPr="00EF3C6A">
              <w:rPr>
                <w:rFonts w:ascii="Arial Narrow" w:hAnsi="Arial Narrow" w:cs="Times New Roman"/>
                <w:snapToGrid/>
                <w:spacing w:val="1"/>
                <w:sz w:val="20"/>
                <w:szCs w:val="20"/>
                <w:lang w:val="en-US"/>
              </w:rPr>
              <w:t>n</w:t>
            </w:r>
            <w:r w:rsidRPr="00EF3C6A">
              <w:rPr>
                <w:rFonts w:ascii="Arial Narrow" w:hAnsi="Arial Narrow" w:cs="Times New Roman"/>
                <w:snapToGrid/>
                <w:sz w:val="20"/>
                <w:szCs w:val="20"/>
                <w:lang w:val="en-US"/>
              </w:rPr>
              <w:t>g</w:t>
            </w:r>
            <w:r w:rsidRPr="00EF3C6A">
              <w:rPr>
                <w:rFonts w:ascii="Arial Narrow" w:hAnsi="Arial Narrow" w:cs="Times New Roman"/>
                <w:snapToGrid/>
                <w:spacing w:val="-6"/>
                <w:sz w:val="20"/>
                <w:szCs w:val="20"/>
                <w:lang w:val="en-US"/>
              </w:rPr>
              <w:t xml:space="preserve"> </w:t>
            </w:r>
            <w:r w:rsidRPr="00EF3C6A">
              <w:rPr>
                <w:rFonts w:ascii="Arial Narrow" w:hAnsi="Arial Narrow" w:cs="Times New Roman"/>
                <w:snapToGrid/>
                <w:spacing w:val="1"/>
                <w:sz w:val="20"/>
                <w:szCs w:val="20"/>
                <w:lang w:val="en-US"/>
              </w:rPr>
              <w:t>d</w:t>
            </w:r>
            <w:r w:rsidRPr="00EF3C6A">
              <w:rPr>
                <w:rFonts w:ascii="Arial Narrow" w:hAnsi="Arial Narrow" w:cs="Times New Roman"/>
                <w:snapToGrid/>
                <w:spacing w:val="-2"/>
                <w:sz w:val="20"/>
                <w:szCs w:val="20"/>
                <w:lang w:val="en-US"/>
              </w:rPr>
              <w:t>u</w:t>
            </w:r>
            <w:r w:rsidRPr="00EF3C6A">
              <w:rPr>
                <w:rFonts w:ascii="Arial Narrow" w:hAnsi="Arial Narrow" w:cs="Times New Roman"/>
                <w:snapToGrid/>
                <w:sz w:val="20"/>
                <w:szCs w:val="20"/>
                <w:lang w:val="en-US"/>
              </w:rPr>
              <w:t>e</w:t>
            </w:r>
            <w:r w:rsidRPr="00EF3C6A">
              <w:rPr>
                <w:rFonts w:ascii="Arial Narrow" w:hAnsi="Arial Narrow" w:cs="Times New Roman"/>
                <w:snapToGrid/>
                <w:spacing w:val="-5"/>
                <w:sz w:val="20"/>
                <w:szCs w:val="20"/>
                <w:lang w:val="en-US"/>
              </w:rPr>
              <w:t xml:space="preserve"> </w:t>
            </w:r>
            <w:r w:rsidRPr="00EF3C6A">
              <w:rPr>
                <w:rFonts w:ascii="Arial Narrow" w:hAnsi="Arial Narrow" w:cs="Times New Roman"/>
                <w:snapToGrid/>
                <w:spacing w:val="-1"/>
                <w:sz w:val="20"/>
                <w:szCs w:val="20"/>
                <w:lang w:val="en-US"/>
              </w:rPr>
              <w:t>t</w:t>
            </w:r>
            <w:r w:rsidRPr="00EF3C6A">
              <w:rPr>
                <w:rFonts w:ascii="Arial Narrow" w:hAnsi="Arial Narrow" w:cs="Times New Roman"/>
                <w:snapToGrid/>
                <w:sz w:val="20"/>
                <w:szCs w:val="20"/>
                <w:lang w:val="en-US"/>
              </w:rPr>
              <w:t>o</w:t>
            </w:r>
            <w:r w:rsidRPr="00EF3C6A">
              <w:rPr>
                <w:rFonts w:ascii="Arial Narrow" w:hAnsi="Arial Narrow" w:cs="Times New Roman"/>
                <w:snapToGrid/>
                <w:spacing w:val="-2"/>
                <w:sz w:val="20"/>
                <w:szCs w:val="20"/>
                <w:lang w:val="en-US"/>
              </w:rPr>
              <w:t xml:space="preserve"> </w:t>
            </w:r>
            <w:r w:rsidRPr="00EF3C6A">
              <w:rPr>
                <w:rFonts w:ascii="Arial Narrow" w:hAnsi="Arial Narrow" w:cs="Times New Roman"/>
                <w:snapToGrid/>
                <w:spacing w:val="-1"/>
                <w:sz w:val="20"/>
                <w:szCs w:val="20"/>
                <w:lang w:val="en-US"/>
              </w:rPr>
              <w:t>st</w:t>
            </w:r>
            <w:r w:rsidRPr="00EF3C6A">
              <w:rPr>
                <w:rFonts w:ascii="Arial Narrow" w:hAnsi="Arial Narrow" w:cs="Times New Roman"/>
                <w:snapToGrid/>
                <w:spacing w:val="-2"/>
                <w:sz w:val="20"/>
                <w:szCs w:val="20"/>
                <w:lang w:val="en-US"/>
              </w:rPr>
              <w:t>u</w:t>
            </w:r>
            <w:r w:rsidRPr="00EF3C6A">
              <w:rPr>
                <w:rFonts w:ascii="Arial Narrow" w:hAnsi="Arial Narrow" w:cs="Times New Roman"/>
                <w:snapToGrid/>
                <w:spacing w:val="3"/>
                <w:sz w:val="20"/>
                <w:szCs w:val="20"/>
                <w:lang w:val="en-US"/>
              </w:rPr>
              <w:t>d</w:t>
            </w:r>
            <w:r w:rsidRPr="00EF3C6A">
              <w:rPr>
                <w:rFonts w:ascii="Arial Narrow" w:hAnsi="Arial Narrow" w:cs="Times New Roman"/>
                <w:snapToGrid/>
                <w:sz w:val="20"/>
                <w:szCs w:val="20"/>
                <w:lang w:val="en-US"/>
              </w:rPr>
              <w:t>y</w:t>
            </w:r>
            <w:r w:rsidRPr="00EF3C6A">
              <w:rPr>
                <w:rFonts w:ascii="Arial Narrow" w:hAnsi="Arial Narrow" w:cs="Times New Roman"/>
                <w:snapToGrid/>
                <w:spacing w:val="-9"/>
                <w:sz w:val="20"/>
                <w:szCs w:val="20"/>
                <w:lang w:val="en-US"/>
              </w:rPr>
              <w:t xml:space="preserve"> </w:t>
            </w:r>
            <w:r w:rsidRPr="00EF3C6A">
              <w:rPr>
                <w:rFonts w:ascii="Arial Narrow" w:hAnsi="Arial Narrow" w:cs="Times New Roman"/>
                <w:snapToGrid/>
                <w:spacing w:val="1"/>
                <w:sz w:val="20"/>
                <w:szCs w:val="20"/>
                <w:lang w:val="en-US"/>
              </w:rPr>
              <w:t>d</w:t>
            </w:r>
            <w:r w:rsidRPr="00EF3C6A">
              <w:rPr>
                <w:rFonts w:ascii="Arial Narrow" w:hAnsi="Arial Narrow" w:cs="Times New Roman"/>
                <w:snapToGrid/>
                <w:sz w:val="20"/>
                <w:szCs w:val="20"/>
                <w:lang w:val="en-US"/>
              </w:rPr>
              <w:t>r</w:t>
            </w:r>
            <w:r w:rsidRPr="00EF3C6A">
              <w:rPr>
                <w:rFonts w:ascii="Arial Narrow" w:hAnsi="Arial Narrow" w:cs="Times New Roman"/>
                <w:snapToGrid/>
                <w:spacing w:val="1"/>
                <w:sz w:val="20"/>
                <w:szCs w:val="20"/>
                <w:lang w:val="en-US"/>
              </w:rPr>
              <w:t>u</w:t>
            </w:r>
            <w:r w:rsidRPr="00EF3C6A">
              <w:rPr>
                <w:rFonts w:ascii="Arial Narrow" w:hAnsi="Arial Narrow" w:cs="Times New Roman"/>
                <w:snapToGrid/>
                <w:sz w:val="20"/>
                <w:szCs w:val="20"/>
                <w:lang w:val="en-US"/>
              </w:rPr>
              <w:t>g</w:t>
            </w:r>
            <w:r w:rsidRPr="00EF3C6A">
              <w:rPr>
                <w:rFonts w:ascii="Arial Narrow" w:hAnsi="Arial Narrow" w:cs="Times New Roman"/>
                <w:snapToGrid/>
                <w:spacing w:val="-6"/>
                <w:sz w:val="20"/>
                <w:szCs w:val="20"/>
                <w:lang w:val="en-US"/>
              </w:rPr>
              <w:t xml:space="preserve"> </w:t>
            </w:r>
            <w:r w:rsidRPr="00EF3C6A">
              <w:rPr>
                <w:rFonts w:ascii="Arial Narrow" w:hAnsi="Arial Narrow" w:cs="Times New Roman"/>
                <w:snapToGrid/>
                <w:spacing w:val="-1"/>
                <w:sz w:val="20"/>
                <w:szCs w:val="20"/>
                <w:lang w:val="en-US"/>
              </w:rPr>
              <w:t>t</w:t>
            </w:r>
            <w:r w:rsidRPr="00EF3C6A">
              <w:rPr>
                <w:rFonts w:ascii="Arial Narrow" w:hAnsi="Arial Narrow" w:cs="Times New Roman"/>
                <w:snapToGrid/>
                <w:spacing w:val="1"/>
                <w:sz w:val="20"/>
                <w:szCs w:val="20"/>
                <w:lang w:val="en-US"/>
              </w:rPr>
              <w:t>ox</w:t>
            </w:r>
            <w:r w:rsidRPr="00EF3C6A">
              <w:rPr>
                <w:rFonts w:ascii="Arial Narrow" w:hAnsi="Arial Narrow" w:cs="Times New Roman"/>
                <w:snapToGrid/>
                <w:spacing w:val="-1"/>
                <w:sz w:val="20"/>
                <w:szCs w:val="20"/>
                <w:lang w:val="en-US"/>
              </w:rPr>
              <w:t>i</w:t>
            </w:r>
            <w:r w:rsidRPr="00EF3C6A">
              <w:rPr>
                <w:rFonts w:ascii="Arial Narrow" w:hAnsi="Arial Narrow" w:cs="Times New Roman"/>
                <w:snapToGrid/>
                <w:sz w:val="20"/>
                <w:szCs w:val="20"/>
                <w:lang w:val="en-US"/>
              </w:rPr>
              <w:t>c</w:t>
            </w:r>
            <w:r w:rsidRPr="00EF3C6A">
              <w:rPr>
                <w:rFonts w:ascii="Arial Narrow" w:hAnsi="Arial Narrow" w:cs="Times New Roman"/>
                <w:snapToGrid/>
                <w:spacing w:val="-1"/>
                <w:sz w:val="20"/>
                <w:szCs w:val="20"/>
                <w:lang w:val="en-US"/>
              </w:rPr>
              <w:t>i</w:t>
            </w:r>
            <w:r w:rsidRPr="00EF3C6A">
              <w:rPr>
                <w:rFonts w:ascii="Arial Narrow" w:hAnsi="Arial Narrow" w:cs="Times New Roman"/>
                <w:snapToGrid/>
                <w:spacing w:val="2"/>
                <w:sz w:val="20"/>
                <w:szCs w:val="20"/>
                <w:lang w:val="en-US"/>
              </w:rPr>
              <w:t>t</w:t>
            </w:r>
            <w:r w:rsidRPr="00EF3C6A">
              <w:rPr>
                <w:rFonts w:ascii="Arial Narrow" w:hAnsi="Arial Narrow" w:cs="Times New Roman"/>
                <w:snapToGrid/>
                <w:sz w:val="20"/>
                <w:szCs w:val="20"/>
                <w:lang w:val="en-US"/>
              </w:rPr>
              <w:t>y</w:t>
            </w:r>
            <w:r w:rsidR="001F40EA" w:rsidRPr="00EF3C6A">
              <w:rPr>
                <w:rFonts w:ascii="Arial Narrow" w:hAnsi="Arial Narrow" w:cs="Times New Roman"/>
                <w:snapToGrid/>
                <w:sz w:val="20"/>
                <w:szCs w:val="20"/>
                <w:lang w:val="en-US"/>
              </w:rPr>
              <w:t xml:space="preserve"> </w:t>
            </w:r>
            <w:r w:rsidR="001F40EA" w:rsidRPr="00EF3C6A">
              <w:rPr>
                <w:rFonts w:ascii="Arial Narrow" w:hAnsi="Arial Narrow" w:cs="Times New Roman"/>
                <w:snapToGrid/>
                <w:sz w:val="20"/>
                <w:szCs w:val="20"/>
                <w:vertAlign w:val="superscript"/>
                <w:lang w:val="en-US"/>
              </w:rPr>
              <w:t>b</w:t>
            </w:r>
          </w:p>
          <w:p w:rsidR="00EB060B" w:rsidRPr="00EF3C6A" w:rsidRDefault="00EB060B" w:rsidP="0066236A">
            <w:pPr>
              <w:pStyle w:val="ListParagraph"/>
              <w:keepNext/>
              <w:keepLines/>
              <w:numPr>
                <w:ilvl w:val="0"/>
                <w:numId w:val="7"/>
              </w:numPr>
              <w:spacing w:after="0"/>
              <w:ind w:left="629" w:hanging="357"/>
              <w:jc w:val="left"/>
              <w:rPr>
                <w:rFonts w:ascii="Arial Narrow" w:hAnsi="Arial Narrow" w:cs="Times New Roman"/>
                <w:snapToGrid/>
                <w:spacing w:val="-1"/>
                <w:sz w:val="20"/>
                <w:szCs w:val="20"/>
                <w:lang w:val="en-US"/>
              </w:rPr>
            </w:pPr>
            <w:r w:rsidRPr="00EF3C6A">
              <w:rPr>
                <w:rFonts w:ascii="Arial Narrow" w:hAnsi="Arial Narrow" w:cs="Times New Roman"/>
                <w:bCs/>
                <w:snapToGrid/>
                <w:spacing w:val="-1"/>
                <w:sz w:val="20"/>
                <w:szCs w:val="20"/>
                <w:lang w:val="en-US"/>
              </w:rPr>
              <w:t>Patient</w:t>
            </w:r>
            <w:r w:rsidRPr="00EF3C6A">
              <w:rPr>
                <w:rFonts w:ascii="Arial Narrow" w:hAnsi="Arial Narrow" w:cs="Times New Roman"/>
                <w:bCs/>
                <w:snapToGrid/>
                <w:sz w:val="20"/>
                <w:szCs w:val="20"/>
                <w:lang w:val="en-US"/>
              </w:rPr>
              <w:t>s</w:t>
            </w:r>
            <w:r w:rsidRPr="00EF3C6A">
              <w:rPr>
                <w:rFonts w:ascii="Arial Narrow" w:hAnsi="Arial Narrow" w:cs="Times New Roman"/>
                <w:bCs/>
                <w:snapToGrid/>
                <w:spacing w:val="-12"/>
                <w:sz w:val="20"/>
                <w:szCs w:val="20"/>
                <w:lang w:val="en-US"/>
              </w:rPr>
              <w:t xml:space="preserve"> </w:t>
            </w:r>
            <w:r w:rsidRPr="00EF3C6A">
              <w:rPr>
                <w:rFonts w:ascii="Arial Narrow" w:hAnsi="Arial Narrow" w:cs="Times New Roman"/>
                <w:bCs/>
                <w:snapToGrid/>
                <w:spacing w:val="-1"/>
                <w:sz w:val="20"/>
                <w:szCs w:val="20"/>
                <w:lang w:val="en-US"/>
              </w:rPr>
              <w:t>d</w:t>
            </w:r>
            <w:r w:rsidRPr="00EF3C6A">
              <w:rPr>
                <w:rFonts w:ascii="Arial Narrow" w:hAnsi="Arial Narrow" w:cs="Times New Roman"/>
                <w:bCs/>
                <w:snapToGrid/>
                <w:spacing w:val="2"/>
                <w:sz w:val="20"/>
                <w:szCs w:val="20"/>
                <w:lang w:val="en-US"/>
              </w:rPr>
              <w:t>i</w:t>
            </w:r>
            <w:r w:rsidRPr="00EF3C6A">
              <w:rPr>
                <w:rFonts w:ascii="Arial Narrow" w:hAnsi="Arial Narrow" w:cs="Times New Roman"/>
                <w:bCs/>
                <w:snapToGrid/>
                <w:spacing w:val="-1"/>
                <w:sz w:val="20"/>
                <w:szCs w:val="20"/>
                <w:lang w:val="en-US"/>
              </w:rPr>
              <w:t>s</w:t>
            </w:r>
            <w:r w:rsidRPr="00EF3C6A">
              <w:rPr>
                <w:rFonts w:ascii="Arial Narrow" w:hAnsi="Arial Narrow" w:cs="Times New Roman"/>
                <w:bCs/>
                <w:snapToGrid/>
                <w:sz w:val="20"/>
                <w:szCs w:val="20"/>
                <w:lang w:val="en-US"/>
              </w:rPr>
              <w:t>c</w:t>
            </w:r>
            <w:r w:rsidRPr="00EF3C6A">
              <w:rPr>
                <w:rFonts w:ascii="Arial Narrow" w:hAnsi="Arial Narrow" w:cs="Times New Roman"/>
                <w:bCs/>
                <w:snapToGrid/>
                <w:spacing w:val="1"/>
                <w:sz w:val="20"/>
                <w:szCs w:val="20"/>
                <w:lang w:val="en-US"/>
              </w:rPr>
              <w:t>o</w:t>
            </w:r>
            <w:r w:rsidRPr="00EF3C6A">
              <w:rPr>
                <w:rFonts w:ascii="Arial Narrow" w:hAnsi="Arial Narrow" w:cs="Times New Roman"/>
                <w:bCs/>
                <w:snapToGrid/>
                <w:spacing w:val="-1"/>
                <w:sz w:val="20"/>
                <w:szCs w:val="20"/>
                <w:lang w:val="en-US"/>
              </w:rPr>
              <w:t>n</w:t>
            </w:r>
            <w:r w:rsidRPr="00EF3C6A">
              <w:rPr>
                <w:rFonts w:ascii="Arial Narrow" w:hAnsi="Arial Narrow" w:cs="Times New Roman"/>
                <w:bCs/>
                <w:snapToGrid/>
                <w:sz w:val="20"/>
                <w:szCs w:val="20"/>
                <w:lang w:val="en-US"/>
              </w:rPr>
              <w:t>t</w:t>
            </w:r>
            <w:r w:rsidRPr="00EF3C6A">
              <w:rPr>
                <w:rFonts w:ascii="Arial Narrow" w:hAnsi="Arial Narrow" w:cs="Times New Roman"/>
                <w:bCs/>
                <w:snapToGrid/>
                <w:spacing w:val="-1"/>
                <w:sz w:val="20"/>
                <w:szCs w:val="20"/>
                <w:lang w:val="en-US"/>
              </w:rPr>
              <w:t>in</w:t>
            </w:r>
            <w:r w:rsidRPr="00EF3C6A">
              <w:rPr>
                <w:rFonts w:ascii="Arial Narrow" w:hAnsi="Arial Narrow" w:cs="Times New Roman"/>
                <w:bCs/>
                <w:snapToGrid/>
                <w:spacing w:val="1"/>
                <w:sz w:val="20"/>
                <w:szCs w:val="20"/>
                <w:lang w:val="en-US"/>
              </w:rPr>
              <w:t>u</w:t>
            </w:r>
            <w:r w:rsidRPr="00EF3C6A">
              <w:rPr>
                <w:rFonts w:ascii="Arial Narrow" w:hAnsi="Arial Narrow" w:cs="Times New Roman"/>
                <w:bCs/>
                <w:snapToGrid/>
                <w:spacing w:val="-1"/>
                <w:sz w:val="20"/>
                <w:szCs w:val="20"/>
                <w:lang w:val="en-US"/>
              </w:rPr>
              <w:t>in</w:t>
            </w:r>
            <w:r w:rsidRPr="00EF3C6A">
              <w:rPr>
                <w:rFonts w:ascii="Arial Narrow" w:hAnsi="Arial Narrow" w:cs="Times New Roman"/>
                <w:bCs/>
                <w:snapToGrid/>
                <w:sz w:val="20"/>
                <w:szCs w:val="20"/>
                <w:lang w:val="en-US"/>
              </w:rPr>
              <w:t>g</w:t>
            </w:r>
            <w:r w:rsidRPr="00EF3C6A">
              <w:rPr>
                <w:rFonts w:ascii="Arial Narrow" w:hAnsi="Arial Narrow" w:cs="Times New Roman"/>
                <w:bCs/>
                <w:snapToGrid/>
                <w:spacing w:val="-10"/>
                <w:sz w:val="20"/>
                <w:szCs w:val="20"/>
                <w:lang w:val="en-US"/>
              </w:rPr>
              <w:t xml:space="preserve"> </w:t>
            </w:r>
            <w:r w:rsidRPr="00EF3C6A">
              <w:rPr>
                <w:rFonts w:ascii="Arial Narrow" w:hAnsi="Arial Narrow" w:cs="Times New Roman"/>
                <w:bCs/>
                <w:snapToGrid/>
                <w:spacing w:val="-1"/>
                <w:sz w:val="20"/>
                <w:szCs w:val="20"/>
                <w:lang w:val="en-US"/>
              </w:rPr>
              <w:t>du</w:t>
            </w:r>
            <w:r w:rsidRPr="00EF3C6A">
              <w:rPr>
                <w:rFonts w:ascii="Arial Narrow" w:hAnsi="Arial Narrow" w:cs="Times New Roman"/>
                <w:bCs/>
                <w:snapToGrid/>
                <w:sz w:val="20"/>
                <w:szCs w:val="20"/>
                <w:lang w:val="en-US"/>
              </w:rPr>
              <w:t>r</w:t>
            </w:r>
            <w:r w:rsidRPr="00EF3C6A">
              <w:rPr>
                <w:rFonts w:ascii="Arial Narrow" w:hAnsi="Arial Narrow" w:cs="Times New Roman"/>
                <w:bCs/>
                <w:snapToGrid/>
                <w:spacing w:val="2"/>
                <w:sz w:val="20"/>
                <w:szCs w:val="20"/>
                <w:lang w:val="en-US"/>
              </w:rPr>
              <w:t>i</w:t>
            </w:r>
            <w:r w:rsidRPr="00EF3C6A">
              <w:rPr>
                <w:rFonts w:ascii="Arial Narrow" w:hAnsi="Arial Narrow" w:cs="Times New Roman"/>
                <w:bCs/>
                <w:snapToGrid/>
                <w:spacing w:val="-1"/>
                <w:sz w:val="20"/>
                <w:szCs w:val="20"/>
                <w:lang w:val="en-US"/>
              </w:rPr>
              <w:t>n</w:t>
            </w:r>
            <w:r w:rsidRPr="00EF3C6A">
              <w:rPr>
                <w:rFonts w:ascii="Arial Narrow" w:hAnsi="Arial Narrow" w:cs="Times New Roman"/>
                <w:bCs/>
                <w:snapToGrid/>
                <w:sz w:val="20"/>
                <w:szCs w:val="20"/>
                <w:lang w:val="en-US"/>
              </w:rPr>
              <w:t>g</w:t>
            </w:r>
            <w:r w:rsidRPr="00EF3C6A">
              <w:rPr>
                <w:rFonts w:ascii="Arial Narrow" w:hAnsi="Arial Narrow" w:cs="Times New Roman"/>
                <w:bCs/>
                <w:snapToGrid/>
                <w:spacing w:val="-9"/>
                <w:sz w:val="20"/>
                <w:szCs w:val="20"/>
                <w:lang w:val="en-US"/>
              </w:rPr>
              <w:t xml:space="preserve"> </w:t>
            </w:r>
            <w:r w:rsidRPr="00EF3C6A">
              <w:rPr>
                <w:rFonts w:ascii="Arial Narrow" w:hAnsi="Arial Narrow" w:cs="Times New Roman"/>
                <w:bCs/>
                <w:snapToGrid/>
                <w:spacing w:val="-1"/>
                <w:sz w:val="20"/>
                <w:szCs w:val="20"/>
                <w:lang w:val="en-US"/>
              </w:rPr>
              <w:t>indu</w:t>
            </w:r>
            <w:r w:rsidRPr="00EF3C6A">
              <w:rPr>
                <w:rFonts w:ascii="Arial Narrow" w:hAnsi="Arial Narrow" w:cs="Times New Roman"/>
                <w:bCs/>
                <w:snapToGrid/>
                <w:sz w:val="20"/>
                <w:szCs w:val="20"/>
                <w:lang w:val="en-US"/>
              </w:rPr>
              <w:t>ct</w:t>
            </w:r>
            <w:r w:rsidRPr="00EF3C6A">
              <w:rPr>
                <w:rFonts w:ascii="Arial Narrow" w:hAnsi="Arial Narrow" w:cs="Times New Roman"/>
                <w:bCs/>
                <w:snapToGrid/>
                <w:spacing w:val="-1"/>
                <w:sz w:val="20"/>
                <w:szCs w:val="20"/>
                <w:lang w:val="en-US"/>
              </w:rPr>
              <w:t>i</w:t>
            </w:r>
            <w:r w:rsidRPr="00EF3C6A">
              <w:rPr>
                <w:rFonts w:ascii="Arial Narrow" w:hAnsi="Arial Narrow" w:cs="Times New Roman"/>
                <w:bCs/>
                <w:snapToGrid/>
                <w:spacing w:val="1"/>
                <w:sz w:val="20"/>
                <w:szCs w:val="20"/>
                <w:lang w:val="en-US"/>
              </w:rPr>
              <w:t>o</w:t>
            </w:r>
            <w:r w:rsidRPr="00EF3C6A">
              <w:rPr>
                <w:rFonts w:ascii="Arial Narrow" w:hAnsi="Arial Narrow" w:cs="Times New Roman"/>
                <w:bCs/>
                <w:snapToGrid/>
                <w:sz w:val="20"/>
                <w:szCs w:val="20"/>
                <w:lang w:val="en-US"/>
              </w:rPr>
              <w:t>n</w:t>
            </w:r>
          </w:p>
          <w:p w:rsidR="00341890" w:rsidRPr="00EF3C6A" w:rsidRDefault="00EB060B" w:rsidP="0066236A">
            <w:pPr>
              <w:pStyle w:val="ListParagraph"/>
              <w:keepNext/>
              <w:keepLines/>
              <w:numPr>
                <w:ilvl w:val="0"/>
                <w:numId w:val="7"/>
              </w:numPr>
              <w:spacing w:after="0"/>
              <w:ind w:left="629" w:hanging="357"/>
              <w:jc w:val="left"/>
              <w:rPr>
                <w:rFonts w:ascii="Arial Narrow" w:hAnsi="Arial Narrow" w:cs="Times New Roman"/>
                <w:snapToGrid/>
                <w:sz w:val="20"/>
                <w:szCs w:val="20"/>
                <w:lang w:val="en-US"/>
              </w:rPr>
            </w:pPr>
            <w:r w:rsidRPr="00EF3C6A">
              <w:rPr>
                <w:rFonts w:ascii="Arial Narrow" w:hAnsi="Arial Narrow" w:cs="Times New Roman"/>
                <w:bCs/>
                <w:snapToGrid/>
                <w:spacing w:val="-1"/>
                <w:sz w:val="20"/>
                <w:szCs w:val="20"/>
                <w:lang w:val="en-US"/>
              </w:rPr>
              <w:t>Patien</w:t>
            </w:r>
            <w:r w:rsidRPr="00EF3C6A">
              <w:rPr>
                <w:rFonts w:ascii="Arial Narrow" w:hAnsi="Arial Narrow" w:cs="Times New Roman"/>
                <w:bCs/>
                <w:snapToGrid/>
                <w:sz w:val="20"/>
                <w:szCs w:val="20"/>
                <w:lang w:val="en-US"/>
              </w:rPr>
              <w:t>ts</w:t>
            </w:r>
            <w:r w:rsidRPr="00EF3C6A">
              <w:rPr>
                <w:rFonts w:ascii="Arial Narrow" w:hAnsi="Arial Narrow" w:cs="Times New Roman"/>
                <w:bCs/>
                <w:snapToGrid/>
                <w:spacing w:val="-7"/>
                <w:sz w:val="20"/>
                <w:szCs w:val="20"/>
                <w:lang w:val="en-US"/>
              </w:rPr>
              <w:t xml:space="preserve"> who</w:t>
            </w:r>
            <w:r w:rsidRPr="00EF3C6A">
              <w:rPr>
                <w:rFonts w:ascii="Arial Narrow" w:hAnsi="Arial Narrow" w:cs="Times New Roman"/>
                <w:bCs/>
                <w:snapToGrid/>
                <w:spacing w:val="-5"/>
                <w:sz w:val="20"/>
                <w:szCs w:val="20"/>
                <w:lang w:val="en-US"/>
              </w:rPr>
              <w:t xml:space="preserve"> </w:t>
            </w:r>
            <w:r w:rsidRPr="00EF3C6A">
              <w:rPr>
                <w:rFonts w:ascii="Arial Narrow" w:hAnsi="Arial Narrow" w:cs="Times New Roman"/>
                <w:bCs/>
                <w:snapToGrid/>
                <w:sz w:val="20"/>
                <w:szCs w:val="20"/>
                <w:lang w:val="en-US"/>
              </w:rPr>
              <w:t>rece</w:t>
            </w:r>
            <w:r w:rsidRPr="00EF3C6A">
              <w:rPr>
                <w:rFonts w:ascii="Arial Narrow" w:hAnsi="Arial Narrow" w:cs="Times New Roman"/>
                <w:bCs/>
                <w:snapToGrid/>
                <w:spacing w:val="-1"/>
                <w:sz w:val="20"/>
                <w:szCs w:val="20"/>
                <w:lang w:val="en-US"/>
              </w:rPr>
              <w:t>i</w:t>
            </w:r>
            <w:r w:rsidRPr="00EF3C6A">
              <w:rPr>
                <w:rFonts w:ascii="Arial Narrow" w:hAnsi="Arial Narrow" w:cs="Times New Roman"/>
                <w:bCs/>
                <w:snapToGrid/>
                <w:spacing w:val="1"/>
                <w:sz w:val="20"/>
                <w:szCs w:val="20"/>
                <w:lang w:val="en-US"/>
              </w:rPr>
              <w:t>v</w:t>
            </w:r>
            <w:r w:rsidRPr="00EF3C6A">
              <w:rPr>
                <w:rFonts w:ascii="Arial Narrow" w:hAnsi="Arial Narrow" w:cs="Times New Roman"/>
                <w:bCs/>
                <w:snapToGrid/>
                <w:sz w:val="20"/>
                <w:szCs w:val="20"/>
                <w:lang w:val="en-US"/>
              </w:rPr>
              <w:t>ed</w:t>
            </w:r>
            <w:r w:rsidRPr="00EF3C6A">
              <w:rPr>
                <w:rFonts w:ascii="Arial Narrow" w:hAnsi="Arial Narrow" w:cs="Times New Roman"/>
                <w:bCs/>
                <w:snapToGrid/>
                <w:spacing w:val="-6"/>
                <w:sz w:val="20"/>
                <w:szCs w:val="20"/>
                <w:lang w:val="en-US"/>
              </w:rPr>
              <w:t xml:space="preserve"> </w:t>
            </w:r>
            <w:r w:rsidRPr="00EF3C6A">
              <w:rPr>
                <w:rFonts w:ascii="Arial Narrow" w:hAnsi="Arial Narrow" w:cs="Times New Roman"/>
                <w:bCs/>
                <w:snapToGrid/>
                <w:spacing w:val="-1"/>
                <w:sz w:val="20"/>
                <w:szCs w:val="20"/>
                <w:lang w:val="en-US"/>
              </w:rPr>
              <w:t xml:space="preserve">subsequent </w:t>
            </w:r>
            <w:r w:rsidRPr="00EF3C6A">
              <w:rPr>
                <w:rFonts w:ascii="Arial Narrow" w:hAnsi="Arial Narrow" w:cs="Times New Roman"/>
                <w:bCs/>
                <w:snapToGrid/>
                <w:spacing w:val="1"/>
                <w:sz w:val="20"/>
                <w:szCs w:val="20"/>
                <w:lang w:val="en-US"/>
              </w:rPr>
              <w:t>sy</w:t>
            </w:r>
            <w:r w:rsidRPr="00EF3C6A">
              <w:rPr>
                <w:rFonts w:ascii="Arial Narrow" w:hAnsi="Arial Narrow" w:cs="Times New Roman"/>
                <w:bCs/>
                <w:snapToGrid/>
                <w:spacing w:val="-1"/>
                <w:sz w:val="20"/>
                <w:szCs w:val="20"/>
                <w:lang w:val="en-US"/>
              </w:rPr>
              <w:t>s</w:t>
            </w:r>
            <w:r w:rsidRPr="00EF3C6A">
              <w:rPr>
                <w:rFonts w:ascii="Arial Narrow" w:hAnsi="Arial Narrow" w:cs="Times New Roman"/>
                <w:bCs/>
                <w:snapToGrid/>
                <w:sz w:val="20"/>
                <w:szCs w:val="20"/>
                <w:lang w:val="en-US"/>
              </w:rPr>
              <w:t>t</w:t>
            </w:r>
            <w:r w:rsidRPr="00EF3C6A">
              <w:rPr>
                <w:rFonts w:ascii="Arial Narrow" w:hAnsi="Arial Narrow" w:cs="Times New Roman"/>
                <w:bCs/>
                <w:snapToGrid/>
                <w:spacing w:val="2"/>
                <w:sz w:val="20"/>
                <w:szCs w:val="20"/>
                <w:lang w:val="en-US"/>
              </w:rPr>
              <w:t>e</w:t>
            </w:r>
            <w:r w:rsidRPr="00EF3C6A">
              <w:rPr>
                <w:rFonts w:ascii="Arial Narrow" w:hAnsi="Arial Narrow" w:cs="Times New Roman"/>
                <w:bCs/>
                <w:snapToGrid/>
                <w:spacing w:val="-7"/>
                <w:sz w:val="20"/>
                <w:szCs w:val="20"/>
                <w:lang w:val="en-US"/>
              </w:rPr>
              <w:t>m</w:t>
            </w:r>
            <w:r w:rsidRPr="00EF3C6A">
              <w:rPr>
                <w:rFonts w:ascii="Arial Narrow" w:hAnsi="Arial Narrow" w:cs="Times New Roman"/>
                <w:bCs/>
                <w:snapToGrid/>
                <w:spacing w:val="-1"/>
                <w:sz w:val="20"/>
                <w:szCs w:val="20"/>
                <w:lang w:val="en-US"/>
              </w:rPr>
              <w:t>i</w:t>
            </w:r>
            <w:r w:rsidRPr="00EF3C6A">
              <w:rPr>
                <w:rFonts w:ascii="Arial Narrow" w:hAnsi="Arial Narrow" w:cs="Times New Roman"/>
                <w:bCs/>
                <w:snapToGrid/>
                <w:sz w:val="20"/>
                <w:szCs w:val="20"/>
                <w:lang w:val="en-US"/>
              </w:rPr>
              <w:t>c</w:t>
            </w:r>
            <w:r w:rsidRPr="00EF3C6A">
              <w:rPr>
                <w:rFonts w:ascii="Arial Narrow" w:hAnsi="Arial Narrow" w:cs="Times New Roman"/>
                <w:bCs/>
                <w:snapToGrid/>
                <w:spacing w:val="-3"/>
                <w:sz w:val="20"/>
                <w:szCs w:val="20"/>
                <w:lang w:val="en-US"/>
              </w:rPr>
              <w:t xml:space="preserve"> therapy</w:t>
            </w:r>
          </w:p>
        </w:tc>
        <w:tc>
          <w:tcPr>
            <w:tcW w:w="976" w:type="pct"/>
            <w:tcBorders>
              <w:bottom w:val="single" w:sz="4" w:space="0" w:color="auto"/>
            </w:tcBorders>
          </w:tcPr>
          <w:p w:rsidR="00EB060B" w:rsidRPr="00EF3C6A" w:rsidRDefault="00B07F6B" w:rsidP="0066236A">
            <w:pPr>
              <w:keepNext/>
              <w:keepLines/>
              <w:jc w:val="left"/>
              <w:rPr>
                <w:rFonts w:ascii="Arial Narrow" w:hAnsi="Arial Narrow" w:cs="Times New Roman"/>
                <w:snapToGrid/>
                <w:spacing w:val="1"/>
                <w:sz w:val="20"/>
                <w:szCs w:val="20"/>
                <w:lang w:val="en-US"/>
              </w:rPr>
            </w:pPr>
            <w:r>
              <w:rPr>
                <w:rFonts w:ascii="Arial Narrow" w:hAnsi="Arial Narrow" w:cs="Times New Roman"/>
                <w:noProof/>
                <w:snapToGrid/>
                <w:color w:val="000000"/>
                <w:spacing w:val="1"/>
                <w:sz w:val="20"/>
                <w:szCs w:val="20"/>
                <w:highlight w:val="black"/>
                <w:lang w:val="en-US"/>
              </w:rPr>
              <w:t>'''''''</w:t>
            </w:r>
            <w:r w:rsidR="00341890" w:rsidRPr="00EF3C6A">
              <w:rPr>
                <w:rFonts w:ascii="Arial Narrow" w:hAnsi="Arial Narrow" w:cs="Times New Roman"/>
                <w:snapToGrid/>
                <w:spacing w:val="-6"/>
                <w:sz w:val="20"/>
                <w:szCs w:val="20"/>
                <w:lang w:val="en-US"/>
              </w:rPr>
              <w:t xml:space="preserve"> </w:t>
            </w:r>
            <w:r w:rsidR="00341890" w:rsidRPr="00EF3C6A">
              <w:rPr>
                <w:rFonts w:ascii="Arial Narrow" w:hAnsi="Arial Narrow" w:cs="Times New Roman"/>
                <w:snapToGrid/>
                <w:sz w:val="20"/>
                <w:szCs w:val="20"/>
                <w:lang w:val="en-US"/>
              </w:rPr>
              <w:t>(</w:t>
            </w:r>
            <w:r>
              <w:rPr>
                <w:rFonts w:ascii="Arial Narrow" w:hAnsi="Arial Narrow" w:cs="Times New Roman"/>
                <w:noProof/>
                <w:snapToGrid/>
                <w:color w:val="000000"/>
                <w:spacing w:val="-2"/>
                <w:sz w:val="20"/>
                <w:szCs w:val="20"/>
                <w:highlight w:val="black"/>
                <w:lang w:val="en-US"/>
              </w:rPr>
              <w:t>''''''''''</w:t>
            </w:r>
            <w:r w:rsidR="00EB060B" w:rsidRPr="00EF3C6A">
              <w:rPr>
                <w:rFonts w:ascii="Arial Narrow" w:hAnsi="Arial Narrow" w:cs="Times New Roman"/>
                <w:snapToGrid/>
                <w:spacing w:val="1"/>
                <w:sz w:val="20"/>
                <w:szCs w:val="20"/>
                <w:lang w:val="en-US"/>
              </w:rPr>
              <w:t>%</w:t>
            </w:r>
            <w:r w:rsidR="00341890" w:rsidRPr="00EF3C6A">
              <w:rPr>
                <w:rFonts w:ascii="Arial Narrow" w:hAnsi="Arial Narrow" w:cs="Times New Roman"/>
                <w:snapToGrid/>
                <w:spacing w:val="1"/>
                <w:sz w:val="20"/>
                <w:szCs w:val="20"/>
                <w:lang w:val="en-US"/>
              </w:rPr>
              <w:t>)</w:t>
            </w:r>
          </w:p>
          <w:p w:rsidR="00EB060B" w:rsidRPr="00EF3C6A" w:rsidRDefault="00B07F6B" w:rsidP="0066236A">
            <w:pPr>
              <w:keepNext/>
              <w:keepLines/>
              <w:jc w:val="left"/>
              <w:rPr>
                <w:rFonts w:ascii="Arial Narrow" w:hAnsi="Arial Narrow" w:cs="Times New Roman"/>
                <w:snapToGrid/>
                <w:spacing w:val="1"/>
                <w:sz w:val="20"/>
                <w:szCs w:val="20"/>
                <w:lang w:val="en-US"/>
              </w:rPr>
            </w:pPr>
            <w:r>
              <w:rPr>
                <w:rFonts w:ascii="Arial Narrow" w:hAnsi="Arial Narrow" w:cs="Times New Roman"/>
                <w:bCs/>
                <w:noProof/>
                <w:snapToGrid/>
                <w:color w:val="000000"/>
                <w:spacing w:val="1"/>
                <w:sz w:val="20"/>
                <w:szCs w:val="20"/>
                <w:highlight w:val="black"/>
                <w:lang w:val="en-US"/>
              </w:rPr>
              <w:t>'''''''</w:t>
            </w:r>
            <w:r w:rsidR="00EB060B" w:rsidRPr="00EF3C6A">
              <w:rPr>
                <w:rFonts w:ascii="Arial Narrow" w:hAnsi="Arial Narrow" w:cs="Times New Roman"/>
                <w:bCs/>
                <w:snapToGrid/>
                <w:spacing w:val="-6"/>
                <w:sz w:val="20"/>
                <w:szCs w:val="20"/>
                <w:lang w:val="en-US"/>
              </w:rPr>
              <w:t xml:space="preserve"> </w:t>
            </w:r>
            <w:r w:rsidR="00EB060B" w:rsidRPr="00EF3C6A">
              <w:rPr>
                <w:rFonts w:ascii="Arial Narrow" w:hAnsi="Arial Narrow" w:cs="Times New Roman"/>
                <w:bCs/>
                <w:snapToGrid/>
                <w:sz w:val="20"/>
                <w:szCs w:val="20"/>
                <w:lang w:val="en-US"/>
              </w:rPr>
              <w:t>(</w:t>
            </w:r>
            <w:r>
              <w:rPr>
                <w:rFonts w:ascii="Arial Narrow" w:hAnsi="Arial Narrow" w:cs="Times New Roman"/>
                <w:bCs/>
                <w:noProof/>
                <w:snapToGrid/>
                <w:color w:val="000000"/>
                <w:spacing w:val="-2"/>
                <w:sz w:val="20"/>
                <w:szCs w:val="20"/>
                <w:highlight w:val="black"/>
                <w:lang w:val="en-US"/>
              </w:rPr>
              <w:t>''''''''''</w:t>
            </w:r>
            <w:r w:rsidR="00EB060B" w:rsidRPr="00EF3C6A">
              <w:rPr>
                <w:rFonts w:ascii="Arial Narrow" w:hAnsi="Arial Narrow" w:cs="Times New Roman"/>
                <w:bCs/>
                <w:snapToGrid/>
                <w:spacing w:val="1"/>
                <w:sz w:val="20"/>
                <w:szCs w:val="20"/>
                <w:lang w:val="en-US"/>
              </w:rPr>
              <w:t>%)</w:t>
            </w:r>
          </w:p>
          <w:p w:rsidR="00341890" w:rsidRPr="00EF3C6A" w:rsidRDefault="00B07F6B" w:rsidP="0066236A">
            <w:pPr>
              <w:keepNext/>
              <w:keepLines/>
              <w:jc w:val="left"/>
              <w:rPr>
                <w:rFonts w:ascii="Arial Narrow" w:eastAsia="Calibri" w:hAnsi="Arial Narrow" w:cs="Times New Roman"/>
                <w:snapToGrid/>
                <w:sz w:val="22"/>
                <w:lang w:val="en-US"/>
              </w:rPr>
            </w:pPr>
            <w:r>
              <w:rPr>
                <w:rFonts w:ascii="Arial Narrow" w:hAnsi="Arial Narrow" w:cs="Times New Roman"/>
                <w:bCs/>
                <w:noProof/>
                <w:snapToGrid/>
                <w:color w:val="000000"/>
                <w:sz w:val="20"/>
                <w:szCs w:val="20"/>
                <w:highlight w:val="black"/>
                <w:lang w:val="en-US"/>
              </w:rPr>
              <w:t>''''</w:t>
            </w:r>
            <w:r w:rsidR="00EB060B" w:rsidRPr="00EF3C6A">
              <w:rPr>
                <w:rFonts w:ascii="Arial Narrow" w:hAnsi="Arial Narrow" w:cs="Times New Roman"/>
                <w:bCs/>
                <w:snapToGrid/>
                <w:spacing w:val="-4"/>
                <w:sz w:val="20"/>
                <w:szCs w:val="20"/>
                <w:lang w:val="en-US"/>
              </w:rPr>
              <w:t xml:space="preserve"> </w:t>
            </w:r>
            <w:r w:rsidR="00EB060B" w:rsidRPr="00EF3C6A">
              <w:rPr>
                <w:rFonts w:ascii="Arial Narrow" w:hAnsi="Arial Narrow" w:cs="Times New Roman"/>
                <w:bCs/>
                <w:snapToGrid/>
                <w:sz w:val="20"/>
                <w:szCs w:val="20"/>
                <w:lang w:val="en-US"/>
              </w:rPr>
              <w:t>(</w:t>
            </w:r>
            <w:r>
              <w:rPr>
                <w:rFonts w:ascii="Arial Narrow" w:hAnsi="Arial Narrow" w:cs="Times New Roman"/>
                <w:bCs/>
                <w:noProof/>
                <w:snapToGrid/>
                <w:color w:val="000000"/>
                <w:spacing w:val="1"/>
                <w:sz w:val="20"/>
                <w:szCs w:val="20"/>
                <w:highlight w:val="black"/>
                <w:lang w:val="en-US"/>
              </w:rPr>
              <w:t>'''''''</w:t>
            </w:r>
            <w:r w:rsidR="00EB060B" w:rsidRPr="00EF3C6A">
              <w:rPr>
                <w:rFonts w:ascii="Arial Narrow" w:hAnsi="Arial Narrow" w:cs="Times New Roman"/>
                <w:bCs/>
                <w:snapToGrid/>
                <w:spacing w:val="1"/>
                <w:sz w:val="20"/>
                <w:szCs w:val="20"/>
                <w:lang w:val="en-US"/>
              </w:rPr>
              <w:t>%)</w:t>
            </w:r>
          </w:p>
        </w:tc>
        <w:tc>
          <w:tcPr>
            <w:tcW w:w="1021" w:type="pct"/>
            <w:tcBorders>
              <w:bottom w:val="single" w:sz="4" w:space="0" w:color="auto"/>
            </w:tcBorders>
          </w:tcPr>
          <w:p w:rsidR="00EB060B" w:rsidRPr="00EF3C6A" w:rsidRDefault="00B07F6B" w:rsidP="0066236A">
            <w:pPr>
              <w:keepNext/>
              <w:keepLines/>
              <w:ind w:left="58"/>
              <w:jc w:val="left"/>
              <w:rPr>
                <w:rFonts w:ascii="Arial Narrow" w:hAnsi="Arial Narrow" w:cs="Times New Roman"/>
                <w:snapToGrid/>
                <w:spacing w:val="1"/>
                <w:sz w:val="20"/>
                <w:szCs w:val="20"/>
                <w:lang w:val="en-US"/>
              </w:rPr>
            </w:pPr>
            <w:r>
              <w:rPr>
                <w:rFonts w:ascii="Arial Narrow" w:hAnsi="Arial Narrow" w:cs="Times New Roman"/>
                <w:noProof/>
                <w:snapToGrid/>
                <w:color w:val="000000"/>
                <w:spacing w:val="1"/>
                <w:sz w:val="20"/>
                <w:szCs w:val="20"/>
                <w:highlight w:val="black"/>
                <w:lang w:val="en-US"/>
              </w:rPr>
              <w:t>''''''</w:t>
            </w:r>
            <w:r w:rsidR="00341890" w:rsidRPr="00EF3C6A">
              <w:rPr>
                <w:rFonts w:ascii="Arial Narrow" w:hAnsi="Arial Narrow" w:cs="Times New Roman"/>
                <w:snapToGrid/>
                <w:spacing w:val="-6"/>
                <w:sz w:val="20"/>
                <w:szCs w:val="20"/>
                <w:lang w:val="en-US"/>
              </w:rPr>
              <w:t xml:space="preserve"> </w:t>
            </w:r>
            <w:r w:rsidR="00341890" w:rsidRPr="00EF3C6A">
              <w:rPr>
                <w:rFonts w:ascii="Arial Narrow" w:hAnsi="Arial Narrow" w:cs="Times New Roman"/>
                <w:snapToGrid/>
                <w:sz w:val="20"/>
                <w:szCs w:val="20"/>
                <w:lang w:val="en-US"/>
              </w:rPr>
              <w:t>(</w:t>
            </w:r>
            <w:r>
              <w:rPr>
                <w:rFonts w:ascii="Arial Narrow" w:hAnsi="Arial Narrow" w:cs="Times New Roman"/>
                <w:noProof/>
                <w:snapToGrid/>
                <w:color w:val="000000"/>
                <w:spacing w:val="-2"/>
                <w:sz w:val="20"/>
                <w:szCs w:val="20"/>
                <w:highlight w:val="black"/>
                <w:lang w:val="en-US"/>
              </w:rPr>
              <w:t>''''''''''</w:t>
            </w:r>
            <w:r w:rsidR="00EB060B" w:rsidRPr="00EF3C6A">
              <w:rPr>
                <w:rFonts w:ascii="Arial Narrow" w:hAnsi="Arial Narrow" w:cs="Times New Roman"/>
                <w:snapToGrid/>
                <w:spacing w:val="1"/>
                <w:sz w:val="20"/>
                <w:szCs w:val="20"/>
                <w:lang w:val="en-US"/>
              </w:rPr>
              <w:t>%</w:t>
            </w:r>
            <w:r w:rsidR="00341890" w:rsidRPr="00EF3C6A">
              <w:rPr>
                <w:rFonts w:ascii="Arial Narrow" w:hAnsi="Arial Narrow" w:cs="Times New Roman"/>
                <w:snapToGrid/>
                <w:spacing w:val="1"/>
                <w:sz w:val="20"/>
                <w:szCs w:val="20"/>
                <w:lang w:val="en-US"/>
              </w:rPr>
              <w:t>)</w:t>
            </w:r>
          </w:p>
          <w:p w:rsidR="00EB060B" w:rsidRPr="00EF3C6A" w:rsidRDefault="00B07F6B" w:rsidP="0066236A">
            <w:pPr>
              <w:keepNext/>
              <w:keepLines/>
              <w:ind w:left="58"/>
              <w:jc w:val="left"/>
              <w:rPr>
                <w:rFonts w:ascii="Arial Narrow" w:hAnsi="Arial Narrow" w:cs="Times New Roman"/>
                <w:snapToGrid/>
                <w:spacing w:val="1"/>
                <w:sz w:val="20"/>
                <w:szCs w:val="20"/>
                <w:lang w:val="en-US"/>
              </w:rPr>
            </w:pPr>
            <w:r>
              <w:rPr>
                <w:rFonts w:ascii="Arial Narrow" w:hAnsi="Arial Narrow" w:cs="Times New Roman"/>
                <w:bCs/>
                <w:noProof/>
                <w:snapToGrid/>
                <w:color w:val="000000"/>
                <w:spacing w:val="1"/>
                <w:sz w:val="20"/>
                <w:szCs w:val="20"/>
                <w:highlight w:val="black"/>
                <w:lang w:val="en-US"/>
              </w:rPr>
              <w:t xml:space="preserve">''''' </w:t>
            </w:r>
            <w:r w:rsidR="00EB060B" w:rsidRPr="00EF3C6A">
              <w:rPr>
                <w:rFonts w:ascii="Arial Narrow" w:hAnsi="Arial Narrow" w:cs="Times New Roman"/>
                <w:bCs/>
                <w:snapToGrid/>
                <w:sz w:val="20"/>
                <w:szCs w:val="20"/>
                <w:lang w:val="en-US"/>
              </w:rPr>
              <w:t>(</w:t>
            </w:r>
            <w:r>
              <w:rPr>
                <w:rFonts w:ascii="Arial Narrow" w:hAnsi="Arial Narrow" w:cs="Times New Roman"/>
                <w:bCs/>
                <w:noProof/>
                <w:snapToGrid/>
                <w:color w:val="000000"/>
                <w:spacing w:val="-2"/>
                <w:sz w:val="20"/>
                <w:szCs w:val="20"/>
                <w:highlight w:val="black"/>
                <w:lang w:val="en-US"/>
              </w:rPr>
              <w:t>'''''''''</w:t>
            </w:r>
            <w:r w:rsidR="00EB060B" w:rsidRPr="00EF3C6A">
              <w:rPr>
                <w:rFonts w:ascii="Arial Narrow" w:hAnsi="Arial Narrow" w:cs="Times New Roman"/>
                <w:bCs/>
                <w:snapToGrid/>
                <w:spacing w:val="1"/>
                <w:sz w:val="20"/>
                <w:szCs w:val="20"/>
                <w:lang w:val="en-US"/>
              </w:rPr>
              <w:t>%)</w:t>
            </w:r>
          </w:p>
          <w:p w:rsidR="00341890" w:rsidRPr="00EF3C6A" w:rsidRDefault="00B07F6B" w:rsidP="0066236A">
            <w:pPr>
              <w:keepNext/>
              <w:keepLines/>
              <w:ind w:left="55"/>
              <w:jc w:val="left"/>
              <w:rPr>
                <w:rFonts w:ascii="Arial Narrow" w:hAnsi="Arial Narrow" w:cs="Times New Roman"/>
                <w:snapToGrid/>
                <w:sz w:val="20"/>
                <w:szCs w:val="20"/>
                <w:lang w:val="en-US"/>
              </w:rPr>
            </w:pPr>
            <w:r>
              <w:rPr>
                <w:rFonts w:ascii="Arial Narrow" w:hAnsi="Arial Narrow" w:cs="Times New Roman"/>
                <w:bCs/>
                <w:noProof/>
                <w:snapToGrid/>
                <w:color w:val="000000"/>
                <w:sz w:val="20"/>
                <w:szCs w:val="20"/>
                <w:highlight w:val="black"/>
                <w:lang w:val="en-US"/>
              </w:rPr>
              <w:t>'''</w:t>
            </w:r>
            <w:r w:rsidR="00EB060B" w:rsidRPr="00EF3C6A">
              <w:rPr>
                <w:rFonts w:ascii="Arial Narrow" w:hAnsi="Arial Narrow" w:cs="Times New Roman"/>
                <w:bCs/>
                <w:snapToGrid/>
                <w:spacing w:val="-4"/>
                <w:sz w:val="20"/>
                <w:szCs w:val="20"/>
                <w:lang w:val="en-US"/>
              </w:rPr>
              <w:t xml:space="preserve"> </w:t>
            </w:r>
            <w:r w:rsidR="00EB060B" w:rsidRPr="00EF3C6A">
              <w:rPr>
                <w:rFonts w:ascii="Arial Narrow" w:hAnsi="Arial Narrow" w:cs="Times New Roman"/>
                <w:bCs/>
                <w:snapToGrid/>
                <w:sz w:val="20"/>
                <w:szCs w:val="20"/>
                <w:lang w:val="en-US"/>
              </w:rPr>
              <w:t>(</w:t>
            </w:r>
            <w:r>
              <w:rPr>
                <w:rFonts w:ascii="Arial Narrow" w:hAnsi="Arial Narrow" w:cs="Times New Roman"/>
                <w:bCs/>
                <w:noProof/>
                <w:snapToGrid/>
                <w:color w:val="000000"/>
                <w:spacing w:val="1"/>
                <w:sz w:val="20"/>
                <w:szCs w:val="20"/>
                <w:highlight w:val="black"/>
                <w:lang w:val="en-US"/>
              </w:rPr>
              <w:t>'''''''</w:t>
            </w:r>
            <w:r w:rsidR="00EB060B" w:rsidRPr="00EF3C6A">
              <w:rPr>
                <w:rFonts w:ascii="Arial Narrow" w:hAnsi="Arial Narrow" w:cs="Times New Roman"/>
                <w:bCs/>
                <w:snapToGrid/>
                <w:spacing w:val="1"/>
                <w:sz w:val="20"/>
                <w:szCs w:val="20"/>
                <w:lang w:val="en-US"/>
              </w:rPr>
              <w:t>%)</w:t>
            </w:r>
          </w:p>
        </w:tc>
      </w:tr>
    </w:tbl>
    <w:p w:rsidR="00CF6A4A" w:rsidRPr="00EF3C6A" w:rsidRDefault="00EE43ED" w:rsidP="0066236A">
      <w:pPr>
        <w:pStyle w:val="ListParagraph"/>
        <w:keepNext/>
        <w:keepLines/>
        <w:widowControl/>
        <w:shd w:val="clear" w:color="auto" w:fill="FFFFFF" w:themeFill="background1"/>
        <w:tabs>
          <w:tab w:val="left" w:pos="2694"/>
        </w:tabs>
        <w:spacing w:after="0"/>
        <w:ind w:left="0"/>
        <w:rPr>
          <w:rFonts w:ascii="Arial Narrow" w:hAnsi="Arial Narrow"/>
          <w:sz w:val="18"/>
        </w:rPr>
      </w:pPr>
      <w:r w:rsidRPr="00EF3C6A">
        <w:rPr>
          <w:rFonts w:ascii="Arial Narrow" w:hAnsi="Arial Narrow"/>
          <w:sz w:val="18"/>
        </w:rPr>
        <w:t xml:space="preserve">Source: Table 2, page 2 of the PSCR, </w:t>
      </w:r>
    </w:p>
    <w:p w:rsidR="00341890" w:rsidRPr="00EF3C6A" w:rsidRDefault="00341890" w:rsidP="0066236A">
      <w:pPr>
        <w:pStyle w:val="TableFooter"/>
        <w:keepNext/>
        <w:keepLines/>
      </w:pPr>
      <w:proofErr w:type="spellStart"/>
      <w:proofErr w:type="gramStart"/>
      <w:r w:rsidRPr="00EF3C6A">
        <w:rPr>
          <w:vertAlign w:val="superscript"/>
        </w:rPr>
        <w:t>a</w:t>
      </w:r>
      <w:proofErr w:type="spellEnd"/>
      <w:proofErr w:type="gramEnd"/>
      <w:r w:rsidRPr="00EF3C6A">
        <w:rPr>
          <w:vertAlign w:val="superscript"/>
        </w:rPr>
        <w:t xml:space="preserve"> </w:t>
      </w:r>
      <w:r w:rsidRPr="00EF3C6A">
        <w:t>In Study CA209214 the primary definition for PFS, patients who received subsequent therapy prior to documented progression were censored at the date of the last tumour assessment prior to the initiation of the new therapy</w:t>
      </w:r>
    </w:p>
    <w:p w:rsidR="001F40EA" w:rsidRPr="00EF3C6A" w:rsidRDefault="001F40EA" w:rsidP="0066236A">
      <w:pPr>
        <w:pStyle w:val="TableFooter"/>
        <w:keepNext/>
        <w:keepLines/>
        <w:spacing w:after="160"/>
      </w:pPr>
      <w:r w:rsidRPr="00EF3C6A">
        <w:rPr>
          <w:vertAlign w:val="superscript"/>
        </w:rPr>
        <w:t>b</w:t>
      </w:r>
      <w:r w:rsidRPr="00EF3C6A">
        <w:t xml:space="preserve"> These figures differ to Table </w:t>
      </w:r>
      <w:r w:rsidR="00755DFA" w:rsidRPr="00EF3C6A">
        <w:t>6</w:t>
      </w:r>
      <w:r w:rsidRPr="00EF3C6A">
        <w:t xml:space="preserve"> which </w:t>
      </w:r>
      <w:r w:rsidR="00755DFA" w:rsidRPr="00EF3C6A">
        <w:t>are</w:t>
      </w:r>
      <w:r w:rsidRPr="00EF3C6A">
        <w:t xml:space="preserve"> based on all treated patients, while Table 4 above is specific to patients at intermediate/poor risk.</w:t>
      </w:r>
    </w:p>
    <w:p w:rsidR="00BD4255" w:rsidRPr="00EF3C6A" w:rsidRDefault="00250530" w:rsidP="00BD4255">
      <w:pPr>
        <w:pStyle w:val="ListParagraph"/>
        <w:widowControl/>
        <w:numPr>
          <w:ilvl w:val="1"/>
          <w:numId w:val="3"/>
        </w:numPr>
        <w:shd w:val="clear" w:color="auto" w:fill="FFFFFF" w:themeFill="background1"/>
        <w:tabs>
          <w:tab w:val="left" w:pos="2694"/>
        </w:tabs>
      </w:pPr>
      <w:r w:rsidRPr="00EF3C6A">
        <w:rPr>
          <w:iCs/>
        </w:rPr>
        <w:t xml:space="preserve">The PSCR argued that the </w:t>
      </w:r>
      <w:r w:rsidR="00755DFA" w:rsidRPr="00EF3C6A">
        <w:rPr>
          <w:iCs/>
        </w:rPr>
        <w:t xml:space="preserve">trial </w:t>
      </w:r>
      <w:r w:rsidRPr="00EF3C6A">
        <w:rPr>
          <w:iCs/>
        </w:rPr>
        <w:t xml:space="preserve">results may be biased in favour of </w:t>
      </w:r>
      <w:proofErr w:type="spellStart"/>
      <w:r w:rsidRPr="00EF3C6A">
        <w:rPr>
          <w:iCs/>
        </w:rPr>
        <w:t>sunitinib</w:t>
      </w:r>
      <w:proofErr w:type="spellEnd"/>
      <w:r w:rsidRPr="00EF3C6A">
        <w:rPr>
          <w:iCs/>
        </w:rPr>
        <w:t xml:space="preserve"> as </w:t>
      </w:r>
      <w:r w:rsidR="00BD4255" w:rsidRPr="00EF3C6A">
        <w:rPr>
          <w:iCs/>
        </w:rPr>
        <w:t xml:space="preserve">more patients received subsequent systemic therapies in the </w:t>
      </w:r>
      <w:proofErr w:type="spellStart"/>
      <w:r w:rsidR="00BD4255" w:rsidRPr="00EF3C6A">
        <w:rPr>
          <w:iCs/>
        </w:rPr>
        <w:t>sunitinib</w:t>
      </w:r>
      <w:proofErr w:type="spellEnd"/>
      <w:r w:rsidR="00BD4255" w:rsidRPr="00EF3C6A">
        <w:rPr>
          <w:iCs/>
        </w:rPr>
        <w:t xml:space="preserve"> arm than the NIVO+IPI arm (</w:t>
      </w:r>
      <w:r w:rsidR="00B07F6B">
        <w:rPr>
          <w:iCs/>
          <w:noProof/>
          <w:color w:val="000000"/>
          <w:highlight w:val="black"/>
        </w:rPr>
        <w:t>'''''''''</w:t>
      </w:r>
      <w:r w:rsidR="00BD4255" w:rsidRPr="00EF3C6A">
        <w:rPr>
          <w:iCs/>
        </w:rPr>
        <w:t xml:space="preserve">% versus </w:t>
      </w:r>
      <w:r w:rsidR="00B07F6B">
        <w:rPr>
          <w:iCs/>
          <w:noProof/>
          <w:color w:val="000000"/>
          <w:highlight w:val="black"/>
        </w:rPr>
        <w:t>''''''''</w:t>
      </w:r>
      <w:r w:rsidR="00BD4255" w:rsidRPr="00EF3C6A">
        <w:rPr>
          <w:iCs/>
        </w:rPr>
        <w:t xml:space="preserve">%), and more patients </w:t>
      </w:r>
      <w:r w:rsidR="0068593D" w:rsidRPr="00EF3C6A">
        <w:t>received subsequent systemic therapies prior to documented progression i</w:t>
      </w:r>
      <w:r w:rsidR="00BD4255" w:rsidRPr="00EF3C6A">
        <w:rPr>
          <w:iCs/>
        </w:rPr>
        <w:t xml:space="preserve">n the </w:t>
      </w:r>
      <w:proofErr w:type="spellStart"/>
      <w:r w:rsidR="00BD4255" w:rsidRPr="00EF3C6A">
        <w:rPr>
          <w:iCs/>
        </w:rPr>
        <w:t>sunitinib</w:t>
      </w:r>
      <w:proofErr w:type="spellEnd"/>
      <w:r w:rsidR="00BD4255" w:rsidRPr="00EF3C6A">
        <w:rPr>
          <w:iCs/>
        </w:rPr>
        <w:t xml:space="preserve"> arm (</w:t>
      </w:r>
      <w:r w:rsidR="00B07F6B">
        <w:rPr>
          <w:iCs/>
          <w:noProof/>
          <w:color w:val="000000"/>
          <w:highlight w:val="black"/>
        </w:rPr>
        <w:t>'''''''''</w:t>
      </w:r>
      <w:r w:rsidR="00BD4255" w:rsidRPr="00EF3C6A">
        <w:rPr>
          <w:iCs/>
        </w:rPr>
        <w:t xml:space="preserve">% for </w:t>
      </w:r>
      <w:proofErr w:type="spellStart"/>
      <w:r w:rsidR="00BD4255" w:rsidRPr="00EF3C6A">
        <w:rPr>
          <w:iCs/>
        </w:rPr>
        <w:t>sunitinib</w:t>
      </w:r>
      <w:proofErr w:type="spellEnd"/>
      <w:r w:rsidR="00BD4255" w:rsidRPr="00EF3C6A">
        <w:rPr>
          <w:iCs/>
        </w:rPr>
        <w:t xml:space="preserve"> versus </w:t>
      </w:r>
      <w:r w:rsidR="00B07F6B">
        <w:rPr>
          <w:iCs/>
          <w:noProof/>
          <w:color w:val="000000"/>
          <w:highlight w:val="black"/>
        </w:rPr>
        <w:t>''''''''</w:t>
      </w:r>
      <w:r w:rsidR="00BD4255" w:rsidRPr="00EF3C6A">
        <w:rPr>
          <w:iCs/>
        </w:rPr>
        <w:t>% for NIVO+IPI). The ESC considered that a rationale for this difference may be that</w:t>
      </w:r>
      <w:r w:rsidR="00A05589" w:rsidRPr="00EF3C6A">
        <w:rPr>
          <w:iCs/>
        </w:rPr>
        <w:t>,</w:t>
      </w:r>
      <w:r w:rsidR="00BD4255" w:rsidRPr="00EF3C6A">
        <w:rPr>
          <w:iCs/>
        </w:rPr>
        <w:t xml:space="preserve"> </w:t>
      </w:r>
      <w:r w:rsidR="00A05589" w:rsidRPr="00EF3C6A">
        <w:rPr>
          <w:iCs/>
        </w:rPr>
        <w:t>when a patient experiences adverse events</w:t>
      </w:r>
      <w:r w:rsidR="001904D8" w:rsidRPr="00EF3C6A">
        <w:rPr>
          <w:iCs/>
        </w:rPr>
        <w:t xml:space="preserve"> necessitating cessation of NIVO+IPI, clinicians may persist with a period of observation off all treatment to determine if a patient responds or continues to respond to NIVO+IPI. If </w:t>
      </w:r>
      <w:proofErr w:type="spellStart"/>
      <w:r w:rsidR="001904D8" w:rsidRPr="00EF3C6A">
        <w:rPr>
          <w:iCs/>
        </w:rPr>
        <w:t>sunitinib</w:t>
      </w:r>
      <w:proofErr w:type="spellEnd"/>
      <w:r w:rsidR="001904D8" w:rsidRPr="00EF3C6A">
        <w:rPr>
          <w:iCs/>
        </w:rPr>
        <w:t xml:space="preserve"> is ceased due to adverse events then clinicians are more likely to start a new treatment straight away given the different mechanisms of actions of these </w:t>
      </w:r>
      <w:r w:rsidR="00844355" w:rsidRPr="00EF3C6A">
        <w:rPr>
          <w:iCs/>
        </w:rPr>
        <w:t>types</w:t>
      </w:r>
      <w:r w:rsidR="001904D8" w:rsidRPr="00EF3C6A">
        <w:rPr>
          <w:iCs/>
        </w:rPr>
        <w:t xml:space="preserve"> of therapies and</w:t>
      </w:r>
      <w:r w:rsidR="00E10F21" w:rsidRPr="00EF3C6A">
        <w:rPr>
          <w:iCs/>
        </w:rPr>
        <w:t xml:space="preserve"> the </w:t>
      </w:r>
      <w:r w:rsidR="00D925E1" w:rsidRPr="00EF3C6A">
        <w:rPr>
          <w:iCs/>
        </w:rPr>
        <w:t xml:space="preserve">potentially </w:t>
      </w:r>
      <w:r w:rsidR="00E10F21" w:rsidRPr="00EF3C6A">
        <w:rPr>
          <w:iCs/>
        </w:rPr>
        <w:t xml:space="preserve">lower likelihood of an ongoing response after cessation of </w:t>
      </w:r>
      <w:proofErr w:type="spellStart"/>
      <w:r w:rsidR="00E10F21" w:rsidRPr="00EF3C6A">
        <w:rPr>
          <w:iCs/>
        </w:rPr>
        <w:t>sunitinib</w:t>
      </w:r>
      <w:proofErr w:type="spellEnd"/>
      <w:r w:rsidR="00E10F21" w:rsidRPr="00EF3C6A">
        <w:rPr>
          <w:iCs/>
        </w:rPr>
        <w:t>.</w:t>
      </w:r>
      <w:r w:rsidR="00A05589" w:rsidRPr="00EF3C6A">
        <w:rPr>
          <w:iCs/>
        </w:rPr>
        <w:t xml:space="preserve"> </w:t>
      </w:r>
    </w:p>
    <w:p w:rsidR="00341890" w:rsidRPr="00EF3C6A" w:rsidRDefault="001F40EA" w:rsidP="00CF6A4A">
      <w:pPr>
        <w:pStyle w:val="ListParagraph"/>
        <w:widowControl/>
        <w:numPr>
          <w:ilvl w:val="1"/>
          <w:numId w:val="3"/>
        </w:numPr>
        <w:shd w:val="clear" w:color="auto" w:fill="FFFFFF" w:themeFill="background1"/>
        <w:tabs>
          <w:tab w:val="left" w:pos="2694"/>
        </w:tabs>
      </w:pPr>
      <w:r w:rsidRPr="00FD6D7A">
        <w:rPr>
          <w:iCs/>
        </w:rPr>
        <w:t xml:space="preserve">Data from the </w:t>
      </w:r>
      <w:r w:rsidRPr="00FD6D7A">
        <w:rPr>
          <w:i/>
          <w:iCs/>
        </w:rPr>
        <w:t>post hoc</w:t>
      </w:r>
      <w:r w:rsidRPr="00FD6D7A">
        <w:rPr>
          <w:iCs/>
        </w:rPr>
        <w:t xml:space="preserve"> analyses show</w:t>
      </w:r>
      <w:r w:rsidR="0001137E" w:rsidRPr="00FD6D7A">
        <w:rPr>
          <w:iCs/>
        </w:rPr>
        <w:t>ed</w:t>
      </w:r>
      <w:r w:rsidRPr="00FD6D7A">
        <w:rPr>
          <w:iCs/>
        </w:rPr>
        <w:t xml:space="preserve"> that </w:t>
      </w:r>
      <w:r w:rsidR="00B07F6B">
        <w:rPr>
          <w:iCs/>
          <w:noProof/>
          <w:color w:val="000000"/>
          <w:highlight w:val="black"/>
        </w:rPr>
        <w:t>''''''</w:t>
      </w:r>
      <w:r w:rsidRPr="00FD6D7A">
        <w:rPr>
          <w:iCs/>
        </w:rPr>
        <w:t xml:space="preserve">% of patients in the NIVO+IPI arm received subsequent systemic therapies after discontinuing due to adverse events during the induction phase, versus </w:t>
      </w:r>
      <w:r w:rsidR="00B07F6B">
        <w:rPr>
          <w:iCs/>
          <w:noProof/>
          <w:color w:val="000000"/>
          <w:highlight w:val="black"/>
        </w:rPr>
        <w:t>''''''</w:t>
      </w:r>
      <w:r w:rsidRPr="00FD6D7A">
        <w:rPr>
          <w:iCs/>
        </w:rPr>
        <w:t xml:space="preserve">% in the </w:t>
      </w:r>
      <w:proofErr w:type="spellStart"/>
      <w:r w:rsidRPr="00FD6D7A">
        <w:rPr>
          <w:iCs/>
        </w:rPr>
        <w:t>sunitinib</w:t>
      </w:r>
      <w:proofErr w:type="spellEnd"/>
      <w:r w:rsidRPr="00FD6D7A">
        <w:rPr>
          <w:iCs/>
        </w:rPr>
        <w:t xml:space="preserve"> arm. </w:t>
      </w:r>
      <w:r w:rsidR="0001137E" w:rsidRPr="00FD6D7A">
        <w:rPr>
          <w:iCs/>
        </w:rPr>
        <w:t>T</w:t>
      </w:r>
      <w:r w:rsidRPr="00FD6D7A">
        <w:rPr>
          <w:iCs/>
        </w:rPr>
        <w:t>he PSCR stated</w:t>
      </w:r>
      <w:r w:rsidR="0001137E" w:rsidRPr="00FD6D7A">
        <w:rPr>
          <w:iCs/>
        </w:rPr>
        <w:t xml:space="preserve"> that, given these proportions were l</w:t>
      </w:r>
      <w:r w:rsidR="00271DDF" w:rsidRPr="00FD6D7A">
        <w:rPr>
          <w:iCs/>
        </w:rPr>
        <w:t>ow</w:t>
      </w:r>
      <w:r w:rsidR="0001137E" w:rsidRPr="00FD6D7A">
        <w:rPr>
          <w:iCs/>
        </w:rPr>
        <w:t>, th</w:t>
      </w:r>
      <w:r w:rsidR="00271DDF" w:rsidRPr="00FD6D7A">
        <w:rPr>
          <w:iCs/>
        </w:rPr>
        <w:t>is mitigated the evaluation’s concerns that there was pot</w:t>
      </w:r>
      <w:r w:rsidR="0001137E" w:rsidRPr="00FD6D7A">
        <w:rPr>
          <w:iCs/>
        </w:rPr>
        <w:t xml:space="preserve">ential for the OS results </w:t>
      </w:r>
      <w:r w:rsidR="00271DDF" w:rsidRPr="00FD6D7A">
        <w:rPr>
          <w:iCs/>
        </w:rPr>
        <w:t xml:space="preserve">to have been biased by </w:t>
      </w:r>
      <w:r w:rsidR="00BD4255" w:rsidRPr="00FD6D7A">
        <w:rPr>
          <w:iCs/>
        </w:rPr>
        <w:t xml:space="preserve">earlier and </w:t>
      </w:r>
      <w:r w:rsidR="00271DDF" w:rsidRPr="00FD6D7A">
        <w:rPr>
          <w:iCs/>
        </w:rPr>
        <w:t xml:space="preserve">higher </w:t>
      </w:r>
      <w:r w:rsidRPr="00FD6D7A">
        <w:rPr>
          <w:iCs/>
        </w:rPr>
        <w:t>use of subsequent therapies in the NIVO + IPI arm</w:t>
      </w:r>
      <w:r w:rsidR="0001137E" w:rsidRPr="00FD6D7A">
        <w:rPr>
          <w:iCs/>
        </w:rPr>
        <w:t xml:space="preserve">. The ESC </w:t>
      </w:r>
      <w:r w:rsidR="00D5100D" w:rsidRPr="00FD6D7A">
        <w:rPr>
          <w:iCs/>
        </w:rPr>
        <w:t xml:space="preserve">agreed that this reduced the risk of bias in the OS results. However, the ESC also </w:t>
      </w:r>
      <w:r w:rsidR="0001137E" w:rsidRPr="00FD6D7A">
        <w:rPr>
          <w:iCs/>
        </w:rPr>
        <w:t xml:space="preserve">noted </w:t>
      </w:r>
      <w:r w:rsidR="00D5100D" w:rsidRPr="00FD6D7A">
        <w:rPr>
          <w:iCs/>
        </w:rPr>
        <w:t xml:space="preserve">that </w:t>
      </w:r>
      <w:r w:rsidR="0001137E" w:rsidRPr="00FD6D7A">
        <w:rPr>
          <w:iCs/>
        </w:rPr>
        <w:t xml:space="preserve">these data were based on </w:t>
      </w:r>
      <w:r w:rsidR="0001137E" w:rsidRPr="00FD6D7A">
        <w:rPr>
          <w:i/>
          <w:iCs/>
        </w:rPr>
        <w:t>post hoc</w:t>
      </w:r>
      <w:r w:rsidR="0001137E" w:rsidRPr="00FD6D7A">
        <w:rPr>
          <w:iCs/>
        </w:rPr>
        <w:t xml:space="preserve"> analyses and it was unclear how data relating to subsequent use of therapies were c</w:t>
      </w:r>
      <w:r w:rsidR="00271DDF" w:rsidRPr="00FD6D7A">
        <w:rPr>
          <w:iCs/>
        </w:rPr>
        <w:t>ollected</w:t>
      </w:r>
      <w:r w:rsidR="0001137E" w:rsidRPr="00FD6D7A">
        <w:rPr>
          <w:iCs/>
        </w:rPr>
        <w:t xml:space="preserve"> once patients were no longer actively participating in the trial. More patients discontinued NIVO+IPI due to drug toxicity</w:t>
      </w:r>
      <w:r w:rsidR="00271DDF" w:rsidRPr="00FD6D7A">
        <w:rPr>
          <w:iCs/>
        </w:rPr>
        <w:t>,</w:t>
      </w:r>
      <w:r w:rsidR="0001137E" w:rsidRPr="00FD6D7A">
        <w:rPr>
          <w:iCs/>
        </w:rPr>
        <w:t xml:space="preserve"> particularly during the induction phase (</w:t>
      </w:r>
      <w:r w:rsidR="00B07F6B">
        <w:rPr>
          <w:iCs/>
          <w:noProof/>
          <w:color w:val="000000"/>
          <w:highlight w:val="black"/>
        </w:rPr>
        <w:t>'''''''''</w:t>
      </w:r>
      <w:r w:rsidR="0001137E" w:rsidRPr="00FD6D7A">
        <w:rPr>
          <w:iCs/>
        </w:rPr>
        <w:t xml:space="preserve">% versus </w:t>
      </w:r>
      <w:proofErr w:type="gramStart"/>
      <w:r w:rsidR="00B07F6B">
        <w:rPr>
          <w:iCs/>
          <w:noProof/>
          <w:color w:val="000000"/>
          <w:highlight w:val="black"/>
        </w:rPr>
        <w:t>''''''</w:t>
      </w:r>
      <w:r w:rsidR="0001137E" w:rsidRPr="00FD6D7A">
        <w:rPr>
          <w:iCs/>
        </w:rPr>
        <w:t>%</w:t>
      </w:r>
      <w:proofErr w:type="gramEnd"/>
      <w:r w:rsidR="0001137E" w:rsidRPr="00FD6D7A">
        <w:rPr>
          <w:iCs/>
        </w:rPr>
        <w:t xml:space="preserve">). It was not clear what treatments </w:t>
      </w:r>
      <w:r w:rsidR="005F3481" w:rsidRPr="00FD6D7A">
        <w:rPr>
          <w:iCs/>
        </w:rPr>
        <w:t xml:space="preserve">(if any) </w:t>
      </w:r>
      <w:r w:rsidR="00271DDF" w:rsidRPr="00FD6D7A">
        <w:rPr>
          <w:iCs/>
        </w:rPr>
        <w:t>the</w:t>
      </w:r>
      <w:r w:rsidR="005F3481" w:rsidRPr="00FD6D7A">
        <w:rPr>
          <w:iCs/>
        </w:rPr>
        <w:t xml:space="preserve"> remaining </w:t>
      </w:r>
      <w:r w:rsidR="00271DDF" w:rsidRPr="00FD6D7A">
        <w:rPr>
          <w:iCs/>
        </w:rPr>
        <w:t xml:space="preserve">patients </w:t>
      </w:r>
      <w:r w:rsidR="005F3481" w:rsidRPr="00FD6D7A">
        <w:rPr>
          <w:iCs/>
        </w:rPr>
        <w:t xml:space="preserve">who discontinued during induction received (i.e. </w:t>
      </w:r>
      <w:r w:rsidR="00BD4255" w:rsidRPr="00FD6D7A">
        <w:rPr>
          <w:iCs/>
        </w:rPr>
        <w:t>it appeared that</w:t>
      </w:r>
      <w:r w:rsidR="005F3481" w:rsidRPr="00FD6D7A">
        <w:rPr>
          <w:iCs/>
        </w:rPr>
        <w:t xml:space="preserve"> </w:t>
      </w:r>
      <w:r w:rsidR="00B07F6B">
        <w:rPr>
          <w:iCs/>
          <w:noProof/>
          <w:color w:val="000000"/>
          <w:highlight w:val="black"/>
        </w:rPr>
        <w:t>'''''''''</w:t>
      </w:r>
      <w:r w:rsidR="005F3481" w:rsidRPr="00FD6D7A">
        <w:rPr>
          <w:iCs/>
        </w:rPr>
        <w:t>% of patients in the NIVO+IPI arm discontinued during induction but did not go on to receive subsequent systemic therapies).</w:t>
      </w:r>
    </w:p>
    <w:p w:rsidR="00FD6A72" w:rsidRPr="00EF3C6A" w:rsidRDefault="00277708" w:rsidP="00AB2C28">
      <w:pPr>
        <w:pStyle w:val="ListParagraph"/>
        <w:widowControl/>
        <w:numPr>
          <w:ilvl w:val="1"/>
          <w:numId w:val="3"/>
        </w:numPr>
      </w:pPr>
      <w:r w:rsidRPr="00EF3C6A">
        <w:t xml:space="preserve">The submission argued that results presented in the clinical evaluation were not confounded by the crossover of </w:t>
      </w:r>
      <w:proofErr w:type="spellStart"/>
      <w:r w:rsidRPr="00EF3C6A">
        <w:t>sunitinib</w:t>
      </w:r>
      <w:proofErr w:type="spellEnd"/>
      <w:r w:rsidR="001B5283" w:rsidRPr="00EF3C6A">
        <w:t>-</w:t>
      </w:r>
      <w:r w:rsidRPr="00EF3C6A">
        <w:t>treated patients to NIVO+IPI. As reported in the CSR, while 20% of patients in the NIVO</w:t>
      </w:r>
      <w:r w:rsidR="00C17289" w:rsidRPr="00EF3C6A">
        <w:t xml:space="preserve">+IPI group received subsequent treatment with </w:t>
      </w:r>
      <w:proofErr w:type="spellStart"/>
      <w:r w:rsidR="00C17289" w:rsidRPr="00EF3C6A">
        <w:lastRenderedPageBreak/>
        <w:t>sunitinib</w:t>
      </w:r>
      <w:proofErr w:type="spellEnd"/>
      <w:r w:rsidR="00C17289" w:rsidRPr="00EF3C6A">
        <w:t xml:space="preserve">, </w:t>
      </w:r>
      <w:r w:rsidR="00B07F6B">
        <w:rPr>
          <w:noProof/>
          <w:color w:val="000000"/>
          <w:highlight w:val="black"/>
        </w:rPr>
        <w:t>''''''''</w:t>
      </w:r>
      <w:r w:rsidR="00C17289" w:rsidRPr="00EF3C6A">
        <w:t xml:space="preserve">% of patients in the </w:t>
      </w:r>
      <w:proofErr w:type="spellStart"/>
      <w:r w:rsidR="00C17289" w:rsidRPr="00EF3C6A">
        <w:t>sunitinib</w:t>
      </w:r>
      <w:proofErr w:type="spellEnd"/>
      <w:r w:rsidR="00C17289" w:rsidRPr="00EF3C6A">
        <w:t xml:space="preserve"> group received subsequent therapy with nivolumab or pembrolizumab (but not NIVO+IPI).</w:t>
      </w:r>
      <w:r w:rsidRPr="00EF3C6A">
        <w:t xml:space="preserve"> </w:t>
      </w:r>
      <w:r w:rsidR="00FD6A72" w:rsidRPr="00EF3C6A">
        <w:t xml:space="preserve">The impact of this on </w:t>
      </w:r>
      <w:r w:rsidR="001B5283" w:rsidRPr="00EF3C6A">
        <w:t>overall survival</w:t>
      </w:r>
      <w:r w:rsidR="00FD6A72" w:rsidRPr="00EF3C6A">
        <w:t xml:space="preserve"> is uncertain.</w:t>
      </w:r>
    </w:p>
    <w:p w:rsidR="001F294C" w:rsidRDefault="001F294C" w:rsidP="00AB2C28">
      <w:pPr>
        <w:pStyle w:val="ListParagraph"/>
        <w:widowControl/>
        <w:numPr>
          <w:ilvl w:val="1"/>
          <w:numId w:val="3"/>
        </w:numPr>
      </w:pPr>
      <w:r w:rsidRPr="00EF3C6A">
        <w:t xml:space="preserve">Given the open label design of the study, the assessment of patient reported outcomes, such as quality of life (QoL) data and </w:t>
      </w:r>
      <w:r w:rsidR="00514974" w:rsidRPr="00EF3C6A">
        <w:t xml:space="preserve">subjective reporting of </w:t>
      </w:r>
      <w:r w:rsidRPr="00EF3C6A">
        <w:t>adverse events (AEs) may be biased.</w:t>
      </w:r>
    </w:p>
    <w:p w:rsidR="00DF5174" w:rsidRPr="00EF3C6A" w:rsidRDefault="00DF5174" w:rsidP="007F3896">
      <w:pPr>
        <w:pStyle w:val="ListParagraph"/>
        <w:widowControl/>
        <w:numPr>
          <w:ilvl w:val="1"/>
          <w:numId w:val="3"/>
        </w:numPr>
      </w:pPr>
      <w:r>
        <w:t>The PBAC considered that the trial population may not be representative of the Australian population, noting that</w:t>
      </w:r>
      <w:r w:rsidR="0061294F">
        <w:t xml:space="preserve"> in the NIVO+IPI arm (of the intermediate</w:t>
      </w:r>
      <w:r w:rsidR="00FD6D7A">
        <w:t>-</w:t>
      </w:r>
      <w:r w:rsidR="0061294F">
        <w:t>poor risk group)</w:t>
      </w:r>
      <w:r w:rsidR="00C968A3">
        <w:t>:</w:t>
      </w:r>
      <w:r>
        <w:t xml:space="preserve"> 62%</w:t>
      </w:r>
      <w:r w:rsidR="0061294F">
        <w:t xml:space="preserve"> </w:t>
      </w:r>
      <w:r w:rsidR="009951BA">
        <w:t xml:space="preserve">of patients </w:t>
      </w:r>
      <w:r w:rsidR="0061294F">
        <w:t>were less than</w:t>
      </w:r>
      <w:r>
        <w:t xml:space="preserve"> 65 years </w:t>
      </w:r>
      <w:r w:rsidR="0061294F">
        <w:t xml:space="preserve">of age, while only </w:t>
      </w:r>
      <w:r>
        <w:t xml:space="preserve">8% </w:t>
      </w:r>
      <w:r w:rsidR="0061294F">
        <w:t>of patients were</w:t>
      </w:r>
      <w:r w:rsidR="009951BA">
        <w:t> </w:t>
      </w:r>
      <w:r>
        <w:t>75</w:t>
      </w:r>
      <w:r w:rsidR="009951BA">
        <w:t> </w:t>
      </w:r>
      <w:r>
        <w:t>years</w:t>
      </w:r>
      <w:r w:rsidR="007F3896">
        <w:t xml:space="preserve"> or older</w:t>
      </w:r>
      <w:r w:rsidR="009951BA">
        <w:t>;</w:t>
      </w:r>
      <w:r>
        <w:t xml:space="preserve"> 69</w:t>
      </w:r>
      <w:r w:rsidR="0061294F">
        <w:t>.5</w:t>
      </w:r>
      <w:r>
        <w:t xml:space="preserve">% </w:t>
      </w:r>
      <w:r w:rsidR="0061294F">
        <w:t xml:space="preserve">were </w:t>
      </w:r>
      <w:r>
        <w:t>KPS 90-100</w:t>
      </w:r>
      <w:r w:rsidR="009951BA">
        <w:t>;</w:t>
      </w:r>
      <w:r>
        <w:t xml:space="preserve"> </w:t>
      </w:r>
      <w:r w:rsidR="0061294F">
        <w:t>and</w:t>
      </w:r>
      <w:r w:rsidR="007F3896">
        <w:t xml:space="preserve"> the trial</w:t>
      </w:r>
      <w:r w:rsidR="0061294F">
        <w:t xml:space="preserve"> </w:t>
      </w:r>
      <w:r w:rsidR="007F3896">
        <w:t xml:space="preserve">excluded </w:t>
      </w:r>
      <w:r w:rsidR="0061294F">
        <w:t>patients with</w:t>
      </w:r>
      <w:r w:rsidR="007F3896">
        <w:t xml:space="preserve"> pre-existing autoimmune disease, or those with</w:t>
      </w:r>
      <w:r w:rsidR="0061294F">
        <w:t xml:space="preserve"> a history of, or current, central nervous system (CNS) </w:t>
      </w:r>
      <w:r w:rsidR="0061294F" w:rsidRPr="0061294F">
        <w:t>metastases</w:t>
      </w:r>
      <w:r w:rsidR="007F3896">
        <w:t>.</w:t>
      </w:r>
      <w:r w:rsidR="0061294F" w:rsidRPr="0061294F">
        <w:t xml:space="preserve"> </w:t>
      </w:r>
      <w:r w:rsidR="009538EF">
        <w:t xml:space="preserve">While the PBAC noted that the submission had compared the characteristics of patients enrolled in the trial </w:t>
      </w:r>
      <w:r w:rsidR="000C789C">
        <w:t>to</w:t>
      </w:r>
      <w:r w:rsidR="009538EF">
        <w:t xml:space="preserve"> a retrospective study of Australian patients with RCC (Day et al, 2015), the PBAC noted that only limited and summarised patient characteristic data were available in the publication by Day et al</w:t>
      </w:r>
      <w:r w:rsidR="00FD6D7A">
        <w:t>, 2015</w:t>
      </w:r>
      <w:r w:rsidR="009538EF">
        <w:t>. Overall, t</w:t>
      </w:r>
      <w:r w:rsidR="009951BA">
        <w:t>he PBAC considered that the patients included in the trial may represent a fitter group with better performance status than the likely PBS population.</w:t>
      </w:r>
      <w:r w:rsidR="007F3896">
        <w:t xml:space="preserve"> </w:t>
      </w:r>
    </w:p>
    <w:p w:rsidR="001F294C" w:rsidRPr="00EF3C6A" w:rsidRDefault="001F294C" w:rsidP="001F294C">
      <w:pPr>
        <w:pStyle w:val="ListParagraph"/>
        <w:widowControl/>
        <w:numPr>
          <w:ilvl w:val="1"/>
          <w:numId w:val="3"/>
        </w:numPr>
      </w:pPr>
      <w:r w:rsidRPr="00EF3C6A">
        <w:t>An exploratory objective of Study CA209214 was to evaluate generic health related quality of life based on the EuroQol-5 dimension (EQ-5D) index score.</w:t>
      </w:r>
      <w:r w:rsidR="00615395" w:rsidRPr="00EF3C6A">
        <w:t xml:space="preserve"> However, </w:t>
      </w:r>
      <w:r w:rsidR="007241F1">
        <w:t xml:space="preserve">the evaluation considered that </w:t>
      </w:r>
      <w:r w:rsidR="00615395" w:rsidRPr="00EF3C6A">
        <w:t>insufficient detail was provided in the submission to draw any firm conclusions on the impact of NIVO+IPI on health-related quality of life based on the EQ-5D. Tables referenced in the CSR pertaining to th</w:t>
      </w:r>
      <w:r w:rsidR="00B307E9" w:rsidRPr="00EF3C6A">
        <w:t>is</w:t>
      </w:r>
      <w:r w:rsidR="00615395" w:rsidRPr="00EF3C6A">
        <w:t xml:space="preserve"> exploratory endpoint were not attached to the CSR provided </w:t>
      </w:r>
      <w:r w:rsidR="00B307E9" w:rsidRPr="00EF3C6A">
        <w:t>in</w:t>
      </w:r>
      <w:r w:rsidR="00615395" w:rsidRPr="00EF3C6A">
        <w:t xml:space="preserve"> the submission.</w:t>
      </w:r>
      <w:r w:rsidR="00250530" w:rsidRPr="00EF3C6A">
        <w:t xml:space="preserve"> The PSCR provided further information regarding completion rates of the EQ-5D questionnaire, which is discussed in the ‘Economic analysis’ section.</w:t>
      </w:r>
    </w:p>
    <w:p w:rsidR="001F294C" w:rsidRPr="00EF3C6A" w:rsidRDefault="001F294C" w:rsidP="00E20BA0">
      <w:pPr>
        <w:pStyle w:val="Heading2"/>
        <w:spacing w:after="240"/>
        <w:rPr>
          <w:i w:val="0"/>
        </w:rPr>
      </w:pPr>
      <w:bookmarkStart w:id="7" w:name="_Toc514248487"/>
      <w:r w:rsidRPr="00EF3C6A">
        <w:rPr>
          <w:i w:val="0"/>
        </w:rPr>
        <w:t>Comparative effectiveness</w:t>
      </w:r>
      <w:bookmarkEnd w:id="7"/>
    </w:p>
    <w:p w:rsidR="001F294C" w:rsidRPr="00EF3C6A" w:rsidRDefault="001F294C" w:rsidP="001F294C">
      <w:pPr>
        <w:pStyle w:val="ListParagraph"/>
        <w:widowControl/>
        <w:numPr>
          <w:ilvl w:val="1"/>
          <w:numId w:val="3"/>
        </w:numPr>
      </w:pPr>
      <w:r w:rsidRPr="00EF3C6A">
        <w:t xml:space="preserve">The PFS and OS results for the intermediate/poor risk </w:t>
      </w:r>
      <w:r w:rsidR="00A33D2F" w:rsidRPr="00EF3C6A">
        <w:t>patients</w:t>
      </w:r>
      <w:r w:rsidRPr="00EF3C6A">
        <w:t xml:space="preserve"> are summarised in the table</w:t>
      </w:r>
      <w:r w:rsidR="009C31A7" w:rsidRPr="00EF3C6A">
        <w:t xml:space="preserve"> </w:t>
      </w:r>
      <w:r w:rsidRPr="00EF3C6A">
        <w:t>below.</w:t>
      </w:r>
      <w:r w:rsidR="009C31A7" w:rsidRPr="00EF3C6A">
        <w:t xml:space="preserve"> </w:t>
      </w:r>
    </w:p>
    <w:p w:rsidR="00320C2A" w:rsidRPr="00EF3C6A" w:rsidRDefault="00320C2A" w:rsidP="0018664B">
      <w:pPr>
        <w:keepNext/>
        <w:keepLines/>
        <w:rPr>
          <w:rFonts w:ascii="Arial Narrow" w:hAnsi="Arial Narrow"/>
          <w:b/>
          <w:sz w:val="20"/>
          <w:szCs w:val="20"/>
        </w:rPr>
      </w:pPr>
      <w:r w:rsidRPr="00EF3C6A">
        <w:rPr>
          <w:rFonts w:ascii="Arial Narrow" w:hAnsi="Arial Narrow"/>
          <w:b/>
          <w:sz w:val="20"/>
          <w:szCs w:val="20"/>
        </w:rPr>
        <w:lastRenderedPageBreak/>
        <w:t xml:space="preserve">Table </w:t>
      </w:r>
      <w:r w:rsidR="00755DFA" w:rsidRPr="00EF3C6A">
        <w:rPr>
          <w:rFonts w:ascii="Arial Narrow" w:hAnsi="Arial Narrow"/>
          <w:b/>
          <w:sz w:val="20"/>
          <w:szCs w:val="20"/>
        </w:rPr>
        <w:t>5</w:t>
      </w:r>
      <w:r w:rsidRPr="00EF3C6A">
        <w:rPr>
          <w:rFonts w:ascii="Arial Narrow" w:hAnsi="Arial Narrow"/>
          <w:b/>
          <w:sz w:val="20"/>
          <w:szCs w:val="20"/>
        </w:rPr>
        <w:t>: Results of subgroup analysis in RCC patients with intermediate/poor</w:t>
      </w:r>
      <w:r w:rsidR="0080436F" w:rsidRPr="00EF3C6A">
        <w:rPr>
          <w:rFonts w:ascii="Arial Narrow" w:hAnsi="Arial Narrow"/>
          <w:b/>
          <w:sz w:val="20"/>
          <w:szCs w:val="20"/>
        </w:rPr>
        <w:t xml:space="preserve"> and </w:t>
      </w:r>
      <w:r w:rsidRPr="00EF3C6A">
        <w:rPr>
          <w:rFonts w:ascii="Arial Narrow" w:hAnsi="Arial Narrow"/>
          <w:b/>
          <w:sz w:val="20"/>
          <w:szCs w:val="20"/>
        </w:rPr>
        <w:t>favourable prognosis as defined by IMDC</w:t>
      </w:r>
      <w:r w:rsidR="0080436F" w:rsidRPr="00EF3C6A">
        <w:rPr>
          <w:rFonts w:ascii="Arial Narrow" w:hAnsi="Arial Narrow"/>
          <w:b/>
          <w:sz w:val="20"/>
          <w:szCs w:val="20"/>
        </w:rPr>
        <w:t xml:space="preserve"> and the </w:t>
      </w:r>
      <w:r w:rsidR="00AE54F8" w:rsidRPr="00EF3C6A">
        <w:rPr>
          <w:rFonts w:ascii="Arial Narrow" w:hAnsi="Arial Narrow"/>
          <w:b/>
          <w:sz w:val="20"/>
          <w:szCs w:val="20"/>
        </w:rPr>
        <w:t>all randomised (any-risk) subjects.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9"/>
        <w:gridCol w:w="1390"/>
        <w:gridCol w:w="1175"/>
        <w:gridCol w:w="32"/>
        <w:gridCol w:w="1175"/>
        <w:gridCol w:w="1083"/>
        <w:gridCol w:w="916"/>
        <w:gridCol w:w="1156"/>
        <w:gridCol w:w="21"/>
        <w:gridCol w:w="1136"/>
      </w:tblGrid>
      <w:tr w:rsidR="006F7015" w:rsidRPr="00EF3C6A" w:rsidTr="006F7015">
        <w:trPr>
          <w:trHeight w:val="167"/>
        </w:trPr>
        <w:tc>
          <w:tcPr>
            <w:tcW w:w="665" w:type="pct"/>
            <w:vMerge w:val="restart"/>
            <w:vAlign w:val="center"/>
          </w:tcPr>
          <w:p w:rsidR="006F7015" w:rsidRPr="00EF3C6A" w:rsidRDefault="006F7015" w:rsidP="0018664B">
            <w:pPr>
              <w:pStyle w:val="Tabletext"/>
              <w:keepNext/>
              <w:keepLines/>
              <w:rPr>
                <w:b/>
              </w:rPr>
            </w:pPr>
            <w:r w:rsidRPr="00EF3C6A">
              <w:rPr>
                <w:b/>
              </w:rPr>
              <w:t>Outcomes</w:t>
            </w:r>
          </w:p>
        </w:tc>
        <w:tc>
          <w:tcPr>
            <w:tcW w:w="746" w:type="pct"/>
            <w:vMerge w:val="restart"/>
            <w:tcBorders>
              <w:right w:val="double" w:sz="4" w:space="0" w:color="auto"/>
            </w:tcBorders>
            <w:vAlign w:val="center"/>
          </w:tcPr>
          <w:p w:rsidR="006F7015" w:rsidRPr="00EF3C6A" w:rsidRDefault="006F7015" w:rsidP="0018664B">
            <w:pPr>
              <w:pStyle w:val="Tabletext"/>
              <w:keepNext/>
              <w:keepLines/>
              <w:jc w:val="center"/>
              <w:rPr>
                <w:b/>
              </w:rPr>
            </w:pPr>
            <w:r w:rsidRPr="00EF3C6A">
              <w:rPr>
                <w:b/>
              </w:rPr>
              <w:t>CA209214</w:t>
            </w:r>
          </w:p>
        </w:tc>
        <w:tc>
          <w:tcPr>
            <w:tcW w:w="1277" w:type="pct"/>
            <w:gridSpan w:val="3"/>
            <w:tcBorders>
              <w:left w:val="double" w:sz="4" w:space="0" w:color="auto"/>
              <w:right w:val="double" w:sz="4" w:space="0" w:color="auto"/>
            </w:tcBorders>
            <w:vAlign w:val="center"/>
          </w:tcPr>
          <w:p w:rsidR="006F7015" w:rsidRPr="00EF3C6A" w:rsidRDefault="006F7015" w:rsidP="0018664B">
            <w:pPr>
              <w:pStyle w:val="Tabletext"/>
              <w:keepNext/>
              <w:keepLines/>
              <w:jc w:val="center"/>
              <w:rPr>
                <w:b/>
              </w:rPr>
            </w:pPr>
            <w:r w:rsidRPr="00EF3C6A">
              <w:rPr>
                <w:b/>
              </w:rPr>
              <w:t>Requested population</w:t>
            </w:r>
          </w:p>
        </w:tc>
        <w:tc>
          <w:tcPr>
            <w:tcW w:w="2312" w:type="pct"/>
            <w:gridSpan w:val="5"/>
            <w:tcBorders>
              <w:left w:val="double" w:sz="4" w:space="0" w:color="auto"/>
            </w:tcBorders>
            <w:shd w:val="clear" w:color="auto" w:fill="D9D9D9" w:themeFill="background1" w:themeFillShade="D9"/>
            <w:vAlign w:val="center"/>
          </w:tcPr>
          <w:p w:rsidR="006F7015" w:rsidRPr="00EF3C6A" w:rsidRDefault="006F7015" w:rsidP="0018664B">
            <w:pPr>
              <w:pStyle w:val="Tabletext"/>
              <w:keepNext/>
              <w:keepLines/>
              <w:jc w:val="center"/>
              <w:rPr>
                <w:b/>
              </w:rPr>
            </w:pPr>
            <w:r w:rsidRPr="00EF3C6A">
              <w:rPr>
                <w:b/>
              </w:rPr>
              <w:t xml:space="preserve">Not requested for PBS listing </w:t>
            </w:r>
          </w:p>
        </w:tc>
      </w:tr>
      <w:tr w:rsidR="006F7015" w:rsidRPr="00EF3C6A" w:rsidTr="006F7015">
        <w:trPr>
          <w:trHeight w:val="167"/>
        </w:trPr>
        <w:tc>
          <w:tcPr>
            <w:tcW w:w="665" w:type="pct"/>
            <w:vMerge/>
            <w:vAlign w:val="center"/>
          </w:tcPr>
          <w:p w:rsidR="006F7015" w:rsidRPr="00EF3C6A" w:rsidRDefault="006F7015" w:rsidP="0018664B">
            <w:pPr>
              <w:pStyle w:val="Tabletext"/>
              <w:keepNext/>
              <w:keepLines/>
              <w:rPr>
                <w:b/>
              </w:rPr>
            </w:pPr>
          </w:p>
        </w:tc>
        <w:tc>
          <w:tcPr>
            <w:tcW w:w="746" w:type="pct"/>
            <w:vMerge/>
            <w:tcBorders>
              <w:right w:val="double" w:sz="4" w:space="0" w:color="auto"/>
            </w:tcBorders>
            <w:vAlign w:val="center"/>
          </w:tcPr>
          <w:p w:rsidR="006F7015" w:rsidRPr="00EF3C6A" w:rsidRDefault="006F7015" w:rsidP="0018664B">
            <w:pPr>
              <w:pStyle w:val="Tabletext"/>
              <w:keepNext/>
              <w:keepLines/>
              <w:jc w:val="center"/>
              <w:rPr>
                <w:b/>
              </w:rPr>
            </w:pPr>
          </w:p>
        </w:tc>
        <w:tc>
          <w:tcPr>
            <w:tcW w:w="1277" w:type="pct"/>
            <w:gridSpan w:val="3"/>
            <w:tcBorders>
              <w:left w:val="double" w:sz="4" w:space="0" w:color="auto"/>
              <w:right w:val="double" w:sz="4" w:space="0" w:color="auto"/>
            </w:tcBorders>
            <w:vAlign w:val="center"/>
          </w:tcPr>
          <w:p w:rsidR="006F7015" w:rsidRPr="00EF3C6A" w:rsidRDefault="006F7015" w:rsidP="0018664B">
            <w:pPr>
              <w:pStyle w:val="Tabletext"/>
              <w:keepNext/>
              <w:keepLines/>
              <w:jc w:val="center"/>
              <w:rPr>
                <w:b/>
              </w:rPr>
            </w:pPr>
            <w:r w:rsidRPr="00EF3C6A">
              <w:rPr>
                <w:b/>
              </w:rPr>
              <w:t>Intermediate to poor risk patients</w:t>
            </w:r>
          </w:p>
        </w:tc>
        <w:tc>
          <w:tcPr>
            <w:tcW w:w="1072" w:type="pct"/>
            <w:gridSpan w:val="2"/>
            <w:tcBorders>
              <w:left w:val="double" w:sz="4" w:space="0" w:color="auto"/>
              <w:right w:val="double" w:sz="4" w:space="0" w:color="auto"/>
            </w:tcBorders>
            <w:shd w:val="clear" w:color="auto" w:fill="D9D9D9" w:themeFill="background1" w:themeFillShade="D9"/>
            <w:vAlign w:val="center"/>
          </w:tcPr>
          <w:p w:rsidR="006F7015" w:rsidRPr="00EF3C6A" w:rsidRDefault="006F7015" w:rsidP="0018664B">
            <w:pPr>
              <w:pStyle w:val="Tabletext"/>
              <w:keepNext/>
              <w:keepLines/>
              <w:jc w:val="center"/>
              <w:rPr>
                <w:b/>
              </w:rPr>
            </w:pPr>
            <w:r w:rsidRPr="00EF3C6A">
              <w:rPr>
                <w:b/>
              </w:rPr>
              <w:t>Favourable risk patients</w:t>
            </w:r>
          </w:p>
        </w:tc>
        <w:tc>
          <w:tcPr>
            <w:tcW w:w="1240" w:type="pct"/>
            <w:gridSpan w:val="3"/>
            <w:tcBorders>
              <w:left w:val="double" w:sz="4" w:space="0" w:color="auto"/>
            </w:tcBorders>
            <w:shd w:val="clear" w:color="auto" w:fill="D9D9D9" w:themeFill="background1" w:themeFillShade="D9"/>
          </w:tcPr>
          <w:p w:rsidR="006F7015" w:rsidRPr="00EF3C6A" w:rsidRDefault="006F7015" w:rsidP="0018664B">
            <w:pPr>
              <w:pStyle w:val="Tabletext"/>
              <w:keepNext/>
              <w:keepLines/>
              <w:jc w:val="center"/>
              <w:rPr>
                <w:b/>
              </w:rPr>
            </w:pPr>
            <w:r w:rsidRPr="00EF3C6A">
              <w:rPr>
                <w:b/>
              </w:rPr>
              <w:t>All randomised (any-risk) patients</w:t>
            </w:r>
          </w:p>
        </w:tc>
      </w:tr>
      <w:tr w:rsidR="006F7015" w:rsidRPr="00EF3C6A" w:rsidTr="006F7015">
        <w:trPr>
          <w:trHeight w:val="166"/>
        </w:trPr>
        <w:tc>
          <w:tcPr>
            <w:tcW w:w="665" w:type="pct"/>
            <w:vMerge/>
            <w:vAlign w:val="center"/>
          </w:tcPr>
          <w:p w:rsidR="006F7015" w:rsidRPr="00EF3C6A" w:rsidRDefault="006F7015" w:rsidP="0018664B">
            <w:pPr>
              <w:pStyle w:val="Tabletext"/>
              <w:keepNext/>
              <w:keepLines/>
              <w:rPr>
                <w:b/>
              </w:rPr>
            </w:pPr>
          </w:p>
        </w:tc>
        <w:tc>
          <w:tcPr>
            <w:tcW w:w="746" w:type="pct"/>
            <w:vMerge/>
            <w:tcBorders>
              <w:right w:val="double" w:sz="4" w:space="0" w:color="auto"/>
            </w:tcBorders>
            <w:vAlign w:val="center"/>
          </w:tcPr>
          <w:p w:rsidR="006F7015" w:rsidRPr="00EF3C6A" w:rsidRDefault="006F7015" w:rsidP="0018664B">
            <w:pPr>
              <w:pStyle w:val="Tabletext"/>
              <w:keepNext/>
              <w:keepLines/>
              <w:jc w:val="center"/>
              <w:rPr>
                <w:b/>
              </w:rPr>
            </w:pPr>
          </w:p>
        </w:tc>
        <w:tc>
          <w:tcPr>
            <w:tcW w:w="630" w:type="pct"/>
            <w:tcBorders>
              <w:left w:val="double" w:sz="4" w:space="0" w:color="auto"/>
            </w:tcBorders>
            <w:vAlign w:val="center"/>
          </w:tcPr>
          <w:p w:rsidR="006F7015" w:rsidRPr="00EF3C6A" w:rsidRDefault="006F7015" w:rsidP="0018664B">
            <w:pPr>
              <w:pStyle w:val="Tabletext"/>
              <w:keepNext/>
              <w:keepLines/>
              <w:jc w:val="center"/>
              <w:rPr>
                <w:b/>
              </w:rPr>
            </w:pPr>
            <w:r w:rsidRPr="00EF3C6A">
              <w:rPr>
                <w:b/>
              </w:rPr>
              <w:t>NIVO+IPI</w:t>
            </w:r>
          </w:p>
          <w:p w:rsidR="006F7015" w:rsidRPr="00EF3C6A" w:rsidRDefault="006F7015" w:rsidP="0018664B">
            <w:pPr>
              <w:pStyle w:val="Tabletext"/>
              <w:keepNext/>
              <w:keepLines/>
              <w:jc w:val="center"/>
              <w:rPr>
                <w:b/>
              </w:rPr>
            </w:pPr>
            <w:r w:rsidRPr="00EF3C6A">
              <w:rPr>
                <w:b/>
              </w:rPr>
              <w:t>N = 425</w:t>
            </w:r>
          </w:p>
        </w:tc>
        <w:tc>
          <w:tcPr>
            <w:tcW w:w="647" w:type="pct"/>
            <w:gridSpan w:val="2"/>
            <w:tcBorders>
              <w:right w:val="double" w:sz="4" w:space="0" w:color="auto"/>
            </w:tcBorders>
            <w:vAlign w:val="center"/>
          </w:tcPr>
          <w:p w:rsidR="006F7015" w:rsidRPr="00EF3C6A" w:rsidRDefault="006F7015" w:rsidP="0018664B">
            <w:pPr>
              <w:pStyle w:val="Tabletext"/>
              <w:keepNext/>
              <w:keepLines/>
              <w:jc w:val="center"/>
              <w:rPr>
                <w:b/>
              </w:rPr>
            </w:pPr>
            <w:proofErr w:type="spellStart"/>
            <w:r w:rsidRPr="00EF3C6A">
              <w:rPr>
                <w:b/>
              </w:rPr>
              <w:t>Sunitinib</w:t>
            </w:r>
            <w:proofErr w:type="spellEnd"/>
          </w:p>
          <w:p w:rsidR="006F7015" w:rsidRPr="00EF3C6A" w:rsidRDefault="006F7015" w:rsidP="0018664B">
            <w:pPr>
              <w:pStyle w:val="Tabletext"/>
              <w:keepNext/>
              <w:keepLines/>
              <w:jc w:val="center"/>
              <w:rPr>
                <w:b/>
              </w:rPr>
            </w:pPr>
            <w:r w:rsidRPr="00EF3C6A">
              <w:rPr>
                <w:b/>
              </w:rPr>
              <w:t>N = 422</w:t>
            </w:r>
          </w:p>
        </w:tc>
        <w:tc>
          <w:tcPr>
            <w:tcW w:w="581" w:type="pct"/>
            <w:tcBorders>
              <w:left w:val="double" w:sz="4" w:space="0" w:color="auto"/>
            </w:tcBorders>
            <w:shd w:val="clear" w:color="auto" w:fill="D9D9D9" w:themeFill="background1" w:themeFillShade="D9"/>
            <w:vAlign w:val="center"/>
          </w:tcPr>
          <w:p w:rsidR="006F7015" w:rsidRPr="00EF3C6A" w:rsidRDefault="006F7015" w:rsidP="0018664B">
            <w:pPr>
              <w:pStyle w:val="Tabletext"/>
              <w:keepNext/>
              <w:keepLines/>
              <w:jc w:val="center"/>
              <w:rPr>
                <w:b/>
              </w:rPr>
            </w:pPr>
            <w:r w:rsidRPr="00EF3C6A">
              <w:rPr>
                <w:b/>
              </w:rPr>
              <w:t xml:space="preserve">NIVO+IPI </w:t>
            </w:r>
          </w:p>
          <w:p w:rsidR="006F7015" w:rsidRPr="00EF3C6A" w:rsidRDefault="006F7015" w:rsidP="0018664B">
            <w:pPr>
              <w:pStyle w:val="Tabletext"/>
              <w:keepNext/>
              <w:keepLines/>
              <w:jc w:val="center"/>
              <w:rPr>
                <w:b/>
              </w:rPr>
            </w:pPr>
            <w:r w:rsidRPr="00EF3C6A">
              <w:rPr>
                <w:b/>
              </w:rPr>
              <w:t>N = 125</w:t>
            </w:r>
          </w:p>
        </w:tc>
        <w:tc>
          <w:tcPr>
            <w:tcW w:w="491" w:type="pct"/>
            <w:tcBorders>
              <w:right w:val="double" w:sz="4" w:space="0" w:color="auto"/>
            </w:tcBorders>
            <w:shd w:val="clear" w:color="auto" w:fill="D9D9D9" w:themeFill="background1" w:themeFillShade="D9"/>
            <w:vAlign w:val="center"/>
          </w:tcPr>
          <w:p w:rsidR="006F7015" w:rsidRPr="00EF3C6A" w:rsidRDefault="006F7015" w:rsidP="0018664B">
            <w:pPr>
              <w:pStyle w:val="Tabletext"/>
              <w:keepNext/>
              <w:keepLines/>
              <w:jc w:val="center"/>
              <w:rPr>
                <w:b/>
              </w:rPr>
            </w:pPr>
            <w:proofErr w:type="spellStart"/>
            <w:r w:rsidRPr="00EF3C6A">
              <w:rPr>
                <w:b/>
              </w:rPr>
              <w:t>Sunitinib</w:t>
            </w:r>
            <w:proofErr w:type="spellEnd"/>
            <w:r w:rsidRPr="00EF3C6A">
              <w:rPr>
                <w:b/>
              </w:rPr>
              <w:t xml:space="preserve"> </w:t>
            </w:r>
          </w:p>
          <w:p w:rsidR="006F7015" w:rsidRPr="00EF3C6A" w:rsidRDefault="006F7015" w:rsidP="0018664B">
            <w:pPr>
              <w:pStyle w:val="Tabletext"/>
              <w:keepNext/>
              <w:keepLines/>
              <w:jc w:val="center"/>
              <w:rPr>
                <w:b/>
              </w:rPr>
            </w:pPr>
            <w:r w:rsidRPr="00EF3C6A">
              <w:rPr>
                <w:b/>
              </w:rPr>
              <w:t>N = 124</w:t>
            </w:r>
          </w:p>
        </w:tc>
        <w:tc>
          <w:tcPr>
            <w:tcW w:w="620" w:type="pct"/>
            <w:tcBorders>
              <w:left w:val="double" w:sz="4" w:space="0" w:color="auto"/>
            </w:tcBorders>
            <w:shd w:val="clear" w:color="auto" w:fill="D9D9D9" w:themeFill="background1" w:themeFillShade="D9"/>
          </w:tcPr>
          <w:p w:rsidR="006F7015" w:rsidRPr="00EF3C6A" w:rsidRDefault="006F7015" w:rsidP="0018664B">
            <w:pPr>
              <w:pStyle w:val="Tabletext"/>
              <w:keepNext/>
              <w:keepLines/>
              <w:jc w:val="center"/>
              <w:rPr>
                <w:b/>
              </w:rPr>
            </w:pPr>
            <w:r w:rsidRPr="00EF3C6A">
              <w:rPr>
                <w:b/>
              </w:rPr>
              <w:t xml:space="preserve">NIVO+IPI </w:t>
            </w:r>
          </w:p>
          <w:p w:rsidR="006F7015" w:rsidRPr="00EF3C6A" w:rsidRDefault="006F7015" w:rsidP="0018664B">
            <w:pPr>
              <w:pStyle w:val="Tabletext"/>
              <w:keepNext/>
              <w:keepLines/>
              <w:jc w:val="center"/>
              <w:rPr>
                <w:b/>
              </w:rPr>
            </w:pPr>
            <w:r w:rsidRPr="00EF3C6A">
              <w:rPr>
                <w:b/>
              </w:rPr>
              <w:t>N = 550</w:t>
            </w:r>
          </w:p>
        </w:tc>
        <w:tc>
          <w:tcPr>
            <w:tcW w:w="620" w:type="pct"/>
            <w:gridSpan w:val="2"/>
            <w:shd w:val="clear" w:color="auto" w:fill="D9D9D9" w:themeFill="background1" w:themeFillShade="D9"/>
          </w:tcPr>
          <w:p w:rsidR="006F7015" w:rsidRPr="00EF3C6A" w:rsidRDefault="006F7015" w:rsidP="0018664B">
            <w:pPr>
              <w:pStyle w:val="Tabletext"/>
              <w:keepNext/>
              <w:keepLines/>
              <w:jc w:val="center"/>
              <w:rPr>
                <w:b/>
              </w:rPr>
            </w:pPr>
            <w:proofErr w:type="spellStart"/>
            <w:r w:rsidRPr="00EF3C6A">
              <w:rPr>
                <w:b/>
              </w:rPr>
              <w:t>Sunitinib</w:t>
            </w:r>
            <w:proofErr w:type="spellEnd"/>
            <w:r w:rsidRPr="00EF3C6A">
              <w:rPr>
                <w:b/>
              </w:rPr>
              <w:t xml:space="preserve"> N = 546</w:t>
            </w:r>
          </w:p>
        </w:tc>
      </w:tr>
      <w:tr w:rsidR="007F6257" w:rsidRPr="00EF3C6A" w:rsidTr="006F7015">
        <w:tc>
          <w:tcPr>
            <w:tcW w:w="665" w:type="pct"/>
            <w:vMerge w:val="restart"/>
            <w:vAlign w:val="center"/>
          </w:tcPr>
          <w:p w:rsidR="00AE54F8" w:rsidRPr="00EF3C6A" w:rsidRDefault="00AE54F8" w:rsidP="0018664B">
            <w:pPr>
              <w:pStyle w:val="Tabletext"/>
              <w:keepNext/>
              <w:keepLines/>
            </w:pPr>
            <w:r w:rsidRPr="00EF3C6A">
              <w:t>Overall Survival (OS)</w:t>
            </w:r>
          </w:p>
        </w:tc>
        <w:tc>
          <w:tcPr>
            <w:tcW w:w="746" w:type="pct"/>
            <w:tcBorders>
              <w:right w:val="double" w:sz="4" w:space="0" w:color="auto"/>
            </w:tcBorders>
            <w:vAlign w:val="center"/>
          </w:tcPr>
          <w:p w:rsidR="00AE54F8" w:rsidRPr="00EF3C6A" w:rsidRDefault="00AE54F8" w:rsidP="0018664B">
            <w:pPr>
              <w:pStyle w:val="Tabletext"/>
              <w:keepNext/>
              <w:keepLines/>
            </w:pPr>
            <w:proofErr w:type="gramStart"/>
            <w:r w:rsidRPr="00EF3C6A">
              <w:t>n</w:t>
            </w:r>
            <w:proofErr w:type="gramEnd"/>
            <w:r w:rsidRPr="00EF3C6A">
              <w:t xml:space="preserve"> events (%)</w:t>
            </w:r>
          </w:p>
        </w:tc>
        <w:tc>
          <w:tcPr>
            <w:tcW w:w="630" w:type="pct"/>
            <w:tcBorders>
              <w:left w:val="double" w:sz="4" w:space="0" w:color="auto"/>
            </w:tcBorders>
            <w:vAlign w:val="center"/>
          </w:tcPr>
          <w:p w:rsidR="00AE54F8" w:rsidRPr="0018664B" w:rsidRDefault="00AE54F8" w:rsidP="0018664B">
            <w:pPr>
              <w:pStyle w:val="Tabletext"/>
              <w:keepNext/>
              <w:keepLines/>
              <w:jc w:val="center"/>
              <w:rPr>
                <w:rFonts w:ascii="Times" w:hAnsi="Times"/>
              </w:rPr>
            </w:pPr>
            <w:r w:rsidRPr="0018664B">
              <w:t>140 (32.9)</w:t>
            </w:r>
          </w:p>
        </w:tc>
        <w:tc>
          <w:tcPr>
            <w:tcW w:w="647" w:type="pct"/>
            <w:gridSpan w:val="2"/>
            <w:tcBorders>
              <w:right w:val="double" w:sz="4" w:space="0" w:color="auto"/>
            </w:tcBorders>
            <w:vAlign w:val="center"/>
          </w:tcPr>
          <w:p w:rsidR="00AE54F8" w:rsidRPr="0018664B" w:rsidRDefault="00AE54F8" w:rsidP="0018664B">
            <w:pPr>
              <w:pStyle w:val="Tabletext"/>
              <w:keepNext/>
              <w:keepLines/>
              <w:jc w:val="center"/>
              <w:rPr>
                <w:rFonts w:ascii="Times" w:hAnsi="Times"/>
              </w:rPr>
            </w:pPr>
            <w:r w:rsidRPr="0018664B">
              <w:t>188 (44.5)</w:t>
            </w:r>
          </w:p>
        </w:tc>
        <w:tc>
          <w:tcPr>
            <w:tcW w:w="581" w:type="pct"/>
            <w:tcBorders>
              <w:left w:val="double" w:sz="4" w:space="0" w:color="auto"/>
            </w:tcBorders>
            <w:shd w:val="clear" w:color="auto" w:fill="D9D9D9" w:themeFill="background1" w:themeFillShade="D9"/>
            <w:vAlign w:val="center"/>
          </w:tcPr>
          <w:p w:rsidR="00AE54F8" w:rsidRPr="00B07F6B" w:rsidRDefault="00B07F6B" w:rsidP="0018664B">
            <w:pPr>
              <w:pStyle w:val="Tabletext"/>
              <w:keepNext/>
              <w:keepLines/>
              <w:jc w:val="center"/>
              <w:rPr>
                <w:highlight w:val="black"/>
              </w:rPr>
            </w:pPr>
            <w:r>
              <w:rPr>
                <w:noProof/>
                <w:color w:val="000000"/>
                <w:highlight w:val="black"/>
              </w:rPr>
              <w:t>''''''''''''</w:t>
            </w:r>
          </w:p>
        </w:tc>
        <w:tc>
          <w:tcPr>
            <w:tcW w:w="491" w:type="pct"/>
            <w:tcBorders>
              <w:right w:val="double" w:sz="4" w:space="0" w:color="auto"/>
            </w:tcBorders>
            <w:shd w:val="clear" w:color="auto" w:fill="D9D9D9" w:themeFill="background1" w:themeFillShade="D9"/>
            <w:vAlign w:val="center"/>
          </w:tcPr>
          <w:p w:rsidR="00AE54F8" w:rsidRPr="00B07F6B" w:rsidRDefault="00B07F6B" w:rsidP="0018664B">
            <w:pPr>
              <w:pStyle w:val="Tabletext"/>
              <w:keepNext/>
              <w:keepLines/>
              <w:jc w:val="center"/>
              <w:rPr>
                <w:highlight w:val="black"/>
              </w:rPr>
            </w:pPr>
            <w:r>
              <w:rPr>
                <w:noProof/>
                <w:color w:val="000000"/>
                <w:highlight w:val="black"/>
              </w:rPr>
              <w:t>''''''''''''</w:t>
            </w:r>
          </w:p>
        </w:tc>
        <w:tc>
          <w:tcPr>
            <w:tcW w:w="620" w:type="pct"/>
            <w:tcBorders>
              <w:left w:val="double" w:sz="4" w:space="0" w:color="auto"/>
            </w:tcBorders>
            <w:shd w:val="clear" w:color="auto" w:fill="D9D9D9" w:themeFill="background1" w:themeFillShade="D9"/>
          </w:tcPr>
          <w:p w:rsidR="00AE54F8" w:rsidRPr="00EF3C6A" w:rsidRDefault="00B07F6B" w:rsidP="0018664B">
            <w:pPr>
              <w:pStyle w:val="Tabletext"/>
              <w:keepNext/>
              <w:keepLines/>
              <w:jc w:val="center"/>
            </w:pPr>
            <w:r>
              <w:rPr>
                <w:noProof/>
                <w:color w:val="000000"/>
                <w:highlight w:val="black"/>
              </w:rPr>
              <w:t>''''''''</w:t>
            </w:r>
            <w:r w:rsidR="00AE54F8" w:rsidRPr="00EF3C6A">
              <w:t xml:space="preserve"> (</w:t>
            </w:r>
            <w:r>
              <w:rPr>
                <w:noProof/>
                <w:color w:val="000000"/>
                <w:highlight w:val="black"/>
              </w:rPr>
              <w:t>'''''''''''</w:t>
            </w:r>
            <w:r w:rsidR="00AE54F8" w:rsidRPr="00EF3C6A">
              <w:t>)</w:t>
            </w:r>
          </w:p>
        </w:tc>
        <w:tc>
          <w:tcPr>
            <w:tcW w:w="620" w:type="pct"/>
            <w:gridSpan w:val="2"/>
            <w:shd w:val="clear" w:color="auto" w:fill="D9D9D9" w:themeFill="background1" w:themeFillShade="D9"/>
          </w:tcPr>
          <w:p w:rsidR="00AE54F8" w:rsidRPr="00EF3C6A" w:rsidRDefault="00B07F6B" w:rsidP="0018664B">
            <w:pPr>
              <w:pStyle w:val="Tabletext"/>
              <w:keepNext/>
              <w:keepLines/>
              <w:jc w:val="center"/>
            </w:pPr>
            <w:r>
              <w:rPr>
                <w:noProof/>
                <w:color w:val="000000"/>
                <w:highlight w:val="black"/>
              </w:rPr>
              <w:t>'''''''''</w:t>
            </w:r>
            <w:r w:rsidR="00AE54F8" w:rsidRPr="00EF3C6A">
              <w:t xml:space="preserve"> (</w:t>
            </w:r>
            <w:r>
              <w:rPr>
                <w:noProof/>
                <w:color w:val="000000"/>
                <w:highlight w:val="black"/>
              </w:rPr>
              <w:t>''''''''''</w:t>
            </w:r>
            <w:r w:rsidR="00AE54F8" w:rsidRPr="00EF3C6A">
              <w:t>)</w:t>
            </w:r>
          </w:p>
        </w:tc>
      </w:tr>
      <w:tr w:rsidR="007F6257" w:rsidRPr="00EF3C6A" w:rsidTr="006F7015">
        <w:tc>
          <w:tcPr>
            <w:tcW w:w="665" w:type="pct"/>
            <w:vMerge/>
            <w:vAlign w:val="center"/>
          </w:tcPr>
          <w:p w:rsidR="00AE54F8" w:rsidRPr="00EF3C6A" w:rsidRDefault="00AE54F8" w:rsidP="0018664B">
            <w:pPr>
              <w:pStyle w:val="Tabletext"/>
              <w:keepNext/>
              <w:keepLines/>
            </w:pPr>
          </w:p>
        </w:tc>
        <w:tc>
          <w:tcPr>
            <w:tcW w:w="746" w:type="pct"/>
            <w:tcBorders>
              <w:right w:val="double" w:sz="4" w:space="0" w:color="auto"/>
            </w:tcBorders>
            <w:vAlign w:val="center"/>
          </w:tcPr>
          <w:p w:rsidR="00AE54F8" w:rsidRPr="00EF3C6A" w:rsidRDefault="00AE54F8" w:rsidP="0018664B">
            <w:pPr>
              <w:pStyle w:val="Tabletext"/>
              <w:keepNext/>
              <w:keepLines/>
            </w:pPr>
            <w:r w:rsidRPr="00EF3C6A">
              <w:t>Median OS (months)</w:t>
            </w:r>
            <w:r w:rsidRPr="00EF3C6A">
              <w:rPr>
                <w:vertAlign w:val="superscript"/>
              </w:rPr>
              <w:t>a</w:t>
            </w:r>
          </w:p>
        </w:tc>
        <w:tc>
          <w:tcPr>
            <w:tcW w:w="630" w:type="pct"/>
            <w:tcBorders>
              <w:left w:val="double" w:sz="4" w:space="0" w:color="auto"/>
            </w:tcBorders>
            <w:vAlign w:val="center"/>
          </w:tcPr>
          <w:p w:rsidR="00AE54F8" w:rsidRPr="0018664B" w:rsidRDefault="00AE54F8" w:rsidP="0018664B">
            <w:pPr>
              <w:pStyle w:val="Tabletext"/>
              <w:keepNext/>
              <w:keepLines/>
              <w:jc w:val="center"/>
              <w:rPr>
                <w:rFonts w:ascii="Times" w:hAnsi="Times"/>
              </w:rPr>
            </w:pPr>
            <w:r w:rsidRPr="0018664B">
              <w:t>NA</w:t>
            </w:r>
          </w:p>
        </w:tc>
        <w:tc>
          <w:tcPr>
            <w:tcW w:w="647" w:type="pct"/>
            <w:gridSpan w:val="2"/>
            <w:tcBorders>
              <w:right w:val="double" w:sz="4" w:space="0" w:color="auto"/>
            </w:tcBorders>
            <w:vAlign w:val="center"/>
          </w:tcPr>
          <w:p w:rsidR="00AE54F8" w:rsidRPr="0018664B" w:rsidRDefault="00AE54F8" w:rsidP="0018664B">
            <w:pPr>
              <w:pStyle w:val="Tabletext"/>
              <w:keepNext/>
              <w:keepLines/>
              <w:jc w:val="center"/>
              <w:rPr>
                <w:rFonts w:ascii="Times" w:hAnsi="Times"/>
              </w:rPr>
            </w:pPr>
            <w:r w:rsidRPr="0018664B">
              <w:t>25.95</w:t>
            </w:r>
          </w:p>
        </w:tc>
        <w:tc>
          <w:tcPr>
            <w:tcW w:w="581" w:type="pct"/>
            <w:tcBorders>
              <w:left w:val="double" w:sz="4" w:space="0" w:color="auto"/>
            </w:tcBorders>
            <w:shd w:val="clear" w:color="auto" w:fill="D9D9D9" w:themeFill="background1" w:themeFillShade="D9"/>
            <w:vAlign w:val="center"/>
          </w:tcPr>
          <w:p w:rsidR="00AE54F8" w:rsidRPr="00B07F6B" w:rsidRDefault="00B07F6B" w:rsidP="0018664B">
            <w:pPr>
              <w:pStyle w:val="Tabletext"/>
              <w:keepNext/>
              <w:keepLines/>
              <w:jc w:val="center"/>
              <w:rPr>
                <w:highlight w:val="black"/>
              </w:rPr>
            </w:pPr>
            <w:r>
              <w:rPr>
                <w:noProof/>
                <w:color w:val="000000"/>
                <w:highlight w:val="black"/>
              </w:rPr>
              <w:t>'''''''''''</w:t>
            </w:r>
          </w:p>
        </w:tc>
        <w:tc>
          <w:tcPr>
            <w:tcW w:w="491" w:type="pct"/>
            <w:tcBorders>
              <w:right w:val="double" w:sz="4" w:space="0" w:color="auto"/>
            </w:tcBorders>
            <w:shd w:val="clear" w:color="auto" w:fill="D9D9D9" w:themeFill="background1" w:themeFillShade="D9"/>
            <w:vAlign w:val="center"/>
          </w:tcPr>
          <w:p w:rsidR="00AE54F8" w:rsidRPr="00B07F6B" w:rsidRDefault="00B07F6B" w:rsidP="0018664B">
            <w:pPr>
              <w:pStyle w:val="Tabletext"/>
              <w:keepNext/>
              <w:keepLines/>
              <w:jc w:val="center"/>
              <w:rPr>
                <w:highlight w:val="black"/>
              </w:rPr>
            </w:pPr>
            <w:r>
              <w:rPr>
                <w:noProof/>
                <w:color w:val="000000"/>
                <w:highlight w:val="black"/>
              </w:rPr>
              <w:t>'''''''''''</w:t>
            </w:r>
          </w:p>
        </w:tc>
        <w:tc>
          <w:tcPr>
            <w:tcW w:w="620" w:type="pct"/>
            <w:tcBorders>
              <w:left w:val="double" w:sz="4" w:space="0" w:color="auto"/>
            </w:tcBorders>
            <w:shd w:val="clear" w:color="auto" w:fill="D9D9D9" w:themeFill="background1" w:themeFillShade="D9"/>
            <w:vAlign w:val="center"/>
          </w:tcPr>
          <w:p w:rsidR="00AE54F8" w:rsidRPr="00EF3C6A" w:rsidRDefault="00AE54F8" w:rsidP="0018664B">
            <w:pPr>
              <w:pStyle w:val="Tabletext"/>
              <w:keepNext/>
              <w:keepLines/>
              <w:jc w:val="center"/>
            </w:pPr>
            <w:r w:rsidRPr="00EF3C6A">
              <w:t>NA</w:t>
            </w:r>
          </w:p>
        </w:tc>
        <w:tc>
          <w:tcPr>
            <w:tcW w:w="620" w:type="pct"/>
            <w:gridSpan w:val="2"/>
            <w:shd w:val="clear" w:color="auto" w:fill="D9D9D9" w:themeFill="background1" w:themeFillShade="D9"/>
            <w:vAlign w:val="center"/>
          </w:tcPr>
          <w:p w:rsidR="00AE54F8" w:rsidRPr="00EF3C6A" w:rsidRDefault="00AE54F8" w:rsidP="0018664B">
            <w:pPr>
              <w:pStyle w:val="Tabletext"/>
              <w:keepNext/>
              <w:keepLines/>
              <w:jc w:val="center"/>
            </w:pPr>
            <w:r w:rsidRPr="00EF3C6A">
              <w:t>32.92</w:t>
            </w:r>
          </w:p>
        </w:tc>
      </w:tr>
      <w:tr w:rsidR="007F6257" w:rsidRPr="00EF3C6A" w:rsidTr="006F7015">
        <w:tc>
          <w:tcPr>
            <w:tcW w:w="665" w:type="pct"/>
            <w:vMerge/>
            <w:vAlign w:val="center"/>
          </w:tcPr>
          <w:p w:rsidR="00AE54F8" w:rsidRPr="00EF3C6A" w:rsidRDefault="00AE54F8" w:rsidP="0018664B">
            <w:pPr>
              <w:pStyle w:val="Tabletext"/>
              <w:keepNext/>
              <w:keepLines/>
            </w:pPr>
          </w:p>
        </w:tc>
        <w:tc>
          <w:tcPr>
            <w:tcW w:w="746" w:type="pct"/>
            <w:tcBorders>
              <w:right w:val="double" w:sz="4" w:space="0" w:color="auto"/>
            </w:tcBorders>
            <w:vAlign w:val="center"/>
          </w:tcPr>
          <w:p w:rsidR="00AE54F8" w:rsidRPr="00EF3C6A" w:rsidRDefault="00AE54F8" w:rsidP="0018664B">
            <w:pPr>
              <w:pStyle w:val="Tabletext"/>
              <w:keepNext/>
              <w:keepLines/>
            </w:pPr>
            <w:r w:rsidRPr="00EF3C6A">
              <w:t>Exact 95% CI</w:t>
            </w:r>
          </w:p>
        </w:tc>
        <w:tc>
          <w:tcPr>
            <w:tcW w:w="630" w:type="pct"/>
            <w:tcBorders>
              <w:left w:val="double" w:sz="4" w:space="0" w:color="auto"/>
            </w:tcBorders>
            <w:vAlign w:val="center"/>
          </w:tcPr>
          <w:p w:rsidR="00AE54F8" w:rsidRPr="0018664B" w:rsidRDefault="00AE54F8" w:rsidP="0018664B">
            <w:pPr>
              <w:pStyle w:val="Tabletext"/>
              <w:keepNext/>
              <w:keepLines/>
              <w:jc w:val="center"/>
              <w:rPr>
                <w:rFonts w:ascii="Times" w:hAnsi="Times"/>
              </w:rPr>
            </w:pPr>
            <w:r w:rsidRPr="0018664B">
              <w:t>(28.16, NA)</w:t>
            </w:r>
          </w:p>
        </w:tc>
        <w:tc>
          <w:tcPr>
            <w:tcW w:w="647" w:type="pct"/>
            <w:gridSpan w:val="2"/>
            <w:tcBorders>
              <w:right w:val="double" w:sz="4" w:space="0" w:color="auto"/>
            </w:tcBorders>
            <w:vAlign w:val="center"/>
          </w:tcPr>
          <w:p w:rsidR="00AE54F8" w:rsidRPr="0018664B" w:rsidRDefault="00AE54F8" w:rsidP="0018664B">
            <w:pPr>
              <w:pStyle w:val="Tabletext"/>
              <w:keepNext/>
              <w:keepLines/>
              <w:jc w:val="center"/>
              <w:rPr>
                <w:rFonts w:ascii="Times" w:hAnsi="Times"/>
              </w:rPr>
            </w:pPr>
            <w:r w:rsidRPr="0018664B">
              <w:t>(22.08, NA)</w:t>
            </w:r>
          </w:p>
        </w:tc>
        <w:tc>
          <w:tcPr>
            <w:tcW w:w="581" w:type="pct"/>
            <w:tcBorders>
              <w:left w:val="double" w:sz="4" w:space="0" w:color="auto"/>
            </w:tcBorders>
            <w:shd w:val="clear" w:color="auto" w:fill="D9D9D9" w:themeFill="background1" w:themeFillShade="D9"/>
            <w:vAlign w:val="center"/>
          </w:tcPr>
          <w:p w:rsidR="00AE54F8" w:rsidRPr="00B07F6B" w:rsidRDefault="00B07F6B" w:rsidP="0018664B">
            <w:pPr>
              <w:pStyle w:val="Tabletext"/>
              <w:keepNext/>
              <w:keepLines/>
              <w:jc w:val="center"/>
              <w:rPr>
                <w:highlight w:val="black"/>
              </w:rPr>
            </w:pPr>
            <w:r>
              <w:rPr>
                <w:noProof/>
                <w:color w:val="000000"/>
                <w:highlight w:val="black"/>
              </w:rPr>
              <w:t>''''''''''''</w:t>
            </w:r>
          </w:p>
        </w:tc>
        <w:tc>
          <w:tcPr>
            <w:tcW w:w="491" w:type="pct"/>
            <w:tcBorders>
              <w:right w:val="double" w:sz="4" w:space="0" w:color="auto"/>
            </w:tcBorders>
            <w:shd w:val="clear" w:color="auto" w:fill="D9D9D9" w:themeFill="background1" w:themeFillShade="D9"/>
            <w:vAlign w:val="center"/>
          </w:tcPr>
          <w:p w:rsidR="00AE54F8" w:rsidRPr="00B07F6B" w:rsidRDefault="00B07F6B" w:rsidP="0018664B">
            <w:pPr>
              <w:pStyle w:val="Tabletext"/>
              <w:keepNext/>
              <w:keepLines/>
              <w:jc w:val="center"/>
              <w:rPr>
                <w:highlight w:val="black"/>
              </w:rPr>
            </w:pPr>
            <w:r>
              <w:rPr>
                <w:noProof/>
                <w:color w:val="000000"/>
                <w:highlight w:val="black"/>
              </w:rPr>
              <w:t>'''''''''''</w:t>
            </w:r>
          </w:p>
        </w:tc>
        <w:tc>
          <w:tcPr>
            <w:tcW w:w="620" w:type="pct"/>
            <w:tcBorders>
              <w:left w:val="double" w:sz="4" w:space="0" w:color="auto"/>
            </w:tcBorders>
            <w:shd w:val="clear" w:color="auto" w:fill="D9D9D9" w:themeFill="background1" w:themeFillShade="D9"/>
          </w:tcPr>
          <w:p w:rsidR="00AE54F8" w:rsidRPr="00EF3C6A" w:rsidRDefault="00AE54F8" w:rsidP="0018664B">
            <w:pPr>
              <w:pStyle w:val="Tabletext"/>
              <w:keepNext/>
              <w:keepLines/>
              <w:jc w:val="center"/>
            </w:pPr>
            <w:r w:rsidRPr="00EF3C6A">
              <w:t>-</w:t>
            </w:r>
          </w:p>
        </w:tc>
        <w:tc>
          <w:tcPr>
            <w:tcW w:w="620" w:type="pct"/>
            <w:gridSpan w:val="2"/>
            <w:shd w:val="clear" w:color="auto" w:fill="D9D9D9" w:themeFill="background1" w:themeFillShade="D9"/>
          </w:tcPr>
          <w:p w:rsidR="00AE54F8" w:rsidRPr="00EF3C6A" w:rsidRDefault="00AE54F8" w:rsidP="0018664B">
            <w:pPr>
              <w:pStyle w:val="Tabletext"/>
              <w:keepNext/>
              <w:keepLines/>
              <w:jc w:val="center"/>
            </w:pPr>
            <w:r w:rsidRPr="00EF3C6A">
              <w:t>(NA, NA)</w:t>
            </w:r>
          </w:p>
        </w:tc>
      </w:tr>
      <w:tr w:rsidR="0006598B" w:rsidRPr="00EF3C6A" w:rsidTr="006F7015">
        <w:tc>
          <w:tcPr>
            <w:tcW w:w="665" w:type="pct"/>
            <w:vMerge/>
            <w:vAlign w:val="center"/>
          </w:tcPr>
          <w:p w:rsidR="0080436F" w:rsidRPr="00EF3C6A" w:rsidRDefault="0080436F" w:rsidP="0018664B">
            <w:pPr>
              <w:pStyle w:val="Tabletext"/>
              <w:keepNext/>
              <w:keepLines/>
            </w:pPr>
          </w:p>
        </w:tc>
        <w:tc>
          <w:tcPr>
            <w:tcW w:w="746" w:type="pct"/>
            <w:tcBorders>
              <w:right w:val="double" w:sz="4" w:space="0" w:color="auto"/>
            </w:tcBorders>
            <w:vAlign w:val="center"/>
          </w:tcPr>
          <w:p w:rsidR="0080436F" w:rsidRPr="00EF3C6A" w:rsidRDefault="0080436F" w:rsidP="0018664B">
            <w:pPr>
              <w:pStyle w:val="Tabletext"/>
              <w:keepNext/>
              <w:keepLines/>
            </w:pPr>
            <w:r w:rsidRPr="00EF3C6A">
              <w:t>HR (99.8% CI)</w:t>
            </w:r>
            <w:r w:rsidRPr="00EF3C6A">
              <w:rPr>
                <w:vertAlign w:val="superscript"/>
              </w:rPr>
              <w:t>b</w:t>
            </w:r>
          </w:p>
        </w:tc>
        <w:tc>
          <w:tcPr>
            <w:tcW w:w="1277" w:type="pct"/>
            <w:gridSpan w:val="3"/>
            <w:tcBorders>
              <w:left w:val="double" w:sz="4" w:space="0" w:color="auto"/>
              <w:right w:val="double" w:sz="4" w:space="0" w:color="auto"/>
            </w:tcBorders>
            <w:vAlign w:val="center"/>
          </w:tcPr>
          <w:p w:rsidR="0080436F" w:rsidRPr="0018664B" w:rsidRDefault="0080436F" w:rsidP="0018664B">
            <w:pPr>
              <w:pStyle w:val="Tabletext"/>
              <w:keepNext/>
              <w:keepLines/>
              <w:jc w:val="center"/>
              <w:rPr>
                <w:rFonts w:ascii="Times" w:hAnsi="Times"/>
                <w:b/>
              </w:rPr>
            </w:pPr>
            <w:r w:rsidRPr="0018664B">
              <w:rPr>
                <w:b/>
              </w:rPr>
              <w:t>0.63 (0.44, 0.89)</w:t>
            </w:r>
          </w:p>
        </w:tc>
        <w:tc>
          <w:tcPr>
            <w:tcW w:w="1072" w:type="pct"/>
            <w:gridSpan w:val="2"/>
            <w:tcBorders>
              <w:left w:val="double" w:sz="4" w:space="0" w:color="auto"/>
              <w:right w:val="double" w:sz="4" w:space="0" w:color="auto"/>
            </w:tcBorders>
            <w:shd w:val="clear" w:color="auto" w:fill="D9D9D9" w:themeFill="background1" w:themeFillShade="D9"/>
            <w:vAlign w:val="center"/>
          </w:tcPr>
          <w:p w:rsidR="0080436F" w:rsidRPr="00EF3C6A" w:rsidRDefault="00B07F6B" w:rsidP="0018664B">
            <w:pPr>
              <w:pStyle w:val="Tabletext"/>
              <w:keepNext/>
              <w:keepLines/>
              <w:jc w:val="center"/>
            </w:pPr>
            <w:r>
              <w:rPr>
                <w:noProof/>
                <w:color w:val="000000"/>
                <w:highlight w:val="black"/>
              </w:rPr>
              <w:t>''''''''''''</w:t>
            </w:r>
            <w:r w:rsidR="0080436F" w:rsidRPr="00EF3C6A">
              <w:t xml:space="preserve"> (</w:t>
            </w:r>
            <w:r>
              <w:rPr>
                <w:noProof/>
                <w:color w:val="000000"/>
                <w:highlight w:val="black"/>
              </w:rPr>
              <w:t>'''''''''''</w:t>
            </w:r>
            <w:r w:rsidR="0080436F" w:rsidRPr="00EF3C6A">
              <w:t xml:space="preserve">, </w:t>
            </w:r>
            <w:r>
              <w:rPr>
                <w:noProof/>
                <w:color w:val="000000"/>
                <w:highlight w:val="black"/>
              </w:rPr>
              <w:t>''''''''''</w:t>
            </w:r>
            <w:r w:rsidR="0080436F" w:rsidRPr="00EF3C6A">
              <w:t>)</w:t>
            </w:r>
          </w:p>
        </w:tc>
        <w:tc>
          <w:tcPr>
            <w:tcW w:w="1240" w:type="pct"/>
            <w:gridSpan w:val="3"/>
            <w:tcBorders>
              <w:left w:val="double" w:sz="4" w:space="0" w:color="auto"/>
            </w:tcBorders>
            <w:shd w:val="clear" w:color="auto" w:fill="D9D9D9" w:themeFill="background1" w:themeFillShade="D9"/>
            <w:vAlign w:val="center"/>
          </w:tcPr>
          <w:p w:rsidR="0080436F" w:rsidRPr="0018664B" w:rsidRDefault="00AE54F8" w:rsidP="0018664B">
            <w:pPr>
              <w:pStyle w:val="Tabletext"/>
              <w:keepNext/>
              <w:keepLines/>
              <w:jc w:val="center"/>
              <w:rPr>
                <w:b/>
              </w:rPr>
            </w:pPr>
            <w:r w:rsidRPr="0018664B">
              <w:rPr>
                <w:b/>
              </w:rPr>
              <w:t>0.68 (0.49, 0.95)</w:t>
            </w:r>
          </w:p>
        </w:tc>
      </w:tr>
      <w:tr w:rsidR="0006598B" w:rsidRPr="00EF3C6A" w:rsidTr="006F7015">
        <w:tc>
          <w:tcPr>
            <w:tcW w:w="665" w:type="pct"/>
            <w:vMerge/>
            <w:vAlign w:val="center"/>
          </w:tcPr>
          <w:p w:rsidR="0080436F" w:rsidRPr="00EF3C6A" w:rsidRDefault="0080436F" w:rsidP="0018664B">
            <w:pPr>
              <w:pStyle w:val="Tabletext"/>
              <w:keepNext/>
              <w:keepLines/>
            </w:pPr>
          </w:p>
        </w:tc>
        <w:tc>
          <w:tcPr>
            <w:tcW w:w="746" w:type="pct"/>
            <w:tcBorders>
              <w:right w:val="double" w:sz="4" w:space="0" w:color="auto"/>
            </w:tcBorders>
            <w:vAlign w:val="center"/>
          </w:tcPr>
          <w:p w:rsidR="0080436F" w:rsidRPr="00EF3C6A" w:rsidRDefault="00E20BA0" w:rsidP="0018664B">
            <w:pPr>
              <w:pStyle w:val="Tabletext"/>
              <w:keepNext/>
              <w:keepLines/>
            </w:pPr>
            <w:r>
              <w:t>p</w:t>
            </w:r>
            <w:r w:rsidR="0080436F" w:rsidRPr="00EF3C6A">
              <w:t>-</w:t>
            </w:r>
            <w:proofErr w:type="spellStart"/>
            <w:r w:rsidR="0080436F" w:rsidRPr="00EF3C6A">
              <w:t>value</w:t>
            </w:r>
            <w:r w:rsidR="0080436F" w:rsidRPr="00EF3C6A">
              <w:rPr>
                <w:vertAlign w:val="superscript"/>
              </w:rPr>
              <w:t>c</w:t>
            </w:r>
            <w:proofErr w:type="spellEnd"/>
          </w:p>
        </w:tc>
        <w:tc>
          <w:tcPr>
            <w:tcW w:w="1277" w:type="pct"/>
            <w:gridSpan w:val="3"/>
            <w:tcBorders>
              <w:left w:val="double" w:sz="4" w:space="0" w:color="auto"/>
              <w:right w:val="double" w:sz="4" w:space="0" w:color="auto"/>
            </w:tcBorders>
            <w:vAlign w:val="center"/>
          </w:tcPr>
          <w:p w:rsidR="0080436F" w:rsidRPr="0018664B" w:rsidRDefault="0080436F" w:rsidP="0018664B">
            <w:pPr>
              <w:pStyle w:val="Tabletext"/>
              <w:keepNext/>
              <w:keepLines/>
              <w:jc w:val="center"/>
            </w:pPr>
            <w:r w:rsidRPr="0018664B">
              <w:t>&lt;0.0001</w:t>
            </w:r>
          </w:p>
        </w:tc>
        <w:tc>
          <w:tcPr>
            <w:tcW w:w="1072" w:type="pct"/>
            <w:gridSpan w:val="2"/>
            <w:tcBorders>
              <w:left w:val="double" w:sz="4" w:space="0" w:color="auto"/>
              <w:right w:val="double" w:sz="4" w:space="0" w:color="auto"/>
            </w:tcBorders>
            <w:shd w:val="clear" w:color="auto" w:fill="D9D9D9" w:themeFill="background1" w:themeFillShade="D9"/>
            <w:vAlign w:val="center"/>
          </w:tcPr>
          <w:p w:rsidR="0080436F" w:rsidRPr="00B07F6B" w:rsidRDefault="00B07F6B" w:rsidP="0018664B">
            <w:pPr>
              <w:pStyle w:val="Tabletext"/>
              <w:keepNext/>
              <w:keepLines/>
              <w:jc w:val="center"/>
              <w:rPr>
                <w:highlight w:val="black"/>
              </w:rPr>
            </w:pPr>
            <w:r>
              <w:rPr>
                <w:noProof/>
                <w:color w:val="000000"/>
                <w:highlight w:val="black"/>
              </w:rPr>
              <w:t>''''''''''''''''''</w:t>
            </w:r>
          </w:p>
        </w:tc>
        <w:tc>
          <w:tcPr>
            <w:tcW w:w="1240" w:type="pct"/>
            <w:gridSpan w:val="3"/>
            <w:tcBorders>
              <w:left w:val="double" w:sz="4" w:space="0" w:color="auto"/>
            </w:tcBorders>
            <w:shd w:val="clear" w:color="auto" w:fill="D9D9D9" w:themeFill="background1" w:themeFillShade="D9"/>
          </w:tcPr>
          <w:p w:rsidR="0080436F" w:rsidRPr="0018664B" w:rsidRDefault="001F4C52" w:rsidP="0018664B">
            <w:pPr>
              <w:pStyle w:val="Tabletext"/>
              <w:keepNext/>
              <w:keepLines/>
              <w:jc w:val="center"/>
            </w:pPr>
            <w:r w:rsidRPr="0018664B">
              <w:t>0.0003</w:t>
            </w:r>
          </w:p>
        </w:tc>
      </w:tr>
      <w:tr w:rsidR="007F6257" w:rsidRPr="00EF3C6A" w:rsidTr="006F7015">
        <w:tc>
          <w:tcPr>
            <w:tcW w:w="665" w:type="pct"/>
            <w:vMerge w:val="restart"/>
            <w:vAlign w:val="center"/>
          </w:tcPr>
          <w:p w:rsidR="00C84AAB" w:rsidRPr="00EF3C6A" w:rsidRDefault="00C84AAB" w:rsidP="0018664B">
            <w:pPr>
              <w:pStyle w:val="Tabletext"/>
              <w:keepNext/>
              <w:keepLines/>
            </w:pPr>
            <w:r w:rsidRPr="00EF3C6A">
              <w:t>Progressive Free Survival (PFS) assessed by IRRC</w:t>
            </w:r>
          </w:p>
        </w:tc>
        <w:tc>
          <w:tcPr>
            <w:tcW w:w="746" w:type="pct"/>
            <w:tcBorders>
              <w:right w:val="double" w:sz="4" w:space="0" w:color="auto"/>
            </w:tcBorders>
            <w:vAlign w:val="center"/>
          </w:tcPr>
          <w:p w:rsidR="00C84AAB" w:rsidRPr="00EF3C6A" w:rsidRDefault="00C84AAB" w:rsidP="0018664B">
            <w:pPr>
              <w:pStyle w:val="Tabletext"/>
              <w:keepNext/>
              <w:keepLines/>
            </w:pPr>
            <w:proofErr w:type="gramStart"/>
            <w:r w:rsidRPr="00EF3C6A">
              <w:t>n</w:t>
            </w:r>
            <w:proofErr w:type="gramEnd"/>
            <w:r w:rsidRPr="00EF3C6A">
              <w:t xml:space="preserve"> events (%)</w:t>
            </w:r>
          </w:p>
        </w:tc>
        <w:tc>
          <w:tcPr>
            <w:tcW w:w="630" w:type="pct"/>
            <w:tcBorders>
              <w:left w:val="double" w:sz="4" w:space="0" w:color="auto"/>
            </w:tcBorders>
            <w:vAlign w:val="center"/>
          </w:tcPr>
          <w:p w:rsidR="00C84AAB" w:rsidRPr="00EF3C6A" w:rsidRDefault="00B07F6B" w:rsidP="0018664B">
            <w:pPr>
              <w:pStyle w:val="Tabletext"/>
              <w:keepNext/>
              <w:keepLines/>
              <w:jc w:val="center"/>
              <w:rPr>
                <w:rFonts w:ascii="Times" w:hAnsi="Times"/>
              </w:rPr>
            </w:pPr>
            <w:r>
              <w:rPr>
                <w:noProof/>
                <w:color w:val="000000"/>
                <w:highlight w:val="black"/>
              </w:rPr>
              <w:t>''''''''''</w:t>
            </w:r>
            <w:r w:rsidR="00C84AAB" w:rsidRPr="00EF3C6A">
              <w:t xml:space="preserve"> (</w:t>
            </w:r>
            <w:r>
              <w:rPr>
                <w:noProof/>
                <w:color w:val="000000"/>
                <w:highlight w:val="black"/>
              </w:rPr>
              <w:t>'''''''''''</w:t>
            </w:r>
            <w:r w:rsidR="00C84AAB" w:rsidRPr="00EF3C6A">
              <w:t>)</w:t>
            </w:r>
          </w:p>
        </w:tc>
        <w:tc>
          <w:tcPr>
            <w:tcW w:w="647" w:type="pct"/>
            <w:gridSpan w:val="2"/>
            <w:tcBorders>
              <w:right w:val="double" w:sz="4" w:space="0" w:color="auto"/>
            </w:tcBorders>
            <w:vAlign w:val="center"/>
          </w:tcPr>
          <w:p w:rsidR="00C84AAB" w:rsidRPr="00EF3C6A" w:rsidRDefault="00B07F6B" w:rsidP="0018664B">
            <w:pPr>
              <w:pStyle w:val="Tabletext"/>
              <w:keepNext/>
              <w:keepLines/>
              <w:jc w:val="center"/>
            </w:pPr>
            <w:r>
              <w:rPr>
                <w:noProof/>
                <w:color w:val="000000"/>
                <w:highlight w:val="black"/>
              </w:rPr>
              <w:t>''''''''</w:t>
            </w:r>
            <w:r w:rsidR="00C84AAB" w:rsidRPr="00EF3C6A">
              <w:t xml:space="preserve"> (</w:t>
            </w:r>
            <w:r>
              <w:rPr>
                <w:noProof/>
                <w:color w:val="000000"/>
                <w:highlight w:val="black"/>
              </w:rPr>
              <w:t>'''''''''''</w:t>
            </w:r>
            <w:r w:rsidR="00C84AAB" w:rsidRPr="00EF3C6A">
              <w:t>)</w:t>
            </w:r>
          </w:p>
        </w:tc>
        <w:tc>
          <w:tcPr>
            <w:tcW w:w="581" w:type="pct"/>
            <w:tcBorders>
              <w:left w:val="double" w:sz="4" w:space="0" w:color="auto"/>
            </w:tcBorders>
            <w:shd w:val="clear" w:color="auto" w:fill="D9D9D9" w:themeFill="background1" w:themeFillShade="D9"/>
            <w:vAlign w:val="center"/>
          </w:tcPr>
          <w:p w:rsidR="00C84AAB" w:rsidRPr="00B07F6B" w:rsidRDefault="00B07F6B" w:rsidP="0018664B">
            <w:pPr>
              <w:pStyle w:val="Tabletext"/>
              <w:keepNext/>
              <w:keepLines/>
              <w:jc w:val="center"/>
              <w:rPr>
                <w:highlight w:val="black"/>
              </w:rPr>
            </w:pPr>
            <w:r>
              <w:rPr>
                <w:noProof/>
                <w:color w:val="000000"/>
                <w:highlight w:val="black"/>
              </w:rPr>
              <w:t>''''''''''''</w:t>
            </w:r>
          </w:p>
        </w:tc>
        <w:tc>
          <w:tcPr>
            <w:tcW w:w="491" w:type="pct"/>
            <w:tcBorders>
              <w:right w:val="double" w:sz="4" w:space="0" w:color="auto"/>
            </w:tcBorders>
            <w:shd w:val="clear" w:color="auto" w:fill="D9D9D9" w:themeFill="background1" w:themeFillShade="D9"/>
            <w:vAlign w:val="center"/>
          </w:tcPr>
          <w:p w:rsidR="00C84AAB" w:rsidRPr="00B07F6B" w:rsidRDefault="00B07F6B" w:rsidP="0018664B">
            <w:pPr>
              <w:pStyle w:val="Tabletext"/>
              <w:keepNext/>
              <w:keepLines/>
              <w:jc w:val="center"/>
              <w:rPr>
                <w:highlight w:val="black"/>
              </w:rPr>
            </w:pPr>
            <w:r>
              <w:rPr>
                <w:noProof/>
                <w:color w:val="000000"/>
                <w:highlight w:val="black"/>
              </w:rPr>
              <w:t>''''''''''</w:t>
            </w:r>
          </w:p>
        </w:tc>
        <w:tc>
          <w:tcPr>
            <w:tcW w:w="620" w:type="pct"/>
            <w:tcBorders>
              <w:left w:val="double" w:sz="4" w:space="0" w:color="auto"/>
            </w:tcBorders>
            <w:shd w:val="clear" w:color="auto" w:fill="D9D9D9" w:themeFill="background1" w:themeFillShade="D9"/>
          </w:tcPr>
          <w:p w:rsidR="00C84AAB" w:rsidRPr="00EF3C6A" w:rsidRDefault="00C84AAB" w:rsidP="0018664B">
            <w:pPr>
              <w:pStyle w:val="Tabletext"/>
              <w:keepNext/>
              <w:keepLines/>
              <w:jc w:val="center"/>
            </w:pPr>
            <w:r w:rsidRPr="00EF3C6A">
              <w:t>296 (53.8)</w:t>
            </w:r>
          </w:p>
        </w:tc>
        <w:tc>
          <w:tcPr>
            <w:tcW w:w="620" w:type="pct"/>
            <w:gridSpan w:val="2"/>
            <w:shd w:val="clear" w:color="auto" w:fill="D9D9D9" w:themeFill="background1" w:themeFillShade="D9"/>
          </w:tcPr>
          <w:p w:rsidR="00C84AAB" w:rsidRPr="00EF3C6A" w:rsidRDefault="00C84AAB" w:rsidP="0018664B">
            <w:pPr>
              <w:pStyle w:val="Tabletext"/>
              <w:keepNext/>
              <w:keepLines/>
              <w:jc w:val="center"/>
            </w:pPr>
            <w:r w:rsidRPr="00EF3C6A">
              <w:t>271 (49.6)</w:t>
            </w:r>
          </w:p>
        </w:tc>
      </w:tr>
      <w:tr w:rsidR="007F6257" w:rsidRPr="00EF3C6A" w:rsidTr="006F7015">
        <w:tc>
          <w:tcPr>
            <w:tcW w:w="665" w:type="pct"/>
            <w:vMerge/>
            <w:vAlign w:val="center"/>
          </w:tcPr>
          <w:p w:rsidR="00C84AAB" w:rsidRPr="00EF3C6A" w:rsidRDefault="00C84AAB" w:rsidP="0018664B">
            <w:pPr>
              <w:pStyle w:val="Tabletext"/>
              <w:keepNext/>
              <w:keepLines/>
            </w:pPr>
          </w:p>
        </w:tc>
        <w:tc>
          <w:tcPr>
            <w:tcW w:w="746" w:type="pct"/>
            <w:tcBorders>
              <w:right w:val="double" w:sz="4" w:space="0" w:color="auto"/>
            </w:tcBorders>
            <w:vAlign w:val="center"/>
          </w:tcPr>
          <w:p w:rsidR="00C84AAB" w:rsidRPr="00EF3C6A" w:rsidRDefault="00C84AAB" w:rsidP="0018664B">
            <w:pPr>
              <w:pStyle w:val="Tabletext"/>
              <w:keepNext/>
              <w:keepLines/>
            </w:pPr>
            <w:r w:rsidRPr="00EF3C6A">
              <w:t>Median (months)</w:t>
            </w:r>
            <w:r w:rsidRPr="00EF3C6A">
              <w:rPr>
                <w:vertAlign w:val="superscript"/>
              </w:rPr>
              <w:t>d</w:t>
            </w:r>
          </w:p>
        </w:tc>
        <w:tc>
          <w:tcPr>
            <w:tcW w:w="630" w:type="pct"/>
            <w:tcBorders>
              <w:left w:val="double" w:sz="4" w:space="0" w:color="auto"/>
            </w:tcBorders>
            <w:vAlign w:val="center"/>
          </w:tcPr>
          <w:p w:rsidR="00C84AAB" w:rsidRPr="00EF3C6A" w:rsidRDefault="00C84AAB" w:rsidP="0018664B">
            <w:pPr>
              <w:pStyle w:val="Tabletext"/>
              <w:keepNext/>
              <w:keepLines/>
              <w:jc w:val="center"/>
              <w:rPr>
                <w:rFonts w:ascii="Times" w:hAnsi="Times"/>
              </w:rPr>
            </w:pPr>
            <w:r w:rsidRPr="00773EFB">
              <w:t>11.56</w:t>
            </w:r>
          </w:p>
        </w:tc>
        <w:tc>
          <w:tcPr>
            <w:tcW w:w="647" w:type="pct"/>
            <w:gridSpan w:val="2"/>
            <w:tcBorders>
              <w:right w:val="double" w:sz="4" w:space="0" w:color="auto"/>
            </w:tcBorders>
            <w:vAlign w:val="center"/>
          </w:tcPr>
          <w:p w:rsidR="00C84AAB" w:rsidRPr="00EF3C6A" w:rsidRDefault="00C84AAB" w:rsidP="0018664B">
            <w:pPr>
              <w:pStyle w:val="Tabletext"/>
              <w:keepNext/>
              <w:keepLines/>
              <w:jc w:val="center"/>
            </w:pPr>
            <w:r w:rsidRPr="00773EFB">
              <w:t>8.38</w:t>
            </w:r>
          </w:p>
        </w:tc>
        <w:tc>
          <w:tcPr>
            <w:tcW w:w="581" w:type="pct"/>
            <w:tcBorders>
              <w:left w:val="double" w:sz="4" w:space="0" w:color="auto"/>
            </w:tcBorders>
            <w:shd w:val="clear" w:color="auto" w:fill="D9D9D9" w:themeFill="background1" w:themeFillShade="D9"/>
            <w:vAlign w:val="center"/>
          </w:tcPr>
          <w:p w:rsidR="00C84AAB" w:rsidRPr="00B07F6B" w:rsidRDefault="00B07F6B" w:rsidP="0018664B">
            <w:pPr>
              <w:pStyle w:val="Tabletext"/>
              <w:keepNext/>
              <w:keepLines/>
              <w:jc w:val="center"/>
              <w:rPr>
                <w:highlight w:val="black"/>
              </w:rPr>
            </w:pPr>
            <w:r>
              <w:rPr>
                <w:noProof/>
                <w:color w:val="000000"/>
                <w:highlight w:val="black"/>
              </w:rPr>
              <w:t>'''''''''''''</w:t>
            </w:r>
          </w:p>
        </w:tc>
        <w:tc>
          <w:tcPr>
            <w:tcW w:w="491" w:type="pct"/>
            <w:tcBorders>
              <w:right w:val="double" w:sz="4" w:space="0" w:color="auto"/>
            </w:tcBorders>
            <w:shd w:val="clear" w:color="auto" w:fill="D9D9D9" w:themeFill="background1" w:themeFillShade="D9"/>
            <w:vAlign w:val="center"/>
          </w:tcPr>
          <w:p w:rsidR="00C84AAB" w:rsidRPr="00B07F6B" w:rsidRDefault="00B07F6B" w:rsidP="0018664B">
            <w:pPr>
              <w:pStyle w:val="Tabletext"/>
              <w:keepNext/>
              <w:keepLines/>
              <w:jc w:val="center"/>
              <w:rPr>
                <w:highlight w:val="black"/>
              </w:rPr>
            </w:pPr>
            <w:r>
              <w:rPr>
                <w:noProof/>
                <w:color w:val="000000"/>
                <w:highlight w:val="black"/>
              </w:rPr>
              <w:t>'''''''''''''</w:t>
            </w:r>
          </w:p>
        </w:tc>
        <w:tc>
          <w:tcPr>
            <w:tcW w:w="620" w:type="pct"/>
            <w:tcBorders>
              <w:left w:val="double" w:sz="4" w:space="0" w:color="auto"/>
            </w:tcBorders>
            <w:shd w:val="clear" w:color="auto" w:fill="D9D9D9" w:themeFill="background1" w:themeFillShade="D9"/>
            <w:vAlign w:val="center"/>
          </w:tcPr>
          <w:p w:rsidR="00C84AAB" w:rsidRPr="0018664B" w:rsidRDefault="00C84AAB" w:rsidP="0018664B">
            <w:pPr>
              <w:pStyle w:val="Tabletext"/>
              <w:keepNext/>
              <w:keepLines/>
              <w:jc w:val="center"/>
            </w:pPr>
            <w:r w:rsidRPr="0018664B">
              <w:t>12.42</w:t>
            </w:r>
          </w:p>
        </w:tc>
        <w:tc>
          <w:tcPr>
            <w:tcW w:w="620" w:type="pct"/>
            <w:gridSpan w:val="2"/>
            <w:shd w:val="clear" w:color="auto" w:fill="D9D9D9" w:themeFill="background1" w:themeFillShade="D9"/>
            <w:vAlign w:val="center"/>
          </w:tcPr>
          <w:p w:rsidR="00C84AAB" w:rsidRPr="0018664B" w:rsidRDefault="00C84AAB" w:rsidP="0018664B">
            <w:pPr>
              <w:pStyle w:val="Tabletext"/>
              <w:keepNext/>
              <w:keepLines/>
              <w:jc w:val="center"/>
            </w:pPr>
            <w:r w:rsidRPr="0018664B">
              <w:t>12.32</w:t>
            </w:r>
          </w:p>
        </w:tc>
      </w:tr>
      <w:tr w:rsidR="007F6257" w:rsidRPr="00EF3C6A" w:rsidTr="006F7015">
        <w:tc>
          <w:tcPr>
            <w:tcW w:w="665" w:type="pct"/>
            <w:vMerge/>
            <w:vAlign w:val="center"/>
          </w:tcPr>
          <w:p w:rsidR="00C84AAB" w:rsidRPr="00EF3C6A" w:rsidRDefault="00C84AAB" w:rsidP="0018664B">
            <w:pPr>
              <w:pStyle w:val="Tabletext"/>
              <w:keepNext/>
              <w:keepLines/>
            </w:pPr>
          </w:p>
        </w:tc>
        <w:tc>
          <w:tcPr>
            <w:tcW w:w="746" w:type="pct"/>
            <w:tcBorders>
              <w:right w:val="double" w:sz="4" w:space="0" w:color="auto"/>
            </w:tcBorders>
            <w:vAlign w:val="center"/>
          </w:tcPr>
          <w:p w:rsidR="00C84AAB" w:rsidRPr="00EF3C6A" w:rsidRDefault="00C84AAB" w:rsidP="0018664B">
            <w:pPr>
              <w:pStyle w:val="Tabletext"/>
              <w:keepNext/>
              <w:keepLines/>
            </w:pPr>
            <w:r w:rsidRPr="00EF3C6A">
              <w:t>Exact 95% CI</w:t>
            </w:r>
          </w:p>
        </w:tc>
        <w:tc>
          <w:tcPr>
            <w:tcW w:w="630" w:type="pct"/>
            <w:tcBorders>
              <w:left w:val="double" w:sz="4" w:space="0" w:color="auto"/>
            </w:tcBorders>
            <w:vAlign w:val="center"/>
          </w:tcPr>
          <w:p w:rsidR="00C84AAB" w:rsidRPr="00EF3C6A" w:rsidRDefault="00C84AAB" w:rsidP="0018664B">
            <w:pPr>
              <w:pStyle w:val="Tabletext"/>
              <w:keepNext/>
              <w:keepLines/>
              <w:jc w:val="center"/>
            </w:pPr>
            <w:r w:rsidRPr="00EF3C6A">
              <w:t>(</w:t>
            </w:r>
            <w:r w:rsidR="00B07F6B">
              <w:rPr>
                <w:noProof/>
                <w:color w:val="000000"/>
                <w:highlight w:val="black"/>
              </w:rPr>
              <w:t>'''''''''''</w:t>
            </w:r>
            <w:r w:rsidRPr="00EF3C6A">
              <w:t xml:space="preserve">, </w:t>
            </w:r>
            <w:r w:rsidR="00B07F6B">
              <w:rPr>
                <w:noProof/>
                <w:color w:val="000000"/>
                <w:highlight w:val="black"/>
              </w:rPr>
              <w:t>''''''''''''''</w:t>
            </w:r>
            <w:r w:rsidRPr="00EF3C6A">
              <w:t>)</w:t>
            </w:r>
          </w:p>
        </w:tc>
        <w:tc>
          <w:tcPr>
            <w:tcW w:w="647" w:type="pct"/>
            <w:gridSpan w:val="2"/>
            <w:tcBorders>
              <w:right w:val="double" w:sz="4" w:space="0" w:color="auto"/>
            </w:tcBorders>
            <w:vAlign w:val="center"/>
          </w:tcPr>
          <w:p w:rsidR="00C84AAB" w:rsidRPr="00EF3C6A" w:rsidRDefault="00C84AAB" w:rsidP="0018664B">
            <w:pPr>
              <w:pStyle w:val="Tabletext"/>
              <w:keepNext/>
              <w:keepLines/>
              <w:jc w:val="center"/>
            </w:pPr>
            <w:r w:rsidRPr="00EF3C6A">
              <w:t>(</w:t>
            </w:r>
            <w:r w:rsidR="00B07F6B">
              <w:rPr>
                <w:noProof/>
                <w:color w:val="000000"/>
                <w:highlight w:val="black"/>
              </w:rPr>
              <w:t>''''''''''</w:t>
            </w:r>
            <w:r w:rsidRPr="00EF3C6A">
              <w:t xml:space="preserve">, </w:t>
            </w:r>
            <w:r w:rsidR="00B07F6B">
              <w:rPr>
                <w:noProof/>
                <w:color w:val="000000"/>
                <w:highlight w:val="black"/>
              </w:rPr>
              <w:t>''''''''''''''</w:t>
            </w:r>
            <w:r w:rsidRPr="00EF3C6A">
              <w:t>)</w:t>
            </w:r>
          </w:p>
        </w:tc>
        <w:tc>
          <w:tcPr>
            <w:tcW w:w="581" w:type="pct"/>
            <w:tcBorders>
              <w:left w:val="double" w:sz="4" w:space="0" w:color="auto"/>
            </w:tcBorders>
            <w:shd w:val="clear" w:color="auto" w:fill="D9D9D9" w:themeFill="background1" w:themeFillShade="D9"/>
            <w:vAlign w:val="center"/>
          </w:tcPr>
          <w:p w:rsidR="00C84AAB" w:rsidRPr="00EF3C6A" w:rsidRDefault="00C84AAB" w:rsidP="0018664B">
            <w:pPr>
              <w:pStyle w:val="Tabletext"/>
              <w:keepNext/>
              <w:keepLines/>
              <w:jc w:val="center"/>
            </w:pPr>
            <w:r w:rsidRPr="00EF3C6A">
              <w:t>(</w:t>
            </w:r>
            <w:r w:rsidR="00B07F6B">
              <w:rPr>
                <w:noProof/>
                <w:color w:val="000000"/>
                <w:highlight w:val="black"/>
              </w:rPr>
              <w:t>'''''''''''</w:t>
            </w:r>
            <w:r w:rsidRPr="00EF3C6A">
              <w:t xml:space="preserve">, </w:t>
            </w:r>
            <w:r w:rsidR="00B07F6B">
              <w:rPr>
                <w:noProof/>
                <w:color w:val="000000"/>
                <w:highlight w:val="black"/>
              </w:rPr>
              <w:t>''''''''''''</w:t>
            </w:r>
            <w:r w:rsidRPr="00EF3C6A">
              <w:t>)</w:t>
            </w:r>
          </w:p>
        </w:tc>
        <w:tc>
          <w:tcPr>
            <w:tcW w:w="491" w:type="pct"/>
            <w:tcBorders>
              <w:right w:val="double" w:sz="4" w:space="0" w:color="auto"/>
            </w:tcBorders>
            <w:shd w:val="clear" w:color="auto" w:fill="D9D9D9" w:themeFill="background1" w:themeFillShade="D9"/>
            <w:vAlign w:val="center"/>
          </w:tcPr>
          <w:p w:rsidR="00C84AAB" w:rsidRPr="00EF3C6A" w:rsidRDefault="00B07F6B" w:rsidP="0018664B">
            <w:pPr>
              <w:pStyle w:val="Tabletext"/>
              <w:keepNext/>
              <w:keepLines/>
              <w:jc w:val="center"/>
            </w:pPr>
            <w:r>
              <w:rPr>
                <w:noProof/>
                <w:color w:val="000000"/>
                <w:highlight w:val="black"/>
              </w:rPr>
              <w:t>'''''''''''''''</w:t>
            </w:r>
            <w:r w:rsidR="00C84AAB" w:rsidRPr="00EF3C6A">
              <w:t xml:space="preserve">, </w:t>
            </w:r>
            <w:r>
              <w:rPr>
                <w:noProof/>
                <w:color w:val="000000"/>
                <w:highlight w:val="black"/>
              </w:rPr>
              <w:t>'''''''</w:t>
            </w:r>
          </w:p>
        </w:tc>
        <w:tc>
          <w:tcPr>
            <w:tcW w:w="620" w:type="pct"/>
            <w:tcBorders>
              <w:left w:val="double" w:sz="4" w:space="0" w:color="auto"/>
            </w:tcBorders>
            <w:shd w:val="clear" w:color="auto" w:fill="D9D9D9" w:themeFill="background1" w:themeFillShade="D9"/>
          </w:tcPr>
          <w:p w:rsidR="00C84AAB" w:rsidRPr="00EF3C6A" w:rsidRDefault="00C84AAB" w:rsidP="0018664B">
            <w:pPr>
              <w:pStyle w:val="Tabletext"/>
              <w:keepNext/>
              <w:keepLines/>
              <w:jc w:val="center"/>
            </w:pPr>
            <w:r w:rsidRPr="00EF3C6A">
              <w:t>(9.89, 16.53)</w:t>
            </w:r>
          </w:p>
        </w:tc>
        <w:tc>
          <w:tcPr>
            <w:tcW w:w="620" w:type="pct"/>
            <w:gridSpan w:val="2"/>
            <w:shd w:val="clear" w:color="auto" w:fill="D9D9D9" w:themeFill="background1" w:themeFillShade="D9"/>
          </w:tcPr>
          <w:p w:rsidR="00C84AAB" w:rsidRPr="00EF3C6A" w:rsidRDefault="00C84AAB" w:rsidP="0018664B">
            <w:pPr>
              <w:pStyle w:val="Tabletext"/>
              <w:keepNext/>
              <w:keepLines/>
              <w:jc w:val="center"/>
            </w:pPr>
            <w:r w:rsidRPr="00EF3C6A">
              <w:t>(9.79, 15.24)</w:t>
            </w:r>
          </w:p>
        </w:tc>
      </w:tr>
      <w:tr w:rsidR="0006598B" w:rsidRPr="00EF3C6A" w:rsidTr="006F7015">
        <w:tc>
          <w:tcPr>
            <w:tcW w:w="665" w:type="pct"/>
            <w:vMerge/>
            <w:vAlign w:val="center"/>
          </w:tcPr>
          <w:p w:rsidR="0080436F" w:rsidRPr="00EF3C6A" w:rsidRDefault="0080436F" w:rsidP="0018664B">
            <w:pPr>
              <w:pStyle w:val="Tabletext"/>
              <w:keepNext/>
              <w:keepLines/>
            </w:pPr>
          </w:p>
        </w:tc>
        <w:tc>
          <w:tcPr>
            <w:tcW w:w="746" w:type="pct"/>
            <w:tcBorders>
              <w:right w:val="double" w:sz="4" w:space="0" w:color="auto"/>
            </w:tcBorders>
            <w:vAlign w:val="center"/>
          </w:tcPr>
          <w:p w:rsidR="0080436F" w:rsidRPr="00EF3C6A" w:rsidRDefault="0080436F" w:rsidP="0018664B">
            <w:pPr>
              <w:pStyle w:val="Tabletext"/>
              <w:keepNext/>
              <w:keepLines/>
            </w:pPr>
            <w:r w:rsidRPr="00EF3C6A">
              <w:t>HR (99.1% CI)</w:t>
            </w:r>
            <w:r w:rsidRPr="00EF3C6A">
              <w:rPr>
                <w:vertAlign w:val="superscript"/>
              </w:rPr>
              <w:t>e</w:t>
            </w:r>
            <w:r w:rsidRPr="00EF3C6A">
              <w:t xml:space="preserve"> </w:t>
            </w:r>
          </w:p>
        </w:tc>
        <w:tc>
          <w:tcPr>
            <w:tcW w:w="1277" w:type="pct"/>
            <w:gridSpan w:val="3"/>
            <w:tcBorders>
              <w:left w:val="double" w:sz="4" w:space="0" w:color="auto"/>
              <w:right w:val="double" w:sz="4" w:space="0" w:color="auto"/>
            </w:tcBorders>
            <w:vAlign w:val="center"/>
          </w:tcPr>
          <w:p w:rsidR="0080436F" w:rsidRPr="0018664B" w:rsidRDefault="0080436F" w:rsidP="0018664B">
            <w:pPr>
              <w:pStyle w:val="Tabletext"/>
              <w:keepNext/>
              <w:keepLines/>
              <w:jc w:val="center"/>
            </w:pPr>
            <w:r w:rsidRPr="0018664B">
              <w:t>0.82 (0.64, 1.05)</w:t>
            </w:r>
          </w:p>
        </w:tc>
        <w:tc>
          <w:tcPr>
            <w:tcW w:w="1072" w:type="pct"/>
            <w:gridSpan w:val="2"/>
            <w:tcBorders>
              <w:left w:val="double" w:sz="4" w:space="0" w:color="auto"/>
              <w:right w:val="double" w:sz="4" w:space="0" w:color="auto"/>
            </w:tcBorders>
            <w:shd w:val="clear" w:color="auto" w:fill="D9D9D9" w:themeFill="background1" w:themeFillShade="D9"/>
            <w:vAlign w:val="center"/>
          </w:tcPr>
          <w:p w:rsidR="0080436F" w:rsidRPr="00EF3C6A" w:rsidRDefault="00B07F6B" w:rsidP="0018664B">
            <w:pPr>
              <w:pStyle w:val="Tabletext"/>
              <w:keepNext/>
              <w:keepLines/>
              <w:jc w:val="center"/>
              <w:rPr>
                <w:b/>
              </w:rPr>
            </w:pPr>
            <w:r>
              <w:rPr>
                <w:b/>
                <w:noProof/>
                <w:color w:val="000000"/>
                <w:highlight w:val="black"/>
              </w:rPr>
              <w:t>''''''''</w:t>
            </w:r>
            <w:r w:rsidR="0080436F" w:rsidRPr="00EF3C6A">
              <w:rPr>
                <w:b/>
              </w:rPr>
              <w:t xml:space="preserve"> (</w:t>
            </w:r>
            <w:r>
              <w:rPr>
                <w:b/>
                <w:noProof/>
                <w:color w:val="000000"/>
                <w:highlight w:val="black"/>
              </w:rPr>
              <w:t>'''''''''</w:t>
            </w:r>
            <w:r w:rsidR="0080436F" w:rsidRPr="00EF3C6A">
              <w:rPr>
                <w:b/>
              </w:rPr>
              <w:t xml:space="preserve">, </w:t>
            </w:r>
            <w:r>
              <w:rPr>
                <w:b/>
                <w:noProof/>
                <w:color w:val="000000"/>
                <w:highlight w:val="black"/>
              </w:rPr>
              <w:t>''''''''</w:t>
            </w:r>
            <w:r w:rsidR="0080436F" w:rsidRPr="00EF3C6A">
              <w:rPr>
                <w:b/>
              </w:rPr>
              <w:t>)</w:t>
            </w:r>
          </w:p>
        </w:tc>
        <w:tc>
          <w:tcPr>
            <w:tcW w:w="1240" w:type="pct"/>
            <w:gridSpan w:val="3"/>
            <w:tcBorders>
              <w:left w:val="double" w:sz="4" w:space="0" w:color="auto"/>
            </w:tcBorders>
            <w:shd w:val="clear" w:color="auto" w:fill="D9D9D9" w:themeFill="background1" w:themeFillShade="D9"/>
            <w:vAlign w:val="center"/>
          </w:tcPr>
          <w:p w:rsidR="0080436F" w:rsidRPr="0018664B" w:rsidRDefault="00C84AAB" w:rsidP="0018664B">
            <w:pPr>
              <w:pStyle w:val="Tabletext"/>
              <w:keepNext/>
              <w:keepLines/>
              <w:jc w:val="center"/>
            </w:pPr>
            <w:r w:rsidRPr="0018664B">
              <w:t>0.98 (0.79, 1.23)</w:t>
            </w:r>
          </w:p>
        </w:tc>
      </w:tr>
      <w:tr w:rsidR="0006598B" w:rsidRPr="00EF3C6A" w:rsidTr="006F7015">
        <w:tc>
          <w:tcPr>
            <w:tcW w:w="665" w:type="pct"/>
            <w:vMerge/>
            <w:vAlign w:val="center"/>
          </w:tcPr>
          <w:p w:rsidR="0080436F" w:rsidRPr="00EF3C6A" w:rsidRDefault="0080436F" w:rsidP="0018664B">
            <w:pPr>
              <w:pStyle w:val="Tabletext"/>
              <w:keepNext/>
              <w:keepLines/>
            </w:pPr>
          </w:p>
        </w:tc>
        <w:tc>
          <w:tcPr>
            <w:tcW w:w="746" w:type="pct"/>
            <w:tcBorders>
              <w:right w:val="double" w:sz="4" w:space="0" w:color="auto"/>
            </w:tcBorders>
            <w:vAlign w:val="center"/>
          </w:tcPr>
          <w:p w:rsidR="0080436F" w:rsidRPr="00EF3C6A" w:rsidRDefault="00E20BA0" w:rsidP="0018664B">
            <w:pPr>
              <w:pStyle w:val="Tabletext"/>
              <w:keepNext/>
              <w:keepLines/>
            </w:pPr>
            <w:r>
              <w:t>p</w:t>
            </w:r>
            <w:r w:rsidR="0080436F" w:rsidRPr="00EF3C6A">
              <w:t>-</w:t>
            </w:r>
            <w:proofErr w:type="spellStart"/>
            <w:r w:rsidR="0080436F" w:rsidRPr="00EF3C6A">
              <w:t>value</w:t>
            </w:r>
            <w:r w:rsidR="0080436F" w:rsidRPr="00EF3C6A">
              <w:rPr>
                <w:vertAlign w:val="superscript"/>
              </w:rPr>
              <w:t>f</w:t>
            </w:r>
            <w:proofErr w:type="spellEnd"/>
          </w:p>
        </w:tc>
        <w:tc>
          <w:tcPr>
            <w:tcW w:w="1277" w:type="pct"/>
            <w:gridSpan w:val="3"/>
            <w:tcBorders>
              <w:left w:val="double" w:sz="4" w:space="0" w:color="auto"/>
              <w:right w:val="double" w:sz="4" w:space="0" w:color="auto"/>
            </w:tcBorders>
            <w:vAlign w:val="center"/>
          </w:tcPr>
          <w:p w:rsidR="0080436F" w:rsidRPr="0018664B" w:rsidRDefault="0080436F" w:rsidP="0018664B">
            <w:pPr>
              <w:pStyle w:val="Tabletext"/>
              <w:keepNext/>
              <w:keepLines/>
              <w:jc w:val="center"/>
            </w:pPr>
            <w:r w:rsidRPr="0018664B">
              <w:t>0.0331</w:t>
            </w:r>
          </w:p>
        </w:tc>
        <w:tc>
          <w:tcPr>
            <w:tcW w:w="1072" w:type="pct"/>
            <w:gridSpan w:val="2"/>
            <w:tcBorders>
              <w:left w:val="double" w:sz="4" w:space="0" w:color="auto"/>
              <w:right w:val="double" w:sz="4" w:space="0" w:color="auto"/>
            </w:tcBorders>
            <w:shd w:val="clear" w:color="auto" w:fill="D9D9D9" w:themeFill="background1" w:themeFillShade="D9"/>
            <w:vAlign w:val="center"/>
          </w:tcPr>
          <w:p w:rsidR="0080436F" w:rsidRPr="00B07F6B" w:rsidRDefault="00B07F6B" w:rsidP="0018664B">
            <w:pPr>
              <w:pStyle w:val="Tabletext"/>
              <w:keepNext/>
              <w:keepLines/>
              <w:jc w:val="center"/>
              <w:rPr>
                <w:highlight w:val="black"/>
              </w:rPr>
            </w:pPr>
            <w:r>
              <w:rPr>
                <w:noProof/>
                <w:color w:val="000000"/>
                <w:highlight w:val="black"/>
              </w:rPr>
              <w:t>''''''''''''''''''''</w:t>
            </w:r>
          </w:p>
        </w:tc>
        <w:tc>
          <w:tcPr>
            <w:tcW w:w="1240" w:type="pct"/>
            <w:gridSpan w:val="3"/>
            <w:tcBorders>
              <w:left w:val="double" w:sz="4" w:space="0" w:color="auto"/>
            </w:tcBorders>
            <w:shd w:val="clear" w:color="auto" w:fill="D9D9D9" w:themeFill="background1" w:themeFillShade="D9"/>
          </w:tcPr>
          <w:p w:rsidR="0080436F" w:rsidRPr="0018664B" w:rsidRDefault="00C84AAB" w:rsidP="0018664B">
            <w:pPr>
              <w:pStyle w:val="Tabletext"/>
              <w:keepNext/>
              <w:keepLines/>
              <w:jc w:val="center"/>
            </w:pPr>
            <w:r w:rsidRPr="0018664B">
              <w:t>0.8498</w:t>
            </w:r>
          </w:p>
        </w:tc>
      </w:tr>
      <w:tr w:rsidR="007F6257" w:rsidRPr="00EF3C6A" w:rsidTr="006F7015">
        <w:tc>
          <w:tcPr>
            <w:tcW w:w="665" w:type="pct"/>
            <w:vMerge w:val="restart"/>
            <w:vAlign w:val="center"/>
          </w:tcPr>
          <w:p w:rsidR="00C84AAB" w:rsidRPr="00EF3C6A" w:rsidRDefault="00C84AAB" w:rsidP="0018664B">
            <w:pPr>
              <w:pStyle w:val="Tabletext"/>
              <w:keepNext/>
              <w:keepLines/>
              <w:rPr>
                <w:rFonts w:ascii="Times" w:hAnsi="Times"/>
              </w:rPr>
            </w:pPr>
            <w:r w:rsidRPr="00EF3C6A">
              <w:t>Objective Response Rate (ORR) assessed by IRRC</w:t>
            </w:r>
          </w:p>
        </w:tc>
        <w:tc>
          <w:tcPr>
            <w:tcW w:w="746" w:type="pct"/>
            <w:tcBorders>
              <w:right w:val="double" w:sz="4" w:space="0" w:color="auto"/>
            </w:tcBorders>
            <w:vAlign w:val="center"/>
          </w:tcPr>
          <w:p w:rsidR="00C84AAB" w:rsidRPr="00EF3C6A" w:rsidRDefault="00C84AAB" w:rsidP="0018664B">
            <w:pPr>
              <w:pStyle w:val="Tabletext"/>
              <w:keepNext/>
              <w:keepLines/>
            </w:pPr>
            <w:proofErr w:type="gramStart"/>
            <w:r w:rsidRPr="00EF3C6A">
              <w:t>n</w:t>
            </w:r>
            <w:proofErr w:type="gramEnd"/>
            <w:r w:rsidRPr="00EF3C6A">
              <w:t xml:space="preserve"> responders (%)</w:t>
            </w:r>
          </w:p>
        </w:tc>
        <w:tc>
          <w:tcPr>
            <w:tcW w:w="630" w:type="pct"/>
            <w:tcBorders>
              <w:left w:val="double" w:sz="4" w:space="0" w:color="auto"/>
            </w:tcBorders>
            <w:vAlign w:val="center"/>
          </w:tcPr>
          <w:p w:rsidR="00C84AAB" w:rsidRPr="0018664B" w:rsidRDefault="00C84AAB" w:rsidP="0018664B">
            <w:pPr>
              <w:pStyle w:val="Tabletext"/>
              <w:keepNext/>
              <w:keepLines/>
              <w:jc w:val="center"/>
            </w:pPr>
            <w:r w:rsidRPr="0018664B">
              <w:t>177 (41.6)</w:t>
            </w:r>
          </w:p>
        </w:tc>
        <w:tc>
          <w:tcPr>
            <w:tcW w:w="647" w:type="pct"/>
            <w:gridSpan w:val="2"/>
            <w:tcBorders>
              <w:right w:val="double" w:sz="4" w:space="0" w:color="auto"/>
            </w:tcBorders>
            <w:vAlign w:val="center"/>
          </w:tcPr>
          <w:p w:rsidR="00C84AAB" w:rsidRPr="0018664B" w:rsidRDefault="00C84AAB" w:rsidP="0018664B">
            <w:pPr>
              <w:pStyle w:val="Tabletext"/>
              <w:keepNext/>
              <w:keepLines/>
              <w:jc w:val="center"/>
              <w:rPr>
                <w:rFonts w:ascii="Times" w:hAnsi="Times"/>
              </w:rPr>
            </w:pPr>
            <w:r w:rsidRPr="0018664B">
              <w:t>112 (26.5)</w:t>
            </w:r>
          </w:p>
        </w:tc>
        <w:tc>
          <w:tcPr>
            <w:tcW w:w="581" w:type="pct"/>
            <w:tcBorders>
              <w:left w:val="double" w:sz="4" w:space="0" w:color="auto"/>
            </w:tcBorders>
            <w:shd w:val="clear" w:color="auto" w:fill="D9D9D9" w:themeFill="background1" w:themeFillShade="D9"/>
            <w:vAlign w:val="center"/>
          </w:tcPr>
          <w:p w:rsidR="00C84AAB" w:rsidRPr="00EF3C6A" w:rsidRDefault="00B07F6B" w:rsidP="0018664B">
            <w:pPr>
              <w:pStyle w:val="Tabletext"/>
              <w:keepNext/>
              <w:keepLines/>
              <w:jc w:val="center"/>
            </w:pPr>
            <w:r>
              <w:rPr>
                <w:noProof/>
                <w:color w:val="000000"/>
                <w:highlight w:val="black"/>
              </w:rPr>
              <w:t>''''''</w:t>
            </w:r>
            <w:r w:rsidR="00C84AAB" w:rsidRPr="00EF3C6A">
              <w:t xml:space="preserve"> (</w:t>
            </w:r>
            <w:r>
              <w:rPr>
                <w:noProof/>
                <w:color w:val="000000"/>
                <w:highlight w:val="black"/>
              </w:rPr>
              <w:t>''''''''''''</w:t>
            </w:r>
            <w:r w:rsidR="00C84AAB" w:rsidRPr="00EF3C6A">
              <w:t>)</w:t>
            </w:r>
          </w:p>
        </w:tc>
        <w:tc>
          <w:tcPr>
            <w:tcW w:w="491" w:type="pct"/>
            <w:tcBorders>
              <w:right w:val="double" w:sz="4" w:space="0" w:color="auto"/>
            </w:tcBorders>
            <w:shd w:val="clear" w:color="auto" w:fill="D9D9D9" w:themeFill="background1" w:themeFillShade="D9"/>
            <w:vAlign w:val="center"/>
          </w:tcPr>
          <w:p w:rsidR="00C84AAB" w:rsidRPr="00EF3C6A" w:rsidRDefault="00B07F6B" w:rsidP="0018664B">
            <w:pPr>
              <w:pStyle w:val="Tabletext"/>
              <w:keepNext/>
              <w:keepLines/>
              <w:jc w:val="center"/>
            </w:pPr>
            <w:r>
              <w:rPr>
                <w:noProof/>
                <w:color w:val="000000"/>
                <w:highlight w:val="black"/>
              </w:rPr>
              <w:t>''''''</w:t>
            </w:r>
            <w:r w:rsidR="00C84AAB" w:rsidRPr="00EF3C6A">
              <w:t xml:space="preserve"> (</w:t>
            </w:r>
            <w:r>
              <w:rPr>
                <w:noProof/>
                <w:color w:val="000000"/>
                <w:highlight w:val="black"/>
              </w:rPr>
              <w:t>''''''''''</w:t>
            </w:r>
            <w:r w:rsidR="00C84AAB" w:rsidRPr="00EF3C6A">
              <w:t>)</w:t>
            </w:r>
          </w:p>
        </w:tc>
        <w:tc>
          <w:tcPr>
            <w:tcW w:w="620" w:type="pct"/>
            <w:tcBorders>
              <w:left w:val="double" w:sz="4" w:space="0" w:color="auto"/>
            </w:tcBorders>
            <w:shd w:val="clear" w:color="auto" w:fill="D9D9D9" w:themeFill="background1" w:themeFillShade="D9"/>
          </w:tcPr>
          <w:p w:rsidR="00C84AAB" w:rsidRPr="00EF3C6A" w:rsidRDefault="00C84AAB" w:rsidP="0018664B">
            <w:pPr>
              <w:pStyle w:val="Tabletext"/>
              <w:keepNext/>
              <w:keepLines/>
              <w:jc w:val="center"/>
            </w:pPr>
            <w:r w:rsidRPr="00EF3C6A">
              <w:t>213 (38.7)</w:t>
            </w:r>
          </w:p>
        </w:tc>
        <w:tc>
          <w:tcPr>
            <w:tcW w:w="620" w:type="pct"/>
            <w:gridSpan w:val="2"/>
            <w:shd w:val="clear" w:color="auto" w:fill="D9D9D9" w:themeFill="background1" w:themeFillShade="D9"/>
          </w:tcPr>
          <w:p w:rsidR="00C84AAB" w:rsidRPr="00EF3C6A" w:rsidRDefault="00C84AAB" w:rsidP="0018664B">
            <w:pPr>
              <w:pStyle w:val="Tabletext"/>
              <w:keepNext/>
              <w:keepLines/>
              <w:jc w:val="center"/>
            </w:pPr>
            <w:r w:rsidRPr="00EF3C6A">
              <w:t>176 (32.2)</w:t>
            </w:r>
          </w:p>
        </w:tc>
      </w:tr>
      <w:tr w:rsidR="007F6257" w:rsidRPr="00EF3C6A" w:rsidTr="006F7015">
        <w:tc>
          <w:tcPr>
            <w:tcW w:w="665" w:type="pct"/>
            <w:vMerge/>
            <w:vAlign w:val="center"/>
          </w:tcPr>
          <w:p w:rsidR="003A4D0F" w:rsidRPr="00EF3C6A" w:rsidRDefault="003A4D0F" w:rsidP="0018664B">
            <w:pPr>
              <w:pStyle w:val="Tabletext"/>
              <w:keepNext/>
              <w:keepLines/>
            </w:pPr>
          </w:p>
        </w:tc>
        <w:tc>
          <w:tcPr>
            <w:tcW w:w="746" w:type="pct"/>
            <w:tcBorders>
              <w:right w:val="double" w:sz="4" w:space="0" w:color="auto"/>
            </w:tcBorders>
            <w:vAlign w:val="center"/>
          </w:tcPr>
          <w:p w:rsidR="003A4D0F" w:rsidRPr="00EF3C6A" w:rsidRDefault="003A4D0F" w:rsidP="0018664B">
            <w:pPr>
              <w:pStyle w:val="Tabletext"/>
              <w:keepNext/>
              <w:keepLines/>
            </w:pPr>
            <w:r w:rsidRPr="00EF3C6A">
              <w:t xml:space="preserve">Exact 95% </w:t>
            </w:r>
            <w:proofErr w:type="spellStart"/>
            <w:r w:rsidRPr="00EF3C6A">
              <w:t>CI</w:t>
            </w:r>
            <w:r w:rsidRPr="00EF3C6A">
              <w:rPr>
                <w:vertAlign w:val="superscript"/>
              </w:rPr>
              <w:t>g</w:t>
            </w:r>
            <w:proofErr w:type="spellEnd"/>
          </w:p>
        </w:tc>
        <w:tc>
          <w:tcPr>
            <w:tcW w:w="630" w:type="pct"/>
            <w:tcBorders>
              <w:left w:val="double" w:sz="4" w:space="0" w:color="auto"/>
            </w:tcBorders>
            <w:vAlign w:val="center"/>
          </w:tcPr>
          <w:p w:rsidR="003A4D0F" w:rsidRPr="00EF3C6A" w:rsidRDefault="003A4D0F" w:rsidP="0018664B">
            <w:pPr>
              <w:pStyle w:val="Tabletext"/>
              <w:keepNext/>
              <w:keepLines/>
              <w:jc w:val="center"/>
              <w:rPr>
                <w:rFonts w:ascii="Times" w:hAnsi="Times"/>
              </w:rPr>
            </w:pPr>
            <w:r w:rsidRPr="00EF3C6A">
              <w:t>(</w:t>
            </w:r>
            <w:r w:rsidR="00B07F6B">
              <w:rPr>
                <w:noProof/>
                <w:color w:val="000000"/>
                <w:highlight w:val="black"/>
              </w:rPr>
              <w:t>''''''''''''</w:t>
            </w:r>
            <w:r w:rsidRPr="00EF3C6A">
              <w:t xml:space="preserve">, </w:t>
            </w:r>
            <w:r w:rsidR="00B07F6B">
              <w:rPr>
                <w:noProof/>
                <w:color w:val="000000"/>
                <w:highlight w:val="black"/>
              </w:rPr>
              <w:t>'''''''''''</w:t>
            </w:r>
            <w:r w:rsidRPr="00EF3C6A">
              <w:t>)</w:t>
            </w:r>
          </w:p>
        </w:tc>
        <w:tc>
          <w:tcPr>
            <w:tcW w:w="647" w:type="pct"/>
            <w:gridSpan w:val="2"/>
            <w:tcBorders>
              <w:right w:val="double" w:sz="4" w:space="0" w:color="auto"/>
            </w:tcBorders>
            <w:vAlign w:val="center"/>
          </w:tcPr>
          <w:p w:rsidR="003A4D0F" w:rsidRPr="00EF3C6A" w:rsidRDefault="003A4D0F" w:rsidP="0018664B">
            <w:pPr>
              <w:pStyle w:val="Tabletext"/>
              <w:keepNext/>
              <w:keepLines/>
              <w:jc w:val="center"/>
              <w:rPr>
                <w:rFonts w:ascii="Times" w:hAnsi="Times"/>
              </w:rPr>
            </w:pPr>
            <w:r w:rsidRPr="00EF3C6A">
              <w:t>(</w:t>
            </w:r>
            <w:r w:rsidR="00B07F6B">
              <w:rPr>
                <w:noProof/>
                <w:color w:val="000000"/>
                <w:highlight w:val="black"/>
              </w:rPr>
              <w:t>'''''''''''</w:t>
            </w:r>
            <w:r w:rsidRPr="00EF3C6A">
              <w:t xml:space="preserve">, </w:t>
            </w:r>
            <w:r w:rsidR="00B07F6B">
              <w:rPr>
                <w:noProof/>
                <w:color w:val="000000"/>
                <w:highlight w:val="black"/>
              </w:rPr>
              <w:t>''''''''''</w:t>
            </w:r>
            <w:r w:rsidRPr="00EF3C6A">
              <w:t>)</w:t>
            </w:r>
          </w:p>
        </w:tc>
        <w:tc>
          <w:tcPr>
            <w:tcW w:w="581" w:type="pct"/>
            <w:tcBorders>
              <w:left w:val="double" w:sz="4" w:space="0" w:color="auto"/>
            </w:tcBorders>
            <w:shd w:val="clear" w:color="auto" w:fill="D9D9D9" w:themeFill="background1" w:themeFillShade="D9"/>
            <w:vAlign w:val="center"/>
          </w:tcPr>
          <w:p w:rsidR="003A4D0F" w:rsidRPr="00EF3C6A" w:rsidRDefault="003A4D0F" w:rsidP="0018664B">
            <w:pPr>
              <w:pStyle w:val="Tabletext"/>
              <w:keepNext/>
              <w:keepLines/>
              <w:jc w:val="center"/>
            </w:pPr>
            <w:r w:rsidRPr="00EF3C6A">
              <w:t>(</w:t>
            </w:r>
            <w:r w:rsidR="00B07F6B">
              <w:rPr>
                <w:noProof/>
                <w:color w:val="000000"/>
                <w:highlight w:val="black"/>
              </w:rPr>
              <w:t>'''''''''''</w:t>
            </w:r>
            <w:r w:rsidRPr="00EF3C6A">
              <w:t xml:space="preserve">, </w:t>
            </w:r>
            <w:r w:rsidR="00B07F6B">
              <w:rPr>
                <w:noProof/>
                <w:color w:val="000000"/>
                <w:highlight w:val="black"/>
              </w:rPr>
              <w:t>'''''''''''</w:t>
            </w:r>
            <w:r w:rsidRPr="00EF3C6A">
              <w:t>)</w:t>
            </w:r>
          </w:p>
        </w:tc>
        <w:tc>
          <w:tcPr>
            <w:tcW w:w="491" w:type="pct"/>
            <w:tcBorders>
              <w:right w:val="double" w:sz="4" w:space="0" w:color="auto"/>
            </w:tcBorders>
            <w:shd w:val="clear" w:color="auto" w:fill="D9D9D9" w:themeFill="background1" w:themeFillShade="D9"/>
            <w:vAlign w:val="center"/>
          </w:tcPr>
          <w:p w:rsidR="003A4D0F" w:rsidRPr="00EF3C6A" w:rsidRDefault="003A4D0F" w:rsidP="0018664B">
            <w:pPr>
              <w:pStyle w:val="Tabletext"/>
              <w:keepNext/>
              <w:keepLines/>
              <w:jc w:val="center"/>
            </w:pPr>
            <w:r w:rsidRPr="00EF3C6A">
              <w:t>(</w:t>
            </w:r>
            <w:r w:rsidR="00B07F6B">
              <w:rPr>
                <w:noProof/>
                <w:color w:val="000000"/>
                <w:highlight w:val="black"/>
              </w:rPr>
              <w:t>''''''''''</w:t>
            </w:r>
            <w:r w:rsidRPr="00EF3C6A">
              <w:t xml:space="preserve">, </w:t>
            </w:r>
            <w:r w:rsidR="00B07F6B">
              <w:rPr>
                <w:noProof/>
                <w:color w:val="000000"/>
                <w:highlight w:val="black"/>
              </w:rPr>
              <w:t>'''''''''''</w:t>
            </w:r>
            <w:r w:rsidRPr="00EF3C6A">
              <w:t>)</w:t>
            </w:r>
          </w:p>
        </w:tc>
        <w:tc>
          <w:tcPr>
            <w:tcW w:w="620" w:type="pct"/>
            <w:tcBorders>
              <w:left w:val="double" w:sz="4" w:space="0" w:color="auto"/>
            </w:tcBorders>
            <w:shd w:val="clear" w:color="auto" w:fill="D9D9D9" w:themeFill="background1" w:themeFillShade="D9"/>
          </w:tcPr>
          <w:p w:rsidR="003A4D0F" w:rsidRPr="00EF3C6A" w:rsidRDefault="00B07F6B" w:rsidP="0018664B">
            <w:pPr>
              <w:pStyle w:val="Tabletext"/>
              <w:keepNext/>
              <w:keepLines/>
              <w:jc w:val="center"/>
            </w:pPr>
            <w:r>
              <w:rPr>
                <w:noProof/>
                <w:color w:val="000000"/>
                <w:highlight w:val="black"/>
              </w:rPr>
              <w:t>''''''''''</w:t>
            </w:r>
            <w:r w:rsidR="003A4D0F" w:rsidRPr="00EF3C6A">
              <w:t xml:space="preserve">, </w:t>
            </w:r>
            <w:r>
              <w:rPr>
                <w:noProof/>
                <w:color w:val="000000"/>
                <w:highlight w:val="black"/>
              </w:rPr>
              <w:t>''''''''''''</w:t>
            </w:r>
          </w:p>
        </w:tc>
        <w:tc>
          <w:tcPr>
            <w:tcW w:w="620" w:type="pct"/>
            <w:gridSpan w:val="2"/>
            <w:shd w:val="clear" w:color="auto" w:fill="D9D9D9" w:themeFill="background1" w:themeFillShade="D9"/>
          </w:tcPr>
          <w:p w:rsidR="003A4D0F" w:rsidRPr="00EF3C6A" w:rsidRDefault="00B07F6B" w:rsidP="0018664B">
            <w:pPr>
              <w:pStyle w:val="Tabletext"/>
              <w:keepNext/>
              <w:keepLines/>
              <w:jc w:val="center"/>
            </w:pPr>
            <w:r>
              <w:rPr>
                <w:noProof/>
                <w:color w:val="000000"/>
                <w:highlight w:val="black"/>
              </w:rPr>
              <w:t>''''''''''</w:t>
            </w:r>
            <w:r w:rsidR="003A4D0F" w:rsidRPr="00EF3C6A">
              <w:t xml:space="preserve">, </w:t>
            </w:r>
            <w:r>
              <w:rPr>
                <w:noProof/>
                <w:color w:val="000000"/>
                <w:highlight w:val="black"/>
              </w:rPr>
              <w:t>''''''''''</w:t>
            </w:r>
          </w:p>
        </w:tc>
      </w:tr>
      <w:tr w:rsidR="0006598B" w:rsidRPr="00EF3C6A" w:rsidTr="006F7015">
        <w:tc>
          <w:tcPr>
            <w:tcW w:w="665" w:type="pct"/>
            <w:vMerge/>
            <w:vAlign w:val="center"/>
          </w:tcPr>
          <w:p w:rsidR="0080436F" w:rsidRPr="00EF3C6A" w:rsidRDefault="0080436F" w:rsidP="0018664B">
            <w:pPr>
              <w:pStyle w:val="Tabletext"/>
              <w:keepNext/>
              <w:keepLines/>
            </w:pPr>
          </w:p>
        </w:tc>
        <w:tc>
          <w:tcPr>
            <w:tcW w:w="746" w:type="pct"/>
            <w:tcBorders>
              <w:right w:val="double" w:sz="4" w:space="0" w:color="auto"/>
            </w:tcBorders>
            <w:vAlign w:val="center"/>
          </w:tcPr>
          <w:p w:rsidR="0080436F" w:rsidRPr="00EF3C6A" w:rsidRDefault="0080436F" w:rsidP="0018664B">
            <w:pPr>
              <w:pStyle w:val="Tabletext"/>
              <w:keepNext/>
              <w:keepLines/>
            </w:pPr>
            <w:r w:rsidRPr="00EF3C6A">
              <w:t>Difference in ORR (95% CI)</w:t>
            </w:r>
            <w:proofErr w:type="spellStart"/>
            <w:r w:rsidRPr="00EF3C6A">
              <w:rPr>
                <w:vertAlign w:val="superscript"/>
              </w:rPr>
              <w:t>h,i</w:t>
            </w:r>
            <w:proofErr w:type="spellEnd"/>
          </w:p>
        </w:tc>
        <w:tc>
          <w:tcPr>
            <w:tcW w:w="1277" w:type="pct"/>
            <w:gridSpan w:val="3"/>
            <w:tcBorders>
              <w:left w:val="double" w:sz="4" w:space="0" w:color="auto"/>
              <w:right w:val="double" w:sz="4" w:space="0" w:color="auto"/>
            </w:tcBorders>
            <w:vAlign w:val="center"/>
          </w:tcPr>
          <w:p w:rsidR="0080436F" w:rsidRPr="00EF3C6A" w:rsidRDefault="0080436F" w:rsidP="0018664B">
            <w:pPr>
              <w:pStyle w:val="Tabletext"/>
              <w:keepNext/>
              <w:keepLines/>
              <w:jc w:val="center"/>
              <w:rPr>
                <w:rFonts w:ascii="Times" w:hAnsi="Times"/>
                <w:b/>
              </w:rPr>
            </w:pPr>
            <w:r w:rsidRPr="00EF3C6A">
              <w:rPr>
                <w:b/>
              </w:rPr>
              <w:t>16.0 (9.8, 22.2)</w:t>
            </w:r>
          </w:p>
        </w:tc>
        <w:tc>
          <w:tcPr>
            <w:tcW w:w="1072" w:type="pct"/>
            <w:gridSpan w:val="2"/>
            <w:tcBorders>
              <w:left w:val="double" w:sz="4" w:space="0" w:color="auto"/>
              <w:right w:val="double" w:sz="4" w:space="0" w:color="auto"/>
            </w:tcBorders>
            <w:shd w:val="clear" w:color="auto" w:fill="D9D9D9" w:themeFill="background1" w:themeFillShade="D9"/>
            <w:vAlign w:val="center"/>
          </w:tcPr>
          <w:p w:rsidR="0080436F" w:rsidRPr="00EF3C6A" w:rsidRDefault="00B07F6B" w:rsidP="0018664B">
            <w:pPr>
              <w:pStyle w:val="Tabletext"/>
              <w:keepNext/>
              <w:keepLines/>
              <w:jc w:val="center"/>
              <w:rPr>
                <w:b/>
              </w:rPr>
            </w:pPr>
            <w:r>
              <w:rPr>
                <w:b/>
                <w:noProof/>
                <w:color w:val="000000"/>
                <w:highlight w:val="black"/>
              </w:rPr>
              <w:t>'''''''''</w:t>
            </w:r>
            <w:r w:rsidR="0080436F" w:rsidRPr="00EF3C6A">
              <w:rPr>
                <w:b/>
              </w:rPr>
              <w:t xml:space="preserve"> (</w:t>
            </w:r>
            <w:r>
              <w:rPr>
                <w:b/>
                <w:noProof/>
                <w:color w:val="000000"/>
                <w:highlight w:val="black"/>
              </w:rPr>
              <w:t>''''''''''</w:t>
            </w:r>
            <w:r w:rsidR="0080436F" w:rsidRPr="00FD37F8">
              <w:rPr>
                <w:b/>
              </w:rPr>
              <w:t xml:space="preserve">, </w:t>
            </w:r>
            <w:r>
              <w:rPr>
                <w:b/>
                <w:noProof/>
                <w:color w:val="000000"/>
                <w:highlight w:val="black"/>
              </w:rPr>
              <w:t>''''''''''</w:t>
            </w:r>
            <w:r w:rsidR="0080436F" w:rsidRPr="00EF3C6A">
              <w:rPr>
                <w:b/>
              </w:rPr>
              <w:t>)</w:t>
            </w:r>
          </w:p>
        </w:tc>
        <w:tc>
          <w:tcPr>
            <w:tcW w:w="1240" w:type="pct"/>
            <w:gridSpan w:val="3"/>
            <w:tcBorders>
              <w:left w:val="double" w:sz="4" w:space="0" w:color="auto"/>
            </w:tcBorders>
            <w:shd w:val="clear" w:color="auto" w:fill="D9D9D9" w:themeFill="background1" w:themeFillShade="D9"/>
            <w:vAlign w:val="center"/>
          </w:tcPr>
          <w:p w:rsidR="0080436F" w:rsidRPr="00EF3C6A" w:rsidRDefault="003A4D0F" w:rsidP="0018664B">
            <w:pPr>
              <w:pStyle w:val="Tabletext"/>
              <w:keepNext/>
              <w:keepLines/>
              <w:jc w:val="center"/>
              <w:rPr>
                <w:b/>
              </w:rPr>
            </w:pPr>
            <w:r w:rsidRPr="00EF3C6A">
              <w:rPr>
                <w:b/>
              </w:rPr>
              <w:t>7.2 (1.8, 12.7)</w:t>
            </w:r>
          </w:p>
        </w:tc>
      </w:tr>
      <w:tr w:rsidR="0006598B" w:rsidRPr="00EF3C6A" w:rsidTr="006F7015">
        <w:tc>
          <w:tcPr>
            <w:tcW w:w="665" w:type="pct"/>
            <w:vMerge/>
            <w:vAlign w:val="center"/>
          </w:tcPr>
          <w:p w:rsidR="0080436F" w:rsidRPr="00EF3C6A" w:rsidRDefault="0080436F" w:rsidP="0018664B">
            <w:pPr>
              <w:pStyle w:val="Tabletext"/>
              <w:keepNext/>
              <w:keepLines/>
            </w:pPr>
          </w:p>
        </w:tc>
        <w:tc>
          <w:tcPr>
            <w:tcW w:w="746" w:type="pct"/>
            <w:tcBorders>
              <w:right w:val="double" w:sz="4" w:space="0" w:color="auto"/>
            </w:tcBorders>
            <w:vAlign w:val="center"/>
          </w:tcPr>
          <w:p w:rsidR="0080436F" w:rsidRPr="00EF3C6A" w:rsidRDefault="00E20BA0" w:rsidP="0018664B">
            <w:pPr>
              <w:pStyle w:val="Tabletext"/>
              <w:keepNext/>
              <w:keepLines/>
            </w:pPr>
            <w:r>
              <w:t>p</w:t>
            </w:r>
            <w:r w:rsidR="0080436F" w:rsidRPr="00EF3C6A">
              <w:t>-</w:t>
            </w:r>
            <w:proofErr w:type="spellStart"/>
            <w:r w:rsidR="0080436F" w:rsidRPr="00EF3C6A">
              <w:t>value</w:t>
            </w:r>
            <w:r w:rsidR="0080436F" w:rsidRPr="00EF3C6A">
              <w:rPr>
                <w:vertAlign w:val="superscript"/>
              </w:rPr>
              <w:t>j</w:t>
            </w:r>
            <w:proofErr w:type="spellEnd"/>
          </w:p>
        </w:tc>
        <w:tc>
          <w:tcPr>
            <w:tcW w:w="1277" w:type="pct"/>
            <w:gridSpan w:val="3"/>
            <w:tcBorders>
              <w:left w:val="double" w:sz="4" w:space="0" w:color="auto"/>
              <w:right w:val="double" w:sz="4" w:space="0" w:color="auto"/>
            </w:tcBorders>
            <w:vAlign w:val="center"/>
          </w:tcPr>
          <w:p w:rsidR="0080436F" w:rsidRPr="00B07F6B" w:rsidRDefault="00B07F6B" w:rsidP="0018664B">
            <w:pPr>
              <w:pStyle w:val="Tabletext"/>
              <w:keepNext/>
              <w:keepLines/>
              <w:jc w:val="center"/>
              <w:rPr>
                <w:rFonts w:ascii="Times" w:hAnsi="Times"/>
                <w:highlight w:val="black"/>
              </w:rPr>
            </w:pPr>
            <w:r>
              <w:rPr>
                <w:noProof/>
                <w:color w:val="000000"/>
                <w:highlight w:val="black"/>
              </w:rPr>
              <w:t>''''''''''''''''''''</w:t>
            </w:r>
          </w:p>
        </w:tc>
        <w:tc>
          <w:tcPr>
            <w:tcW w:w="1072" w:type="pct"/>
            <w:gridSpan w:val="2"/>
            <w:tcBorders>
              <w:left w:val="double" w:sz="4" w:space="0" w:color="auto"/>
              <w:right w:val="double" w:sz="4" w:space="0" w:color="auto"/>
            </w:tcBorders>
            <w:shd w:val="clear" w:color="auto" w:fill="D9D9D9" w:themeFill="background1" w:themeFillShade="D9"/>
            <w:vAlign w:val="center"/>
          </w:tcPr>
          <w:p w:rsidR="0080436F" w:rsidRPr="00B07F6B" w:rsidRDefault="00B07F6B" w:rsidP="0018664B">
            <w:pPr>
              <w:pStyle w:val="Tabletext"/>
              <w:keepNext/>
              <w:keepLines/>
              <w:jc w:val="center"/>
              <w:rPr>
                <w:highlight w:val="black"/>
              </w:rPr>
            </w:pPr>
            <w:r>
              <w:rPr>
                <w:noProof/>
                <w:color w:val="000000"/>
                <w:highlight w:val="black"/>
              </w:rPr>
              <w:t>'''''''''''''''</w:t>
            </w:r>
          </w:p>
        </w:tc>
        <w:tc>
          <w:tcPr>
            <w:tcW w:w="1240" w:type="pct"/>
            <w:gridSpan w:val="3"/>
            <w:tcBorders>
              <w:left w:val="double" w:sz="4" w:space="0" w:color="auto"/>
            </w:tcBorders>
            <w:shd w:val="clear" w:color="auto" w:fill="D9D9D9" w:themeFill="background1" w:themeFillShade="D9"/>
          </w:tcPr>
          <w:p w:rsidR="0080436F" w:rsidRPr="00B07F6B" w:rsidRDefault="00B07F6B" w:rsidP="0018664B">
            <w:pPr>
              <w:pStyle w:val="Tabletext"/>
              <w:keepNext/>
              <w:keepLines/>
              <w:jc w:val="center"/>
              <w:rPr>
                <w:highlight w:val="black"/>
              </w:rPr>
            </w:pPr>
            <w:r>
              <w:rPr>
                <w:noProof/>
                <w:color w:val="000000"/>
                <w:highlight w:val="black"/>
              </w:rPr>
              <w:t>''''''''''''''''''</w:t>
            </w:r>
          </w:p>
        </w:tc>
      </w:tr>
      <w:tr w:rsidR="00F846EB" w:rsidRPr="00EF3C6A" w:rsidTr="007241F1">
        <w:tc>
          <w:tcPr>
            <w:tcW w:w="665" w:type="pct"/>
            <w:vAlign w:val="center"/>
          </w:tcPr>
          <w:p w:rsidR="00F846EB" w:rsidRPr="00EF3C6A" w:rsidRDefault="00F846EB" w:rsidP="0018664B">
            <w:pPr>
              <w:pStyle w:val="Tabletext"/>
              <w:keepNext/>
              <w:keepLines/>
            </w:pPr>
            <w:r>
              <w:t>Complete Response</w:t>
            </w:r>
          </w:p>
        </w:tc>
        <w:tc>
          <w:tcPr>
            <w:tcW w:w="746" w:type="pct"/>
            <w:tcBorders>
              <w:right w:val="double" w:sz="4" w:space="0" w:color="auto"/>
            </w:tcBorders>
            <w:vAlign w:val="center"/>
          </w:tcPr>
          <w:p w:rsidR="00F846EB" w:rsidRPr="00EF3C6A" w:rsidRDefault="00F846EB" w:rsidP="0018664B">
            <w:pPr>
              <w:pStyle w:val="Tabletext"/>
              <w:keepNext/>
              <w:keepLines/>
            </w:pPr>
            <w:proofErr w:type="gramStart"/>
            <w:r w:rsidRPr="00EF3C6A">
              <w:t>n</w:t>
            </w:r>
            <w:proofErr w:type="gramEnd"/>
            <w:r w:rsidRPr="00EF3C6A">
              <w:t xml:space="preserve"> responders (%)</w:t>
            </w:r>
          </w:p>
        </w:tc>
        <w:tc>
          <w:tcPr>
            <w:tcW w:w="647" w:type="pct"/>
            <w:gridSpan w:val="2"/>
            <w:tcBorders>
              <w:left w:val="double" w:sz="4" w:space="0" w:color="auto"/>
              <w:right w:val="single" w:sz="4" w:space="0" w:color="auto"/>
            </w:tcBorders>
            <w:vAlign w:val="center"/>
          </w:tcPr>
          <w:p w:rsidR="00F846EB" w:rsidRPr="00EF3C6A" w:rsidRDefault="00B07F6B" w:rsidP="0018664B">
            <w:pPr>
              <w:pStyle w:val="Tabletext"/>
              <w:keepNext/>
              <w:keepLines/>
              <w:jc w:val="center"/>
            </w:pPr>
            <w:r>
              <w:rPr>
                <w:noProof/>
                <w:color w:val="000000"/>
                <w:highlight w:val="black"/>
              </w:rPr>
              <w:t>''''''</w:t>
            </w:r>
            <w:r w:rsidR="00F846EB">
              <w:t xml:space="preserve"> (</w:t>
            </w:r>
            <w:r>
              <w:rPr>
                <w:noProof/>
                <w:color w:val="000000"/>
                <w:highlight w:val="black"/>
              </w:rPr>
              <w:t>'''''''</w:t>
            </w:r>
            <w:r w:rsidR="00F846EB">
              <w:t>%)</w:t>
            </w:r>
          </w:p>
        </w:tc>
        <w:tc>
          <w:tcPr>
            <w:tcW w:w="630" w:type="pct"/>
            <w:tcBorders>
              <w:left w:val="single" w:sz="4" w:space="0" w:color="auto"/>
              <w:right w:val="double" w:sz="4" w:space="0" w:color="auto"/>
            </w:tcBorders>
            <w:vAlign w:val="center"/>
          </w:tcPr>
          <w:p w:rsidR="00F846EB" w:rsidRPr="00EF3C6A" w:rsidRDefault="00B07F6B" w:rsidP="0018664B">
            <w:pPr>
              <w:pStyle w:val="Tabletext"/>
              <w:keepNext/>
              <w:keepLines/>
              <w:jc w:val="center"/>
            </w:pPr>
            <w:r>
              <w:rPr>
                <w:noProof/>
                <w:color w:val="000000"/>
                <w:highlight w:val="black"/>
              </w:rPr>
              <w:t>'''</w:t>
            </w:r>
            <w:r w:rsidR="00F846EB">
              <w:t xml:space="preserve"> (</w:t>
            </w:r>
            <w:r>
              <w:rPr>
                <w:noProof/>
                <w:color w:val="000000"/>
                <w:highlight w:val="black"/>
              </w:rPr>
              <w:t>''''''''</w:t>
            </w:r>
            <w:r w:rsidR="00F846EB">
              <w:t>%)</w:t>
            </w:r>
          </w:p>
        </w:tc>
        <w:tc>
          <w:tcPr>
            <w:tcW w:w="1072" w:type="pct"/>
            <w:gridSpan w:val="2"/>
            <w:tcBorders>
              <w:left w:val="double" w:sz="4" w:space="0" w:color="auto"/>
              <w:right w:val="double" w:sz="4" w:space="0" w:color="auto"/>
            </w:tcBorders>
            <w:shd w:val="clear" w:color="auto" w:fill="D9D9D9" w:themeFill="background1" w:themeFillShade="D9"/>
            <w:vAlign w:val="center"/>
          </w:tcPr>
          <w:p w:rsidR="00F846EB" w:rsidRPr="00EF3C6A" w:rsidRDefault="00F846EB" w:rsidP="0018664B">
            <w:pPr>
              <w:pStyle w:val="Tabletext"/>
              <w:keepNext/>
              <w:keepLines/>
              <w:jc w:val="center"/>
            </w:pPr>
            <w:r>
              <w:t>-</w:t>
            </w:r>
          </w:p>
        </w:tc>
        <w:tc>
          <w:tcPr>
            <w:tcW w:w="631" w:type="pct"/>
            <w:gridSpan w:val="2"/>
            <w:tcBorders>
              <w:left w:val="double" w:sz="4" w:space="0" w:color="auto"/>
              <w:right w:val="single" w:sz="4" w:space="0" w:color="auto"/>
            </w:tcBorders>
            <w:shd w:val="clear" w:color="auto" w:fill="D9D9D9" w:themeFill="background1" w:themeFillShade="D9"/>
            <w:vAlign w:val="center"/>
          </w:tcPr>
          <w:p w:rsidR="00F846EB" w:rsidRPr="00EF3C6A" w:rsidRDefault="00B07F6B" w:rsidP="0018664B">
            <w:pPr>
              <w:pStyle w:val="Tabletext"/>
              <w:keepNext/>
              <w:keepLines/>
              <w:jc w:val="center"/>
            </w:pPr>
            <w:r>
              <w:rPr>
                <w:noProof/>
                <w:color w:val="000000"/>
                <w:highlight w:val="black"/>
              </w:rPr>
              <w:t>''''''</w:t>
            </w:r>
            <w:r w:rsidR="00F846EB">
              <w:t xml:space="preserve"> (</w:t>
            </w:r>
            <w:r>
              <w:rPr>
                <w:noProof/>
                <w:color w:val="000000"/>
                <w:highlight w:val="black"/>
              </w:rPr>
              <w:t>'''''''</w:t>
            </w:r>
            <w:r w:rsidR="00F846EB">
              <w:t>)</w:t>
            </w:r>
          </w:p>
        </w:tc>
        <w:tc>
          <w:tcPr>
            <w:tcW w:w="609" w:type="pct"/>
            <w:tcBorders>
              <w:left w:val="single" w:sz="4" w:space="0" w:color="auto"/>
            </w:tcBorders>
            <w:shd w:val="clear" w:color="auto" w:fill="D9D9D9" w:themeFill="background1" w:themeFillShade="D9"/>
            <w:vAlign w:val="center"/>
          </w:tcPr>
          <w:p w:rsidR="00F846EB" w:rsidRPr="00EF3C6A" w:rsidRDefault="00B07F6B" w:rsidP="0018664B">
            <w:pPr>
              <w:pStyle w:val="Tabletext"/>
              <w:keepNext/>
              <w:keepLines/>
              <w:jc w:val="center"/>
            </w:pPr>
            <w:r>
              <w:rPr>
                <w:noProof/>
                <w:color w:val="000000"/>
                <w:highlight w:val="black"/>
              </w:rPr>
              <w:t>'''''''</w:t>
            </w:r>
            <w:r w:rsidR="00F846EB">
              <w:t xml:space="preserve"> (</w:t>
            </w:r>
            <w:r>
              <w:rPr>
                <w:noProof/>
                <w:color w:val="000000"/>
                <w:highlight w:val="black"/>
              </w:rPr>
              <w:t>'''''''</w:t>
            </w:r>
            <w:r w:rsidR="00F846EB">
              <w:t>)</w:t>
            </w:r>
          </w:p>
        </w:tc>
      </w:tr>
    </w:tbl>
    <w:p w:rsidR="003D14A4" w:rsidRPr="00EF3C6A" w:rsidRDefault="003D14A4" w:rsidP="0018664B">
      <w:pPr>
        <w:pStyle w:val="TableFooter"/>
        <w:keepNext/>
        <w:keepLines/>
        <w:tabs>
          <w:tab w:val="left" w:pos="4536"/>
          <w:tab w:val="left" w:pos="4820"/>
        </w:tabs>
        <w:rPr>
          <w:rFonts w:eastAsia="Calibri"/>
        </w:rPr>
      </w:pPr>
      <w:r w:rsidRPr="00EF3C6A">
        <w:rPr>
          <w:rFonts w:eastAsia="Calibri"/>
        </w:rPr>
        <w:t xml:space="preserve">Abbreviations: </w:t>
      </w:r>
      <w:r w:rsidR="00E13B2D" w:rsidRPr="00EF3C6A">
        <w:rPr>
          <w:rFonts w:eastAsia="Calibri"/>
        </w:rPr>
        <w:t xml:space="preserve">CI = confidence interval; DNP = Data not provided; HR = Hazard Ratio; IMDC = International Metastatic RCC Database Consortium; IRRC = Independent Radiology Review Committee; n = number of events or responders; N = total participants in group; NA = not applicable; NIVO+IPI = nivolumab = </w:t>
      </w:r>
      <w:proofErr w:type="spellStart"/>
      <w:r w:rsidR="00E13B2D" w:rsidRPr="00EF3C6A">
        <w:rPr>
          <w:rFonts w:eastAsia="Calibri"/>
        </w:rPr>
        <w:t>ipilimumab</w:t>
      </w:r>
      <w:proofErr w:type="spellEnd"/>
      <w:r w:rsidR="00E13B2D" w:rsidRPr="00EF3C6A">
        <w:rPr>
          <w:rFonts w:eastAsia="Calibri"/>
        </w:rPr>
        <w:t xml:space="preserve">; </w:t>
      </w:r>
      <w:r w:rsidRPr="00EF3C6A">
        <w:rPr>
          <w:rFonts w:eastAsia="Calibri"/>
        </w:rPr>
        <w:t>RCC = renal cell carcinoma.</w:t>
      </w:r>
    </w:p>
    <w:p w:rsidR="00E13B2D" w:rsidRPr="00EF3C6A" w:rsidRDefault="00E13B2D" w:rsidP="0018664B">
      <w:pPr>
        <w:pStyle w:val="TableFooter"/>
        <w:keepNext/>
        <w:keepLines/>
      </w:pPr>
      <w:r w:rsidRPr="00EF3C6A">
        <w:rPr>
          <w:rFonts w:eastAsia="Calibri"/>
        </w:rPr>
        <w:t xml:space="preserve">a = Median computed using Kaplan-Meier method; b = stratified Cox proportional hazard model. Hazard Ratio is </w:t>
      </w:r>
      <w:r w:rsidR="00D5757B" w:rsidRPr="00EF3C6A">
        <w:rPr>
          <w:rFonts w:eastAsia="Calibri"/>
        </w:rPr>
        <w:t>NIVO+IPI</w:t>
      </w:r>
      <w:r w:rsidRPr="00EF3C6A">
        <w:rPr>
          <w:rFonts w:eastAsia="Calibri"/>
        </w:rPr>
        <w:t xml:space="preserve"> over </w:t>
      </w:r>
      <w:proofErr w:type="spellStart"/>
      <w:r w:rsidRPr="00EF3C6A">
        <w:rPr>
          <w:rFonts w:eastAsia="Calibri"/>
        </w:rPr>
        <w:t>sunitinib</w:t>
      </w:r>
      <w:proofErr w:type="spellEnd"/>
      <w:r w:rsidRPr="00EF3C6A">
        <w:rPr>
          <w:rFonts w:eastAsia="Calibri"/>
        </w:rPr>
        <w:t>; c = Log-rank Test stratified by IMDC prognostic risk score (0,1-2,3-6) and region (United States of America, Canada/Western Europe/Northern Europe, Rest of World) as entered into the interactive voice response system; d = Median computed using Kaplan-Meier method; e = stratified HR; f = 2-sided p value</w:t>
      </w:r>
      <w:r w:rsidR="0044084C" w:rsidRPr="00EF3C6A">
        <w:rPr>
          <w:rFonts w:eastAsia="Calibri"/>
        </w:rPr>
        <w:t xml:space="preserve"> -</w:t>
      </w:r>
      <w:r w:rsidRPr="00EF3C6A">
        <w:rPr>
          <w:rFonts w:eastAsia="Calibri"/>
        </w:rPr>
        <w:t xml:space="preserve"> </w:t>
      </w:r>
      <w:r w:rsidR="00793D52" w:rsidRPr="00EF3C6A">
        <w:rPr>
          <w:rFonts w:eastAsia="Calibri"/>
        </w:rPr>
        <w:t>not statistically significant according to 2-sided α</w:t>
      </w:r>
      <w:r w:rsidR="009A7A1D" w:rsidRPr="00EF3C6A">
        <w:rPr>
          <w:rFonts w:eastAsia="Calibri"/>
        </w:rPr>
        <w:t xml:space="preserve"> of 0.009 adapted for PFS; </w:t>
      </w:r>
      <w:r w:rsidRPr="00EF3C6A">
        <w:rPr>
          <w:rFonts w:eastAsia="Calibri"/>
        </w:rPr>
        <w:t xml:space="preserve">g = CI based on the </w:t>
      </w:r>
      <w:proofErr w:type="spellStart"/>
      <w:r w:rsidRPr="00EF3C6A">
        <w:rPr>
          <w:rFonts w:eastAsia="Calibri"/>
        </w:rPr>
        <w:t>Clopper</w:t>
      </w:r>
      <w:proofErr w:type="spellEnd"/>
      <w:r w:rsidRPr="00EF3C6A">
        <w:rPr>
          <w:rFonts w:eastAsia="Calibri"/>
        </w:rPr>
        <w:t xml:space="preserve"> and Pearson method; h = Strata adjusted difference in ORR (NIVO+IPI) – </w:t>
      </w:r>
      <w:proofErr w:type="spellStart"/>
      <w:r w:rsidRPr="00EF3C6A">
        <w:rPr>
          <w:rFonts w:eastAsia="Calibri"/>
        </w:rPr>
        <w:t>sunitinib</w:t>
      </w:r>
      <w:proofErr w:type="spellEnd"/>
      <w:r w:rsidRPr="00EF3C6A">
        <w:rPr>
          <w:rFonts w:eastAsia="Calibri"/>
        </w:rPr>
        <w:t xml:space="preserve">) based on </w:t>
      </w:r>
      <w:proofErr w:type="spellStart"/>
      <w:r w:rsidRPr="00EF3C6A">
        <w:rPr>
          <w:rFonts w:eastAsia="Calibri"/>
        </w:rPr>
        <w:t>DerSimonian</w:t>
      </w:r>
      <w:proofErr w:type="spellEnd"/>
      <w:r w:rsidRPr="00EF3C6A">
        <w:rPr>
          <w:rFonts w:eastAsia="Calibri"/>
        </w:rPr>
        <w:t xml:space="preserve"> and Laird method; </w:t>
      </w:r>
      <w:proofErr w:type="spellStart"/>
      <w:r w:rsidRPr="00EF3C6A">
        <w:rPr>
          <w:rFonts w:eastAsia="Calibri"/>
        </w:rPr>
        <w:t>i</w:t>
      </w:r>
      <w:proofErr w:type="spellEnd"/>
      <w:r w:rsidRPr="00EF3C6A">
        <w:rPr>
          <w:rFonts w:eastAsia="Calibri"/>
        </w:rPr>
        <w:t xml:space="preserve"> = Stratified by IMDC prognostic risk score (0,1-2,3-6) and region (United States of America, Canada/Western Europe/Northern Europe, Rest of World) as entered into the interactive voice response system; j = Two-sided p-value from </w:t>
      </w:r>
      <w:proofErr w:type="spellStart"/>
      <w:r w:rsidRPr="00EF3C6A">
        <w:rPr>
          <w:rFonts w:eastAsia="Calibri"/>
        </w:rPr>
        <w:t>DerSimonian</w:t>
      </w:r>
      <w:proofErr w:type="spellEnd"/>
      <w:r w:rsidRPr="00EF3C6A">
        <w:rPr>
          <w:rFonts w:eastAsia="Calibri"/>
        </w:rPr>
        <w:t xml:space="preserve"> and Laird Test</w:t>
      </w:r>
    </w:p>
    <w:p w:rsidR="00E13B2D" w:rsidRPr="00EF3C6A" w:rsidRDefault="00E13B2D" w:rsidP="0018664B">
      <w:pPr>
        <w:keepNext/>
        <w:keepLines/>
        <w:rPr>
          <w:rFonts w:ascii="Arial Narrow" w:hAnsi="Arial Narrow"/>
          <w:sz w:val="18"/>
          <w:szCs w:val="18"/>
        </w:rPr>
      </w:pPr>
      <w:r w:rsidRPr="00EF3C6A">
        <w:rPr>
          <w:rFonts w:ascii="Arial Narrow" w:hAnsi="Arial Narrow"/>
          <w:sz w:val="18"/>
          <w:szCs w:val="18"/>
        </w:rPr>
        <w:t>Source: Table 7.1-1, p 96-99 of CA209214 Clinical Study Report; Table S.5.21E of CA209214 Clinical Study Report; p 126</w:t>
      </w:r>
      <w:r w:rsidR="00C6734C" w:rsidRPr="00EF3C6A">
        <w:rPr>
          <w:rFonts w:ascii="Arial Narrow" w:hAnsi="Arial Narrow"/>
          <w:sz w:val="18"/>
          <w:szCs w:val="18"/>
        </w:rPr>
        <w:t xml:space="preserve"> &amp;</w:t>
      </w:r>
      <w:r w:rsidRPr="00EF3C6A">
        <w:rPr>
          <w:rFonts w:ascii="Arial Narrow" w:hAnsi="Arial Narrow"/>
          <w:sz w:val="18"/>
          <w:szCs w:val="18"/>
        </w:rPr>
        <w:t>141 of CA209214 Clinical Study Report.</w:t>
      </w:r>
    </w:p>
    <w:p w:rsidR="00E13B2D" w:rsidRPr="00EF3C6A" w:rsidRDefault="00E13B2D" w:rsidP="00E13B2D">
      <w:pPr>
        <w:rPr>
          <w:rFonts w:ascii="Arial Narrow" w:hAnsi="Arial Narrow"/>
          <w:sz w:val="18"/>
          <w:szCs w:val="18"/>
        </w:rPr>
      </w:pPr>
    </w:p>
    <w:p w:rsidR="008F0A18" w:rsidRPr="00EF3C6A" w:rsidRDefault="001F294C" w:rsidP="006D0504">
      <w:pPr>
        <w:pStyle w:val="ListParagraph"/>
        <w:widowControl/>
        <w:numPr>
          <w:ilvl w:val="1"/>
          <w:numId w:val="3"/>
        </w:numPr>
      </w:pPr>
      <w:r w:rsidRPr="00EF3C6A">
        <w:t xml:space="preserve">In </w:t>
      </w:r>
      <w:r w:rsidRPr="00EF3C6A">
        <w:rPr>
          <w:bCs/>
        </w:rPr>
        <w:t xml:space="preserve">intermediate/poor risk </w:t>
      </w:r>
      <w:r w:rsidR="00F040FF" w:rsidRPr="00EF3C6A">
        <w:rPr>
          <w:bCs/>
        </w:rPr>
        <w:t>patients</w:t>
      </w:r>
      <w:r w:rsidRPr="00EF3C6A">
        <w:t xml:space="preserve">, NIVO+IPI demonstrated statistically significant and superior OS compared with </w:t>
      </w:r>
      <w:proofErr w:type="spellStart"/>
      <w:r w:rsidRPr="00EF3C6A">
        <w:t>sunitinib</w:t>
      </w:r>
      <w:proofErr w:type="spellEnd"/>
      <w:r w:rsidRPr="00EF3C6A">
        <w:t xml:space="preserve"> at the planned interim OS analysis. </w:t>
      </w:r>
      <w:r w:rsidRPr="00EF3C6A">
        <w:rPr>
          <w:szCs w:val="20"/>
        </w:rPr>
        <w:t xml:space="preserve">Median OS in the NIVO+IPI group was not reached at the time of database lock for the interim report, but was </w:t>
      </w:r>
      <w:r w:rsidR="00B07F6B">
        <w:rPr>
          <w:noProof/>
          <w:color w:val="000000"/>
          <w:szCs w:val="20"/>
          <w:highlight w:val="black"/>
        </w:rPr>
        <w:t>''''''''''''</w:t>
      </w:r>
      <w:r w:rsidRPr="00EF3C6A">
        <w:rPr>
          <w:szCs w:val="20"/>
        </w:rPr>
        <w:t xml:space="preserve"> months in the </w:t>
      </w:r>
      <w:proofErr w:type="spellStart"/>
      <w:r w:rsidRPr="00EF3C6A">
        <w:rPr>
          <w:szCs w:val="20"/>
        </w:rPr>
        <w:t>sunitinib</w:t>
      </w:r>
      <w:proofErr w:type="spellEnd"/>
      <w:r w:rsidRPr="00EF3C6A">
        <w:rPr>
          <w:szCs w:val="20"/>
        </w:rPr>
        <w:t xml:space="preserve"> group</w:t>
      </w:r>
      <w:r w:rsidR="00A73768" w:rsidRPr="00EF3C6A">
        <w:rPr>
          <w:szCs w:val="20"/>
        </w:rPr>
        <w:t xml:space="preserve">. Figure 1 </w:t>
      </w:r>
      <w:r w:rsidR="006D0504" w:rsidRPr="00EF3C6A">
        <w:rPr>
          <w:szCs w:val="20"/>
        </w:rPr>
        <w:t>shows</w:t>
      </w:r>
      <w:r w:rsidR="00A73768" w:rsidRPr="00EF3C6A">
        <w:rPr>
          <w:szCs w:val="20"/>
        </w:rPr>
        <w:t xml:space="preserve"> the Kaplan-Meier plot for OS in intermediate/poor risk patients</w:t>
      </w:r>
      <w:r w:rsidRPr="00EF3C6A">
        <w:rPr>
          <w:szCs w:val="20"/>
        </w:rPr>
        <w:t xml:space="preserve">. </w:t>
      </w:r>
      <w:r w:rsidRPr="00EF3C6A">
        <w:rPr>
          <w:szCs w:val="24"/>
        </w:rPr>
        <w:t>The</w:t>
      </w:r>
      <w:r w:rsidR="00B861F6">
        <w:rPr>
          <w:szCs w:val="24"/>
        </w:rPr>
        <w:t xml:space="preserve"> PBAC noted that the</w:t>
      </w:r>
      <w:r w:rsidRPr="00EF3C6A">
        <w:rPr>
          <w:szCs w:val="24"/>
        </w:rPr>
        <w:t xml:space="preserve"> OS data were immature</w:t>
      </w:r>
      <w:r w:rsidR="00B861F6">
        <w:rPr>
          <w:szCs w:val="24"/>
        </w:rPr>
        <w:t xml:space="preserve">, with a median follow-up of 25 months and </w:t>
      </w:r>
      <w:r w:rsidR="00B07F6B">
        <w:rPr>
          <w:noProof/>
          <w:color w:val="000000"/>
          <w:szCs w:val="24"/>
          <w:highlight w:val="black"/>
        </w:rPr>
        <w:t>''''''</w:t>
      </w:r>
      <w:r w:rsidR="00B861F6">
        <w:rPr>
          <w:szCs w:val="24"/>
        </w:rPr>
        <w:t>% of patients still alive (across both arms of the intermediate to poor risk group)</w:t>
      </w:r>
      <w:r w:rsidRPr="00EF3C6A">
        <w:rPr>
          <w:szCs w:val="24"/>
        </w:rPr>
        <w:t>. Th</w:t>
      </w:r>
      <w:r w:rsidR="00B861F6">
        <w:rPr>
          <w:szCs w:val="24"/>
        </w:rPr>
        <w:t>us, th</w:t>
      </w:r>
      <w:r w:rsidRPr="00EF3C6A">
        <w:rPr>
          <w:szCs w:val="24"/>
        </w:rPr>
        <w:t>e absolute magnitude of the treatment effect, in terms of the difference in median OS between the treatment groups, could not be determined.</w:t>
      </w:r>
      <w:r w:rsidR="008F0A18" w:rsidRPr="00EF3C6A">
        <w:rPr>
          <w:szCs w:val="24"/>
        </w:rPr>
        <w:t xml:space="preserve"> </w:t>
      </w:r>
    </w:p>
    <w:p w:rsidR="000B1825" w:rsidRPr="00EF3C6A" w:rsidRDefault="000B1825" w:rsidP="005E1569">
      <w:pPr>
        <w:pStyle w:val="ListParagraph"/>
        <w:widowControl/>
        <w:numPr>
          <w:ilvl w:val="1"/>
          <w:numId w:val="3"/>
        </w:numPr>
      </w:pPr>
      <w:r w:rsidRPr="00EF3C6A">
        <w:t>Exploratory analys</w:t>
      </w:r>
      <w:r w:rsidR="00D62EF7" w:rsidRPr="00EF3C6A">
        <w:t>e</w:t>
      </w:r>
      <w:r w:rsidRPr="00EF3C6A">
        <w:t xml:space="preserve">s in the favourable risk group (IMDC = 0) showed a statistically significant treatment effect favouring </w:t>
      </w:r>
      <w:proofErr w:type="spellStart"/>
      <w:r w:rsidRPr="00EF3C6A">
        <w:t>sunitinib</w:t>
      </w:r>
      <w:proofErr w:type="spellEnd"/>
      <w:r w:rsidRPr="00EF3C6A">
        <w:t xml:space="preserve"> over NIVO+IPI for PFS and ORR. This group </w:t>
      </w:r>
      <w:r w:rsidRPr="00EF3C6A">
        <w:lastRenderedPageBreak/>
        <w:t>was not</w:t>
      </w:r>
      <w:r w:rsidR="005E1569" w:rsidRPr="00EF3C6A">
        <w:t xml:space="preserve"> included in the proposed </w:t>
      </w:r>
      <w:r w:rsidRPr="00EF3C6A">
        <w:t xml:space="preserve">PBS restriction or </w:t>
      </w:r>
      <w:r w:rsidR="005E1569" w:rsidRPr="00EF3C6A">
        <w:t xml:space="preserve">the </w:t>
      </w:r>
      <w:r w:rsidRPr="00EF3C6A">
        <w:t>proposed TGA indication.</w:t>
      </w:r>
      <w:r w:rsidR="005E1569" w:rsidRPr="00EF3C6A">
        <w:t xml:space="preserve"> The TGA Delegate’s Overview stated that advice from impartial Australian clinicians included that a biological basis for such a discrepancy was not obvious, but it was hypothesised that </w:t>
      </w:r>
      <w:proofErr w:type="spellStart"/>
      <w:r w:rsidR="005E1569" w:rsidRPr="00EF3C6A">
        <w:t>sunitinib</w:t>
      </w:r>
      <w:proofErr w:type="spellEnd"/>
      <w:r w:rsidR="005E1569" w:rsidRPr="00EF3C6A">
        <w:t xml:space="preserve"> may work to a degree in most people for some duration, and that non-responders to immun</w:t>
      </w:r>
      <w:r w:rsidR="00ED2F17" w:rsidRPr="00EF3C6A">
        <w:t>o</w:t>
      </w:r>
      <w:r w:rsidR="005E1569" w:rsidRPr="00EF3C6A">
        <w:t xml:space="preserve">therapy may be more likely to be found in the favourable risk group. </w:t>
      </w:r>
    </w:p>
    <w:p w:rsidR="00AF3D3D" w:rsidRPr="00EF3C6A" w:rsidRDefault="00AF3D3D" w:rsidP="00AF3D3D">
      <w:pPr>
        <w:keepNext/>
        <w:widowControl/>
        <w:jc w:val="left"/>
        <w:rPr>
          <w:rFonts w:ascii="Arial Narrow" w:hAnsi="Arial Narrow"/>
          <w:b/>
          <w:sz w:val="20"/>
          <w:szCs w:val="20"/>
        </w:rPr>
      </w:pPr>
      <w:r w:rsidRPr="00EF3C6A">
        <w:rPr>
          <w:rFonts w:ascii="Arial Narrow" w:hAnsi="Arial Narrow"/>
          <w:b/>
          <w:sz w:val="20"/>
          <w:szCs w:val="20"/>
        </w:rPr>
        <w:t xml:space="preserve">Figure </w:t>
      </w:r>
      <w:r w:rsidR="004A2895">
        <w:rPr>
          <w:rFonts w:ascii="Arial Narrow" w:hAnsi="Arial Narrow"/>
          <w:b/>
          <w:noProof/>
          <w:sz w:val="20"/>
          <w:szCs w:val="20"/>
        </w:rPr>
        <w:t>1</w:t>
      </w:r>
      <w:r w:rsidR="00136B30">
        <w:rPr>
          <w:rFonts w:ascii="Arial Narrow" w:hAnsi="Arial Narrow"/>
          <w:b/>
          <w:sz w:val="20"/>
          <w:szCs w:val="20"/>
        </w:rPr>
        <w:t>:</w:t>
      </w:r>
      <w:r w:rsidRPr="00EF3C6A">
        <w:rPr>
          <w:rFonts w:ascii="Arial Narrow" w:hAnsi="Arial Narrow"/>
          <w:b/>
          <w:sz w:val="20"/>
          <w:szCs w:val="20"/>
        </w:rPr>
        <w:t xml:space="preserve"> Kaplan-Meier Plot of Overall Survival (OS), Primary Analysis – All Intermediate/Poor Risk Patients</w:t>
      </w:r>
    </w:p>
    <w:p w:rsidR="001F294C" w:rsidRPr="00EF3C6A" w:rsidRDefault="00B07F6B" w:rsidP="008F0A18">
      <w:pPr>
        <w:widowControl/>
        <w:jc w:val="left"/>
      </w:pPr>
      <w:r>
        <w:rPr>
          <w:noProof/>
          <w:snapToGrid/>
          <w:lang w:eastAsia="en-AU"/>
        </w:rPr>
        <w:drawing>
          <wp:inline distT="0" distB="0" distL="0" distR="0">
            <wp:extent cx="5328285" cy="4389755"/>
            <wp:effectExtent l="0" t="0" r="5715" b="0"/>
            <wp:docPr id="9" name="Picture 9" title="Figure 1: Kaplan-Meier Plot of Overall Survival (OS), Primary Analysis – All Intermediate/Poor Risk Patient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328285" cy="4389755"/>
                    </a:xfrm>
                    <a:prstGeom prst="rect">
                      <a:avLst/>
                    </a:prstGeom>
                  </pic:spPr>
                </pic:pic>
              </a:graphicData>
            </a:graphic>
          </wp:inline>
        </w:drawing>
      </w:r>
    </w:p>
    <w:p w:rsidR="008F0A18" w:rsidRPr="00EF3C6A" w:rsidRDefault="008F0A18" w:rsidP="008F0A18">
      <w:pPr>
        <w:widowControl/>
        <w:rPr>
          <w:rStyle w:val="CommentReference"/>
          <w:b w:val="0"/>
          <w:sz w:val="18"/>
          <w:szCs w:val="18"/>
        </w:rPr>
      </w:pPr>
      <w:r w:rsidRPr="00EF3C6A">
        <w:rPr>
          <w:rStyle w:val="CommentReference"/>
          <w:b w:val="0"/>
          <w:sz w:val="18"/>
          <w:szCs w:val="18"/>
        </w:rPr>
        <w:t>Source: Figure 15, p 79 of submission</w:t>
      </w:r>
    </w:p>
    <w:p w:rsidR="0032357B" w:rsidRPr="00EF3C6A" w:rsidRDefault="0032357B" w:rsidP="008F0A18">
      <w:pPr>
        <w:widowControl/>
      </w:pPr>
    </w:p>
    <w:p w:rsidR="001F294C" w:rsidRPr="00EF3C6A" w:rsidRDefault="001F294C" w:rsidP="001F294C">
      <w:pPr>
        <w:pStyle w:val="ListParagraph"/>
        <w:widowControl/>
        <w:numPr>
          <w:ilvl w:val="1"/>
          <w:numId w:val="3"/>
        </w:numPr>
      </w:pPr>
      <w:r w:rsidRPr="00EF3C6A">
        <w:rPr>
          <w:szCs w:val="24"/>
        </w:rPr>
        <w:t xml:space="preserve">The analysis of IRRC-assessed PFS using RECIST v1.1 and censoring for subsequent therapy, favoured NIVO+IPI versus </w:t>
      </w:r>
      <w:proofErr w:type="spellStart"/>
      <w:r w:rsidRPr="00EF3C6A">
        <w:rPr>
          <w:szCs w:val="24"/>
        </w:rPr>
        <w:t>sunitinib</w:t>
      </w:r>
      <w:proofErr w:type="spellEnd"/>
      <w:r w:rsidRPr="00EF3C6A">
        <w:rPr>
          <w:szCs w:val="24"/>
        </w:rPr>
        <w:t xml:space="preserve"> (HR = 0.82; 99.1% CI 0.64 to 1.05), but the difference did not reach the pre-specified statistical significance.</w:t>
      </w:r>
    </w:p>
    <w:p w:rsidR="00BC23CF" w:rsidRPr="00EF3C6A" w:rsidRDefault="00BC23CF" w:rsidP="003E344E">
      <w:pPr>
        <w:pStyle w:val="ListParagraph"/>
        <w:widowControl/>
        <w:numPr>
          <w:ilvl w:val="1"/>
          <w:numId w:val="3"/>
        </w:numPr>
      </w:pPr>
      <w:r w:rsidRPr="00EF3C6A">
        <w:t>The effectiveness of NIVO+IPI combination therapy compared to monotherapy with either agent is unknown.</w:t>
      </w:r>
    </w:p>
    <w:p w:rsidR="001F294C" w:rsidRPr="006068C2" w:rsidRDefault="001F294C" w:rsidP="0018664B">
      <w:pPr>
        <w:pStyle w:val="Heading2"/>
        <w:keepNext/>
        <w:keepLines/>
        <w:spacing w:after="240"/>
      </w:pPr>
      <w:bookmarkStart w:id="8" w:name="_Toc514248488"/>
      <w:r w:rsidRPr="006068C2">
        <w:lastRenderedPageBreak/>
        <w:t>Comparative harms</w:t>
      </w:r>
      <w:bookmarkEnd w:id="8"/>
    </w:p>
    <w:p w:rsidR="001F294C" w:rsidRPr="00EF3C6A" w:rsidRDefault="001F294C" w:rsidP="0018664B">
      <w:pPr>
        <w:pStyle w:val="ListParagraph"/>
        <w:keepNext/>
        <w:keepLines/>
        <w:widowControl/>
        <w:numPr>
          <w:ilvl w:val="1"/>
          <w:numId w:val="3"/>
        </w:numPr>
      </w:pPr>
      <w:r w:rsidRPr="00EF3C6A">
        <w:t>The key adverse event data are summarised below</w:t>
      </w:r>
      <w:r w:rsidR="00F54793" w:rsidRPr="00EF3C6A">
        <w:t xml:space="preserve"> for the </w:t>
      </w:r>
      <w:r w:rsidR="0013719B" w:rsidRPr="00EF3C6A">
        <w:t>all treated population</w:t>
      </w:r>
      <w:r w:rsidRPr="00EF3C6A">
        <w:t xml:space="preserve">. Serious adverse events (SAEs) and AEs leading to drug discontinuation were more frequent in the NIVO+IPI arm than in the </w:t>
      </w:r>
      <w:proofErr w:type="spellStart"/>
      <w:r w:rsidRPr="00EF3C6A">
        <w:t>sunitinib</w:t>
      </w:r>
      <w:proofErr w:type="spellEnd"/>
      <w:r w:rsidRPr="00EF3C6A">
        <w:t xml:space="preserve"> arm</w:t>
      </w:r>
      <w:r w:rsidR="00612EA9" w:rsidRPr="00EF3C6A">
        <w:t>.</w:t>
      </w:r>
      <w:r w:rsidRPr="00EF3C6A">
        <w:t xml:space="preserve"> </w:t>
      </w:r>
    </w:p>
    <w:p w:rsidR="00320C2A" w:rsidRPr="00EF3C6A" w:rsidRDefault="00320C2A" w:rsidP="00060A4D">
      <w:pPr>
        <w:pStyle w:val="Caption"/>
        <w:keepNext/>
        <w:keepLines/>
        <w:spacing w:after="0"/>
        <w:rPr>
          <w:rStyle w:val="CommentReference"/>
          <w:b/>
          <w:color w:val="auto"/>
        </w:rPr>
      </w:pPr>
      <w:r w:rsidRPr="00EF3C6A">
        <w:rPr>
          <w:rStyle w:val="CommentReference"/>
          <w:b/>
          <w:color w:val="auto"/>
        </w:rPr>
        <w:t xml:space="preserve">Table </w:t>
      </w:r>
      <w:r w:rsidR="00755DFA" w:rsidRPr="00EF3C6A">
        <w:rPr>
          <w:rStyle w:val="CommentReference"/>
          <w:b/>
          <w:color w:val="auto"/>
        </w:rPr>
        <w:t>6</w:t>
      </w:r>
      <w:r w:rsidRPr="00EF3C6A">
        <w:rPr>
          <w:rStyle w:val="CommentReference"/>
          <w:b/>
          <w:color w:val="auto"/>
        </w:rPr>
        <w:t>: Summary of key adverse events in the trial</w:t>
      </w:r>
    </w:p>
    <w:tbl>
      <w:tblPr>
        <w:tblStyle w:val="TableGrid"/>
        <w:tblW w:w="5000" w:type="pct"/>
        <w:tblCellMar>
          <w:left w:w="28" w:type="dxa"/>
          <w:right w:w="28" w:type="dxa"/>
        </w:tblCellMar>
        <w:tblLook w:val="04A0" w:firstRow="1" w:lastRow="0" w:firstColumn="1" w:lastColumn="0" w:noHBand="0" w:noVBand="1"/>
        <w:tblCaption w:val="Table 6: Summary of key adverse events in the trial"/>
      </w:tblPr>
      <w:tblGrid>
        <w:gridCol w:w="1621"/>
        <w:gridCol w:w="1223"/>
        <w:gridCol w:w="1549"/>
        <w:gridCol w:w="1264"/>
        <w:gridCol w:w="1831"/>
        <w:gridCol w:w="1835"/>
      </w:tblGrid>
      <w:tr w:rsidR="0006598B" w:rsidRPr="00EF3C6A" w:rsidTr="002C3582">
        <w:trPr>
          <w:trHeight w:val="20"/>
          <w:tblHeader/>
        </w:trPr>
        <w:tc>
          <w:tcPr>
            <w:tcW w:w="1525" w:type="pct"/>
            <w:gridSpan w:val="2"/>
            <w:vMerge w:val="restart"/>
            <w:shd w:val="clear" w:color="auto" w:fill="FFFFFF" w:themeFill="background1"/>
            <w:vAlign w:val="center"/>
          </w:tcPr>
          <w:p w:rsidR="0006598B" w:rsidRPr="00EF3C6A" w:rsidRDefault="0006598B" w:rsidP="00060A4D">
            <w:pPr>
              <w:pStyle w:val="Tabletext"/>
              <w:keepNext/>
              <w:keepLines/>
              <w:rPr>
                <w:b/>
                <w:szCs w:val="20"/>
              </w:rPr>
            </w:pPr>
            <w:proofErr w:type="gramStart"/>
            <w:r w:rsidRPr="00EF3C6A">
              <w:rPr>
                <w:b/>
                <w:szCs w:val="20"/>
              </w:rPr>
              <w:t>n</w:t>
            </w:r>
            <w:proofErr w:type="gramEnd"/>
            <w:r w:rsidRPr="00EF3C6A">
              <w:rPr>
                <w:b/>
                <w:szCs w:val="20"/>
              </w:rPr>
              <w:t xml:space="preserve"> (%)</w:t>
            </w:r>
          </w:p>
        </w:tc>
        <w:tc>
          <w:tcPr>
            <w:tcW w:w="3475" w:type="pct"/>
            <w:gridSpan w:val="4"/>
            <w:tcBorders>
              <w:bottom w:val="single" w:sz="4" w:space="0" w:color="auto"/>
            </w:tcBorders>
            <w:shd w:val="clear" w:color="auto" w:fill="FFFFFF" w:themeFill="background1"/>
            <w:vAlign w:val="center"/>
          </w:tcPr>
          <w:p w:rsidR="0006598B" w:rsidRPr="00EF3C6A" w:rsidRDefault="0006598B" w:rsidP="00060A4D">
            <w:pPr>
              <w:pStyle w:val="Tabletext"/>
              <w:keepNext/>
              <w:keepLines/>
              <w:jc w:val="center"/>
              <w:rPr>
                <w:b/>
                <w:szCs w:val="20"/>
              </w:rPr>
            </w:pPr>
            <w:r w:rsidRPr="00EF3C6A">
              <w:rPr>
                <w:b/>
                <w:szCs w:val="20"/>
              </w:rPr>
              <w:t>All Treated Population</w:t>
            </w:r>
          </w:p>
        </w:tc>
      </w:tr>
      <w:tr w:rsidR="0006598B" w:rsidRPr="00EF3C6A" w:rsidTr="002C3582">
        <w:trPr>
          <w:trHeight w:val="20"/>
          <w:tblHeader/>
        </w:trPr>
        <w:tc>
          <w:tcPr>
            <w:tcW w:w="1525" w:type="pct"/>
            <w:gridSpan w:val="2"/>
            <w:vMerge/>
            <w:tcBorders>
              <w:bottom w:val="single" w:sz="4" w:space="0" w:color="auto"/>
            </w:tcBorders>
            <w:shd w:val="clear" w:color="auto" w:fill="D9D9D9" w:themeFill="background1" w:themeFillShade="D9"/>
            <w:vAlign w:val="center"/>
          </w:tcPr>
          <w:p w:rsidR="0006598B" w:rsidRPr="00EF3C6A" w:rsidRDefault="0006598B" w:rsidP="00060A4D">
            <w:pPr>
              <w:pStyle w:val="Tabletext"/>
              <w:keepNext/>
              <w:keepLines/>
              <w:rPr>
                <w:b/>
                <w:szCs w:val="20"/>
              </w:rPr>
            </w:pPr>
          </w:p>
        </w:tc>
        <w:tc>
          <w:tcPr>
            <w:tcW w:w="831" w:type="pct"/>
            <w:tcBorders>
              <w:bottom w:val="single" w:sz="4" w:space="0" w:color="auto"/>
            </w:tcBorders>
            <w:shd w:val="clear" w:color="auto" w:fill="FFFFFF" w:themeFill="background1"/>
            <w:vAlign w:val="center"/>
          </w:tcPr>
          <w:p w:rsidR="0006598B" w:rsidRPr="00EF3C6A" w:rsidRDefault="0006598B" w:rsidP="00060A4D">
            <w:pPr>
              <w:pStyle w:val="Tabletext"/>
              <w:keepNext/>
              <w:keepLines/>
              <w:jc w:val="center"/>
              <w:rPr>
                <w:b/>
                <w:szCs w:val="20"/>
              </w:rPr>
            </w:pPr>
            <w:r w:rsidRPr="00EF3C6A">
              <w:rPr>
                <w:b/>
                <w:szCs w:val="20"/>
              </w:rPr>
              <w:t>NIVO+IPI</w:t>
            </w:r>
          </w:p>
          <w:p w:rsidR="0006598B" w:rsidRPr="00EF3C6A" w:rsidRDefault="0006598B" w:rsidP="00060A4D">
            <w:pPr>
              <w:pStyle w:val="Tabletext"/>
              <w:keepNext/>
              <w:keepLines/>
              <w:jc w:val="center"/>
              <w:rPr>
                <w:b/>
                <w:szCs w:val="20"/>
              </w:rPr>
            </w:pPr>
            <w:r w:rsidRPr="00EF3C6A">
              <w:rPr>
                <w:b/>
                <w:szCs w:val="20"/>
              </w:rPr>
              <w:t>N= 547</w:t>
            </w:r>
          </w:p>
        </w:tc>
        <w:tc>
          <w:tcPr>
            <w:tcW w:w="678" w:type="pct"/>
            <w:tcBorders>
              <w:bottom w:val="single" w:sz="4" w:space="0" w:color="auto"/>
            </w:tcBorders>
            <w:shd w:val="clear" w:color="auto" w:fill="FFFFFF" w:themeFill="background1"/>
            <w:vAlign w:val="center"/>
          </w:tcPr>
          <w:p w:rsidR="0006598B" w:rsidRPr="00EF3C6A" w:rsidRDefault="0006598B" w:rsidP="00060A4D">
            <w:pPr>
              <w:pStyle w:val="Tabletext"/>
              <w:keepNext/>
              <w:keepLines/>
              <w:jc w:val="center"/>
              <w:rPr>
                <w:b/>
                <w:szCs w:val="20"/>
              </w:rPr>
            </w:pPr>
            <w:proofErr w:type="spellStart"/>
            <w:r w:rsidRPr="00EF3C6A">
              <w:rPr>
                <w:b/>
                <w:szCs w:val="20"/>
              </w:rPr>
              <w:t>Sunitinib</w:t>
            </w:r>
            <w:proofErr w:type="spellEnd"/>
          </w:p>
          <w:p w:rsidR="0006598B" w:rsidRPr="00EF3C6A" w:rsidRDefault="0006598B" w:rsidP="00060A4D">
            <w:pPr>
              <w:pStyle w:val="Tabletext"/>
              <w:keepNext/>
              <w:keepLines/>
              <w:jc w:val="center"/>
              <w:rPr>
                <w:b/>
                <w:szCs w:val="20"/>
              </w:rPr>
            </w:pPr>
            <w:r w:rsidRPr="00EF3C6A">
              <w:rPr>
                <w:b/>
                <w:szCs w:val="20"/>
              </w:rPr>
              <w:t>N= 535</w:t>
            </w:r>
          </w:p>
        </w:tc>
        <w:tc>
          <w:tcPr>
            <w:tcW w:w="982" w:type="pct"/>
            <w:tcBorders>
              <w:bottom w:val="single" w:sz="4" w:space="0" w:color="auto"/>
            </w:tcBorders>
            <w:shd w:val="clear" w:color="auto" w:fill="FFFFFF" w:themeFill="background1"/>
            <w:vAlign w:val="center"/>
          </w:tcPr>
          <w:p w:rsidR="0006598B" w:rsidRPr="00EF3C6A" w:rsidRDefault="0006598B" w:rsidP="00060A4D">
            <w:pPr>
              <w:pStyle w:val="Tabletext"/>
              <w:keepNext/>
              <w:keepLines/>
              <w:jc w:val="center"/>
              <w:rPr>
                <w:b/>
                <w:szCs w:val="20"/>
              </w:rPr>
            </w:pPr>
            <w:r w:rsidRPr="00EF3C6A">
              <w:rPr>
                <w:b/>
                <w:szCs w:val="20"/>
              </w:rPr>
              <w:t>RR (95% CI)</w:t>
            </w:r>
          </w:p>
        </w:tc>
        <w:tc>
          <w:tcPr>
            <w:tcW w:w="984" w:type="pct"/>
            <w:tcBorders>
              <w:bottom w:val="single" w:sz="4" w:space="0" w:color="auto"/>
            </w:tcBorders>
            <w:shd w:val="clear" w:color="auto" w:fill="FFFFFF" w:themeFill="background1"/>
            <w:vAlign w:val="center"/>
          </w:tcPr>
          <w:p w:rsidR="0006598B" w:rsidRPr="00EF3C6A" w:rsidRDefault="0006598B" w:rsidP="00060A4D">
            <w:pPr>
              <w:pStyle w:val="Tabletext"/>
              <w:keepNext/>
              <w:keepLines/>
              <w:jc w:val="center"/>
              <w:rPr>
                <w:b/>
                <w:szCs w:val="20"/>
              </w:rPr>
            </w:pPr>
            <w:r w:rsidRPr="00EF3C6A">
              <w:rPr>
                <w:b/>
                <w:szCs w:val="20"/>
              </w:rPr>
              <w:t>RD (95% CI)</w:t>
            </w:r>
          </w:p>
        </w:tc>
      </w:tr>
      <w:tr w:rsidR="0006598B" w:rsidRPr="00EF3C6A" w:rsidTr="0006598B">
        <w:trPr>
          <w:trHeight w:val="20"/>
        </w:trPr>
        <w:tc>
          <w:tcPr>
            <w:tcW w:w="5000" w:type="pct"/>
            <w:gridSpan w:val="6"/>
            <w:tcBorders>
              <w:right w:val="single" w:sz="4" w:space="0" w:color="auto"/>
            </w:tcBorders>
            <w:vAlign w:val="center"/>
          </w:tcPr>
          <w:p w:rsidR="0006598B" w:rsidRPr="00EF3C6A" w:rsidRDefault="0006598B" w:rsidP="00060A4D">
            <w:pPr>
              <w:pStyle w:val="Tabletext"/>
              <w:keepNext/>
              <w:keepLines/>
              <w:rPr>
                <w:b/>
                <w:szCs w:val="20"/>
              </w:rPr>
            </w:pPr>
            <w:r w:rsidRPr="00EF3C6A">
              <w:rPr>
                <w:b/>
                <w:szCs w:val="20"/>
              </w:rPr>
              <w:t>All causality – any grade</w:t>
            </w:r>
          </w:p>
        </w:tc>
      </w:tr>
      <w:tr w:rsidR="0006598B" w:rsidRPr="00EF3C6A" w:rsidTr="002C3582">
        <w:trPr>
          <w:trHeight w:val="20"/>
        </w:trPr>
        <w:tc>
          <w:tcPr>
            <w:tcW w:w="869" w:type="pct"/>
            <w:vMerge w:val="restart"/>
            <w:vAlign w:val="center"/>
          </w:tcPr>
          <w:p w:rsidR="0006598B" w:rsidRPr="00EF3C6A" w:rsidRDefault="0006598B" w:rsidP="00060A4D">
            <w:pPr>
              <w:pStyle w:val="Tabletext"/>
              <w:keepNext/>
              <w:keepLines/>
              <w:rPr>
                <w:szCs w:val="20"/>
              </w:rPr>
            </w:pPr>
            <w:r w:rsidRPr="00EF3C6A">
              <w:rPr>
                <w:szCs w:val="20"/>
              </w:rPr>
              <w:t>AEs</w:t>
            </w:r>
          </w:p>
        </w:tc>
        <w:tc>
          <w:tcPr>
            <w:tcW w:w="656" w:type="pct"/>
            <w:vAlign w:val="center"/>
          </w:tcPr>
          <w:p w:rsidR="0006598B" w:rsidRPr="00EF3C6A" w:rsidRDefault="0006598B" w:rsidP="00060A4D">
            <w:pPr>
              <w:pStyle w:val="Tabletext"/>
              <w:keepNext/>
              <w:keepLines/>
              <w:rPr>
                <w:szCs w:val="20"/>
              </w:rPr>
            </w:pPr>
            <w:r w:rsidRPr="00EF3C6A">
              <w:rPr>
                <w:szCs w:val="20"/>
              </w:rPr>
              <w:t>Any grade</w:t>
            </w:r>
          </w:p>
        </w:tc>
        <w:tc>
          <w:tcPr>
            <w:tcW w:w="831" w:type="pct"/>
            <w:vAlign w:val="center"/>
          </w:tcPr>
          <w:p w:rsidR="0006598B" w:rsidRPr="00EF3C6A" w:rsidRDefault="0006598B" w:rsidP="00060A4D">
            <w:pPr>
              <w:pStyle w:val="Tabletext"/>
              <w:keepNext/>
              <w:keepLines/>
              <w:jc w:val="center"/>
              <w:rPr>
                <w:szCs w:val="20"/>
              </w:rPr>
            </w:pPr>
            <w:r w:rsidRPr="00EF3C6A">
              <w:rPr>
                <w:szCs w:val="20"/>
              </w:rPr>
              <w:t>544 (99.5)</w:t>
            </w:r>
          </w:p>
        </w:tc>
        <w:tc>
          <w:tcPr>
            <w:tcW w:w="678" w:type="pct"/>
            <w:vAlign w:val="center"/>
          </w:tcPr>
          <w:p w:rsidR="0006598B" w:rsidRPr="00EF3C6A" w:rsidRDefault="0006598B" w:rsidP="00060A4D">
            <w:pPr>
              <w:pStyle w:val="Tabletext"/>
              <w:keepNext/>
              <w:keepLines/>
              <w:jc w:val="center"/>
              <w:rPr>
                <w:szCs w:val="20"/>
              </w:rPr>
            </w:pPr>
            <w:r w:rsidRPr="00EF3C6A">
              <w:rPr>
                <w:szCs w:val="20"/>
              </w:rPr>
              <w:t>532 (99.4)</w:t>
            </w:r>
          </w:p>
        </w:tc>
        <w:tc>
          <w:tcPr>
            <w:tcW w:w="982" w:type="pct"/>
            <w:tcBorders>
              <w:top w:val="single" w:sz="4" w:space="0" w:color="auto"/>
              <w:left w:val="nil"/>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szCs w:val="20"/>
              </w:rPr>
            </w:pPr>
            <w:r w:rsidRPr="00EF3C6A">
              <w:rPr>
                <w:szCs w:val="20"/>
              </w:rPr>
              <w:t>1.0</w:t>
            </w:r>
            <w:r w:rsidR="00A05589" w:rsidRPr="00EF3C6A">
              <w:rPr>
                <w:szCs w:val="20"/>
              </w:rPr>
              <w:t xml:space="preserve"> </w:t>
            </w:r>
            <w:r w:rsidRPr="00EF3C6A">
              <w:rPr>
                <w:szCs w:val="20"/>
              </w:rPr>
              <w:t xml:space="preserve"> (0.99, 1.01)</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szCs w:val="20"/>
              </w:rPr>
            </w:pPr>
            <w:r w:rsidRPr="00EF3C6A">
              <w:rPr>
                <w:szCs w:val="20"/>
              </w:rPr>
              <w:t>0.00</w:t>
            </w:r>
            <w:r w:rsidR="00A05589" w:rsidRPr="00EF3C6A">
              <w:rPr>
                <w:szCs w:val="20"/>
              </w:rPr>
              <w:t xml:space="preserve"> </w:t>
            </w:r>
            <w:r w:rsidRPr="00EF3C6A">
              <w:rPr>
                <w:szCs w:val="20"/>
              </w:rPr>
              <w:t>(-0.01, 0.01)</w:t>
            </w:r>
          </w:p>
        </w:tc>
      </w:tr>
      <w:tr w:rsidR="0006598B" w:rsidRPr="00EF3C6A" w:rsidTr="002C3582">
        <w:trPr>
          <w:trHeight w:val="313"/>
        </w:trPr>
        <w:tc>
          <w:tcPr>
            <w:tcW w:w="869" w:type="pct"/>
            <w:vMerge/>
            <w:vAlign w:val="center"/>
          </w:tcPr>
          <w:p w:rsidR="0006598B" w:rsidRPr="00EF3C6A" w:rsidRDefault="0006598B" w:rsidP="00060A4D">
            <w:pPr>
              <w:pStyle w:val="Tabletext"/>
              <w:keepNext/>
              <w:keepLines/>
              <w:rPr>
                <w:szCs w:val="20"/>
              </w:rPr>
            </w:pPr>
          </w:p>
        </w:tc>
        <w:tc>
          <w:tcPr>
            <w:tcW w:w="656" w:type="pct"/>
            <w:vAlign w:val="center"/>
          </w:tcPr>
          <w:p w:rsidR="0006598B" w:rsidRPr="00EF3C6A" w:rsidRDefault="0006598B" w:rsidP="00060A4D">
            <w:pPr>
              <w:pStyle w:val="Tabletext"/>
              <w:keepNext/>
              <w:keepLines/>
              <w:rPr>
                <w:szCs w:val="20"/>
              </w:rPr>
            </w:pPr>
            <w:r w:rsidRPr="00EF3C6A">
              <w:rPr>
                <w:szCs w:val="20"/>
              </w:rPr>
              <w:t>Grade 3-4</w:t>
            </w:r>
          </w:p>
        </w:tc>
        <w:tc>
          <w:tcPr>
            <w:tcW w:w="831" w:type="pct"/>
            <w:vAlign w:val="center"/>
          </w:tcPr>
          <w:p w:rsidR="0006598B" w:rsidRPr="00EF3C6A" w:rsidRDefault="0006598B" w:rsidP="00060A4D">
            <w:pPr>
              <w:pStyle w:val="Tabletext"/>
              <w:keepNext/>
              <w:keepLines/>
              <w:jc w:val="center"/>
              <w:rPr>
                <w:szCs w:val="20"/>
              </w:rPr>
            </w:pPr>
            <w:r w:rsidRPr="00EF3C6A">
              <w:rPr>
                <w:szCs w:val="20"/>
              </w:rPr>
              <w:t>357 (65.3)</w:t>
            </w:r>
          </w:p>
        </w:tc>
        <w:tc>
          <w:tcPr>
            <w:tcW w:w="678" w:type="pct"/>
            <w:vAlign w:val="center"/>
          </w:tcPr>
          <w:p w:rsidR="0006598B" w:rsidRPr="00EF3C6A" w:rsidRDefault="0006598B" w:rsidP="00060A4D">
            <w:pPr>
              <w:pStyle w:val="Tabletext"/>
              <w:keepNext/>
              <w:keepLines/>
              <w:jc w:val="center"/>
              <w:rPr>
                <w:szCs w:val="20"/>
              </w:rPr>
            </w:pPr>
            <w:r w:rsidRPr="00EF3C6A">
              <w:rPr>
                <w:szCs w:val="20"/>
              </w:rPr>
              <w:t>407 (76.1)</w:t>
            </w:r>
          </w:p>
        </w:tc>
        <w:tc>
          <w:tcPr>
            <w:tcW w:w="982" w:type="pct"/>
            <w:tcBorders>
              <w:top w:val="single" w:sz="4" w:space="0" w:color="auto"/>
              <w:left w:val="nil"/>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0.86</w:t>
            </w:r>
            <w:r w:rsidR="00A05589" w:rsidRPr="00EF3C6A">
              <w:rPr>
                <w:b/>
                <w:szCs w:val="20"/>
              </w:rPr>
              <w:t xml:space="preserve"> </w:t>
            </w:r>
            <w:r w:rsidRPr="00EF3C6A">
              <w:rPr>
                <w:b/>
                <w:szCs w:val="20"/>
              </w:rPr>
              <w:t>(0.79, 0.93)</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-0.11</w:t>
            </w:r>
            <w:r w:rsidR="00A05589" w:rsidRPr="00EF3C6A">
              <w:rPr>
                <w:b/>
                <w:szCs w:val="20"/>
              </w:rPr>
              <w:t xml:space="preserve"> </w:t>
            </w:r>
            <w:r w:rsidRPr="00EF3C6A">
              <w:rPr>
                <w:b/>
                <w:szCs w:val="20"/>
              </w:rPr>
              <w:t>(-0.16, -0.05)</w:t>
            </w:r>
          </w:p>
        </w:tc>
      </w:tr>
      <w:tr w:rsidR="0006598B" w:rsidRPr="00EF3C6A" w:rsidTr="002C3582">
        <w:trPr>
          <w:trHeight w:val="20"/>
        </w:trPr>
        <w:tc>
          <w:tcPr>
            <w:tcW w:w="869" w:type="pct"/>
            <w:vMerge w:val="restart"/>
            <w:vAlign w:val="center"/>
          </w:tcPr>
          <w:p w:rsidR="0006598B" w:rsidRPr="00EF3C6A" w:rsidRDefault="0006598B" w:rsidP="00060A4D">
            <w:pPr>
              <w:pStyle w:val="Tabletext"/>
              <w:keepNext/>
              <w:keepLines/>
              <w:rPr>
                <w:szCs w:val="20"/>
              </w:rPr>
            </w:pPr>
            <w:r w:rsidRPr="00EF3C6A">
              <w:rPr>
                <w:szCs w:val="20"/>
              </w:rPr>
              <w:t>SAEs</w:t>
            </w:r>
          </w:p>
        </w:tc>
        <w:tc>
          <w:tcPr>
            <w:tcW w:w="656" w:type="pct"/>
            <w:vAlign w:val="center"/>
          </w:tcPr>
          <w:p w:rsidR="0006598B" w:rsidRPr="00EF3C6A" w:rsidRDefault="0006598B" w:rsidP="00060A4D">
            <w:pPr>
              <w:pStyle w:val="Tabletext"/>
              <w:keepNext/>
              <w:keepLines/>
              <w:rPr>
                <w:szCs w:val="20"/>
              </w:rPr>
            </w:pPr>
            <w:r w:rsidRPr="00EF3C6A">
              <w:rPr>
                <w:szCs w:val="20"/>
              </w:rPr>
              <w:t>Any grade</w:t>
            </w:r>
          </w:p>
        </w:tc>
        <w:tc>
          <w:tcPr>
            <w:tcW w:w="831" w:type="pct"/>
            <w:vAlign w:val="center"/>
          </w:tcPr>
          <w:p w:rsidR="0006598B" w:rsidRPr="00EF3C6A" w:rsidRDefault="0006598B" w:rsidP="00060A4D">
            <w:pPr>
              <w:pStyle w:val="Tabletext"/>
              <w:keepNext/>
              <w:keepLines/>
              <w:jc w:val="center"/>
              <w:rPr>
                <w:szCs w:val="20"/>
              </w:rPr>
            </w:pPr>
            <w:r w:rsidRPr="00EF3C6A">
              <w:rPr>
                <w:szCs w:val="20"/>
              </w:rPr>
              <w:t>305 (55.8)</w:t>
            </w:r>
          </w:p>
        </w:tc>
        <w:tc>
          <w:tcPr>
            <w:tcW w:w="678" w:type="pct"/>
            <w:vAlign w:val="center"/>
          </w:tcPr>
          <w:p w:rsidR="0006598B" w:rsidRPr="00EF3C6A" w:rsidRDefault="0006598B" w:rsidP="00060A4D">
            <w:pPr>
              <w:pStyle w:val="Tabletext"/>
              <w:keepNext/>
              <w:keepLines/>
              <w:jc w:val="center"/>
              <w:rPr>
                <w:szCs w:val="20"/>
              </w:rPr>
            </w:pPr>
            <w:r w:rsidRPr="00EF3C6A">
              <w:rPr>
                <w:szCs w:val="20"/>
              </w:rPr>
              <w:t>213 (39.8)</w:t>
            </w:r>
          </w:p>
        </w:tc>
        <w:tc>
          <w:tcPr>
            <w:tcW w:w="982" w:type="pct"/>
            <w:tcBorders>
              <w:top w:val="single" w:sz="4" w:space="0" w:color="auto"/>
              <w:left w:val="nil"/>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1.4</w:t>
            </w:r>
            <w:r w:rsidR="00A05589" w:rsidRPr="00EF3C6A">
              <w:rPr>
                <w:b/>
                <w:szCs w:val="20"/>
              </w:rPr>
              <w:t xml:space="preserve"> </w:t>
            </w:r>
            <w:r w:rsidRPr="00EF3C6A">
              <w:rPr>
                <w:b/>
                <w:szCs w:val="20"/>
              </w:rPr>
              <w:t>(1.23, 1.59)</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0.16</w:t>
            </w:r>
            <w:r w:rsidR="00A05589" w:rsidRPr="00EF3C6A">
              <w:rPr>
                <w:b/>
                <w:szCs w:val="20"/>
              </w:rPr>
              <w:t xml:space="preserve"> </w:t>
            </w:r>
            <w:r w:rsidRPr="00EF3C6A">
              <w:rPr>
                <w:b/>
                <w:szCs w:val="20"/>
              </w:rPr>
              <w:t>(0.10, 0.22)</w:t>
            </w:r>
          </w:p>
        </w:tc>
      </w:tr>
      <w:tr w:rsidR="0006598B" w:rsidRPr="00EF3C6A" w:rsidTr="002C3582">
        <w:trPr>
          <w:trHeight w:val="20"/>
        </w:trPr>
        <w:tc>
          <w:tcPr>
            <w:tcW w:w="869" w:type="pct"/>
            <w:vMerge/>
            <w:vAlign w:val="center"/>
          </w:tcPr>
          <w:p w:rsidR="0006598B" w:rsidRPr="00EF3C6A" w:rsidRDefault="0006598B" w:rsidP="00060A4D">
            <w:pPr>
              <w:pStyle w:val="Tabletext"/>
              <w:keepNext/>
              <w:keepLines/>
              <w:rPr>
                <w:szCs w:val="20"/>
              </w:rPr>
            </w:pPr>
          </w:p>
        </w:tc>
        <w:tc>
          <w:tcPr>
            <w:tcW w:w="656" w:type="pct"/>
            <w:vAlign w:val="center"/>
          </w:tcPr>
          <w:p w:rsidR="0006598B" w:rsidRPr="00EF3C6A" w:rsidRDefault="0006598B" w:rsidP="00060A4D">
            <w:pPr>
              <w:pStyle w:val="Tabletext"/>
              <w:keepNext/>
              <w:keepLines/>
              <w:rPr>
                <w:szCs w:val="20"/>
              </w:rPr>
            </w:pPr>
            <w:r w:rsidRPr="00EF3C6A">
              <w:rPr>
                <w:szCs w:val="20"/>
              </w:rPr>
              <w:t>Grade 3-4</w:t>
            </w:r>
          </w:p>
        </w:tc>
        <w:tc>
          <w:tcPr>
            <w:tcW w:w="831" w:type="pct"/>
            <w:vAlign w:val="center"/>
          </w:tcPr>
          <w:p w:rsidR="0006598B" w:rsidRPr="00EF3C6A" w:rsidRDefault="0006598B" w:rsidP="00060A4D">
            <w:pPr>
              <w:pStyle w:val="Tabletext"/>
              <w:keepNext/>
              <w:keepLines/>
              <w:jc w:val="center"/>
              <w:rPr>
                <w:szCs w:val="20"/>
              </w:rPr>
            </w:pPr>
            <w:r w:rsidRPr="00EF3C6A">
              <w:rPr>
                <w:szCs w:val="20"/>
              </w:rPr>
              <w:t>227 (41.5)</w:t>
            </w:r>
          </w:p>
        </w:tc>
        <w:tc>
          <w:tcPr>
            <w:tcW w:w="678" w:type="pct"/>
            <w:vAlign w:val="center"/>
          </w:tcPr>
          <w:p w:rsidR="0006598B" w:rsidRPr="00EF3C6A" w:rsidRDefault="0006598B" w:rsidP="00060A4D">
            <w:pPr>
              <w:pStyle w:val="Tabletext"/>
              <w:keepNext/>
              <w:keepLines/>
              <w:jc w:val="center"/>
              <w:rPr>
                <w:szCs w:val="20"/>
              </w:rPr>
            </w:pPr>
            <w:r w:rsidRPr="00EF3C6A">
              <w:rPr>
                <w:szCs w:val="20"/>
              </w:rPr>
              <w:t>161 (30.1)</w:t>
            </w:r>
          </w:p>
        </w:tc>
        <w:tc>
          <w:tcPr>
            <w:tcW w:w="982" w:type="pct"/>
            <w:tcBorders>
              <w:top w:val="single" w:sz="4" w:space="0" w:color="auto"/>
              <w:left w:val="nil"/>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1.38</w:t>
            </w:r>
            <w:r w:rsidR="00A05589" w:rsidRPr="00EF3C6A">
              <w:rPr>
                <w:b/>
                <w:szCs w:val="20"/>
              </w:rPr>
              <w:t xml:space="preserve"> </w:t>
            </w:r>
            <w:r w:rsidRPr="00EF3C6A">
              <w:rPr>
                <w:b/>
                <w:szCs w:val="20"/>
              </w:rPr>
              <w:t>(1.17, 1.62)</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0.11</w:t>
            </w:r>
            <w:r w:rsidR="00A05589" w:rsidRPr="00EF3C6A">
              <w:rPr>
                <w:b/>
                <w:szCs w:val="20"/>
              </w:rPr>
              <w:t xml:space="preserve"> </w:t>
            </w:r>
            <w:r w:rsidRPr="00EF3C6A">
              <w:rPr>
                <w:b/>
                <w:szCs w:val="20"/>
              </w:rPr>
              <w:t>(0.06, 0.17)</w:t>
            </w:r>
          </w:p>
        </w:tc>
      </w:tr>
      <w:tr w:rsidR="0006598B" w:rsidRPr="00EF3C6A" w:rsidTr="002C3582">
        <w:trPr>
          <w:trHeight w:val="20"/>
        </w:trPr>
        <w:tc>
          <w:tcPr>
            <w:tcW w:w="869" w:type="pct"/>
            <w:vMerge w:val="restart"/>
            <w:vAlign w:val="center"/>
          </w:tcPr>
          <w:p w:rsidR="0006598B" w:rsidRPr="00EF3C6A" w:rsidRDefault="0006598B" w:rsidP="00060A4D">
            <w:pPr>
              <w:pStyle w:val="Tabletext"/>
              <w:keepNext/>
              <w:keepLines/>
              <w:rPr>
                <w:szCs w:val="20"/>
              </w:rPr>
            </w:pPr>
            <w:r w:rsidRPr="00EF3C6A">
              <w:rPr>
                <w:szCs w:val="20"/>
              </w:rPr>
              <w:t>AEs leading to discontinuation</w:t>
            </w:r>
          </w:p>
        </w:tc>
        <w:tc>
          <w:tcPr>
            <w:tcW w:w="656" w:type="pct"/>
            <w:vAlign w:val="center"/>
          </w:tcPr>
          <w:p w:rsidR="0006598B" w:rsidRPr="00EF3C6A" w:rsidRDefault="0006598B" w:rsidP="00060A4D">
            <w:pPr>
              <w:pStyle w:val="Tabletext"/>
              <w:keepNext/>
              <w:keepLines/>
              <w:rPr>
                <w:szCs w:val="20"/>
              </w:rPr>
            </w:pPr>
            <w:r w:rsidRPr="00EF3C6A">
              <w:rPr>
                <w:szCs w:val="20"/>
              </w:rPr>
              <w:t>Any grade</w:t>
            </w:r>
          </w:p>
        </w:tc>
        <w:tc>
          <w:tcPr>
            <w:tcW w:w="831" w:type="pct"/>
            <w:tcBorders>
              <w:bottom w:val="single" w:sz="4" w:space="0" w:color="auto"/>
            </w:tcBorders>
            <w:vAlign w:val="center"/>
          </w:tcPr>
          <w:p w:rsidR="0006598B" w:rsidRPr="00EF3C6A" w:rsidRDefault="0006598B" w:rsidP="00060A4D">
            <w:pPr>
              <w:pStyle w:val="Tabletext"/>
              <w:keepNext/>
              <w:keepLines/>
              <w:jc w:val="center"/>
              <w:rPr>
                <w:szCs w:val="20"/>
              </w:rPr>
            </w:pPr>
            <w:r w:rsidRPr="00EF3C6A">
              <w:rPr>
                <w:szCs w:val="20"/>
              </w:rPr>
              <w:t>168 (30.7)</w:t>
            </w:r>
          </w:p>
        </w:tc>
        <w:tc>
          <w:tcPr>
            <w:tcW w:w="678" w:type="pct"/>
            <w:tcBorders>
              <w:bottom w:val="single" w:sz="4" w:space="0" w:color="auto"/>
            </w:tcBorders>
            <w:vAlign w:val="center"/>
          </w:tcPr>
          <w:p w:rsidR="0006598B" w:rsidRPr="00EF3C6A" w:rsidRDefault="0006598B" w:rsidP="00060A4D">
            <w:pPr>
              <w:pStyle w:val="Tabletext"/>
              <w:keepNext/>
              <w:keepLines/>
              <w:jc w:val="center"/>
              <w:rPr>
                <w:szCs w:val="20"/>
              </w:rPr>
            </w:pPr>
            <w:r w:rsidRPr="00EF3C6A">
              <w:rPr>
                <w:szCs w:val="20"/>
              </w:rPr>
              <w:t>114 (21.3)</w:t>
            </w:r>
          </w:p>
        </w:tc>
        <w:tc>
          <w:tcPr>
            <w:tcW w:w="982" w:type="pct"/>
            <w:tcBorders>
              <w:top w:val="single" w:sz="4" w:space="0" w:color="auto"/>
              <w:left w:val="nil"/>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1.44</w:t>
            </w:r>
            <w:r w:rsidR="00A05589" w:rsidRPr="00EF3C6A">
              <w:rPr>
                <w:b/>
                <w:szCs w:val="20"/>
              </w:rPr>
              <w:t xml:space="preserve"> </w:t>
            </w:r>
            <w:r w:rsidRPr="00EF3C6A">
              <w:rPr>
                <w:b/>
                <w:szCs w:val="20"/>
              </w:rPr>
              <w:t>(1.17, 1.77)</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0.09</w:t>
            </w:r>
            <w:r w:rsidR="00A05589" w:rsidRPr="00EF3C6A">
              <w:rPr>
                <w:b/>
                <w:szCs w:val="20"/>
              </w:rPr>
              <w:t xml:space="preserve"> </w:t>
            </w:r>
            <w:r w:rsidRPr="00EF3C6A">
              <w:rPr>
                <w:b/>
                <w:szCs w:val="20"/>
              </w:rPr>
              <w:t>(0.05, 0.15)</w:t>
            </w:r>
          </w:p>
        </w:tc>
      </w:tr>
      <w:tr w:rsidR="0006598B" w:rsidRPr="00EF3C6A" w:rsidTr="002C3582">
        <w:trPr>
          <w:trHeight w:val="20"/>
        </w:trPr>
        <w:tc>
          <w:tcPr>
            <w:tcW w:w="869" w:type="pct"/>
            <w:vMerge/>
            <w:tcBorders>
              <w:bottom w:val="single" w:sz="4" w:space="0" w:color="auto"/>
            </w:tcBorders>
            <w:vAlign w:val="center"/>
          </w:tcPr>
          <w:p w:rsidR="0006598B" w:rsidRPr="00EF3C6A" w:rsidRDefault="0006598B" w:rsidP="00060A4D">
            <w:pPr>
              <w:pStyle w:val="Tabletext"/>
              <w:keepNext/>
              <w:keepLines/>
              <w:rPr>
                <w:szCs w:val="20"/>
              </w:rPr>
            </w:pPr>
          </w:p>
        </w:tc>
        <w:tc>
          <w:tcPr>
            <w:tcW w:w="656" w:type="pct"/>
            <w:vAlign w:val="center"/>
          </w:tcPr>
          <w:p w:rsidR="0006598B" w:rsidRPr="00EF3C6A" w:rsidRDefault="0006598B" w:rsidP="00060A4D">
            <w:pPr>
              <w:pStyle w:val="Tabletext"/>
              <w:keepNext/>
              <w:keepLines/>
              <w:rPr>
                <w:szCs w:val="20"/>
              </w:rPr>
            </w:pPr>
            <w:r w:rsidRPr="00EF3C6A">
              <w:rPr>
                <w:szCs w:val="20"/>
              </w:rPr>
              <w:t>Grade 3-4</w:t>
            </w:r>
          </w:p>
        </w:tc>
        <w:tc>
          <w:tcPr>
            <w:tcW w:w="831" w:type="pct"/>
            <w:tcBorders>
              <w:bottom w:val="single" w:sz="4" w:space="0" w:color="auto"/>
            </w:tcBorders>
            <w:vAlign w:val="center"/>
          </w:tcPr>
          <w:p w:rsidR="0006598B" w:rsidRPr="00EF3C6A" w:rsidRDefault="0006598B" w:rsidP="00060A4D">
            <w:pPr>
              <w:pStyle w:val="Tabletext"/>
              <w:keepNext/>
              <w:keepLines/>
              <w:jc w:val="center"/>
              <w:rPr>
                <w:szCs w:val="20"/>
              </w:rPr>
            </w:pPr>
            <w:r w:rsidRPr="00EF3C6A">
              <w:rPr>
                <w:szCs w:val="20"/>
              </w:rPr>
              <w:t>118 (21.6)</w:t>
            </w:r>
          </w:p>
        </w:tc>
        <w:tc>
          <w:tcPr>
            <w:tcW w:w="678" w:type="pct"/>
            <w:tcBorders>
              <w:bottom w:val="single" w:sz="4" w:space="0" w:color="auto"/>
            </w:tcBorders>
            <w:vAlign w:val="center"/>
          </w:tcPr>
          <w:p w:rsidR="0006598B" w:rsidRPr="00EF3C6A" w:rsidRDefault="0006598B" w:rsidP="00060A4D">
            <w:pPr>
              <w:pStyle w:val="Tabletext"/>
              <w:keepNext/>
              <w:keepLines/>
              <w:jc w:val="center"/>
              <w:rPr>
                <w:szCs w:val="20"/>
              </w:rPr>
            </w:pPr>
            <w:r w:rsidRPr="00EF3C6A">
              <w:rPr>
                <w:szCs w:val="20"/>
              </w:rPr>
              <w:t>74 (13.8)</w:t>
            </w:r>
          </w:p>
        </w:tc>
        <w:tc>
          <w:tcPr>
            <w:tcW w:w="982" w:type="pct"/>
            <w:tcBorders>
              <w:top w:val="single" w:sz="4" w:space="0" w:color="auto"/>
              <w:left w:val="nil"/>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1.56</w:t>
            </w:r>
            <w:r w:rsidR="00A05589" w:rsidRPr="00EF3C6A">
              <w:rPr>
                <w:b/>
                <w:szCs w:val="20"/>
              </w:rPr>
              <w:t xml:space="preserve"> </w:t>
            </w:r>
            <w:r w:rsidRPr="00EF3C6A">
              <w:rPr>
                <w:b/>
                <w:szCs w:val="20"/>
              </w:rPr>
              <w:t>(1.20, 2.03)</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0.08</w:t>
            </w:r>
            <w:r w:rsidR="00A05589" w:rsidRPr="00EF3C6A">
              <w:rPr>
                <w:b/>
                <w:szCs w:val="20"/>
              </w:rPr>
              <w:t xml:space="preserve"> </w:t>
            </w:r>
            <w:r w:rsidRPr="00EF3C6A">
              <w:rPr>
                <w:b/>
                <w:szCs w:val="20"/>
              </w:rPr>
              <w:t>(0.03, 0.12)</w:t>
            </w:r>
          </w:p>
        </w:tc>
      </w:tr>
      <w:tr w:rsidR="0006598B" w:rsidRPr="00EF3C6A" w:rsidTr="0006598B">
        <w:trPr>
          <w:trHeight w:val="20"/>
        </w:trPr>
        <w:tc>
          <w:tcPr>
            <w:tcW w:w="5000" w:type="pct"/>
            <w:gridSpan w:val="6"/>
            <w:tcBorders>
              <w:right w:val="single" w:sz="4" w:space="0" w:color="auto"/>
            </w:tcBorders>
            <w:vAlign w:val="center"/>
          </w:tcPr>
          <w:p w:rsidR="0006598B" w:rsidRPr="00EF3C6A" w:rsidRDefault="0006598B" w:rsidP="00060A4D">
            <w:pPr>
              <w:pStyle w:val="Tabletext"/>
              <w:keepNext/>
              <w:keepLines/>
              <w:rPr>
                <w:b/>
                <w:szCs w:val="20"/>
              </w:rPr>
            </w:pPr>
            <w:r w:rsidRPr="00EF3C6A">
              <w:rPr>
                <w:b/>
                <w:szCs w:val="20"/>
              </w:rPr>
              <w:t xml:space="preserve">Drug related </w:t>
            </w:r>
          </w:p>
        </w:tc>
      </w:tr>
      <w:tr w:rsidR="0006598B" w:rsidRPr="00EF3C6A" w:rsidTr="002C3582">
        <w:trPr>
          <w:trHeight w:val="20"/>
        </w:trPr>
        <w:tc>
          <w:tcPr>
            <w:tcW w:w="869" w:type="pct"/>
            <w:vMerge w:val="restart"/>
            <w:vAlign w:val="center"/>
          </w:tcPr>
          <w:p w:rsidR="0006598B" w:rsidRPr="00EF3C6A" w:rsidRDefault="0006598B" w:rsidP="00060A4D">
            <w:pPr>
              <w:pStyle w:val="Tabletext"/>
              <w:keepNext/>
              <w:keepLines/>
              <w:rPr>
                <w:szCs w:val="20"/>
              </w:rPr>
            </w:pPr>
            <w:r w:rsidRPr="00EF3C6A">
              <w:rPr>
                <w:szCs w:val="20"/>
              </w:rPr>
              <w:t>AEs</w:t>
            </w:r>
          </w:p>
        </w:tc>
        <w:tc>
          <w:tcPr>
            <w:tcW w:w="656" w:type="pct"/>
            <w:vAlign w:val="center"/>
          </w:tcPr>
          <w:p w:rsidR="0006598B" w:rsidRPr="00EF3C6A" w:rsidRDefault="0006598B" w:rsidP="00060A4D">
            <w:pPr>
              <w:pStyle w:val="Tabletext"/>
              <w:keepNext/>
              <w:keepLines/>
              <w:rPr>
                <w:szCs w:val="20"/>
              </w:rPr>
            </w:pPr>
            <w:r w:rsidRPr="00EF3C6A">
              <w:rPr>
                <w:szCs w:val="20"/>
              </w:rPr>
              <w:t>Any grade</w:t>
            </w:r>
          </w:p>
        </w:tc>
        <w:tc>
          <w:tcPr>
            <w:tcW w:w="831" w:type="pct"/>
            <w:vAlign w:val="center"/>
          </w:tcPr>
          <w:p w:rsidR="0006598B" w:rsidRPr="00EF3C6A" w:rsidRDefault="0006598B" w:rsidP="00060A4D">
            <w:pPr>
              <w:pStyle w:val="Tabletext"/>
              <w:keepNext/>
              <w:keepLines/>
              <w:jc w:val="center"/>
              <w:rPr>
                <w:szCs w:val="20"/>
              </w:rPr>
            </w:pPr>
            <w:r w:rsidRPr="00EF3C6A">
              <w:rPr>
                <w:szCs w:val="20"/>
              </w:rPr>
              <w:t>509 (93.1)</w:t>
            </w:r>
          </w:p>
        </w:tc>
        <w:tc>
          <w:tcPr>
            <w:tcW w:w="678" w:type="pct"/>
            <w:vAlign w:val="center"/>
          </w:tcPr>
          <w:p w:rsidR="0006598B" w:rsidRPr="00EF3C6A" w:rsidRDefault="0006598B" w:rsidP="00060A4D">
            <w:pPr>
              <w:pStyle w:val="Tabletext"/>
              <w:keepNext/>
              <w:keepLines/>
              <w:jc w:val="center"/>
              <w:rPr>
                <w:szCs w:val="20"/>
              </w:rPr>
            </w:pPr>
            <w:r w:rsidRPr="00EF3C6A">
              <w:rPr>
                <w:szCs w:val="20"/>
              </w:rPr>
              <w:t>521 (97.4)</w:t>
            </w:r>
          </w:p>
        </w:tc>
        <w:tc>
          <w:tcPr>
            <w:tcW w:w="982" w:type="pct"/>
            <w:tcBorders>
              <w:top w:val="single" w:sz="4" w:space="0" w:color="auto"/>
              <w:left w:val="nil"/>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0.96</w:t>
            </w:r>
            <w:r w:rsidR="00A05589" w:rsidRPr="00EF3C6A">
              <w:rPr>
                <w:b/>
                <w:szCs w:val="20"/>
              </w:rPr>
              <w:t xml:space="preserve"> </w:t>
            </w:r>
            <w:r w:rsidRPr="00EF3C6A">
              <w:rPr>
                <w:b/>
                <w:szCs w:val="20"/>
              </w:rPr>
              <w:t>(0.93, 0.98)</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-0.04</w:t>
            </w:r>
            <w:r w:rsidR="00A05589" w:rsidRPr="00EF3C6A">
              <w:rPr>
                <w:b/>
                <w:szCs w:val="20"/>
              </w:rPr>
              <w:t xml:space="preserve"> </w:t>
            </w:r>
            <w:r w:rsidRPr="00EF3C6A">
              <w:rPr>
                <w:b/>
                <w:szCs w:val="20"/>
              </w:rPr>
              <w:t>(-0.07, -0.02)</w:t>
            </w:r>
          </w:p>
        </w:tc>
      </w:tr>
      <w:tr w:rsidR="0006598B" w:rsidRPr="00EF3C6A" w:rsidTr="002C3582">
        <w:trPr>
          <w:trHeight w:val="20"/>
        </w:trPr>
        <w:tc>
          <w:tcPr>
            <w:tcW w:w="869" w:type="pct"/>
            <w:vMerge/>
            <w:vAlign w:val="center"/>
          </w:tcPr>
          <w:p w:rsidR="0006598B" w:rsidRPr="00EF3C6A" w:rsidRDefault="0006598B" w:rsidP="00060A4D">
            <w:pPr>
              <w:pStyle w:val="Tabletext"/>
              <w:keepNext/>
              <w:keepLines/>
              <w:rPr>
                <w:szCs w:val="20"/>
              </w:rPr>
            </w:pPr>
          </w:p>
        </w:tc>
        <w:tc>
          <w:tcPr>
            <w:tcW w:w="656" w:type="pct"/>
            <w:vAlign w:val="center"/>
          </w:tcPr>
          <w:p w:rsidR="0006598B" w:rsidRPr="00EF3C6A" w:rsidRDefault="0006598B" w:rsidP="00060A4D">
            <w:pPr>
              <w:pStyle w:val="Tabletext"/>
              <w:keepNext/>
              <w:keepLines/>
              <w:rPr>
                <w:szCs w:val="20"/>
              </w:rPr>
            </w:pPr>
            <w:r w:rsidRPr="00EF3C6A">
              <w:rPr>
                <w:szCs w:val="20"/>
              </w:rPr>
              <w:t>Grade 3-4</w:t>
            </w:r>
          </w:p>
        </w:tc>
        <w:tc>
          <w:tcPr>
            <w:tcW w:w="831" w:type="pct"/>
            <w:vAlign w:val="center"/>
          </w:tcPr>
          <w:p w:rsidR="0006598B" w:rsidRPr="00EF3C6A" w:rsidRDefault="0006598B" w:rsidP="00060A4D">
            <w:pPr>
              <w:pStyle w:val="Tabletext"/>
              <w:keepNext/>
              <w:keepLines/>
              <w:jc w:val="center"/>
              <w:rPr>
                <w:szCs w:val="20"/>
              </w:rPr>
            </w:pPr>
            <w:r w:rsidRPr="00EF3C6A">
              <w:rPr>
                <w:szCs w:val="20"/>
              </w:rPr>
              <w:t>250 (45.7)</w:t>
            </w:r>
          </w:p>
        </w:tc>
        <w:tc>
          <w:tcPr>
            <w:tcW w:w="678" w:type="pct"/>
            <w:vAlign w:val="center"/>
          </w:tcPr>
          <w:p w:rsidR="0006598B" w:rsidRPr="00EF3C6A" w:rsidRDefault="0006598B" w:rsidP="00060A4D">
            <w:pPr>
              <w:pStyle w:val="Tabletext"/>
              <w:keepNext/>
              <w:keepLines/>
              <w:jc w:val="center"/>
              <w:rPr>
                <w:szCs w:val="20"/>
              </w:rPr>
            </w:pPr>
            <w:r w:rsidRPr="00EF3C6A">
              <w:rPr>
                <w:szCs w:val="20"/>
              </w:rPr>
              <w:t>335 (62.6)</w:t>
            </w:r>
          </w:p>
        </w:tc>
        <w:tc>
          <w:tcPr>
            <w:tcW w:w="982" w:type="pct"/>
            <w:tcBorders>
              <w:top w:val="single" w:sz="4" w:space="0" w:color="auto"/>
              <w:left w:val="nil"/>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0.73</w:t>
            </w:r>
            <w:r w:rsidR="00A05589" w:rsidRPr="00EF3C6A">
              <w:rPr>
                <w:b/>
                <w:szCs w:val="20"/>
              </w:rPr>
              <w:t xml:space="preserve"> </w:t>
            </w:r>
            <w:r w:rsidRPr="00EF3C6A">
              <w:rPr>
                <w:b/>
                <w:szCs w:val="20"/>
              </w:rPr>
              <w:t>(0.65, 0.82)</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-0.17</w:t>
            </w:r>
            <w:r w:rsidR="00A05589" w:rsidRPr="00EF3C6A">
              <w:rPr>
                <w:b/>
                <w:szCs w:val="20"/>
              </w:rPr>
              <w:t xml:space="preserve"> </w:t>
            </w:r>
            <w:r w:rsidRPr="00EF3C6A">
              <w:rPr>
                <w:b/>
                <w:szCs w:val="20"/>
              </w:rPr>
              <w:t>(-0.23, -0.11)</w:t>
            </w:r>
          </w:p>
        </w:tc>
      </w:tr>
      <w:tr w:rsidR="0006598B" w:rsidRPr="00EF3C6A" w:rsidTr="002C3582">
        <w:trPr>
          <w:trHeight w:val="20"/>
        </w:trPr>
        <w:tc>
          <w:tcPr>
            <w:tcW w:w="869" w:type="pct"/>
            <w:vMerge w:val="restart"/>
            <w:vAlign w:val="center"/>
          </w:tcPr>
          <w:p w:rsidR="0006598B" w:rsidRPr="00EF3C6A" w:rsidRDefault="0006598B" w:rsidP="00060A4D">
            <w:pPr>
              <w:pStyle w:val="Tabletext"/>
              <w:keepNext/>
              <w:keepLines/>
              <w:rPr>
                <w:szCs w:val="20"/>
              </w:rPr>
            </w:pPr>
            <w:r w:rsidRPr="00EF3C6A">
              <w:rPr>
                <w:szCs w:val="20"/>
              </w:rPr>
              <w:t>SAEs</w:t>
            </w:r>
          </w:p>
        </w:tc>
        <w:tc>
          <w:tcPr>
            <w:tcW w:w="656" w:type="pct"/>
            <w:vAlign w:val="center"/>
          </w:tcPr>
          <w:p w:rsidR="0006598B" w:rsidRPr="00EF3C6A" w:rsidRDefault="0006598B" w:rsidP="00060A4D">
            <w:pPr>
              <w:pStyle w:val="Tabletext"/>
              <w:keepNext/>
              <w:keepLines/>
              <w:rPr>
                <w:szCs w:val="20"/>
              </w:rPr>
            </w:pPr>
            <w:r w:rsidRPr="00EF3C6A">
              <w:rPr>
                <w:szCs w:val="20"/>
              </w:rPr>
              <w:t>Any grade</w:t>
            </w:r>
          </w:p>
        </w:tc>
        <w:tc>
          <w:tcPr>
            <w:tcW w:w="831" w:type="pct"/>
            <w:vAlign w:val="center"/>
          </w:tcPr>
          <w:p w:rsidR="0006598B" w:rsidRPr="00EF3C6A" w:rsidRDefault="0006598B" w:rsidP="00060A4D">
            <w:pPr>
              <w:pStyle w:val="Tabletext"/>
              <w:keepNext/>
              <w:keepLines/>
              <w:jc w:val="center"/>
              <w:rPr>
                <w:szCs w:val="20"/>
              </w:rPr>
            </w:pPr>
            <w:r w:rsidRPr="00EF3C6A">
              <w:rPr>
                <w:szCs w:val="20"/>
              </w:rPr>
              <w:t>162 (29.6)</w:t>
            </w:r>
          </w:p>
        </w:tc>
        <w:tc>
          <w:tcPr>
            <w:tcW w:w="678" w:type="pct"/>
            <w:vAlign w:val="center"/>
          </w:tcPr>
          <w:p w:rsidR="0006598B" w:rsidRPr="00EF3C6A" w:rsidRDefault="0006598B" w:rsidP="00060A4D">
            <w:pPr>
              <w:pStyle w:val="Tabletext"/>
              <w:keepNext/>
              <w:keepLines/>
              <w:jc w:val="center"/>
              <w:rPr>
                <w:szCs w:val="20"/>
              </w:rPr>
            </w:pPr>
            <w:r w:rsidRPr="00EF3C6A">
              <w:rPr>
                <w:szCs w:val="20"/>
              </w:rPr>
              <w:t>81 (15.1)</w:t>
            </w:r>
          </w:p>
        </w:tc>
        <w:tc>
          <w:tcPr>
            <w:tcW w:w="982" w:type="pct"/>
            <w:tcBorders>
              <w:top w:val="single" w:sz="4" w:space="0" w:color="auto"/>
              <w:left w:val="nil"/>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1.96</w:t>
            </w:r>
            <w:r w:rsidR="00A05589" w:rsidRPr="00EF3C6A">
              <w:rPr>
                <w:b/>
                <w:szCs w:val="20"/>
              </w:rPr>
              <w:t xml:space="preserve"> </w:t>
            </w:r>
            <w:r w:rsidRPr="00EF3C6A">
              <w:rPr>
                <w:b/>
                <w:szCs w:val="20"/>
              </w:rPr>
              <w:t>(1.54, 2.48)</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0.15</w:t>
            </w:r>
            <w:r w:rsidR="00A05589" w:rsidRPr="00EF3C6A">
              <w:rPr>
                <w:b/>
                <w:szCs w:val="20"/>
              </w:rPr>
              <w:t xml:space="preserve"> </w:t>
            </w:r>
            <w:r w:rsidRPr="00EF3C6A">
              <w:rPr>
                <w:b/>
                <w:szCs w:val="20"/>
              </w:rPr>
              <w:t>(0.10, 0.19)</w:t>
            </w:r>
          </w:p>
        </w:tc>
      </w:tr>
      <w:tr w:rsidR="0006598B" w:rsidRPr="00EF3C6A" w:rsidTr="002C3582">
        <w:trPr>
          <w:trHeight w:val="20"/>
        </w:trPr>
        <w:tc>
          <w:tcPr>
            <w:tcW w:w="869" w:type="pct"/>
            <w:vMerge/>
            <w:tcBorders>
              <w:bottom w:val="single" w:sz="4" w:space="0" w:color="auto"/>
            </w:tcBorders>
            <w:vAlign w:val="center"/>
          </w:tcPr>
          <w:p w:rsidR="0006598B" w:rsidRPr="00EF3C6A" w:rsidRDefault="0006598B" w:rsidP="00060A4D">
            <w:pPr>
              <w:pStyle w:val="Tabletext"/>
              <w:keepNext/>
              <w:keepLines/>
              <w:rPr>
                <w:szCs w:val="20"/>
              </w:rPr>
            </w:pPr>
          </w:p>
        </w:tc>
        <w:tc>
          <w:tcPr>
            <w:tcW w:w="656" w:type="pct"/>
            <w:tcBorders>
              <w:bottom w:val="single" w:sz="4" w:space="0" w:color="auto"/>
            </w:tcBorders>
            <w:vAlign w:val="center"/>
          </w:tcPr>
          <w:p w:rsidR="0006598B" w:rsidRPr="00EF3C6A" w:rsidRDefault="0006598B" w:rsidP="00060A4D">
            <w:pPr>
              <w:pStyle w:val="Tabletext"/>
              <w:keepNext/>
              <w:keepLines/>
              <w:rPr>
                <w:szCs w:val="20"/>
              </w:rPr>
            </w:pPr>
            <w:r w:rsidRPr="00EF3C6A">
              <w:rPr>
                <w:szCs w:val="20"/>
              </w:rPr>
              <w:t>Grade 3-4</w:t>
            </w:r>
          </w:p>
        </w:tc>
        <w:tc>
          <w:tcPr>
            <w:tcW w:w="831" w:type="pct"/>
            <w:tcBorders>
              <w:bottom w:val="single" w:sz="4" w:space="0" w:color="auto"/>
            </w:tcBorders>
            <w:vAlign w:val="center"/>
          </w:tcPr>
          <w:p w:rsidR="0006598B" w:rsidRPr="00EF3C6A" w:rsidRDefault="0006598B" w:rsidP="00060A4D">
            <w:pPr>
              <w:pStyle w:val="Tabletext"/>
              <w:keepNext/>
              <w:keepLines/>
              <w:jc w:val="center"/>
              <w:rPr>
                <w:szCs w:val="20"/>
              </w:rPr>
            </w:pPr>
            <w:r w:rsidRPr="00EF3C6A">
              <w:rPr>
                <w:szCs w:val="20"/>
              </w:rPr>
              <w:t>121 (22.1)</w:t>
            </w:r>
          </w:p>
        </w:tc>
        <w:tc>
          <w:tcPr>
            <w:tcW w:w="678" w:type="pct"/>
            <w:tcBorders>
              <w:bottom w:val="single" w:sz="4" w:space="0" w:color="auto"/>
            </w:tcBorders>
            <w:vAlign w:val="center"/>
          </w:tcPr>
          <w:p w:rsidR="0006598B" w:rsidRPr="00EF3C6A" w:rsidRDefault="0006598B" w:rsidP="00060A4D">
            <w:pPr>
              <w:pStyle w:val="Tabletext"/>
              <w:keepNext/>
              <w:keepLines/>
              <w:jc w:val="center"/>
              <w:rPr>
                <w:szCs w:val="20"/>
              </w:rPr>
            </w:pPr>
            <w:r w:rsidRPr="00EF3C6A">
              <w:rPr>
                <w:szCs w:val="20"/>
              </w:rPr>
              <w:t>64 (12.0)</w:t>
            </w:r>
          </w:p>
        </w:tc>
        <w:tc>
          <w:tcPr>
            <w:tcW w:w="982" w:type="pct"/>
            <w:tcBorders>
              <w:top w:val="single" w:sz="4" w:space="0" w:color="auto"/>
              <w:left w:val="nil"/>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1.85</w:t>
            </w:r>
            <w:r w:rsidR="00A05589" w:rsidRPr="00EF3C6A">
              <w:rPr>
                <w:b/>
                <w:szCs w:val="20"/>
              </w:rPr>
              <w:t xml:space="preserve"> </w:t>
            </w:r>
            <w:r w:rsidRPr="00EF3C6A">
              <w:rPr>
                <w:b/>
                <w:szCs w:val="20"/>
              </w:rPr>
              <w:t>(1.40, 2.44)</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0.10</w:t>
            </w:r>
            <w:r w:rsidR="00A05589" w:rsidRPr="00EF3C6A">
              <w:rPr>
                <w:b/>
                <w:szCs w:val="20"/>
              </w:rPr>
              <w:t xml:space="preserve"> </w:t>
            </w:r>
            <w:r w:rsidRPr="00EF3C6A">
              <w:rPr>
                <w:b/>
                <w:szCs w:val="20"/>
              </w:rPr>
              <w:t>(0.06, 0.15)</w:t>
            </w:r>
          </w:p>
        </w:tc>
      </w:tr>
      <w:tr w:rsidR="0006598B" w:rsidRPr="00EF3C6A" w:rsidTr="002C3582">
        <w:trPr>
          <w:trHeight w:val="20"/>
        </w:trPr>
        <w:tc>
          <w:tcPr>
            <w:tcW w:w="869" w:type="pct"/>
            <w:vMerge w:val="restart"/>
            <w:vAlign w:val="center"/>
          </w:tcPr>
          <w:p w:rsidR="0006598B" w:rsidRPr="00EF3C6A" w:rsidRDefault="0006598B" w:rsidP="00060A4D">
            <w:pPr>
              <w:pStyle w:val="Tabletext"/>
              <w:keepNext/>
              <w:keepLines/>
              <w:rPr>
                <w:szCs w:val="20"/>
              </w:rPr>
            </w:pPr>
            <w:r w:rsidRPr="00EF3C6A">
              <w:rPr>
                <w:szCs w:val="20"/>
              </w:rPr>
              <w:t>AEs leading to discontinuation</w:t>
            </w:r>
          </w:p>
        </w:tc>
        <w:tc>
          <w:tcPr>
            <w:tcW w:w="656" w:type="pct"/>
            <w:vAlign w:val="center"/>
          </w:tcPr>
          <w:p w:rsidR="0006598B" w:rsidRPr="00EF3C6A" w:rsidRDefault="0006598B" w:rsidP="00060A4D">
            <w:pPr>
              <w:pStyle w:val="Tabletext"/>
              <w:keepNext/>
              <w:keepLines/>
              <w:rPr>
                <w:szCs w:val="20"/>
              </w:rPr>
            </w:pPr>
            <w:r w:rsidRPr="00EF3C6A">
              <w:rPr>
                <w:szCs w:val="20"/>
              </w:rPr>
              <w:t>Any grade</w:t>
            </w:r>
          </w:p>
        </w:tc>
        <w:tc>
          <w:tcPr>
            <w:tcW w:w="831" w:type="pct"/>
            <w:tcBorders>
              <w:bottom w:val="single" w:sz="4" w:space="0" w:color="auto"/>
            </w:tcBorders>
            <w:vAlign w:val="center"/>
          </w:tcPr>
          <w:p w:rsidR="0006598B" w:rsidRPr="00EF3C6A" w:rsidRDefault="0006598B" w:rsidP="00060A4D">
            <w:pPr>
              <w:pStyle w:val="Tabletext"/>
              <w:keepNext/>
              <w:keepLines/>
              <w:jc w:val="center"/>
              <w:rPr>
                <w:szCs w:val="20"/>
              </w:rPr>
            </w:pPr>
            <w:r w:rsidRPr="00EF3C6A">
              <w:rPr>
                <w:szCs w:val="20"/>
              </w:rPr>
              <w:t>118 (21.6)</w:t>
            </w:r>
          </w:p>
        </w:tc>
        <w:tc>
          <w:tcPr>
            <w:tcW w:w="678" w:type="pct"/>
            <w:tcBorders>
              <w:bottom w:val="single" w:sz="4" w:space="0" w:color="auto"/>
            </w:tcBorders>
            <w:vAlign w:val="center"/>
          </w:tcPr>
          <w:p w:rsidR="0006598B" w:rsidRPr="00EF3C6A" w:rsidRDefault="0006598B" w:rsidP="00060A4D">
            <w:pPr>
              <w:pStyle w:val="Tabletext"/>
              <w:keepNext/>
              <w:keepLines/>
              <w:jc w:val="center"/>
              <w:rPr>
                <w:szCs w:val="20"/>
              </w:rPr>
            </w:pPr>
            <w:r w:rsidRPr="00EF3C6A">
              <w:rPr>
                <w:szCs w:val="20"/>
              </w:rPr>
              <w:t>63 (11.8)</w:t>
            </w:r>
          </w:p>
        </w:tc>
        <w:tc>
          <w:tcPr>
            <w:tcW w:w="982" w:type="pct"/>
            <w:tcBorders>
              <w:top w:val="single" w:sz="4" w:space="0" w:color="auto"/>
              <w:left w:val="nil"/>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1.83</w:t>
            </w:r>
            <w:r w:rsidR="00A05589" w:rsidRPr="00EF3C6A">
              <w:rPr>
                <w:b/>
                <w:szCs w:val="20"/>
              </w:rPr>
              <w:t xml:space="preserve"> </w:t>
            </w:r>
            <w:r w:rsidRPr="00EF3C6A">
              <w:rPr>
                <w:b/>
                <w:szCs w:val="20"/>
              </w:rPr>
              <w:t>(1.38, 2.43)</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0.10</w:t>
            </w:r>
            <w:r w:rsidR="00A05589" w:rsidRPr="00EF3C6A">
              <w:rPr>
                <w:b/>
                <w:szCs w:val="20"/>
              </w:rPr>
              <w:t xml:space="preserve"> </w:t>
            </w:r>
            <w:r w:rsidRPr="00EF3C6A">
              <w:rPr>
                <w:b/>
                <w:szCs w:val="20"/>
              </w:rPr>
              <w:t>(0.05, 0.14)</w:t>
            </w:r>
          </w:p>
        </w:tc>
      </w:tr>
      <w:tr w:rsidR="0006598B" w:rsidRPr="00EF3C6A" w:rsidTr="002C3582">
        <w:trPr>
          <w:trHeight w:val="20"/>
        </w:trPr>
        <w:tc>
          <w:tcPr>
            <w:tcW w:w="869" w:type="pct"/>
            <w:vMerge/>
            <w:vAlign w:val="center"/>
          </w:tcPr>
          <w:p w:rsidR="0006598B" w:rsidRPr="00EF3C6A" w:rsidRDefault="0006598B" w:rsidP="00060A4D">
            <w:pPr>
              <w:pStyle w:val="Tabletext"/>
              <w:keepNext/>
              <w:keepLines/>
              <w:rPr>
                <w:szCs w:val="20"/>
              </w:rPr>
            </w:pPr>
          </w:p>
        </w:tc>
        <w:tc>
          <w:tcPr>
            <w:tcW w:w="656" w:type="pct"/>
            <w:vAlign w:val="center"/>
          </w:tcPr>
          <w:p w:rsidR="0006598B" w:rsidRPr="00EF3C6A" w:rsidRDefault="0006598B" w:rsidP="00060A4D">
            <w:pPr>
              <w:pStyle w:val="Tabletext"/>
              <w:keepNext/>
              <w:keepLines/>
              <w:rPr>
                <w:szCs w:val="20"/>
              </w:rPr>
            </w:pPr>
            <w:r w:rsidRPr="00EF3C6A">
              <w:rPr>
                <w:szCs w:val="20"/>
              </w:rPr>
              <w:t>Grade 3-4</w:t>
            </w:r>
          </w:p>
        </w:tc>
        <w:tc>
          <w:tcPr>
            <w:tcW w:w="831" w:type="pct"/>
            <w:vAlign w:val="center"/>
          </w:tcPr>
          <w:p w:rsidR="0006598B" w:rsidRPr="00EF3C6A" w:rsidRDefault="0006598B" w:rsidP="00060A4D">
            <w:pPr>
              <w:pStyle w:val="Tabletext"/>
              <w:keepNext/>
              <w:keepLines/>
              <w:jc w:val="center"/>
              <w:rPr>
                <w:szCs w:val="20"/>
              </w:rPr>
            </w:pPr>
            <w:r w:rsidRPr="00EF3C6A">
              <w:rPr>
                <w:szCs w:val="20"/>
              </w:rPr>
              <w:t>84 (15.4)</w:t>
            </w:r>
          </w:p>
        </w:tc>
        <w:tc>
          <w:tcPr>
            <w:tcW w:w="678" w:type="pct"/>
            <w:vAlign w:val="center"/>
          </w:tcPr>
          <w:p w:rsidR="0006598B" w:rsidRPr="00EF3C6A" w:rsidRDefault="0006598B" w:rsidP="00060A4D">
            <w:pPr>
              <w:pStyle w:val="Tabletext"/>
              <w:keepNext/>
              <w:keepLines/>
              <w:jc w:val="center"/>
              <w:rPr>
                <w:szCs w:val="20"/>
              </w:rPr>
            </w:pPr>
            <w:r w:rsidRPr="00EF3C6A">
              <w:rPr>
                <w:szCs w:val="20"/>
              </w:rPr>
              <w:t>37 (6.9)</w:t>
            </w:r>
          </w:p>
        </w:tc>
        <w:tc>
          <w:tcPr>
            <w:tcW w:w="982" w:type="pct"/>
            <w:tcBorders>
              <w:top w:val="single" w:sz="4" w:space="0" w:color="auto"/>
              <w:left w:val="nil"/>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2.22</w:t>
            </w:r>
            <w:r w:rsidR="00A05589" w:rsidRPr="00EF3C6A">
              <w:rPr>
                <w:b/>
                <w:szCs w:val="20"/>
              </w:rPr>
              <w:t xml:space="preserve"> </w:t>
            </w:r>
            <w:r w:rsidRPr="00EF3C6A">
              <w:rPr>
                <w:b/>
                <w:szCs w:val="20"/>
              </w:rPr>
              <w:t>(1.54, 3.21)</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06598B" w:rsidRPr="00EF3C6A" w:rsidRDefault="0006598B" w:rsidP="00A05589">
            <w:pPr>
              <w:pStyle w:val="Tabletext"/>
              <w:keepNext/>
              <w:keepLines/>
              <w:jc w:val="center"/>
              <w:rPr>
                <w:b/>
                <w:szCs w:val="20"/>
              </w:rPr>
            </w:pPr>
            <w:r w:rsidRPr="00EF3C6A">
              <w:rPr>
                <w:b/>
                <w:szCs w:val="20"/>
              </w:rPr>
              <w:t>0.08</w:t>
            </w:r>
            <w:r w:rsidR="00A05589" w:rsidRPr="00EF3C6A">
              <w:rPr>
                <w:b/>
                <w:szCs w:val="20"/>
              </w:rPr>
              <w:t xml:space="preserve"> </w:t>
            </w:r>
            <w:r w:rsidRPr="00EF3C6A">
              <w:rPr>
                <w:b/>
                <w:szCs w:val="20"/>
              </w:rPr>
              <w:t>(0.05, 0.12)</w:t>
            </w:r>
          </w:p>
        </w:tc>
      </w:tr>
      <w:tr w:rsidR="00FB6E51" w:rsidRPr="00EF3C6A" w:rsidTr="00FB6E51">
        <w:trPr>
          <w:trHeight w:val="20"/>
        </w:trPr>
        <w:tc>
          <w:tcPr>
            <w:tcW w:w="5000" w:type="pct"/>
            <w:gridSpan w:val="6"/>
            <w:tcBorders>
              <w:right w:val="single" w:sz="4" w:space="0" w:color="auto"/>
            </w:tcBorders>
            <w:vAlign w:val="center"/>
          </w:tcPr>
          <w:p w:rsidR="00FB6E51" w:rsidRPr="00EF3C6A" w:rsidRDefault="00FB6E51" w:rsidP="00060A4D">
            <w:pPr>
              <w:pStyle w:val="Tabletext"/>
              <w:keepNext/>
              <w:keepLines/>
              <w:rPr>
                <w:b/>
                <w:szCs w:val="20"/>
              </w:rPr>
            </w:pPr>
            <w:r w:rsidRPr="00EF3C6A">
              <w:rPr>
                <w:b/>
                <w:szCs w:val="20"/>
              </w:rPr>
              <w:t>Immune-mediated adverse events</w:t>
            </w:r>
          </w:p>
        </w:tc>
      </w:tr>
      <w:tr w:rsidR="00FB6E51" w:rsidRPr="00EF3C6A" w:rsidTr="002C3582">
        <w:trPr>
          <w:trHeight w:val="20"/>
        </w:trPr>
        <w:tc>
          <w:tcPr>
            <w:tcW w:w="1525" w:type="pct"/>
            <w:gridSpan w:val="2"/>
            <w:vAlign w:val="center"/>
          </w:tcPr>
          <w:p w:rsidR="00FB6E51" w:rsidRPr="00EF3C6A" w:rsidRDefault="00FB6E51" w:rsidP="00060A4D">
            <w:pPr>
              <w:pStyle w:val="Tabletext"/>
              <w:keepNext/>
              <w:keepLines/>
              <w:rPr>
                <w:szCs w:val="20"/>
              </w:rPr>
            </w:pPr>
            <w:r w:rsidRPr="00EF3C6A">
              <w:rPr>
                <w:szCs w:val="20"/>
              </w:rPr>
              <w:t>Pneumonitis, n (%)</w:t>
            </w:r>
          </w:p>
        </w:tc>
        <w:tc>
          <w:tcPr>
            <w:tcW w:w="831" w:type="pct"/>
            <w:vAlign w:val="center"/>
          </w:tcPr>
          <w:p w:rsidR="00FB6E51" w:rsidRPr="00EF3C6A" w:rsidRDefault="00B07F6B" w:rsidP="00060A4D">
            <w:pPr>
              <w:pStyle w:val="Tabletext"/>
              <w:keepNext/>
              <w:keepLines/>
              <w:jc w:val="center"/>
              <w:rPr>
                <w:szCs w:val="20"/>
              </w:rPr>
            </w:pPr>
            <w:r>
              <w:rPr>
                <w:noProof/>
                <w:color w:val="000000"/>
                <w:szCs w:val="20"/>
                <w:highlight w:val="black"/>
              </w:rPr>
              <w:t>''''''</w:t>
            </w:r>
            <w:r w:rsidR="00FB6E51" w:rsidRPr="00EF3C6A">
              <w:rPr>
                <w:szCs w:val="20"/>
              </w:rPr>
              <w:t xml:space="preserve"> (</w:t>
            </w:r>
            <w:r>
              <w:rPr>
                <w:noProof/>
                <w:color w:val="000000"/>
                <w:szCs w:val="20"/>
                <w:highlight w:val="black"/>
              </w:rPr>
              <w:t>'''''''</w:t>
            </w:r>
            <w:r w:rsidR="00FB6E51" w:rsidRPr="00EF3C6A">
              <w:rPr>
                <w:szCs w:val="20"/>
              </w:rPr>
              <w:t>)</w:t>
            </w:r>
          </w:p>
        </w:tc>
        <w:tc>
          <w:tcPr>
            <w:tcW w:w="678" w:type="pct"/>
            <w:vAlign w:val="center"/>
          </w:tcPr>
          <w:p w:rsidR="00FB6E51" w:rsidRPr="00EF3C6A" w:rsidRDefault="00B07F6B" w:rsidP="00060A4D">
            <w:pPr>
              <w:pStyle w:val="Tabletext"/>
              <w:keepNext/>
              <w:keepLines/>
              <w:jc w:val="center"/>
              <w:rPr>
                <w:szCs w:val="20"/>
              </w:rPr>
            </w:pPr>
            <w:r>
              <w:rPr>
                <w:noProof/>
                <w:color w:val="000000"/>
                <w:szCs w:val="20"/>
                <w:highlight w:val="black"/>
              </w:rPr>
              <w:t>''''</w:t>
            </w:r>
            <w:r w:rsidR="00FB6E51" w:rsidRPr="00EF3C6A">
              <w:rPr>
                <w:szCs w:val="20"/>
              </w:rPr>
              <w:t xml:space="preserve"> (</w:t>
            </w:r>
            <w:r>
              <w:rPr>
                <w:noProof/>
                <w:color w:val="000000"/>
                <w:szCs w:val="20"/>
                <w:highlight w:val="black"/>
              </w:rPr>
              <w:t>''''''''</w:t>
            </w:r>
            <w:r w:rsidR="00FB6E51" w:rsidRPr="00EF3C6A">
              <w:rPr>
                <w:szCs w:val="20"/>
              </w:rPr>
              <w:t>)</w:t>
            </w:r>
          </w:p>
        </w:tc>
        <w:tc>
          <w:tcPr>
            <w:tcW w:w="982" w:type="pct"/>
            <w:tcBorders>
              <w:top w:val="single" w:sz="4" w:space="0" w:color="auto"/>
              <w:left w:val="nil"/>
              <w:bottom w:val="single" w:sz="4" w:space="0" w:color="auto"/>
              <w:right w:val="single" w:sz="4" w:space="0" w:color="auto"/>
            </w:tcBorders>
            <w:shd w:val="clear" w:color="auto" w:fill="auto"/>
            <w:vAlign w:val="center"/>
          </w:tcPr>
          <w:p w:rsidR="00FB6E51" w:rsidRPr="00EF3C6A" w:rsidRDefault="00B07F6B" w:rsidP="00060A4D">
            <w:pPr>
              <w:pStyle w:val="Tabletext"/>
              <w:keepNext/>
              <w:keepLines/>
              <w:jc w:val="center"/>
              <w:rPr>
                <w:b/>
                <w:szCs w:val="20"/>
              </w:rPr>
            </w:pPr>
            <w:r>
              <w:rPr>
                <w:b/>
                <w:noProof/>
                <w:color w:val="000000"/>
                <w:szCs w:val="20"/>
                <w:highlight w:val="black"/>
              </w:rPr>
              <w:t>''''''''</w:t>
            </w:r>
            <w:r w:rsidR="00A92A5F" w:rsidRPr="00EF3C6A">
              <w:rPr>
                <w:b/>
                <w:szCs w:val="20"/>
              </w:rPr>
              <w:t xml:space="preserve"> (</w:t>
            </w:r>
            <w:r>
              <w:rPr>
                <w:b/>
                <w:noProof/>
                <w:color w:val="000000"/>
                <w:szCs w:val="20"/>
                <w:highlight w:val="black"/>
              </w:rPr>
              <w:t>'''''''''</w:t>
            </w:r>
            <w:r w:rsidR="00A92A5F" w:rsidRPr="00EF3C6A">
              <w:rPr>
                <w:b/>
                <w:szCs w:val="20"/>
              </w:rPr>
              <w:t xml:space="preserve">, </w:t>
            </w:r>
            <w:r>
              <w:rPr>
                <w:b/>
                <w:noProof/>
                <w:color w:val="000000"/>
                <w:szCs w:val="20"/>
                <w:highlight w:val="black"/>
              </w:rPr>
              <w:t>'''''''''''</w:t>
            </w:r>
            <w:r w:rsidR="00A92A5F" w:rsidRPr="00EF3C6A">
              <w:rPr>
                <w:b/>
                <w:szCs w:val="20"/>
              </w:rPr>
              <w:t>)</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FB6E51" w:rsidRPr="00EF3C6A" w:rsidRDefault="00B07F6B" w:rsidP="00060A4D">
            <w:pPr>
              <w:pStyle w:val="Tabletext"/>
              <w:keepNext/>
              <w:keepLines/>
              <w:jc w:val="center"/>
              <w:rPr>
                <w:b/>
                <w:szCs w:val="20"/>
              </w:rPr>
            </w:pPr>
            <w:r>
              <w:rPr>
                <w:b/>
                <w:noProof/>
                <w:color w:val="000000"/>
                <w:szCs w:val="20"/>
                <w:highlight w:val="black"/>
              </w:rPr>
              <w:t>''''''''''</w:t>
            </w:r>
            <w:r w:rsidR="00A92A5F" w:rsidRPr="00EF3C6A">
              <w:rPr>
                <w:b/>
                <w:szCs w:val="20"/>
              </w:rPr>
              <w:t xml:space="preserve"> (</w:t>
            </w:r>
            <w:r>
              <w:rPr>
                <w:b/>
                <w:noProof/>
                <w:color w:val="000000"/>
                <w:szCs w:val="20"/>
                <w:highlight w:val="black"/>
              </w:rPr>
              <w:t>''''''''''</w:t>
            </w:r>
            <w:r w:rsidR="00A92A5F" w:rsidRPr="00EF3C6A">
              <w:rPr>
                <w:b/>
                <w:szCs w:val="20"/>
              </w:rPr>
              <w:t xml:space="preserve">, </w:t>
            </w:r>
            <w:r>
              <w:rPr>
                <w:b/>
                <w:noProof/>
                <w:color w:val="000000"/>
                <w:szCs w:val="20"/>
                <w:highlight w:val="black"/>
              </w:rPr>
              <w:t>''''''''</w:t>
            </w:r>
            <w:r w:rsidR="00A92A5F" w:rsidRPr="00EF3C6A">
              <w:rPr>
                <w:b/>
                <w:szCs w:val="20"/>
              </w:rPr>
              <w:t>)</w:t>
            </w:r>
          </w:p>
        </w:tc>
      </w:tr>
      <w:tr w:rsidR="00FB6E51" w:rsidRPr="00EF3C6A" w:rsidTr="002C3582">
        <w:trPr>
          <w:trHeight w:val="20"/>
        </w:trPr>
        <w:tc>
          <w:tcPr>
            <w:tcW w:w="1525" w:type="pct"/>
            <w:gridSpan w:val="2"/>
            <w:vAlign w:val="center"/>
          </w:tcPr>
          <w:p w:rsidR="00FB6E51" w:rsidRPr="00EF3C6A" w:rsidRDefault="00FB6E51" w:rsidP="00060A4D">
            <w:pPr>
              <w:pStyle w:val="Tabletext"/>
              <w:keepNext/>
              <w:keepLines/>
              <w:rPr>
                <w:szCs w:val="20"/>
              </w:rPr>
            </w:pPr>
            <w:r w:rsidRPr="00EF3C6A">
              <w:rPr>
                <w:szCs w:val="20"/>
              </w:rPr>
              <w:t>Hepatitis, n (%)</w:t>
            </w:r>
          </w:p>
        </w:tc>
        <w:tc>
          <w:tcPr>
            <w:tcW w:w="831" w:type="pct"/>
            <w:vAlign w:val="center"/>
          </w:tcPr>
          <w:p w:rsidR="00FB6E51" w:rsidRPr="00EF3C6A" w:rsidRDefault="00B07F6B" w:rsidP="00060A4D">
            <w:pPr>
              <w:pStyle w:val="Tabletext"/>
              <w:keepNext/>
              <w:keepLines/>
              <w:jc w:val="center"/>
              <w:rPr>
                <w:szCs w:val="20"/>
              </w:rPr>
            </w:pPr>
            <w:r>
              <w:rPr>
                <w:noProof/>
                <w:color w:val="000000"/>
                <w:szCs w:val="20"/>
                <w:highlight w:val="black"/>
              </w:rPr>
              <w:t>'''''''</w:t>
            </w:r>
            <w:r w:rsidR="00FB6E51" w:rsidRPr="00EF3C6A">
              <w:rPr>
                <w:szCs w:val="20"/>
              </w:rPr>
              <w:t xml:space="preserve"> (</w:t>
            </w:r>
            <w:r>
              <w:rPr>
                <w:noProof/>
                <w:color w:val="000000"/>
                <w:szCs w:val="20"/>
                <w:highlight w:val="black"/>
              </w:rPr>
              <w:t>''''''''</w:t>
            </w:r>
            <w:r w:rsidR="00FB6E51" w:rsidRPr="00EF3C6A">
              <w:rPr>
                <w:szCs w:val="20"/>
              </w:rPr>
              <w:t>)</w:t>
            </w:r>
          </w:p>
        </w:tc>
        <w:tc>
          <w:tcPr>
            <w:tcW w:w="678" w:type="pct"/>
            <w:vAlign w:val="center"/>
          </w:tcPr>
          <w:p w:rsidR="00FB6E51" w:rsidRPr="00EF3C6A" w:rsidRDefault="00B07F6B" w:rsidP="00060A4D">
            <w:pPr>
              <w:pStyle w:val="Tabletext"/>
              <w:keepNext/>
              <w:keepLines/>
              <w:jc w:val="center"/>
              <w:rPr>
                <w:szCs w:val="20"/>
              </w:rPr>
            </w:pPr>
            <w:r>
              <w:rPr>
                <w:noProof/>
                <w:color w:val="000000"/>
                <w:szCs w:val="20"/>
                <w:highlight w:val="black"/>
              </w:rPr>
              <w:t>'''</w:t>
            </w:r>
            <w:r w:rsidR="00FB6E51" w:rsidRPr="00EF3C6A">
              <w:rPr>
                <w:szCs w:val="20"/>
              </w:rPr>
              <w:t xml:space="preserve"> (</w:t>
            </w:r>
            <w:r>
              <w:rPr>
                <w:noProof/>
                <w:color w:val="000000"/>
                <w:szCs w:val="20"/>
                <w:highlight w:val="black"/>
              </w:rPr>
              <w:t>''''''''</w:t>
            </w:r>
            <w:r w:rsidR="00FB6E51" w:rsidRPr="00EF3C6A">
              <w:rPr>
                <w:szCs w:val="20"/>
              </w:rPr>
              <w:t>)</w:t>
            </w:r>
          </w:p>
        </w:tc>
        <w:tc>
          <w:tcPr>
            <w:tcW w:w="982" w:type="pct"/>
            <w:tcBorders>
              <w:top w:val="single" w:sz="4" w:space="0" w:color="auto"/>
              <w:left w:val="nil"/>
              <w:bottom w:val="single" w:sz="4" w:space="0" w:color="auto"/>
              <w:right w:val="single" w:sz="4" w:space="0" w:color="auto"/>
            </w:tcBorders>
            <w:shd w:val="clear" w:color="auto" w:fill="auto"/>
            <w:vAlign w:val="center"/>
          </w:tcPr>
          <w:p w:rsidR="00FB6E51" w:rsidRPr="00EF3C6A" w:rsidRDefault="00B07F6B" w:rsidP="00060A4D">
            <w:pPr>
              <w:pStyle w:val="Tabletext"/>
              <w:keepNext/>
              <w:keepLines/>
              <w:jc w:val="center"/>
              <w:rPr>
                <w:b/>
                <w:szCs w:val="20"/>
              </w:rPr>
            </w:pPr>
            <w:r>
              <w:rPr>
                <w:b/>
                <w:noProof/>
                <w:color w:val="000000"/>
                <w:szCs w:val="20"/>
                <w:highlight w:val="black"/>
              </w:rPr>
              <w:t>'''''''''''</w:t>
            </w:r>
            <w:r w:rsidR="000B799D" w:rsidRPr="00EF3C6A">
              <w:rPr>
                <w:b/>
                <w:szCs w:val="20"/>
              </w:rPr>
              <w:t xml:space="preserve"> (</w:t>
            </w:r>
            <w:r>
              <w:rPr>
                <w:b/>
                <w:noProof/>
                <w:color w:val="000000"/>
                <w:szCs w:val="20"/>
                <w:highlight w:val="black"/>
              </w:rPr>
              <w:t>''''''''</w:t>
            </w:r>
            <w:r w:rsidR="000B799D" w:rsidRPr="00EF3C6A">
              <w:rPr>
                <w:b/>
                <w:szCs w:val="20"/>
              </w:rPr>
              <w:t xml:space="preserve">, </w:t>
            </w:r>
            <w:r>
              <w:rPr>
                <w:b/>
                <w:noProof/>
                <w:color w:val="000000"/>
                <w:szCs w:val="20"/>
                <w:highlight w:val="black"/>
              </w:rPr>
              <w:t>''''''''''</w:t>
            </w:r>
            <w:r w:rsidR="000B799D" w:rsidRPr="00EF3C6A">
              <w:rPr>
                <w:b/>
                <w:szCs w:val="20"/>
              </w:rPr>
              <w:t>)</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FB6E51" w:rsidRPr="00EF3C6A" w:rsidRDefault="00B07F6B" w:rsidP="00060A4D">
            <w:pPr>
              <w:pStyle w:val="Tabletext"/>
              <w:keepNext/>
              <w:keepLines/>
              <w:jc w:val="center"/>
              <w:rPr>
                <w:b/>
                <w:szCs w:val="20"/>
              </w:rPr>
            </w:pPr>
            <w:r>
              <w:rPr>
                <w:b/>
                <w:noProof/>
                <w:color w:val="000000"/>
                <w:szCs w:val="20"/>
                <w:highlight w:val="black"/>
              </w:rPr>
              <w:t>''''''''''</w:t>
            </w:r>
            <w:r w:rsidR="000B799D" w:rsidRPr="00EF3C6A">
              <w:rPr>
                <w:b/>
                <w:szCs w:val="20"/>
              </w:rPr>
              <w:t xml:space="preserve"> (</w:t>
            </w:r>
            <w:r>
              <w:rPr>
                <w:b/>
                <w:noProof/>
                <w:color w:val="000000"/>
                <w:szCs w:val="20"/>
                <w:highlight w:val="black"/>
              </w:rPr>
              <w:t>''''''''</w:t>
            </w:r>
            <w:r w:rsidR="000B799D" w:rsidRPr="00EF3C6A">
              <w:rPr>
                <w:b/>
                <w:szCs w:val="20"/>
              </w:rPr>
              <w:t xml:space="preserve">, </w:t>
            </w:r>
            <w:r>
              <w:rPr>
                <w:b/>
                <w:noProof/>
                <w:color w:val="000000"/>
                <w:szCs w:val="20"/>
                <w:highlight w:val="black"/>
              </w:rPr>
              <w:t>''''''''''</w:t>
            </w:r>
            <w:r w:rsidR="000B799D" w:rsidRPr="00EF3C6A">
              <w:rPr>
                <w:b/>
                <w:szCs w:val="20"/>
              </w:rPr>
              <w:t>)</w:t>
            </w:r>
          </w:p>
        </w:tc>
      </w:tr>
      <w:tr w:rsidR="00FB6E51" w:rsidRPr="00EF3C6A" w:rsidTr="002C3582">
        <w:trPr>
          <w:trHeight w:val="20"/>
        </w:trPr>
        <w:tc>
          <w:tcPr>
            <w:tcW w:w="1525" w:type="pct"/>
            <w:gridSpan w:val="2"/>
            <w:vAlign w:val="center"/>
          </w:tcPr>
          <w:p w:rsidR="00FB6E51" w:rsidRPr="00EF3C6A" w:rsidRDefault="00FB6E51" w:rsidP="00060A4D">
            <w:pPr>
              <w:pStyle w:val="Tabletext"/>
              <w:keepNext/>
              <w:keepLines/>
              <w:rPr>
                <w:szCs w:val="20"/>
              </w:rPr>
            </w:pPr>
            <w:r w:rsidRPr="00EF3C6A">
              <w:rPr>
                <w:szCs w:val="20"/>
              </w:rPr>
              <w:t>Nephritis or renal dysfunction, n (%)</w:t>
            </w:r>
          </w:p>
        </w:tc>
        <w:tc>
          <w:tcPr>
            <w:tcW w:w="831" w:type="pct"/>
            <w:vAlign w:val="center"/>
          </w:tcPr>
          <w:p w:rsidR="00FB6E51" w:rsidRPr="00EF3C6A" w:rsidRDefault="00B07F6B" w:rsidP="00060A4D">
            <w:pPr>
              <w:pStyle w:val="Tabletext"/>
              <w:keepNext/>
              <w:keepLines/>
              <w:jc w:val="center"/>
              <w:rPr>
                <w:szCs w:val="20"/>
              </w:rPr>
            </w:pPr>
            <w:r>
              <w:rPr>
                <w:noProof/>
                <w:color w:val="000000"/>
                <w:szCs w:val="20"/>
                <w:highlight w:val="black"/>
              </w:rPr>
              <w:t>''''''</w:t>
            </w:r>
            <w:r w:rsidR="00FB6E51" w:rsidRPr="00EF3C6A">
              <w:rPr>
                <w:szCs w:val="20"/>
              </w:rPr>
              <w:t xml:space="preserve"> (</w:t>
            </w:r>
            <w:r>
              <w:rPr>
                <w:noProof/>
                <w:color w:val="000000"/>
                <w:szCs w:val="20"/>
                <w:highlight w:val="black"/>
              </w:rPr>
              <w:t>'''''''</w:t>
            </w:r>
            <w:r w:rsidR="00FB6E51" w:rsidRPr="00EF3C6A">
              <w:rPr>
                <w:szCs w:val="20"/>
              </w:rPr>
              <w:t>)</w:t>
            </w:r>
          </w:p>
        </w:tc>
        <w:tc>
          <w:tcPr>
            <w:tcW w:w="678" w:type="pct"/>
            <w:vAlign w:val="center"/>
          </w:tcPr>
          <w:p w:rsidR="00FB6E51" w:rsidRPr="00EF3C6A" w:rsidRDefault="00B07F6B" w:rsidP="00060A4D">
            <w:pPr>
              <w:pStyle w:val="Tabletext"/>
              <w:keepNext/>
              <w:keepLines/>
              <w:jc w:val="center"/>
              <w:rPr>
                <w:szCs w:val="20"/>
              </w:rPr>
            </w:pPr>
            <w:r>
              <w:rPr>
                <w:noProof/>
                <w:color w:val="000000"/>
                <w:szCs w:val="20"/>
                <w:highlight w:val="black"/>
              </w:rPr>
              <w:t>'''</w:t>
            </w:r>
            <w:r w:rsidR="00FB6E51" w:rsidRPr="00EF3C6A">
              <w:rPr>
                <w:szCs w:val="20"/>
              </w:rPr>
              <w:t xml:space="preserve"> (</w:t>
            </w:r>
            <w:r>
              <w:rPr>
                <w:noProof/>
                <w:color w:val="000000"/>
                <w:szCs w:val="20"/>
                <w:highlight w:val="black"/>
              </w:rPr>
              <w:t>'''''''''</w:t>
            </w:r>
            <w:r w:rsidR="00FB6E51" w:rsidRPr="00EF3C6A">
              <w:rPr>
                <w:szCs w:val="20"/>
              </w:rPr>
              <w:t>)</w:t>
            </w:r>
          </w:p>
        </w:tc>
        <w:tc>
          <w:tcPr>
            <w:tcW w:w="982" w:type="pct"/>
            <w:tcBorders>
              <w:top w:val="single" w:sz="4" w:space="0" w:color="auto"/>
              <w:left w:val="nil"/>
              <w:bottom w:val="single" w:sz="4" w:space="0" w:color="auto"/>
              <w:right w:val="single" w:sz="4" w:space="0" w:color="auto"/>
            </w:tcBorders>
            <w:shd w:val="clear" w:color="auto" w:fill="auto"/>
            <w:vAlign w:val="center"/>
          </w:tcPr>
          <w:p w:rsidR="00FB6E51" w:rsidRPr="00EF3C6A" w:rsidRDefault="00B07F6B" w:rsidP="00060A4D">
            <w:pPr>
              <w:pStyle w:val="Tabletext"/>
              <w:keepNext/>
              <w:keepLines/>
              <w:jc w:val="center"/>
              <w:rPr>
                <w:b/>
                <w:szCs w:val="20"/>
              </w:rPr>
            </w:pPr>
            <w:r>
              <w:rPr>
                <w:b/>
                <w:noProof/>
                <w:color w:val="000000"/>
                <w:szCs w:val="20"/>
                <w:highlight w:val="black"/>
              </w:rPr>
              <w:t>'''''''''</w:t>
            </w:r>
            <w:r w:rsidR="000B799D" w:rsidRPr="00EF3C6A">
              <w:rPr>
                <w:b/>
                <w:szCs w:val="20"/>
              </w:rPr>
              <w:t xml:space="preserve"> (</w:t>
            </w:r>
            <w:r>
              <w:rPr>
                <w:b/>
                <w:noProof/>
                <w:color w:val="000000"/>
                <w:szCs w:val="20"/>
                <w:highlight w:val="black"/>
              </w:rPr>
              <w:t>''''''''''</w:t>
            </w:r>
            <w:r w:rsidR="000B799D" w:rsidRPr="00EF3C6A">
              <w:rPr>
                <w:b/>
                <w:szCs w:val="20"/>
              </w:rPr>
              <w:t xml:space="preserve">, </w:t>
            </w:r>
            <w:r>
              <w:rPr>
                <w:b/>
                <w:noProof/>
                <w:color w:val="000000"/>
                <w:szCs w:val="20"/>
                <w:highlight w:val="black"/>
              </w:rPr>
              <w:t>''''''''''''</w:t>
            </w:r>
            <w:r w:rsidR="000B799D" w:rsidRPr="00EF3C6A">
              <w:rPr>
                <w:b/>
                <w:szCs w:val="20"/>
              </w:rPr>
              <w:t>)</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FB6E51" w:rsidRPr="00EF3C6A" w:rsidRDefault="00B07F6B" w:rsidP="00060A4D">
            <w:pPr>
              <w:pStyle w:val="Tabletext"/>
              <w:keepNext/>
              <w:keepLines/>
              <w:jc w:val="center"/>
              <w:rPr>
                <w:b/>
                <w:szCs w:val="20"/>
              </w:rPr>
            </w:pPr>
            <w:r>
              <w:rPr>
                <w:b/>
                <w:noProof/>
                <w:color w:val="000000"/>
                <w:szCs w:val="20"/>
                <w:highlight w:val="black"/>
              </w:rPr>
              <w:t>'''''''''</w:t>
            </w:r>
            <w:r w:rsidR="000B799D" w:rsidRPr="00EF3C6A">
              <w:rPr>
                <w:b/>
                <w:szCs w:val="20"/>
              </w:rPr>
              <w:t xml:space="preserve"> (</w:t>
            </w:r>
            <w:r>
              <w:rPr>
                <w:b/>
                <w:noProof/>
                <w:color w:val="000000"/>
                <w:szCs w:val="20"/>
                <w:highlight w:val="black"/>
              </w:rPr>
              <w:t>'''''''''</w:t>
            </w:r>
            <w:r w:rsidR="000B799D" w:rsidRPr="00EF3C6A">
              <w:rPr>
                <w:b/>
                <w:szCs w:val="20"/>
              </w:rPr>
              <w:t xml:space="preserve">, </w:t>
            </w:r>
            <w:r>
              <w:rPr>
                <w:b/>
                <w:noProof/>
                <w:color w:val="000000"/>
                <w:szCs w:val="20"/>
                <w:highlight w:val="black"/>
              </w:rPr>
              <w:t>''''''''</w:t>
            </w:r>
            <w:r w:rsidR="000B799D" w:rsidRPr="00EF3C6A">
              <w:rPr>
                <w:b/>
                <w:szCs w:val="20"/>
              </w:rPr>
              <w:t>)</w:t>
            </w:r>
          </w:p>
        </w:tc>
      </w:tr>
      <w:tr w:rsidR="00FB6E51" w:rsidRPr="00EF3C6A" w:rsidTr="002C3582">
        <w:trPr>
          <w:trHeight w:val="20"/>
        </w:trPr>
        <w:tc>
          <w:tcPr>
            <w:tcW w:w="1525" w:type="pct"/>
            <w:gridSpan w:val="2"/>
            <w:vAlign w:val="center"/>
          </w:tcPr>
          <w:p w:rsidR="00FB6E51" w:rsidRPr="00EF3C6A" w:rsidRDefault="00FB6E51" w:rsidP="00060A4D">
            <w:pPr>
              <w:pStyle w:val="Tabletext"/>
              <w:keepNext/>
              <w:keepLines/>
              <w:rPr>
                <w:szCs w:val="20"/>
              </w:rPr>
            </w:pPr>
            <w:r w:rsidRPr="00EF3C6A">
              <w:rPr>
                <w:szCs w:val="20"/>
              </w:rPr>
              <w:t>Diarrhoea/Colitis, n (%)</w:t>
            </w:r>
          </w:p>
        </w:tc>
        <w:tc>
          <w:tcPr>
            <w:tcW w:w="831" w:type="pct"/>
            <w:vAlign w:val="center"/>
          </w:tcPr>
          <w:p w:rsidR="00FB6E51" w:rsidRPr="00EF3C6A" w:rsidRDefault="00B07F6B" w:rsidP="00060A4D">
            <w:pPr>
              <w:pStyle w:val="Tabletext"/>
              <w:keepNext/>
              <w:keepLines/>
              <w:jc w:val="center"/>
              <w:rPr>
                <w:szCs w:val="20"/>
              </w:rPr>
            </w:pPr>
            <w:r>
              <w:rPr>
                <w:noProof/>
                <w:color w:val="000000"/>
                <w:szCs w:val="20"/>
                <w:highlight w:val="black"/>
              </w:rPr>
              <w:t>''''''</w:t>
            </w:r>
            <w:r w:rsidR="00FB6E51" w:rsidRPr="00EF3C6A">
              <w:rPr>
                <w:szCs w:val="20"/>
              </w:rPr>
              <w:t xml:space="preserve"> (</w:t>
            </w:r>
            <w:r>
              <w:rPr>
                <w:noProof/>
                <w:color w:val="000000"/>
                <w:szCs w:val="20"/>
                <w:highlight w:val="black"/>
              </w:rPr>
              <w:t>'''''''</w:t>
            </w:r>
            <w:r w:rsidR="00FB6E51" w:rsidRPr="00EF3C6A">
              <w:rPr>
                <w:szCs w:val="20"/>
              </w:rPr>
              <w:t>)</w:t>
            </w:r>
          </w:p>
        </w:tc>
        <w:tc>
          <w:tcPr>
            <w:tcW w:w="678" w:type="pct"/>
            <w:vAlign w:val="center"/>
          </w:tcPr>
          <w:p w:rsidR="00FB6E51" w:rsidRPr="00EF3C6A" w:rsidRDefault="00B07F6B" w:rsidP="00060A4D">
            <w:pPr>
              <w:pStyle w:val="Tabletext"/>
              <w:keepNext/>
              <w:keepLines/>
              <w:jc w:val="center"/>
              <w:rPr>
                <w:szCs w:val="20"/>
              </w:rPr>
            </w:pPr>
            <w:r>
              <w:rPr>
                <w:noProof/>
                <w:color w:val="000000"/>
                <w:szCs w:val="20"/>
                <w:highlight w:val="black"/>
              </w:rPr>
              <w:t>'''</w:t>
            </w:r>
            <w:r w:rsidR="00FB6E51" w:rsidRPr="00EF3C6A">
              <w:rPr>
                <w:szCs w:val="20"/>
              </w:rPr>
              <w:t xml:space="preserve"> (</w:t>
            </w:r>
            <w:r>
              <w:rPr>
                <w:noProof/>
                <w:color w:val="000000"/>
                <w:szCs w:val="20"/>
                <w:highlight w:val="black"/>
              </w:rPr>
              <w:t>''''</w:t>
            </w:r>
            <w:r w:rsidR="00FB6E51" w:rsidRPr="00EF3C6A">
              <w:rPr>
                <w:szCs w:val="20"/>
              </w:rPr>
              <w:t>)</w:t>
            </w:r>
          </w:p>
        </w:tc>
        <w:tc>
          <w:tcPr>
            <w:tcW w:w="982" w:type="pct"/>
            <w:tcBorders>
              <w:top w:val="single" w:sz="4" w:space="0" w:color="auto"/>
              <w:left w:val="nil"/>
              <w:bottom w:val="single" w:sz="4" w:space="0" w:color="auto"/>
              <w:right w:val="single" w:sz="4" w:space="0" w:color="auto"/>
            </w:tcBorders>
            <w:shd w:val="clear" w:color="auto" w:fill="auto"/>
            <w:vAlign w:val="center"/>
          </w:tcPr>
          <w:p w:rsidR="00FB6E51" w:rsidRPr="00B07F6B" w:rsidRDefault="00B07F6B" w:rsidP="00060A4D">
            <w:pPr>
              <w:pStyle w:val="Tabletext"/>
              <w:keepNext/>
              <w:keepLines/>
              <w:jc w:val="center"/>
              <w:rPr>
                <w:szCs w:val="20"/>
                <w:highlight w:val="black"/>
              </w:rPr>
            </w:pPr>
            <w:r>
              <w:rPr>
                <w:noProof/>
                <w:color w:val="000000"/>
                <w:szCs w:val="20"/>
                <w:highlight w:val="black"/>
              </w:rPr>
              <w:t>''''''''</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FB6E51" w:rsidRPr="00EF3C6A" w:rsidRDefault="00B07F6B" w:rsidP="00060A4D">
            <w:pPr>
              <w:pStyle w:val="Tabletext"/>
              <w:keepNext/>
              <w:keepLines/>
              <w:jc w:val="center"/>
              <w:rPr>
                <w:b/>
                <w:szCs w:val="20"/>
              </w:rPr>
            </w:pPr>
            <w:r>
              <w:rPr>
                <w:b/>
                <w:noProof/>
                <w:color w:val="000000"/>
                <w:szCs w:val="20"/>
                <w:highlight w:val="black"/>
              </w:rPr>
              <w:t>''''''''</w:t>
            </w:r>
            <w:r w:rsidR="00A92A5F" w:rsidRPr="00EF3C6A">
              <w:rPr>
                <w:b/>
                <w:szCs w:val="20"/>
              </w:rPr>
              <w:t xml:space="preserve"> (</w:t>
            </w:r>
            <w:r>
              <w:rPr>
                <w:b/>
                <w:noProof/>
                <w:color w:val="000000"/>
                <w:szCs w:val="20"/>
                <w:highlight w:val="black"/>
              </w:rPr>
              <w:t>''''''''''</w:t>
            </w:r>
            <w:r w:rsidR="00A92A5F" w:rsidRPr="00EF3C6A">
              <w:rPr>
                <w:b/>
                <w:szCs w:val="20"/>
              </w:rPr>
              <w:t xml:space="preserve">, </w:t>
            </w:r>
            <w:r>
              <w:rPr>
                <w:b/>
                <w:noProof/>
                <w:color w:val="000000"/>
                <w:szCs w:val="20"/>
                <w:highlight w:val="black"/>
              </w:rPr>
              <w:t>''''''''</w:t>
            </w:r>
            <w:r w:rsidR="00A92A5F" w:rsidRPr="00EF3C6A">
              <w:rPr>
                <w:b/>
                <w:szCs w:val="20"/>
              </w:rPr>
              <w:t>)</w:t>
            </w:r>
          </w:p>
        </w:tc>
      </w:tr>
      <w:tr w:rsidR="001C3B1B" w:rsidRPr="00EF3C6A" w:rsidTr="002C3582">
        <w:trPr>
          <w:trHeight w:val="20"/>
        </w:trPr>
        <w:tc>
          <w:tcPr>
            <w:tcW w:w="1525" w:type="pct"/>
            <w:gridSpan w:val="2"/>
            <w:vAlign w:val="center"/>
          </w:tcPr>
          <w:p w:rsidR="001C3B1B" w:rsidRPr="00EF3C6A" w:rsidRDefault="00BA5D70" w:rsidP="00BA5D70">
            <w:pPr>
              <w:pStyle w:val="Tabletext"/>
              <w:keepNext/>
              <w:keepLines/>
              <w:rPr>
                <w:szCs w:val="20"/>
              </w:rPr>
            </w:pPr>
            <w:r>
              <w:rPr>
                <w:szCs w:val="20"/>
              </w:rPr>
              <w:t>Grade 3 or 4 d</w:t>
            </w:r>
            <w:r w:rsidRPr="00EF3C6A">
              <w:rPr>
                <w:szCs w:val="20"/>
              </w:rPr>
              <w:t>iarrhoea/Colitis, n (%)</w:t>
            </w:r>
          </w:p>
        </w:tc>
        <w:tc>
          <w:tcPr>
            <w:tcW w:w="831" w:type="pct"/>
            <w:vAlign w:val="center"/>
          </w:tcPr>
          <w:p w:rsidR="00BA5D70" w:rsidRPr="00EF3C6A" w:rsidRDefault="00B07F6B" w:rsidP="00BA5D70">
            <w:pPr>
              <w:pStyle w:val="Tabletext"/>
              <w:keepNext/>
              <w:keepLines/>
              <w:jc w:val="center"/>
              <w:rPr>
                <w:szCs w:val="20"/>
              </w:rPr>
            </w:pPr>
            <w:r>
              <w:rPr>
                <w:noProof/>
                <w:color w:val="000000"/>
                <w:szCs w:val="20"/>
                <w:highlight w:val="black"/>
              </w:rPr>
              <w:t>'''''</w:t>
            </w:r>
            <w:r w:rsidR="00BA5D70">
              <w:rPr>
                <w:szCs w:val="20"/>
              </w:rPr>
              <w:t xml:space="preserve"> (</w:t>
            </w:r>
            <w:r>
              <w:rPr>
                <w:noProof/>
                <w:color w:val="000000"/>
                <w:szCs w:val="20"/>
                <w:highlight w:val="black"/>
              </w:rPr>
              <w:t>'''''''''</w:t>
            </w:r>
            <w:r w:rsidR="00BA5D70">
              <w:rPr>
                <w:szCs w:val="20"/>
              </w:rPr>
              <w:t>)</w:t>
            </w:r>
          </w:p>
        </w:tc>
        <w:tc>
          <w:tcPr>
            <w:tcW w:w="678" w:type="pct"/>
            <w:vAlign w:val="center"/>
          </w:tcPr>
          <w:p w:rsidR="001C3B1B" w:rsidRPr="00EF3C6A" w:rsidRDefault="00B07F6B" w:rsidP="00060A4D">
            <w:pPr>
              <w:pStyle w:val="Tabletext"/>
              <w:keepNext/>
              <w:keepLines/>
              <w:jc w:val="center"/>
              <w:rPr>
                <w:szCs w:val="20"/>
              </w:rPr>
            </w:pPr>
            <w:r>
              <w:rPr>
                <w:noProof/>
                <w:color w:val="000000"/>
                <w:szCs w:val="20"/>
                <w:highlight w:val="black"/>
              </w:rPr>
              <w:t>'''</w:t>
            </w:r>
            <w:r w:rsidR="00BA5D70">
              <w:rPr>
                <w:szCs w:val="20"/>
              </w:rPr>
              <w:t xml:space="preserve"> (</w:t>
            </w:r>
            <w:r>
              <w:rPr>
                <w:noProof/>
                <w:color w:val="000000"/>
                <w:szCs w:val="20"/>
                <w:highlight w:val="black"/>
              </w:rPr>
              <w:t>'''</w:t>
            </w:r>
            <w:r w:rsidR="00BA5D70">
              <w:rPr>
                <w:szCs w:val="20"/>
              </w:rPr>
              <w:t>)</w:t>
            </w:r>
          </w:p>
        </w:tc>
        <w:tc>
          <w:tcPr>
            <w:tcW w:w="982" w:type="pct"/>
            <w:tcBorders>
              <w:top w:val="single" w:sz="4" w:space="0" w:color="auto"/>
              <w:left w:val="nil"/>
              <w:bottom w:val="single" w:sz="4" w:space="0" w:color="auto"/>
              <w:right w:val="single" w:sz="4" w:space="0" w:color="auto"/>
            </w:tcBorders>
            <w:shd w:val="clear" w:color="auto" w:fill="auto"/>
            <w:vAlign w:val="center"/>
          </w:tcPr>
          <w:p w:rsidR="001C3B1B" w:rsidRPr="00B07F6B" w:rsidRDefault="00B07F6B" w:rsidP="00060A4D">
            <w:pPr>
              <w:pStyle w:val="Tabletext"/>
              <w:keepNext/>
              <w:keepLines/>
              <w:jc w:val="center"/>
              <w:rPr>
                <w:szCs w:val="20"/>
                <w:highlight w:val="black"/>
              </w:rPr>
            </w:pPr>
            <w:r>
              <w:rPr>
                <w:noProof/>
                <w:color w:val="000000"/>
                <w:szCs w:val="20"/>
                <w:highlight w:val="black"/>
              </w:rPr>
              <w:t>'''''''''</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1C3B1B" w:rsidRPr="00B07F6B" w:rsidRDefault="00B07F6B" w:rsidP="00060A4D">
            <w:pPr>
              <w:pStyle w:val="Tabletext"/>
              <w:keepNext/>
              <w:keepLines/>
              <w:jc w:val="center"/>
              <w:rPr>
                <w:b/>
                <w:szCs w:val="20"/>
                <w:highlight w:val="black"/>
              </w:rPr>
            </w:pPr>
            <w:r>
              <w:rPr>
                <w:b/>
                <w:noProof/>
                <w:color w:val="000000"/>
                <w:szCs w:val="20"/>
                <w:highlight w:val="black"/>
              </w:rPr>
              <w:t>''''''''</w:t>
            </w:r>
          </w:p>
        </w:tc>
      </w:tr>
      <w:tr w:rsidR="003B1C00" w:rsidRPr="00EF3C6A" w:rsidTr="003B1C00">
        <w:trPr>
          <w:trHeight w:val="20"/>
        </w:trPr>
        <w:tc>
          <w:tcPr>
            <w:tcW w:w="5000" w:type="pct"/>
            <w:gridSpan w:val="6"/>
            <w:tcBorders>
              <w:right w:val="single" w:sz="4" w:space="0" w:color="auto"/>
            </w:tcBorders>
            <w:vAlign w:val="center"/>
          </w:tcPr>
          <w:p w:rsidR="003B1C00" w:rsidRPr="00EF3C6A" w:rsidRDefault="003B1C00" w:rsidP="00060A4D">
            <w:pPr>
              <w:pStyle w:val="Tabletext"/>
              <w:keepNext/>
              <w:keepLines/>
              <w:rPr>
                <w:b/>
                <w:szCs w:val="20"/>
              </w:rPr>
            </w:pPr>
            <w:r w:rsidRPr="00EF3C6A">
              <w:rPr>
                <w:b/>
                <w:szCs w:val="20"/>
              </w:rPr>
              <w:t>Endocrine disorders</w:t>
            </w:r>
          </w:p>
        </w:tc>
      </w:tr>
      <w:tr w:rsidR="003B1C00" w:rsidRPr="00EF3C6A" w:rsidTr="002C3582">
        <w:trPr>
          <w:trHeight w:val="20"/>
        </w:trPr>
        <w:tc>
          <w:tcPr>
            <w:tcW w:w="1525" w:type="pct"/>
            <w:gridSpan w:val="2"/>
            <w:vAlign w:val="center"/>
          </w:tcPr>
          <w:p w:rsidR="003B1C00" w:rsidRPr="00EF3C6A" w:rsidRDefault="003B1C00" w:rsidP="00060A4D">
            <w:pPr>
              <w:pStyle w:val="Tabletext"/>
              <w:keepNext/>
              <w:keepLines/>
              <w:rPr>
                <w:szCs w:val="20"/>
              </w:rPr>
            </w:pPr>
            <w:proofErr w:type="spellStart"/>
            <w:r w:rsidRPr="00EF3C6A">
              <w:rPr>
                <w:szCs w:val="20"/>
              </w:rPr>
              <w:t>Hypophysitis</w:t>
            </w:r>
            <w:proofErr w:type="spellEnd"/>
            <w:r w:rsidRPr="00EF3C6A">
              <w:rPr>
                <w:szCs w:val="20"/>
              </w:rPr>
              <w:t xml:space="preserve"> n (%)</w:t>
            </w:r>
          </w:p>
        </w:tc>
        <w:tc>
          <w:tcPr>
            <w:tcW w:w="831" w:type="pct"/>
            <w:vAlign w:val="center"/>
          </w:tcPr>
          <w:p w:rsidR="003B1C00" w:rsidRPr="00EF3C6A" w:rsidRDefault="00B07F6B" w:rsidP="00060A4D">
            <w:pPr>
              <w:pStyle w:val="Tabletext"/>
              <w:keepNext/>
              <w:keepLines/>
              <w:jc w:val="center"/>
              <w:rPr>
                <w:szCs w:val="20"/>
              </w:rPr>
            </w:pPr>
            <w:r>
              <w:rPr>
                <w:noProof/>
                <w:color w:val="000000"/>
                <w:szCs w:val="20"/>
                <w:highlight w:val="black"/>
              </w:rPr>
              <w:t xml:space="preserve">''''' </w:t>
            </w:r>
            <w:r w:rsidR="003B1C00" w:rsidRPr="00EF3C6A">
              <w:rPr>
                <w:szCs w:val="20"/>
              </w:rPr>
              <w:t>(</w:t>
            </w:r>
            <w:r>
              <w:rPr>
                <w:noProof/>
                <w:color w:val="000000"/>
                <w:szCs w:val="20"/>
                <w:highlight w:val="black"/>
              </w:rPr>
              <w:t>'''''''''</w:t>
            </w:r>
            <w:r w:rsidR="003B1C00" w:rsidRPr="00EF3C6A">
              <w:rPr>
                <w:szCs w:val="20"/>
              </w:rPr>
              <w:t>)</w:t>
            </w:r>
          </w:p>
        </w:tc>
        <w:tc>
          <w:tcPr>
            <w:tcW w:w="678" w:type="pct"/>
            <w:vAlign w:val="center"/>
          </w:tcPr>
          <w:p w:rsidR="003B1C00" w:rsidRPr="00B07F6B" w:rsidRDefault="00B07F6B" w:rsidP="00060A4D">
            <w:pPr>
              <w:pStyle w:val="Tabletext"/>
              <w:keepNext/>
              <w:keepLines/>
              <w:jc w:val="center"/>
              <w:rPr>
                <w:szCs w:val="20"/>
                <w:highlight w:val="black"/>
              </w:rPr>
            </w:pPr>
            <w:r>
              <w:rPr>
                <w:noProof/>
                <w:color w:val="000000"/>
                <w:szCs w:val="20"/>
                <w:highlight w:val="black"/>
              </w:rPr>
              <w:t>'''</w:t>
            </w:r>
          </w:p>
        </w:tc>
        <w:tc>
          <w:tcPr>
            <w:tcW w:w="982" w:type="pct"/>
            <w:tcBorders>
              <w:top w:val="single" w:sz="4" w:space="0" w:color="auto"/>
              <w:left w:val="nil"/>
              <w:bottom w:val="single" w:sz="4" w:space="0" w:color="auto"/>
              <w:right w:val="single" w:sz="4" w:space="0" w:color="auto"/>
            </w:tcBorders>
            <w:shd w:val="clear" w:color="auto" w:fill="auto"/>
            <w:vAlign w:val="center"/>
          </w:tcPr>
          <w:p w:rsidR="003B1C00" w:rsidRPr="00B07F6B" w:rsidRDefault="00B07F6B" w:rsidP="00060A4D">
            <w:pPr>
              <w:pStyle w:val="Tabletext"/>
              <w:keepNext/>
              <w:keepLines/>
              <w:jc w:val="center"/>
              <w:rPr>
                <w:szCs w:val="20"/>
                <w:highlight w:val="black"/>
              </w:rPr>
            </w:pPr>
            <w:r>
              <w:rPr>
                <w:noProof/>
                <w:color w:val="000000"/>
                <w:szCs w:val="20"/>
                <w:highlight w:val="black"/>
              </w:rPr>
              <w:t>'''''''</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3B1C00" w:rsidRPr="00EF3C6A" w:rsidRDefault="00B07F6B" w:rsidP="00060A4D">
            <w:pPr>
              <w:pStyle w:val="Tabletext"/>
              <w:keepNext/>
              <w:keepLines/>
              <w:jc w:val="center"/>
              <w:rPr>
                <w:b/>
                <w:szCs w:val="20"/>
              </w:rPr>
            </w:pPr>
            <w:r>
              <w:rPr>
                <w:b/>
                <w:noProof/>
                <w:color w:val="000000"/>
                <w:szCs w:val="20"/>
                <w:highlight w:val="black"/>
              </w:rPr>
              <w:t>''''''</w:t>
            </w:r>
            <w:r w:rsidR="003B1C00" w:rsidRPr="00EF3C6A">
              <w:rPr>
                <w:b/>
                <w:szCs w:val="20"/>
              </w:rPr>
              <w:t xml:space="preserve"> (</w:t>
            </w:r>
            <w:r>
              <w:rPr>
                <w:b/>
                <w:noProof/>
                <w:color w:val="000000"/>
                <w:szCs w:val="20"/>
                <w:highlight w:val="black"/>
              </w:rPr>
              <w:t>''''''</w:t>
            </w:r>
            <w:r w:rsidR="003B1C00" w:rsidRPr="00EF3C6A">
              <w:rPr>
                <w:b/>
                <w:szCs w:val="20"/>
              </w:rPr>
              <w:t xml:space="preserve">, </w:t>
            </w:r>
            <w:r>
              <w:rPr>
                <w:b/>
                <w:noProof/>
                <w:color w:val="000000"/>
                <w:szCs w:val="20"/>
                <w:highlight w:val="black"/>
              </w:rPr>
              <w:t>''''''</w:t>
            </w:r>
            <w:r w:rsidR="003B1C00" w:rsidRPr="00EF3C6A">
              <w:rPr>
                <w:b/>
                <w:szCs w:val="20"/>
              </w:rPr>
              <w:t>)</w:t>
            </w:r>
          </w:p>
        </w:tc>
      </w:tr>
      <w:tr w:rsidR="003B1C00" w:rsidRPr="00EF3C6A" w:rsidTr="002C3582">
        <w:trPr>
          <w:trHeight w:val="20"/>
        </w:trPr>
        <w:tc>
          <w:tcPr>
            <w:tcW w:w="1525" w:type="pct"/>
            <w:gridSpan w:val="2"/>
            <w:tcBorders>
              <w:bottom w:val="single" w:sz="4" w:space="0" w:color="auto"/>
            </w:tcBorders>
            <w:vAlign w:val="center"/>
          </w:tcPr>
          <w:p w:rsidR="003B1C00" w:rsidRPr="00EF3C6A" w:rsidRDefault="003B1C00" w:rsidP="00060A4D">
            <w:pPr>
              <w:pStyle w:val="Tabletext"/>
              <w:keepNext/>
              <w:keepLines/>
              <w:rPr>
                <w:szCs w:val="20"/>
              </w:rPr>
            </w:pPr>
            <w:r w:rsidRPr="00EF3C6A">
              <w:rPr>
                <w:szCs w:val="20"/>
              </w:rPr>
              <w:t>Adrenal insufficiency n (%)</w:t>
            </w:r>
          </w:p>
        </w:tc>
        <w:tc>
          <w:tcPr>
            <w:tcW w:w="831" w:type="pct"/>
            <w:tcBorders>
              <w:bottom w:val="single" w:sz="4" w:space="0" w:color="auto"/>
            </w:tcBorders>
            <w:vAlign w:val="center"/>
          </w:tcPr>
          <w:p w:rsidR="003B1C00" w:rsidRPr="00EF3C6A" w:rsidRDefault="00B07F6B" w:rsidP="00060A4D">
            <w:pPr>
              <w:pStyle w:val="Tabletext"/>
              <w:keepNext/>
              <w:keepLines/>
              <w:jc w:val="center"/>
              <w:rPr>
                <w:szCs w:val="20"/>
              </w:rPr>
            </w:pPr>
            <w:r>
              <w:rPr>
                <w:noProof/>
                <w:color w:val="000000"/>
                <w:szCs w:val="20"/>
                <w:highlight w:val="black"/>
              </w:rPr>
              <w:t>''''</w:t>
            </w:r>
            <w:r w:rsidR="003B1C00" w:rsidRPr="00EF3C6A">
              <w:rPr>
                <w:szCs w:val="20"/>
              </w:rPr>
              <w:t xml:space="preserve"> (</w:t>
            </w:r>
            <w:r>
              <w:rPr>
                <w:noProof/>
                <w:color w:val="000000"/>
                <w:szCs w:val="20"/>
                <w:highlight w:val="black"/>
              </w:rPr>
              <w:t>''''''''</w:t>
            </w:r>
            <w:r w:rsidR="003B1C00" w:rsidRPr="00EF3C6A">
              <w:rPr>
                <w:szCs w:val="20"/>
              </w:rPr>
              <w:t>)</w:t>
            </w:r>
          </w:p>
        </w:tc>
        <w:tc>
          <w:tcPr>
            <w:tcW w:w="678" w:type="pct"/>
            <w:tcBorders>
              <w:bottom w:val="single" w:sz="4" w:space="0" w:color="auto"/>
            </w:tcBorders>
            <w:vAlign w:val="center"/>
          </w:tcPr>
          <w:p w:rsidR="003B1C00" w:rsidRPr="00B07F6B" w:rsidRDefault="00B07F6B" w:rsidP="00060A4D">
            <w:pPr>
              <w:pStyle w:val="Tabletext"/>
              <w:keepNext/>
              <w:keepLines/>
              <w:jc w:val="center"/>
              <w:rPr>
                <w:szCs w:val="20"/>
                <w:highlight w:val="black"/>
              </w:rPr>
            </w:pPr>
            <w:r>
              <w:rPr>
                <w:noProof/>
                <w:color w:val="000000"/>
                <w:szCs w:val="20"/>
                <w:highlight w:val="black"/>
              </w:rPr>
              <w:t>''''</w:t>
            </w:r>
          </w:p>
        </w:tc>
        <w:tc>
          <w:tcPr>
            <w:tcW w:w="982" w:type="pct"/>
            <w:tcBorders>
              <w:top w:val="single" w:sz="4" w:space="0" w:color="auto"/>
              <w:left w:val="nil"/>
              <w:bottom w:val="single" w:sz="4" w:space="0" w:color="auto"/>
              <w:right w:val="single" w:sz="4" w:space="0" w:color="auto"/>
            </w:tcBorders>
            <w:shd w:val="clear" w:color="auto" w:fill="auto"/>
            <w:vAlign w:val="center"/>
          </w:tcPr>
          <w:p w:rsidR="003B1C00" w:rsidRPr="00B07F6B" w:rsidRDefault="00B07F6B" w:rsidP="00060A4D">
            <w:pPr>
              <w:pStyle w:val="Tabletext"/>
              <w:keepNext/>
              <w:keepLines/>
              <w:jc w:val="center"/>
              <w:rPr>
                <w:szCs w:val="20"/>
                <w:highlight w:val="black"/>
              </w:rPr>
            </w:pPr>
            <w:r>
              <w:rPr>
                <w:noProof/>
                <w:color w:val="000000"/>
                <w:szCs w:val="20"/>
                <w:highlight w:val="black"/>
              </w:rPr>
              <w:t>'''''''''</w:t>
            </w:r>
          </w:p>
        </w:tc>
        <w:tc>
          <w:tcPr>
            <w:tcW w:w="984" w:type="pct"/>
            <w:tcBorders>
              <w:top w:val="single" w:sz="4" w:space="0" w:color="auto"/>
              <w:left w:val="single" w:sz="4" w:space="0" w:color="auto"/>
              <w:bottom w:val="single" w:sz="4" w:space="0" w:color="auto"/>
              <w:right w:val="single" w:sz="4" w:space="0" w:color="auto"/>
            </w:tcBorders>
            <w:shd w:val="clear" w:color="auto" w:fill="auto"/>
            <w:vAlign w:val="center"/>
          </w:tcPr>
          <w:p w:rsidR="003B1C00" w:rsidRPr="00EF3C6A" w:rsidRDefault="00B07F6B" w:rsidP="00060A4D">
            <w:pPr>
              <w:pStyle w:val="Tabletext"/>
              <w:keepNext/>
              <w:keepLines/>
              <w:jc w:val="center"/>
              <w:rPr>
                <w:b/>
                <w:szCs w:val="20"/>
              </w:rPr>
            </w:pPr>
            <w:r>
              <w:rPr>
                <w:b/>
                <w:noProof/>
                <w:color w:val="000000"/>
                <w:szCs w:val="20"/>
                <w:highlight w:val="black"/>
              </w:rPr>
              <w:t>''''''</w:t>
            </w:r>
            <w:r w:rsidR="003B1C00" w:rsidRPr="00EF3C6A">
              <w:rPr>
                <w:b/>
                <w:szCs w:val="20"/>
              </w:rPr>
              <w:t xml:space="preserve"> (</w:t>
            </w:r>
            <w:r>
              <w:rPr>
                <w:b/>
                <w:noProof/>
                <w:color w:val="000000"/>
                <w:szCs w:val="20"/>
                <w:highlight w:val="black"/>
              </w:rPr>
              <w:t>''''''</w:t>
            </w:r>
            <w:r w:rsidR="003B1C00" w:rsidRPr="00EF3C6A">
              <w:rPr>
                <w:b/>
                <w:szCs w:val="20"/>
              </w:rPr>
              <w:t xml:space="preserve">, </w:t>
            </w:r>
            <w:r>
              <w:rPr>
                <w:b/>
                <w:noProof/>
                <w:color w:val="000000"/>
                <w:szCs w:val="20"/>
                <w:highlight w:val="black"/>
              </w:rPr>
              <w:t>''''''</w:t>
            </w:r>
            <w:r w:rsidR="003B1C00" w:rsidRPr="00EF3C6A">
              <w:rPr>
                <w:b/>
                <w:szCs w:val="20"/>
              </w:rPr>
              <w:t>)</w:t>
            </w:r>
          </w:p>
        </w:tc>
      </w:tr>
    </w:tbl>
    <w:p w:rsidR="001F294C" w:rsidRPr="00EF3C6A" w:rsidRDefault="00691B07" w:rsidP="00060A4D">
      <w:pPr>
        <w:pStyle w:val="TableFooter"/>
        <w:keepNext/>
        <w:keepLines/>
      </w:pPr>
      <w:r w:rsidRPr="00EF3C6A">
        <w:rPr>
          <w:rFonts w:eastAsia="Calibri"/>
        </w:rPr>
        <w:t xml:space="preserve">Abbreviations: </w:t>
      </w:r>
      <w:r w:rsidR="001F294C" w:rsidRPr="00EF3C6A">
        <w:rPr>
          <w:rFonts w:eastAsia="Calibri"/>
        </w:rPr>
        <w:t xml:space="preserve">AE = adverse event; SAE = serious adverse event; CI = confidence interval; </w:t>
      </w:r>
      <w:r w:rsidR="003108FA" w:rsidRPr="00EF3C6A">
        <w:rPr>
          <w:rFonts w:eastAsia="Calibri"/>
        </w:rPr>
        <w:t xml:space="preserve">n = number of participants reporting data; </w:t>
      </w:r>
      <w:r w:rsidR="00AF7FA8" w:rsidRPr="00EF3C6A">
        <w:rPr>
          <w:rFonts w:eastAsia="Calibri"/>
        </w:rPr>
        <w:t xml:space="preserve">N = total participants in group; </w:t>
      </w:r>
      <w:r w:rsidR="0001471E" w:rsidRPr="00EF3C6A">
        <w:rPr>
          <w:rFonts w:eastAsia="Calibri"/>
        </w:rPr>
        <w:t xml:space="preserve">NA = not applicable; </w:t>
      </w:r>
      <w:r w:rsidR="001F294C" w:rsidRPr="00EF3C6A">
        <w:rPr>
          <w:rFonts w:eastAsia="Calibri"/>
        </w:rPr>
        <w:t>RD = risk difference; RR = relative risk</w:t>
      </w:r>
      <w:r w:rsidR="00512959" w:rsidRPr="00EF3C6A">
        <w:rPr>
          <w:rFonts w:eastAsia="Calibri"/>
        </w:rPr>
        <w:t>.</w:t>
      </w:r>
    </w:p>
    <w:p w:rsidR="005815E5" w:rsidRPr="00EF3C6A" w:rsidRDefault="005815E5" w:rsidP="00060A4D">
      <w:pPr>
        <w:pStyle w:val="TableFooter"/>
        <w:keepNext/>
        <w:keepLines/>
        <w:rPr>
          <w:rStyle w:val="CommentReference"/>
          <w:b w:val="0"/>
          <w:sz w:val="18"/>
          <w:szCs w:val="22"/>
        </w:rPr>
      </w:pPr>
      <w:r w:rsidRPr="00EF3C6A">
        <w:rPr>
          <w:rStyle w:val="CommentReference"/>
          <w:b w:val="0"/>
          <w:sz w:val="18"/>
          <w:szCs w:val="22"/>
        </w:rPr>
        <w:t>Source: Table 51, p 92 of the submission</w:t>
      </w:r>
      <w:r w:rsidR="00B43330" w:rsidRPr="00EF3C6A">
        <w:rPr>
          <w:rStyle w:val="CommentReference"/>
          <w:b w:val="0"/>
          <w:sz w:val="18"/>
          <w:szCs w:val="22"/>
        </w:rPr>
        <w:t>; Table 54, p 101 of the submission;</w:t>
      </w:r>
      <w:r w:rsidR="0089487E" w:rsidRPr="00EF3C6A">
        <w:rPr>
          <w:rStyle w:val="CommentReference"/>
          <w:b w:val="0"/>
          <w:sz w:val="18"/>
          <w:szCs w:val="22"/>
        </w:rPr>
        <w:t xml:space="preserve"> Clinical Study Report of CA209214, </w:t>
      </w:r>
      <w:r w:rsidR="00BA5D70" w:rsidRPr="00BA5D70">
        <w:rPr>
          <w:rStyle w:val="CommentReference"/>
          <w:b w:val="0"/>
          <w:sz w:val="18"/>
          <w:szCs w:val="22"/>
        </w:rPr>
        <w:t>Table 8.1</w:t>
      </w:r>
      <w:r w:rsidR="00BA5D70">
        <w:rPr>
          <w:rStyle w:val="CommentReference"/>
          <w:b w:val="0"/>
          <w:sz w:val="18"/>
          <w:szCs w:val="22"/>
        </w:rPr>
        <w:t xml:space="preserve">-1, </w:t>
      </w:r>
      <w:r w:rsidR="0089487E" w:rsidRPr="00EF3C6A">
        <w:rPr>
          <w:rStyle w:val="CommentReference"/>
          <w:b w:val="0"/>
          <w:sz w:val="18"/>
          <w:szCs w:val="22"/>
        </w:rPr>
        <w:t>Table 8.8.2-1 – 8.8.2-5, pp 216, 219, 222, 225</w:t>
      </w:r>
      <w:r w:rsidRPr="00EF3C6A">
        <w:rPr>
          <w:rStyle w:val="CommentReference"/>
          <w:b w:val="0"/>
          <w:sz w:val="18"/>
          <w:szCs w:val="22"/>
        </w:rPr>
        <w:t>.</w:t>
      </w:r>
    </w:p>
    <w:p w:rsidR="001F294C" w:rsidRPr="00EF3C6A" w:rsidRDefault="001F294C" w:rsidP="00060A4D">
      <w:pPr>
        <w:pStyle w:val="ListParagraph"/>
        <w:keepNext/>
        <w:keepLines/>
        <w:spacing w:after="0"/>
        <w:ind w:left="0"/>
      </w:pPr>
    </w:p>
    <w:p w:rsidR="001F294C" w:rsidRPr="00EF3C6A" w:rsidRDefault="001F294C" w:rsidP="001F294C">
      <w:pPr>
        <w:pStyle w:val="ListParagraph"/>
        <w:widowControl/>
        <w:numPr>
          <w:ilvl w:val="1"/>
          <w:numId w:val="3"/>
        </w:numPr>
      </w:pPr>
      <w:r w:rsidRPr="00EF3C6A">
        <w:t>Adverse events (AEs) leading to discontinuation in the NIVO+IPI group included increased alanine transaminase and diarrhoea (</w:t>
      </w:r>
      <w:r w:rsidR="00B07F6B">
        <w:rPr>
          <w:noProof/>
          <w:color w:val="000000"/>
          <w:highlight w:val="black"/>
        </w:rPr>
        <w:t>''''''</w:t>
      </w:r>
      <w:r w:rsidRPr="00EF3C6A">
        <w:t>% each), malignant neoplasm progression (</w:t>
      </w:r>
      <w:proofErr w:type="gramStart"/>
      <w:r w:rsidR="00B07F6B">
        <w:rPr>
          <w:noProof/>
          <w:color w:val="000000"/>
          <w:highlight w:val="black"/>
        </w:rPr>
        <w:t>''''''</w:t>
      </w:r>
      <w:r w:rsidRPr="00EF3C6A">
        <w:t>%</w:t>
      </w:r>
      <w:proofErr w:type="gramEnd"/>
      <w:r w:rsidRPr="00EF3C6A">
        <w:t>), increased aspartate aminotransferase (</w:t>
      </w:r>
      <w:r w:rsidR="00B07F6B">
        <w:rPr>
          <w:noProof/>
          <w:color w:val="000000"/>
          <w:highlight w:val="black"/>
        </w:rPr>
        <w:t>'''''''</w:t>
      </w:r>
      <w:r w:rsidRPr="00EF3C6A">
        <w:t xml:space="preserve">%), pneumonitis (2.0%) and colitis and </w:t>
      </w:r>
      <w:proofErr w:type="spellStart"/>
      <w:r w:rsidRPr="00EF3C6A">
        <w:t>hypophysitis</w:t>
      </w:r>
      <w:proofErr w:type="spellEnd"/>
      <w:r w:rsidRPr="00EF3C6A">
        <w:t xml:space="preserve"> (</w:t>
      </w:r>
      <w:r w:rsidR="00B07F6B">
        <w:rPr>
          <w:noProof/>
          <w:color w:val="000000"/>
          <w:highlight w:val="black"/>
        </w:rPr>
        <w:t>''''''</w:t>
      </w:r>
      <w:r w:rsidRPr="00EF3C6A">
        <w:t xml:space="preserve">% each), while for the </w:t>
      </w:r>
      <w:proofErr w:type="spellStart"/>
      <w:r w:rsidRPr="00EF3C6A">
        <w:t>sunitinib</w:t>
      </w:r>
      <w:proofErr w:type="spellEnd"/>
      <w:r w:rsidRPr="00EF3C6A">
        <w:t xml:space="preserve"> group, AEs leading to discontinuation were malignant neoplasm progression (</w:t>
      </w:r>
      <w:r w:rsidR="00B07F6B">
        <w:rPr>
          <w:noProof/>
          <w:color w:val="000000"/>
          <w:highlight w:val="black"/>
        </w:rPr>
        <w:t>''''''</w:t>
      </w:r>
      <w:r w:rsidRPr="00EF3C6A">
        <w:t>%) and fatigue (</w:t>
      </w:r>
      <w:r w:rsidR="00B07F6B">
        <w:rPr>
          <w:noProof/>
          <w:color w:val="000000"/>
          <w:highlight w:val="black"/>
        </w:rPr>
        <w:t>''''''</w:t>
      </w:r>
      <w:r w:rsidRPr="00EF3C6A">
        <w:t>%).</w:t>
      </w:r>
      <w:r w:rsidR="00327888" w:rsidRPr="00EF3C6A">
        <w:t xml:space="preserve"> Drug related discontinuations were at least twice as high with NIVO+IPI as </w:t>
      </w:r>
      <w:proofErr w:type="spellStart"/>
      <w:r w:rsidR="00327888" w:rsidRPr="00EF3C6A">
        <w:t>sunitinib</w:t>
      </w:r>
      <w:proofErr w:type="spellEnd"/>
      <w:r w:rsidR="00327888" w:rsidRPr="00EF3C6A">
        <w:t xml:space="preserve">, with nearly a quarter of patients discontinuing </w:t>
      </w:r>
      <w:r w:rsidR="006F7015" w:rsidRPr="00EF3C6A">
        <w:t xml:space="preserve">NIVO+IPI </w:t>
      </w:r>
      <w:r w:rsidR="00327888" w:rsidRPr="00EF3C6A">
        <w:t>due to any grade adverse events.</w:t>
      </w:r>
    </w:p>
    <w:p w:rsidR="002D598E" w:rsidRPr="00EF3C6A" w:rsidRDefault="002D598E" w:rsidP="00435BE9">
      <w:pPr>
        <w:pStyle w:val="ListParagraph"/>
        <w:widowControl/>
        <w:numPr>
          <w:ilvl w:val="1"/>
          <w:numId w:val="3"/>
        </w:numPr>
        <w:rPr>
          <w:szCs w:val="24"/>
        </w:rPr>
      </w:pPr>
      <w:r w:rsidRPr="00EF3C6A">
        <w:rPr>
          <w:rFonts w:eastAsia="Calibri" w:cs="Times New Roman"/>
          <w:snapToGrid/>
          <w:szCs w:val="24"/>
        </w:rPr>
        <w:t>The</w:t>
      </w:r>
      <w:r w:rsidR="00851A9E" w:rsidRPr="00EF3C6A">
        <w:rPr>
          <w:rFonts w:eastAsia="Calibri" w:cs="Times New Roman"/>
          <w:snapToGrid/>
          <w:szCs w:val="24"/>
        </w:rPr>
        <w:t>re was a significant increase in</w:t>
      </w:r>
      <w:r w:rsidRPr="00EF3C6A">
        <w:rPr>
          <w:rFonts w:eastAsia="Calibri" w:cs="Times New Roman"/>
          <w:snapToGrid/>
          <w:szCs w:val="24"/>
        </w:rPr>
        <w:t xml:space="preserve"> </w:t>
      </w:r>
      <w:r w:rsidR="00D925E1" w:rsidRPr="00EF3C6A">
        <w:rPr>
          <w:rFonts w:eastAsia="Calibri" w:cs="Times New Roman"/>
          <w:snapToGrid/>
          <w:szCs w:val="24"/>
        </w:rPr>
        <w:t xml:space="preserve">the </w:t>
      </w:r>
      <w:r w:rsidRPr="00EF3C6A">
        <w:rPr>
          <w:rFonts w:eastAsia="Calibri" w:cs="Times New Roman"/>
          <w:snapToGrid/>
          <w:szCs w:val="24"/>
        </w:rPr>
        <w:t xml:space="preserve">risk of immune </w:t>
      </w:r>
      <w:r w:rsidR="00D925E1" w:rsidRPr="00EF3C6A">
        <w:rPr>
          <w:rFonts w:eastAsia="Calibri" w:cs="Times New Roman"/>
          <w:snapToGrid/>
          <w:szCs w:val="24"/>
        </w:rPr>
        <w:t xml:space="preserve">related </w:t>
      </w:r>
      <w:r w:rsidRPr="00EF3C6A">
        <w:rPr>
          <w:rFonts w:eastAsia="Calibri" w:cs="Times New Roman"/>
          <w:snapToGrid/>
          <w:szCs w:val="24"/>
        </w:rPr>
        <w:t xml:space="preserve">AEs </w:t>
      </w:r>
      <w:r w:rsidR="00851A9E" w:rsidRPr="00EF3C6A">
        <w:rPr>
          <w:rFonts w:eastAsia="Calibri" w:cs="Times New Roman"/>
          <w:snapToGrid/>
          <w:szCs w:val="24"/>
        </w:rPr>
        <w:t xml:space="preserve">in the NIVO+IPI treatment arm compared to the </w:t>
      </w:r>
      <w:proofErr w:type="spellStart"/>
      <w:r w:rsidR="00851A9E" w:rsidRPr="00EF3C6A">
        <w:rPr>
          <w:rFonts w:eastAsia="Calibri" w:cs="Times New Roman"/>
          <w:snapToGrid/>
          <w:szCs w:val="24"/>
        </w:rPr>
        <w:t>sunitinib</w:t>
      </w:r>
      <w:proofErr w:type="spellEnd"/>
      <w:r w:rsidR="00851A9E" w:rsidRPr="00EF3C6A">
        <w:rPr>
          <w:rFonts w:eastAsia="Calibri" w:cs="Times New Roman"/>
          <w:snapToGrid/>
          <w:szCs w:val="24"/>
        </w:rPr>
        <w:t xml:space="preserve"> treatment arm</w:t>
      </w:r>
      <w:r w:rsidR="00133DC0" w:rsidRPr="00EF3C6A">
        <w:rPr>
          <w:rFonts w:eastAsia="Calibri" w:cs="Times New Roman"/>
          <w:snapToGrid/>
          <w:szCs w:val="24"/>
        </w:rPr>
        <w:t xml:space="preserve"> in terms of p</w:t>
      </w:r>
      <w:r w:rsidRPr="00EF3C6A">
        <w:rPr>
          <w:rFonts w:eastAsia="Calibri" w:cs="Times New Roman"/>
          <w:snapToGrid/>
          <w:szCs w:val="24"/>
        </w:rPr>
        <w:t>neumonitis</w:t>
      </w:r>
      <w:r w:rsidR="00691543" w:rsidRPr="00EF3C6A">
        <w:rPr>
          <w:rFonts w:eastAsia="Calibri" w:cs="Times New Roman"/>
          <w:snapToGrid/>
          <w:szCs w:val="24"/>
        </w:rPr>
        <w:t xml:space="preserve"> (</w:t>
      </w:r>
      <w:r w:rsidR="00B07F6B">
        <w:rPr>
          <w:rFonts w:eastAsia="Calibri" w:cs="Times New Roman"/>
          <w:noProof/>
          <w:snapToGrid/>
          <w:color w:val="000000"/>
          <w:szCs w:val="24"/>
          <w:highlight w:val="black"/>
        </w:rPr>
        <w:t>'''''''</w:t>
      </w:r>
      <w:r w:rsidR="00691543" w:rsidRPr="00EF3C6A">
        <w:rPr>
          <w:rFonts w:eastAsia="Calibri" w:cs="Times New Roman"/>
          <w:snapToGrid/>
          <w:szCs w:val="24"/>
        </w:rPr>
        <w:t xml:space="preserve">% versus </w:t>
      </w:r>
      <w:r w:rsidR="00B07F6B">
        <w:rPr>
          <w:rFonts w:eastAsia="Calibri" w:cs="Times New Roman"/>
          <w:noProof/>
          <w:snapToGrid/>
          <w:color w:val="000000"/>
          <w:szCs w:val="24"/>
          <w:highlight w:val="black"/>
        </w:rPr>
        <w:t>''''''</w:t>
      </w:r>
      <w:r w:rsidR="00691543" w:rsidRPr="00EF3C6A">
        <w:rPr>
          <w:rFonts w:eastAsia="Calibri" w:cs="Times New Roman"/>
          <w:snapToGrid/>
          <w:szCs w:val="24"/>
        </w:rPr>
        <w:t>%</w:t>
      </w:r>
      <w:r w:rsidR="00133DC0" w:rsidRPr="00EF3C6A">
        <w:rPr>
          <w:rFonts w:eastAsia="Calibri" w:cs="Times New Roman"/>
          <w:snapToGrid/>
          <w:szCs w:val="24"/>
        </w:rPr>
        <w:t>; RR=</w:t>
      </w:r>
      <w:r w:rsidR="00B07F6B">
        <w:rPr>
          <w:rFonts w:eastAsia="Calibri" w:cs="Times New Roman"/>
          <w:noProof/>
          <w:snapToGrid/>
          <w:color w:val="000000"/>
          <w:szCs w:val="24"/>
          <w:highlight w:val="black"/>
        </w:rPr>
        <w:t>''''''''</w:t>
      </w:r>
      <w:r w:rsidR="00133DC0" w:rsidRPr="00EF3C6A">
        <w:rPr>
          <w:rFonts w:eastAsia="Calibri" w:cs="Times New Roman"/>
          <w:snapToGrid/>
          <w:szCs w:val="24"/>
        </w:rPr>
        <w:t xml:space="preserve">; 95%CI: </w:t>
      </w:r>
      <w:r w:rsidR="00B07F6B">
        <w:rPr>
          <w:rFonts w:eastAsia="Calibri" w:cs="Times New Roman"/>
          <w:noProof/>
          <w:snapToGrid/>
          <w:color w:val="000000"/>
          <w:szCs w:val="24"/>
          <w:highlight w:val="black"/>
        </w:rPr>
        <w:t>'''''''''</w:t>
      </w:r>
      <w:r w:rsidR="00133DC0" w:rsidRPr="00EF3C6A">
        <w:rPr>
          <w:rFonts w:eastAsia="Calibri" w:cs="Times New Roman"/>
          <w:snapToGrid/>
          <w:szCs w:val="24"/>
        </w:rPr>
        <w:t xml:space="preserve">, </w:t>
      </w:r>
      <w:r w:rsidR="00B07F6B">
        <w:rPr>
          <w:rFonts w:eastAsia="Calibri" w:cs="Times New Roman"/>
          <w:noProof/>
          <w:snapToGrid/>
          <w:color w:val="000000"/>
          <w:szCs w:val="24"/>
          <w:highlight w:val="black"/>
        </w:rPr>
        <w:t>'''''''''''</w:t>
      </w:r>
      <w:r w:rsidR="00691543" w:rsidRPr="00EF3C6A">
        <w:rPr>
          <w:rFonts w:eastAsia="Calibri" w:cs="Times New Roman"/>
          <w:snapToGrid/>
          <w:szCs w:val="24"/>
        </w:rPr>
        <w:t>)</w:t>
      </w:r>
      <w:r w:rsidRPr="00EF3C6A">
        <w:rPr>
          <w:rFonts w:eastAsia="Calibri" w:cs="Times New Roman"/>
          <w:snapToGrid/>
          <w:szCs w:val="24"/>
        </w:rPr>
        <w:t>, hepatitis</w:t>
      </w:r>
      <w:r w:rsidR="00691543" w:rsidRPr="00EF3C6A">
        <w:rPr>
          <w:rFonts w:eastAsia="Calibri" w:cs="Times New Roman"/>
          <w:snapToGrid/>
          <w:szCs w:val="24"/>
        </w:rPr>
        <w:t xml:space="preserve"> (</w:t>
      </w:r>
      <w:r w:rsidR="00B07F6B">
        <w:rPr>
          <w:rFonts w:eastAsia="Calibri" w:cs="Times New Roman"/>
          <w:noProof/>
          <w:snapToGrid/>
          <w:color w:val="000000"/>
          <w:szCs w:val="24"/>
          <w:highlight w:val="black"/>
        </w:rPr>
        <w:t>''''''</w:t>
      </w:r>
      <w:r w:rsidR="00691543" w:rsidRPr="00EF3C6A">
        <w:rPr>
          <w:rFonts w:eastAsia="Calibri" w:cs="Times New Roman"/>
          <w:snapToGrid/>
          <w:szCs w:val="24"/>
        </w:rPr>
        <w:t>% versus 0.4%</w:t>
      </w:r>
      <w:r w:rsidR="00133DC0" w:rsidRPr="00EF3C6A">
        <w:rPr>
          <w:rFonts w:eastAsia="Calibri" w:cs="Times New Roman"/>
          <w:snapToGrid/>
          <w:szCs w:val="24"/>
        </w:rPr>
        <w:t>; RR=</w:t>
      </w:r>
      <w:r w:rsidR="00B07F6B">
        <w:rPr>
          <w:rFonts w:eastAsia="Calibri" w:cs="Times New Roman"/>
          <w:noProof/>
          <w:snapToGrid/>
          <w:color w:val="000000"/>
          <w:szCs w:val="24"/>
          <w:highlight w:val="black"/>
        </w:rPr>
        <w:t>''''''''''</w:t>
      </w:r>
      <w:r w:rsidR="00133DC0" w:rsidRPr="00EF3C6A">
        <w:rPr>
          <w:rFonts w:eastAsia="Calibri" w:cs="Times New Roman"/>
          <w:snapToGrid/>
          <w:szCs w:val="24"/>
        </w:rPr>
        <w:t xml:space="preserve">; </w:t>
      </w:r>
      <w:r w:rsidR="00133DC0" w:rsidRPr="00EF3C6A">
        <w:rPr>
          <w:rFonts w:eastAsia="Calibri" w:cs="Times New Roman"/>
          <w:snapToGrid/>
          <w:szCs w:val="24"/>
        </w:rPr>
        <w:lastRenderedPageBreak/>
        <w:t xml:space="preserve">95%CI: </w:t>
      </w:r>
      <w:r w:rsidR="00B07F6B">
        <w:rPr>
          <w:rFonts w:eastAsia="Calibri" w:cs="Times New Roman"/>
          <w:noProof/>
          <w:snapToGrid/>
          <w:color w:val="000000"/>
          <w:szCs w:val="24"/>
          <w:highlight w:val="black"/>
        </w:rPr>
        <w:t>'''''''''</w:t>
      </w:r>
      <w:r w:rsidR="00133DC0" w:rsidRPr="00EF3C6A">
        <w:rPr>
          <w:rFonts w:eastAsia="Calibri" w:cs="Times New Roman"/>
          <w:snapToGrid/>
          <w:szCs w:val="24"/>
        </w:rPr>
        <w:t xml:space="preserve">, </w:t>
      </w:r>
      <w:r w:rsidR="00B07F6B">
        <w:rPr>
          <w:rFonts w:eastAsia="Calibri" w:cs="Times New Roman"/>
          <w:noProof/>
          <w:snapToGrid/>
          <w:color w:val="000000"/>
          <w:szCs w:val="24"/>
          <w:highlight w:val="black"/>
        </w:rPr>
        <w:t>'''''''''''</w:t>
      </w:r>
      <w:r w:rsidR="00691543" w:rsidRPr="00EF3C6A">
        <w:rPr>
          <w:rFonts w:eastAsia="Calibri" w:cs="Times New Roman"/>
          <w:snapToGrid/>
          <w:szCs w:val="24"/>
        </w:rPr>
        <w:t>)</w:t>
      </w:r>
      <w:r w:rsidRPr="00EF3C6A">
        <w:rPr>
          <w:rFonts w:eastAsia="Calibri" w:cs="Times New Roman"/>
          <w:snapToGrid/>
          <w:szCs w:val="24"/>
        </w:rPr>
        <w:t>, nephritis</w:t>
      </w:r>
      <w:r w:rsidR="00691543" w:rsidRPr="00EF3C6A">
        <w:rPr>
          <w:rFonts w:eastAsia="Calibri" w:cs="Times New Roman"/>
          <w:snapToGrid/>
          <w:szCs w:val="24"/>
        </w:rPr>
        <w:t xml:space="preserve"> (</w:t>
      </w:r>
      <w:r w:rsidR="00B07F6B">
        <w:rPr>
          <w:rFonts w:eastAsia="Calibri" w:cs="Times New Roman"/>
          <w:noProof/>
          <w:snapToGrid/>
          <w:color w:val="000000"/>
          <w:szCs w:val="24"/>
          <w:highlight w:val="black"/>
        </w:rPr>
        <w:t>'''''''</w:t>
      </w:r>
      <w:r w:rsidR="00691543" w:rsidRPr="00EF3C6A">
        <w:rPr>
          <w:rFonts w:eastAsia="Calibri" w:cs="Times New Roman"/>
          <w:snapToGrid/>
          <w:szCs w:val="24"/>
        </w:rPr>
        <w:t>% versus 0.6%</w:t>
      </w:r>
      <w:r w:rsidR="00133DC0" w:rsidRPr="00EF3C6A">
        <w:rPr>
          <w:rFonts w:eastAsia="Calibri" w:cs="Times New Roman"/>
          <w:snapToGrid/>
          <w:szCs w:val="24"/>
        </w:rPr>
        <w:t>; RR=</w:t>
      </w:r>
      <w:r w:rsidR="00B07F6B">
        <w:rPr>
          <w:rFonts w:eastAsia="Calibri" w:cs="Times New Roman"/>
          <w:noProof/>
          <w:snapToGrid/>
          <w:color w:val="000000"/>
          <w:szCs w:val="24"/>
          <w:highlight w:val="black"/>
        </w:rPr>
        <w:t>''''''''</w:t>
      </w:r>
      <w:r w:rsidR="00133DC0" w:rsidRPr="00EF3C6A">
        <w:rPr>
          <w:rFonts w:eastAsia="Calibri" w:cs="Times New Roman"/>
          <w:snapToGrid/>
          <w:szCs w:val="24"/>
        </w:rPr>
        <w:t xml:space="preserve">; 95%CI: </w:t>
      </w:r>
      <w:r w:rsidR="00B07F6B">
        <w:rPr>
          <w:rFonts w:eastAsia="Calibri" w:cs="Times New Roman"/>
          <w:noProof/>
          <w:snapToGrid/>
          <w:color w:val="000000"/>
          <w:szCs w:val="24"/>
          <w:highlight w:val="black"/>
        </w:rPr>
        <w:t>''''''''</w:t>
      </w:r>
      <w:r w:rsidR="00133DC0" w:rsidRPr="00EF3C6A">
        <w:rPr>
          <w:rFonts w:eastAsia="Calibri" w:cs="Times New Roman"/>
          <w:snapToGrid/>
          <w:szCs w:val="24"/>
        </w:rPr>
        <w:t xml:space="preserve">, </w:t>
      </w:r>
      <w:r w:rsidR="00B07F6B">
        <w:rPr>
          <w:rFonts w:eastAsia="Calibri" w:cs="Times New Roman"/>
          <w:noProof/>
          <w:snapToGrid/>
          <w:color w:val="000000"/>
          <w:szCs w:val="24"/>
          <w:highlight w:val="black"/>
        </w:rPr>
        <w:t>''''''''''</w:t>
      </w:r>
      <w:r w:rsidR="00691543" w:rsidRPr="00EF3C6A">
        <w:rPr>
          <w:rFonts w:eastAsia="Calibri" w:cs="Times New Roman"/>
          <w:snapToGrid/>
          <w:szCs w:val="24"/>
        </w:rPr>
        <w:t>)</w:t>
      </w:r>
      <w:r w:rsidRPr="00EF3C6A">
        <w:rPr>
          <w:rFonts w:eastAsia="Calibri" w:cs="Times New Roman"/>
          <w:snapToGrid/>
          <w:szCs w:val="24"/>
        </w:rPr>
        <w:t xml:space="preserve"> </w:t>
      </w:r>
      <w:r w:rsidR="00133DC0" w:rsidRPr="00EF3C6A">
        <w:rPr>
          <w:rFonts w:eastAsia="Calibri" w:cs="Times New Roman"/>
          <w:snapToGrid/>
          <w:szCs w:val="24"/>
        </w:rPr>
        <w:t xml:space="preserve">and </w:t>
      </w:r>
      <w:r w:rsidRPr="00EF3C6A">
        <w:rPr>
          <w:rFonts w:eastAsia="Calibri" w:cs="Times New Roman"/>
          <w:snapToGrid/>
          <w:szCs w:val="24"/>
        </w:rPr>
        <w:t xml:space="preserve">colitis </w:t>
      </w:r>
      <w:r w:rsidR="00691543" w:rsidRPr="00EF3C6A">
        <w:rPr>
          <w:rFonts w:eastAsia="Calibri" w:cs="Times New Roman"/>
          <w:snapToGrid/>
          <w:szCs w:val="24"/>
        </w:rPr>
        <w:t>(</w:t>
      </w:r>
      <w:r w:rsidR="00B07F6B">
        <w:rPr>
          <w:rFonts w:eastAsia="Calibri" w:cs="Times New Roman"/>
          <w:noProof/>
          <w:snapToGrid/>
          <w:color w:val="000000"/>
          <w:szCs w:val="24"/>
          <w:highlight w:val="black"/>
        </w:rPr>
        <w:t>''''''</w:t>
      </w:r>
      <w:r w:rsidR="00691543" w:rsidRPr="00EF3C6A">
        <w:rPr>
          <w:rFonts w:eastAsia="Calibri" w:cs="Times New Roman"/>
          <w:snapToGrid/>
          <w:szCs w:val="24"/>
        </w:rPr>
        <w:t xml:space="preserve">% versus </w:t>
      </w:r>
      <w:r w:rsidR="00B07F6B">
        <w:rPr>
          <w:rFonts w:eastAsia="Calibri" w:cs="Times New Roman"/>
          <w:noProof/>
          <w:snapToGrid/>
          <w:color w:val="000000"/>
          <w:szCs w:val="24"/>
          <w:highlight w:val="black"/>
        </w:rPr>
        <w:t>'''</w:t>
      </w:r>
      <w:r w:rsidR="00691543" w:rsidRPr="00EF3C6A">
        <w:rPr>
          <w:rFonts w:eastAsia="Calibri" w:cs="Times New Roman"/>
          <w:snapToGrid/>
          <w:szCs w:val="24"/>
        </w:rPr>
        <w:t>%</w:t>
      </w:r>
      <w:r w:rsidR="00133DC0" w:rsidRPr="00EF3C6A">
        <w:rPr>
          <w:rFonts w:eastAsia="Calibri" w:cs="Times New Roman"/>
          <w:snapToGrid/>
          <w:szCs w:val="24"/>
        </w:rPr>
        <w:t>; RR not calculable</w:t>
      </w:r>
      <w:r w:rsidR="00691543" w:rsidRPr="00EF3C6A">
        <w:rPr>
          <w:rFonts w:eastAsia="Calibri" w:cs="Times New Roman"/>
          <w:snapToGrid/>
          <w:szCs w:val="24"/>
        </w:rPr>
        <w:t>)</w:t>
      </w:r>
      <w:r w:rsidR="00133DC0" w:rsidRPr="00EF3C6A">
        <w:rPr>
          <w:rFonts w:eastAsia="Calibri" w:cs="Times New Roman"/>
          <w:snapToGrid/>
          <w:szCs w:val="24"/>
        </w:rPr>
        <w:t>.</w:t>
      </w:r>
    </w:p>
    <w:p w:rsidR="00884F46" w:rsidRPr="00EF3C6A" w:rsidRDefault="00884F46" w:rsidP="001F294C">
      <w:pPr>
        <w:pStyle w:val="ListParagraph"/>
        <w:widowControl/>
        <w:numPr>
          <w:ilvl w:val="1"/>
          <w:numId w:val="3"/>
        </w:numPr>
      </w:pPr>
      <w:r w:rsidRPr="00EF3C6A">
        <w:t xml:space="preserve">The </w:t>
      </w:r>
      <w:r w:rsidR="00133DC0" w:rsidRPr="00EF3C6A">
        <w:t xml:space="preserve">comparative </w:t>
      </w:r>
      <w:r w:rsidRPr="00EF3C6A">
        <w:t xml:space="preserve">safety of NIVO+IPI </w:t>
      </w:r>
      <w:r w:rsidR="00133DC0" w:rsidRPr="00EF3C6A">
        <w:t xml:space="preserve">versus </w:t>
      </w:r>
      <w:proofErr w:type="spellStart"/>
      <w:r w:rsidR="00133DC0" w:rsidRPr="00EF3C6A">
        <w:t>sunitinib</w:t>
      </w:r>
      <w:proofErr w:type="spellEnd"/>
      <w:r w:rsidR="00133DC0" w:rsidRPr="00EF3C6A">
        <w:t xml:space="preserve"> in intermediate/poor prognostic p</w:t>
      </w:r>
      <w:r w:rsidRPr="00EF3C6A">
        <w:t xml:space="preserve">atients </w:t>
      </w:r>
      <w:r w:rsidR="00133DC0" w:rsidRPr="00EF3C6A">
        <w:t>was</w:t>
      </w:r>
      <w:r w:rsidRPr="00EF3C6A">
        <w:t xml:space="preserve"> similar to </w:t>
      </w:r>
      <w:r w:rsidR="00133DC0" w:rsidRPr="00EF3C6A">
        <w:t xml:space="preserve">that in </w:t>
      </w:r>
      <w:r w:rsidRPr="00EF3C6A">
        <w:t>the</w:t>
      </w:r>
      <w:r w:rsidR="00133DC0" w:rsidRPr="00EF3C6A">
        <w:t xml:space="preserve"> all treated population</w:t>
      </w:r>
      <w:r w:rsidRPr="00EF3C6A">
        <w:t>.</w:t>
      </w:r>
      <w:r w:rsidR="00AE6A96" w:rsidRPr="00EF3C6A">
        <w:t xml:space="preserve"> No safety data were reported in Study CA209214 for patients with favourable prognosis.</w:t>
      </w:r>
    </w:p>
    <w:p w:rsidR="00A24837" w:rsidRDefault="001F294C" w:rsidP="001F294C">
      <w:pPr>
        <w:pStyle w:val="ListParagraph"/>
        <w:widowControl/>
        <w:numPr>
          <w:ilvl w:val="1"/>
          <w:numId w:val="3"/>
        </w:numPr>
      </w:pPr>
      <w:r w:rsidRPr="00EF3C6A">
        <w:t xml:space="preserve">Patients with active or recent history of auto immune disease </w:t>
      </w:r>
      <w:r w:rsidR="009B0CE1" w:rsidRPr="00EF3C6A">
        <w:t>were</w:t>
      </w:r>
      <w:r w:rsidRPr="00EF3C6A">
        <w:t xml:space="preserve"> excluded from the trial. Therefore</w:t>
      </w:r>
      <w:r w:rsidR="00BA5D70">
        <w:t>,</w:t>
      </w:r>
      <w:r w:rsidRPr="00EF3C6A">
        <w:t xml:space="preserve"> </w:t>
      </w:r>
      <w:r w:rsidR="001C3B1B">
        <w:t>the PBAC considered that</w:t>
      </w:r>
      <w:r w:rsidR="00BA5D70">
        <w:t xml:space="preserve"> </w:t>
      </w:r>
      <w:r w:rsidRPr="00EF3C6A">
        <w:t xml:space="preserve">the risk of immune-related adverse events </w:t>
      </w:r>
      <w:r w:rsidR="00BA5D70" w:rsidRPr="00EF3C6A">
        <w:t xml:space="preserve">in clinical practice </w:t>
      </w:r>
      <w:r w:rsidR="00BA5D70">
        <w:t>is</w:t>
      </w:r>
      <w:r w:rsidRPr="00EF3C6A">
        <w:t xml:space="preserve"> likely to be higher than observed in </w:t>
      </w:r>
      <w:r w:rsidR="00D2118D" w:rsidRPr="00EF3C6A">
        <w:t xml:space="preserve">the </w:t>
      </w:r>
      <w:r w:rsidRPr="00EF3C6A">
        <w:t xml:space="preserve">clinical </w:t>
      </w:r>
      <w:r w:rsidR="00D2118D" w:rsidRPr="00EF3C6A">
        <w:t>trial.</w:t>
      </w:r>
      <w:r w:rsidRPr="00EF3C6A">
        <w:t xml:space="preserve"> </w:t>
      </w:r>
    </w:p>
    <w:p w:rsidR="007547CC" w:rsidRDefault="007547CC" w:rsidP="007547CC">
      <w:pPr>
        <w:pStyle w:val="ListParagraph"/>
        <w:widowControl/>
        <w:numPr>
          <w:ilvl w:val="1"/>
          <w:numId w:val="3"/>
        </w:numPr>
      </w:pPr>
      <w:r w:rsidRPr="007547CC">
        <w:t>The PBAC acknowledged that clinicians were becoming better versed in treating the adverse events</w:t>
      </w:r>
      <w:r>
        <w:t xml:space="preserve"> associated with NIVO+IPI</w:t>
      </w:r>
      <w:r w:rsidRPr="007547CC">
        <w:t>, particularly in the urban setting, but noted that safety in the more rural and remote settings and private hospitals remained a concern. The PBAC noted that there was a need for improved access to high-cost rescue therapies in these settings, for example infliximab for treatment-induced colitis which is not currently PBS-funded for this indication nor routinely available on hospital formularies.</w:t>
      </w:r>
    </w:p>
    <w:p w:rsidR="001F294C" w:rsidRPr="00EF3C6A" w:rsidRDefault="00A24837" w:rsidP="001F294C">
      <w:pPr>
        <w:pStyle w:val="ListParagraph"/>
        <w:widowControl/>
        <w:numPr>
          <w:ilvl w:val="1"/>
          <w:numId w:val="3"/>
        </w:numPr>
      </w:pPr>
      <w:r>
        <w:t xml:space="preserve">The PBAC also noted that the trial used the 4:2 </w:t>
      </w:r>
      <w:proofErr w:type="spellStart"/>
      <w:r>
        <w:t>sunitinib</w:t>
      </w:r>
      <w:proofErr w:type="spellEnd"/>
      <w:r>
        <w:t xml:space="preserve"> dosing schedule (</w:t>
      </w:r>
      <w:r w:rsidRPr="007F3896">
        <w:t>4 weeks</w:t>
      </w:r>
      <w:r>
        <w:t xml:space="preserve"> on </w:t>
      </w:r>
      <w:proofErr w:type="spellStart"/>
      <w:r>
        <w:t>sunitinib</w:t>
      </w:r>
      <w:proofErr w:type="spellEnd"/>
      <w:r w:rsidR="00A90551">
        <w:t>,</w:t>
      </w:r>
      <w:r w:rsidRPr="007F3896">
        <w:t xml:space="preserve"> followed by 2 weeks off</w:t>
      </w:r>
      <w:r>
        <w:t xml:space="preserve"> every cycle) that may be associated with</w:t>
      </w:r>
      <w:r w:rsidR="00AC326F">
        <w:t xml:space="preserve"> a higher rate of</w:t>
      </w:r>
      <w:r>
        <w:t xml:space="preserve"> adverse events than the 2:1 schedule. Thus the </w:t>
      </w:r>
      <w:r w:rsidR="006C0570">
        <w:t xml:space="preserve">trial may have underestimated the comparative </w:t>
      </w:r>
      <w:r>
        <w:t xml:space="preserve">toxicity of NIVO+IPI versus </w:t>
      </w:r>
      <w:proofErr w:type="spellStart"/>
      <w:r>
        <w:t>sunitinib</w:t>
      </w:r>
      <w:proofErr w:type="spellEnd"/>
      <w:r>
        <w:t xml:space="preserve"> </w:t>
      </w:r>
      <w:r w:rsidR="006C0570">
        <w:t xml:space="preserve">that would occur in </w:t>
      </w:r>
      <w:r>
        <w:t xml:space="preserve">the PBS </w:t>
      </w:r>
      <w:r w:rsidR="006C0570">
        <w:t>population (where some clinicians may use the 2:1 schedule)</w:t>
      </w:r>
      <w:r>
        <w:t>.</w:t>
      </w:r>
    </w:p>
    <w:p w:rsidR="0066332F" w:rsidRPr="00EF3C6A" w:rsidRDefault="0066332F" w:rsidP="001F294C">
      <w:pPr>
        <w:pStyle w:val="ListParagraph"/>
        <w:widowControl/>
        <w:numPr>
          <w:ilvl w:val="1"/>
          <w:numId w:val="3"/>
        </w:numPr>
      </w:pPr>
      <w:r w:rsidRPr="00EF3C6A">
        <w:t xml:space="preserve">The ESC noted that the incidence of </w:t>
      </w:r>
      <w:r w:rsidR="00097EA9" w:rsidRPr="00EF3C6A">
        <w:t xml:space="preserve">drug-related </w:t>
      </w:r>
      <w:r w:rsidRPr="00EF3C6A">
        <w:t xml:space="preserve">adverse events </w:t>
      </w:r>
      <w:r w:rsidR="00250530" w:rsidRPr="00EF3C6A">
        <w:t>(any grade, and Grade</w:t>
      </w:r>
      <w:r w:rsidR="00097EA9" w:rsidRPr="00EF3C6A">
        <w:t xml:space="preserve"> </w:t>
      </w:r>
      <w:r w:rsidR="00250530" w:rsidRPr="00EF3C6A">
        <w:t xml:space="preserve">3-4) </w:t>
      </w:r>
      <w:r w:rsidRPr="00EF3C6A">
        <w:t>w</w:t>
      </w:r>
      <w:r w:rsidR="00607233" w:rsidRPr="00EF3C6A">
        <w:t>as</w:t>
      </w:r>
      <w:r w:rsidRPr="00EF3C6A">
        <w:t xml:space="preserve"> higher in the </w:t>
      </w:r>
      <w:proofErr w:type="spellStart"/>
      <w:r w:rsidRPr="00EF3C6A">
        <w:t>sunitinib</w:t>
      </w:r>
      <w:proofErr w:type="spellEnd"/>
      <w:r w:rsidRPr="00EF3C6A">
        <w:t xml:space="preserve"> arm</w:t>
      </w:r>
      <w:r w:rsidR="00097EA9" w:rsidRPr="00EF3C6A">
        <w:t xml:space="preserve"> (e.g. any grade drug-related adverse events were 97% in the </w:t>
      </w:r>
      <w:proofErr w:type="spellStart"/>
      <w:r w:rsidR="00097EA9" w:rsidRPr="00EF3C6A">
        <w:t>sunitinib</w:t>
      </w:r>
      <w:proofErr w:type="spellEnd"/>
      <w:r w:rsidR="00097EA9" w:rsidRPr="00EF3C6A">
        <w:t xml:space="preserve"> arm versus 93% in the NIVO+IPI arm)</w:t>
      </w:r>
      <w:r w:rsidRPr="00EF3C6A">
        <w:t xml:space="preserve">. </w:t>
      </w:r>
      <w:r w:rsidR="00097EA9" w:rsidRPr="00EF3C6A">
        <w:t>T</w:t>
      </w:r>
      <w:r w:rsidRPr="00EF3C6A">
        <w:t xml:space="preserve">he ESC considered that almost all patients treated with </w:t>
      </w:r>
      <w:proofErr w:type="spellStart"/>
      <w:r w:rsidRPr="00EF3C6A">
        <w:t>sunitinib</w:t>
      </w:r>
      <w:proofErr w:type="spellEnd"/>
      <w:r w:rsidRPr="00EF3C6A">
        <w:t xml:space="preserve"> </w:t>
      </w:r>
      <w:r w:rsidR="002C3582" w:rsidRPr="00EF3C6A">
        <w:t xml:space="preserve">would be likely to </w:t>
      </w:r>
      <w:r w:rsidRPr="00EF3C6A">
        <w:t xml:space="preserve">experience adverse events, while </w:t>
      </w:r>
      <w:r w:rsidR="00097EA9" w:rsidRPr="00EF3C6A">
        <w:t xml:space="preserve">some patients treated </w:t>
      </w:r>
      <w:r w:rsidRPr="00EF3C6A">
        <w:t xml:space="preserve">with NIVO+IPI </w:t>
      </w:r>
      <w:r w:rsidR="002C3582" w:rsidRPr="00EF3C6A">
        <w:t>would</w:t>
      </w:r>
      <w:r w:rsidRPr="00EF3C6A">
        <w:t xml:space="preserve"> not experience any</w:t>
      </w:r>
      <w:r w:rsidR="00240270" w:rsidRPr="00EF3C6A">
        <w:t xml:space="preserve"> clinically significant</w:t>
      </w:r>
      <w:r w:rsidRPr="00EF3C6A">
        <w:t xml:space="preserve"> </w:t>
      </w:r>
      <w:r w:rsidR="00097EA9" w:rsidRPr="00EF3C6A">
        <w:t xml:space="preserve">drug-related </w:t>
      </w:r>
      <w:r w:rsidRPr="00EF3C6A">
        <w:t xml:space="preserve">adverse events. </w:t>
      </w:r>
    </w:p>
    <w:p w:rsidR="001F294C" w:rsidRPr="006068C2" w:rsidRDefault="001F294C" w:rsidP="00E20BA0">
      <w:pPr>
        <w:pStyle w:val="Heading2"/>
        <w:spacing w:after="240"/>
      </w:pPr>
      <w:bookmarkStart w:id="9" w:name="_Toc514248489"/>
      <w:r w:rsidRPr="006068C2">
        <w:t>Benefits/harms</w:t>
      </w:r>
      <w:bookmarkEnd w:id="9"/>
    </w:p>
    <w:p w:rsidR="001F294C" w:rsidRPr="00EF3C6A" w:rsidRDefault="001F294C" w:rsidP="00E20BA0">
      <w:pPr>
        <w:pStyle w:val="ListParagraph"/>
        <w:widowControl/>
        <w:numPr>
          <w:ilvl w:val="1"/>
          <w:numId w:val="3"/>
        </w:numPr>
      </w:pPr>
      <w:r w:rsidRPr="00EF3C6A">
        <w:t xml:space="preserve">A summary of the comparative benefits and harms for NIVO+IPI versus </w:t>
      </w:r>
      <w:proofErr w:type="spellStart"/>
      <w:r w:rsidRPr="00EF3C6A">
        <w:t>sunitinib</w:t>
      </w:r>
      <w:proofErr w:type="spellEnd"/>
      <w:r w:rsidRPr="00EF3C6A">
        <w:t xml:space="preserve"> is presented in the table below. </w:t>
      </w:r>
    </w:p>
    <w:p w:rsidR="00320C2A" w:rsidRPr="00EF3C6A" w:rsidRDefault="00320C2A" w:rsidP="001B5283">
      <w:pPr>
        <w:pStyle w:val="Caption"/>
        <w:keepNext/>
        <w:keepLines/>
        <w:spacing w:after="0"/>
        <w:rPr>
          <w:rStyle w:val="CommentReference"/>
          <w:b/>
          <w:color w:val="auto"/>
        </w:rPr>
      </w:pPr>
      <w:r w:rsidRPr="00EF3C6A">
        <w:rPr>
          <w:rStyle w:val="CommentReference"/>
          <w:b/>
          <w:color w:val="auto"/>
        </w:rPr>
        <w:lastRenderedPageBreak/>
        <w:t xml:space="preserve">Table </w:t>
      </w:r>
      <w:r w:rsidR="00755DFA" w:rsidRPr="00EF3C6A">
        <w:rPr>
          <w:rStyle w:val="CommentReference"/>
          <w:b/>
          <w:color w:val="auto"/>
        </w:rPr>
        <w:t>7</w:t>
      </w:r>
      <w:r w:rsidRPr="00EF3C6A">
        <w:rPr>
          <w:rStyle w:val="CommentReference"/>
          <w:b/>
          <w:color w:val="auto"/>
        </w:rPr>
        <w:t xml:space="preserve">: Summary of comparative benefits </w:t>
      </w:r>
      <w:r w:rsidR="001B5283" w:rsidRPr="00EF3C6A">
        <w:rPr>
          <w:rStyle w:val="CommentReference"/>
          <w:b/>
          <w:color w:val="auto"/>
        </w:rPr>
        <w:t>(</w:t>
      </w:r>
      <w:r w:rsidR="008519FC" w:rsidRPr="00EF3C6A">
        <w:rPr>
          <w:rStyle w:val="CommentReference"/>
          <w:b/>
          <w:color w:val="auto"/>
        </w:rPr>
        <w:t>intermediate/poor risk group</w:t>
      </w:r>
      <w:r w:rsidR="001B5283" w:rsidRPr="00EF3C6A">
        <w:rPr>
          <w:rStyle w:val="CommentReference"/>
          <w:b/>
          <w:color w:val="auto"/>
        </w:rPr>
        <w:t>)</w:t>
      </w:r>
      <w:r w:rsidR="008519FC" w:rsidRPr="00EF3C6A">
        <w:rPr>
          <w:rStyle w:val="CommentReference"/>
          <w:b/>
          <w:color w:val="auto"/>
        </w:rPr>
        <w:t xml:space="preserve"> and harms </w:t>
      </w:r>
      <w:r w:rsidR="001B5283" w:rsidRPr="00EF3C6A">
        <w:rPr>
          <w:rStyle w:val="CommentReference"/>
          <w:b/>
          <w:color w:val="auto"/>
        </w:rPr>
        <w:t>(</w:t>
      </w:r>
      <w:r w:rsidR="008519FC" w:rsidRPr="00EF3C6A">
        <w:rPr>
          <w:rStyle w:val="CommentReference"/>
          <w:b/>
          <w:color w:val="auto"/>
        </w:rPr>
        <w:t>all treated population</w:t>
      </w:r>
      <w:r w:rsidR="001B5283" w:rsidRPr="00EF3C6A">
        <w:rPr>
          <w:rStyle w:val="CommentReference"/>
          <w:b/>
          <w:color w:val="auto"/>
        </w:rPr>
        <w:t>)</w:t>
      </w:r>
    </w:p>
    <w:tbl>
      <w:tblPr>
        <w:tblStyle w:val="TableGridbeth7"/>
        <w:tblW w:w="5000" w:type="pct"/>
        <w:tblCellMar>
          <w:left w:w="28" w:type="dxa"/>
          <w:right w:w="28" w:type="dxa"/>
        </w:tblCellMar>
        <w:tblLook w:val="04A0" w:firstRow="1" w:lastRow="0" w:firstColumn="1" w:lastColumn="0" w:noHBand="0" w:noVBand="1"/>
        <w:tblCaption w:val="Table 7: Summary of comparative benefits (intermediate/poor risk group) and harms (all treated population)"/>
      </w:tblPr>
      <w:tblGrid>
        <w:gridCol w:w="2704"/>
        <w:gridCol w:w="1374"/>
        <w:gridCol w:w="1618"/>
        <w:gridCol w:w="1018"/>
        <w:gridCol w:w="1033"/>
        <w:gridCol w:w="1576"/>
      </w:tblGrid>
      <w:tr w:rsidR="00841116" w:rsidRPr="00EF3C6A" w:rsidTr="00FF4CF1">
        <w:trPr>
          <w:trHeight w:val="214"/>
          <w:tblHeader/>
        </w:trPr>
        <w:tc>
          <w:tcPr>
            <w:tcW w:w="5000" w:type="pct"/>
            <w:gridSpan w:val="6"/>
            <w:shd w:val="clear" w:color="auto" w:fill="auto"/>
            <w:vAlign w:val="center"/>
          </w:tcPr>
          <w:p w:rsidR="00841116" w:rsidRPr="00EF3C6A" w:rsidRDefault="00841116" w:rsidP="001B5283">
            <w:pPr>
              <w:pStyle w:val="TableHeading"/>
              <w:keepLines/>
              <w:rPr>
                <w:color w:val="000000"/>
                <w:szCs w:val="18"/>
              </w:rPr>
            </w:pPr>
            <w:r w:rsidRPr="00EF3C6A">
              <w:rPr>
                <w:color w:val="000000"/>
                <w:szCs w:val="18"/>
              </w:rPr>
              <w:t>Benefits</w:t>
            </w:r>
            <w:r w:rsidR="000F55C3" w:rsidRPr="00EF3C6A">
              <w:rPr>
                <w:color w:val="000000"/>
                <w:szCs w:val="18"/>
              </w:rPr>
              <w:t xml:space="preserve"> (intermediate/poor risk group)</w:t>
            </w:r>
          </w:p>
        </w:tc>
      </w:tr>
      <w:tr w:rsidR="00841116" w:rsidRPr="00EF3C6A" w:rsidTr="002C3582">
        <w:tc>
          <w:tcPr>
            <w:tcW w:w="1450" w:type="pct"/>
            <w:shd w:val="clear" w:color="auto" w:fill="auto"/>
            <w:vAlign w:val="center"/>
          </w:tcPr>
          <w:p w:rsidR="00841116" w:rsidRPr="00EF3C6A" w:rsidRDefault="00841116" w:rsidP="001B5283">
            <w:pPr>
              <w:keepNext/>
              <w:keepLines/>
              <w:jc w:val="center"/>
              <w:rPr>
                <w:rFonts w:ascii="Arial Narrow" w:hAnsi="Arial Narrow"/>
                <w:b/>
                <w:color w:val="000000"/>
                <w:sz w:val="20"/>
                <w:szCs w:val="18"/>
              </w:rPr>
            </w:pPr>
          </w:p>
        </w:tc>
        <w:tc>
          <w:tcPr>
            <w:tcW w:w="737" w:type="pct"/>
            <w:vAlign w:val="center"/>
          </w:tcPr>
          <w:p w:rsidR="00841116" w:rsidRPr="00EF3C6A" w:rsidRDefault="00841116" w:rsidP="001B5283">
            <w:pPr>
              <w:keepNext/>
              <w:keepLines/>
              <w:jc w:val="center"/>
              <w:rPr>
                <w:rFonts w:ascii="Arial Narrow" w:hAnsi="Arial Narrow"/>
                <w:b/>
                <w:sz w:val="20"/>
                <w:vertAlign w:val="superscript"/>
              </w:rPr>
            </w:pPr>
            <w:r w:rsidRPr="00EF3C6A">
              <w:rPr>
                <w:rFonts w:ascii="Arial Narrow" w:hAnsi="Arial Narrow"/>
                <w:b/>
                <w:sz w:val="20"/>
              </w:rPr>
              <w:t>NIVO+IPI</w:t>
            </w:r>
          </w:p>
          <w:p w:rsidR="00841116" w:rsidRPr="00EF3C6A" w:rsidRDefault="00841116" w:rsidP="001B5283">
            <w:pPr>
              <w:keepNext/>
              <w:keepLines/>
              <w:jc w:val="center"/>
              <w:rPr>
                <w:rFonts w:ascii="Arial Narrow" w:hAnsi="Arial Narrow"/>
                <w:b/>
                <w:sz w:val="20"/>
              </w:rPr>
            </w:pPr>
            <w:r w:rsidRPr="00EF3C6A">
              <w:rPr>
                <w:rFonts w:ascii="Arial Narrow" w:hAnsi="Arial Narrow"/>
                <w:b/>
                <w:sz w:val="20"/>
              </w:rPr>
              <w:t>N = 425</w:t>
            </w:r>
          </w:p>
        </w:tc>
        <w:tc>
          <w:tcPr>
            <w:tcW w:w="868" w:type="pct"/>
            <w:vAlign w:val="center"/>
          </w:tcPr>
          <w:p w:rsidR="00841116" w:rsidRPr="00EF3C6A" w:rsidRDefault="00841116" w:rsidP="001B5283">
            <w:pPr>
              <w:keepNext/>
              <w:keepLines/>
              <w:jc w:val="center"/>
              <w:rPr>
                <w:rFonts w:ascii="Arial Narrow" w:hAnsi="Arial Narrow"/>
                <w:b/>
                <w:sz w:val="20"/>
                <w:vertAlign w:val="superscript"/>
              </w:rPr>
            </w:pPr>
            <w:proofErr w:type="spellStart"/>
            <w:r w:rsidRPr="00EF3C6A">
              <w:rPr>
                <w:rFonts w:ascii="Arial Narrow" w:hAnsi="Arial Narrow"/>
                <w:b/>
                <w:sz w:val="20"/>
              </w:rPr>
              <w:t>Sunitinib</w:t>
            </w:r>
            <w:proofErr w:type="spellEnd"/>
          </w:p>
          <w:p w:rsidR="00841116" w:rsidRPr="00EF3C6A" w:rsidRDefault="00841116" w:rsidP="001B5283">
            <w:pPr>
              <w:keepNext/>
              <w:keepLines/>
              <w:jc w:val="center"/>
              <w:rPr>
                <w:rFonts w:ascii="Arial Narrow" w:hAnsi="Arial Narrow"/>
                <w:b/>
                <w:sz w:val="20"/>
              </w:rPr>
            </w:pPr>
            <w:r w:rsidRPr="00EF3C6A">
              <w:rPr>
                <w:rFonts w:ascii="Arial Narrow" w:hAnsi="Arial Narrow"/>
                <w:b/>
                <w:sz w:val="20"/>
              </w:rPr>
              <w:t>N = 422</w:t>
            </w:r>
          </w:p>
        </w:tc>
        <w:tc>
          <w:tcPr>
            <w:tcW w:w="1100" w:type="pct"/>
            <w:gridSpan w:val="2"/>
            <w:vAlign w:val="center"/>
          </w:tcPr>
          <w:p w:rsidR="00841116" w:rsidRPr="00EF3C6A" w:rsidRDefault="00841116" w:rsidP="001B5283">
            <w:pPr>
              <w:keepNext/>
              <w:keepLines/>
              <w:jc w:val="center"/>
              <w:rPr>
                <w:rFonts w:ascii="Arial Narrow" w:hAnsi="Arial Narrow"/>
                <w:b/>
                <w:color w:val="000000"/>
                <w:sz w:val="20"/>
                <w:szCs w:val="18"/>
              </w:rPr>
            </w:pPr>
            <w:r w:rsidRPr="00EF3C6A">
              <w:rPr>
                <w:rFonts w:ascii="Arial Narrow" w:hAnsi="Arial Narrow"/>
                <w:b/>
                <w:sz w:val="20"/>
              </w:rPr>
              <w:t>Absolute difference</w:t>
            </w:r>
          </w:p>
        </w:tc>
        <w:tc>
          <w:tcPr>
            <w:tcW w:w="846" w:type="pct"/>
            <w:vAlign w:val="center"/>
          </w:tcPr>
          <w:p w:rsidR="00841116" w:rsidRPr="00EF3C6A" w:rsidRDefault="00841116" w:rsidP="001B5283">
            <w:pPr>
              <w:keepNext/>
              <w:keepLines/>
              <w:jc w:val="center"/>
              <w:rPr>
                <w:rFonts w:ascii="Arial Narrow" w:hAnsi="Arial Narrow"/>
                <w:b/>
                <w:color w:val="000000"/>
                <w:sz w:val="20"/>
                <w:szCs w:val="18"/>
              </w:rPr>
            </w:pPr>
            <w:r w:rsidRPr="00EF3C6A">
              <w:rPr>
                <w:rFonts w:ascii="Arial Narrow" w:hAnsi="Arial Narrow"/>
                <w:b/>
                <w:sz w:val="20"/>
              </w:rPr>
              <w:t>HR (95% CI)</w:t>
            </w:r>
          </w:p>
        </w:tc>
      </w:tr>
      <w:tr w:rsidR="00841116" w:rsidRPr="00EF3C6A" w:rsidTr="00D7664C">
        <w:tc>
          <w:tcPr>
            <w:tcW w:w="5000" w:type="pct"/>
            <w:gridSpan w:val="6"/>
            <w:shd w:val="clear" w:color="auto" w:fill="auto"/>
          </w:tcPr>
          <w:p w:rsidR="00841116" w:rsidRPr="00EF3C6A" w:rsidRDefault="00841116" w:rsidP="00F846EB">
            <w:pPr>
              <w:keepNext/>
              <w:keepLines/>
              <w:jc w:val="left"/>
              <w:rPr>
                <w:rFonts w:ascii="Arial Narrow" w:hAnsi="Arial Narrow"/>
                <w:sz w:val="20"/>
              </w:rPr>
            </w:pPr>
            <w:r w:rsidRPr="00EF3C6A">
              <w:rPr>
                <w:rFonts w:ascii="Arial Narrow" w:hAnsi="Arial Narrow"/>
                <w:sz w:val="20"/>
              </w:rPr>
              <w:t>OS data (immature, data cut off August 2017, median follow up of 2</w:t>
            </w:r>
            <w:r w:rsidR="00F846EB">
              <w:rPr>
                <w:rFonts w:ascii="Arial Narrow" w:hAnsi="Arial Narrow"/>
                <w:sz w:val="20"/>
              </w:rPr>
              <w:t>5</w:t>
            </w:r>
            <w:r w:rsidRPr="00EF3C6A">
              <w:rPr>
                <w:rFonts w:ascii="Arial Narrow" w:hAnsi="Arial Narrow"/>
                <w:sz w:val="20"/>
              </w:rPr>
              <w:t xml:space="preserve"> months)</w:t>
            </w:r>
          </w:p>
        </w:tc>
      </w:tr>
      <w:tr w:rsidR="00841116" w:rsidRPr="00EF3C6A" w:rsidTr="002C3582">
        <w:tc>
          <w:tcPr>
            <w:tcW w:w="1450" w:type="pct"/>
            <w:shd w:val="clear" w:color="auto" w:fill="auto"/>
          </w:tcPr>
          <w:p w:rsidR="00841116" w:rsidRPr="00EF3C6A" w:rsidRDefault="00841116" w:rsidP="001B5283">
            <w:pPr>
              <w:keepNext/>
              <w:keepLines/>
              <w:rPr>
                <w:rFonts w:ascii="Arial Narrow" w:hAnsi="Arial Narrow"/>
                <w:color w:val="000000"/>
                <w:sz w:val="20"/>
                <w:szCs w:val="18"/>
              </w:rPr>
            </w:pPr>
            <w:r w:rsidRPr="00EF3C6A">
              <w:rPr>
                <w:rFonts w:ascii="Arial Narrow" w:hAnsi="Arial Narrow"/>
                <w:sz w:val="20"/>
              </w:rPr>
              <w:t>Deaths, n (%)</w:t>
            </w:r>
          </w:p>
        </w:tc>
        <w:tc>
          <w:tcPr>
            <w:tcW w:w="737" w:type="pct"/>
          </w:tcPr>
          <w:p w:rsidR="00841116" w:rsidRPr="00EF3C6A" w:rsidRDefault="00841116" w:rsidP="001B5283">
            <w:pPr>
              <w:keepNext/>
              <w:keepLines/>
              <w:jc w:val="center"/>
              <w:rPr>
                <w:rFonts w:ascii="Arial Narrow" w:hAnsi="Arial Narrow"/>
                <w:sz w:val="20"/>
              </w:rPr>
            </w:pPr>
            <w:r w:rsidRPr="00EF3C6A">
              <w:rPr>
                <w:rFonts w:ascii="Arial Narrow" w:hAnsi="Arial Narrow"/>
                <w:sz w:val="20"/>
              </w:rPr>
              <w:t>140 (32.9)</w:t>
            </w:r>
          </w:p>
        </w:tc>
        <w:tc>
          <w:tcPr>
            <w:tcW w:w="868" w:type="pct"/>
          </w:tcPr>
          <w:p w:rsidR="00841116" w:rsidRPr="00EF3C6A" w:rsidRDefault="00841116" w:rsidP="001B5283">
            <w:pPr>
              <w:keepNext/>
              <w:keepLines/>
              <w:jc w:val="center"/>
              <w:rPr>
                <w:rFonts w:ascii="Arial Narrow" w:hAnsi="Arial Narrow"/>
                <w:sz w:val="20"/>
              </w:rPr>
            </w:pPr>
            <w:r w:rsidRPr="00EF3C6A">
              <w:rPr>
                <w:rFonts w:ascii="Arial Narrow" w:hAnsi="Arial Narrow"/>
                <w:sz w:val="20"/>
              </w:rPr>
              <w:t>188 (44.5)</w:t>
            </w:r>
          </w:p>
        </w:tc>
        <w:tc>
          <w:tcPr>
            <w:tcW w:w="1100" w:type="pct"/>
            <w:gridSpan w:val="2"/>
          </w:tcPr>
          <w:p w:rsidR="00841116" w:rsidRPr="00EF3C6A" w:rsidRDefault="00841116" w:rsidP="001B5283">
            <w:pPr>
              <w:keepNext/>
              <w:keepLines/>
              <w:jc w:val="center"/>
              <w:rPr>
                <w:rFonts w:ascii="Arial Narrow" w:hAnsi="Arial Narrow"/>
                <w:color w:val="000000"/>
                <w:sz w:val="20"/>
                <w:szCs w:val="18"/>
              </w:rPr>
            </w:pPr>
          </w:p>
        </w:tc>
        <w:tc>
          <w:tcPr>
            <w:tcW w:w="846" w:type="pct"/>
            <w:vAlign w:val="center"/>
          </w:tcPr>
          <w:p w:rsidR="00841116" w:rsidRPr="00EF3C6A" w:rsidRDefault="00841116" w:rsidP="001B5283">
            <w:pPr>
              <w:keepNext/>
              <w:keepLines/>
              <w:jc w:val="center"/>
              <w:rPr>
                <w:rFonts w:ascii="Arial Narrow" w:hAnsi="Arial Narrow"/>
                <w:b/>
                <w:sz w:val="20"/>
              </w:rPr>
            </w:pPr>
            <w:r w:rsidRPr="00EF3C6A">
              <w:rPr>
                <w:rFonts w:ascii="Arial Narrow" w:hAnsi="Arial Narrow"/>
                <w:b/>
                <w:sz w:val="20"/>
              </w:rPr>
              <w:t>0.63 (0.44, 0.89)</w:t>
            </w:r>
          </w:p>
          <w:p w:rsidR="00841116" w:rsidRPr="00EF3C6A" w:rsidRDefault="00841116" w:rsidP="001B5283">
            <w:pPr>
              <w:keepNext/>
              <w:keepLines/>
              <w:jc w:val="center"/>
              <w:rPr>
                <w:rFonts w:ascii="Arial Narrow" w:hAnsi="Arial Narrow"/>
                <w:sz w:val="20"/>
              </w:rPr>
            </w:pPr>
            <w:r w:rsidRPr="00EF3C6A">
              <w:rPr>
                <w:rFonts w:ascii="Arial Narrow" w:hAnsi="Arial Narrow"/>
                <w:sz w:val="20"/>
              </w:rPr>
              <w:t>p-value &lt; 0.0001</w:t>
            </w:r>
          </w:p>
        </w:tc>
      </w:tr>
      <w:tr w:rsidR="00841116" w:rsidRPr="00EF3C6A" w:rsidTr="002C3582">
        <w:tc>
          <w:tcPr>
            <w:tcW w:w="1450" w:type="pct"/>
            <w:shd w:val="clear" w:color="auto" w:fill="auto"/>
          </w:tcPr>
          <w:p w:rsidR="00841116" w:rsidRPr="00EF3C6A" w:rsidRDefault="00841116" w:rsidP="001B5283">
            <w:pPr>
              <w:keepNext/>
              <w:keepLines/>
              <w:rPr>
                <w:rFonts w:ascii="Arial Narrow" w:hAnsi="Arial Narrow"/>
                <w:color w:val="000000"/>
                <w:sz w:val="20"/>
                <w:szCs w:val="18"/>
              </w:rPr>
            </w:pPr>
            <w:r w:rsidRPr="00EF3C6A">
              <w:rPr>
                <w:rFonts w:ascii="Arial Narrow" w:hAnsi="Arial Narrow"/>
                <w:sz w:val="20"/>
              </w:rPr>
              <w:t>% surviving at 12 months (95% CI)</w:t>
            </w:r>
          </w:p>
        </w:tc>
        <w:tc>
          <w:tcPr>
            <w:tcW w:w="737" w:type="pct"/>
            <w:vAlign w:val="center"/>
          </w:tcPr>
          <w:p w:rsidR="00841116" w:rsidRPr="00EF3C6A" w:rsidRDefault="00841116" w:rsidP="001B5283">
            <w:pPr>
              <w:keepNext/>
              <w:keepLines/>
              <w:jc w:val="center"/>
              <w:rPr>
                <w:rFonts w:ascii="Arial Narrow" w:hAnsi="Arial Narrow"/>
                <w:sz w:val="20"/>
              </w:rPr>
            </w:pPr>
            <w:r w:rsidRPr="006A3113">
              <w:rPr>
                <w:rFonts w:ascii="Arial Narrow" w:hAnsi="Arial Narrow"/>
                <w:sz w:val="20"/>
              </w:rPr>
              <w:t>80.1</w:t>
            </w:r>
            <w:r w:rsidRPr="00EF3C6A">
              <w:rPr>
                <w:rFonts w:ascii="Arial Narrow" w:hAnsi="Arial Narrow"/>
                <w:sz w:val="20"/>
              </w:rPr>
              <w:t xml:space="preserve"> (</w:t>
            </w:r>
            <w:r w:rsidRPr="006A3113">
              <w:rPr>
                <w:rFonts w:ascii="Arial Narrow" w:hAnsi="Arial Narrow"/>
                <w:sz w:val="20"/>
              </w:rPr>
              <w:t>75.9</w:t>
            </w:r>
            <w:r w:rsidRPr="00EF3C6A">
              <w:rPr>
                <w:rFonts w:ascii="Arial Narrow" w:hAnsi="Arial Narrow"/>
                <w:sz w:val="20"/>
              </w:rPr>
              <w:t xml:space="preserve">, </w:t>
            </w:r>
            <w:r w:rsidRPr="006A3113">
              <w:rPr>
                <w:rFonts w:ascii="Arial Narrow" w:hAnsi="Arial Narrow"/>
                <w:sz w:val="20"/>
              </w:rPr>
              <w:t>83.6</w:t>
            </w:r>
            <w:r w:rsidRPr="00EF3C6A">
              <w:rPr>
                <w:rFonts w:ascii="Arial Narrow" w:hAnsi="Arial Narrow"/>
                <w:sz w:val="20"/>
              </w:rPr>
              <w:t>)</w:t>
            </w:r>
          </w:p>
        </w:tc>
        <w:tc>
          <w:tcPr>
            <w:tcW w:w="868" w:type="pct"/>
            <w:vAlign w:val="center"/>
          </w:tcPr>
          <w:p w:rsidR="00841116" w:rsidRPr="00EF3C6A" w:rsidRDefault="00841116" w:rsidP="001B5283">
            <w:pPr>
              <w:keepNext/>
              <w:keepLines/>
              <w:jc w:val="center"/>
              <w:rPr>
                <w:rFonts w:ascii="Arial Narrow" w:hAnsi="Arial Narrow"/>
                <w:sz w:val="20"/>
              </w:rPr>
            </w:pPr>
            <w:r w:rsidRPr="006A3113">
              <w:rPr>
                <w:rFonts w:ascii="Arial Narrow" w:hAnsi="Arial Narrow"/>
                <w:sz w:val="20"/>
              </w:rPr>
              <w:t>72.1</w:t>
            </w:r>
            <w:r w:rsidRPr="00EF3C6A">
              <w:rPr>
                <w:rFonts w:ascii="Arial Narrow" w:hAnsi="Arial Narrow"/>
                <w:sz w:val="20"/>
              </w:rPr>
              <w:t xml:space="preserve"> (</w:t>
            </w:r>
            <w:r w:rsidRPr="006A3113">
              <w:rPr>
                <w:rFonts w:ascii="Arial Narrow" w:hAnsi="Arial Narrow"/>
                <w:sz w:val="20"/>
              </w:rPr>
              <w:t>67.4</w:t>
            </w:r>
            <w:r w:rsidRPr="00EF3C6A">
              <w:rPr>
                <w:rFonts w:ascii="Arial Narrow" w:hAnsi="Arial Narrow"/>
                <w:sz w:val="20"/>
              </w:rPr>
              <w:t xml:space="preserve">, </w:t>
            </w:r>
            <w:r w:rsidRPr="006A3113">
              <w:rPr>
                <w:rFonts w:ascii="Arial Narrow" w:hAnsi="Arial Narrow"/>
                <w:sz w:val="20"/>
              </w:rPr>
              <w:t>76.2</w:t>
            </w:r>
            <w:r w:rsidRPr="00EF3C6A">
              <w:rPr>
                <w:rFonts w:ascii="Arial Narrow" w:hAnsi="Arial Narrow"/>
                <w:sz w:val="20"/>
              </w:rPr>
              <w:t>)</w:t>
            </w:r>
          </w:p>
        </w:tc>
        <w:tc>
          <w:tcPr>
            <w:tcW w:w="1100" w:type="pct"/>
            <w:gridSpan w:val="2"/>
            <w:vAlign w:val="center"/>
          </w:tcPr>
          <w:p w:rsidR="00841116" w:rsidRPr="00B07F6B" w:rsidRDefault="00841116" w:rsidP="001B5283">
            <w:pPr>
              <w:keepNext/>
              <w:keepLines/>
              <w:jc w:val="center"/>
              <w:rPr>
                <w:rFonts w:ascii="Arial Narrow" w:hAnsi="Arial Narrow"/>
                <w:color w:val="000000"/>
                <w:sz w:val="20"/>
                <w:szCs w:val="18"/>
              </w:rPr>
            </w:pPr>
            <w:r w:rsidRPr="00ED2E7F">
              <w:rPr>
                <w:rFonts w:ascii="Arial Narrow" w:hAnsi="Arial Narrow"/>
                <w:color w:val="000000"/>
                <w:sz w:val="20"/>
                <w:szCs w:val="18"/>
              </w:rPr>
              <w:t>8</w:t>
            </w:r>
          </w:p>
        </w:tc>
        <w:tc>
          <w:tcPr>
            <w:tcW w:w="846" w:type="pct"/>
            <w:vAlign w:val="center"/>
          </w:tcPr>
          <w:p w:rsidR="00841116" w:rsidRPr="00EF3C6A" w:rsidRDefault="00841116" w:rsidP="001B5283">
            <w:pPr>
              <w:keepNext/>
              <w:keepLines/>
              <w:jc w:val="center"/>
              <w:rPr>
                <w:rFonts w:ascii="Arial Narrow" w:hAnsi="Arial Narrow"/>
                <w:sz w:val="20"/>
              </w:rPr>
            </w:pPr>
          </w:p>
        </w:tc>
      </w:tr>
      <w:tr w:rsidR="008C3EC0" w:rsidRPr="00EF3C6A" w:rsidTr="002C3582">
        <w:tc>
          <w:tcPr>
            <w:tcW w:w="1450" w:type="pct"/>
            <w:shd w:val="clear" w:color="auto" w:fill="auto"/>
          </w:tcPr>
          <w:p w:rsidR="008C3EC0" w:rsidRPr="00EF3C6A" w:rsidRDefault="008C3EC0" w:rsidP="001B5283">
            <w:pPr>
              <w:keepNext/>
              <w:keepLines/>
              <w:rPr>
                <w:rFonts w:ascii="Arial Narrow" w:hAnsi="Arial Narrow"/>
                <w:sz w:val="20"/>
              </w:rPr>
            </w:pPr>
            <w:r w:rsidRPr="00EF3C6A">
              <w:rPr>
                <w:rFonts w:ascii="Arial Narrow" w:hAnsi="Arial Narrow"/>
                <w:sz w:val="20"/>
              </w:rPr>
              <w:t>% surviving a</w:t>
            </w:r>
            <w:r>
              <w:rPr>
                <w:rFonts w:ascii="Arial Narrow" w:hAnsi="Arial Narrow"/>
                <w:sz w:val="20"/>
              </w:rPr>
              <w:t>t 18</w:t>
            </w:r>
            <w:r w:rsidRPr="00EF3C6A">
              <w:rPr>
                <w:rFonts w:ascii="Arial Narrow" w:hAnsi="Arial Narrow"/>
                <w:sz w:val="20"/>
              </w:rPr>
              <w:t xml:space="preserve"> months (95% CI)</w:t>
            </w:r>
          </w:p>
        </w:tc>
        <w:tc>
          <w:tcPr>
            <w:tcW w:w="737" w:type="pct"/>
            <w:vAlign w:val="center"/>
          </w:tcPr>
          <w:p w:rsidR="008C3EC0" w:rsidRPr="00EF3C6A" w:rsidRDefault="008C3EC0" w:rsidP="008C3EC0">
            <w:pPr>
              <w:keepNext/>
              <w:keepLines/>
              <w:jc w:val="center"/>
              <w:rPr>
                <w:rFonts w:ascii="Arial Narrow" w:hAnsi="Arial Narrow"/>
                <w:sz w:val="20"/>
              </w:rPr>
            </w:pPr>
            <w:r w:rsidRPr="00ED2E7F">
              <w:rPr>
                <w:rFonts w:ascii="Arial Narrow" w:hAnsi="Arial Narrow"/>
                <w:sz w:val="20"/>
              </w:rPr>
              <w:t>75</w:t>
            </w:r>
            <w:r>
              <w:rPr>
                <w:rFonts w:ascii="Arial Narrow" w:hAnsi="Arial Narrow"/>
                <w:sz w:val="20"/>
              </w:rPr>
              <w:t xml:space="preserve"> (</w:t>
            </w:r>
            <w:r w:rsidRPr="00ED2E7F">
              <w:rPr>
                <w:rFonts w:ascii="Arial Narrow" w:hAnsi="Arial Narrow"/>
                <w:sz w:val="20"/>
              </w:rPr>
              <w:t>70</w:t>
            </w:r>
            <w:r>
              <w:rPr>
                <w:rFonts w:ascii="Arial Narrow" w:hAnsi="Arial Narrow"/>
                <w:sz w:val="20"/>
              </w:rPr>
              <w:t xml:space="preserve">, </w:t>
            </w:r>
            <w:r w:rsidRPr="00ED2E7F">
              <w:rPr>
                <w:rFonts w:ascii="Arial Narrow" w:hAnsi="Arial Narrow"/>
                <w:sz w:val="20"/>
              </w:rPr>
              <w:t>78</w:t>
            </w:r>
            <w:r>
              <w:rPr>
                <w:rFonts w:ascii="Arial Narrow" w:hAnsi="Arial Narrow"/>
                <w:sz w:val="20"/>
              </w:rPr>
              <w:t>)</w:t>
            </w:r>
          </w:p>
        </w:tc>
        <w:tc>
          <w:tcPr>
            <w:tcW w:w="868" w:type="pct"/>
            <w:vAlign w:val="center"/>
          </w:tcPr>
          <w:p w:rsidR="008C3EC0" w:rsidRPr="00EF3C6A" w:rsidRDefault="008C3EC0" w:rsidP="001B5283">
            <w:pPr>
              <w:keepNext/>
              <w:keepLines/>
              <w:jc w:val="center"/>
              <w:rPr>
                <w:rFonts w:ascii="Arial Narrow" w:hAnsi="Arial Narrow"/>
                <w:sz w:val="20"/>
              </w:rPr>
            </w:pPr>
            <w:r w:rsidRPr="00ED2E7F">
              <w:rPr>
                <w:rFonts w:ascii="Arial Narrow" w:hAnsi="Arial Narrow"/>
                <w:sz w:val="20"/>
              </w:rPr>
              <w:t>60</w:t>
            </w:r>
            <w:r>
              <w:rPr>
                <w:rFonts w:ascii="Arial Narrow" w:hAnsi="Arial Narrow"/>
                <w:sz w:val="20"/>
              </w:rPr>
              <w:t xml:space="preserve"> (</w:t>
            </w:r>
            <w:r w:rsidRPr="00ED2E7F">
              <w:rPr>
                <w:rFonts w:ascii="Arial Narrow" w:hAnsi="Arial Narrow"/>
                <w:sz w:val="20"/>
              </w:rPr>
              <w:t>55</w:t>
            </w:r>
            <w:r>
              <w:rPr>
                <w:rFonts w:ascii="Arial Narrow" w:hAnsi="Arial Narrow"/>
                <w:sz w:val="20"/>
              </w:rPr>
              <w:t xml:space="preserve">, </w:t>
            </w:r>
            <w:r w:rsidRPr="00ED2E7F">
              <w:rPr>
                <w:rFonts w:ascii="Arial Narrow" w:hAnsi="Arial Narrow"/>
                <w:sz w:val="20"/>
              </w:rPr>
              <w:t>65</w:t>
            </w:r>
            <w:r>
              <w:rPr>
                <w:rFonts w:ascii="Arial Narrow" w:hAnsi="Arial Narrow"/>
                <w:sz w:val="20"/>
              </w:rPr>
              <w:t>)</w:t>
            </w:r>
          </w:p>
        </w:tc>
        <w:tc>
          <w:tcPr>
            <w:tcW w:w="1100" w:type="pct"/>
            <w:gridSpan w:val="2"/>
            <w:vAlign w:val="center"/>
          </w:tcPr>
          <w:p w:rsidR="008C3EC0" w:rsidRPr="00B07F6B" w:rsidRDefault="008C3EC0" w:rsidP="001B5283">
            <w:pPr>
              <w:keepNext/>
              <w:keepLines/>
              <w:jc w:val="center"/>
              <w:rPr>
                <w:rFonts w:ascii="Arial Narrow" w:hAnsi="Arial Narrow"/>
                <w:color w:val="000000"/>
                <w:sz w:val="20"/>
                <w:szCs w:val="18"/>
              </w:rPr>
            </w:pPr>
            <w:r w:rsidRPr="00ED2E7F">
              <w:rPr>
                <w:rFonts w:ascii="Arial Narrow" w:hAnsi="Arial Narrow"/>
                <w:color w:val="000000"/>
                <w:sz w:val="20"/>
                <w:szCs w:val="18"/>
              </w:rPr>
              <w:t>15</w:t>
            </w:r>
          </w:p>
        </w:tc>
        <w:tc>
          <w:tcPr>
            <w:tcW w:w="846" w:type="pct"/>
            <w:vAlign w:val="center"/>
          </w:tcPr>
          <w:p w:rsidR="008C3EC0" w:rsidRPr="00EF3C6A" w:rsidRDefault="008C3EC0" w:rsidP="001B5283">
            <w:pPr>
              <w:keepNext/>
              <w:keepLines/>
              <w:jc w:val="center"/>
              <w:rPr>
                <w:rFonts w:ascii="Arial Narrow" w:hAnsi="Arial Narrow"/>
                <w:sz w:val="20"/>
              </w:rPr>
            </w:pPr>
          </w:p>
        </w:tc>
      </w:tr>
      <w:tr w:rsidR="00841116" w:rsidRPr="00EF3C6A" w:rsidTr="00D7664C">
        <w:tc>
          <w:tcPr>
            <w:tcW w:w="5000" w:type="pct"/>
            <w:gridSpan w:val="6"/>
            <w:tcBorders>
              <w:top w:val="double" w:sz="4" w:space="0" w:color="auto"/>
            </w:tcBorders>
            <w:shd w:val="clear" w:color="auto" w:fill="auto"/>
            <w:vAlign w:val="center"/>
          </w:tcPr>
          <w:p w:rsidR="00841116" w:rsidRPr="00EF3C6A" w:rsidRDefault="00841116" w:rsidP="001B5283">
            <w:pPr>
              <w:keepNext/>
              <w:keepLines/>
              <w:rPr>
                <w:rFonts w:ascii="Arial Narrow" w:hAnsi="Arial Narrow"/>
                <w:color w:val="000000"/>
                <w:sz w:val="20"/>
                <w:szCs w:val="18"/>
                <w:vertAlign w:val="superscript"/>
              </w:rPr>
            </w:pPr>
            <w:r w:rsidRPr="00EF3C6A">
              <w:rPr>
                <w:rFonts w:ascii="Arial Narrow" w:hAnsi="Arial Narrow"/>
                <w:b/>
                <w:color w:val="000000"/>
                <w:sz w:val="20"/>
                <w:szCs w:val="18"/>
              </w:rPr>
              <w:t>Harms</w:t>
            </w:r>
            <w:r w:rsidR="000F55C3" w:rsidRPr="00EF3C6A">
              <w:rPr>
                <w:rFonts w:ascii="Arial Narrow" w:hAnsi="Arial Narrow"/>
                <w:b/>
                <w:color w:val="000000"/>
                <w:sz w:val="20"/>
                <w:szCs w:val="18"/>
              </w:rPr>
              <w:t xml:space="preserve"> (All treated population)</w:t>
            </w:r>
            <w:r w:rsidR="000F55C3" w:rsidRPr="00EF3C6A">
              <w:rPr>
                <w:rFonts w:ascii="Arial Narrow" w:hAnsi="Arial Narrow"/>
                <w:color w:val="000000"/>
                <w:sz w:val="20"/>
                <w:szCs w:val="18"/>
              </w:rPr>
              <w:t>*</w:t>
            </w:r>
          </w:p>
        </w:tc>
      </w:tr>
      <w:tr w:rsidR="00841116" w:rsidRPr="00EF3C6A" w:rsidTr="002C3582">
        <w:tc>
          <w:tcPr>
            <w:tcW w:w="1450" w:type="pct"/>
            <w:vMerge w:val="restart"/>
            <w:shd w:val="clear" w:color="auto" w:fill="auto"/>
            <w:vAlign w:val="center"/>
          </w:tcPr>
          <w:p w:rsidR="00841116" w:rsidRPr="00EF3C6A" w:rsidRDefault="00841116" w:rsidP="001B5283">
            <w:pPr>
              <w:keepNext/>
              <w:keepLines/>
              <w:rPr>
                <w:rFonts w:ascii="Arial Narrow" w:hAnsi="Arial Narrow"/>
                <w:color w:val="000000"/>
                <w:sz w:val="20"/>
                <w:szCs w:val="18"/>
              </w:rPr>
            </w:pPr>
          </w:p>
        </w:tc>
        <w:tc>
          <w:tcPr>
            <w:tcW w:w="737" w:type="pct"/>
            <w:vMerge w:val="restart"/>
            <w:vAlign w:val="center"/>
          </w:tcPr>
          <w:p w:rsidR="00841116" w:rsidRPr="00EF3C6A" w:rsidRDefault="00841116" w:rsidP="001B5283">
            <w:pPr>
              <w:keepNext/>
              <w:keepLines/>
              <w:jc w:val="center"/>
              <w:rPr>
                <w:rFonts w:ascii="Arial Narrow" w:hAnsi="Arial Narrow"/>
                <w:b/>
                <w:sz w:val="20"/>
              </w:rPr>
            </w:pPr>
            <w:r w:rsidRPr="00EF3C6A">
              <w:rPr>
                <w:rFonts w:ascii="Arial Narrow" w:hAnsi="Arial Narrow"/>
                <w:b/>
                <w:sz w:val="20"/>
              </w:rPr>
              <w:t>NIVO+IPI</w:t>
            </w:r>
          </w:p>
          <w:p w:rsidR="00841116" w:rsidRPr="00EF3C6A" w:rsidRDefault="00841116" w:rsidP="001B5283">
            <w:pPr>
              <w:keepNext/>
              <w:keepLines/>
              <w:jc w:val="center"/>
              <w:rPr>
                <w:rFonts w:ascii="Arial Narrow" w:hAnsi="Arial Narrow"/>
                <w:sz w:val="20"/>
              </w:rPr>
            </w:pPr>
            <w:r w:rsidRPr="00EF3C6A">
              <w:rPr>
                <w:rFonts w:ascii="Arial Narrow" w:hAnsi="Arial Narrow"/>
                <w:b/>
                <w:sz w:val="20"/>
              </w:rPr>
              <w:t>N=547</w:t>
            </w:r>
          </w:p>
        </w:tc>
        <w:tc>
          <w:tcPr>
            <w:tcW w:w="868" w:type="pct"/>
            <w:vMerge w:val="restart"/>
            <w:vAlign w:val="center"/>
          </w:tcPr>
          <w:p w:rsidR="00841116" w:rsidRPr="00EF3C6A" w:rsidRDefault="00841116" w:rsidP="001B5283">
            <w:pPr>
              <w:keepNext/>
              <w:keepLines/>
              <w:jc w:val="center"/>
              <w:rPr>
                <w:rFonts w:ascii="Arial Narrow" w:hAnsi="Arial Narrow"/>
                <w:b/>
                <w:sz w:val="20"/>
              </w:rPr>
            </w:pPr>
            <w:proofErr w:type="spellStart"/>
            <w:r w:rsidRPr="00EF3C6A">
              <w:rPr>
                <w:rFonts w:ascii="Arial Narrow" w:hAnsi="Arial Narrow"/>
                <w:b/>
                <w:sz w:val="20"/>
              </w:rPr>
              <w:t>Sunitinib</w:t>
            </w:r>
            <w:proofErr w:type="spellEnd"/>
          </w:p>
          <w:p w:rsidR="00841116" w:rsidRPr="00EF3C6A" w:rsidRDefault="00841116" w:rsidP="001B5283">
            <w:pPr>
              <w:keepNext/>
              <w:keepLines/>
              <w:jc w:val="center"/>
              <w:rPr>
                <w:rFonts w:ascii="Arial Narrow" w:hAnsi="Arial Narrow"/>
                <w:sz w:val="20"/>
              </w:rPr>
            </w:pPr>
            <w:r w:rsidRPr="00EF3C6A">
              <w:rPr>
                <w:rFonts w:ascii="Arial Narrow" w:hAnsi="Arial Narrow"/>
                <w:b/>
                <w:sz w:val="20"/>
              </w:rPr>
              <w:t>N=535</w:t>
            </w:r>
          </w:p>
        </w:tc>
        <w:tc>
          <w:tcPr>
            <w:tcW w:w="1100" w:type="pct"/>
            <w:gridSpan w:val="2"/>
            <w:vAlign w:val="center"/>
          </w:tcPr>
          <w:p w:rsidR="00841116" w:rsidRPr="00EF3C6A" w:rsidRDefault="00841116" w:rsidP="001B5283">
            <w:pPr>
              <w:keepNext/>
              <w:keepLines/>
              <w:jc w:val="center"/>
              <w:rPr>
                <w:rFonts w:ascii="Arial Narrow" w:hAnsi="Arial Narrow"/>
                <w:b/>
                <w:color w:val="000000"/>
                <w:sz w:val="20"/>
                <w:szCs w:val="18"/>
              </w:rPr>
            </w:pPr>
            <w:r w:rsidRPr="00EF3C6A">
              <w:rPr>
                <w:rFonts w:ascii="Arial Narrow" w:hAnsi="Arial Narrow"/>
                <w:b/>
                <w:color w:val="000000"/>
                <w:sz w:val="20"/>
                <w:szCs w:val="18"/>
              </w:rPr>
              <w:t>Event rate/100 patients</w:t>
            </w:r>
          </w:p>
        </w:tc>
        <w:tc>
          <w:tcPr>
            <w:tcW w:w="846" w:type="pct"/>
            <w:vMerge w:val="restart"/>
            <w:vAlign w:val="center"/>
          </w:tcPr>
          <w:p w:rsidR="00841116" w:rsidRPr="00EF3C6A" w:rsidRDefault="00841116" w:rsidP="001B5283">
            <w:pPr>
              <w:keepNext/>
              <w:keepLines/>
              <w:jc w:val="center"/>
              <w:rPr>
                <w:rFonts w:ascii="Arial Narrow" w:hAnsi="Arial Narrow"/>
                <w:b/>
                <w:color w:val="000000"/>
                <w:sz w:val="20"/>
                <w:szCs w:val="18"/>
              </w:rPr>
            </w:pPr>
            <w:r w:rsidRPr="00EF3C6A">
              <w:rPr>
                <w:rFonts w:ascii="Arial Narrow" w:hAnsi="Arial Narrow"/>
                <w:b/>
                <w:color w:val="000000"/>
                <w:sz w:val="20"/>
                <w:szCs w:val="18"/>
              </w:rPr>
              <w:t>RD% (95% CI)</w:t>
            </w:r>
          </w:p>
        </w:tc>
      </w:tr>
      <w:tr w:rsidR="00841116" w:rsidRPr="00EF3C6A" w:rsidTr="002C3582">
        <w:tc>
          <w:tcPr>
            <w:tcW w:w="1450" w:type="pct"/>
            <w:vMerge/>
            <w:shd w:val="clear" w:color="auto" w:fill="auto"/>
            <w:vAlign w:val="center"/>
          </w:tcPr>
          <w:p w:rsidR="00841116" w:rsidRPr="00EF3C6A" w:rsidRDefault="00841116" w:rsidP="001B5283">
            <w:pPr>
              <w:keepNext/>
              <w:keepLines/>
              <w:rPr>
                <w:rFonts w:ascii="Arial Narrow" w:hAnsi="Arial Narrow"/>
                <w:color w:val="000000"/>
                <w:sz w:val="20"/>
                <w:szCs w:val="18"/>
              </w:rPr>
            </w:pPr>
          </w:p>
        </w:tc>
        <w:tc>
          <w:tcPr>
            <w:tcW w:w="737" w:type="pct"/>
            <w:vMerge/>
            <w:vAlign w:val="center"/>
          </w:tcPr>
          <w:p w:rsidR="00841116" w:rsidRPr="00EF3C6A" w:rsidRDefault="00841116" w:rsidP="001B5283">
            <w:pPr>
              <w:keepNext/>
              <w:keepLines/>
              <w:jc w:val="center"/>
              <w:rPr>
                <w:rFonts w:ascii="Arial Narrow" w:hAnsi="Arial Narrow"/>
                <w:color w:val="000000"/>
                <w:sz w:val="20"/>
                <w:szCs w:val="18"/>
              </w:rPr>
            </w:pPr>
          </w:p>
        </w:tc>
        <w:tc>
          <w:tcPr>
            <w:tcW w:w="868" w:type="pct"/>
            <w:vMerge/>
            <w:vAlign w:val="center"/>
          </w:tcPr>
          <w:p w:rsidR="00841116" w:rsidRPr="00EF3C6A" w:rsidRDefault="00841116" w:rsidP="001B5283">
            <w:pPr>
              <w:keepNext/>
              <w:keepLines/>
              <w:jc w:val="center"/>
              <w:rPr>
                <w:rFonts w:ascii="Arial Narrow" w:hAnsi="Arial Narrow"/>
                <w:color w:val="000000"/>
                <w:sz w:val="20"/>
                <w:szCs w:val="18"/>
              </w:rPr>
            </w:pPr>
          </w:p>
        </w:tc>
        <w:tc>
          <w:tcPr>
            <w:tcW w:w="546" w:type="pct"/>
            <w:vAlign w:val="center"/>
          </w:tcPr>
          <w:p w:rsidR="00841116" w:rsidRPr="00EF3C6A" w:rsidRDefault="00841116" w:rsidP="001B5283">
            <w:pPr>
              <w:keepNext/>
              <w:keepLines/>
              <w:jc w:val="center"/>
              <w:rPr>
                <w:rFonts w:ascii="Arial Narrow" w:hAnsi="Arial Narrow"/>
                <w:b/>
                <w:color w:val="000000"/>
                <w:sz w:val="20"/>
                <w:szCs w:val="18"/>
              </w:rPr>
            </w:pPr>
            <w:r w:rsidRPr="00EF3C6A">
              <w:rPr>
                <w:rFonts w:ascii="Arial Narrow" w:hAnsi="Arial Narrow"/>
                <w:b/>
                <w:color w:val="000000"/>
                <w:sz w:val="20"/>
                <w:szCs w:val="18"/>
              </w:rPr>
              <w:t>NIVO+IPI</w:t>
            </w:r>
          </w:p>
        </w:tc>
        <w:tc>
          <w:tcPr>
            <w:tcW w:w="554" w:type="pct"/>
            <w:vAlign w:val="center"/>
          </w:tcPr>
          <w:p w:rsidR="00841116" w:rsidRPr="00EF3C6A" w:rsidRDefault="00841116" w:rsidP="001B5283">
            <w:pPr>
              <w:keepNext/>
              <w:keepLines/>
              <w:jc w:val="center"/>
              <w:rPr>
                <w:rFonts w:ascii="Arial Narrow" w:hAnsi="Arial Narrow"/>
                <w:b/>
                <w:color w:val="000000"/>
                <w:sz w:val="20"/>
                <w:szCs w:val="18"/>
              </w:rPr>
            </w:pPr>
            <w:proofErr w:type="spellStart"/>
            <w:r w:rsidRPr="00EF3C6A">
              <w:rPr>
                <w:rFonts w:ascii="Arial Narrow" w:hAnsi="Arial Narrow"/>
                <w:b/>
                <w:color w:val="000000"/>
                <w:sz w:val="20"/>
                <w:szCs w:val="18"/>
              </w:rPr>
              <w:t>Sunitinib</w:t>
            </w:r>
            <w:proofErr w:type="spellEnd"/>
          </w:p>
        </w:tc>
        <w:tc>
          <w:tcPr>
            <w:tcW w:w="846" w:type="pct"/>
            <w:vMerge/>
            <w:vAlign w:val="center"/>
          </w:tcPr>
          <w:p w:rsidR="00841116" w:rsidRPr="00EF3C6A" w:rsidRDefault="00841116" w:rsidP="001B5283">
            <w:pPr>
              <w:keepNext/>
              <w:keepLines/>
              <w:jc w:val="center"/>
              <w:rPr>
                <w:rFonts w:ascii="Arial Narrow" w:hAnsi="Arial Narrow"/>
                <w:color w:val="000000"/>
                <w:sz w:val="20"/>
                <w:szCs w:val="18"/>
              </w:rPr>
            </w:pPr>
          </w:p>
        </w:tc>
      </w:tr>
      <w:tr w:rsidR="00654FF3" w:rsidRPr="00EF3C6A" w:rsidTr="002C3582">
        <w:tc>
          <w:tcPr>
            <w:tcW w:w="1450" w:type="pct"/>
            <w:shd w:val="clear" w:color="auto" w:fill="auto"/>
          </w:tcPr>
          <w:p w:rsidR="00654FF3" w:rsidRPr="00EF3C6A" w:rsidRDefault="00654FF3" w:rsidP="00654FF3">
            <w:pPr>
              <w:keepNext/>
              <w:keepLines/>
              <w:rPr>
                <w:rFonts w:ascii="Arial Narrow" w:hAnsi="Arial Narrow"/>
                <w:color w:val="000000"/>
                <w:sz w:val="20"/>
                <w:szCs w:val="18"/>
              </w:rPr>
            </w:pPr>
            <w:r w:rsidRPr="00EF3C6A">
              <w:rPr>
                <w:rFonts w:ascii="Arial Narrow" w:hAnsi="Arial Narrow"/>
                <w:color w:val="000000"/>
                <w:sz w:val="20"/>
                <w:szCs w:val="18"/>
              </w:rPr>
              <w:t>Drug-related AEs (any grade) leading to drug discontinuation</w:t>
            </w:r>
          </w:p>
        </w:tc>
        <w:tc>
          <w:tcPr>
            <w:tcW w:w="737" w:type="pct"/>
            <w:vAlign w:val="center"/>
          </w:tcPr>
          <w:p w:rsidR="00654FF3" w:rsidRPr="00EF3C6A" w:rsidRDefault="00654FF3" w:rsidP="001B5283">
            <w:pPr>
              <w:keepNext/>
              <w:keepLines/>
              <w:jc w:val="center"/>
              <w:rPr>
                <w:rFonts w:ascii="Arial Narrow" w:hAnsi="Arial Narrow"/>
                <w:sz w:val="20"/>
              </w:rPr>
            </w:pPr>
            <w:r w:rsidRPr="00EF3C6A">
              <w:rPr>
                <w:rFonts w:ascii="Arial Narrow" w:hAnsi="Arial Narrow"/>
                <w:sz w:val="20"/>
              </w:rPr>
              <w:t>118 (21.6)</w:t>
            </w:r>
          </w:p>
        </w:tc>
        <w:tc>
          <w:tcPr>
            <w:tcW w:w="868" w:type="pct"/>
            <w:vAlign w:val="center"/>
          </w:tcPr>
          <w:p w:rsidR="00654FF3" w:rsidRPr="00EF3C6A" w:rsidRDefault="00654FF3" w:rsidP="001B5283">
            <w:pPr>
              <w:keepNext/>
              <w:keepLines/>
              <w:jc w:val="center"/>
              <w:rPr>
                <w:rFonts w:ascii="Arial Narrow" w:hAnsi="Arial Narrow"/>
                <w:sz w:val="20"/>
              </w:rPr>
            </w:pPr>
            <w:r w:rsidRPr="00EF3C6A">
              <w:rPr>
                <w:rFonts w:ascii="Arial Narrow" w:hAnsi="Arial Narrow"/>
                <w:sz w:val="20"/>
              </w:rPr>
              <w:t>63 (11.8)</w:t>
            </w:r>
          </w:p>
        </w:tc>
        <w:tc>
          <w:tcPr>
            <w:tcW w:w="546" w:type="pct"/>
            <w:vAlign w:val="center"/>
          </w:tcPr>
          <w:p w:rsidR="00654FF3" w:rsidRPr="00EF3C6A" w:rsidRDefault="00654FF3" w:rsidP="001B5283">
            <w:pPr>
              <w:keepNext/>
              <w:keepLines/>
              <w:jc w:val="center"/>
              <w:rPr>
                <w:rFonts w:ascii="Arial Narrow" w:hAnsi="Arial Narrow"/>
                <w:color w:val="000000"/>
                <w:sz w:val="20"/>
                <w:szCs w:val="18"/>
              </w:rPr>
            </w:pPr>
            <w:r w:rsidRPr="00EF3C6A">
              <w:rPr>
                <w:rFonts w:ascii="Arial Narrow" w:hAnsi="Arial Narrow"/>
                <w:sz w:val="20"/>
              </w:rPr>
              <w:t>21.6</w:t>
            </w:r>
          </w:p>
        </w:tc>
        <w:tc>
          <w:tcPr>
            <w:tcW w:w="554" w:type="pct"/>
            <w:vAlign w:val="center"/>
          </w:tcPr>
          <w:p w:rsidR="00654FF3" w:rsidRPr="00EF3C6A" w:rsidRDefault="00654FF3" w:rsidP="001B5283">
            <w:pPr>
              <w:keepNext/>
              <w:keepLines/>
              <w:jc w:val="center"/>
              <w:rPr>
                <w:rFonts w:ascii="Arial Narrow" w:hAnsi="Arial Narrow"/>
                <w:color w:val="000000"/>
                <w:sz w:val="20"/>
                <w:szCs w:val="18"/>
              </w:rPr>
            </w:pPr>
            <w:r w:rsidRPr="00EF3C6A">
              <w:rPr>
                <w:rFonts w:ascii="Arial Narrow" w:hAnsi="Arial Narrow"/>
                <w:color w:val="000000"/>
                <w:sz w:val="20"/>
                <w:szCs w:val="18"/>
              </w:rPr>
              <w:t>11.8</w:t>
            </w:r>
          </w:p>
        </w:tc>
        <w:tc>
          <w:tcPr>
            <w:tcW w:w="846" w:type="pct"/>
            <w:vAlign w:val="center"/>
          </w:tcPr>
          <w:p w:rsidR="00654FF3" w:rsidRPr="00EF3C6A" w:rsidRDefault="00654FF3" w:rsidP="00654FF3">
            <w:pPr>
              <w:keepNext/>
              <w:keepLines/>
              <w:jc w:val="center"/>
              <w:rPr>
                <w:rFonts w:ascii="Arial Narrow" w:hAnsi="Arial Narrow"/>
                <w:color w:val="000000"/>
                <w:sz w:val="20"/>
                <w:szCs w:val="18"/>
              </w:rPr>
            </w:pPr>
            <w:r w:rsidRPr="00EF3C6A">
              <w:rPr>
                <w:rFonts w:ascii="Arial Narrow" w:hAnsi="Arial Narrow"/>
                <w:color w:val="000000"/>
                <w:sz w:val="20"/>
                <w:szCs w:val="18"/>
              </w:rPr>
              <w:t>10 (5, 14)</w:t>
            </w:r>
          </w:p>
        </w:tc>
      </w:tr>
      <w:tr w:rsidR="00841116" w:rsidRPr="00EF3C6A" w:rsidTr="002C3582">
        <w:tc>
          <w:tcPr>
            <w:tcW w:w="1450" w:type="pct"/>
            <w:shd w:val="clear" w:color="auto" w:fill="auto"/>
          </w:tcPr>
          <w:p w:rsidR="00841116" w:rsidRPr="00EF3C6A" w:rsidRDefault="00841116" w:rsidP="001B5283">
            <w:pPr>
              <w:keepNext/>
              <w:keepLines/>
              <w:rPr>
                <w:rFonts w:ascii="Arial Narrow" w:hAnsi="Arial Narrow"/>
                <w:sz w:val="20"/>
              </w:rPr>
            </w:pPr>
            <w:r w:rsidRPr="00EF3C6A">
              <w:rPr>
                <w:rFonts w:ascii="Arial Narrow" w:hAnsi="Arial Narrow"/>
                <w:sz w:val="20"/>
              </w:rPr>
              <w:t>Drug related SAEs Grade 3-4</w:t>
            </w:r>
          </w:p>
        </w:tc>
        <w:tc>
          <w:tcPr>
            <w:tcW w:w="737" w:type="pct"/>
            <w:vAlign w:val="center"/>
          </w:tcPr>
          <w:p w:rsidR="00841116" w:rsidRPr="00EF3C6A" w:rsidRDefault="00841116" w:rsidP="001B5283">
            <w:pPr>
              <w:keepNext/>
              <w:keepLines/>
              <w:jc w:val="center"/>
              <w:rPr>
                <w:rFonts w:ascii="Arial Narrow" w:hAnsi="Arial Narrow"/>
                <w:sz w:val="20"/>
              </w:rPr>
            </w:pPr>
            <w:r w:rsidRPr="00EF3C6A">
              <w:rPr>
                <w:rFonts w:ascii="Arial Narrow" w:hAnsi="Arial Narrow"/>
                <w:sz w:val="20"/>
              </w:rPr>
              <w:t>121 (22.1)</w:t>
            </w:r>
          </w:p>
        </w:tc>
        <w:tc>
          <w:tcPr>
            <w:tcW w:w="868" w:type="pct"/>
            <w:vAlign w:val="center"/>
          </w:tcPr>
          <w:p w:rsidR="00841116" w:rsidRPr="00EF3C6A" w:rsidRDefault="00841116" w:rsidP="001B5283">
            <w:pPr>
              <w:keepNext/>
              <w:keepLines/>
              <w:jc w:val="center"/>
              <w:rPr>
                <w:rFonts w:ascii="Arial Narrow" w:hAnsi="Arial Narrow"/>
                <w:sz w:val="20"/>
              </w:rPr>
            </w:pPr>
            <w:r w:rsidRPr="00EF3C6A">
              <w:rPr>
                <w:rFonts w:ascii="Arial Narrow" w:hAnsi="Arial Narrow"/>
                <w:sz w:val="20"/>
              </w:rPr>
              <w:t>64 (12.0)</w:t>
            </w:r>
          </w:p>
        </w:tc>
        <w:tc>
          <w:tcPr>
            <w:tcW w:w="546" w:type="pct"/>
            <w:vAlign w:val="center"/>
          </w:tcPr>
          <w:p w:rsidR="00841116" w:rsidRPr="00EF3C6A" w:rsidRDefault="00841116" w:rsidP="001B5283">
            <w:pPr>
              <w:keepNext/>
              <w:keepLines/>
              <w:jc w:val="center"/>
              <w:rPr>
                <w:rFonts w:ascii="Arial Narrow" w:hAnsi="Arial Narrow"/>
                <w:color w:val="000000"/>
                <w:sz w:val="20"/>
                <w:szCs w:val="18"/>
              </w:rPr>
            </w:pPr>
            <w:r w:rsidRPr="00EF3C6A">
              <w:rPr>
                <w:rFonts w:ascii="Arial Narrow" w:hAnsi="Arial Narrow"/>
                <w:color w:val="000000"/>
                <w:sz w:val="20"/>
                <w:szCs w:val="18"/>
              </w:rPr>
              <w:t>22.1</w:t>
            </w:r>
          </w:p>
        </w:tc>
        <w:tc>
          <w:tcPr>
            <w:tcW w:w="554" w:type="pct"/>
            <w:vAlign w:val="center"/>
          </w:tcPr>
          <w:p w:rsidR="00841116" w:rsidRPr="00EF3C6A" w:rsidRDefault="00841116" w:rsidP="001B5283">
            <w:pPr>
              <w:keepNext/>
              <w:keepLines/>
              <w:jc w:val="center"/>
              <w:rPr>
                <w:rFonts w:ascii="Arial Narrow" w:hAnsi="Arial Narrow"/>
                <w:color w:val="000000"/>
                <w:sz w:val="20"/>
                <w:szCs w:val="18"/>
              </w:rPr>
            </w:pPr>
            <w:r w:rsidRPr="00EF3C6A">
              <w:rPr>
                <w:rFonts w:ascii="Arial Narrow" w:hAnsi="Arial Narrow"/>
                <w:color w:val="000000"/>
                <w:sz w:val="20"/>
                <w:szCs w:val="18"/>
              </w:rPr>
              <w:t>12.0</w:t>
            </w:r>
          </w:p>
        </w:tc>
        <w:tc>
          <w:tcPr>
            <w:tcW w:w="846" w:type="pct"/>
            <w:vAlign w:val="center"/>
          </w:tcPr>
          <w:p w:rsidR="00841116" w:rsidRPr="00EF3C6A" w:rsidRDefault="00841116" w:rsidP="001B5283">
            <w:pPr>
              <w:keepNext/>
              <w:keepLines/>
              <w:jc w:val="center"/>
              <w:rPr>
                <w:rFonts w:ascii="Arial Narrow" w:hAnsi="Arial Narrow"/>
                <w:sz w:val="20"/>
              </w:rPr>
            </w:pPr>
            <w:r w:rsidRPr="00EF3C6A">
              <w:rPr>
                <w:rFonts w:ascii="Arial Narrow" w:hAnsi="Arial Narrow"/>
                <w:sz w:val="20"/>
              </w:rPr>
              <w:t>10 (6, 15)</w:t>
            </w:r>
          </w:p>
        </w:tc>
      </w:tr>
    </w:tbl>
    <w:p w:rsidR="00841116" w:rsidRPr="00EF3C6A" w:rsidRDefault="00B20DDA" w:rsidP="001B5283">
      <w:pPr>
        <w:pStyle w:val="TableFooter"/>
        <w:keepNext/>
        <w:keepLines/>
        <w:rPr>
          <w:rStyle w:val="CommentReference"/>
          <w:b w:val="0"/>
          <w:sz w:val="18"/>
          <w:szCs w:val="22"/>
        </w:rPr>
      </w:pPr>
      <w:r w:rsidRPr="00EF3C6A">
        <w:rPr>
          <w:rStyle w:val="CommentReference"/>
          <w:b w:val="0"/>
          <w:sz w:val="18"/>
          <w:szCs w:val="22"/>
        </w:rPr>
        <w:t>*</w:t>
      </w:r>
      <w:r w:rsidR="000F55C3" w:rsidRPr="00EF3C6A">
        <w:rPr>
          <w:rStyle w:val="CommentReference"/>
          <w:b w:val="0"/>
          <w:sz w:val="18"/>
          <w:szCs w:val="22"/>
        </w:rPr>
        <w:t xml:space="preserve"> Reported from the first dose and up to and including 100 days following the last dose of study</w:t>
      </w:r>
    </w:p>
    <w:p w:rsidR="00841116" w:rsidRPr="00EF3C6A" w:rsidRDefault="00841116" w:rsidP="001B5283">
      <w:pPr>
        <w:pStyle w:val="TableFooter"/>
        <w:keepNext/>
        <w:keepLines/>
        <w:rPr>
          <w:rStyle w:val="CommentReference"/>
          <w:b w:val="0"/>
          <w:sz w:val="18"/>
          <w:szCs w:val="22"/>
        </w:rPr>
      </w:pPr>
      <w:r w:rsidRPr="00EF3C6A">
        <w:rPr>
          <w:rStyle w:val="CommentReference"/>
          <w:b w:val="0"/>
          <w:sz w:val="18"/>
          <w:szCs w:val="22"/>
        </w:rPr>
        <w:t>Abbreviations: AE = adverse event; SAE = serious adverse event</w:t>
      </w:r>
      <w:r w:rsidR="00E81ABC" w:rsidRPr="00EF3C6A">
        <w:rPr>
          <w:rStyle w:val="CommentReference"/>
          <w:b w:val="0"/>
          <w:sz w:val="18"/>
          <w:szCs w:val="22"/>
        </w:rPr>
        <w:t xml:space="preserve">; NIVO+IPI = nivolumab in combination with </w:t>
      </w:r>
      <w:proofErr w:type="spellStart"/>
      <w:r w:rsidR="00E81ABC" w:rsidRPr="00EF3C6A">
        <w:rPr>
          <w:rStyle w:val="CommentReference"/>
          <w:b w:val="0"/>
          <w:sz w:val="18"/>
          <w:szCs w:val="22"/>
        </w:rPr>
        <w:t>ipilimumab</w:t>
      </w:r>
      <w:proofErr w:type="spellEnd"/>
      <w:r w:rsidR="00E81ABC" w:rsidRPr="00EF3C6A">
        <w:rPr>
          <w:rStyle w:val="CommentReference"/>
          <w:b w:val="0"/>
          <w:sz w:val="18"/>
          <w:szCs w:val="22"/>
        </w:rPr>
        <w:t>; OS = overall survival; HR = hazard ratio; CI = confidence interval; RD = risk difference.</w:t>
      </w:r>
    </w:p>
    <w:p w:rsidR="00841116" w:rsidRPr="00EF3C6A" w:rsidRDefault="00841116" w:rsidP="001B5283">
      <w:pPr>
        <w:pStyle w:val="TableFooter"/>
        <w:keepNext/>
        <w:keepLines/>
        <w:rPr>
          <w:rStyle w:val="CommentReference"/>
          <w:b w:val="0"/>
          <w:sz w:val="18"/>
          <w:szCs w:val="22"/>
        </w:rPr>
      </w:pPr>
      <w:r w:rsidRPr="00EF3C6A">
        <w:rPr>
          <w:rStyle w:val="CommentReference"/>
          <w:b w:val="0"/>
          <w:sz w:val="18"/>
          <w:szCs w:val="22"/>
        </w:rPr>
        <w:t>Source: compiled during the evaluation based on Table 44, p 78, and Table 51, p 92 of the submission and protocol Study CA209214 p 10</w:t>
      </w:r>
      <w:r w:rsidR="008C3EC0">
        <w:rPr>
          <w:rStyle w:val="CommentReference"/>
          <w:b w:val="0"/>
          <w:sz w:val="18"/>
          <w:szCs w:val="22"/>
        </w:rPr>
        <w:t xml:space="preserve">, Figure 1, p. 1282 Motzer et al, </w:t>
      </w:r>
      <w:r w:rsidR="00B861F6">
        <w:rPr>
          <w:rStyle w:val="CommentReference"/>
          <w:b w:val="0"/>
          <w:sz w:val="18"/>
          <w:szCs w:val="22"/>
        </w:rPr>
        <w:t>New England Journal of Medicine, 2018</w:t>
      </w:r>
      <w:r w:rsidRPr="00EF3C6A">
        <w:rPr>
          <w:rStyle w:val="CommentReference"/>
          <w:b w:val="0"/>
          <w:sz w:val="18"/>
          <w:szCs w:val="22"/>
        </w:rPr>
        <w:t>.</w:t>
      </w:r>
    </w:p>
    <w:p w:rsidR="002748DF" w:rsidRPr="00EF3C6A" w:rsidRDefault="002748DF" w:rsidP="00841116">
      <w:pPr>
        <w:pStyle w:val="TableFooter"/>
        <w:rPr>
          <w:rStyle w:val="CommentReference"/>
          <w:b w:val="0"/>
          <w:sz w:val="18"/>
          <w:szCs w:val="22"/>
        </w:rPr>
      </w:pPr>
    </w:p>
    <w:p w:rsidR="001F294C" w:rsidRPr="00EF3C6A" w:rsidRDefault="001F294C" w:rsidP="001F294C">
      <w:pPr>
        <w:pStyle w:val="ListParagraph"/>
        <w:widowControl/>
        <w:numPr>
          <w:ilvl w:val="1"/>
          <w:numId w:val="3"/>
        </w:numPr>
        <w:spacing w:after="0"/>
      </w:pPr>
      <w:r w:rsidRPr="00EF3C6A">
        <w:t xml:space="preserve">On the basis of </w:t>
      </w:r>
      <w:r w:rsidR="00293859" w:rsidRPr="00EF3C6A">
        <w:t xml:space="preserve">the </w:t>
      </w:r>
      <w:r w:rsidRPr="00EF3C6A">
        <w:t xml:space="preserve">direct evidence </w:t>
      </w:r>
      <w:r w:rsidR="00293859" w:rsidRPr="00EF3C6A">
        <w:t>(</w:t>
      </w:r>
      <w:r w:rsidRPr="00EF3C6A">
        <w:t>CA209214</w:t>
      </w:r>
      <w:r w:rsidR="00293859" w:rsidRPr="00EF3C6A">
        <w:t>)</w:t>
      </w:r>
      <w:r w:rsidRPr="00EF3C6A">
        <w:t xml:space="preserve"> presented </w:t>
      </w:r>
      <w:r w:rsidR="00293859" w:rsidRPr="00EF3C6A">
        <w:t>in</w:t>
      </w:r>
      <w:r w:rsidRPr="00EF3C6A">
        <w:t xml:space="preserve"> the submission, for every 100 patients </w:t>
      </w:r>
      <w:r w:rsidR="00237804" w:rsidRPr="00EF3C6A">
        <w:t xml:space="preserve">with intermediate/poor risk </w:t>
      </w:r>
      <w:r w:rsidRPr="00EF3C6A">
        <w:t xml:space="preserve">treated with NIVO+IPI in comparison to </w:t>
      </w:r>
      <w:proofErr w:type="spellStart"/>
      <w:r w:rsidRPr="00EF3C6A">
        <w:t>sunitinib</w:t>
      </w:r>
      <w:proofErr w:type="spellEnd"/>
      <w:r w:rsidRPr="00EF3C6A">
        <w:t xml:space="preserve">, </w:t>
      </w:r>
    </w:p>
    <w:p w:rsidR="001F294C" w:rsidRPr="00EF3C6A" w:rsidRDefault="001F294C" w:rsidP="001F294C">
      <w:pPr>
        <w:pStyle w:val="ListParagraph"/>
        <w:widowControl/>
        <w:numPr>
          <w:ilvl w:val="0"/>
          <w:numId w:val="2"/>
        </w:numPr>
        <w:spacing w:after="0"/>
        <w:ind w:left="993" w:hanging="284"/>
      </w:pPr>
      <w:r w:rsidRPr="00EF3C6A">
        <w:t xml:space="preserve">Approximately 8 additional patients </w:t>
      </w:r>
      <w:r w:rsidR="0062338A" w:rsidRPr="00EF3C6A">
        <w:t xml:space="preserve">will be </w:t>
      </w:r>
      <w:r w:rsidRPr="00EF3C6A">
        <w:t>alive at 12 months,</w:t>
      </w:r>
    </w:p>
    <w:p w:rsidR="005E34CB" w:rsidRPr="00EF3C6A" w:rsidRDefault="001F294C" w:rsidP="00435BE9">
      <w:pPr>
        <w:pStyle w:val="ListParagraph"/>
        <w:widowControl/>
        <w:numPr>
          <w:ilvl w:val="0"/>
          <w:numId w:val="2"/>
        </w:numPr>
        <w:spacing w:after="0"/>
        <w:ind w:left="993" w:hanging="284"/>
      </w:pPr>
      <w:r w:rsidRPr="00EF3C6A">
        <w:t xml:space="preserve">Approximately </w:t>
      </w:r>
      <w:r w:rsidR="00654FF3" w:rsidRPr="00EF3C6A">
        <w:t>10</w:t>
      </w:r>
      <w:r w:rsidRPr="00EF3C6A">
        <w:t xml:space="preserve"> additional patients</w:t>
      </w:r>
      <w:bookmarkStart w:id="10" w:name="_Ref513445442"/>
      <w:r w:rsidR="00237804" w:rsidRPr="00EF3C6A">
        <w:rPr>
          <w:rStyle w:val="FootnoteReference"/>
        </w:rPr>
        <w:footnoteReference w:id="6"/>
      </w:r>
      <w:bookmarkEnd w:id="10"/>
      <w:r w:rsidRPr="00EF3C6A">
        <w:t xml:space="preserve"> </w:t>
      </w:r>
      <w:r w:rsidR="00B712F6" w:rsidRPr="00EF3C6A">
        <w:t xml:space="preserve">will </w:t>
      </w:r>
      <w:r w:rsidRPr="00EF3C6A">
        <w:t>experienc</w:t>
      </w:r>
      <w:r w:rsidR="00B712F6" w:rsidRPr="00EF3C6A">
        <w:t>e</w:t>
      </w:r>
      <w:r w:rsidRPr="00EF3C6A">
        <w:t xml:space="preserve"> a</w:t>
      </w:r>
      <w:r w:rsidR="00654FF3" w:rsidRPr="00EF3C6A">
        <w:t xml:space="preserve"> drug-related</w:t>
      </w:r>
      <w:r w:rsidRPr="00EF3C6A">
        <w:t xml:space="preserve"> AE that lead</w:t>
      </w:r>
      <w:r w:rsidR="00B712F6" w:rsidRPr="00EF3C6A">
        <w:t>s</w:t>
      </w:r>
      <w:r w:rsidRPr="00EF3C6A">
        <w:t xml:space="preserve"> to drug discontinuation over the median duration of follow-up of </w:t>
      </w:r>
      <w:r w:rsidR="00B07F6B">
        <w:rPr>
          <w:noProof/>
          <w:color w:val="000000"/>
          <w:highlight w:val="black"/>
        </w:rPr>
        <w:t>'''''</w:t>
      </w:r>
      <w:r w:rsidRPr="00EF3C6A">
        <w:t xml:space="preserve"> months,</w:t>
      </w:r>
      <w:r w:rsidR="006A640C" w:rsidRPr="00EF3C6A">
        <w:t xml:space="preserve"> </w:t>
      </w:r>
    </w:p>
    <w:p w:rsidR="001F294C" w:rsidRPr="00EF3C6A" w:rsidRDefault="001F294C" w:rsidP="00160ED7">
      <w:pPr>
        <w:pStyle w:val="ListParagraph"/>
        <w:widowControl/>
        <w:numPr>
          <w:ilvl w:val="0"/>
          <w:numId w:val="2"/>
        </w:numPr>
        <w:spacing w:after="0"/>
        <w:ind w:left="993" w:hanging="284"/>
      </w:pPr>
      <w:r w:rsidRPr="00EF3C6A">
        <w:t>Approximately 10 add</w:t>
      </w:r>
      <w:r w:rsidR="005A5990" w:rsidRPr="00EF3C6A">
        <w:t xml:space="preserve">itional </w:t>
      </w:r>
      <w:proofErr w:type="spellStart"/>
      <w:r w:rsidR="005A5990" w:rsidRPr="00EF3C6A">
        <w:t>patients</w:t>
      </w:r>
      <w:r w:rsidR="00575294">
        <w:rPr>
          <w:vertAlign w:val="superscript"/>
        </w:rPr>
        <w:t>f</w:t>
      </w:r>
      <w:proofErr w:type="spellEnd"/>
      <w:r w:rsidRPr="00EF3C6A">
        <w:t xml:space="preserve"> </w:t>
      </w:r>
      <w:r w:rsidR="00B712F6" w:rsidRPr="00EF3C6A">
        <w:t xml:space="preserve">will </w:t>
      </w:r>
      <w:r w:rsidRPr="00EF3C6A">
        <w:t>experienc</w:t>
      </w:r>
      <w:r w:rsidR="00B712F6" w:rsidRPr="00EF3C6A">
        <w:t>e</w:t>
      </w:r>
      <w:r w:rsidRPr="00EF3C6A">
        <w:t xml:space="preserve"> a drug-related Grade 3-4 SAE over the median duration of follow-up of </w:t>
      </w:r>
      <w:r w:rsidR="00B07F6B">
        <w:rPr>
          <w:noProof/>
          <w:color w:val="000000"/>
          <w:highlight w:val="black"/>
        </w:rPr>
        <w:t>''''''</w:t>
      </w:r>
      <w:r w:rsidRPr="00EF3C6A">
        <w:t xml:space="preserve"> months.</w:t>
      </w:r>
      <w:r w:rsidR="006A640C" w:rsidRPr="00EF3C6A">
        <w:t xml:space="preserve"> </w:t>
      </w:r>
    </w:p>
    <w:p w:rsidR="001F294C" w:rsidRPr="006068C2" w:rsidRDefault="001F294C" w:rsidP="00160ED7">
      <w:pPr>
        <w:pStyle w:val="Heading2"/>
        <w:spacing w:before="240" w:after="120"/>
      </w:pPr>
      <w:bookmarkStart w:id="11" w:name="_Toc514248490"/>
      <w:r w:rsidRPr="006068C2">
        <w:t>Clinical claim</w:t>
      </w:r>
      <w:bookmarkEnd w:id="11"/>
    </w:p>
    <w:p w:rsidR="001F294C" w:rsidRPr="00EF3C6A" w:rsidRDefault="001F294C" w:rsidP="001F294C">
      <w:pPr>
        <w:pStyle w:val="ListParagraph"/>
        <w:widowControl/>
        <w:numPr>
          <w:ilvl w:val="1"/>
          <w:numId w:val="3"/>
        </w:numPr>
      </w:pPr>
      <w:r w:rsidRPr="00EF3C6A">
        <w:t xml:space="preserve">The submission described NIVO+IPI as superior to </w:t>
      </w:r>
      <w:proofErr w:type="spellStart"/>
      <w:r w:rsidRPr="00EF3C6A">
        <w:t>sunitinib</w:t>
      </w:r>
      <w:proofErr w:type="spellEnd"/>
      <w:r w:rsidRPr="00EF3C6A">
        <w:t xml:space="preserve"> in terms of OS </w:t>
      </w:r>
      <w:r w:rsidR="006D0504" w:rsidRPr="00EF3C6A">
        <w:t>with</w:t>
      </w:r>
      <w:r w:rsidRPr="00EF3C6A">
        <w:t xml:space="preserve"> a clinically acceptable safety profile for patients with advanced/metastatic clear cell variant RCC who have an intermediate to poor prognostic risk. </w:t>
      </w:r>
    </w:p>
    <w:p w:rsidR="001F294C" w:rsidRPr="00EF3C6A" w:rsidRDefault="001F294C" w:rsidP="001F294C">
      <w:pPr>
        <w:pStyle w:val="ListParagraph"/>
        <w:widowControl/>
        <w:numPr>
          <w:ilvl w:val="1"/>
          <w:numId w:val="3"/>
        </w:numPr>
      </w:pPr>
      <w:r w:rsidRPr="00EF3C6A">
        <w:t>Given that the OS data were immature, and the median OS had not been reached for the patients treated with NIVO+IPI, the magnitude of</w:t>
      </w:r>
      <w:r w:rsidR="006D0504" w:rsidRPr="00EF3C6A">
        <w:t xml:space="preserve"> the</w:t>
      </w:r>
      <w:r w:rsidRPr="00EF3C6A">
        <w:t xml:space="preserve"> treatment effect, in terms of the differences in median OS between the treatment groups, could not be determined. </w:t>
      </w:r>
    </w:p>
    <w:p w:rsidR="001F294C" w:rsidRPr="00EF3C6A" w:rsidRDefault="0066332F" w:rsidP="00D925E1">
      <w:pPr>
        <w:pStyle w:val="ListParagraph"/>
        <w:widowControl/>
        <w:numPr>
          <w:ilvl w:val="1"/>
          <w:numId w:val="3"/>
        </w:numPr>
      </w:pPr>
      <w:r w:rsidRPr="00EF3C6A">
        <w:t xml:space="preserve">The ESC </w:t>
      </w:r>
      <w:r w:rsidR="00B36683">
        <w:t xml:space="preserve">and the PBAC </w:t>
      </w:r>
      <w:r w:rsidR="00B72E65" w:rsidRPr="00EF3C6A">
        <w:t>considered that</w:t>
      </w:r>
      <w:r w:rsidRPr="00EF3C6A">
        <w:t xml:space="preserve"> the claim of clinical superiority </w:t>
      </w:r>
      <w:r w:rsidR="00B72E65" w:rsidRPr="00EF3C6A">
        <w:t xml:space="preserve">of NIVO+IPI versus </w:t>
      </w:r>
      <w:proofErr w:type="spellStart"/>
      <w:r w:rsidR="00B72E65" w:rsidRPr="00EF3C6A">
        <w:t>sunitinib</w:t>
      </w:r>
      <w:proofErr w:type="spellEnd"/>
      <w:r w:rsidR="00B72E65" w:rsidRPr="00EF3C6A">
        <w:t xml:space="preserve"> was adequately supported </w:t>
      </w:r>
      <w:r w:rsidRPr="00EF3C6A">
        <w:t xml:space="preserve">given </w:t>
      </w:r>
      <w:r w:rsidR="006F7015" w:rsidRPr="00EF3C6A">
        <w:t xml:space="preserve">the statistically significant improvement in </w:t>
      </w:r>
      <w:r w:rsidRPr="00EF3C6A">
        <w:t xml:space="preserve">OS </w:t>
      </w:r>
      <w:r w:rsidR="006F7015" w:rsidRPr="00EF3C6A">
        <w:t xml:space="preserve">observed in the </w:t>
      </w:r>
      <w:r w:rsidR="00B72E65" w:rsidRPr="00EF3C6A">
        <w:t>pivotal</w:t>
      </w:r>
      <w:r w:rsidR="006F7015" w:rsidRPr="00EF3C6A">
        <w:t xml:space="preserve"> trial, </w:t>
      </w:r>
      <w:r w:rsidRPr="00EF3C6A">
        <w:t>but considered th</w:t>
      </w:r>
      <w:r w:rsidR="006F7015" w:rsidRPr="00EF3C6A">
        <w:t xml:space="preserve">at the </w:t>
      </w:r>
      <w:r w:rsidRPr="00EF3C6A">
        <w:t>magnitude of the benefit was difficult to quantify</w:t>
      </w:r>
      <w:r w:rsidR="006F7015" w:rsidRPr="00EF3C6A">
        <w:t xml:space="preserve"> given the immaturity of the data</w:t>
      </w:r>
      <w:r w:rsidRPr="00EF3C6A">
        <w:t>.</w:t>
      </w:r>
      <w:r w:rsidR="00B36683">
        <w:t xml:space="preserve"> The PBAC also considered that the trial population may be healthier than the likely PBS population, </w:t>
      </w:r>
      <w:r w:rsidR="009538EF">
        <w:t xml:space="preserve">and thus the trial may </w:t>
      </w:r>
      <w:r w:rsidR="006F785A">
        <w:lastRenderedPageBreak/>
        <w:t xml:space="preserve">have </w:t>
      </w:r>
      <w:r w:rsidR="009538EF">
        <w:t>overestimate</w:t>
      </w:r>
      <w:r w:rsidR="006F785A">
        <w:t>d</w:t>
      </w:r>
      <w:r w:rsidR="009538EF">
        <w:t xml:space="preserve"> the </w:t>
      </w:r>
      <w:r w:rsidR="00B36683">
        <w:t xml:space="preserve">incremental effectiveness of NIVO+IPI versus </w:t>
      </w:r>
      <w:proofErr w:type="spellStart"/>
      <w:r w:rsidR="00B36683">
        <w:t>sunitinib</w:t>
      </w:r>
      <w:proofErr w:type="spellEnd"/>
      <w:r w:rsidR="00B36683">
        <w:t xml:space="preserve">. </w:t>
      </w:r>
      <w:r w:rsidR="00970303" w:rsidRPr="00EF3C6A">
        <w:t xml:space="preserve">The proportion of patients experiencing SAEs and AEs leading to drug discontinuation was significantly higher in the </w:t>
      </w:r>
      <w:r w:rsidR="001F294C" w:rsidRPr="00EF3C6A">
        <w:t xml:space="preserve">NIVO+IPI </w:t>
      </w:r>
      <w:r w:rsidR="00970303" w:rsidRPr="00EF3C6A">
        <w:t xml:space="preserve">treatment arm compared to the </w:t>
      </w:r>
      <w:proofErr w:type="spellStart"/>
      <w:r w:rsidR="00970303" w:rsidRPr="00EF3C6A">
        <w:t>sunitinib</w:t>
      </w:r>
      <w:proofErr w:type="spellEnd"/>
      <w:r w:rsidR="00970303" w:rsidRPr="00EF3C6A">
        <w:t xml:space="preserve"> arm. </w:t>
      </w:r>
      <w:r w:rsidR="00A70728" w:rsidRPr="00EF3C6A">
        <w:t xml:space="preserve">Specifically, the incidence of </w:t>
      </w:r>
      <w:r w:rsidR="00D925E1" w:rsidRPr="00EF3C6A">
        <w:t>immune related AEs</w:t>
      </w:r>
      <w:r w:rsidR="00A70728" w:rsidRPr="00EF3C6A">
        <w:t xml:space="preserve"> (pneumonitis, nephritis, hepatitis and colitis) was significantly higher in the NIVO+IPI treatment arm compared to that in the </w:t>
      </w:r>
      <w:proofErr w:type="spellStart"/>
      <w:r w:rsidR="001F294C" w:rsidRPr="00EF3C6A">
        <w:t>sunitinib</w:t>
      </w:r>
      <w:proofErr w:type="spellEnd"/>
      <w:r w:rsidR="00A70728" w:rsidRPr="00EF3C6A">
        <w:t xml:space="preserve"> treatment arm</w:t>
      </w:r>
      <w:r w:rsidR="001F294C" w:rsidRPr="00EF3C6A">
        <w:t>.</w:t>
      </w:r>
    </w:p>
    <w:p w:rsidR="001F294C" w:rsidRPr="00EF3C6A" w:rsidRDefault="001F294C" w:rsidP="00A25A09">
      <w:pPr>
        <w:pStyle w:val="ListParagraph"/>
        <w:widowControl/>
        <w:numPr>
          <w:ilvl w:val="1"/>
          <w:numId w:val="3"/>
        </w:numPr>
      </w:pPr>
      <w:r w:rsidRPr="00EF3C6A">
        <w:t>The PBAC</w:t>
      </w:r>
      <w:r w:rsidRPr="00EF3C6A">
        <w:rPr>
          <w:rStyle w:val="FootnoteReference"/>
        </w:rPr>
        <w:footnoteReference w:id="7"/>
      </w:r>
      <w:r w:rsidRPr="00EF3C6A">
        <w:t xml:space="preserve"> previously considered </w:t>
      </w:r>
      <w:r w:rsidR="004575DB" w:rsidRPr="00EF3C6A">
        <w:t xml:space="preserve">that </w:t>
      </w:r>
      <w:r w:rsidRPr="00EF3C6A">
        <w:t>combination treatment of NIVO+IPI</w:t>
      </w:r>
      <w:r w:rsidR="0083556B">
        <w:t>, at the doses used to treat malignant melanoma,</w:t>
      </w:r>
      <w:r w:rsidRPr="00EF3C6A">
        <w:t xml:space="preserve"> </w:t>
      </w:r>
      <w:proofErr w:type="gramStart"/>
      <w:r w:rsidRPr="00EF3C6A">
        <w:t>ha</w:t>
      </w:r>
      <w:r w:rsidR="004575DB" w:rsidRPr="00EF3C6A">
        <w:t>s</w:t>
      </w:r>
      <w:proofErr w:type="gramEnd"/>
      <w:r w:rsidRPr="00EF3C6A">
        <w:t xml:space="preserve"> </w:t>
      </w:r>
      <w:r w:rsidR="004575DB" w:rsidRPr="00EF3C6A">
        <w:t xml:space="preserve">a </w:t>
      </w:r>
      <w:r w:rsidRPr="00EF3C6A">
        <w:t xml:space="preserve">significantly inferior safety profile and higher rates of SAEs compared to the respective </w:t>
      </w:r>
      <w:r w:rsidR="002F0CEA">
        <w:t xml:space="preserve">immune </w:t>
      </w:r>
      <w:r w:rsidRPr="00EF3C6A">
        <w:t xml:space="preserve">monotherapies for the treatment of malignant melanoma. </w:t>
      </w:r>
      <w:r w:rsidR="009B0CE1" w:rsidRPr="00EF3C6A">
        <w:t xml:space="preserve">The </w:t>
      </w:r>
      <w:r w:rsidRPr="00EF3C6A">
        <w:t>PBAC was also concerned by early reports of endocrine toxicity with possibility of irreversible diabetes with NIVO+IPI.</w:t>
      </w:r>
      <w:r w:rsidR="006F7015" w:rsidRPr="00EF3C6A">
        <w:t xml:space="preserve"> </w:t>
      </w:r>
      <w:r w:rsidR="00A25A09" w:rsidRPr="00EF3C6A">
        <w:t xml:space="preserve">The ESC noted that the dose of </w:t>
      </w:r>
      <w:proofErr w:type="spellStart"/>
      <w:r w:rsidR="00A25A09" w:rsidRPr="00EF3C6A">
        <w:t>ipilimumab</w:t>
      </w:r>
      <w:proofErr w:type="spellEnd"/>
      <w:r w:rsidR="00A25A09" w:rsidRPr="00EF3C6A">
        <w:t xml:space="preserve"> used in the RCC trial CA209214 (1mg/kg every 3 weeks for 4 doses) was lower than that used in the malignant melanoma trial CA209067 (3mg/kg) and considered this may result in a lower rate of adverse events in the RCC setting.</w:t>
      </w:r>
    </w:p>
    <w:p w:rsidR="006F7015" w:rsidRPr="00EF3C6A" w:rsidRDefault="00B72E65" w:rsidP="001F294C">
      <w:pPr>
        <w:pStyle w:val="ListParagraph"/>
        <w:widowControl/>
        <w:numPr>
          <w:ilvl w:val="1"/>
          <w:numId w:val="3"/>
        </w:numPr>
      </w:pPr>
      <w:r w:rsidRPr="00EF3C6A">
        <w:t xml:space="preserve">The ESC acknowledged that NIVO+IPI and </w:t>
      </w:r>
      <w:proofErr w:type="spellStart"/>
      <w:r w:rsidRPr="00EF3C6A">
        <w:t>sunitinib</w:t>
      </w:r>
      <w:proofErr w:type="spellEnd"/>
      <w:r w:rsidRPr="00EF3C6A">
        <w:t xml:space="preserve"> have different safety profiles, but considered </w:t>
      </w:r>
      <w:r w:rsidR="002C3582" w:rsidRPr="00EF3C6A">
        <w:t>that</w:t>
      </w:r>
      <w:r w:rsidRPr="00EF3C6A">
        <w:t xml:space="preserve"> </w:t>
      </w:r>
      <w:r w:rsidR="006F7015" w:rsidRPr="00EF3C6A">
        <w:t xml:space="preserve">NIVO+IPI was associated with inferior </w:t>
      </w:r>
      <w:r w:rsidRPr="00EF3C6A">
        <w:t xml:space="preserve">comparative </w:t>
      </w:r>
      <w:r w:rsidR="006F7015" w:rsidRPr="00EF3C6A">
        <w:t xml:space="preserve">safety </w:t>
      </w:r>
      <w:r w:rsidRPr="00EF3C6A">
        <w:t>versus</w:t>
      </w:r>
      <w:r w:rsidR="006F7015" w:rsidRPr="00EF3C6A">
        <w:t xml:space="preserve"> </w:t>
      </w:r>
      <w:proofErr w:type="spellStart"/>
      <w:r w:rsidR="006F7015" w:rsidRPr="00EF3C6A">
        <w:t>sunitinib</w:t>
      </w:r>
      <w:proofErr w:type="spellEnd"/>
      <w:r w:rsidR="006F7015" w:rsidRPr="00EF3C6A">
        <w:t xml:space="preserve">. </w:t>
      </w:r>
    </w:p>
    <w:p w:rsidR="00EF3C6A" w:rsidRPr="0083556B" w:rsidRDefault="00EF3C6A" w:rsidP="00EF3C6A">
      <w:pPr>
        <w:pStyle w:val="ListParagraph"/>
        <w:widowControl/>
        <w:numPr>
          <w:ilvl w:val="1"/>
          <w:numId w:val="3"/>
        </w:numPr>
        <w:spacing w:after="120"/>
        <w:ind w:left="810" w:hanging="810"/>
        <w:rPr>
          <w:rFonts w:asciiTheme="minorHAnsi" w:hAnsiTheme="minorHAnsi"/>
          <w:szCs w:val="20"/>
        </w:rPr>
      </w:pPr>
      <w:r w:rsidRPr="0083556B">
        <w:rPr>
          <w:rFonts w:asciiTheme="minorHAnsi" w:hAnsiTheme="minorHAnsi"/>
          <w:szCs w:val="20"/>
        </w:rPr>
        <w:t>The PBAC considered that the claim of superior comparative effectiveness was reasonable</w:t>
      </w:r>
      <w:r w:rsidR="00C828BC">
        <w:rPr>
          <w:rFonts w:asciiTheme="minorHAnsi" w:hAnsiTheme="minorHAnsi"/>
          <w:szCs w:val="20"/>
        </w:rPr>
        <w:t>, though the magnitude of the incremental gain was uncertain and likely overestimated</w:t>
      </w:r>
      <w:r w:rsidRPr="0083556B">
        <w:rPr>
          <w:rFonts w:asciiTheme="minorHAnsi" w:hAnsiTheme="minorHAnsi"/>
          <w:szCs w:val="20"/>
        </w:rPr>
        <w:t>.</w:t>
      </w:r>
    </w:p>
    <w:p w:rsidR="00615395" w:rsidRPr="00C828BC" w:rsidRDefault="00EF3C6A" w:rsidP="00C828BC">
      <w:pPr>
        <w:pStyle w:val="ListParagraph"/>
        <w:widowControl/>
        <w:numPr>
          <w:ilvl w:val="1"/>
          <w:numId w:val="3"/>
        </w:numPr>
        <w:spacing w:after="120"/>
        <w:ind w:left="810" w:hanging="810"/>
        <w:rPr>
          <w:rFonts w:asciiTheme="minorHAnsi" w:hAnsiTheme="minorHAnsi"/>
          <w:szCs w:val="20"/>
        </w:rPr>
      </w:pPr>
      <w:r w:rsidRPr="0083556B">
        <w:rPr>
          <w:rFonts w:asciiTheme="minorHAnsi" w:hAnsiTheme="minorHAnsi"/>
          <w:szCs w:val="20"/>
        </w:rPr>
        <w:t xml:space="preserve">The PBAC considered that </w:t>
      </w:r>
      <w:r w:rsidR="0083556B" w:rsidRPr="0083556B">
        <w:rPr>
          <w:rFonts w:asciiTheme="minorHAnsi" w:hAnsiTheme="minorHAnsi"/>
          <w:szCs w:val="20"/>
        </w:rPr>
        <w:t xml:space="preserve">NIVO+IPI was associated with </w:t>
      </w:r>
      <w:r w:rsidRPr="0083556B">
        <w:rPr>
          <w:rFonts w:asciiTheme="minorHAnsi" w:hAnsiTheme="minorHAnsi"/>
          <w:szCs w:val="20"/>
        </w:rPr>
        <w:t>inferior comparative safety</w:t>
      </w:r>
      <w:r w:rsidR="0083556B">
        <w:rPr>
          <w:rFonts w:asciiTheme="minorHAnsi" w:hAnsiTheme="minorHAnsi"/>
          <w:szCs w:val="20"/>
        </w:rPr>
        <w:t xml:space="preserve"> versus </w:t>
      </w:r>
      <w:proofErr w:type="spellStart"/>
      <w:r w:rsidR="0083556B">
        <w:rPr>
          <w:rFonts w:asciiTheme="minorHAnsi" w:hAnsiTheme="minorHAnsi"/>
          <w:szCs w:val="20"/>
        </w:rPr>
        <w:t>sunitinib</w:t>
      </w:r>
      <w:proofErr w:type="spellEnd"/>
      <w:r w:rsidR="0083556B" w:rsidRPr="0083556B">
        <w:rPr>
          <w:rFonts w:asciiTheme="minorHAnsi" w:hAnsiTheme="minorHAnsi"/>
          <w:szCs w:val="20"/>
        </w:rPr>
        <w:t>, given NIVO+IPI was associated with</w:t>
      </w:r>
      <w:r w:rsidR="0083556B">
        <w:rPr>
          <w:rFonts w:asciiTheme="minorHAnsi" w:hAnsiTheme="minorHAnsi"/>
          <w:szCs w:val="20"/>
        </w:rPr>
        <w:t xml:space="preserve"> a higher rate of </w:t>
      </w:r>
      <w:r w:rsidR="0083556B" w:rsidRPr="0083556B">
        <w:rPr>
          <w:rFonts w:asciiTheme="minorHAnsi" w:hAnsiTheme="minorHAnsi"/>
          <w:szCs w:val="20"/>
        </w:rPr>
        <w:t xml:space="preserve">serious adverse events and adverse events requiring treatment discontinuation. </w:t>
      </w:r>
    </w:p>
    <w:p w:rsidR="00EC27AB" w:rsidRPr="006068C2" w:rsidRDefault="00EC27AB" w:rsidP="00160ED7">
      <w:pPr>
        <w:pStyle w:val="Heading2"/>
        <w:spacing w:before="240" w:after="120"/>
      </w:pPr>
      <w:bookmarkStart w:id="12" w:name="_Toc514248491"/>
      <w:r w:rsidRPr="006068C2">
        <w:t>Economic analysis</w:t>
      </w:r>
      <w:bookmarkEnd w:id="12"/>
      <w:r w:rsidRPr="006068C2">
        <w:t xml:space="preserve"> </w:t>
      </w:r>
    </w:p>
    <w:p w:rsidR="00EC27AB" w:rsidRPr="00EF3C6A" w:rsidRDefault="00EC27AB" w:rsidP="00EC27AB">
      <w:pPr>
        <w:pStyle w:val="ListParagraph"/>
        <w:widowControl/>
        <w:numPr>
          <w:ilvl w:val="1"/>
          <w:numId w:val="3"/>
        </w:numPr>
      </w:pPr>
      <w:bookmarkStart w:id="13" w:name="_Toc371170712"/>
      <w:r w:rsidRPr="00EF3C6A">
        <w:rPr>
          <w:rFonts w:cs="Calibri"/>
          <w:snapToGrid/>
          <w:szCs w:val="24"/>
          <w:lang w:val="en-US" w:eastAsia="en-AU"/>
        </w:rPr>
        <w:t xml:space="preserve">The submission presented a stepped economic evaluation based on the direct </w:t>
      </w:r>
      <w:proofErr w:type="spellStart"/>
      <w:r w:rsidRPr="00EF3C6A">
        <w:rPr>
          <w:rFonts w:cs="Calibri"/>
          <w:snapToGrid/>
          <w:szCs w:val="24"/>
          <w:lang w:val="en-US" w:eastAsia="en-AU"/>
        </w:rPr>
        <w:t>randomised</w:t>
      </w:r>
      <w:proofErr w:type="spellEnd"/>
      <w:r w:rsidRPr="00EF3C6A">
        <w:rPr>
          <w:rFonts w:cs="Calibri"/>
          <w:snapToGrid/>
          <w:szCs w:val="24"/>
          <w:lang w:val="en-US" w:eastAsia="en-AU"/>
        </w:rPr>
        <w:t xml:space="preserve"> trial CA209214 and implemented a modelled cost-utility analysis. </w:t>
      </w:r>
    </w:p>
    <w:p w:rsidR="00EC27AB" w:rsidRPr="00EF3C6A" w:rsidRDefault="00623F23" w:rsidP="00EC27AB">
      <w:pPr>
        <w:pStyle w:val="ListParagraph"/>
        <w:widowControl/>
        <w:numPr>
          <w:ilvl w:val="1"/>
          <w:numId w:val="3"/>
        </w:numPr>
      </w:pPr>
      <w:r>
        <w:rPr>
          <w:rFonts w:cs="Calibri"/>
          <w:snapToGrid/>
          <w:szCs w:val="24"/>
          <w:lang w:val="en-US" w:eastAsia="en-AU"/>
        </w:rPr>
        <w:t>A</w:t>
      </w:r>
      <w:r w:rsidR="00EC27AB" w:rsidRPr="00EF3C6A">
        <w:rPr>
          <w:rFonts w:cs="Calibri"/>
          <w:snapToGrid/>
          <w:szCs w:val="24"/>
          <w:lang w:val="en-US" w:eastAsia="en-AU"/>
        </w:rPr>
        <w:t xml:space="preserve"> Markov model was presented with three health states: Progression free (PF), progressive disease (PD) and dead. A separate tunnel state informed by the time to treatment discontinuation curves (TTD) was used to determine per-cycle drug costs for NIVO+IPI and </w:t>
      </w:r>
      <w:proofErr w:type="spellStart"/>
      <w:r w:rsidR="00EC27AB" w:rsidRPr="00EF3C6A">
        <w:rPr>
          <w:rFonts w:cs="Calibri"/>
          <w:snapToGrid/>
          <w:szCs w:val="24"/>
          <w:lang w:val="en-US" w:eastAsia="en-AU"/>
        </w:rPr>
        <w:t>sunitinib</w:t>
      </w:r>
      <w:proofErr w:type="spellEnd"/>
      <w:r w:rsidR="00EC27AB" w:rsidRPr="00EF3C6A">
        <w:rPr>
          <w:rFonts w:cs="Calibri"/>
          <w:snapToGrid/>
          <w:szCs w:val="24"/>
          <w:lang w:val="en-US" w:eastAsia="en-AU"/>
        </w:rPr>
        <w:t xml:space="preserve">. </w:t>
      </w:r>
    </w:p>
    <w:p w:rsidR="00EC27AB" w:rsidRPr="00EF3C6A" w:rsidRDefault="00EC27AB" w:rsidP="007C45F1">
      <w:pPr>
        <w:keepNext/>
        <w:keepLines/>
        <w:rPr>
          <w:rStyle w:val="CommentReference"/>
        </w:rPr>
      </w:pPr>
      <w:r w:rsidRPr="00EF3C6A">
        <w:rPr>
          <w:rStyle w:val="CommentReference"/>
        </w:rPr>
        <w:lastRenderedPageBreak/>
        <w:t xml:space="preserve">Table </w:t>
      </w:r>
      <w:r w:rsidR="00755DFA" w:rsidRPr="00EF3C6A">
        <w:rPr>
          <w:rStyle w:val="CommentReference"/>
        </w:rPr>
        <w:t>8</w:t>
      </w:r>
      <w:r w:rsidRPr="00EF3C6A">
        <w:rPr>
          <w:rStyle w:val="CommentReference"/>
        </w:rPr>
        <w:t>: Summary of model structure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62"/>
        <w:gridCol w:w="6761"/>
      </w:tblGrid>
      <w:tr w:rsidR="00EC27AB" w:rsidRPr="00EF3C6A" w:rsidTr="00EC27AB">
        <w:tc>
          <w:tcPr>
            <w:tcW w:w="1374" w:type="pct"/>
            <w:vAlign w:val="center"/>
          </w:tcPr>
          <w:p w:rsidR="00EC27AB" w:rsidRPr="00EF3C6A" w:rsidRDefault="00EC27AB" w:rsidP="007C45F1">
            <w:pPr>
              <w:pStyle w:val="Tabletext"/>
              <w:keepNext/>
              <w:keepLines/>
              <w:rPr>
                <w:b/>
              </w:rPr>
            </w:pPr>
            <w:r w:rsidRPr="00EF3C6A">
              <w:rPr>
                <w:b/>
              </w:rPr>
              <w:t>Component</w:t>
            </w:r>
          </w:p>
        </w:tc>
        <w:tc>
          <w:tcPr>
            <w:tcW w:w="3626" w:type="pct"/>
          </w:tcPr>
          <w:p w:rsidR="00EC27AB" w:rsidRPr="00EF3C6A" w:rsidRDefault="00EC27AB" w:rsidP="007C45F1">
            <w:pPr>
              <w:pStyle w:val="Tabletext"/>
              <w:keepNext/>
              <w:keepLines/>
              <w:jc w:val="center"/>
              <w:rPr>
                <w:b/>
              </w:rPr>
            </w:pPr>
            <w:r w:rsidRPr="00EF3C6A">
              <w:rPr>
                <w:b/>
              </w:rPr>
              <w:t>Description</w:t>
            </w:r>
          </w:p>
        </w:tc>
      </w:tr>
      <w:tr w:rsidR="00EC27AB" w:rsidRPr="00EF3C6A" w:rsidTr="00EC27AB">
        <w:tc>
          <w:tcPr>
            <w:tcW w:w="1374" w:type="pct"/>
            <w:vAlign w:val="center"/>
          </w:tcPr>
          <w:p w:rsidR="00EC27AB" w:rsidRPr="00EF3C6A" w:rsidRDefault="00EC27AB" w:rsidP="007C45F1">
            <w:pPr>
              <w:pStyle w:val="Tabletext"/>
              <w:keepNext/>
              <w:keepLines/>
            </w:pPr>
            <w:r w:rsidRPr="00EF3C6A">
              <w:t>Type of analysis</w:t>
            </w:r>
          </w:p>
        </w:tc>
        <w:tc>
          <w:tcPr>
            <w:tcW w:w="3626" w:type="pct"/>
          </w:tcPr>
          <w:p w:rsidR="00EC27AB" w:rsidRPr="00EF3C6A" w:rsidRDefault="00EC27AB" w:rsidP="007C45F1">
            <w:pPr>
              <w:pStyle w:val="Tabletext"/>
              <w:keepNext/>
              <w:keepLines/>
            </w:pPr>
            <w:r w:rsidRPr="00EF3C6A">
              <w:t>Cost utility-analysis, cost effectiveness analysis</w:t>
            </w:r>
          </w:p>
        </w:tc>
      </w:tr>
      <w:tr w:rsidR="00EC27AB" w:rsidRPr="00EF3C6A" w:rsidTr="00EC27AB">
        <w:tc>
          <w:tcPr>
            <w:tcW w:w="1374" w:type="pct"/>
            <w:vAlign w:val="center"/>
          </w:tcPr>
          <w:p w:rsidR="00EC27AB" w:rsidRPr="00EF3C6A" w:rsidRDefault="00EC27AB" w:rsidP="007C45F1">
            <w:pPr>
              <w:pStyle w:val="Tabletext"/>
              <w:keepNext/>
              <w:keepLines/>
            </w:pPr>
            <w:r w:rsidRPr="00EF3C6A">
              <w:t>Outcomes</w:t>
            </w:r>
          </w:p>
        </w:tc>
        <w:tc>
          <w:tcPr>
            <w:tcW w:w="3626" w:type="pct"/>
          </w:tcPr>
          <w:p w:rsidR="00EC27AB" w:rsidRPr="00EF3C6A" w:rsidRDefault="00EC27AB" w:rsidP="007C45F1">
            <w:pPr>
              <w:pStyle w:val="Tabletext"/>
              <w:keepNext/>
              <w:keepLines/>
            </w:pPr>
            <w:r w:rsidRPr="00EF3C6A">
              <w:t>Life years gained, quality-adjusted life years gained</w:t>
            </w:r>
          </w:p>
        </w:tc>
      </w:tr>
      <w:tr w:rsidR="00EC27AB" w:rsidRPr="00EF3C6A" w:rsidTr="00EC27AB">
        <w:tc>
          <w:tcPr>
            <w:tcW w:w="1374" w:type="pct"/>
            <w:vAlign w:val="center"/>
          </w:tcPr>
          <w:p w:rsidR="00EC27AB" w:rsidRPr="00EF3C6A" w:rsidRDefault="00EC27AB" w:rsidP="007C45F1">
            <w:pPr>
              <w:pStyle w:val="Tabletext"/>
              <w:keepNext/>
              <w:keepLines/>
            </w:pPr>
            <w:r w:rsidRPr="00EF3C6A">
              <w:t>Time horizon</w:t>
            </w:r>
          </w:p>
        </w:tc>
        <w:tc>
          <w:tcPr>
            <w:tcW w:w="3626" w:type="pct"/>
          </w:tcPr>
          <w:p w:rsidR="00EC27AB" w:rsidRPr="00EF3C6A" w:rsidRDefault="00B07F6B" w:rsidP="0029376B">
            <w:pPr>
              <w:pStyle w:val="Tabletext"/>
              <w:keepNext/>
              <w:keepLines/>
            </w:pPr>
            <w:r>
              <w:rPr>
                <w:noProof/>
                <w:color w:val="000000"/>
                <w:highlight w:val="black"/>
              </w:rPr>
              <w:t>'''''''</w:t>
            </w:r>
            <w:r w:rsidR="00EC27AB" w:rsidRPr="00EF3C6A">
              <w:t xml:space="preserve"> years in the model base case </w:t>
            </w:r>
            <w:r w:rsidR="0086223B">
              <w:t>(</w:t>
            </w:r>
            <w:r>
              <w:rPr>
                <w:noProof/>
                <w:color w:val="000000"/>
                <w:highlight w:val="black"/>
              </w:rPr>
              <w:t>''''''</w:t>
            </w:r>
            <w:r w:rsidR="0086223B">
              <w:t xml:space="preserve"> years in </w:t>
            </w:r>
            <w:r w:rsidR="0029376B">
              <w:t xml:space="preserve">pre-PBAC response </w:t>
            </w:r>
            <w:r w:rsidR="0086223B">
              <w:t xml:space="preserve">revised base case) </w:t>
            </w:r>
            <w:r w:rsidR="00EC27AB" w:rsidRPr="00EF3C6A">
              <w:t>vs. mean duration of follow up of ~23 months in the trial</w:t>
            </w:r>
          </w:p>
        </w:tc>
      </w:tr>
      <w:tr w:rsidR="00EC27AB" w:rsidRPr="00EF3C6A" w:rsidTr="00EC27AB">
        <w:tc>
          <w:tcPr>
            <w:tcW w:w="1374" w:type="pct"/>
            <w:vAlign w:val="center"/>
          </w:tcPr>
          <w:p w:rsidR="00EC27AB" w:rsidRPr="00EF3C6A" w:rsidRDefault="00EC27AB" w:rsidP="007C45F1">
            <w:pPr>
              <w:pStyle w:val="Tabletext"/>
              <w:keepNext/>
              <w:keepLines/>
            </w:pPr>
            <w:r w:rsidRPr="00EF3C6A">
              <w:t>Methods used to generate results</w:t>
            </w:r>
          </w:p>
        </w:tc>
        <w:tc>
          <w:tcPr>
            <w:tcW w:w="3626" w:type="pct"/>
          </w:tcPr>
          <w:p w:rsidR="00EC27AB" w:rsidRPr="00EF3C6A" w:rsidRDefault="00EC27AB" w:rsidP="007C45F1">
            <w:pPr>
              <w:pStyle w:val="Tabletext"/>
              <w:keepNext/>
              <w:keepLines/>
            </w:pPr>
            <w:r w:rsidRPr="00EF3C6A">
              <w:t>Markov expected-value analysis</w:t>
            </w:r>
          </w:p>
        </w:tc>
      </w:tr>
      <w:tr w:rsidR="00EC27AB" w:rsidRPr="00EF3C6A" w:rsidTr="00EC27AB">
        <w:tc>
          <w:tcPr>
            <w:tcW w:w="1374" w:type="pct"/>
            <w:vAlign w:val="center"/>
          </w:tcPr>
          <w:p w:rsidR="00EC27AB" w:rsidRPr="00EF3C6A" w:rsidRDefault="00EC27AB" w:rsidP="007C45F1">
            <w:pPr>
              <w:pStyle w:val="Tabletext"/>
              <w:keepNext/>
              <w:keepLines/>
            </w:pPr>
            <w:r w:rsidRPr="00EF3C6A">
              <w:t>Health states</w:t>
            </w:r>
          </w:p>
        </w:tc>
        <w:tc>
          <w:tcPr>
            <w:tcW w:w="3626" w:type="pct"/>
          </w:tcPr>
          <w:p w:rsidR="00EC27AB" w:rsidRPr="00EF3C6A" w:rsidRDefault="00EC27AB" w:rsidP="007C45F1">
            <w:pPr>
              <w:pStyle w:val="Tabletext"/>
              <w:keepNext/>
              <w:keepLines/>
            </w:pPr>
            <w:r w:rsidRPr="00EF3C6A">
              <w:t>Progression-free, progressive-disease, and dead (time until treatment discontinuation as a tunnel state).</w:t>
            </w:r>
          </w:p>
        </w:tc>
      </w:tr>
      <w:tr w:rsidR="00EC27AB" w:rsidRPr="00EF3C6A" w:rsidTr="00EC27AB">
        <w:tc>
          <w:tcPr>
            <w:tcW w:w="1374" w:type="pct"/>
            <w:vAlign w:val="center"/>
          </w:tcPr>
          <w:p w:rsidR="00EC27AB" w:rsidRPr="00EF3C6A" w:rsidRDefault="00EC27AB" w:rsidP="007C45F1">
            <w:pPr>
              <w:pStyle w:val="Tabletext"/>
              <w:keepNext/>
              <w:keepLines/>
            </w:pPr>
            <w:r w:rsidRPr="00EF3C6A">
              <w:t>Cycle length</w:t>
            </w:r>
          </w:p>
        </w:tc>
        <w:tc>
          <w:tcPr>
            <w:tcW w:w="3626" w:type="pct"/>
          </w:tcPr>
          <w:p w:rsidR="00EC27AB" w:rsidRPr="00B07F6B" w:rsidRDefault="00B07F6B" w:rsidP="007C45F1">
            <w:pPr>
              <w:pStyle w:val="Tabletext"/>
              <w:keepNext/>
              <w:keepLines/>
              <w:rPr>
                <w:highlight w:val="black"/>
              </w:rPr>
            </w:pPr>
            <w:r>
              <w:rPr>
                <w:noProof/>
                <w:color w:val="000000"/>
                <w:highlight w:val="black"/>
              </w:rPr>
              <w:t>'''' ''''''''''''''</w:t>
            </w:r>
          </w:p>
        </w:tc>
      </w:tr>
      <w:tr w:rsidR="00EC27AB" w:rsidRPr="00EF3C6A" w:rsidTr="00EC27AB">
        <w:tc>
          <w:tcPr>
            <w:tcW w:w="1374" w:type="pct"/>
            <w:vAlign w:val="center"/>
          </w:tcPr>
          <w:p w:rsidR="00EC27AB" w:rsidRPr="00EF3C6A" w:rsidRDefault="00EC27AB" w:rsidP="007C45F1">
            <w:pPr>
              <w:pStyle w:val="Tabletext"/>
              <w:keepNext/>
              <w:keepLines/>
            </w:pPr>
            <w:r w:rsidRPr="00EF3C6A">
              <w:t>Transition probabilities</w:t>
            </w:r>
          </w:p>
        </w:tc>
        <w:tc>
          <w:tcPr>
            <w:tcW w:w="3626" w:type="pct"/>
          </w:tcPr>
          <w:p w:rsidR="00EC27AB" w:rsidRPr="00EF3C6A" w:rsidRDefault="00EC27AB" w:rsidP="007C45F1">
            <w:pPr>
              <w:pStyle w:val="Tabletext"/>
              <w:keepNext/>
              <w:keepLines/>
            </w:pPr>
            <w:r w:rsidRPr="00EF3C6A">
              <w:t xml:space="preserve">CA209214: primary population (intermediate/poor risk per IMDC system) </w:t>
            </w:r>
          </w:p>
          <w:p w:rsidR="00EC27AB" w:rsidRPr="00EF3C6A" w:rsidRDefault="00EC27AB" w:rsidP="007C45F1">
            <w:pPr>
              <w:pStyle w:val="Tabletext"/>
              <w:keepNext/>
              <w:keepLines/>
            </w:pPr>
            <w:r w:rsidRPr="00EF3C6A">
              <w:t xml:space="preserve">KM PFS, OS and TTD curves until mean duration of follow-up; </w:t>
            </w:r>
          </w:p>
          <w:p w:rsidR="00EC27AB" w:rsidRPr="00EF3C6A" w:rsidRDefault="00EC27AB" w:rsidP="007C45F1">
            <w:pPr>
              <w:pStyle w:val="Tabletext"/>
              <w:keepNext/>
              <w:keepLines/>
            </w:pPr>
            <w:r w:rsidRPr="00EF3C6A">
              <w:t>From mean duration of follow-up, parametric functions were used to extrapolate the curves:</w:t>
            </w:r>
          </w:p>
          <w:p w:rsidR="00EC27AB" w:rsidRPr="00EF3C6A" w:rsidRDefault="00EC27AB" w:rsidP="007C45F1">
            <w:pPr>
              <w:pStyle w:val="Tabletext"/>
              <w:keepNext/>
              <w:keepLines/>
            </w:pPr>
            <w:r w:rsidRPr="00EF3C6A">
              <w:t xml:space="preserve">PFS &amp; OS: </w:t>
            </w:r>
            <w:r w:rsidR="00B07F6B">
              <w:rPr>
                <w:noProof/>
                <w:color w:val="000000"/>
                <w:highlight w:val="black"/>
              </w:rPr>
              <w:t>''''''''''''''''''''''' ''''''''''''''''''''''''''''''''</w:t>
            </w:r>
            <w:r w:rsidRPr="00EF3C6A">
              <w:t xml:space="preserve"> (</w:t>
            </w:r>
            <w:r w:rsidR="00B07F6B">
              <w:rPr>
                <w:noProof/>
                <w:color w:val="000000"/>
                <w:highlight w:val="black"/>
              </w:rPr>
              <w:t>'''''''''' '''' ''' ''''''''''''''''''''</w:t>
            </w:r>
            <w:r w:rsidRPr="00EF3C6A">
              <w:t xml:space="preserve">); TTD: </w:t>
            </w:r>
            <w:r w:rsidR="00B07F6B">
              <w:rPr>
                <w:noProof/>
                <w:color w:val="000000"/>
                <w:highlight w:val="black"/>
              </w:rPr>
              <w:t>''''''''''''''''</w:t>
            </w:r>
            <w:r w:rsidRPr="00EF3C6A">
              <w:t xml:space="preserve"> (</w:t>
            </w:r>
            <w:r w:rsidR="00B07F6B">
              <w:rPr>
                <w:noProof/>
                <w:color w:val="000000"/>
                <w:highlight w:val="black"/>
              </w:rPr>
              <w:t>''''''''''''''' '''''''''''''''''''''''''</w:t>
            </w:r>
            <w:r w:rsidRPr="00EF3C6A">
              <w:t>)</w:t>
            </w:r>
          </w:p>
          <w:p w:rsidR="00EC27AB" w:rsidRPr="00EF3C6A" w:rsidRDefault="00EC27AB" w:rsidP="0029376B">
            <w:pPr>
              <w:pStyle w:val="Tabletext"/>
              <w:keepNext/>
              <w:keepLines/>
            </w:pPr>
            <w:r w:rsidRPr="00EF3C6A">
              <w:t>Convergence of the NIVO+IPI curve (commencement from</w:t>
            </w:r>
            <w:r w:rsidR="0029376B">
              <w:t xml:space="preserve"> </w:t>
            </w:r>
            <w:r w:rsidR="00B07F6B">
              <w:rPr>
                <w:noProof/>
                <w:color w:val="000000"/>
                <w:highlight w:val="black"/>
              </w:rPr>
              <w:t>'''</w:t>
            </w:r>
            <w:r w:rsidR="0029376B">
              <w:t xml:space="preserve"> years in the submission; </w:t>
            </w:r>
            <w:r w:rsidR="00B07F6B">
              <w:rPr>
                <w:noProof/>
                <w:color w:val="000000"/>
                <w:highlight w:val="black"/>
              </w:rPr>
              <w:t>'''</w:t>
            </w:r>
            <w:r w:rsidR="0029376B">
              <w:t xml:space="preserve"> </w:t>
            </w:r>
            <w:r w:rsidR="00314C90">
              <w:t>years in the pre-PBAC response revised base case</w:t>
            </w:r>
            <w:r w:rsidRPr="00EF3C6A">
              <w:t xml:space="preserve">) to </w:t>
            </w:r>
            <w:proofErr w:type="spellStart"/>
            <w:r w:rsidRPr="00EF3C6A">
              <w:t>sunitinib</w:t>
            </w:r>
            <w:proofErr w:type="spellEnd"/>
            <w:r w:rsidRPr="00EF3C6A">
              <w:t xml:space="preserve"> at the end of modelled time horizon</w:t>
            </w:r>
            <w:r w:rsidR="00314C90">
              <w:t xml:space="preserve"> (</w:t>
            </w:r>
            <w:r w:rsidR="00B07F6B">
              <w:rPr>
                <w:noProof/>
                <w:color w:val="000000"/>
                <w:highlight w:val="black"/>
              </w:rPr>
              <w:t>''''''</w:t>
            </w:r>
            <w:r w:rsidR="00314C90" w:rsidRPr="00EF3C6A">
              <w:t xml:space="preserve"> years </w:t>
            </w:r>
            <w:r w:rsidR="00314C90">
              <w:t xml:space="preserve">in submission; </w:t>
            </w:r>
            <w:r w:rsidR="00B07F6B">
              <w:rPr>
                <w:noProof/>
                <w:color w:val="000000"/>
                <w:highlight w:val="black"/>
              </w:rPr>
              <w:t>'''''</w:t>
            </w:r>
            <w:r w:rsidR="00314C90">
              <w:t xml:space="preserve"> years in pre-PBAC response revised base case</w:t>
            </w:r>
            <w:r w:rsidRPr="00EF3C6A">
              <w:t>)</w:t>
            </w:r>
          </w:p>
        </w:tc>
      </w:tr>
      <w:tr w:rsidR="00EC27AB" w:rsidRPr="00EF3C6A" w:rsidTr="00EC27AB">
        <w:tc>
          <w:tcPr>
            <w:tcW w:w="1374" w:type="pct"/>
            <w:vAlign w:val="center"/>
          </w:tcPr>
          <w:p w:rsidR="00EC27AB" w:rsidRPr="00EF3C6A" w:rsidRDefault="00EC27AB" w:rsidP="007C45F1">
            <w:pPr>
              <w:pStyle w:val="Tabletext"/>
              <w:keepNext/>
              <w:keepLines/>
            </w:pPr>
            <w:r w:rsidRPr="00EF3C6A">
              <w:t>Software package</w:t>
            </w:r>
          </w:p>
        </w:tc>
        <w:tc>
          <w:tcPr>
            <w:tcW w:w="3626" w:type="pct"/>
          </w:tcPr>
          <w:p w:rsidR="00EC27AB" w:rsidRPr="00EF3C6A" w:rsidRDefault="00EC27AB" w:rsidP="007C45F1">
            <w:pPr>
              <w:pStyle w:val="Tabletext"/>
              <w:keepNext/>
              <w:keepLines/>
            </w:pPr>
            <w:r w:rsidRPr="00EF3C6A">
              <w:t>Excel 2010</w:t>
            </w:r>
          </w:p>
        </w:tc>
      </w:tr>
    </w:tbl>
    <w:p w:rsidR="00EC27AB" w:rsidRPr="00EF3C6A" w:rsidRDefault="00EC27AB" w:rsidP="007C45F1">
      <w:pPr>
        <w:pStyle w:val="TableFooter"/>
        <w:keepNext/>
        <w:keepLines/>
      </w:pPr>
      <w:r w:rsidRPr="00EF3C6A">
        <w:t xml:space="preserve">PFS = progression free survival, OS = overall survival; KM = Kaplan Meier; AIC = </w:t>
      </w:r>
      <w:proofErr w:type="spellStart"/>
      <w:r w:rsidRPr="00EF3C6A">
        <w:t>Akaike</w:t>
      </w:r>
      <w:proofErr w:type="spellEnd"/>
      <w:r w:rsidRPr="00EF3C6A">
        <w:t xml:space="preserve"> information criterion; BIC = Bayesian information criterion; TTD = time to treatment discontinuation; NIVO = nivolumab; IPI = </w:t>
      </w:r>
      <w:proofErr w:type="spellStart"/>
      <w:r w:rsidRPr="00EF3C6A">
        <w:t>ipilimumab</w:t>
      </w:r>
      <w:proofErr w:type="spellEnd"/>
    </w:p>
    <w:p w:rsidR="00EC27AB" w:rsidRPr="00EF3C6A" w:rsidRDefault="00EC27AB" w:rsidP="007C45F1">
      <w:pPr>
        <w:pStyle w:val="TableFooter"/>
        <w:keepNext/>
        <w:keepLines/>
        <w:rPr>
          <w:sz w:val="20"/>
        </w:rPr>
      </w:pPr>
      <w:r w:rsidRPr="00EF3C6A">
        <w:t>Source: Table 73, p129 Section 3 of the submission</w:t>
      </w:r>
    </w:p>
    <w:p w:rsidR="00EC27AB" w:rsidRPr="00EF3C6A" w:rsidRDefault="00EC27AB" w:rsidP="00EC27AB"/>
    <w:p w:rsidR="00EC27AB" w:rsidRPr="00EF3C6A" w:rsidRDefault="00EC27AB" w:rsidP="00EC27AB">
      <w:pPr>
        <w:pStyle w:val="ListParagraph"/>
        <w:widowControl/>
        <w:numPr>
          <w:ilvl w:val="1"/>
          <w:numId w:val="3"/>
        </w:numPr>
      </w:pPr>
      <w:r w:rsidRPr="00EF3C6A">
        <w:t>In the base case of the economic evaluation:</w:t>
      </w:r>
    </w:p>
    <w:p w:rsidR="00EC27AB" w:rsidRPr="00EF3C6A" w:rsidRDefault="00EC27AB" w:rsidP="00EC27AB">
      <w:pPr>
        <w:pStyle w:val="ListParagraph"/>
        <w:widowControl/>
        <w:numPr>
          <w:ilvl w:val="0"/>
          <w:numId w:val="1"/>
        </w:numPr>
        <w:ind w:left="993"/>
        <w:rPr>
          <w:rFonts w:cs="Calibri"/>
          <w:snapToGrid/>
          <w:szCs w:val="24"/>
          <w:lang w:val="en-US" w:eastAsia="en-AU"/>
        </w:rPr>
      </w:pPr>
      <w:r w:rsidRPr="00EF3C6A">
        <w:rPr>
          <w:rFonts w:cs="Calibri"/>
          <w:snapToGrid/>
          <w:szCs w:val="24"/>
          <w:lang w:val="en-US" w:eastAsia="en-AU"/>
        </w:rPr>
        <w:t xml:space="preserve">KM estimates from CA209214 were used until the mean duration of follow-up for the PFS (NIVO+IPI </w:t>
      </w:r>
      <w:r w:rsidR="00B07F6B">
        <w:rPr>
          <w:rFonts w:cs="Calibri"/>
          <w:noProof/>
          <w:snapToGrid/>
          <w:color w:val="000000"/>
          <w:szCs w:val="24"/>
          <w:highlight w:val="black"/>
          <w:lang w:val="en-US" w:eastAsia="en-AU"/>
        </w:rPr>
        <w:t>'''''''''</w:t>
      </w:r>
      <w:r w:rsidRPr="00EF3C6A">
        <w:rPr>
          <w:rFonts w:cs="Calibri"/>
          <w:snapToGrid/>
          <w:szCs w:val="24"/>
          <w:lang w:val="en-US" w:eastAsia="en-AU"/>
        </w:rPr>
        <w:t xml:space="preserve"> months; </w:t>
      </w:r>
      <w:proofErr w:type="spellStart"/>
      <w:r w:rsidRPr="00EF3C6A">
        <w:rPr>
          <w:rFonts w:cs="Calibri"/>
          <w:snapToGrid/>
          <w:szCs w:val="24"/>
          <w:lang w:val="en-US" w:eastAsia="en-AU"/>
        </w:rPr>
        <w:t>sunitinib</w:t>
      </w:r>
      <w:proofErr w:type="spellEnd"/>
      <w:r w:rsidRPr="00EF3C6A">
        <w:rPr>
          <w:rFonts w:cs="Calibri"/>
          <w:snapToGrid/>
          <w:szCs w:val="24"/>
          <w:lang w:val="en-US" w:eastAsia="en-AU"/>
        </w:rPr>
        <w:t xml:space="preserve"> </w:t>
      </w:r>
      <w:r w:rsidR="00B07F6B">
        <w:rPr>
          <w:rFonts w:cs="Calibri"/>
          <w:noProof/>
          <w:snapToGrid/>
          <w:color w:val="000000"/>
          <w:szCs w:val="24"/>
          <w:highlight w:val="black"/>
          <w:lang w:val="en-US" w:eastAsia="en-AU"/>
        </w:rPr>
        <w:t>''''''''</w:t>
      </w:r>
      <w:r w:rsidRPr="00EF3C6A">
        <w:rPr>
          <w:rFonts w:cs="Calibri"/>
          <w:snapToGrid/>
          <w:szCs w:val="24"/>
          <w:lang w:val="en-US" w:eastAsia="en-AU"/>
        </w:rPr>
        <w:t xml:space="preserve"> months), OS (NIVO+IPI </w:t>
      </w:r>
      <w:r w:rsidR="00B07F6B">
        <w:rPr>
          <w:rFonts w:cs="Calibri"/>
          <w:noProof/>
          <w:snapToGrid/>
          <w:color w:val="000000"/>
          <w:szCs w:val="24"/>
          <w:highlight w:val="black"/>
          <w:lang w:val="en-US" w:eastAsia="en-AU"/>
        </w:rPr>
        <w:t>'''''''''</w:t>
      </w:r>
      <w:r w:rsidRPr="00EF3C6A">
        <w:rPr>
          <w:rFonts w:cs="Calibri"/>
          <w:snapToGrid/>
          <w:szCs w:val="24"/>
          <w:lang w:val="en-US" w:eastAsia="en-AU"/>
        </w:rPr>
        <w:t xml:space="preserve"> months; </w:t>
      </w:r>
      <w:proofErr w:type="spellStart"/>
      <w:r w:rsidRPr="00EF3C6A">
        <w:rPr>
          <w:rFonts w:cs="Calibri"/>
          <w:snapToGrid/>
          <w:szCs w:val="24"/>
          <w:lang w:val="en-US" w:eastAsia="en-AU"/>
        </w:rPr>
        <w:t>sunitinib</w:t>
      </w:r>
      <w:proofErr w:type="spellEnd"/>
      <w:r w:rsidRPr="00EF3C6A">
        <w:rPr>
          <w:rFonts w:cs="Calibri"/>
          <w:snapToGrid/>
          <w:szCs w:val="24"/>
          <w:lang w:val="en-US" w:eastAsia="en-AU"/>
        </w:rPr>
        <w:t xml:space="preserve"> </w:t>
      </w:r>
      <w:r w:rsidR="00B07F6B">
        <w:rPr>
          <w:rFonts w:cs="Calibri"/>
          <w:noProof/>
          <w:snapToGrid/>
          <w:color w:val="000000"/>
          <w:szCs w:val="24"/>
          <w:highlight w:val="black"/>
          <w:lang w:val="en-US" w:eastAsia="en-AU"/>
        </w:rPr>
        <w:t>'''''''''</w:t>
      </w:r>
      <w:r w:rsidRPr="00EF3C6A">
        <w:rPr>
          <w:rFonts w:cs="Calibri"/>
          <w:snapToGrid/>
          <w:szCs w:val="24"/>
          <w:lang w:val="en-US" w:eastAsia="en-AU"/>
        </w:rPr>
        <w:t xml:space="preserve"> months) and TTD curves (NIVO+IPI </w:t>
      </w:r>
      <w:r w:rsidR="00B07F6B">
        <w:rPr>
          <w:rFonts w:cs="Calibri"/>
          <w:noProof/>
          <w:snapToGrid/>
          <w:color w:val="000000"/>
          <w:szCs w:val="24"/>
          <w:highlight w:val="black"/>
          <w:lang w:val="en-US" w:eastAsia="en-AU"/>
        </w:rPr>
        <w:t>'''''</w:t>
      </w:r>
      <w:r w:rsidRPr="00EF3C6A">
        <w:rPr>
          <w:rFonts w:cs="Calibri"/>
          <w:snapToGrid/>
          <w:szCs w:val="24"/>
          <w:lang w:val="en-US" w:eastAsia="en-AU"/>
        </w:rPr>
        <w:t xml:space="preserve"> months; </w:t>
      </w:r>
      <w:proofErr w:type="spellStart"/>
      <w:r w:rsidRPr="00EF3C6A">
        <w:rPr>
          <w:rFonts w:cs="Calibri"/>
          <w:snapToGrid/>
          <w:szCs w:val="24"/>
          <w:lang w:val="en-US" w:eastAsia="en-AU"/>
        </w:rPr>
        <w:t>sunitinib</w:t>
      </w:r>
      <w:proofErr w:type="spellEnd"/>
      <w:r w:rsidRPr="00EF3C6A">
        <w:rPr>
          <w:rFonts w:cs="Calibri"/>
          <w:snapToGrid/>
          <w:szCs w:val="24"/>
          <w:lang w:val="en-US" w:eastAsia="en-AU"/>
        </w:rPr>
        <w:t xml:space="preserve"> </w:t>
      </w:r>
      <w:r w:rsidR="00B07F6B">
        <w:rPr>
          <w:rFonts w:cs="Calibri"/>
          <w:noProof/>
          <w:snapToGrid/>
          <w:color w:val="000000"/>
          <w:szCs w:val="24"/>
          <w:highlight w:val="black"/>
          <w:lang w:val="en-US" w:eastAsia="en-AU"/>
        </w:rPr>
        <w:t>'''''''''</w:t>
      </w:r>
      <w:r w:rsidRPr="00EF3C6A">
        <w:rPr>
          <w:rFonts w:cs="Calibri"/>
          <w:snapToGrid/>
          <w:szCs w:val="24"/>
          <w:lang w:val="en-US" w:eastAsia="en-AU"/>
        </w:rPr>
        <w:t xml:space="preserve"> months); </w:t>
      </w:r>
    </w:p>
    <w:p w:rsidR="00EC27AB" w:rsidRPr="00EF3C6A" w:rsidRDefault="00EC27AB" w:rsidP="00EC27AB">
      <w:pPr>
        <w:pStyle w:val="ListParagraph"/>
        <w:widowControl/>
        <w:numPr>
          <w:ilvl w:val="0"/>
          <w:numId w:val="1"/>
        </w:numPr>
        <w:ind w:left="993"/>
        <w:rPr>
          <w:rFonts w:cs="Calibri"/>
          <w:snapToGrid/>
          <w:szCs w:val="24"/>
          <w:lang w:val="en-US" w:eastAsia="en-AU"/>
        </w:rPr>
      </w:pPr>
      <w:r w:rsidRPr="00EF3C6A">
        <w:rPr>
          <w:rFonts w:cs="Calibri"/>
          <w:snapToGrid/>
          <w:szCs w:val="24"/>
          <w:lang w:val="en-US" w:eastAsia="en-AU"/>
        </w:rPr>
        <w:t xml:space="preserve">The PFS, OS and TTD curves were extrapolated from the mean duration of follow up until </w:t>
      </w:r>
      <w:r w:rsidR="00B07F6B">
        <w:rPr>
          <w:rFonts w:cs="Calibri"/>
          <w:noProof/>
          <w:snapToGrid/>
          <w:color w:val="000000"/>
          <w:szCs w:val="24"/>
          <w:highlight w:val="black"/>
          <w:lang w:val="en-US" w:eastAsia="en-AU"/>
        </w:rPr>
        <w:t xml:space="preserve">'''''' </w:t>
      </w:r>
      <w:r w:rsidRPr="00EF3C6A">
        <w:rPr>
          <w:rFonts w:cs="Calibri"/>
          <w:snapToGrid/>
          <w:szCs w:val="24"/>
          <w:lang w:val="en-US" w:eastAsia="en-AU"/>
        </w:rPr>
        <w:t>months (</w:t>
      </w:r>
      <w:r w:rsidR="00B07F6B">
        <w:rPr>
          <w:rFonts w:cs="Calibri"/>
          <w:noProof/>
          <w:snapToGrid/>
          <w:color w:val="000000"/>
          <w:szCs w:val="24"/>
          <w:highlight w:val="black"/>
          <w:lang w:val="en-US" w:eastAsia="en-AU"/>
        </w:rPr>
        <w:t>'''</w:t>
      </w:r>
      <w:r w:rsidRPr="00EF3C6A">
        <w:rPr>
          <w:rFonts w:cs="Calibri"/>
          <w:snapToGrid/>
          <w:szCs w:val="24"/>
          <w:lang w:val="en-US" w:eastAsia="en-AU"/>
        </w:rPr>
        <w:t xml:space="preserve"> years);</w:t>
      </w:r>
    </w:p>
    <w:p w:rsidR="00EC27AB" w:rsidRPr="00EF3C6A" w:rsidRDefault="00EC27AB" w:rsidP="00EC27AB">
      <w:pPr>
        <w:pStyle w:val="ListParagraph"/>
        <w:widowControl/>
        <w:numPr>
          <w:ilvl w:val="0"/>
          <w:numId w:val="1"/>
        </w:numPr>
        <w:ind w:left="993"/>
        <w:rPr>
          <w:rFonts w:cs="Calibri"/>
          <w:snapToGrid/>
          <w:szCs w:val="24"/>
          <w:lang w:val="en-US" w:eastAsia="en-AU"/>
        </w:rPr>
      </w:pPr>
      <w:r w:rsidRPr="00EF3C6A">
        <w:rPr>
          <w:rFonts w:cs="Calibri"/>
          <w:snapToGrid/>
          <w:szCs w:val="24"/>
          <w:lang w:val="en-US" w:eastAsia="en-AU"/>
        </w:rPr>
        <w:t xml:space="preserve">Beyond 6 years, the PFS, OS and TTD curves were assumed to converge between the beginning of year </w:t>
      </w:r>
      <w:r w:rsidR="00B07F6B">
        <w:rPr>
          <w:rFonts w:cs="Calibri"/>
          <w:noProof/>
          <w:snapToGrid/>
          <w:color w:val="000000"/>
          <w:szCs w:val="24"/>
          <w:highlight w:val="black"/>
          <w:lang w:val="en-US" w:eastAsia="en-AU"/>
        </w:rPr>
        <w:t xml:space="preserve">''' </w:t>
      </w:r>
      <w:r w:rsidRPr="00EF3C6A">
        <w:rPr>
          <w:rFonts w:cs="Calibri"/>
          <w:snapToGrid/>
          <w:szCs w:val="24"/>
          <w:lang w:val="en-US" w:eastAsia="en-AU"/>
        </w:rPr>
        <w:t xml:space="preserve">and the end of year </w:t>
      </w:r>
      <w:r w:rsidR="00B07F6B">
        <w:rPr>
          <w:rFonts w:cs="Calibri"/>
          <w:noProof/>
          <w:snapToGrid/>
          <w:color w:val="000000"/>
          <w:szCs w:val="24"/>
          <w:highlight w:val="black"/>
          <w:lang w:val="en-US" w:eastAsia="en-AU"/>
        </w:rPr>
        <w:t>'''''</w:t>
      </w:r>
      <w:r w:rsidRPr="00EF3C6A">
        <w:rPr>
          <w:rFonts w:cs="Calibri"/>
          <w:snapToGrid/>
          <w:szCs w:val="24"/>
          <w:lang w:val="en-US" w:eastAsia="en-AU"/>
        </w:rPr>
        <w:t xml:space="preserve">. </w:t>
      </w:r>
    </w:p>
    <w:p w:rsidR="00EC27AB" w:rsidRPr="00EF3C6A" w:rsidRDefault="00EC27AB" w:rsidP="00EC27AB">
      <w:pPr>
        <w:pStyle w:val="ListParagraph"/>
        <w:widowControl/>
        <w:numPr>
          <w:ilvl w:val="1"/>
          <w:numId w:val="3"/>
        </w:numPr>
      </w:pPr>
      <w:r w:rsidRPr="00EF3C6A">
        <w:t>For the extrapolation of overall survival</w:t>
      </w:r>
      <w:r w:rsidR="0032790E" w:rsidRPr="00EF3C6A">
        <w:t xml:space="preserve"> to </w:t>
      </w:r>
      <w:r w:rsidR="00B07F6B">
        <w:rPr>
          <w:noProof/>
          <w:color w:val="000000"/>
          <w:highlight w:val="black"/>
        </w:rPr>
        <w:t>'''''</w:t>
      </w:r>
      <w:r w:rsidR="0032790E" w:rsidRPr="00EF3C6A">
        <w:t xml:space="preserve"> years</w:t>
      </w:r>
      <w:r w:rsidRPr="00EF3C6A">
        <w:t xml:space="preserve">, the submission assumed that the proportional hazards assumption held on the basis of a visual inspection of the log cumulative hazard plot beyond </w:t>
      </w:r>
      <w:r w:rsidR="00B07F6B">
        <w:rPr>
          <w:noProof/>
          <w:color w:val="000000"/>
          <w:highlight w:val="black"/>
        </w:rPr>
        <w:t>'''</w:t>
      </w:r>
      <w:r w:rsidRPr="00EF3C6A">
        <w:t xml:space="preserve"> months. The </w:t>
      </w:r>
      <w:r w:rsidR="00506F28">
        <w:t>ESC</w:t>
      </w:r>
      <w:r w:rsidR="0029376B">
        <w:t xml:space="preserve"> and the PBAC</w:t>
      </w:r>
      <w:r w:rsidR="00506F28">
        <w:t xml:space="preserve"> considered that the </w:t>
      </w:r>
      <w:r w:rsidRPr="00EF3C6A">
        <w:t xml:space="preserve">measure of relative treatment effect beyond the trial duration </w:t>
      </w:r>
      <w:r w:rsidR="00BC212E" w:rsidRPr="00EF3C6A">
        <w:t xml:space="preserve">was </w:t>
      </w:r>
      <w:r w:rsidRPr="00EF3C6A">
        <w:t xml:space="preserve">highly uncertain given that median OS had not yet been reached in the NIVO+IPI arm. </w:t>
      </w:r>
    </w:p>
    <w:p w:rsidR="0032790E" w:rsidRPr="00EF3C6A" w:rsidRDefault="00BC212E" w:rsidP="00A03CB6">
      <w:pPr>
        <w:pStyle w:val="ListParagraph"/>
        <w:widowControl/>
        <w:numPr>
          <w:ilvl w:val="1"/>
          <w:numId w:val="3"/>
        </w:numPr>
      </w:pPr>
      <w:r w:rsidRPr="00EF3C6A">
        <w:t>The PSCR argued that the assumption of proportional hazards was justified on the basis of parallel characteristics in the log cumulative hazard plot for OS</w:t>
      </w:r>
      <w:r w:rsidR="00B918A6" w:rsidRPr="00EF3C6A">
        <w:t xml:space="preserve"> beyond </w:t>
      </w:r>
      <w:r w:rsidR="00B07F6B">
        <w:rPr>
          <w:noProof/>
          <w:color w:val="000000"/>
          <w:highlight w:val="black"/>
        </w:rPr>
        <w:t>'''''</w:t>
      </w:r>
      <w:r w:rsidR="00B918A6" w:rsidRPr="00EF3C6A">
        <w:t xml:space="preserve"> months</w:t>
      </w:r>
      <w:r w:rsidR="0029376B">
        <w:t>, refer to Figure 2(b)</w:t>
      </w:r>
      <w:r w:rsidRPr="00EF3C6A">
        <w:t xml:space="preserve">. </w:t>
      </w:r>
      <w:r w:rsidR="004950A0" w:rsidRPr="00EF3C6A">
        <w:t>However, t</w:t>
      </w:r>
      <w:r w:rsidR="0032790E" w:rsidRPr="00EF3C6A">
        <w:t>he ESC considered that proportional hazards observed in the early stages of follow-up</w:t>
      </w:r>
      <w:r w:rsidR="008C2367" w:rsidRPr="00EF3C6A">
        <w:t xml:space="preserve"> are frequently not</w:t>
      </w:r>
      <w:r w:rsidR="0032790E" w:rsidRPr="00EF3C6A">
        <w:t xml:space="preserve"> maintained. The ESC considered that the OS curves appear to start to converge from around </w:t>
      </w:r>
      <w:r w:rsidR="00B07F6B">
        <w:rPr>
          <w:noProof/>
          <w:color w:val="000000"/>
          <w:highlight w:val="black"/>
        </w:rPr>
        <w:t>'''''</w:t>
      </w:r>
      <w:r w:rsidR="0032790E" w:rsidRPr="00EF3C6A">
        <w:t xml:space="preserve"> months follow-up</w:t>
      </w:r>
      <w:r w:rsidR="00A03CB6" w:rsidRPr="00EF3C6A">
        <w:t xml:space="preserve">, although acknowledged there </w:t>
      </w:r>
      <w:r w:rsidR="00A034CB" w:rsidRPr="00EF3C6A">
        <w:t>may be</w:t>
      </w:r>
      <w:r w:rsidR="00A03CB6" w:rsidRPr="00EF3C6A">
        <w:t xml:space="preserve"> limited numbers of patients at risk at this time. Given the immaturity of the trial data, the ESC c</w:t>
      </w:r>
      <w:r w:rsidR="0032790E" w:rsidRPr="00EF3C6A">
        <w:t xml:space="preserve">onsidered that it was not reasonable to assume proportional hazards </w:t>
      </w:r>
      <w:r w:rsidR="008C2367" w:rsidRPr="00EF3C6A">
        <w:t>for</w:t>
      </w:r>
      <w:r w:rsidR="0032790E" w:rsidRPr="00EF3C6A">
        <w:t xml:space="preserve"> </w:t>
      </w:r>
      <w:r w:rsidR="00B07F6B">
        <w:rPr>
          <w:noProof/>
          <w:color w:val="000000"/>
          <w:highlight w:val="black"/>
        </w:rPr>
        <w:t>'''''</w:t>
      </w:r>
      <w:r w:rsidR="0032790E" w:rsidRPr="00EF3C6A">
        <w:t xml:space="preserve"> months.</w:t>
      </w:r>
      <w:r w:rsidR="00A1786F">
        <w:t xml:space="preserve"> </w:t>
      </w:r>
    </w:p>
    <w:p w:rsidR="00B918A6" w:rsidRPr="00EF3C6A" w:rsidRDefault="00B918A6" w:rsidP="009A35DB">
      <w:pPr>
        <w:pStyle w:val="PBACHeading1"/>
        <w:keepNext/>
        <w:keepLines/>
        <w:numPr>
          <w:ilvl w:val="0"/>
          <w:numId w:val="0"/>
        </w:numPr>
        <w:rPr>
          <w:rStyle w:val="CommentReference"/>
          <w:b/>
        </w:rPr>
      </w:pPr>
      <w:bookmarkStart w:id="14" w:name="_Ref512256278"/>
      <w:bookmarkStart w:id="15" w:name="_Toc508095034"/>
      <w:r w:rsidRPr="00EF3C6A">
        <w:rPr>
          <w:rStyle w:val="CommentReference"/>
          <w:b/>
        </w:rPr>
        <w:lastRenderedPageBreak/>
        <w:t xml:space="preserve">Figure </w:t>
      </w:r>
      <w:bookmarkEnd w:id="14"/>
      <w:r w:rsidR="004950A0" w:rsidRPr="00EF3C6A">
        <w:rPr>
          <w:rStyle w:val="CommentReference"/>
          <w:b/>
        </w:rPr>
        <w:t>2</w:t>
      </w:r>
      <w:r w:rsidRPr="00EF3C6A">
        <w:rPr>
          <w:rStyle w:val="CommentReference"/>
          <w:b/>
        </w:rPr>
        <w:t xml:space="preserve">: </w:t>
      </w:r>
      <w:r w:rsidR="00A03CB6" w:rsidRPr="00EF3C6A">
        <w:rPr>
          <w:rStyle w:val="CommentReference"/>
          <w:b/>
        </w:rPr>
        <w:t>(a) Kaplan</w:t>
      </w:r>
      <w:r w:rsidR="000A0B00" w:rsidRPr="00EF3C6A">
        <w:rPr>
          <w:rStyle w:val="CommentReference"/>
          <w:b/>
        </w:rPr>
        <w:t xml:space="preserve"> </w:t>
      </w:r>
      <w:r w:rsidR="00A03CB6" w:rsidRPr="00EF3C6A">
        <w:rPr>
          <w:rStyle w:val="CommentReference"/>
          <w:b/>
        </w:rPr>
        <w:t xml:space="preserve">Meier plot for Overall Survival – intermediate and poor risk, CA209214 (b) </w:t>
      </w:r>
      <w:r w:rsidRPr="00EF3C6A">
        <w:rPr>
          <w:rStyle w:val="CommentReference"/>
          <w:b/>
        </w:rPr>
        <w:t>Log cumulative hazard plot for OS – intermediate/poor risk, CA209214</w:t>
      </w:r>
      <w:bookmarkEnd w:id="15"/>
    </w:p>
    <w:p w:rsidR="00B918A6" w:rsidRPr="00B07F6B" w:rsidRDefault="00B07F6B" w:rsidP="009A35DB">
      <w:pPr>
        <w:pStyle w:val="PBACHeading1"/>
        <w:keepNext/>
        <w:keepLines/>
        <w:numPr>
          <w:ilvl w:val="0"/>
          <w:numId w:val="0"/>
        </w:numPr>
        <w:rPr>
          <w:rStyle w:val="CommentReference"/>
          <w:highlight w:val="black"/>
        </w:rPr>
      </w:pPr>
      <w:r>
        <w:rPr>
          <w:rFonts w:ascii="Arial Narrow" w:hAnsi="Arial Narrow"/>
          <w:b w:val="0"/>
          <w:noProof/>
          <w:snapToGrid/>
          <w:sz w:val="20"/>
          <w:szCs w:val="16"/>
          <w:lang w:eastAsia="en-AU"/>
        </w:rPr>
        <w:drawing>
          <wp:inline distT="0" distB="0" distL="0" distR="0" wp14:anchorId="1EF24ECB" wp14:editId="50C57D04">
            <wp:extent cx="2830830" cy="1663700"/>
            <wp:effectExtent l="0" t="0" r="7620" b="0"/>
            <wp:docPr id="6" name="Picture 6" title="Figure 2: (a) Kaplan Meier plot for Overall Survival – intermediate and poor risk, CA209214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30830" cy="1663700"/>
                    </a:xfrm>
                    <a:prstGeom prst="rect">
                      <a:avLst/>
                    </a:prstGeom>
                  </pic:spPr>
                </pic:pic>
              </a:graphicData>
            </a:graphic>
          </wp:inline>
        </w:drawing>
      </w:r>
      <w:r>
        <w:rPr>
          <w:rFonts w:ascii="Arial Narrow" w:hAnsi="Arial Narrow"/>
          <w:b w:val="0"/>
          <w:noProof/>
          <w:snapToGrid/>
          <w:sz w:val="20"/>
          <w:szCs w:val="16"/>
          <w:lang w:eastAsia="en-AU"/>
        </w:rPr>
        <w:drawing>
          <wp:inline distT="0" distB="0" distL="0" distR="0" wp14:anchorId="4359CFEE" wp14:editId="678AB041">
            <wp:extent cx="2886075" cy="1694815"/>
            <wp:effectExtent l="0" t="0" r="9525" b="635"/>
            <wp:docPr id="5" name="Picture 5" title="Figure 2:  (b) Log cumulative hazard plot for OS – intermediate/poor risk, CA2092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86075" cy="1694815"/>
                    </a:xfrm>
                    <a:prstGeom prst="rect">
                      <a:avLst/>
                    </a:prstGeom>
                  </pic:spPr>
                </pic:pic>
              </a:graphicData>
            </a:graphic>
          </wp:inline>
        </w:drawing>
      </w:r>
    </w:p>
    <w:p w:rsidR="00B918A6" w:rsidRPr="00EF3C6A" w:rsidRDefault="00B918A6" w:rsidP="009A35DB">
      <w:pPr>
        <w:pStyle w:val="PBACHeading1"/>
        <w:keepNext/>
        <w:keepLines/>
        <w:numPr>
          <w:ilvl w:val="0"/>
          <w:numId w:val="0"/>
        </w:numPr>
        <w:rPr>
          <w:rFonts w:ascii="Arial Narrow" w:hAnsi="Arial Narrow"/>
          <w:b w:val="0"/>
          <w:snapToGrid/>
          <w:sz w:val="18"/>
          <w:lang w:val="en-US" w:eastAsia="en-AU"/>
        </w:rPr>
      </w:pPr>
      <w:r w:rsidRPr="00EF3C6A">
        <w:rPr>
          <w:rFonts w:ascii="Arial Narrow" w:hAnsi="Arial Narrow"/>
          <w:b w:val="0"/>
          <w:snapToGrid/>
          <w:sz w:val="18"/>
          <w:lang w:val="en-US" w:eastAsia="en-AU"/>
        </w:rPr>
        <w:t xml:space="preserve">Source: Figures 30 and 31, p150 Section 3 of the submission </w:t>
      </w:r>
    </w:p>
    <w:p w:rsidR="0032790E" w:rsidRPr="00EF3C6A" w:rsidRDefault="0032790E" w:rsidP="00B918A6">
      <w:pPr>
        <w:pStyle w:val="PBACHeading1"/>
        <w:numPr>
          <w:ilvl w:val="0"/>
          <w:numId w:val="0"/>
        </w:numPr>
        <w:ind w:left="720" w:hanging="720"/>
        <w:rPr>
          <w:sz w:val="24"/>
          <w:szCs w:val="24"/>
        </w:rPr>
      </w:pPr>
    </w:p>
    <w:p w:rsidR="0015343C" w:rsidRPr="00EF3C6A" w:rsidRDefault="0015343C" w:rsidP="00115BE8">
      <w:pPr>
        <w:pStyle w:val="ListParagraph"/>
        <w:widowControl/>
        <w:numPr>
          <w:ilvl w:val="1"/>
          <w:numId w:val="3"/>
        </w:numPr>
      </w:pPr>
      <w:r w:rsidRPr="00EF3C6A">
        <w:t xml:space="preserve">The figure below shows the extrapolated </w:t>
      </w:r>
      <w:r w:rsidR="00A034CB" w:rsidRPr="00EF3C6A">
        <w:t xml:space="preserve">OS </w:t>
      </w:r>
      <w:r w:rsidRPr="00EF3C6A">
        <w:t>curve</w:t>
      </w:r>
      <w:r w:rsidR="00A034CB" w:rsidRPr="00EF3C6A">
        <w:t>s</w:t>
      </w:r>
      <w:r w:rsidRPr="00EF3C6A">
        <w:t xml:space="preserve"> </w:t>
      </w:r>
      <w:r w:rsidR="00A034CB" w:rsidRPr="00EF3C6A">
        <w:t>from</w:t>
      </w:r>
      <w:r w:rsidRPr="00EF3C6A">
        <w:t xml:space="preserve"> the base case of the</w:t>
      </w:r>
      <w:r w:rsidR="00136B30">
        <w:t xml:space="preserve"> </w:t>
      </w:r>
      <w:r w:rsidR="00A1786F">
        <w:t xml:space="preserve">submission’s </w:t>
      </w:r>
      <w:r w:rsidRPr="00EF3C6A">
        <w:t xml:space="preserve">economic model </w:t>
      </w:r>
      <w:r w:rsidR="002B4757" w:rsidRPr="00EF3C6A">
        <w:t>and</w:t>
      </w:r>
      <w:r w:rsidRPr="00EF3C6A">
        <w:t xml:space="preserve"> the Kaplan Meier</w:t>
      </w:r>
      <w:r w:rsidR="000A0B00" w:rsidRPr="00EF3C6A">
        <w:t xml:space="preserve"> </w:t>
      </w:r>
      <w:r w:rsidR="00A034CB" w:rsidRPr="00EF3C6A">
        <w:t xml:space="preserve">OS </w:t>
      </w:r>
      <w:r w:rsidR="000A0B00" w:rsidRPr="00EF3C6A">
        <w:t xml:space="preserve">curve observed in the clinical trial. The figure shows the period in which proportional hazards </w:t>
      </w:r>
      <w:r w:rsidR="00A034CB" w:rsidRPr="00EF3C6A">
        <w:t>we</w:t>
      </w:r>
      <w:r w:rsidR="000A0B00" w:rsidRPr="00EF3C6A">
        <w:t xml:space="preserve">re assumed </w:t>
      </w:r>
      <w:r w:rsidR="00B07F6B">
        <w:rPr>
          <w:noProof/>
          <w:color w:val="000000"/>
          <w:highlight w:val="black"/>
        </w:rPr>
        <w:t>''''''</w:t>
      </w:r>
      <w:r w:rsidR="002C3582" w:rsidRPr="00EF3C6A">
        <w:t xml:space="preserve"> to </w:t>
      </w:r>
      <w:r w:rsidR="00B07F6B">
        <w:rPr>
          <w:noProof/>
          <w:color w:val="000000"/>
          <w:highlight w:val="black"/>
        </w:rPr>
        <w:t xml:space="preserve">''' </w:t>
      </w:r>
      <w:r w:rsidR="002C3582" w:rsidRPr="00EF3C6A">
        <w:t>years</w:t>
      </w:r>
      <w:r w:rsidR="002B4757" w:rsidRPr="00EF3C6A">
        <w:t xml:space="preserve">), followed by the period of convergence </w:t>
      </w:r>
      <w:r w:rsidR="002C3582" w:rsidRPr="00EF3C6A">
        <w:t>(</w:t>
      </w:r>
      <w:r w:rsidR="00B07F6B">
        <w:rPr>
          <w:noProof/>
          <w:color w:val="000000"/>
          <w:highlight w:val="black"/>
        </w:rPr>
        <w:t>'''</w:t>
      </w:r>
      <w:r w:rsidR="002C3582" w:rsidRPr="00EF3C6A">
        <w:t xml:space="preserve"> </w:t>
      </w:r>
      <w:r w:rsidR="002B4757" w:rsidRPr="00EF3C6A">
        <w:t xml:space="preserve">to </w:t>
      </w:r>
      <w:r w:rsidR="00B07F6B">
        <w:rPr>
          <w:noProof/>
          <w:color w:val="000000"/>
          <w:highlight w:val="black"/>
        </w:rPr>
        <w:t>'''''</w:t>
      </w:r>
      <w:r w:rsidR="002B4757" w:rsidRPr="00EF3C6A">
        <w:t xml:space="preserve"> years</w:t>
      </w:r>
      <w:r w:rsidR="002C3582" w:rsidRPr="00EF3C6A">
        <w:t>)</w:t>
      </w:r>
      <w:r w:rsidR="002B4757" w:rsidRPr="00EF3C6A">
        <w:t xml:space="preserve">. </w:t>
      </w:r>
      <w:r w:rsidR="00F577D0" w:rsidRPr="00EF3C6A">
        <w:t xml:space="preserve">The ESC </w:t>
      </w:r>
      <w:r w:rsidR="006A0FE3">
        <w:t xml:space="preserve">and the PBAC </w:t>
      </w:r>
      <w:r w:rsidR="00F577D0" w:rsidRPr="00EF3C6A">
        <w:t xml:space="preserve">considered that the overall extrapolation method resulted in a </w:t>
      </w:r>
      <w:r w:rsidR="00714E34" w:rsidRPr="00EF3C6A">
        <w:t>prol</w:t>
      </w:r>
      <w:r w:rsidR="00F577D0" w:rsidRPr="00EF3C6A">
        <w:t>ong</w:t>
      </w:r>
      <w:r w:rsidR="00714E34" w:rsidRPr="00EF3C6A">
        <w:t>ed</w:t>
      </w:r>
      <w:r w:rsidR="00F577D0" w:rsidRPr="00EF3C6A">
        <w:t xml:space="preserve"> </w:t>
      </w:r>
      <w:r w:rsidR="00714E34" w:rsidRPr="00EF3C6A">
        <w:t xml:space="preserve">duration in which </w:t>
      </w:r>
      <w:r w:rsidR="00F577D0" w:rsidRPr="00EF3C6A">
        <w:t xml:space="preserve">a survival </w:t>
      </w:r>
      <w:r w:rsidR="002C3582" w:rsidRPr="00EF3C6A">
        <w:t>benefit</w:t>
      </w:r>
      <w:r w:rsidR="00F577D0" w:rsidRPr="00EF3C6A">
        <w:t xml:space="preserve"> was assu</w:t>
      </w:r>
      <w:r w:rsidR="00714E34" w:rsidRPr="00EF3C6A">
        <w:t>med, which</w:t>
      </w:r>
      <w:r w:rsidR="00F577D0" w:rsidRPr="00EF3C6A">
        <w:t xml:space="preserve"> was not </w:t>
      </w:r>
      <w:r w:rsidR="00714E34" w:rsidRPr="00EF3C6A">
        <w:t xml:space="preserve">adequately </w:t>
      </w:r>
      <w:r w:rsidR="00F577D0" w:rsidRPr="00EF3C6A">
        <w:t>supported by the clinical data</w:t>
      </w:r>
      <w:r w:rsidR="00714E34" w:rsidRPr="00EF3C6A">
        <w:t xml:space="preserve"> (which had a mean duration of follow-up of </w:t>
      </w:r>
      <w:r w:rsidR="00B07F6B">
        <w:rPr>
          <w:noProof/>
          <w:color w:val="000000"/>
          <w:highlight w:val="black"/>
        </w:rPr>
        <w:t>''''''</w:t>
      </w:r>
      <w:r w:rsidR="00714E34" w:rsidRPr="00EF3C6A">
        <w:t xml:space="preserve"> months for OS)</w:t>
      </w:r>
      <w:r w:rsidR="00F577D0" w:rsidRPr="00EF3C6A">
        <w:t xml:space="preserve">. </w:t>
      </w:r>
    </w:p>
    <w:p w:rsidR="0015343C" w:rsidRPr="00EF3C6A" w:rsidRDefault="0015343C" w:rsidP="000A0B00">
      <w:pPr>
        <w:pStyle w:val="ListParagraph"/>
        <w:keepNext/>
        <w:keepLines/>
        <w:widowControl/>
        <w:spacing w:after="0"/>
        <w:ind w:hanging="720"/>
      </w:pPr>
      <w:r w:rsidRPr="00EF3C6A">
        <w:rPr>
          <w:rStyle w:val="CommentReference"/>
        </w:rPr>
        <w:t>Figure 3: Kaplan Meier survival curves from CA209214 and model traces for OS</w:t>
      </w:r>
      <w:r w:rsidR="00723EF1">
        <w:rPr>
          <w:rStyle w:val="CommentReference"/>
        </w:rPr>
        <w:t xml:space="preserve"> (submission base case)</w:t>
      </w:r>
    </w:p>
    <w:p w:rsidR="0015343C" w:rsidRPr="00EF3C6A" w:rsidRDefault="00B07F6B" w:rsidP="009A35DB">
      <w:pPr>
        <w:pStyle w:val="ListParagraph"/>
        <w:keepNext/>
        <w:keepLines/>
        <w:widowControl/>
        <w:spacing w:after="0"/>
        <w:ind w:hanging="720"/>
      </w:pPr>
      <w:r>
        <w:rPr>
          <w:noProof/>
          <w:snapToGrid/>
          <w:lang w:eastAsia="en-AU"/>
        </w:rPr>
        <w:drawing>
          <wp:inline distT="0" distB="0" distL="0" distR="0" wp14:anchorId="4E98A2CD" wp14:editId="50AA6F9C">
            <wp:extent cx="4800600" cy="2895600"/>
            <wp:effectExtent l="0" t="0" r="0" b="0"/>
            <wp:docPr id="4" name="Picture 4" title="Figure 3: Kaplan Meier survival curves from CA209214 and model traces for OS (submission base cas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800600" cy="2895600"/>
                    </a:xfrm>
                    <a:prstGeom prst="rect">
                      <a:avLst/>
                    </a:prstGeom>
                  </pic:spPr>
                </pic:pic>
              </a:graphicData>
            </a:graphic>
          </wp:inline>
        </w:drawing>
      </w:r>
    </w:p>
    <w:p w:rsidR="0015343C" w:rsidRPr="00EF3C6A" w:rsidRDefault="0015343C" w:rsidP="0015343C">
      <w:pPr>
        <w:pStyle w:val="PBACHeading1"/>
        <w:keepNext/>
        <w:keepLines/>
        <w:numPr>
          <w:ilvl w:val="0"/>
          <w:numId w:val="0"/>
        </w:numPr>
      </w:pPr>
      <w:r w:rsidRPr="00EF3C6A">
        <w:rPr>
          <w:rFonts w:ascii="Arial Narrow" w:hAnsi="Arial Narrow"/>
          <w:b w:val="0"/>
          <w:snapToGrid/>
          <w:sz w:val="18"/>
          <w:lang w:val="en-US" w:eastAsia="en-AU"/>
        </w:rPr>
        <w:t>Source: ‘Active traces’ tab of the economic model ‘Att_12_CEA_NIVO+IPI_1LRCC’</w:t>
      </w:r>
    </w:p>
    <w:p w:rsidR="0015343C" w:rsidRPr="00EF3C6A" w:rsidRDefault="0015343C" w:rsidP="00FF4CF1">
      <w:pPr>
        <w:pStyle w:val="PBACHeading1"/>
        <w:numPr>
          <w:ilvl w:val="0"/>
          <w:numId w:val="0"/>
        </w:numPr>
        <w:rPr>
          <w:sz w:val="24"/>
          <w:szCs w:val="24"/>
        </w:rPr>
      </w:pPr>
    </w:p>
    <w:p w:rsidR="00506F28" w:rsidRDefault="00C81701" w:rsidP="00AD1888">
      <w:pPr>
        <w:pStyle w:val="ListParagraph"/>
        <w:widowControl/>
        <w:numPr>
          <w:ilvl w:val="1"/>
          <w:numId w:val="3"/>
        </w:numPr>
        <w:rPr>
          <w:rFonts w:cs="Calibri"/>
          <w:snapToGrid/>
          <w:szCs w:val="24"/>
          <w:lang w:val="en-US" w:eastAsia="en-AU"/>
        </w:rPr>
      </w:pPr>
      <w:r>
        <w:t>While t</w:t>
      </w:r>
      <w:r w:rsidR="00506F28">
        <w:rPr>
          <w:rFonts w:cs="Calibri"/>
          <w:snapToGrid/>
          <w:szCs w:val="24"/>
          <w:lang w:val="en-US" w:eastAsia="en-AU"/>
        </w:rPr>
        <w:t xml:space="preserve">he Pre-PBAC response </w:t>
      </w:r>
      <w:r w:rsidR="00E950CD">
        <w:rPr>
          <w:rFonts w:cs="Calibri"/>
          <w:snapToGrid/>
          <w:szCs w:val="24"/>
          <w:lang w:val="en-US" w:eastAsia="en-AU"/>
        </w:rPr>
        <w:t>acknowledged</w:t>
      </w:r>
      <w:r w:rsidR="00506F28" w:rsidRPr="00506F28">
        <w:rPr>
          <w:rFonts w:cs="Calibri"/>
          <w:snapToGrid/>
          <w:szCs w:val="24"/>
          <w:lang w:val="en-US" w:eastAsia="en-AU"/>
        </w:rPr>
        <w:t xml:space="preserve"> </w:t>
      </w:r>
      <w:r w:rsidR="00E950CD">
        <w:rPr>
          <w:rFonts w:cs="Calibri"/>
          <w:snapToGrid/>
          <w:szCs w:val="24"/>
          <w:lang w:val="en-US" w:eastAsia="en-AU"/>
        </w:rPr>
        <w:t xml:space="preserve">that </w:t>
      </w:r>
      <w:r w:rsidR="00506F28" w:rsidRPr="00506F28">
        <w:rPr>
          <w:rFonts w:cs="Calibri"/>
          <w:snapToGrid/>
          <w:szCs w:val="24"/>
          <w:lang w:val="en-US" w:eastAsia="en-AU"/>
        </w:rPr>
        <w:t xml:space="preserve">the </w:t>
      </w:r>
      <w:r w:rsidR="00E950CD">
        <w:rPr>
          <w:rFonts w:cs="Calibri"/>
          <w:snapToGrid/>
          <w:szCs w:val="24"/>
          <w:lang w:val="en-US" w:eastAsia="en-AU"/>
        </w:rPr>
        <w:t>assumptions relating to extrapolation and convergence were subjective</w:t>
      </w:r>
      <w:r>
        <w:rPr>
          <w:rFonts w:cs="Calibri"/>
          <w:snapToGrid/>
          <w:szCs w:val="24"/>
          <w:lang w:val="en-US" w:eastAsia="en-AU"/>
        </w:rPr>
        <w:t>,</w:t>
      </w:r>
      <w:r w:rsidR="00E950CD">
        <w:rPr>
          <w:rFonts w:cs="Calibri"/>
          <w:snapToGrid/>
          <w:szCs w:val="24"/>
          <w:lang w:val="en-US" w:eastAsia="en-AU"/>
        </w:rPr>
        <w:t xml:space="preserve"> </w:t>
      </w:r>
      <w:r>
        <w:rPr>
          <w:rFonts w:cs="Calibri"/>
          <w:snapToGrid/>
          <w:szCs w:val="24"/>
          <w:lang w:val="en-US" w:eastAsia="en-AU"/>
        </w:rPr>
        <w:t>i</w:t>
      </w:r>
      <w:r w:rsidR="00506F28">
        <w:rPr>
          <w:rFonts w:cs="Calibri"/>
          <w:snapToGrid/>
          <w:szCs w:val="24"/>
          <w:lang w:val="en-US" w:eastAsia="en-AU"/>
        </w:rPr>
        <w:t xml:space="preserve">t </w:t>
      </w:r>
      <w:r w:rsidR="00E950CD">
        <w:rPr>
          <w:rFonts w:cs="Calibri"/>
          <w:snapToGrid/>
          <w:szCs w:val="24"/>
          <w:lang w:val="en-US" w:eastAsia="en-AU"/>
        </w:rPr>
        <w:t xml:space="preserve">stated </w:t>
      </w:r>
      <w:r w:rsidR="00506F28">
        <w:rPr>
          <w:rFonts w:cs="Calibri"/>
          <w:snapToGrid/>
          <w:szCs w:val="24"/>
          <w:lang w:val="en-US" w:eastAsia="en-AU"/>
        </w:rPr>
        <w:t xml:space="preserve">that </w:t>
      </w:r>
      <w:r w:rsidR="00E950CD">
        <w:rPr>
          <w:rFonts w:cs="Calibri"/>
          <w:snapToGrid/>
          <w:szCs w:val="24"/>
          <w:lang w:val="en-US" w:eastAsia="en-AU"/>
        </w:rPr>
        <w:t xml:space="preserve">commencing </w:t>
      </w:r>
      <w:r w:rsidR="00506F28" w:rsidRPr="00506F28">
        <w:rPr>
          <w:rFonts w:cs="Calibri"/>
          <w:snapToGrid/>
          <w:szCs w:val="24"/>
          <w:lang w:val="en-US" w:eastAsia="en-AU"/>
        </w:rPr>
        <w:t xml:space="preserve">convergence </w:t>
      </w:r>
      <w:r w:rsidR="00506F28">
        <w:rPr>
          <w:rFonts w:cs="Calibri"/>
          <w:snapToGrid/>
          <w:szCs w:val="24"/>
          <w:lang w:val="en-US" w:eastAsia="en-AU"/>
        </w:rPr>
        <w:t xml:space="preserve">immediately </w:t>
      </w:r>
      <w:r w:rsidR="00506F28" w:rsidRPr="00506F28">
        <w:rPr>
          <w:rFonts w:cs="Calibri"/>
          <w:snapToGrid/>
          <w:szCs w:val="24"/>
          <w:lang w:val="en-US" w:eastAsia="en-AU"/>
        </w:rPr>
        <w:t>following the trial</w:t>
      </w:r>
      <w:r w:rsidR="00E950CD">
        <w:rPr>
          <w:rFonts w:cs="Calibri"/>
          <w:snapToGrid/>
          <w:szCs w:val="24"/>
          <w:lang w:val="en-US" w:eastAsia="en-AU"/>
        </w:rPr>
        <w:t>-</w:t>
      </w:r>
      <w:r w:rsidR="00506F28" w:rsidRPr="00506F28">
        <w:rPr>
          <w:rFonts w:cs="Calibri"/>
          <w:snapToGrid/>
          <w:szCs w:val="24"/>
          <w:lang w:val="en-US" w:eastAsia="en-AU"/>
        </w:rPr>
        <w:t xml:space="preserve">based period </w:t>
      </w:r>
      <w:r w:rsidR="00E950CD">
        <w:rPr>
          <w:rFonts w:cs="Calibri"/>
          <w:snapToGrid/>
          <w:szCs w:val="24"/>
          <w:lang w:val="en-US" w:eastAsia="en-AU"/>
        </w:rPr>
        <w:t xml:space="preserve">would </w:t>
      </w:r>
      <w:r w:rsidR="00506F28">
        <w:rPr>
          <w:rFonts w:cs="Calibri"/>
          <w:snapToGrid/>
          <w:szCs w:val="24"/>
          <w:lang w:val="en-US" w:eastAsia="en-AU"/>
        </w:rPr>
        <w:t>“</w:t>
      </w:r>
      <w:r w:rsidR="00506F28" w:rsidRPr="00506F28">
        <w:rPr>
          <w:rFonts w:cs="Calibri"/>
          <w:snapToGrid/>
          <w:szCs w:val="24"/>
          <w:lang w:val="en-US" w:eastAsia="en-AU"/>
        </w:rPr>
        <w:t>misrepresent the survival characteristics of immunotherapies observed in the pivotal trial</w:t>
      </w:r>
      <w:r w:rsidR="00506F28">
        <w:rPr>
          <w:rFonts w:cs="Calibri"/>
          <w:snapToGrid/>
          <w:szCs w:val="24"/>
          <w:lang w:val="en-US" w:eastAsia="en-AU"/>
        </w:rPr>
        <w:t xml:space="preserve">, early phase studies </w:t>
      </w:r>
      <w:r w:rsidR="00506F28" w:rsidRPr="00506F28">
        <w:rPr>
          <w:rFonts w:cs="Calibri"/>
          <w:snapToGrid/>
          <w:szCs w:val="24"/>
          <w:lang w:val="en-US" w:eastAsia="en-AU"/>
        </w:rPr>
        <w:t xml:space="preserve">and </w:t>
      </w:r>
      <w:r w:rsidR="00627DF3">
        <w:rPr>
          <w:rFonts w:cs="Calibri"/>
          <w:snapToGrid/>
          <w:szCs w:val="24"/>
          <w:lang w:val="en-US" w:eastAsia="en-AU"/>
        </w:rPr>
        <w:lastRenderedPageBreak/>
        <w:t xml:space="preserve">the </w:t>
      </w:r>
      <w:r w:rsidR="00506F28" w:rsidRPr="00506F28">
        <w:rPr>
          <w:rFonts w:cs="Calibri"/>
          <w:snapToGrid/>
          <w:szCs w:val="24"/>
          <w:lang w:val="en-US" w:eastAsia="en-AU"/>
        </w:rPr>
        <w:t>ongoing benefit</w:t>
      </w:r>
      <w:r w:rsidR="00627DF3">
        <w:rPr>
          <w:rFonts w:cs="Calibri"/>
          <w:snapToGrid/>
          <w:szCs w:val="24"/>
          <w:lang w:val="en-US" w:eastAsia="en-AU"/>
        </w:rPr>
        <w:t>”</w:t>
      </w:r>
      <w:r w:rsidR="00506F28" w:rsidRPr="00506F28">
        <w:rPr>
          <w:rFonts w:cs="Calibri"/>
          <w:snapToGrid/>
          <w:szCs w:val="24"/>
          <w:lang w:val="en-US" w:eastAsia="en-AU"/>
        </w:rPr>
        <w:t xml:space="preserve"> </w:t>
      </w:r>
      <w:r w:rsidR="00506F28">
        <w:rPr>
          <w:rFonts w:cs="Calibri"/>
          <w:snapToGrid/>
          <w:szCs w:val="24"/>
          <w:lang w:val="en-US" w:eastAsia="en-AU"/>
        </w:rPr>
        <w:t xml:space="preserve">that it stated was </w:t>
      </w:r>
      <w:r w:rsidR="00506F28" w:rsidRPr="00506F28">
        <w:rPr>
          <w:rFonts w:cs="Calibri"/>
          <w:snapToGrid/>
          <w:szCs w:val="24"/>
          <w:lang w:val="en-US" w:eastAsia="en-AU"/>
        </w:rPr>
        <w:t>observed across solid tumors</w:t>
      </w:r>
      <w:r w:rsidR="00506F28">
        <w:rPr>
          <w:rFonts w:cs="Calibri"/>
          <w:snapToGrid/>
          <w:szCs w:val="24"/>
          <w:lang w:val="en-US" w:eastAsia="en-AU"/>
        </w:rPr>
        <w:t xml:space="preserve"> treated with nivolumab.</w:t>
      </w:r>
      <w:r w:rsidR="00AD1888">
        <w:rPr>
          <w:rFonts w:cs="Calibri"/>
          <w:snapToGrid/>
          <w:szCs w:val="24"/>
          <w:lang w:val="en-US" w:eastAsia="en-AU"/>
        </w:rPr>
        <w:t xml:space="preserve"> </w:t>
      </w:r>
    </w:p>
    <w:p w:rsidR="00506F28" w:rsidRPr="00C81701" w:rsidRDefault="00627DF3" w:rsidP="00C81701">
      <w:pPr>
        <w:pStyle w:val="ListParagraph"/>
        <w:widowControl/>
        <w:numPr>
          <w:ilvl w:val="1"/>
          <w:numId w:val="3"/>
        </w:numPr>
        <w:rPr>
          <w:rFonts w:cs="Calibri"/>
          <w:snapToGrid/>
          <w:szCs w:val="24"/>
          <w:lang w:val="en-US" w:eastAsia="en-AU"/>
        </w:rPr>
      </w:pPr>
      <w:r w:rsidRPr="00C81701">
        <w:rPr>
          <w:rFonts w:cs="Calibri"/>
          <w:snapToGrid/>
          <w:szCs w:val="24"/>
          <w:lang w:val="en-US" w:eastAsia="en-AU"/>
        </w:rPr>
        <w:t xml:space="preserve">The pre-PBAC response </w:t>
      </w:r>
      <w:r w:rsidR="00506F28" w:rsidRPr="00C81701">
        <w:rPr>
          <w:rFonts w:cs="Calibri"/>
          <w:snapToGrid/>
          <w:szCs w:val="24"/>
          <w:lang w:val="en-US" w:eastAsia="en-AU"/>
        </w:rPr>
        <w:t xml:space="preserve">proposed a revised base case with proportional hazards applied from </w:t>
      </w:r>
      <w:r w:rsidR="00B07F6B">
        <w:rPr>
          <w:rFonts w:cs="Calibri"/>
          <w:noProof/>
          <w:snapToGrid/>
          <w:color w:val="000000"/>
          <w:szCs w:val="24"/>
          <w:highlight w:val="black"/>
          <w:lang w:val="en-US" w:eastAsia="en-AU"/>
        </w:rPr>
        <w:t>'''''</w:t>
      </w:r>
      <w:r w:rsidR="006A0FE3" w:rsidRPr="00C81701">
        <w:rPr>
          <w:rFonts w:cs="Calibri"/>
          <w:snapToGrid/>
          <w:szCs w:val="24"/>
          <w:lang w:val="en-US" w:eastAsia="en-AU"/>
        </w:rPr>
        <w:t xml:space="preserve"> months </w:t>
      </w:r>
      <w:r w:rsidR="00506F28" w:rsidRPr="00EF3C6A">
        <w:t>to</w:t>
      </w:r>
      <w:r w:rsidR="00B07F6B">
        <w:rPr>
          <w:noProof/>
          <w:color w:val="000000"/>
          <w:highlight w:val="black"/>
        </w:rPr>
        <w:t xml:space="preserve"> '''</w:t>
      </w:r>
      <w:r w:rsidR="00506F28" w:rsidRPr="00EF3C6A">
        <w:t xml:space="preserve"> years</w:t>
      </w:r>
      <w:r w:rsidR="00506F28">
        <w:t xml:space="preserve"> (rather than</w:t>
      </w:r>
      <w:r w:rsidR="00B07F6B">
        <w:rPr>
          <w:noProof/>
          <w:color w:val="000000"/>
          <w:highlight w:val="black"/>
        </w:rPr>
        <w:t xml:space="preserve"> '''</w:t>
      </w:r>
      <w:r w:rsidR="00506F28">
        <w:t xml:space="preserve"> years</w:t>
      </w:r>
      <w:r w:rsidR="00506F28" w:rsidRPr="00EF3C6A">
        <w:t xml:space="preserve">), followed by the period of convergence to </w:t>
      </w:r>
      <w:r w:rsidR="00B07F6B">
        <w:rPr>
          <w:noProof/>
          <w:color w:val="000000"/>
          <w:highlight w:val="black"/>
        </w:rPr>
        <w:t>'''''</w:t>
      </w:r>
      <w:r w:rsidR="00506F28" w:rsidRPr="00EF3C6A">
        <w:t xml:space="preserve"> years</w:t>
      </w:r>
      <w:r w:rsidR="00506F28">
        <w:t xml:space="preserve"> </w:t>
      </w:r>
      <w:r w:rsidR="006A0FE3">
        <w:t xml:space="preserve">(rather than </w:t>
      </w:r>
      <w:r w:rsidR="00B07F6B">
        <w:rPr>
          <w:noProof/>
          <w:color w:val="000000"/>
          <w:highlight w:val="black"/>
        </w:rPr>
        <w:t>'''''</w:t>
      </w:r>
      <w:r w:rsidR="006A0FE3">
        <w:t xml:space="preserve"> years) and a </w:t>
      </w:r>
      <w:r w:rsidR="00506F28">
        <w:t>time horizon</w:t>
      </w:r>
      <w:r w:rsidR="006A0FE3">
        <w:t xml:space="preserve"> of </w:t>
      </w:r>
      <w:r w:rsidR="00B07F6B">
        <w:rPr>
          <w:noProof/>
          <w:color w:val="000000"/>
          <w:highlight w:val="black"/>
        </w:rPr>
        <w:t xml:space="preserve">''''' </w:t>
      </w:r>
      <w:r w:rsidR="006A0FE3">
        <w:t xml:space="preserve">years (rather than </w:t>
      </w:r>
      <w:r w:rsidR="00B07F6B">
        <w:rPr>
          <w:noProof/>
          <w:color w:val="000000"/>
          <w:highlight w:val="black"/>
        </w:rPr>
        <w:t>''''''</w:t>
      </w:r>
      <w:r w:rsidR="006A0FE3">
        <w:t xml:space="preserve"> years</w:t>
      </w:r>
      <w:r w:rsidR="00506F28">
        <w:t xml:space="preserve">). </w:t>
      </w:r>
      <w:r w:rsidR="00C81701" w:rsidRPr="00C81701">
        <w:rPr>
          <w:rFonts w:cs="Calibri"/>
          <w:snapToGrid/>
          <w:szCs w:val="24"/>
          <w:lang w:val="en-US" w:eastAsia="en-AU"/>
        </w:rPr>
        <w:t>The pre-PBAC response</w:t>
      </w:r>
      <w:r w:rsidR="00C81701">
        <w:rPr>
          <w:rFonts w:cs="Calibri"/>
          <w:snapToGrid/>
          <w:szCs w:val="24"/>
          <w:lang w:val="en-US" w:eastAsia="en-AU"/>
        </w:rPr>
        <w:t xml:space="preserve"> </w:t>
      </w:r>
      <w:r w:rsidR="00025D64">
        <w:rPr>
          <w:rFonts w:cs="Calibri"/>
          <w:snapToGrid/>
          <w:szCs w:val="24"/>
          <w:lang w:val="en-US" w:eastAsia="en-AU"/>
        </w:rPr>
        <w:t>argu</w:t>
      </w:r>
      <w:r w:rsidR="00C81701">
        <w:rPr>
          <w:rFonts w:cs="Calibri"/>
          <w:snapToGrid/>
          <w:szCs w:val="24"/>
          <w:lang w:val="en-US" w:eastAsia="en-AU"/>
        </w:rPr>
        <w:t xml:space="preserve">ed that these </w:t>
      </w:r>
      <w:r w:rsidR="00C81701">
        <w:t>parameters represented “a plausible lower limit of efficacy”.</w:t>
      </w:r>
    </w:p>
    <w:p w:rsidR="00EC27AB" w:rsidRPr="00EF3C6A" w:rsidRDefault="00EC27AB" w:rsidP="00540074">
      <w:pPr>
        <w:pStyle w:val="ListParagraph"/>
        <w:widowControl/>
        <w:numPr>
          <w:ilvl w:val="1"/>
          <w:numId w:val="3"/>
        </w:numPr>
        <w:rPr>
          <w:rFonts w:cs="Calibri"/>
          <w:snapToGrid/>
          <w:szCs w:val="24"/>
          <w:lang w:val="en-US" w:eastAsia="en-AU"/>
        </w:rPr>
      </w:pPr>
      <w:r w:rsidRPr="00EF3C6A">
        <w:t xml:space="preserve">For the extrapolation of PFS, the submission identified that the best fitting independent parametric functions for NIVO+IPI and </w:t>
      </w:r>
      <w:proofErr w:type="spellStart"/>
      <w:r w:rsidRPr="00EF3C6A">
        <w:t>sunitinib</w:t>
      </w:r>
      <w:proofErr w:type="spellEnd"/>
      <w:r w:rsidRPr="00EF3C6A">
        <w:t xml:space="preserve"> was the </w:t>
      </w:r>
      <w:r w:rsidR="00B07F6B">
        <w:rPr>
          <w:noProof/>
          <w:color w:val="000000"/>
          <w:highlight w:val="black"/>
        </w:rPr>
        <w:t>''''''''''''''''''''''</w:t>
      </w:r>
      <w:r w:rsidRPr="00EF3C6A">
        <w:t xml:space="preserve"> followed by the </w:t>
      </w:r>
      <w:r w:rsidR="00B07F6B">
        <w:rPr>
          <w:noProof/>
          <w:color w:val="000000"/>
          <w:highlight w:val="black"/>
        </w:rPr>
        <w:t xml:space="preserve">''''''''''''''''''' </w:t>
      </w:r>
      <w:r w:rsidRPr="00EF3C6A">
        <w:t>distribution</w:t>
      </w:r>
      <w:r w:rsidR="00115BE8" w:rsidRPr="00EF3C6A">
        <w:t xml:space="preserve"> (</w:t>
      </w:r>
      <w:r w:rsidR="00B07F6B">
        <w:rPr>
          <w:noProof/>
          <w:color w:val="000000"/>
          <w:highlight w:val="black"/>
        </w:rPr>
        <w:t>''''''''''''''''''''''' '''''''''''''''' '''''''''' '''''''' '''''''''''''''' '''''' ''''''''</w:t>
      </w:r>
      <w:r w:rsidR="00115BE8" w:rsidRPr="00EF3C6A">
        <w:t>)</w:t>
      </w:r>
      <w:r w:rsidRPr="00EF3C6A">
        <w:t xml:space="preserve">. </w:t>
      </w:r>
      <w:r w:rsidR="002B4757" w:rsidRPr="00EF3C6A">
        <w:t>T</w:t>
      </w:r>
      <w:r w:rsidRPr="00EF3C6A">
        <w:t>he submission also noted that none of the parametric functions fit the KM curve particularly well</w:t>
      </w:r>
      <w:r w:rsidR="00540074" w:rsidRPr="00EF3C6A">
        <w:t>. The evaluation considered that alternative more flexible extrapolation approaches with multiple points of inflexion (</w:t>
      </w:r>
      <w:r w:rsidR="00844355" w:rsidRPr="00EF3C6A">
        <w:t>i.e.</w:t>
      </w:r>
      <w:r w:rsidR="00540074" w:rsidRPr="00EF3C6A">
        <w:t xml:space="preserve"> piecewise spline models) could have been explored to better facilitate extrapolation based on the section of the KM curve that is most representative of long-term survival. However, the evaluation also noted that the structure of the model was such that the results were not sensitive to changes in the measure of PFS</w:t>
      </w:r>
      <w:r w:rsidRPr="00EF3C6A">
        <w:t xml:space="preserve">. </w:t>
      </w:r>
    </w:p>
    <w:p w:rsidR="00EC27AB" w:rsidRPr="00EF3C6A" w:rsidRDefault="00EC27AB" w:rsidP="00EC27AB">
      <w:pPr>
        <w:pStyle w:val="ListParagraph"/>
        <w:widowControl/>
        <w:numPr>
          <w:ilvl w:val="1"/>
          <w:numId w:val="3"/>
        </w:numPr>
      </w:pPr>
      <w:r w:rsidRPr="00EF3C6A">
        <w:t>The figure below provides the Kaplan Meier survival curves from CA209214 and the modelled OS, PFS and TTD curves used in the economic evaluation</w:t>
      </w:r>
      <w:r w:rsidR="00C81701">
        <w:t xml:space="preserve"> (submission base case)</w:t>
      </w:r>
      <w:r w:rsidRPr="00EF3C6A">
        <w:t xml:space="preserve">. </w:t>
      </w:r>
    </w:p>
    <w:p w:rsidR="00EC27AB" w:rsidRPr="00EF3C6A" w:rsidRDefault="00EC27AB" w:rsidP="00EC27AB">
      <w:pPr>
        <w:keepNext/>
        <w:rPr>
          <w:rStyle w:val="CommentReference"/>
        </w:rPr>
      </w:pPr>
      <w:r w:rsidRPr="00EF3C6A">
        <w:rPr>
          <w:rStyle w:val="CommentReference"/>
        </w:rPr>
        <w:t xml:space="preserve">Figure </w:t>
      </w:r>
      <w:r w:rsidR="00714E34" w:rsidRPr="00EF3C6A">
        <w:rPr>
          <w:rStyle w:val="CommentReference"/>
        </w:rPr>
        <w:t>4</w:t>
      </w:r>
      <w:r w:rsidRPr="00EF3C6A">
        <w:rPr>
          <w:rStyle w:val="CommentReference"/>
        </w:rPr>
        <w:t xml:space="preserve">: Kaplan Meier survival curves from CA209214 and model traces for the OS, PFS and TTD curves. </w:t>
      </w:r>
    </w:p>
    <w:p w:rsidR="00EC27AB" w:rsidRPr="00EF3C6A" w:rsidRDefault="00B07F6B" w:rsidP="00EC27AB">
      <w:pPr>
        <w:widowControl/>
        <w:rPr>
          <w:rFonts w:cs="Calibri"/>
          <w:snapToGrid/>
          <w:szCs w:val="24"/>
          <w:lang w:val="en-US" w:eastAsia="en-AU"/>
        </w:rPr>
      </w:pPr>
      <w:r>
        <w:rPr>
          <w:rFonts w:cs="Calibri"/>
          <w:noProof/>
          <w:snapToGrid/>
          <w:szCs w:val="24"/>
          <w:lang w:eastAsia="en-AU"/>
        </w:rPr>
        <w:drawing>
          <wp:inline distT="0" distB="0" distL="0" distR="0" wp14:anchorId="3588850C" wp14:editId="5164DAE0">
            <wp:extent cx="5210175" cy="3388360"/>
            <wp:effectExtent l="0" t="0" r="9525" b="2540"/>
            <wp:docPr id="2" name="Picture 2" title="Figure 4: Kaplan Meier survival curves from CA209214 and model traces for the OS, PFS and TTD curves.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10175" cy="3388360"/>
                    </a:xfrm>
                    <a:prstGeom prst="rect">
                      <a:avLst/>
                    </a:prstGeom>
                  </pic:spPr>
                </pic:pic>
              </a:graphicData>
            </a:graphic>
          </wp:inline>
        </w:drawing>
      </w:r>
    </w:p>
    <w:p w:rsidR="00EC27AB" w:rsidRPr="00EF3C6A" w:rsidRDefault="00EC27AB" w:rsidP="00EC27AB">
      <w:pPr>
        <w:pStyle w:val="TableFooter"/>
        <w:rPr>
          <w:snapToGrid/>
          <w:lang w:val="en-US" w:eastAsia="en-AU"/>
        </w:rPr>
      </w:pPr>
      <w:r w:rsidRPr="00EF3C6A">
        <w:rPr>
          <w:snapToGrid/>
          <w:lang w:val="en-US" w:eastAsia="en-AU"/>
        </w:rPr>
        <w:t xml:space="preserve">Source: ‘Active Traces’, Att_12_CEA_NIVO+IPI_1LRCC.xlsx. </w:t>
      </w:r>
    </w:p>
    <w:p w:rsidR="00EC27AB" w:rsidRPr="00EF3C6A" w:rsidRDefault="00EC27AB" w:rsidP="00EC27AB">
      <w:pPr>
        <w:widowControl/>
        <w:rPr>
          <w:rFonts w:cs="Calibri"/>
          <w:snapToGrid/>
          <w:szCs w:val="24"/>
          <w:lang w:val="en-US" w:eastAsia="en-AU"/>
        </w:rPr>
      </w:pPr>
    </w:p>
    <w:p w:rsidR="0032790E" w:rsidRDefault="0032790E" w:rsidP="00A25A09">
      <w:pPr>
        <w:pStyle w:val="ListParagraph"/>
        <w:widowControl/>
        <w:numPr>
          <w:ilvl w:val="1"/>
          <w:numId w:val="3"/>
        </w:numPr>
      </w:pPr>
      <w:bookmarkStart w:id="16" w:name="_Ref514142387"/>
      <w:r w:rsidRPr="00EF3C6A">
        <w:t xml:space="preserve">The </w:t>
      </w:r>
      <w:r w:rsidR="001F11C4" w:rsidRPr="00EF3C6A">
        <w:t xml:space="preserve">ESC considered that the </w:t>
      </w:r>
      <w:r w:rsidRPr="00EF3C6A">
        <w:t xml:space="preserve">extrapolated Time to Treatment Discontinuation curve </w:t>
      </w:r>
      <w:r w:rsidR="00714E34" w:rsidRPr="00EF3C6A">
        <w:t xml:space="preserve">(green dotted curve in Figure 4) </w:t>
      </w:r>
      <w:r w:rsidR="001F11C4" w:rsidRPr="00EF3C6A">
        <w:t xml:space="preserve">would likely </w:t>
      </w:r>
      <w:r w:rsidRPr="00EF3C6A">
        <w:t xml:space="preserve">be expected to </w:t>
      </w:r>
      <w:r w:rsidR="007C178D" w:rsidRPr="00EF3C6A">
        <w:t>trend toward</w:t>
      </w:r>
      <w:r w:rsidRPr="00EF3C6A">
        <w:t xml:space="preserve"> the PFS curve</w:t>
      </w:r>
      <w:r w:rsidR="001F11C4" w:rsidRPr="00EF3C6A">
        <w:t xml:space="preserve"> </w:t>
      </w:r>
      <w:r w:rsidR="00714E34" w:rsidRPr="00EF3C6A">
        <w:t>(purple dotted curve)</w:t>
      </w:r>
      <w:r w:rsidR="002C3582" w:rsidRPr="00EF3C6A">
        <w:t xml:space="preserve"> </w:t>
      </w:r>
      <w:r w:rsidR="001F11C4" w:rsidRPr="00EF3C6A">
        <w:t>over time</w:t>
      </w:r>
      <w:r w:rsidR="00714E34" w:rsidRPr="00EF3C6A">
        <w:t xml:space="preserve">. </w:t>
      </w:r>
      <w:r w:rsidR="00A25A09" w:rsidRPr="00EF3C6A">
        <w:t xml:space="preserve">This </w:t>
      </w:r>
      <w:r w:rsidR="00B301E5" w:rsidRPr="00EF3C6A">
        <w:t xml:space="preserve">is </w:t>
      </w:r>
      <w:r w:rsidR="00A25A09" w:rsidRPr="00EF3C6A">
        <w:t xml:space="preserve">because </w:t>
      </w:r>
      <w:r w:rsidR="00B301E5" w:rsidRPr="00EF3C6A">
        <w:t xml:space="preserve">higher discontinuation rates are expected in </w:t>
      </w:r>
      <w:r w:rsidR="00A25A09" w:rsidRPr="00EF3C6A">
        <w:t>the initial period when patients discontinue treatment due to adverse events</w:t>
      </w:r>
      <w:r w:rsidR="00B301E5" w:rsidRPr="00EF3C6A">
        <w:t xml:space="preserve">. The </w:t>
      </w:r>
      <w:r w:rsidR="00C666DD" w:rsidRPr="00EF3C6A">
        <w:t xml:space="preserve">observed discontinuation rate reduces at around </w:t>
      </w:r>
      <w:r w:rsidR="00B07F6B">
        <w:rPr>
          <w:noProof/>
          <w:color w:val="000000"/>
          <w:highlight w:val="black"/>
        </w:rPr>
        <w:t>'''''</w:t>
      </w:r>
      <w:r w:rsidR="00C666DD" w:rsidRPr="00EF3C6A">
        <w:t xml:space="preserve"> months and so </w:t>
      </w:r>
      <w:r w:rsidR="006A0FE3">
        <w:t xml:space="preserve">the ESC considered that </w:t>
      </w:r>
      <w:r w:rsidR="00C666DD" w:rsidRPr="00EF3C6A">
        <w:t>extrapolating TTD to the full data may overestimate discontinuation and underestimate treatment costs</w:t>
      </w:r>
      <w:r w:rsidR="00A25A09" w:rsidRPr="00EF3C6A">
        <w:t>.</w:t>
      </w:r>
      <w:r w:rsidR="001F11C4" w:rsidRPr="00EF3C6A">
        <w:t xml:space="preserve"> Th</w:t>
      </w:r>
      <w:r w:rsidR="00714E34" w:rsidRPr="00EF3C6A">
        <w:t xml:space="preserve">e ESC considered that the </w:t>
      </w:r>
      <w:r w:rsidR="007C178D" w:rsidRPr="00EF3C6A">
        <w:t>large difference</w:t>
      </w:r>
      <w:r w:rsidR="00ED0F3D" w:rsidRPr="00EF3C6A">
        <w:t xml:space="preserve"> between the</w:t>
      </w:r>
      <w:r w:rsidR="00714E34" w:rsidRPr="00EF3C6A">
        <w:t xml:space="preserve"> </w:t>
      </w:r>
      <w:r w:rsidR="00ED0F3D" w:rsidRPr="00EF3C6A">
        <w:t>extrapolated Time to Treatment Discontinuation and PFS curves</w:t>
      </w:r>
      <w:r w:rsidR="00714E34" w:rsidRPr="00EF3C6A">
        <w:t xml:space="preserve"> </w:t>
      </w:r>
      <w:r w:rsidR="001F11C4" w:rsidRPr="00EF3C6A">
        <w:t xml:space="preserve">resulted in </w:t>
      </w:r>
      <w:r w:rsidR="00ED0F3D" w:rsidRPr="00EF3C6A">
        <w:t>under-estimated</w:t>
      </w:r>
      <w:r w:rsidR="001F11C4" w:rsidRPr="00EF3C6A">
        <w:t xml:space="preserve"> treatment costs.</w:t>
      </w:r>
      <w:r w:rsidR="00D957F7" w:rsidRPr="00EF3C6A">
        <w:t xml:space="preserve"> </w:t>
      </w:r>
    </w:p>
    <w:p w:rsidR="006A0FE3" w:rsidRPr="00EF3C6A" w:rsidRDefault="006A0FE3" w:rsidP="00A25A09">
      <w:pPr>
        <w:pStyle w:val="ListParagraph"/>
        <w:widowControl/>
        <w:numPr>
          <w:ilvl w:val="1"/>
          <w:numId w:val="3"/>
        </w:numPr>
      </w:pPr>
      <w:r>
        <w:t xml:space="preserve">The pre-PBAC response stated that PFS may not be a </w:t>
      </w:r>
      <w:r w:rsidR="002367DC">
        <w:t xml:space="preserve">reliable </w:t>
      </w:r>
      <w:r>
        <w:t>proxy for treatment exposure</w:t>
      </w:r>
      <w:r w:rsidR="002367DC">
        <w:t xml:space="preserve"> and considered that any adjustment of</w:t>
      </w:r>
      <w:r w:rsidR="002367DC" w:rsidRPr="002367DC">
        <w:t xml:space="preserve"> </w:t>
      </w:r>
      <w:r w:rsidR="002367DC" w:rsidRPr="00EF3C6A">
        <w:t xml:space="preserve">Time to Treatment Discontinuation </w:t>
      </w:r>
      <w:r w:rsidR="002367DC">
        <w:t xml:space="preserve">towards PFS would be arbitrary. </w:t>
      </w:r>
      <w:r w:rsidR="004C3BC1">
        <w:t xml:space="preserve">The PBAC considered that, in this case, </w:t>
      </w:r>
      <w:r w:rsidR="00CE0CCB">
        <w:t xml:space="preserve">extrapolation of </w:t>
      </w:r>
      <w:r w:rsidR="004C3BC1">
        <w:t xml:space="preserve">Time to Treatment Discontinuation was likely more appropriate </w:t>
      </w:r>
      <w:r w:rsidR="00C81701">
        <w:t xml:space="preserve">than </w:t>
      </w:r>
      <w:r w:rsidR="00CE0CCB">
        <w:t xml:space="preserve">extrapolation of </w:t>
      </w:r>
      <w:r w:rsidR="00C81701">
        <w:t xml:space="preserve">PFS </w:t>
      </w:r>
      <w:r w:rsidR="004C3BC1">
        <w:t>for determining treatment exposure.</w:t>
      </w:r>
    </w:p>
    <w:p w:rsidR="00EC27AB" w:rsidRPr="00EF3C6A" w:rsidRDefault="00EC27AB" w:rsidP="00EC27AB">
      <w:pPr>
        <w:pStyle w:val="ListParagraph"/>
        <w:widowControl/>
        <w:numPr>
          <w:ilvl w:val="1"/>
          <w:numId w:val="3"/>
        </w:numPr>
      </w:pPr>
      <w:r w:rsidRPr="00EF3C6A">
        <w:t xml:space="preserve">Health state utilities applied in the model were based on the EQ-5D individual patient data from Study CA209214, converted using the Australian-specific scoring algorithm published by </w:t>
      </w:r>
      <w:proofErr w:type="spellStart"/>
      <w:r w:rsidRPr="00EF3C6A">
        <w:t>Viney</w:t>
      </w:r>
      <w:proofErr w:type="spellEnd"/>
      <w:r w:rsidRPr="00EF3C6A">
        <w:t xml:space="preserve"> 2011. The submission stated that </w:t>
      </w:r>
      <w:proofErr w:type="spellStart"/>
      <w:r w:rsidRPr="00EF3C6A">
        <w:t>disutilit</w:t>
      </w:r>
      <w:r w:rsidR="007A0CA7" w:rsidRPr="00EF3C6A">
        <w:t>ies</w:t>
      </w:r>
      <w:proofErr w:type="spellEnd"/>
      <w:r w:rsidR="007A0CA7" w:rsidRPr="00EF3C6A">
        <w:t xml:space="preserve"> </w:t>
      </w:r>
      <w:r w:rsidRPr="00EF3C6A">
        <w:t>associated with adverse events were assumed to be captured in the treatment based health state utilities in the economic model.</w:t>
      </w:r>
      <w:r w:rsidR="00ED0F3D" w:rsidRPr="00EF3C6A">
        <w:t xml:space="preserve"> The evaluation considered that</w:t>
      </w:r>
      <w:r w:rsidRPr="00EF3C6A">
        <w:t xml:space="preserve"> </w:t>
      </w:r>
      <w:r w:rsidR="00ED0F3D" w:rsidRPr="00EF3C6A">
        <w:t>i</w:t>
      </w:r>
      <w:r w:rsidRPr="00EF3C6A">
        <w:t xml:space="preserve">t was difficult to assess whether </w:t>
      </w:r>
      <w:proofErr w:type="spellStart"/>
      <w:r w:rsidRPr="00EF3C6A">
        <w:t>disutilities</w:t>
      </w:r>
      <w:proofErr w:type="spellEnd"/>
      <w:r w:rsidRPr="00EF3C6A">
        <w:t xml:space="preserve"> associated with treatment were accurately reflected in the utility values as no information was provided </w:t>
      </w:r>
      <w:r w:rsidR="00C81701">
        <w:t xml:space="preserve">in the submission </w:t>
      </w:r>
      <w:r w:rsidR="00E87A9C">
        <w:t>regarding</w:t>
      </w:r>
      <w:r w:rsidRPr="00EF3C6A">
        <w:t xml:space="preserve"> those patients lost to follow up, nor changes in utility values over patient follow up.</w:t>
      </w:r>
      <w:bookmarkEnd w:id="16"/>
    </w:p>
    <w:p w:rsidR="00EC27AB" w:rsidRPr="00EF3C6A" w:rsidRDefault="00EC27AB" w:rsidP="00EC27AB">
      <w:pPr>
        <w:pStyle w:val="ListParagraph"/>
        <w:widowControl/>
        <w:numPr>
          <w:ilvl w:val="1"/>
          <w:numId w:val="3"/>
        </w:numPr>
      </w:pPr>
      <w:r w:rsidRPr="00EF3C6A">
        <w:t>Health state utilities applied in the economic model are summarised in the table below</w:t>
      </w:r>
      <w:r w:rsidR="001B5283" w:rsidRPr="00EF3C6A">
        <w:t>.</w:t>
      </w:r>
    </w:p>
    <w:p w:rsidR="00EC27AB" w:rsidRPr="00EF3C6A" w:rsidRDefault="00EC27AB" w:rsidP="001B5283">
      <w:pPr>
        <w:keepNext/>
        <w:keepLines/>
        <w:rPr>
          <w:rStyle w:val="CommentReference"/>
        </w:rPr>
      </w:pPr>
      <w:r w:rsidRPr="00EF3C6A">
        <w:rPr>
          <w:rStyle w:val="CommentReference"/>
        </w:rPr>
        <w:t xml:space="preserve">Table </w:t>
      </w:r>
      <w:r w:rsidR="00755DFA" w:rsidRPr="00EF3C6A">
        <w:rPr>
          <w:rStyle w:val="CommentReference"/>
        </w:rPr>
        <w:t>9</w:t>
      </w:r>
      <w:r w:rsidRPr="00EF3C6A">
        <w:rPr>
          <w:rStyle w:val="CommentReference"/>
        </w:rPr>
        <w:t>: Utility values used in the economic evaluation</w:t>
      </w:r>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859"/>
        <w:gridCol w:w="2367"/>
        <w:gridCol w:w="1309"/>
        <w:gridCol w:w="1508"/>
        <w:gridCol w:w="1513"/>
      </w:tblGrid>
      <w:tr w:rsidR="00EC27AB" w:rsidRPr="00EF3C6A" w:rsidTr="00136B30">
        <w:trPr>
          <w:tblHeader/>
        </w:trPr>
        <w:tc>
          <w:tcPr>
            <w:tcW w:w="901" w:type="pct"/>
            <w:vMerge w:val="restart"/>
            <w:vAlign w:val="center"/>
          </w:tcPr>
          <w:p w:rsidR="00EC27AB" w:rsidRPr="00EF3C6A" w:rsidRDefault="00EC27AB" w:rsidP="001B5283">
            <w:pPr>
              <w:pStyle w:val="Tabletext"/>
              <w:keepNext/>
              <w:keepLines/>
              <w:rPr>
                <w:b/>
              </w:rPr>
            </w:pPr>
            <w:r w:rsidRPr="00EF3C6A">
              <w:rPr>
                <w:b/>
              </w:rPr>
              <w:t>Health state</w:t>
            </w:r>
          </w:p>
        </w:tc>
        <w:tc>
          <w:tcPr>
            <w:tcW w:w="466" w:type="pct"/>
            <w:vMerge w:val="restart"/>
            <w:vAlign w:val="center"/>
          </w:tcPr>
          <w:p w:rsidR="00EC27AB" w:rsidRPr="00EF3C6A" w:rsidRDefault="00EC27AB" w:rsidP="001B5283">
            <w:pPr>
              <w:pStyle w:val="Tabletext"/>
              <w:keepNext/>
              <w:keepLines/>
              <w:jc w:val="center"/>
              <w:rPr>
                <w:b/>
              </w:rPr>
            </w:pPr>
            <w:r w:rsidRPr="00EF3C6A">
              <w:rPr>
                <w:b/>
              </w:rPr>
              <w:t>Utility</w:t>
            </w:r>
          </w:p>
        </w:tc>
        <w:tc>
          <w:tcPr>
            <w:tcW w:w="1284" w:type="pct"/>
            <w:vMerge w:val="restart"/>
            <w:vAlign w:val="center"/>
          </w:tcPr>
          <w:p w:rsidR="00EC27AB" w:rsidRPr="00EF3C6A" w:rsidRDefault="00EC27AB" w:rsidP="001B5283">
            <w:pPr>
              <w:pStyle w:val="Tabletext"/>
              <w:keepNext/>
              <w:keepLines/>
              <w:jc w:val="center"/>
              <w:rPr>
                <w:b/>
              </w:rPr>
            </w:pPr>
            <w:r w:rsidRPr="00EF3C6A">
              <w:rPr>
                <w:b/>
              </w:rPr>
              <w:t>Nature of estimate/translations</w:t>
            </w:r>
          </w:p>
        </w:tc>
        <w:tc>
          <w:tcPr>
            <w:tcW w:w="710" w:type="pct"/>
            <w:vMerge w:val="restart"/>
            <w:vAlign w:val="center"/>
          </w:tcPr>
          <w:p w:rsidR="00EC27AB" w:rsidRPr="00EF3C6A" w:rsidRDefault="00EC27AB" w:rsidP="001B5283">
            <w:pPr>
              <w:pStyle w:val="Tabletext"/>
              <w:keepNext/>
              <w:keepLines/>
              <w:jc w:val="center"/>
              <w:rPr>
                <w:b/>
              </w:rPr>
            </w:pPr>
            <w:r w:rsidRPr="00EF3C6A">
              <w:rPr>
                <w:b/>
              </w:rPr>
              <w:t>Source of estimate</w:t>
            </w:r>
          </w:p>
        </w:tc>
        <w:tc>
          <w:tcPr>
            <w:tcW w:w="1640" w:type="pct"/>
            <w:gridSpan w:val="2"/>
            <w:vAlign w:val="center"/>
          </w:tcPr>
          <w:p w:rsidR="00EC27AB" w:rsidRPr="00EF3C6A" w:rsidRDefault="00EC27AB" w:rsidP="001B5283">
            <w:pPr>
              <w:pStyle w:val="Tabletext"/>
              <w:keepNext/>
              <w:keepLines/>
              <w:jc w:val="center"/>
              <w:rPr>
                <w:b/>
              </w:rPr>
            </w:pPr>
            <w:r w:rsidRPr="00EF3C6A">
              <w:rPr>
                <w:b/>
              </w:rPr>
              <w:t>Average application in the model (undiscounted)</w:t>
            </w:r>
          </w:p>
        </w:tc>
      </w:tr>
      <w:tr w:rsidR="00EC27AB" w:rsidRPr="00EF3C6A" w:rsidTr="00136B30">
        <w:trPr>
          <w:tblHeader/>
        </w:trPr>
        <w:tc>
          <w:tcPr>
            <w:tcW w:w="901" w:type="pct"/>
            <w:vMerge/>
            <w:vAlign w:val="center"/>
          </w:tcPr>
          <w:p w:rsidR="00EC27AB" w:rsidRPr="00EF3C6A" w:rsidRDefault="00EC27AB" w:rsidP="001B5283">
            <w:pPr>
              <w:pStyle w:val="Tabletext"/>
              <w:keepNext/>
              <w:keepLines/>
            </w:pPr>
          </w:p>
        </w:tc>
        <w:tc>
          <w:tcPr>
            <w:tcW w:w="466" w:type="pct"/>
            <w:vMerge/>
            <w:vAlign w:val="center"/>
          </w:tcPr>
          <w:p w:rsidR="00EC27AB" w:rsidRPr="00EF3C6A" w:rsidRDefault="00EC27AB" w:rsidP="001B5283">
            <w:pPr>
              <w:pStyle w:val="Tabletext"/>
              <w:keepNext/>
              <w:keepLines/>
            </w:pPr>
          </w:p>
        </w:tc>
        <w:tc>
          <w:tcPr>
            <w:tcW w:w="1284" w:type="pct"/>
            <w:vMerge/>
            <w:vAlign w:val="center"/>
          </w:tcPr>
          <w:p w:rsidR="00EC27AB" w:rsidRPr="00EF3C6A" w:rsidRDefault="00EC27AB" w:rsidP="001B5283">
            <w:pPr>
              <w:pStyle w:val="Tabletext"/>
              <w:keepNext/>
              <w:keepLines/>
            </w:pPr>
          </w:p>
        </w:tc>
        <w:tc>
          <w:tcPr>
            <w:tcW w:w="710" w:type="pct"/>
            <w:vMerge/>
            <w:vAlign w:val="center"/>
          </w:tcPr>
          <w:p w:rsidR="00EC27AB" w:rsidRPr="00EF3C6A" w:rsidRDefault="00EC27AB" w:rsidP="001B5283">
            <w:pPr>
              <w:pStyle w:val="Tabletext"/>
              <w:keepNext/>
              <w:keepLines/>
            </w:pPr>
          </w:p>
        </w:tc>
        <w:tc>
          <w:tcPr>
            <w:tcW w:w="818" w:type="pct"/>
            <w:vAlign w:val="center"/>
          </w:tcPr>
          <w:p w:rsidR="00EC27AB" w:rsidRPr="00EF3C6A" w:rsidRDefault="00EC27AB" w:rsidP="001B5283">
            <w:pPr>
              <w:pStyle w:val="Tabletext"/>
              <w:keepNext/>
              <w:keepLines/>
              <w:jc w:val="center"/>
              <w:rPr>
                <w:b/>
              </w:rPr>
            </w:pPr>
            <w:r w:rsidRPr="00EF3C6A">
              <w:rPr>
                <w:b/>
              </w:rPr>
              <w:t>NIVO+IPI</w:t>
            </w:r>
          </w:p>
        </w:tc>
        <w:tc>
          <w:tcPr>
            <w:tcW w:w="822" w:type="pct"/>
            <w:vAlign w:val="center"/>
          </w:tcPr>
          <w:p w:rsidR="00EC27AB" w:rsidRPr="00EF3C6A" w:rsidRDefault="00EC27AB" w:rsidP="001B5283">
            <w:pPr>
              <w:pStyle w:val="Tabletext"/>
              <w:keepNext/>
              <w:keepLines/>
              <w:jc w:val="center"/>
              <w:rPr>
                <w:b/>
              </w:rPr>
            </w:pPr>
            <w:proofErr w:type="spellStart"/>
            <w:r w:rsidRPr="00EF3C6A">
              <w:rPr>
                <w:b/>
              </w:rPr>
              <w:t>sunitinib</w:t>
            </w:r>
            <w:proofErr w:type="spellEnd"/>
          </w:p>
        </w:tc>
      </w:tr>
      <w:tr w:rsidR="00EC27AB" w:rsidRPr="00EF3C6A" w:rsidTr="00136B30">
        <w:tc>
          <w:tcPr>
            <w:tcW w:w="901" w:type="pct"/>
            <w:vAlign w:val="center"/>
          </w:tcPr>
          <w:p w:rsidR="00EC27AB" w:rsidRPr="00EF3C6A" w:rsidRDefault="00EC27AB" w:rsidP="001B5283">
            <w:pPr>
              <w:pStyle w:val="Tabletext"/>
              <w:keepNext/>
              <w:keepLines/>
            </w:pPr>
            <w:r w:rsidRPr="00EF3C6A">
              <w:t>PF NIVO+IPI arm</w:t>
            </w:r>
          </w:p>
        </w:tc>
        <w:tc>
          <w:tcPr>
            <w:tcW w:w="466" w:type="pct"/>
            <w:vAlign w:val="center"/>
          </w:tcPr>
          <w:p w:rsidR="00EC27AB" w:rsidRPr="00B07F6B" w:rsidRDefault="00B07F6B" w:rsidP="001B5283">
            <w:pPr>
              <w:pStyle w:val="Tabletext"/>
              <w:keepNext/>
              <w:keepLines/>
              <w:rPr>
                <w:highlight w:val="black"/>
              </w:rPr>
            </w:pPr>
            <w:r>
              <w:rPr>
                <w:noProof/>
                <w:color w:val="000000"/>
                <w:highlight w:val="black"/>
              </w:rPr>
              <w:t>'''''''''''</w:t>
            </w:r>
          </w:p>
        </w:tc>
        <w:tc>
          <w:tcPr>
            <w:tcW w:w="1284" w:type="pct"/>
            <w:vAlign w:val="center"/>
          </w:tcPr>
          <w:p w:rsidR="00EC27AB" w:rsidRPr="00EF3C6A" w:rsidRDefault="00EC27AB" w:rsidP="001B5283">
            <w:pPr>
              <w:pStyle w:val="Tabletext"/>
              <w:keepNext/>
              <w:keepLines/>
            </w:pPr>
            <w:r w:rsidRPr="00EF3C6A">
              <w:t>EQ-5D with Australian preference weights</w:t>
            </w:r>
          </w:p>
        </w:tc>
        <w:tc>
          <w:tcPr>
            <w:tcW w:w="710" w:type="pct"/>
            <w:vAlign w:val="center"/>
          </w:tcPr>
          <w:p w:rsidR="00EC27AB" w:rsidRPr="00EF3C6A" w:rsidRDefault="00EC27AB" w:rsidP="001B5283">
            <w:pPr>
              <w:pStyle w:val="Tabletext"/>
              <w:keepNext/>
              <w:keepLines/>
            </w:pPr>
            <w:r w:rsidRPr="00EF3C6A">
              <w:t>CA209214</w:t>
            </w:r>
            <w:r w:rsidRPr="00EF3C6A">
              <w:rPr>
                <w:vertAlign w:val="superscript"/>
              </w:rPr>
              <w:t>a</w:t>
            </w:r>
          </w:p>
        </w:tc>
        <w:tc>
          <w:tcPr>
            <w:tcW w:w="818" w:type="pct"/>
            <w:vAlign w:val="center"/>
          </w:tcPr>
          <w:p w:rsidR="00EC27AB" w:rsidRPr="00EF3C6A" w:rsidRDefault="00B07F6B" w:rsidP="001B5283">
            <w:pPr>
              <w:pStyle w:val="Tabletext"/>
              <w:keepNext/>
              <w:keepLines/>
            </w:pPr>
            <w:r>
              <w:rPr>
                <w:noProof/>
                <w:color w:val="000000"/>
                <w:highlight w:val="black"/>
              </w:rPr>
              <w:t>''''''''''</w:t>
            </w:r>
            <w:r w:rsidR="00EC27AB" w:rsidRPr="00EF3C6A">
              <w:t xml:space="preserve"> years</w:t>
            </w:r>
          </w:p>
        </w:tc>
        <w:tc>
          <w:tcPr>
            <w:tcW w:w="822" w:type="pct"/>
            <w:vAlign w:val="center"/>
          </w:tcPr>
          <w:p w:rsidR="00EC27AB" w:rsidRPr="00EF3C6A" w:rsidRDefault="00EC27AB" w:rsidP="001B5283">
            <w:pPr>
              <w:pStyle w:val="Tabletext"/>
              <w:keepNext/>
              <w:keepLines/>
            </w:pPr>
          </w:p>
        </w:tc>
      </w:tr>
      <w:tr w:rsidR="00EC27AB" w:rsidRPr="00EF3C6A" w:rsidTr="00136B30">
        <w:tc>
          <w:tcPr>
            <w:tcW w:w="901" w:type="pct"/>
            <w:vAlign w:val="center"/>
          </w:tcPr>
          <w:p w:rsidR="00EC27AB" w:rsidRPr="00EF3C6A" w:rsidRDefault="00EC27AB" w:rsidP="001B5283">
            <w:pPr>
              <w:pStyle w:val="Tabletext"/>
              <w:keepNext/>
              <w:keepLines/>
            </w:pPr>
            <w:r w:rsidRPr="00EF3C6A">
              <w:t xml:space="preserve">PF </w:t>
            </w:r>
            <w:proofErr w:type="spellStart"/>
            <w:r w:rsidRPr="00EF3C6A">
              <w:t>sunitinib</w:t>
            </w:r>
            <w:proofErr w:type="spellEnd"/>
            <w:r w:rsidRPr="00EF3C6A">
              <w:t xml:space="preserve"> arm</w:t>
            </w:r>
          </w:p>
        </w:tc>
        <w:tc>
          <w:tcPr>
            <w:tcW w:w="466" w:type="pct"/>
            <w:vAlign w:val="center"/>
          </w:tcPr>
          <w:p w:rsidR="00EC27AB" w:rsidRPr="00B07F6B" w:rsidRDefault="00B07F6B" w:rsidP="001B5283">
            <w:pPr>
              <w:pStyle w:val="Tabletext"/>
              <w:keepNext/>
              <w:keepLines/>
              <w:rPr>
                <w:highlight w:val="black"/>
              </w:rPr>
            </w:pPr>
            <w:r>
              <w:rPr>
                <w:noProof/>
                <w:color w:val="000000"/>
                <w:highlight w:val="black"/>
              </w:rPr>
              <w:t>''''''''''</w:t>
            </w:r>
          </w:p>
        </w:tc>
        <w:tc>
          <w:tcPr>
            <w:tcW w:w="1284" w:type="pct"/>
            <w:vAlign w:val="center"/>
          </w:tcPr>
          <w:p w:rsidR="00EC27AB" w:rsidRPr="00EF3C6A" w:rsidRDefault="00EC27AB" w:rsidP="001B5283">
            <w:pPr>
              <w:pStyle w:val="Tabletext"/>
              <w:keepNext/>
              <w:keepLines/>
            </w:pPr>
            <w:r w:rsidRPr="00EF3C6A">
              <w:t>EQ-5D with Australian preference weights</w:t>
            </w:r>
          </w:p>
        </w:tc>
        <w:tc>
          <w:tcPr>
            <w:tcW w:w="710" w:type="pct"/>
            <w:vAlign w:val="center"/>
          </w:tcPr>
          <w:p w:rsidR="00EC27AB" w:rsidRPr="00EF3C6A" w:rsidRDefault="00EC27AB" w:rsidP="001B5283">
            <w:pPr>
              <w:pStyle w:val="Tabletext"/>
              <w:keepNext/>
              <w:keepLines/>
            </w:pPr>
            <w:r w:rsidRPr="00EF3C6A">
              <w:t>CA209214</w:t>
            </w:r>
            <w:r w:rsidRPr="00EF3C6A">
              <w:rPr>
                <w:vertAlign w:val="superscript"/>
              </w:rPr>
              <w:t>a</w:t>
            </w:r>
          </w:p>
        </w:tc>
        <w:tc>
          <w:tcPr>
            <w:tcW w:w="818" w:type="pct"/>
            <w:vAlign w:val="center"/>
          </w:tcPr>
          <w:p w:rsidR="00EC27AB" w:rsidRPr="00EF3C6A" w:rsidRDefault="00EC27AB" w:rsidP="001B5283">
            <w:pPr>
              <w:pStyle w:val="Tabletext"/>
              <w:keepNext/>
              <w:keepLines/>
            </w:pPr>
          </w:p>
        </w:tc>
        <w:tc>
          <w:tcPr>
            <w:tcW w:w="822" w:type="pct"/>
            <w:vAlign w:val="center"/>
          </w:tcPr>
          <w:p w:rsidR="00EC27AB" w:rsidRPr="00EF3C6A" w:rsidRDefault="00B07F6B" w:rsidP="001B5283">
            <w:pPr>
              <w:pStyle w:val="Tabletext"/>
              <w:keepNext/>
              <w:keepLines/>
            </w:pPr>
            <w:r>
              <w:rPr>
                <w:noProof/>
                <w:color w:val="000000"/>
                <w:highlight w:val="black"/>
              </w:rPr>
              <w:t>''''''''''''</w:t>
            </w:r>
            <w:r w:rsidR="00EC27AB" w:rsidRPr="00EF3C6A">
              <w:t xml:space="preserve"> years</w:t>
            </w:r>
          </w:p>
        </w:tc>
      </w:tr>
      <w:tr w:rsidR="00EC27AB" w:rsidRPr="00EF3C6A" w:rsidTr="00136B30">
        <w:tc>
          <w:tcPr>
            <w:tcW w:w="901" w:type="pct"/>
            <w:vAlign w:val="center"/>
          </w:tcPr>
          <w:p w:rsidR="00EC27AB" w:rsidRPr="00EF3C6A" w:rsidRDefault="00EC27AB" w:rsidP="001B5283">
            <w:pPr>
              <w:pStyle w:val="Tabletext"/>
              <w:keepNext/>
              <w:keepLines/>
            </w:pPr>
            <w:r w:rsidRPr="00EF3C6A">
              <w:t>PD NIVO+IPI arm</w:t>
            </w:r>
          </w:p>
        </w:tc>
        <w:tc>
          <w:tcPr>
            <w:tcW w:w="466" w:type="pct"/>
            <w:vAlign w:val="center"/>
          </w:tcPr>
          <w:p w:rsidR="00EC27AB" w:rsidRPr="00B07F6B" w:rsidRDefault="00B07F6B" w:rsidP="001B5283">
            <w:pPr>
              <w:pStyle w:val="Tabletext"/>
              <w:keepNext/>
              <w:keepLines/>
              <w:rPr>
                <w:highlight w:val="black"/>
              </w:rPr>
            </w:pPr>
            <w:r>
              <w:rPr>
                <w:noProof/>
                <w:color w:val="000000"/>
                <w:highlight w:val="black"/>
              </w:rPr>
              <w:t>'''''''''''</w:t>
            </w:r>
          </w:p>
        </w:tc>
        <w:tc>
          <w:tcPr>
            <w:tcW w:w="1284" w:type="pct"/>
            <w:vAlign w:val="center"/>
          </w:tcPr>
          <w:p w:rsidR="00EC27AB" w:rsidRPr="00EF3C6A" w:rsidRDefault="00EC27AB" w:rsidP="001B5283">
            <w:pPr>
              <w:pStyle w:val="Tabletext"/>
              <w:keepNext/>
              <w:keepLines/>
            </w:pPr>
            <w:r w:rsidRPr="00EF3C6A">
              <w:t>EQ-5D with Australian preference weights</w:t>
            </w:r>
          </w:p>
        </w:tc>
        <w:tc>
          <w:tcPr>
            <w:tcW w:w="710" w:type="pct"/>
            <w:vAlign w:val="center"/>
          </w:tcPr>
          <w:p w:rsidR="00EC27AB" w:rsidRPr="00EF3C6A" w:rsidRDefault="00EC27AB" w:rsidP="001B5283">
            <w:pPr>
              <w:pStyle w:val="Tabletext"/>
              <w:keepNext/>
              <w:keepLines/>
            </w:pPr>
            <w:r w:rsidRPr="00EF3C6A">
              <w:t>CA209214</w:t>
            </w:r>
            <w:r w:rsidRPr="00EF3C6A">
              <w:rPr>
                <w:vertAlign w:val="superscript"/>
              </w:rPr>
              <w:t>a</w:t>
            </w:r>
          </w:p>
        </w:tc>
        <w:tc>
          <w:tcPr>
            <w:tcW w:w="818" w:type="pct"/>
            <w:vAlign w:val="center"/>
          </w:tcPr>
          <w:p w:rsidR="00EC27AB" w:rsidRPr="00EF3C6A" w:rsidRDefault="00B07F6B" w:rsidP="001B5283">
            <w:pPr>
              <w:pStyle w:val="Tabletext"/>
              <w:keepNext/>
              <w:keepLines/>
            </w:pPr>
            <w:r>
              <w:rPr>
                <w:noProof/>
                <w:color w:val="000000"/>
                <w:highlight w:val="black"/>
              </w:rPr>
              <w:t>''''''''''''</w:t>
            </w:r>
            <w:r w:rsidR="00EC27AB" w:rsidRPr="00EF3C6A">
              <w:t xml:space="preserve"> years</w:t>
            </w:r>
          </w:p>
        </w:tc>
        <w:tc>
          <w:tcPr>
            <w:tcW w:w="822" w:type="pct"/>
            <w:vAlign w:val="center"/>
          </w:tcPr>
          <w:p w:rsidR="00EC27AB" w:rsidRPr="00EF3C6A" w:rsidRDefault="00EC27AB" w:rsidP="001B5283">
            <w:pPr>
              <w:pStyle w:val="Tabletext"/>
              <w:keepNext/>
              <w:keepLines/>
            </w:pPr>
          </w:p>
        </w:tc>
      </w:tr>
      <w:tr w:rsidR="00EC27AB" w:rsidRPr="00EF3C6A" w:rsidTr="00136B30">
        <w:tc>
          <w:tcPr>
            <w:tcW w:w="901" w:type="pct"/>
            <w:vAlign w:val="center"/>
          </w:tcPr>
          <w:p w:rsidR="00EC27AB" w:rsidRPr="00EF3C6A" w:rsidRDefault="00EC27AB" w:rsidP="001B5283">
            <w:pPr>
              <w:pStyle w:val="Tabletext"/>
              <w:keepNext/>
              <w:keepLines/>
            </w:pPr>
            <w:r w:rsidRPr="00EF3C6A">
              <w:t xml:space="preserve">PD </w:t>
            </w:r>
            <w:proofErr w:type="spellStart"/>
            <w:r w:rsidRPr="00EF3C6A">
              <w:t>sunitinib</w:t>
            </w:r>
            <w:proofErr w:type="spellEnd"/>
            <w:r w:rsidRPr="00EF3C6A">
              <w:t xml:space="preserve"> arm</w:t>
            </w:r>
          </w:p>
        </w:tc>
        <w:tc>
          <w:tcPr>
            <w:tcW w:w="466" w:type="pct"/>
            <w:vAlign w:val="center"/>
          </w:tcPr>
          <w:p w:rsidR="00EC27AB" w:rsidRPr="00B07F6B" w:rsidRDefault="00B07F6B" w:rsidP="001B5283">
            <w:pPr>
              <w:pStyle w:val="Tabletext"/>
              <w:keepNext/>
              <w:keepLines/>
              <w:rPr>
                <w:highlight w:val="black"/>
              </w:rPr>
            </w:pPr>
            <w:r>
              <w:rPr>
                <w:noProof/>
                <w:color w:val="000000"/>
                <w:highlight w:val="black"/>
              </w:rPr>
              <w:t>''''''''''</w:t>
            </w:r>
          </w:p>
        </w:tc>
        <w:tc>
          <w:tcPr>
            <w:tcW w:w="1284" w:type="pct"/>
            <w:vAlign w:val="center"/>
          </w:tcPr>
          <w:p w:rsidR="00EC27AB" w:rsidRPr="00EF3C6A" w:rsidRDefault="00EC27AB" w:rsidP="001B5283">
            <w:pPr>
              <w:pStyle w:val="Tabletext"/>
              <w:keepNext/>
              <w:keepLines/>
            </w:pPr>
            <w:r w:rsidRPr="00EF3C6A">
              <w:t>EQ-5D with Australian preference weights</w:t>
            </w:r>
          </w:p>
        </w:tc>
        <w:tc>
          <w:tcPr>
            <w:tcW w:w="710" w:type="pct"/>
            <w:vAlign w:val="center"/>
          </w:tcPr>
          <w:p w:rsidR="00EC27AB" w:rsidRPr="00EF3C6A" w:rsidRDefault="00EC27AB" w:rsidP="001B5283">
            <w:pPr>
              <w:pStyle w:val="Tabletext"/>
              <w:keepNext/>
              <w:keepLines/>
            </w:pPr>
            <w:r w:rsidRPr="00EF3C6A">
              <w:t>CA209214</w:t>
            </w:r>
            <w:r w:rsidRPr="00EF3C6A">
              <w:rPr>
                <w:vertAlign w:val="superscript"/>
              </w:rPr>
              <w:t>a</w:t>
            </w:r>
          </w:p>
        </w:tc>
        <w:tc>
          <w:tcPr>
            <w:tcW w:w="818" w:type="pct"/>
            <w:vAlign w:val="center"/>
          </w:tcPr>
          <w:p w:rsidR="00EC27AB" w:rsidRPr="00EF3C6A" w:rsidRDefault="00EC27AB" w:rsidP="001B5283">
            <w:pPr>
              <w:pStyle w:val="Tabletext"/>
              <w:keepNext/>
              <w:keepLines/>
            </w:pPr>
          </w:p>
        </w:tc>
        <w:tc>
          <w:tcPr>
            <w:tcW w:w="822" w:type="pct"/>
            <w:vAlign w:val="center"/>
          </w:tcPr>
          <w:p w:rsidR="00EC27AB" w:rsidRPr="00EF3C6A" w:rsidRDefault="00B07F6B" w:rsidP="001B5283">
            <w:pPr>
              <w:pStyle w:val="Tabletext"/>
              <w:keepNext/>
              <w:keepLines/>
            </w:pPr>
            <w:r>
              <w:rPr>
                <w:noProof/>
                <w:color w:val="000000"/>
                <w:highlight w:val="black"/>
              </w:rPr>
              <w:t>''''''''''</w:t>
            </w:r>
            <w:r w:rsidR="00346A69" w:rsidRPr="00346A69">
              <w:t xml:space="preserve"> years</w:t>
            </w:r>
          </w:p>
        </w:tc>
      </w:tr>
    </w:tbl>
    <w:p w:rsidR="00EC27AB" w:rsidRPr="00EF3C6A" w:rsidRDefault="00EC27AB" w:rsidP="001B5283">
      <w:pPr>
        <w:pStyle w:val="TableFooter"/>
        <w:keepNext/>
        <w:keepLines/>
        <w:rPr>
          <w:vertAlign w:val="superscript"/>
        </w:rPr>
      </w:pPr>
      <w:r w:rsidRPr="00EF3C6A">
        <w:t xml:space="preserve">PD = progressed disease; PF = progression free; NIVO = nivolumab; IPI = </w:t>
      </w:r>
      <w:proofErr w:type="spellStart"/>
      <w:r w:rsidRPr="00EF3C6A">
        <w:t>ipilimumab</w:t>
      </w:r>
      <w:proofErr w:type="spellEnd"/>
      <w:r w:rsidRPr="00EF3C6A">
        <w:t>; EQ-5D</w:t>
      </w:r>
    </w:p>
    <w:p w:rsidR="00EC27AB" w:rsidRPr="00EF3C6A" w:rsidRDefault="00EC27AB" w:rsidP="001B5283">
      <w:pPr>
        <w:pStyle w:val="TableFooter"/>
        <w:keepNext/>
        <w:keepLines/>
      </w:pPr>
      <w:proofErr w:type="spellStart"/>
      <w:proofErr w:type="gramStart"/>
      <w:r w:rsidRPr="00EF3C6A">
        <w:rPr>
          <w:vertAlign w:val="superscript"/>
        </w:rPr>
        <w:t>a</w:t>
      </w:r>
      <w:proofErr w:type="spellEnd"/>
      <w:proofErr w:type="gramEnd"/>
      <w:r w:rsidRPr="00EF3C6A">
        <w:rPr>
          <w:vertAlign w:val="superscript"/>
        </w:rPr>
        <w:t xml:space="preserve"> </w:t>
      </w:r>
      <w:r w:rsidRPr="00EF3C6A">
        <w:t>intermediate/poor risk subpopulation</w:t>
      </w:r>
    </w:p>
    <w:p w:rsidR="00EC27AB" w:rsidRPr="00EF3C6A" w:rsidRDefault="00EC27AB" w:rsidP="001B5283">
      <w:pPr>
        <w:pStyle w:val="TableFooter"/>
        <w:keepNext/>
        <w:keepLines/>
        <w:rPr>
          <w:sz w:val="20"/>
        </w:rPr>
      </w:pPr>
      <w:r w:rsidRPr="00EF3C6A">
        <w:t xml:space="preserve">Source: Table 89, p160 Section 3 of the submission, Average application in the model taken from ‘Att_12_CEA_NIVO+IPI_1LRCC.xlsx’, </w:t>
      </w:r>
    </w:p>
    <w:p w:rsidR="00EC27AB" w:rsidRPr="00EF3C6A" w:rsidRDefault="00EC27AB" w:rsidP="00EC27AB">
      <w:pPr>
        <w:widowControl/>
      </w:pPr>
    </w:p>
    <w:p w:rsidR="00EC27AB" w:rsidRPr="00EF3C6A" w:rsidRDefault="006F71B7" w:rsidP="00EC27AB">
      <w:pPr>
        <w:pStyle w:val="ListParagraph"/>
        <w:widowControl/>
        <w:numPr>
          <w:ilvl w:val="1"/>
          <w:numId w:val="3"/>
        </w:numPr>
      </w:pPr>
      <w:r w:rsidRPr="00EF3C6A">
        <w:t>The evaluation considered that i</w:t>
      </w:r>
      <w:r w:rsidR="00EC27AB" w:rsidRPr="00EF3C6A">
        <w:t xml:space="preserve">t was unclear why the health state utility was higher in the NIVO+IPI arm compared to the </w:t>
      </w:r>
      <w:proofErr w:type="spellStart"/>
      <w:r w:rsidR="00EC27AB" w:rsidRPr="00EF3C6A">
        <w:t>sunitinib</w:t>
      </w:r>
      <w:proofErr w:type="spellEnd"/>
      <w:r w:rsidR="00EC27AB" w:rsidRPr="00EF3C6A">
        <w:t xml:space="preserve"> arm in both the progression-free and progressive health states. Since patients in the NIVO+IPI arm reported a higher frequency </w:t>
      </w:r>
      <w:r w:rsidR="00EC27AB" w:rsidRPr="00EF3C6A">
        <w:lastRenderedPageBreak/>
        <w:t xml:space="preserve">of drug-related serious adverse events than patients in the </w:t>
      </w:r>
      <w:proofErr w:type="spellStart"/>
      <w:r w:rsidR="00EC27AB" w:rsidRPr="00EF3C6A">
        <w:t>sunitinib</w:t>
      </w:r>
      <w:proofErr w:type="spellEnd"/>
      <w:r w:rsidR="00EC27AB" w:rsidRPr="00EF3C6A">
        <w:t xml:space="preserve"> arm (</w:t>
      </w:r>
      <w:r w:rsidR="00B07F6B">
        <w:rPr>
          <w:noProof/>
          <w:color w:val="000000"/>
          <w:highlight w:val="black"/>
        </w:rPr>
        <w:t>''''''''</w:t>
      </w:r>
      <w:r w:rsidR="00EC27AB" w:rsidRPr="00EF3C6A">
        <w:t xml:space="preserve">% vs </w:t>
      </w:r>
      <w:r w:rsidR="00B07F6B">
        <w:rPr>
          <w:noProof/>
          <w:color w:val="000000"/>
          <w:highlight w:val="black"/>
        </w:rPr>
        <w:t>''''''''</w:t>
      </w:r>
      <w:r w:rsidR="00EC27AB" w:rsidRPr="00EF3C6A">
        <w:t xml:space="preserve">% for any grade; and </w:t>
      </w:r>
      <w:r w:rsidR="00B07F6B">
        <w:rPr>
          <w:noProof/>
          <w:color w:val="000000"/>
          <w:highlight w:val="black"/>
        </w:rPr>
        <w:t>'''''''''</w:t>
      </w:r>
      <w:r w:rsidR="00EC27AB" w:rsidRPr="00EF3C6A">
        <w:t xml:space="preserve">% vs </w:t>
      </w:r>
      <w:r w:rsidR="00B07F6B">
        <w:rPr>
          <w:noProof/>
          <w:color w:val="000000"/>
          <w:highlight w:val="black"/>
        </w:rPr>
        <w:t>''''''''</w:t>
      </w:r>
      <w:r w:rsidR="00EC27AB" w:rsidRPr="00EF3C6A">
        <w:t xml:space="preserve">% for grade 3-4 SAEs for the intermediate/poor risk subgroup), </w:t>
      </w:r>
      <w:r w:rsidR="001F11C4" w:rsidRPr="00EF3C6A">
        <w:t xml:space="preserve">the evaluation considered that </w:t>
      </w:r>
      <w:r w:rsidR="00EC27AB" w:rsidRPr="00EF3C6A">
        <w:t xml:space="preserve">a higher utility for NIVO+IPI than for </w:t>
      </w:r>
      <w:proofErr w:type="spellStart"/>
      <w:r w:rsidR="00EC27AB" w:rsidRPr="00EF3C6A">
        <w:t>sunitinib</w:t>
      </w:r>
      <w:proofErr w:type="spellEnd"/>
      <w:r w:rsidR="00EC27AB" w:rsidRPr="00EF3C6A">
        <w:t xml:space="preserve"> may not be reasonable. One possible explanation may be the higher rates of AEs lead to discontinuation</w:t>
      </w:r>
      <w:r w:rsidR="00155E3F" w:rsidRPr="00EF3C6A">
        <w:t>s</w:t>
      </w:r>
      <w:r w:rsidR="00EC27AB" w:rsidRPr="00EF3C6A">
        <w:t xml:space="preserve"> in the NIVO+IPI arm. It is unclear whether EQ-5D questionnaires were administered to patients following discontinuation of treatment or the timing of the EQ-5D data collection.</w:t>
      </w:r>
    </w:p>
    <w:p w:rsidR="00EC27AB" w:rsidRPr="00EF3C6A" w:rsidRDefault="00EC27AB" w:rsidP="00EC27AB">
      <w:pPr>
        <w:pStyle w:val="ListParagraph"/>
        <w:widowControl/>
        <w:numPr>
          <w:ilvl w:val="1"/>
          <w:numId w:val="3"/>
        </w:numPr>
      </w:pPr>
      <w:r w:rsidRPr="00EF3C6A">
        <w:t xml:space="preserve">Due to the lack of detail in the submission regarding the </w:t>
      </w:r>
      <w:r w:rsidR="00155E3F" w:rsidRPr="00EF3C6A">
        <w:t xml:space="preserve">EQ-5D </w:t>
      </w:r>
      <w:r w:rsidRPr="00EF3C6A">
        <w:t xml:space="preserve">completion rates in the trial, characteristics of non-completers, whether the EQ-5D was administered to those experiencing adverse events and the time points of the EQ-5D data collection following radiological progression, the </w:t>
      </w:r>
      <w:r w:rsidR="0032790E" w:rsidRPr="00EF3C6A">
        <w:t xml:space="preserve">evaluation considered that the </w:t>
      </w:r>
      <w:r w:rsidRPr="00EF3C6A">
        <w:t xml:space="preserve">estimates from the trial </w:t>
      </w:r>
      <w:r w:rsidR="0032790E" w:rsidRPr="00EF3C6A">
        <w:t>we</w:t>
      </w:r>
      <w:r w:rsidRPr="00EF3C6A">
        <w:t>re highly uncertain</w:t>
      </w:r>
      <w:r w:rsidR="00060A4D" w:rsidRPr="00EF3C6A">
        <w:t>.</w:t>
      </w:r>
      <w:r w:rsidRPr="00EF3C6A">
        <w:t xml:space="preserve"> </w:t>
      </w:r>
    </w:p>
    <w:p w:rsidR="0032790E" w:rsidRPr="00EF3C6A" w:rsidRDefault="0032790E" w:rsidP="006E3045">
      <w:pPr>
        <w:pStyle w:val="ListParagraph"/>
        <w:widowControl/>
        <w:numPr>
          <w:ilvl w:val="1"/>
          <w:numId w:val="3"/>
        </w:numPr>
      </w:pPr>
      <w:r w:rsidRPr="00EF3C6A">
        <w:t>The PSCR</w:t>
      </w:r>
      <w:r w:rsidR="00ED0F3D" w:rsidRPr="00EF3C6A">
        <w:t xml:space="preserve"> </w:t>
      </w:r>
      <w:r w:rsidRPr="00EF3C6A">
        <w:t>provided further information rega</w:t>
      </w:r>
      <w:r w:rsidR="00384127" w:rsidRPr="00EF3C6A">
        <w:t>rding the EQ-5D completion rate</w:t>
      </w:r>
      <w:r w:rsidR="00F8710B" w:rsidRPr="00EF3C6A">
        <w:t>s in the trial</w:t>
      </w:r>
      <w:r w:rsidR="00384127" w:rsidRPr="00EF3C6A">
        <w:t xml:space="preserve">, which are provided in </w:t>
      </w:r>
      <w:r w:rsidR="00755DFA" w:rsidRPr="00EF3C6A">
        <w:t>the t</w:t>
      </w:r>
      <w:r w:rsidR="00384127" w:rsidRPr="00EF3C6A">
        <w:t xml:space="preserve">able below. </w:t>
      </w:r>
      <w:r w:rsidR="006E3045" w:rsidRPr="00EF3C6A">
        <w:t xml:space="preserve">The PSCR also outlined that patients were scheduled for regular follow-up assessments for EQ-5D </w:t>
      </w:r>
      <w:r w:rsidR="00A25A09" w:rsidRPr="00EF3C6A">
        <w:t>after</w:t>
      </w:r>
      <w:r w:rsidR="006E3045" w:rsidRPr="00EF3C6A">
        <w:t xml:space="preserve"> their last dose of study drug. However, the PSCR did not indicate the proportion of patients who completed the survey</w:t>
      </w:r>
      <w:r w:rsidR="001633BF" w:rsidRPr="00EF3C6A">
        <w:t xml:space="preserve"> post</w:t>
      </w:r>
      <w:r w:rsidR="00115BE8" w:rsidRPr="00EF3C6A">
        <w:t>-</w:t>
      </w:r>
      <w:r w:rsidR="006E3045" w:rsidRPr="00EF3C6A">
        <w:t xml:space="preserve">progression nor the </w:t>
      </w:r>
      <w:r w:rsidR="00233200" w:rsidRPr="00EF3C6A">
        <w:t>duration since progression</w:t>
      </w:r>
      <w:r w:rsidR="00A25A09" w:rsidRPr="00EF3C6A">
        <w:t xml:space="preserve"> of any of the results</w:t>
      </w:r>
      <w:r w:rsidR="006E3045" w:rsidRPr="00EF3C6A">
        <w:t xml:space="preserve">, which would impact the reliability of the utility values applied in the PD health states (especially given that a constant utility value was applied in the PD health state over the </w:t>
      </w:r>
      <w:r w:rsidR="00B07F6B">
        <w:rPr>
          <w:noProof/>
          <w:color w:val="000000"/>
          <w:highlight w:val="black"/>
        </w:rPr>
        <w:t>'''''</w:t>
      </w:r>
      <w:r w:rsidR="006E3045" w:rsidRPr="00EF3C6A">
        <w:t xml:space="preserve"> year time horizon).</w:t>
      </w:r>
      <w:r w:rsidR="00C666DD" w:rsidRPr="00EF3C6A">
        <w:t xml:space="preserve"> </w:t>
      </w:r>
    </w:p>
    <w:p w:rsidR="00384127" w:rsidRPr="00EF3C6A" w:rsidRDefault="00384127" w:rsidP="00384127">
      <w:pPr>
        <w:keepNext/>
        <w:keepLines/>
        <w:rPr>
          <w:rStyle w:val="CommentReference"/>
        </w:rPr>
      </w:pPr>
      <w:r w:rsidRPr="00EF3C6A">
        <w:rPr>
          <w:rStyle w:val="CommentReference"/>
        </w:rPr>
        <w:t xml:space="preserve">Table </w:t>
      </w:r>
      <w:r w:rsidR="00755DFA" w:rsidRPr="00EF3C6A">
        <w:rPr>
          <w:rStyle w:val="CommentReference"/>
        </w:rPr>
        <w:t>10</w:t>
      </w:r>
      <w:r w:rsidRPr="00EF3C6A">
        <w:rPr>
          <w:rStyle w:val="CommentReference"/>
        </w:rPr>
        <w:t>: EQ-5D completion rates</w:t>
      </w:r>
      <w:r w:rsidR="00F8710B" w:rsidRPr="00EF3C6A">
        <w:rPr>
          <w:rStyle w:val="CommentReference"/>
        </w:rPr>
        <w:t xml:space="preserve"> in CA209214</w:t>
      </w:r>
      <w:r w:rsidRPr="00EF3C6A">
        <w:rPr>
          <w:rStyle w:val="CommentReference"/>
        </w:rPr>
        <w:t xml:space="preserve">, n (%) </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919"/>
        <w:gridCol w:w="921"/>
        <w:gridCol w:w="924"/>
        <w:gridCol w:w="924"/>
        <w:gridCol w:w="926"/>
        <w:gridCol w:w="924"/>
        <w:gridCol w:w="924"/>
        <w:gridCol w:w="924"/>
        <w:gridCol w:w="833"/>
      </w:tblGrid>
      <w:tr w:rsidR="00384127" w:rsidRPr="00EF3C6A" w:rsidTr="0018664B">
        <w:trPr>
          <w:trHeight w:val="90"/>
          <w:tblHeader/>
        </w:trPr>
        <w:tc>
          <w:tcPr>
            <w:tcW w:w="489" w:type="pct"/>
            <w:vAlign w:val="center"/>
          </w:tcPr>
          <w:p w:rsidR="00384127" w:rsidRPr="00EF3C6A" w:rsidRDefault="00384127" w:rsidP="00384127">
            <w:pPr>
              <w:pStyle w:val="Tabletext"/>
              <w:keepNext/>
              <w:keepLines/>
              <w:jc w:val="center"/>
              <w:rPr>
                <w:b/>
              </w:rPr>
            </w:pPr>
            <w:r w:rsidRPr="00EF3C6A">
              <w:rPr>
                <w:b/>
              </w:rPr>
              <w:t>Weeks</w:t>
            </w:r>
          </w:p>
        </w:tc>
        <w:tc>
          <w:tcPr>
            <w:tcW w:w="505" w:type="pct"/>
            <w:vAlign w:val="center"/>
          </w:tcPr>
          <w:p w:rsidR="00384127" w:rsidRPr="00EF3C6A" w:rsidRDefault="00384127" w:rsidP="00384127">
            <w:pPr>
              <w:pStyle w:val="Tabletext"/>
              <w:keepNext/>
              <w:keepLines/>
              <w:jc w:val="center"/>
              <w:rPr>
                <w:b/>
              </w:rPr>
            </w:pPr>
            <w:r w:rsidRPr="00EF3C6A">
              <w:rPr>
                <w:b/>
              </w:rPr>
              <w:t>0</w:t>
            </w:r>
          </w:p>
        </w:tc>
        <w:tc>
          <w:tcPr>
            <w:tcW w:w="506" w:type="pct"/>
            <w:vAlign w:val="center"/>
          </w:tcPr>
          <w:p w:rsidR="00384127" w:rsidRPr="00EF3C6A" w:rsidRDefault="00384127" w:rsidP="00384127">
            <w:pPr>
              <w:pStyle w:val="Tabletext"/>
              <w:keepNext/>
              <w:keepLines/>
              <w:jc w:val="center"/>
              <w:rPr>
                <w:b/>
              </w:rPr>
            </w:pPr>
            <w:r w:rsidRPr="00EF3C6A">
              <w:rPr>
                <w:b/>
              </w:rPr>
              <w:t>12</w:t>
            </w:r>
          </w:p>
        </w:tc>
        <w:tc>
          <w:tcPr>
            <w:tcW w:w="507" w:type="pct"/>
            <w:vAlign w:val="center"/>
          </w:tcPr>
          <w:p w:rsidR="00384127" w:rsidRPr="00EF3C6A" w:rsidRDefault="00384127" w:rsidP="00384127">
            <w:pPr>
              <w:pStyle w:val="Tabletext"/>
              <w:keepNext/>
              <w:keepLines/>
              <w:jc w:val="center"/>
              <w:rPr>
                <w:b/>
              </w:rPr>
            </w:pPr>
            <w:r w:rsidRPr="00EF3C6A">
              <w:rPr>
                <w:b/>
              </w:rPr>
              <w:t>24</w:t>
            </w:r>
          </w:p>
        </w:tc>
        <w:tc>
          <w:tcPr>
            <w:tcW w:w="507" w:type="pct"/>
            <w:vAlign w:val="center"/>
          </w:tcPr>
          <w:p w:rsidR="00384127" w:rsidRPr="00EF3C6A" w:rsidRDefault="00384127" w:rsidP="00384127">
            <w:pPr>
              <w:pStyle w:val="Tabletext"/>
              <w:keepNext/>
              <w:keepLines/>
              <w:jc w:val="center"/>
              <w:rPr>
                <w:b/>
              </w:rPr>
            </w:pPr>
            <w:r w:rsidRPr="00EF3C6A">
              <w:rPr>
                <w:b/>
              </w:rPr>
              <w:t>36</w:t>
            </w:r>
          </w:p>
        </w:tc>
        <w:tc>
          <w:tcPr>
            <w:tcW w:w="508" w:type="pct"/>
            <w:vAlign w:val="center"/>
          </w:tcPr>
          <w:p w:rsidR="00384127" w:rsidRPr="00EF3C6A" w:rsidRDefault="00384127" w:rsidP="00384127">
            <w:pPr>
              <w:pStyle w:val="Tabletext"/>
              <w:keepNext/>
              <w:keepLines/>
              <w:jc w:val="center"/>
              <w:rPr>
                <w:b/>
              </w:rPr>
            </w:pPr>
            <w:r w:rsidRPr="00EF3C6A">
              <w:rPr>
                <w:b/>
              </w:rPr>
              <w:t>48</w:t>
            </w:r>
          </w:p>
        </w:tc>
        <w:tc>
          <w:tcPr>
            <w:tcW w:w="507" w:type="pct"/>
            <w:vAlign w:val="center"/>
          </w:tcPr>
          <w:p w:rsidR="00384127" w:rsidRPr="00EF3C6A" w:rsidRDefault="00384127" w:rsidP="00384127">
            <w:pPr>
              <w:pStyle w:val="Tabletext"/>
              <w:keepNext/>
              <w:keepLines/>
              <w:jc w:val="center"/>
              <w:rPr>
                <w:b/>
              </w:rPr>
            </w:pPr>
            <w:r w:rsidRPr="00EF3C6A">
              <w:rPr>
                <w:b/>
              </w:rPr>
              <w:t>60</w:t>
            </w:r>
          </w:p>
        </w:tc>
        <w:tc>
          <w:tcPr>
            <w:tcW w:w="507" w:type="pct"/>
            <w:vAlign w:val="center"/>
          </w:tcPr>
          <w:p w:rsidR="00384127" w:rsidRPr="00EF3C6A" w:rsidRDefault="00384127" w:rsidP="00384127">
            <w:pPr>
              <w:pStyle w:val="Tabletext"/>
              <w:keepNext/>
              <w:keepLines/>
              <w:jc w:val="center"/>
              <w:rPr>
                <w:b/>
              </w:rPr>
            </w:pPr>
            <w:r w:rsidRPr="00EF3C6A">
              <w:rPr>
                <w:b/>
              </w:rPr>
              <w:t>72</w:t>
            </w:r>
          </w:p>
        </w:tc>
        <w:tc>
          <w:tcPr>
            <w:tcW w:w="507" w:type="pct"/>
            <w:vAlign w:val="center"/>
          </w:tcPr>
          <w:p w:rsidR="00384127" w:rsidRPr="00EF3C6A" w:rsidRDefault="00384127" w:rsidP="00384127">
            <w:pPr>
              <w:pStyle w:val="Tabletext"/>
              <w:keepNext/>
              <w:keepLines/>
              <w:jc w:val="center"/>
              <w:rPr>
                <w:b/>
              </w:rPr>
            </w:pPr>
            <w:r w:rsidRPr="00EF3C6A">
              <w:rPr>
                <w:b/>
              </w:rPr>
              <w:t>84</w:t>
            </w:r>
          </w:p>
        </w:tc>
        <w:tc>
          <w:tcPr>
            <w:tcW w:w="460" w:type="pct"/>
            <w:vAlign w:val="center"/>
          </w:tcPr>
          <w:p w:rsidR="00384127" w:rsidRPr="00EF3C6A" w:rsidRDefault="00384127" w:rsidP="00384127">
            <w:pPr>
              <w:pStyle w:val="Tabletext"/>
              <w:keepNext/>
              <w:keepLines/>
              <w:jc w:val="center"/>
              <w:rPr>
                <w:b/>
              </w:rPr>
            </w:pPr>
            <w:r w:rsidRPr="00EF3C6A">
              <w:rPr>
                <w:b/>
              </w:rPr>
              <w:t>96</w:t>
            </w:r>
          </w:p>
        </w:tc>
      </w:tr>
      <w:tr w:rsidR="00384127" w:rsidRPr="00EF3C6A" w:rsidTr="0018664B">
        <w:tc>
          <w:tcPr>
            <w:tcW w:w="489" w:type="pct"/>
            <w:vAlign w:val="center"/>
          </w:tcPr>
          <w:p w:rsidR="00384127" w:rsidRPr="00EF3C6A" w:rsidRDefault="00384127" w:rsidP="00F8710B">
            <w:pPr>
              <w:pStyle w:val="Tabletext"/>
              <w:keepNext/>
              <w:keepLines/>
            </w:pPr>
            <w:r w:rsidRPr="00EF3C6A">
              <w:t>NIVO+IPI</w:t>
            </w:r>
          </w:p>
        </w:tc>
        <w:tc>
          <w:tcPr>
            <w:tcW w:w="505" w:type="pct"/>
            <w:vAlign w:val="center"/>
          </w:tcPr>
          <w:p w:rsidR="00384127" w:rsidRPr="00EF3C6A" w:rsidRDefault="00B07F6B" w:rsidP="00F8710B">
            <w:pPr>
              <w:pStyle w:val="Tabletext"/>
              <w:keepNext/>
              <w:keepLines/>
              <w:jc w:val="center"/>
            </w:pPr>
            <w:r>
              <w:rPr>
                <w:noProof/>
                <w:color w:val="000000"/>
                <w:highlight w:val="black"/>
              </w:rPr>
              <w:t>''''''''''</w:t>
            </w:r>
            <w:r w:rsidR="00384127" w:rsidRPr="00EF3C6A">
              <w:t xml:space="preserve"> (</w:t>
            </w:r>
            <w:r>
              <w:rPr>
                <w:noProof/>
                <w:color w:val="000000"/>
                <w:highlight w:val="black"/>
              </w:rPr>
              <w:t>''''''</w:t>
            </w:r>
            <w:r w:rsidR="00384127" w:rsidRPr="00EF3C6A">
              <w:t>%)</w:t>
            </w:r>
          </w:p>
        </w:tc>
        <w:tc>
          <w:tcPr>
            <w:tcW w:w="506" w:type="pct"/>
            <w:vAlign w:val="center"/>
          </w:tcPr>
          <w:p w:rsidR="00384127" w:rsidRPr="00EF3C6A" w:rsidRDefault="00B07F6B" w:rsidP="00F8710B">
            <w:pPr>
              <w:pStyle w:val="Tabletext"/>
              <w:keepNext/>
              <w:keepLines/>
              <w:jc w:val="center"/>
            </w:pPr>
            <w:r>
              <w:rPr>
                <w:noProof/>
                <w:color w:val="000000"/>
                <w:highlight w:val="black"/>
              </w:rPr>
              <w:t>'''''''''</w:t>
            </w:r>
            <w:r w:rsidR="00384127" w:rsidRPr="00EF3C6A">
              <w:t xml:space="preserve"> (</w:t>
            </w:r>
            <w:r>
              <w:rPr>
                <w:noProof/>
                <w:color w:val="000000"/>
                <w:highlight w:val="black"/>
              </w:rPr>
              <w:t>'''''''</w:t>
            </w:r>
            <w:r w:rsidR="00F8710B" w:rsidRPr="00EF3C6A">
              <w:t>%</w:t>
            </w:r>
            <w:r w:rsidR="00384127" w:rsidRPr="00EF3C6A">
              <w:t>)</w:t>
            </w:r>
          </w:p>
        </w:tc>
        <w:tc>
          <w:tcPr>
            <w:tcW w:w="507" w:type="pct"/>
            <w:vAlign w:val="center"/>
          </w:tcPr>
          <w:p w:rsidR="00384127" w:rsidRPr="00EF3C6A" w:rsidRDefault="00B07F6B" w:rsidP="00F8710B">
            <w:pPr>
              <w:pStyle w:val="Tabletext"/>
              <w:keepNext/>
              <w:keepLines/>
              <w:jc w:val="center"/>
            </w:pPr>
            <w:r>
              <w:rPr>
                <w:noProof/>
                <w:color w:val="000000"/>
                <w:highlight w:val="black"/>
              </w:rPr>
              <w:t>'''''''''</w:t>
            </w:r>
            <w:r w:rsidR="00384127" w:rsidRPr="00EF3C6A">
              <w:t xml:space="preserve"> (</w:t>
            </w:r>
            <w:r>
              <w:rPr>
                <w:noProof/>
                <w:color w:val="000000"/>
                <w:highlight w:val="black"/>
              </w:rPr>
              <w:t>'''''''</w:t>
            </w:r>
            <w:r w:rsidR="00384127" w:rsidRPr="00EF3C6A">
              <w:t>%)</w:t>
            </w:r>
          </w:p>
        </w:tc>
        <w:tc>
          <w:tcPr>
            <w:tcW w:w="507" w:type="pct"/>
            <w:vAlign w:val="center"/>
          </w:tcPr>
          <w:p w:rsidR="00384127" w:rsidRPr="00EF3C6A" w:rsidRDefault="00B07F6B" w:rsidP="00F8710B">
            <w:pPr>
              <w:pStyle w:val="Tabletext"/>
              <w:keepNext/>
              <w:keepLines/>
              <w:jc w:val="center"/>
            </w:pPr>
            <w:r>
              <w:rPr>
                <w:noProof/>
                <w:color w:val="000000"/>
                <w:highlight w:val="black"/>
              </w:rPr>
              <w:t>''''''''''</w:t>
            </w:r>
            <w:r w:rsidR="00F8710B" w:rsidRPr="00EF3C6A">
              <w:t xml:space="preserve"> (</w:t>
            </w:r>
            <w:r>
              <w:rPr>
                <w:noProof/>
                <w:color w:val="000000"/>
                <w:highlight w:val="black"/>
              </w:rPr>
              <w:t>'''''</w:t>
            </w:r>
            <w:r w:rsidR="00F8710B" w:rsidRPr="00EF3C6A">
              <w:t>%)</w:t>
            </w:r>
          </w:p>
        </w:tc>
        <w:tc>
          <w:tcPr>
            <w:tcW w:w="508" w:type="pct"/>
            <w:vAlign w:val="center"/>
          </w:tcPr>
          <w:p w:rsidR="00384127" w:rsidRPr="00EF3C6A" w:rsidRDefault="00B07F6B" w:rsidP="00F8710B">
            <w:pPr>
              <w:pStyle w:val="Tabletext"/>
              <w:keepNext/>
              <w:keepLines/>
              <w:jc w:val="center"/>
            </w:pPr>
            <w:r>
              <w:rPr>
                <w:noProof/>
                <w:color w:val="000000"/>
                <w:highlight w:val="black"/>
              </w:rPr>
              <w:t>''''''''</w:t>
            </w:r>
            <w:r w:rsidR="00F8710B" w:rsidRPr="00EF3C6A">
              <w:t xml:space="preserve"> (</w:t>
            </w:r>
            <w:r>
              <w:rPr>
                <w:noProof/>
                <w:color w:val="000000"/>
                <w:highlight w:val="black"/>
              </w:rPr>
              <w:t>'''''</w:t>
            </w:r>
            <w:r w:rsidR="00F8710B" w:rsidRPr="00EF3C6A">
              <w:t>%)</w:t>
            </w:r>
          </w:p>
        </w:tc>
        <w:tc>
          <w:tcPr>
            <w:tcW w:w="507" w:type="pct"/>
            <w:vAlign w:val="center"/>
          </w:tcPr>
          <w:p w:rsidR="00F8710B" w:rsidRPr="00B07F6B" w:rsidRDefault="00B07F6B" w:rsidP="00F8710B">
            <w:pPr>
              <w:pStyle w:val="Tabletext"/>
              <w:keepNext/>
              <w:keepLines/>
              <w:jc w:val="center"/>
              <w:rPr>
                <w:highlight w:val="black"/>
              </w:rPr>
            </w:pPr>
            <w:r>
              <w:rPr>
                <w:noProof/>
                <w:color w:val="000000"/>
                <w:highlight w:val="black"/>
              </w:rPr>
              <w:t xml:space="preserve">'''''' </w:t>
            </w:r>
          </w:p>
          <w:p w:rsidR="00384127" w:rsidRPr="00EF3C6A" w:rsidRDefault="00F8710B" w:rsidP="00F8710B">
            <w:pPr>
              <w:pStyle w:val="Tabletext"/>
              <w:keepNext/>
              <w:keepLines/>
              <w:jc w:val="center"/>
            </w:pPr>
            <w:r w:rsidRPr="00EF3C6A">
              <w:t>(</w:t>
            </w:r>
            <w:r w:rsidR="00B07F6B">
              <w:rPr>
                <w:noProof/>
                <w:color w:val="000000"/>
                <w:highlight w:val="black"/>
              </w:rPr>
              <w:t>''''''</w:t>
            </w:r>
            <w:r w:rsidRPr="00EF3C6A">
              <w:t>%)</w:t>
            </w:r>
          </w:p>
        </w:tc>
        <w:tc>
          <w:tcPr>
            <w:tcW w:w="507" w:type="pct"/>
            <w:vAlign w:val="center"/>
          </w:tcPr>
          <w:p w:rsidR="00F8710B" w:rsidRPr="00B07F6B" w:rsidRDefault="00B07F6B" w:rsidP="00F8710B">
            <w:pPr>
              <w:pStyle w:val="Tabletext"/>
              <w:keepNext/>
              <w:keepLines/>
              <w:jc w:val="center"/>
              <w:rPr>
                <w:highlight w:val="black"/>
              </w:rPr>
            </w:pPr>
            <w:r>
              <w:rPr>
                <w:noProof/>
                <w:color w:val="000000"/>
                <w:highlight w:val="black"/>
              </w:rPr>
              <w:t>''''''</w:t>
            </w:r>
          </w:p>
          <w:p w:rsidR="00384127" w:rsidRPr="00EF3C6A" w:rsidRDefault="00F8710B" w:rsidP="00F8710B">
            <w:pPr>
              <w:pStyle w:val="Tabletext"/>
              <w:keepNext/>
              <w:keepLines/>
              <w:jc w:val="center"/>
            </w:pPr>
            <w:r w:rsidRPr="00EF3C6A">
              <w:t xml:space="preserve"> (</w:t>
            </w:r>
            <w:r w:rsidR="00B07F6B">
              <w:rPr>
                <w:noProof/>
                <w:color w:val="000000"/>
                <w:highlight w:val="black"/>
              </w:rPr>
              <w:t>''''''</w:t>
            </w:r>
            <w:r w:rsidRPr="00EF3C6A">
              <w:t>%)</w:t>
            </w:r>
          </w:p>
        </w:tc>
        <w:tc>
          <w:tcPr>
            <w:tcW w:w="507" w:type="pct"/>
            <w:vAlign w:val="center"/>
          </w:tcPr>
          <w:p w:rsidR="00F8710B" w:rsidRPr="00B07F6B" w:rsidRDefault="00B07F6B" w:rsidP="00F8710B">
            <w:pPr>
              <w:pStyle w:val="Tabletext"/>
              <w:keepNext/>
              <w:keepLines/>
              <w:jc w:val="center"/>
              <w:rPr>
                <w:highlight w:val="black"/>
              </w:rPr>
            </w:pPr>
            <w:r>
              <w:rPr>
                <w:noProof/>
                <w:color w:val="000000"/>
                <w:highlight w:val="black"/>
              </w:rPr>
              <w:t>'''''''</w:t>
            </w:r>
          </w:p>
          <w:p w:rsidR="00384127" w:rsidRPr="00EF3C6A" w:rsidRDefault="00F8710B" w:rsidP="00F8710B">
            <w:pPr>
              <w:pStyle w:val="Tabletext"/>
              <w:keepNext/>
              <w:keepLines/>
              <w:jc w:val="center"/>
            </w:pPr>
            <w:r w:rsidRPr="00EF3C6A">
              <w:t xml:space="preserve"> (</w:t>
            </w:r>
            <w:r w:rsidR="00B07F6B">
              <w:rPr>
                <w:noProof/>
                <w:color w:val="000000"/>
                <w:highlight w:val="black"/>
              </w:rPr>
              <w:t>''''''</w:t>
            </w:r>
            <w:r w:rsidRPr="00EF3C6A">
              <w:t>%)</w:t>
            </w:r>
          </w:p>
        </w:tc>
        <w:tc>
          <w:tcPr>
            <w:tcW w:w="460" w:type="pct"/>
            <w:vAlign w:val="center"/>
          </w:tcPr>
          <w:p w:rsidR="00F8710B" w:rsidRPr="00B07F6B" w:rsidRDefault="00B07F6B" w:rsidP="00F8710B">
            <w:pPr>
              <w:pStyle w:val="Tabletext"/>
              <w:keepNext/>
              <w:keepLines/>
              <w:jc w:val="center"/>
              <w:rPr>
                <w:highlight w:val="black"/>
              </w:rPr>
            </w:pPr>
            <w:r>
              <w:rPr>
                <w:noProof/>
                <w:color w:val="000000"/>
                <w:highlight w:val="black"/>
              </w:rPr>
              <w:t xml:space="preserve">'''''' </w:t>
            </w:r>
          </w:p>
          <w:p w:rsidR="00384127" w:rsidRPr="00EF3C6A" w:rsidRDefault="00F8710B" w:rsidP="00F8710B">
            <w:pPr>
              <w:pStyle w:val="Tabletext"/>
              <w:keepNext/>
              <w:keepLines/>
              <w:jc w:val="center"/>
            </w:pPr>
            <w:r w:rsidRPr="00EF3C6A">
              <w:t>(</w:t>
            </w:r>
            <w:r w:rsidR="00B07F6B">
              <w:rPr>
                <w:noProof/>
                <w:color w:val="000000"/>
                <w:highlight w:val="black"/>
              </w:rPr>
              <w:t>'''''</w:t>
            </w:r>
            <w:r w:rsidRPr="00EF3C6A">
              <w:t>%)</w:t>
            </w:r>
          </w:p>
        </w:tc>
      </w:tr>
      <w:tr w:rsidR="00384127" w:rsidRPr="00EF3C6A" w:rsidTr="0018664B">
        <w:tc>
          <w:tcPr>
            <w:tcW w:w="489" w:type="pct"/>
            <w:vAlign w:val="center"/>
          </w:tcPr>
          <w:p w:rsidR="00384127" w:rsidRPr="00EF3C6A" w:rsidRDefault="00384127" w:rsidP="00F8710B">
            <w:pPr>
              <w:pStyle w:val="Tabletext"/>
              <w:keepNext/>
              <w:keepLines/>
            </w:pPr>
            <w:proofErr w:type="spellStart"/>
            <w:r w:rsidRPr="00EF3C6A">
              <w:t>Sunitinib</w:t>
            </w:r>
            <w:proofErr w:type="spellEnd"/>
          </w:p>
        </w:tc>
        <w:tc>
          <w:tcPr>
            <w:tcW w:w="505" w:type="pct"/>
            <w:vAlign w:val="center"/>
          </w:tcPr>
          <w:p w:rsidR="00384127" w:rsidRPr="00EF3C6A" w:rsidRDefault="00B07F6B" w:rsidP="00F8710B">
            <w:pPr>
              <w:pStyle w:val="Tabletext"/>
              <w:keepNext/>
              <w:keepLines/>
              <w:jc w:val="center"/>
            </w:pPr>
            <w:r>
              <w:rPr>
                <w:noProof/>
                <w:color w:val="000000"/>
                <w:highlight w:val="black"/>
              </w:rPr>
              <w:t>''''''''''</w:t>
            </w:r>
            <w:r w:rsidR="00384127" w:rsidRPr="00EF3C6A">
              <w:t xml:space="preserve"> (</w:t>
            </w:r>
            <w:r>
              <w:rPr>
                <w:noProof/>
                <w:color w:val="000000"/>
                <w:highlight w:val="black"/>
              </w:rPr>
              <w:t>''''''</w:t>
            </w:r>
            <w:r w:rsidR="00384127" w:rsidRPr="00EF3C6A">
              <w:t>%)</w:t>
            </w:r>
          </w:p>
        </w:tc>
        <w:tc>
          <w:tcPr>
            <w:tcW w:w="506" w:type="pct"/>
            <w:vAlign w:val="center"/>
          </w:tcPr>
          <w:p w:rsidR="00384127" w:rsidRPr="00EF3C6A" w:rsidRDefault="00B07F6B" w:rsidP="00F8710B">
            <w:pPr>
              <w:pStyle w:val="Tabletext"/>
              <w:keepNext/>
              <w:keepLines/>
              <w:jc w:val="center"/>
            </w:pPr>
            <w:r>
              <w:rPr>
                <w:noProof/>
                <w:color w:val="000000"/>
                <w:highlight w:val="black"/>
              </w:rPr>
              <w:t>'''''''''</w:t>
            </w:r>
            <w:r w:rsidR="00384127" w:rsidRPr="00EF3C6A">
              <w:t xml:space="preserve"> (</w:t>
            </w:r>
            <w:r>
              <w:rPr>
                <w:noProof/>
                <w:color w:val="000000"/>
                <w:highlight w:val="black"/>
              </w:rPr>
              <w:t>'''''</w:t>
            </w:r>
            <w:r w:rsidR="00384127" w:rsidRPr="00EF3C6A">
              <w:t>%)</w:t>
            </w:r>
          </w:p>
        </w:tc>
        <w:tc>
          <w:tcPr>
            <w:tcW w:w="507" w:type="pct"/>
            <w:vAlign w:val="center"/>
          </w:tcPr>
          <w:p w:rsidR="00384127" w:rsidRPr="00EF3C6A" w:rsidRDefault="00B07F6B" w:rsidP="00F8710B">
            <w:pPr>
              <w:pStyle w:val="Tabletext"/>
              <w:keepNext/>
              <w:keepLines/>
              <w:jc w:val="center"/>
            </w:pPr>
            <w:r>
              <w:rPr>
                <w:noProof/>
                <w:color w:val="000000"/>
                <w:highlight w:val="black"/>
              </w:rPr>
              <w:t>'''''''''</w:t>
            </w:r>
            <w:r w:rsidR="00F8710B" w:rsidRPr="00EF3C6A">
              <w:t xml:space="preserve"> (</w:t>
            </w:r>
            <w:r>
              <w:rPr>
                <w:noProof/>
                <w:color w:val="000000"/>
                <w:highlight w:val="black"/>
              </w:rPr>
              <w:t>''''''</w:t>
            </w:r>
            <w:r w:rsidR="00F8710B" w:rsidRPr="00EF3C6A">
              <w:t>%)</w:t>
            </w:r>
          </w:p>
        </w:tc>
        <w:tc>
          <w:tcPr>
            <w:tcW w:w="507" w:type="pct"/>
            <w:vAlign w:val="center"/>
          </w:tcPr>
          <w:p w:rsidR="00384127" w:rsidRPr="00EF3C6A" w:rsidRDefault="00B07F6B" w:rsidP="00F8710B">
            <w:pPr>
              <w:pStyle w:val="Tabletext"/>
              <w:keepNext/>
              <w:keepLines/>
              <w:jc w:val="center"/>
            </w:pPr>
            <w:r>
              <w:rPr>
                <w:noProof/>
                <w:color w:val="000000"/>
                <w:highlight w:val="black"/>
              </w:rPr>
              <w:t>''''''''''</w:t>
            </w:r>
            <w:r w:rsidR="00F8710B" w:rsidRPr="00EF3C6A">
              <w:t xml:space="preserve"> (</w:t>
            </w:r>
            <w:r>
              <w:rPr>
                <w:noProof/>
                <w:color w:val="000000"/>
                <w:highlight w:val="black"/>
              </w:rPr>
              <w:t>''''''</w:t>
            </w:r>
            <w:r w:rsidR="00F8710B" w:rsidRPr="00EF3C6A">
              <w:t>%)</w:t>
            </w:r>
          </w:p>
        </w:tc>
        <w:tc>
          <w:tcPr>
            <w:tcW w:w="508" w:type="pct"/>
            <w:vAlign w:val="center"/>
          </w:tcPr>
          <w:p w:rsidR="00384127" w:rsidRPr="00EF3C6A" w:rsidRDefault="00B07F6B" w:rsidP="00F8710B">
            <w:pPr>
              <w:pStyle w:val="Tabletext"/>
              <w:keepNext/>
              <w:keepLines/>
              <w:jc w:val="center"/>
            </w:pPr>
            <w:r>
              <w:rPr>
                <w:noProof/>
                <w:color w:val="000000"/>
                <w:highlight w:val="black"/>
              </w:rPr>
              <w:t>''''''''</w:t>
            </w:r>
            <w:r w:rsidR="00F8710B" w:rsidRPr="00EF3C6A">
              <w:t xml:space="preserve"> (</w:t>
            </w:r>
            <w:r>
              <w:rPr>
                <w:noProof/>
                <w:color w:val="000000"/>
                <w:highlight w:val="black"/>
              </w:rPr>
              <w:t>''''''</w:t>
            </w:r>
            <w:r w:rsidR="00F8710B" w:rsidRPr="00EF3C6A">
              <w:t>%)</w:t>
            </w:r>
          </w:p>
        </w:tc>
        <w:tc>
          <w:tcPr>
            <w:tcW w:w="507" w:type="pct"/>
            <w:vAlign w:val="center"/>
          </w:tcPr>
          <w:p w:rsidR="00F8710B" w:rsidRPr="00B07F6B" w:rsidRDefault="00B07F6B" w:rsidP="00F8710B">
            <w:pPr>
              <w:pStyle w:val="Tabletext"/>
              <w:keepNext/>
              <w:keepLines/>
              <w:jc w:val="center"/>
              <w:rPr>
                <w:highlight w:val="black"/>
              </w:rPr>
            </w:pPr>
            <w:r>
              <w:rPr>
                <w:noProof/>
                <w:color w:val="000000"/>
                <w:highlight w:val="black"/>
              </w:rPr>
              <w:t>''''''</w:t>
            </w:r>
          </w:p>
          <w:p w:rsidR="00384127" w:rsidRPr="00EF3C6A" w:rsidRDefault="00F8710B" w:rsidP="00F8710B">
            <w:pPr>
              <w:pStyle w:val="Tabletext"/>
              <w:keepNext/>
              <w:keepLines/>
              <w:jc w:val="center"/>
            </w:pPr>
            <w:r w:rsidRPr="00EF3C6A">
              <w:t xml:space="preserve"> (</w:t>
            </w:r>
            <w:r w:rsidR="00B07F6B">
              <w:rPr>
                <w:noProof/>
                <w:color w:val="000000"/>
                <w:highlight w:val="black"/>
              </w:rPr>
              <w:t>''''''</w:t>
            </w:r>
            <w:r w:rsidRPr="00EF3C6A">
              <w:t>%)</w:t>
            </w:r>
          </w:p>
        </w:tc>
        <w:tc>
          <w:tcPr>
            <w:tcW w:w="507" w:type="pct"/>
            <w:vAlign w:val="center"/>
          </w:tcPr>
          <w:p w:rsidR="00F8710B" w:rsidRPr="00B07F6B" w:rsidRDefault="00B07F6B" w:rsidP="00F8710B">
            <w:pPr>
              <w:pStyle w:val="Tabletext"/>
              <w:keepNext/>
              <w:keepLines/>
              <w:jc w:val="center"/>
              <w:rPr>
                <w:highlight w:val="black"/>
              </w:rPr>
            </w:pPr>
            <w:r>
              <w:rPr>
                <w:noProof/>
                <w:color w:val="000000"/>
                <w:highlight w:val="black"/>
              </w:rPr>
              <w:t>'''''''</w:t>
            </w:r>
          </w:p>
          <w:p w:rsidR="00384127" w:rsidRPr="00EF3C6A" w:rsidRDefault="00F8710B" w:rsidP="00F8710B">
            <w:pPr>
              <w:pStyle w:val="Tabletext"/>
              <w:keepNext/>
              <w:keepLines/>
              <w:jc w:val="center"/>
            </w:pPr>
            <w:r w:rsidRPr="00EF3C6A">
              <w:t xml:space="preserve"> (</w:t>
            </w:r>
            <w:r w:rsidR="00B07F6B">
              <w:rPr>
                <w:noProof/>
                <w:color w:val="000000"/>
                <w:highlight w:val="black"/>
              </w:rPr>
              <w:t>'''''</w:t>
            </w:r>
            <w:r w:rsidRPr="00EF3C6A">
              <w:t>%)</w:t>
            </w:r>
          </w:p>
        </w:tc>
        <w:tc>
          <w:tcPr>
            <w:tcW w:w="507" w:type="pct"/>
            <w:vAlign w:val="center"/>
          </w:tcPr>
          <w:p w:rsidR="00F8710B" w:rsidRPr="00B07F6B" w:rsidRDefault="00B07F6B" w:rsidP="00F8710B">
            <w:pPr>
              <w:pStyle w:val="Tabletext"/>
              <w:keepNext/>
              <w:keepLines/>
              <w:jc w:val="center"/>
              <w:rPr>
                <w:highlight w:val="black"/>
              </w:rPr>
            </w:pPr>
            <w:r>
              <w:rPr>
                <w:noProof/>
                <w:color w:val="000000"/>
                <w:highlight w:val="black"/>
              </w:rPr>
              <w:t>''''''</w:t>
            </w:r>
          </w:p>
          <w:p w:rsidR="00384127" w:rsidRPr="00EF3C6A" w:rsidRDefault="00F8710B" w:rsidP="00F8710B">
            <w:pPr>
              <w:pStyle w:val="Tabletext"/>
              <w:keepNext/>
              <w:keepLines/>
              <w:jc w:val="center"/>
            </w:pPr>
            <w:r w:rsidRPr="00EF3C6A">
              <w:t xml:space="preserve"> (</w:t>
            </w:r>
            <w:r w:rsidR="00B07F6B">
              <w:rPr>
                <w:noProof/>
                <w:color w:val="000000"/>
                <w:highlight w:val="black"/>
              </w:rPr>
              <w:t>''''''</w:t>
            </w:r>
            <w:r w:rsidRPr="00EF3C6A">
              <w:t>%)</w:t>
            </w:r>
          </w:p>
        </w:tc>
        <w:tc>
          <w:tcPr>
            <w:tcW w:w="460" w:type="pct"/>
            <w:vAlign w:val="center"/>
          </w:tcPr>
          <w:p w:rsidR="00F8710B" w:rsidRPr="00B07F6B" w:rsidRDefault="00B07F6B" w:rsidP="00F8710B">
            <w:pPr>
              <w:pStyle w:val="Tabletext"/>
              <w:keepNext/>
              <w:keepLines/>
              <w:jc w:val="center"/>
              <w:rPr>
                <w:highlight w:val="black"/>
              </w:rPr>
            </w:pPr>
            <w:r>
              <w:rPr>
                <w:noProof/>
                <w:color w:val="000000"/>
                <w:highlight w:val="black"/>
              </w:rPr>
              <w:t xml:space="preserve">''''' </w:t>
            </w:r>
          </w:p>
          <w:p w:rsidR="00384127" w:rsidRPr="00EF3C6A" w:rsidRDefault="00F8710B" w:rsidP="00F8710B">
            <w:pPr>
              <w:pStyle w:val="Tabletext"/>
              <w:keepNext/>
              <w:keepLines/>
              <w:jc w:val="center"/>
            </w:pPr>
            <w:r w:rsidRPr="0018664B">
              <w:t>(</w:t>
            </w:r>
            <w:r w:rsidR="00B07F6B">
              <w:rPr>
                <w:noProof/>
                <w:color w:val="000000"/>
                <w:highlight w:val="black"/>
              </w:rPr>
              <w:t>'''''</w:t>
            </w:r>
            <w:r w:rsidRPr="0018664B">
              <w:t>%)</w:t>
            </w:r>
          </w:p>
        </w:tc>
      </w:tr>
    </w:tbl>
    <w:p w:rsidR="00384127" w:rsidRPr="00EF3C6A" w:rsidRDefault="00384127" w:rsidP="00384127">
      <w:pPr>
        <w:pStyle w:val="TableFooter"/>
        <w:keepNext/>
        <w:keepLines/>
        <w:rPr>
          <w:vertAlign w:val="superscript"/>
        </w:rPr>
      </w:pPr>
      <w:r w:rsidRPr="00EF3C6A">
        <w:t xml:space="preserve">NIVO = nivolumab; IPI = </w:t>
      </w:r>
      <w:proofErr w:type="spellStart"/>
      <w:r w:rsidRPr="00EF3C6A">
        <w:t>ipilimumab</w:t>
      </w:r>
      <w:proofErr w:type="spellEnd"/>
    </w:p>
    <w:p w:rsidR="00384127" w:rsidRPr="00EF3C6A" w:rsidRDefault="00384127" w:rsidP="00F8710B">
      <w:pPr>
        <w:pStyle w:val="TableFooter"/>
        <w:keepNext/>
        <w:keepLines/>
        <w:spacing w:after="240"/>
        <w:rPr>
          <w:sz w:val="20"/>
        </w:rPr>
      </w:pPr>
      <w:r w:rsidRPr="00EF3C6A">
        <w:t xml:space="preserve">Source: </w:t>
      </w:r>
      <w:r w:rsidR="00F8710B" w:rsidRPr="00EF3C6A">
        <w:t>Page 5 of the PSCR</w:t>
      </w:r>
      <w:r w:rsidRPr="00EF3C6A">
        <w:t xml:space="preserve"> </w:t>
      </w:r>
    </w:p>
    <w:p w:rsidR="0007394D" w:rsidRPr="00EF3C6A" w:rsidRDefault="0007394D" w:rsidP="00EC27AB">
      <w:pPr>
        <w:pStyle w:val="ListParagraph"/>
        <w:widowControl/>
        <w:numPr>
          <w:ilvl w:val="1"/>
          <w:numId w:val="3"/>
        </w:numPr>
      </w:pPr>
      <w:bookmarkStart w:id="17" w:name="_Ref514142407"/>
      <w:r w:rsidRPr="00EF3C6A">
        <w:t xml:space="preserve">The PSCR stated that in intermediate/poor risk patients, EQ-5D completion rates were maintained at approximately </w:t>
      </w:r>
      <w:r w:rsidR="00B07F6B">
        <w:rPr>
          <w:noProof/>
          <w:color w:val="000000"/>
          <w:highlight w:val="black"/>
        </w:rPr>
        <w:t>'''''</w:t>
      </w:r>
      <w:r w:rsidRPr="00EF3C6A">
        <w:t xml:space="preserve">% or higher over the first </w:t>
      </w:r>
      <w:r w:rsidR="00B07F6B">
        <w:rPr>
          <w:noProof/>
          <w:color w:val="000000"/>
          <w:highlight w:val="black"/>
        </w:rPr>
        <w:t>''''''</w:t>
      </w:r>
      <w:r w:rsidRPr="00EF3C6A">
        <w:t xml:space="preserve"> weeks of the trial. The ESC considered that the data showed reasonably high completion rates, though these were consistently lower in the NIVO+IPI arm. The ESC considered that this may have been because patients who experienced severe adverse events may have been less likely to complete the survey (as outlined </w:t>
      </w:r>
      <w:r w:rsidR="00A25A09" w:rsidRPr="00EF3C6A">
        <w:t>earlier</w:t>
      </w:r>
      <w:r w:rsidRPr="00EF3C6A">
        <w:t xml:space="preserve">). </w:t>
      </w:r>
    </w:p>
    <w:p w:rsidR="0007394D" w:rsidRPr="00F846EB" w:rsidRDefault="0007394D" w:rsidP="0007394D">
      <w:pPr>
        <w:pStyle w:val="ListParagraph"/>
        <w:widowControl/>
        <w:numPr>
          <w:ilvl w:val="1"/>
          <w:numId w:val="3"/>
        </w:numPr>
      </w:pPr>
      <w:r w:rsidRPr="00EF3C6A">
        <w:t xml:space="preserve">The ESC considered that it may have been clinically plausible for patients </w:t>
      </w:r>
      <w:r w:rsidR="005A76D7" w:rsidRPr="00EF3C6A">
        <w:t xml:space="preserve">(in the progression-free health state) </w:t>
      </w:r>
      <w:r w:rsidRPr="00EF3C6A">
        <w:t xml:space="preserve">to experience better quality of life in the NIVO+IPI arm because there may be a proportion of patients who experience no </w:t>
      </w:r>
      <w:r w:rsidR="0061666A" w:rsidRPr="00EF3C6A">
        <w:t xml:space="preserve">clinically significant </w:t>
      </w:r>
      <w:r w:rsidRPr="00EF3C6A">
        <w:t xml:space="preserve">adverse events with NIVO+IPI, however almost all patients are likely to experience some adverse events that affect quality of life with </w:t>
      </w:r>
      <w:proofErr w:type="spellStart"/>
      <w:r w:rsidRPr="00EF3C6A">
        <w:t>sunitinib</w:t>
      </w:r>
      <w:proofErr w:type="spellEnd"/>
      <w:r w:rsidRPr="00EF3C6A">
        <w:t xml:space="preserve">. </w:t>
      </w:r>
      <w:r w:rsidRPr="00EF3C6A">
        <w:rPr>
          <w:iCs/>
        </w:rPr>
        <w:t>However, the ESC acknowledged that this was not able to be verified based on the data available.</w:t>
      </w:r>
    </w:p>
    <w:p w:rsidR="00EC27AB" w:rsidRPr="00EF3C6A" w:rsidRDefault="007A0CA7" w:rsidP="00EC27AB">
      <w:pPr>
        <w:pStyle w:val="ListParagraph"/>
        <w:widowControl/>
        <w:numPr>
          <w:ilvl w:val="1"/>
          <w:numId w:val="3"/>
        </w:numPr>
      </w:pPr>
      <w:r w:rsidRPr="00EF3C6A">
        <w:lastRenderedPageBreak/>
        <w:t xml:space="preserve">The </w:t>
      </w:r>
      <w:r w:rsidR="00D35D3B" w:rsidRPr="00EF3C6A">
        <w:t>evaluation</w:t>
      </w:r>
      <w:r w:rsidR="00D35D3B">
        <w:t>,</w:t>
      </w:r>
      <w:r w:rsidR="00D35D3B" w:rsidRPr="00EF3C6A">
        <w:t xml:space="preserve"> </w:t>
      </w:r>
      <w:r w:rsidRPr="00EF3C6A">
        <w:t>ESC</w:t>
      </w:r>
      <w:r w:rsidR="00D35D3B">
        <w:t xml:space="preserve"> and the PBAC</w:t>
      </w:r>
      <w:r w:rsidRPr="00EF3C6A">
        <w:t xml:space="preserve"> considered that</w:t>
      </w:r>
      <w:r w:rsidR="00EC27AB" w:rsidRPr="00EF3C6A">
        <w:t xml:space="preserve"> the utility estimates appeared high in relation to other economic evaluations, and utility values identified in the literature. </w:t>
      </w:r>
      <w:r w:rsidR="00F8710B" w:rsidRPr="00EF3C6A">
        <w:t xml:space="preserve">Further, the ESC </w:t>
      </w:r>
      <w:r w:rsidR="00D35D3B">
        <w:t xml:space="preserve">and PBAC </w:t>
      </w:r>
      <w:r w:rsidR="00F8710B" w:rsidRPr="00EF3C6A">
        <w:t>noted that the utility estimates were similar to population norms</w:t>
      </w:r>
      <w:r w:rsidR="0007394D" w:rsidRPr="00EF3C6A">
        <w:t xml:space="preserve"> (e.g. the mean EQ-5D-3L score in Australians aged: 55-64 years is 0.85; and 65-74 years is 0.82, as reported in Clemens et al, 2014)</w:t>
      </w:r>
      <w:r w:rsidR="00F8710B" w:rsidRPr="00EF3C6A">
        <w:t xml:space="preserve">. </w:t>
      </w:r>
      <w:r w:rsidR="00EC27AB" w:rsidRPr="00EF3C6A">
        <w:t>It is unlikely that patients will experience such a high utility consistently over the time horizon of the model, particularly given an ageing population and subsequent disease progressions.</w:t>
      </w:r>
      <w:bookmarkEnd w:id="17"/>
    </w:p>
    <w:p w:rsidR="00EC27AB" w:rsidRDefault="00EC27AB" w:rsidP="00EC27AB">
      <w:pPr>
        <w:pStyle w:val="ListParagraph"/>
        <w:widowControl/>
        <w:numPr>
          <w:ilvl w:val="1"/>
          <w:numId w:val="3"/>
        </w:numPr>
      </w:pPr>
      <w:r w:rsidRPr="00EF3C6A">
        <w:t xml:space="preserve">In its consideration of </w:t>
      </w:r>
      <w:proofErr w:type="spellStart"/>
      <w:r w:rsidRPr="00EF3C6A">
        <w:t>sunitinib</w:t>
      </w:r>
      <w:proofErr w:type="spellEnd"/>
      <w:r w:rsidRPr="00EF3C6A">
        <w:t xml:space="preserve"> for first-line treatment of </w:t>
      </w:r>
      <w:proofErr w:type="spellStart"/>
      <w:r w:rsidRPr="00EF3C6A">
        <w:t>mRCC</w:t>
      </w:r>
      <w:proofErr w:type="spellEnd"/>
      <w:r w:rsidRPr="00EF3C6A">
        <w:t xml:space="preserve">, NICE considered that a difference of 0.08 between the utility assigned to a progression-free health state </w:t>
      </w:r>
      <w:r w:rsidR="006068C2">
        <w:rPr>
          <w:noProof/>
          <w:color w:val="000000"/>
          <w:highlight w:val="black"/>
        </w:rPr>
        <w:t>''''''''''</w:t>
      </w:r>
      <w:r w:rsidRPr="00EF3C6A">
        <w:t>) and progressed health state (</w:t>
      </w:r>
      <w:r w:rsidR="006068C2">
        <w:rPr>
          <w:noProof/>
          <w:color w:val="000000"/>
          <w:highlight w:val="black"/>
        </w:rPr>
        <w:t>''''''''</w:t>
      </w:r>
      <w:r w:rsidRPr="00EF3C6A">
        <w:t>) was too small</w:t>
      </w:r>
      <w:r w:rsidRPr="00EF3C6A">
        <w:rPr>
          <w:rStyle w:val="FootnoteReference"/>
        </w:rPr>
        <w:footnoteReference w:id="8"/>
      </w:r>
      <w:r w:rsidRPr="00EF3C6A">
        <w:t xml:space="preserve">. The difference between the progression-free and progressed health states applied in the submission’s economic model was </w:t>
      </w:r>
      <w:r w:rsidR="00B07F6B">
        <w:rPr>
          <w:noProof/>
          <w:color w:val="000000"/>
          <w:highlight w:val="black"/>
        </w:rPr>
        <w:t>''''''''</w:t>
      </w:r>
      <w:r w:rsidRPr="00EF3C6A">
        <w:t xml:space="preserve"> for the NIVO+IPI arm and </w:t>
      </w:r>
      <w:r w:rsidR="00B07F6B">
        <w:rPr>
          <w:noProof/>
          <w:color w:val="000000"/>
          <w:highlight w:val="black"/>
        </w:rPr>
        <w:t>'''''''''</w:t>
      </w:r>
      <w:r w:rsidRPr="00EF3C6A">
        <w:t xml:space="preserve"> for the </w:t>
      </w:r>
      <w:proofErr w:type="spellStart"/>
      <w:r w:rsidRPr="00EF3C6A">
        <w:t>sunitinib</w:t>
      </w:r>
      <w:proofErr w:type="spellEnd"/>
      <w:r w:rsidRPr="00EF3C6A">
        <w:t xml:space="preserve"> arm. The economic model was sensitive to the utility values applied. </w:t>
      </w:r>
    </w:p>
    <w:p w:rsidR="00AD1888" w:rsidRPr="00EF3C6A" w:rsidRDefault="00AD1888" w:rsidP="00AD1888">
      <w:pPr>
        <w:pStyle w:val="ListParagraph"/>
        <w:widowControl/>
        <w:numPr>
          <w:ilvl w:val="1"/>
          <w:numId w:val="3"/>
        </w:numPr>
      </w:pPr>
      <w:r>
        <w:t xml:space="preserve">The pre-PBAC response stated that there were </w:t>
      </w:r>
      <w:r w:rsidRPr="00AD1888">
        <w:t>applicability issues</w:t>
      </w:r>
      <w:r w:rsidR="00D35D3B">
        <w:t xml:space="preserve"> </w:t>
      </w:r>
      <w:r w:rsidRPr="00AD1888">
        <w:t>associated with the utility values sourced from the literature</w:t>
      </w:r>
      <w:r w:rsidR="00D35D3B">
        <w:t xml:space="preserve">, e.g. utilities </w:t>
      </w:r>
      <w:r w:rsidRPr="00AD1888">
        <w:t xml:space="preserve">from the NICE submission for </w:t>
      </w:r>
      <w:proofErr w:type="spellStart"/>
      <w:r>
        <w:t>sunitinib</w:t>
      </w:r>
      <w:proofErr w:type="spellEnd"/>
      <w:r w:rsidRPr="00AD1888">
        <w:t xml:space="preserve"> </w:t>
      </w:r>
      <w:r w:rsidR="00D35D3B">
        <w:t xml:space="preserve">were based on a </w:t>
      </w:r>
      <w:r w:rsidRPr="00AD1888">
        <w:t>clinical setting of &gt;10 years ago</w:t>
      </w:r>
      <w:r w:rsidR="00D35D3B">
        <w:t xml:space="preserve"> and may not </w:t>
      </w:r>
      <w:r w:rsidRPr="00AD1888">
        <w:t xml:space="preserve">represent </w:t>
      </w:r>
      <w:r w:rsidR="00D35D3B">
        <w:t xml:space="preserve">current management of first-line RCC. </w:t>
      </w:r>
    </w:p>
    <w:p w:rsidR="00EC27AB" w:rsidRPr="00EF3C6A" w:rsidRDefault="00EC27AB" w:rsidP="00EC27AB">
      <w:pPr>
        <w:pStyle w:val="ListParagraph"/>
        <w:widowControl/>
        <w:numPr>
          <w:ilvl w:val="1"/>
          <w:numId w:val="3"/>
        </w:numPr>
      </w:pPr>
      <w:r w:rsidRPr="00EF3C6A">
        <w:t xml:space="preserve">The key drivers of the model are provided in the table below. </w:t>
      </w:r>
    </w:p>
    <w:p w:rsidR="00EC27AB" w:rsidRPr="00EF3C6A" w:rsidRDefault="00EC27AB" w:rsidP="009B15A1">
      <w:pPr>
        <w:keepNext/>
        <w:keepLines/>
        <w:rPr>
          <w:rStyle w:val="CommentReference"/>
        </w:rPr>
      </w:pPr>
      <w:r w:rsidRPr="00EF3C6A">
        <w:rPr>
          <w:rStyle w:val="CommentReference"/>
        </w:rPr>
        <w:t xml:space="preserve">Table </w:t>
      </w:r>
      <w:r w:rsidR="00755DFA" w:rsidRPr="00EF3C6A">
        <w:rPr>
          <w:rStyle w:val="CommentReference"/>
        </w:rPr>
        <w:t>11</w:t>
      </w:r>
      <w:r w:rsidRPr="00EF3C6A">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36"/>
        <w:gridCol w:w="6552"/>
        <w:gridCol w:w="1335"/>
      </w:tblGrid>
      <w:tr w:rsidR="00EC27AB" w:rsidRPr="00EF3C6A" w:rsidTr="001B5283">
        <w:trPr>
          <w:tblHeader/>
        </w:trPr>
        <w:tc>
          <w:tcPr>
            <w:tcW w:w="770" w:type="pct"/>
            <w:shd w:val="clear" w:color="auto" w:fill="auto"/>
            <w:vAlign w:val="center"/>
          </w:tcPr>
          <w:p w:rsidR="00EC27AB" w:rsidRPr="00EF3C6A" w:rsidRDefault="00EC27AB" w:rsidP="009B15A1">
            <w:pPr>
              <w:pStyle w:val="Tabletext"/>
              <w:keepNext/>
              <w:keepLines/>
              <w:rPr>
                <w:b/>
                <w:lang w:val="en-US"/>
              </w:rPr>
            </w:pPr>
            <w:r w:rsidRPr="00EF3C6A">
              <w:rPr>
                <w:b/>
                <w:lang w:val="en-US"/>
              </w:rPr>
              <w:t>Description</w:t>
            </w:r>
          </w:p>
        </w:tc>
        <w:tc>
          <w:tcPr>
            <w:tcW w:w="3514" w:type="pct"/>
            <w:shd w:val="clear" w:color="auto" w:fill="auto"/>
            <w:vAlign w:val="center"/>
          </w:tcPr>
          <w:p w:rsidR="00EC27AB" w:rsidRPr="00EF3C6A" w:rsidRDefault="00EC27AB" w:rsidP="009B15A1">
            <w:pPr>
              <w:pStyle w:val="Tabletext"/>
              <w:keepNext/>
              <w:keepLines/>
              <w:jc w:val="center"/>
              <w:rPr>
                <w:b/>
                <w:lang w:val="en-US"/>
              </w:rPr>
            </w:pPr>
            <w:r w:rsidRPr="00EF3C6A">
              <w:rPr>
                <w:b/>
                <w:lang w:val="en-US"/>
              </w:rPr>
              <w:t>Method/Value</w:t>
            </w:r>
          </w:p>
        </w:tc>
        <w:tc>
          <w:tcPr>
            <w:tcW w:w="716" w:type="pct"/>
            <w:shd w:val="clear" w:color="auto" w:fill="auto"/>
            <w:vAlign w:val="center"/>
          </w:tcPr>
          <w:p w:rsidR="00EC27AB" w:rsidRPr="00EF3C6A" w:rsidRDefault="00EC27AB" w:rsidP="009B15A1">
            <w:pPr>
              <w:pStyle w:val="Tabletext"/>
              <w:keepNext/>
              <w:keepLines/>
              <w:jc w:val="center"/>
              <w:rPr>
                <w:b/>
                <w:lang w:val="en-US"/>
              </w:rPr>
            </w:pPr>
            <w:r w:rsidRPr="00EF3C6A">
              <w:rPr>
                <w:b/>
                <w:lang w:val="en-US"/>
              </w:rPr>
              <w:t>Impact</w:t>
            </w:r>
          </w:p>
        </w:tc>
      </w:tr>
      <w:tr w:rsidR="00EC27AB" w:rsidRPr="00EF3C6A" w:rsidTr="001B5283">
        <w:tc>
          <w:tcPr>
            <w:tcW w:w="770" w:type="pct"/>
            <w:shd w:val="clear" w:color="auto" w:fill="auto"/>
            <w:vAlign w:val="center"/>
          </w:tcPr>
          <w:p w:rsidR="00EC27AB" w:rsidRPr="00EF3C6A" w:rsidRDefault="00EC27AB" w:rsidP="009B15A1">
            <w:pPr>
              <w:pStyle w:val="Tabletext"/>
              <w:keepNext/>
              <w:keepLines/>
              <w:rPr>
                <w:lang w:val="en-US"/>
              </w:rPr>
            </w:pPr>
            <w:r w:rsidRPr="00EF3C6A">
              <w:rPr>
                <w:lang w:val="en-US"/>
              </w:rPr>
              <w:t>Extrapolation</w:t>
            </w:r>
          </w:p>
        </w:tc>
        <w:tc>
          <w:tcPr>
            <w:tcW w:w="3514" w:type="pct"/>
            <w:shd w:val="clear" w:color="auto" w:fill="auto"/>
            <w:vAlign w:val="center"/>
          </w:tcPr>
          <w:p w:rsidR="00EC27AB" w:rsidRPr="00EF3C6A" w:rsidRDefault="00EC27AB" w:rsidP="00E20BA0">
            <w:pPr>
              <w:pStyle w:val="Tabletext"/>
              <w:keepNext/>
              <w:keepLines/>
              <w:rPr>
                <w:lang w:val="en-US"/>
              </w:rPr>
            </w:pPr>
            <w:r w:rsidRPr="00EF3C6A">
              <w:rPr>
                <w:lang w:val="en-US"/>
              </w:rPr>
              <w:t xml:space="preserve">Extrapolation of overall survival from immature data in the trial </w:t>
            </w:r>
            <w:r w:rsidR="009B15A1" w:rsidRPr="00EF3C6A">
              <w:rPr>
                <w:lang w:val="en-US"/>
              </w:rPr>
              <w:t xml:space="preserve">assuming proportional hazards to </w:t>
            </w:r>
            <w:r w:rsidR="00B07F6B">
              <w:rPr>
                <w:noProof/>
                <w:color w:val="000000"/>
                <w:highlight w:val="black"/>
                <w:lang w:val="en-US"/>
              </w:rPr>
              <w:t>'''</w:t>
            </w:r>
            <w:r w:rsidR="009B15A1" w:rsidRPr="00EF3C6A">
              <w:rPr>
                <w:lang w:val="en-US"/>
              </w:rPr>
              <w:t xml:space="preserve"> years</w:t>
            </w:r>
            <w:r w:rsidR="00AC0668">
              <w:rPr>
                <w:lang w:val="en-US"/>
              </w:rPr>
              <w:t xml:space="preserve"> (</w:t>
            </w:r>
            <w:r w:rsidR="00B07F6B">
              <w:rPr>
                <w:noProof/>
                <w:color w:val="000000"/>
                <w:highlight w:val="black"/>
                <w:lang w:val="en-US"/>
              </w:rPr>
              <w:t>''''</w:t>
            </w:r>
            <w:r w:rsidR="00AC0668">
              <w:rPr>
                <w:lang w:val="en-US"/>
              </w:rPr>
              <w:t xml:space="preserve"> years in the pre-PBAC response)</w:t>
            </w:r>
            <w:r w:rsidR="00A5202A" w:rsidRPr="00EF3C6A">
              <w:rPr>
                <w:lang w:val="en-US"/>
              </w:rPr>
              <w:t>, then</w:t>
            </w:r>
            <w:r w:rsidR="009B15A1" w:rsidRPr="00EF3C6A">
              <w:rPr>
                <w:lang w:val="en-US"/>
              </w:rPr>
              <w:t xml:space="preserve"> convergence </w:t>
            </w:r>
            <w:r w:rsidR="00A5202A" w:rsidRPr="00EF3C6A">
              <w:rPr>
                <w:lang w:val="en-US"/>
              </w:rPr>
              <w:t xml:space="preserve">from </w:t>
            </w:r>
            <w:r w:rsidR="00B07F6B">
              <w:rPr>
                <w:noProof/>
                <w:color w:val="000000"/>
                <w:highlight w:val="black"/>
                <w:lang w:val="en-US"/>
              </w:rPr>
              <w:t>''''</w:t>
            </w:r>
            <w:r w:rsidR="00A5202A" w:rsidRPr="00EF3C6A">
              <w:rPr>
                <w:lang w:val="en-US"/>
              </w:rPr>
              <w:t xml:space="preserve"> to </w:t>
            </w:r>
            <w:r w:rsidR="00B07F6B">
              <w:rPr>
                <w:noProof/>
                <w:color w:val="000000"/>
                <w:highlight w:val="black"/>
                <w:lang w:val="en-US"/>
              </w:rPr>
              <w:t xml:space="preserve">''''' </w:t>
            </w:r>
            <w:r w:rsidR="00A5202A" w:rsidRPr="00EF3C6A">
              <w:rPr>
                <w:lang w:val="en-US"/>
              </w:rPr>
              <w:t>years (</w:t>
            </w:r>
            <w:r w:rsidR="00AC0668">
              <w:rPr>
                <w:lang w:val="en-US"/>
              </w:rPr>
              <w:t xml:space="preserve">from </w:t>
            </w:r>
            <w:r w:rsidR="00B07F6B">
              <w:rPr>
                <w:noProof/>
                <w:color w:val="000000"/>
                <w:highlight w:val="black"/>
                <w:lang w:val="en-US"/>
              </w:rPr>
              <w:t>''''</w:t>
            </w:r>
            <w:r w:rsidR="00AC0668">
              <w:rPr>
                <w:lang w:val="en-US"/>
              </w:rPr>
              <w:t xml:space="preserve"> to </w:t>
            </w:r>
            <w:r w:rsidR="00B07F6B">
              <w:rPr>
                <w:noProof/>
                <w:color w:val="000000"/>
                <w:highlight w:val="black"/>
                <w:lang w:val="en-US"/>
              </w:rPr>
              <w:t>''''''</w:t>
            </w:r>
            <w:r w:rsidR="00AC0668">
              <w:rPr>
                <w:lang w:val="en-US"/>
              </w:rPr>
              <w:t xml:space="preserve"> years in the pre-PBAC response</w:t>
            </w:r>
            <w:r w:rsidR="00A5202A" w:rsidRPr="00EF3C6A">
              <w:rPr>
                <w:lang w:val="en-US"/>
              </w:rPr>
              <w:t>).</w:t>
            </w:r>
            <w:r w:rsidR="00AC0668">
              <w:rPr>
                <w:lang w:val="en-US"/>
              </w:rPr>
              <w:t xml:space="preserve"> </w:t>
            </w:r>
          </w:p>
        </w:tc>
        <w:tc>
          <w:tcPr>
            <w:tcW w:w="716" w:type="pct"/>
            <w:shd w:val="clear" w:color="auto" w:fill="auto"/>
            <w:vAlign w:val="center"/>
          </w:tcPr>
          <w:p w:rsidR="00EC27AB" w:rsidRPr="00EF3C6A" w:rsidRDefault="00EC27AB" w:rsidP="009B15A1">
            <w:pPr>
              <w:pStyle w:val="Tabletext"/>
              <w:keepNext/>
              <w:keepLines/>
              <w:rPr>
                <w:lang w:val="en-US"/>
              </w:rPr>
            </w:pPr>
            <w:r w:rsidRPr="00EF3C6A">
              <w:rPr>
                <w:lang w:val="en-US"/>
              </w:rPr>
              <w:t xml:space="preserve">High, </w:t>
            </w:r>
            <w:r w:rsidR="009B15A1" w:rsidRPr="00EF3C6A">
              <w:rPr>
                <w:lang w:val="en-US"/>
              </w:rPr>
              <w:t>favours NIVO+IPI</w:t>
            </w:r>
          </w:p>
        </w:tc>
      </w:tr>
      <w:tr w:rsidR="00EC27AB" w:rsidRPr="00EF3C6A" w:rsidTr="001B5283">
        <w:tc>
          <w:tcPr>
            <w:tcW w:w="770" w:type="pct"/>
            <w:shd w:val="clear" w:color="auto" w:fill="auto"/>
            <w:vAlign w:val="center"/>
          </w:tcPr>
          <w:p w:rsidR="00EC27AB" w:rsidRPr="00EF3C6A" w:rsidRDefault="00EC27AB" w:rsidP="009B15A1">
            <w:pPr>
              <w:pStyle w:val="Tabletext"/>
              <w:keepNext/>
              <w:keepLines/>
              <w:rPr>
                <w:lang w:val="en-US"/>
              </w:rPr>
            </w:pPr>
            <w:r w:rsidRPr="00EF3C6A">
              <w:rPr>
                <w:lang w:val="en-US"/>
              </w:rPr>
              <w:t>Utilities</w:t>
            </w:r>
          </w:p>
        </w:tc>
        <w:tc>
          <w:tcPr>
            <w:tcW w:w="3514" w:type="pct"/>
            <w:shd w:val="clear" w:color="auto" w:fill="auto"/>
            <w:vAlign w:val="center"/>
          </w:tcPr>
          <w:p w:rsidR="009B15A1" w:rsidRPr="00EF3C6A" w:rsidRDefault="00EC27AB" w:rsidP="00101D36">
            <w:pPr>
              <w:pStyle w:val="Tabletext"/>
              <w:keepNext/>
              <w:keepLines/>
              <w:numPr>
                <w:ilvl w:val="0"/>
                <w:numId w:val="6"/>
              </w:numPr>
              <w:ind w:left="115" w:hanging="115"/>
            </w:pPr>
            <w:r w:rsidRPr="00EF3C6A">
              <w:rPr>
                <w:lang w:val="en-US"/>
              </w:rPr>
              <w:t xml:space="preserve">High values from </w:t>
            </w:r>
            <w:r w:rsidRPr="00EF3C6A">
              <w:t xml:space="preserve">EQ-5D data in CA209214 with Australian preference weights (mean utility scores). </w:t>
            </w:r>
            <w:r w:rsidR="009B15A1" w:rsidRPr="00EF3C6A">
              <w:rPr>
                <w:lang w:val="en-US"/>
              </w:rPr>
              <w:t>Utility</w:t>
            </w:r>
            <w:r w:rsidR="009B15A1" w:rsidRPr="00EF3C6A">
              <w:t xml:space="preserve"> values used in the economic evaluation are higher than those identified in the literature.</w:t>
            </w:r>
          </w:p>
          <w:p w:rsidR="00EC27AB" w:rsidRPr="00EF3C6A" w:rsidRDefault="009B15A1" w:rsidP="00101D36">
            <w:pPr>
              <w:pStyle w:val="Tabletext"/>
              <w:keepNext/>
              <w:keepLines/>
              <w:numPr>
                <w:ilvl w:val="0"/>
                <w:numId w:val="6"/>
              </w:numPr>
              <w:ind w:left="115" w:hanging="115"/>
              <w:rPr>
                <w:lang w:val="en-US"/>
              </w:rPr>
            </w:pPr>
            <w:r w:rsidRPr="00EF3C6A">
              <w:t>U</w:t>
            </w:r>
            <w:r w:rsidR="00EC27AB" w:rsidRPr="00EF3C6A">
              <w:t xml:space="preserve">tility values for the NIVO+IPI arm are higher than the </w:t>
            </w:r>
            <w:proofErr w:type="spellStart"/>
            <w:r w:rsidR="00EC27AB" w:rsidRPr="00EF3C6A">
              <w:t>sunitinib</w:t>
            </w:r>
            <w:proofErr w:type="spellEnd"/>
            <w:r w:rsidR="00EC27AB" w:rsidRPr="00EF3C6A">
              <w:t xml:space="preserve"> arm </w:t>
            </w:r>
            <w:r w:rsidRPr="00EF3C6A">
              <w:t>despite</w:t>
            </w:r>
            <w:r w:rsidR="00EC27AB" w:rsidRPr="00EF3C6A">
              <w:t xml:space="preserve"> </w:t>
            </w:r>
            <w:r w:rsidR="00CD4F3E" w:rsidRPr="00EF3C6A">
              <w:t xml:space="preserve">a </w:t>
            </w:r>
            <w:r w:rsidR="00EC27AB" w:rsidRPr="00EF3C6A">
              <w:t xml:space="preserve">higher incidence of Grade 3-4 serious adverse events. </w:t>
            </w:r>
          </w:p>
        </w:tc>
        <w:tc>
          <w:tcPr>
            <w:tcW w:w="716" w:type="pct"/>
            <w:shd w:val="clear" w:color="auto" w:fill="auto"/>
            <w:vAlign w:val="center"/>
          </w:tcPr>
          <w:p w:rsidR="00EC27AB" w:rsidRPr="00EF3C6A" w:rsidRDefault="00EC27AB" w:rsidP="009B15A1">
            <w:pPr>
              <w:pStyle w:val="Tabletext"/>
              <w:keepNext/>
              <w:keepLines/>
              <w:rPr>
                <w:lang w:val="en-US"/>
              </w:rPr>
            </w:pPr>
            <w:r w:rsidRPr="00EF3C6A">
              <w:rPr>
                <w:lang w:val="en-US"/>
              </w:rPr>
              <w:t>High, favours NIVO+IPI</w:t>
            </w:r>
          </w:p>
        </w:tc>
      </w:tr>
      <w:tr w:rsidR="00EC27AB" w:rsidRPr="00EF3C6A" w:rsidTr="001B5283">
        <w:tc>
          <w:tcPr>
            <w:tcW w:w="770" w:type="pct"/>
            <w:shd w:val="clear" w:color="auto" w:fill="auto"/>
            <w:vAlign w:val="center"/>
          </w:tcPr>
          <w:p w:rsidR="00EC27AB" w:rsidRPr="00EF3C6A" w:rsidRDefault="00EC27AB" w:rsidP="009B15A1">
            <w:pPr>
              <w:pStyle w:val="Tabletext"/>
              <w:keepNext/>
              <w:keepLines/>
              <w:rPr>
                <w:lang w:val="en-US"/>
              </w:rPr>
            </w:pPr>
            <w:r w:rsidRPr="00EF3C6A">
              <w:rPr>
                <w:lang w:val="en-US"/>
              </w:rPr>
              <w:t>Intervention costs</w:t>
            </w:r>
          </w:p>
        </w:tc>
        <w:tc>
          <w:tcPr>
            <w:tcW w:w="3514" w:type="pct"/>
            <w:shd w:val="clear" w:color="auto" w:fill="auto"/>
            <w:vAlign w:val="center"/>
          </w:tcPr>
          <w:p w:rsidR="009B15A1" w:rsidRPr="00EF3C6A" w:rsidRDefault="009B15A1" w:rsidP="00101D36">
            <w:pPr>
              <w:pStyle w:val="Tabletext"/>
              <w:keepNext/>
              <w:keepLines/>
              <w:numPr>
                <w:ilvl w:val="0"/>
                <w:numId w:val="6"/>
              </w:numPr>
              <w:ind w:left="115" w:hanging="115"/>
              <w:rPr>
                <w:lang w:val="en-US"/>
              </w:rPr>
            </w:pPr>
            <w:r w:rsidRPr="00EF3C6A">
              <w:rPr>
                <w:lang w:val="en-US"/>
              </w:rPr>
              <w:t xml:space="preserve">The extrapolated </w:t>
            </w:r>
            <w:r w:rsidR="00EC27AB" w:rsidRPr="00EF3C6A">
              <w:rPr>
                <w:lang w:val="en-US"/>
              </w:rPr>
              <w:t>TTD curve</w:t>
            </w:r>
            <w:r w:rsidRPr="00EF3C6A">
              <w:rPr>
                <w:lang w:val="en-US"/>
              </w:rPr>
              <w:t xml:space="preserve"> does not converge with the PFS curve.</w:t>
            </w:r>
            <w:r w:rsidR="00EC27AB" w:rsidRPr="00EF3C6A">
              <w:rPr>
                <w:lang w:val="en-US"/>
              </w:rPr>
              <w:t xml:space="preserve"> </w:t>
            </w:r>
          </w:p>
          <w:p w:rsidR="00EC27AB" w:rsidRPr="00EF3C6A" w:rsidRDefault="009B15A1" w:rsidP="00101D36">
            <w:pPr>
              <w:pStyle w:val="Tabletext"/>
              <w:keepNext/>
              <w:keepLines/>
              <w:numPr>
                <w:ilvl w:val="0"/>
                <w:numId w:val="6"/>
              </w:numPr>
              <w:ind w:left="115" w:hanging="115"/>
              <w:rPr>
                <w:lang w:val="en-US"/>
              </w:rPr>
            </w:pPr>
            <w:r w:rsidRPr="00EF3C6A">
              <w:rPr>
                <w:lang w:val="en-US"/>
              </w:rPr>
              <w:t>A</w:t>
            </w:r>
            <w:r w:rsidR="00EC27AB" w:rsidRPr="00EF3C6A">
              <w:rPr>
                <w:lang w:val="en-US"/>
              </w:rPr>
              <w:t>ssum</w:t>
            </w:r>
            <w:r w:rsidRPr="00EF3C6A">
              <w:rPr>
                <w:lang w:val="en-US"/>
              </w:rPr>
              <w:t>es</w:t>
            </w:r>
            <w:r w:rsidR="00EC27AB" w:rsidRPr="00EF3C6A">
              <w:rPr>
                <w:lang w:val="en-US"/>
              </w:rPr>
              <w:t xml:space="preserve"> mean weight and dose intensity (+ wastage) from </w:t>
            </w:r>
            <w:r w:rsidR="00EC27AB" w:rsidRPr="00EF3C6A">
              <w:t xml:space="preserve">CA209214. </w:t>
            </w:r>
          </w:p>
        </w:tc>
        <w:tc>
          <w:tcPr>
            <w:tcW w:w="716" w:type="pct"/>
            <w:shd w:val="clear" w:color="auto" w:fill="auto"/>
            <w:vAlign w:val="center"/>
          </w:tcPr>
          <w:p w:rsidR="00EC27AB" w:rsidRPr="00EF3C6A" w:rsidRDefault="00EC27AB" w:rsidP="009B15A1">
            <w:pPr>
              <w:pStyle w:val="Tabletext"/>
              <w:keepNext/>
              <w:keepLines/>
              <w:rPr>
                <w:lang w:val="en-US"/>
              </w:rPr>
            </w:pPr>
            <w:r w:rsidRPr="00EF3C6A">
              <w:rPr>
                <w:lang w:val="en-US"/>
              </w:rPr>
              <w:t>Moderate</w:t>
            </w:r>
            <w:r w:rsidR="009B15A1" w:rsidRPr="00EF3C6A">
              <w:rPr>
                <w:lang w:val="en-US"/>
              </w:rPr>
              <w:t xml:space="preserve"> to high</w:t>
            </w:r>
            <w:r w:rsidRPr="00EF3C6A">
              <w:rPr>
                <w:lang w:val="en-US"/>
              </w:rPr>
              <w:t xml:space="preserve"> favours NIVO+IPI</w:t>
            </w:r>
          </w:p>
        </w:tc>
      </w:tr>
    </w:tbl>
    <w:p w:rsidR="00EC27AB" w:rsidRPr="00EF3C6A" w:rsidRDefault="00EC27AB" w:rsidP="009B15A1">
      <w:pPr>
        <w:pStyle w:val="TableFooter"/>
        <w:keepNext/>
        <w:keepLines/>
      </w:pPr>
      <w:r w:rsidRPr="00EF3C6A">
        <w:t xml:space="preserve">NIVO = nivolumab; IPI = </w:t>
      </w:r>
      <w:proofErr w:type="spellStart"/>
      <w:r w:rsidRPr="00EF3C6A">
        <w:t>ipilimumab</w:t>
      </w:r>
      <w:proofErr w:type="spellEnd"/>
      <w:r w:rsidRPr="00EF3C6A">
        <w:t xml:space="preserve">; TTD = time to treatment discontinuation. </w:t>
      </w:r>
    </w:p>
    <w:p w:rsidR="00EC27AB" w:rsidRPr="00EF3C6A" w:rsidRDefault="00EC27AB" w:rsidP="009B15A1">
      <w:pPr>
        <w:pStyle w:val="TableFooter"/>
        <w:keepNext/>
        <w:keepLines/>
      </w:pPr>
      <w:r w:rsidRPr="00EF3C6A">
        <w:t>Source: compiled during the evaluation based on Section 3.9 of the submission</w:t>
      </w:r>
    </w:p>
    <w:p w:rsidR="00EC27AB" w:rsidRPr="00EF3C6A" w:rsidRDefault="00EC27AB" w:rsidP="00EC27AB">
      <w:pPr>
        <w:widowControl/>
      </w:pPr>
    </w:p>
    <w:p w:rsidR="00EC27AB" w:rsidRPr="00EF3C6A" w:rsidRDefault="00EC27AB" w:rsidP="00AE7BEE">
      <w:pPr>
        <w:pStyle w:val="ListParagraph"/>
        <w:widowControl/>
        <w:numPr>
          <w:ilvl w:val="1"/>
          <w:numId w:val="3"/>
        </w:numPr>
      </w:pPr>
      <w:r w:rsidRPr="00EF3C6A">
        <w:t xml:space="preserve">Results of the stepped economic evaluation </w:t>
      </w:r>
      <w:r w:rsidR="00AE7BEE">
        <w:t xml:space="preserve">provided in the submission </w:t>
      </w:r>
      <w:r w:rsidRPr="00EF3C6A">
        <w:t xml:space="preserve">are provided in the table below. </w:t>
      </w:r>
      <w:r w:rsidR="00AE7BEE">
        <w:t xml:space="preserve">The pre-PBAC response provided a revised base case, also outlined in the table below, based on convergence commencing at </w:t>
      </w:r>
      <w:r w:rsidR="00B07F6B">
        <w:rPr>
          <w:noProof/>
          <w:color w:val="000000"/>
          <w:highlight w:val="black"/>
        </w:rPr>
        <w:t>'''</w:t>
      </w:r>
      <w:r w:rsidR="00AE7BEE">
        <w:t xml:space="preserve"> years and ending at 10 years, </w:t>
      </w:r>
      <w:r w:rsidR="00AE7BEE">
        <w:lastRenderedPageBreak/>
        <w:t>with a</w:t>
      </w:r>
      <w:r w:rsidR="00B07F6B">
        <w:rPr>
          <w:noProof/>
          <w:color w:val="000000"/>
          <w:highlight w:val="black"/>
        </w:rPr>
        <w:t xml:space="preserve"> '''''</w:t>
      </w:r>
      <w:r w:rsidR="00AE7BEE">
        <w:t xml:space="preserve"> year time horizon. The pre-PBAC response also applied a </w:t>
      </w:r>
      <w:r w:rsidR="00B07F6B">
        <w:rPr>
          <w:noProof/>
          <w:color w:val="000000"/>
          <w:highlight w:val="black"/>
        </w:rPr>
        <w:t>''''''</w:t>
      </w:r>
      <w:r w:rsidR="00AE7BEE">
        <w:t xml:space="preserve">% reduction to the </w:t>
      </w:r>
      <w:r w:rsidR="00574D1A">
        <w:t xml:space="preserve">nivolumab </w:t>
      </w:r>
      <w:r w:rsidR="00AE7BEE">
        <w:t xml:space="preserve">price </w:t>
      </w:r>
      <w:r w:rsidR="00574D1A">
        <w:t xml:space="preserve">to maintain the ICER at </w:t>
      </w:r>
      <w:r w:rsidR="002A1AA0">
        <w:t>$45,000/QALY - $75,000</w:t>
      </w:r>
      <w:r w:rsidR="00574D1A">
        <w:t>/QALY</w:t>
      </w:r>
      <w:r w:rsidR="00AE7BEE">
        <w:t xml:space="preserve">. </w:t>
      </w:r>
    </w:p>
    <w:p w:rsidR="00EC27AB" w:rsidRPr="00EF3C6A" w:rsidRDefault="00EC27AB" w:rsidP="0018723A">
      <w:pPr>
        <w:keepNext/>
        <w:keepLines/>
        <w:widowControl/>
        <w:rPr>
          <w:rStyle w:val="CommentReference"/>
        </w:rPr>
      </w:pPr>
      <w:r w:rsidRPr="00EF3C6A">
        <w:rPr>
          <w:rStyle w:val="CommentReference"/>
        </w:rPr>
        <w:t xml:space="preserve">Table </w:t>
      </w:r>
      <w:r w:rsidR="00E20BA0">
        <w:rPr>
          <w:rStyle w:val="CommentReference"/>
        </w:rPr>
        <w:t>1</w:t>
      </w:r>
      <w:r w:rsidR="00755DFA" w:rsidRPr="00EF3C6A">
        <w:rPr>
          <w:rStyle w:val="CommentReference"/>
        </w:rPr>
        <w:t>2</w:t>
      </w:r>
      <w:r w:rsidRPr="00EF3C6A">
        <w:rPr>
          <w:rStyle w:val="CommentReference"/>
        </w:rPr>
        <w:t>: Results of the stepped economic evaluation</w:t>
      </w:r>
    </w:p>
    <w:tbl>
      <w:tblPr>
        <w:tblStyle w:val="TableGridbeth5"/>
        <w:tblW w:w="5000" w:type="pct"/>
        <w:tblCellMar>
          <w:left w:w="28" w:type="dxa"/>
          <w:right w:w="28" w:type="dxa"/>
        </w:tblCellMar>
        <w:tblLook w:val="04A0" w:firstRow="1" w:lastRow="0" w:firstColumn="1" w:lastColumn="0" w:noHBand="0" w:noVBand="1"/>
        <w:tblCaption w:val="Table 12: Results of the stepped economic evaluation"/>
      </w:tblPr>
      <w:tblGrid>
        <w:gridCol w:w="558"/>
        <w:gridCol w:w="3488"/>
        <w:gridCol w:w="808"/>
        <w:gridCol w:w="808"/>
        <w:gridCol w:w="714"/>
        <w:gridCol w:w="754"/>
        <w:gridCol w:w="473"/>
        <w:gridCol w:w="523"/>
        <w:gridCol w:w="1197"/>
      </w:tblGrid>
      <w:tr w:rsidR="00EC27AB" w:rsidRPr="00EF3C6A" w:rsidTr="00386992">
        <w:trPr>
          <w:trHeight w:val="20"/>
          <w:tblHeader/>
        </w:trPr>
        <w:tc>
          <w:tcPr>
            <w:tcW w:w="337" w:type="pct"/>
            <w:vMerge w:val="restart"/>
            <w:shd w:val="clear" w:color="auto" w:fill="auto"/>
            <w:vAlign w:val="center"/>
          </w:tcPr>
          <w:p w:rsidR="00EC27AB" w:rsidRPr="00EF3C6A" w:rsidRDefault="00EC27AB" w:rsidP="0018723A">
            <w:pPr>
              <w:pStyle w:val="Tabletext"/>
              <w:keepNext/>
              <w:keepLines/>
              <w:spacing w:line="240" w:lineRule="auto"/>
              <w:jc w:val="center"/>
              <w:rPr>
                <w:b/>
              </w:rPr>
            </w:pPr>
            <w:r w:rsidRPr="00EF3C6A">
              <w:rPr>
                <w:b/>
              </w:rPr>
              <w:t>Steps</w:t>
            </w:r>
          </w:p>
        </w:tc>
        <w:tc>
          <w:tcPr>
            <w:tcW w:w="1908" w:type="pct"/>
            <w:vMerge w:val="restart"/>
            <w:shd w:val="clear" w:color="auto" w:fill="auto"/>
            <w:vAlign w:val="center"/>
          </w:tcPr>
          <w:p w:rsidR="00EC27AB" w:rsidRPr="00EF3C6A" w:rsidRDefault="00EC27AB" w:rsidP="0018723A">
            <w:pPr>
              <w:pStyle w:val="Tabletext"/>
              <w:keepNext/>
              <w:keepLines/>
              <w:spacing w:line="240" w:lineRule="auto"/>
              <w:jc w:val="center"/>
              <w:rPr>
                <w:b/>
              </w:rPr>
            </w:pPr>
            <w:r w:rsidRPr="00EF3C6A">
              <w:rPr>
                <w:b/>
              </w:rPr>
              <w:t>Outcomes and Extrapolation</w:t>
            </w:r>
          </w:p>
        </w:tc>
        <w:tc>
          <w:tcPr>
            <w:tcW w:w="1142" w:type="pct"/>
            <w:gridSpan w:val="3"/>
            <w:shd w:val="clear" w:color="auto" w:fill="auto"/>
            <w:vAlign w:val="center"/>
          </w:tcPr>
          <w:p w:rsidR="00EC27AB" w:rsidRPr="00EF3C6A" w:rsidRDefault="00EC27AB" w:rsidP="0018723A">
            <w:pPr>
              <w:pStyle w:val="Tabletext"/>
              <w:keepNext/>
              <w:keepLines/>
              <w:spacing w:line="240" w:lineRule="auto"/>
              <w:jc w:val="center"/>
              <w:rPr>
                <w:b/>
              </w:rPr>
            </w:pPr>
            <w:r w:rsidRPr="00EF3C6A">
              <w:rPr>
                <w:b/>
              </w:rPr>
              <w:t>Costs</w:t>
            </w:r>
          </w:p>
        </w:tc>
        <w:tc>
          <w:tcPr>
            <w:tcW w:w="1011" w:type="pct"/>
            <w:gridSpan w:val="3"/>
            <w:shd w:val="clear" w:color="auto" w:fill="auto"/>
            <w:vAlign w:val="center"/>
          </w:tcPr>
          <w:p w:rsidR="00EC27AB" w:rsidRPr="00EF3C6A" w:rsidRDefault="00EC27AB" w:rsidP="0018723A">
            <w:pPr>
              <w:pStyle w:val="Tabletext"/>
              <w:keepNext/>
              <w:keepLines/>
              <w:spacing w:line="240" w:lineRule="auto"/>
              <w:jc w:val="center"/>
              <w:rPr>
                <w:b/>
              </w:rPr>
            </w:pPr>
            <w:r w:rsidRPr="00EF3C6A">
              <w:rPr>
                <w:b/>
              </w:rPr>
              <w:t>Outcomes</w:t>
            </w:r>
          </w:p>
        </w:tc>
        <w:tc>
          <w:tcPr>
            <w:tcW w:w="603" w:type="pct"/>
            <w:vMerge w:val="restart"/>
            <w:shd w:val="clear" w:color="auto" w:fill="auto"/>
            <w:vAlign w:val="center"/>
          </w:tcPr>
          <w:p w:rsidR="00EC27AB" w:rsidRPr="00EF3C6A" w:rsidRDefault="00EC27AB" w:rsidP="0018723A">
            <w:pPr>
              <w:pStyle w:val="Tabletext"/>
              <w:keepNext/>
              <w:keepLines/>
              <w:spacing w:line="240" w:lineRule="auto"/>
              <w:jc w:val="center"/>
              <w:rPr>
                <w:b/>
              </w:rPr>
            </w:pPr>
            <w:r w:rsidRPr="00EF3C6A">
              <w:rPr>
                <w:b/>
              </w:rPr>
              <w:t>ICER</w:t>
            </w:r>
          </w:p>
        </w:tc>
      </w:tr>
      <w:tr w:rsidR="00EC27AB" w:rsidRPr="00EF3C6A" w:rsidTr="00386992">
        <w:trPr>
          <w:trHeight w:val="20"/>
          <w:tblHeader/>
        </w:trPr>
        <w:tc>
          <w:tcPr>
            <w:tcW w:w="337" w:type="pct"/>
            <w:vMerge/>
            <w:shd w:val="clear" w:color="auto" w:fill="auto"/>
            <w:vAlign w:val="center"/>
          </w:tcPr>
          <w:p w:rsidR="00EC27AB" w:rsidRPr="00EF3C6A" w:rsidRDefault="00EC27AB" w:rsidP="0018723A">
            <w:pPr>
              <w:pStyle w:val="Tabletext"/>
              <w:keepNext/>
              <w:keepLines/>
              <w:spacing w:line="240" w:lineRule="auto"/>
              <w:jc w:val="center"/>
              <w:rPr>
                <w:b/>
              </w:rPr>
            </w:pPr>
          </w:p>
        </w:tc>
        <w:tc>
          <w:tcPr>
            <w:tcW w:w="1908" w:type="pct"/>
            <w:vMerge/>
            <w:shd w:val="clear" w:color="auto" w:fill="auto"/>
            <w:vAlign w:val="center"/>
          </w:tcPr>
          <w:p w:rsidR="00EC27AB" w:rsidRPr="00EF3C6A" w:rsidRDefault="00EC27AB" w:rsidP="0018723A">
            <w:pPr>
              <w:pStyle w:val="Tabletext"/>
              <w:keepNext/>
              <w:keepLines/>
              <w:spacing w:line="240" w:lineRule="auto"/>
              <w:jc w:val="center"/>
              <w:rPr>
                <w:b/>
              </w:rPr>
            </w:pPr>
          </w:p>
        </w:tc>
        <w:tc>
          <w:tcPr>
            <w:tcW w:w="402" w:type="pct"/>
            <w:shd w:val="clear" w:color="auto" w:fill="auto"/>
            <w:vAlign w:val="center"/>
          </w:tcPr>
          <w:p w:rsidR="00EC27AB" w:rsidRPr="00EF3C6A" w:rsidRDefault="00EC27AB" w:rsidP="0018723A">
            <w:pPr>
              <w:pStyle w:val="Tabletext"/>
              <w:keepNext/>
              <w:keepLines/>
              <w:spacing w:line="240" w:lineRule="auto"/>
              <w:jc w:val="center"/>
              <w:rPr>
                <w:b/>
              </w:rPr>
            </w:pPr>
            <w:r w:rsidRPr="00EF3C6A">
              <w:rPr>
                <w:b/>
              </w:rPr>
              <w:t>NIVO+IPI</w:t>
            </w:r>
          </w:p>
        </w:tc>
        <w:tc>
          <w:tcPr>
            <w:tcW w:w="395" w:type="pct"/>
            <w:shd w:val="clear" w:color="auto" w:fill="auto"/>
            <w:vAlign w:val="center"/>
          </w:tcPr>
          <w:p w:rsidR="00EC27AB" w:rsidRPr="00EF3C6A" w:rsidRDefault="00EC27AB" w:rsidP="0018723A">
            <w:pPr>
              <w:pStyle w:val="Tabletext"/>
              <w:keepNext/>
              <w:keepLines/>
              <w:spacing w:line="240" w:lineRule="auto"/>
              <w:jc w:val="center"/>
              <w:rPr>
                <w:b/>
              </w:rPr>
            </w:pPr>
            <w:r w:rsidRPr="00EF3C6A">
              <w:rPr>
                <w:b/>
              </w:rPr>
              <w:t>SUNI</w:t>
            </w:r>
          </w:p>
        </w:tc>
        <w:tc>
          <w:tcPr>
            <w:tcW w:w="346" w:type="pct"/>
            <w:shd w:val="clear" w:color="auto" w:fill="auto"/>
            <w:vAlign w:val="center"/>
          </w:tcPr>
          <w:p w:rsidR="00EC27AB" w:rsidRPr="00EF3C6A" w:rsidRDefault="00EC27AB" w:rsidP="0018723A">
            <w:pPr>
              <w:pStyle w:val="Tabletext"/>
              <w:keepNext/>
              <w:keepLines/>
              <w:spacing w:line="240" w:lineRule="auto"/>
              <w:jc w:val="center"/>
              <w:rPr>
                <w:b/>
              </w:rPr>
            </w:pPr>
            <w:r w:rsidRPr="00EF3C6A">
              <w:rPr>
                <w:b/>
              </w:rPr>
              <w:t>∆</w:t>
            </w:r>
          </w:p>
        </w:tc>
        <w:tc>
          <w:tcPr>
            <w:tcW w:w="402" w:type="pct"/>
            <w:shd w:val="clear" w:color="auto" w:fill="auto"/>
            <w:vAlign w:val="center"/>
          </w:tcPr>
          <w:p w:rsidR="00EC27AB" w:rsidRPr="00EF3C6A" w:rsidRDefault="00EC27AB" w:rsidP="0018723A">
            <w:pPr>
              <w:pStyle w:val="Tabletext"/>
              <w:keepNext/>
              <w:keepLines/>
              <w:spacing w:line="240" w:lineRule="auto"/>
              <w:jc w:val="center"/>
              <w:rPr>
                <w:b/>
              </w:rPr>
            </w:pPr>
            <w:r w:rsidRPr="00EF3C6A">
              <w:rPr>
                <w:b/>
              </w:rPr>
              <w:t>NIVO+IPI</w:t>
            </w:r>
          </w:p>
        </w:tc>
        <w:tc>
          <w:tcPr>
            <w:tcW w:w="291" w:type="pct"/>
            <w:shd w:val="clear" w:color="auto" w:fill="auto"/>
            <w:vAlign w:val="center"/>
          </w:tcPr>
          <w:p w:rsidR="00EC27AB" w:rsidRPr="00EF3C6A" w:rsidRDefault="00EC27AB" w:rsidP="0018723A">
            <w:pPr>
              <w:pStyle w:val="Tabletext"/>
              <w:keepNext/>
              <w:keepLines/>
              <w:spacing w:line="240" w:lineRule="auto"/>
              <w:jc w:val="center"/>
              <w:rPr>
                <w:b/>
              </w:rPr>
            </w:pPr>
            <w:r w:rsidRPr="00EF3C6A">
              <w:rPr>
                <w:b/>
              </w:rPr>
              <w:t>SUNI</w:t>
            </w:r>
          </w:p>
        </w:tc>
        <w:tc>
          <w:tcPr>
            <w:tcW w:w="318" w:type="pct"/>
            <w:shd w:val="clear" w:color="auto" w:fill="auto"/>
            <w:vAlign w:val="center"/>
          </w:tcPr>
          <w:p w:rsidR="00EC27AB" w:rsidRPr="00EF3C6A" w:rsidRDefault="00EC27AB" w:rsidP="0018723A">
            <w:pPr>
              <w:pStyle w:val="Tabletext"/>
              <w:keepNext/>
              <w:keepLines/>
              <w:spacing w:line="240" w:lineRule="auto"/>
              <w:jc w:val="center"/>
              <w:rPr>
                <w:b/>
              </w:rPr>
            </w:pPr>
            <w:r w:rsidRPr="00EF3C6A">
              <w:rPr>
                <w:b/>
              </w:rPr>
              <w:t>∆</w:t>
            </w:r>
          </w:p>
        </w:tc>
        <w:tc>
          <w:tcPr>
            <w:tcW w:w="603" w:type="pct"/>
            <w:vMerge/>
            <w:shd w:val="clear" w:color="auto" w:fill="auto"/>
            <w:vAlign w:val="center"/>
          </w:tcPr>
          <w:p w:rsidR="00EC27AB" w:rsidRPr="00EF3C6A" w:rsidRDefault="00EC27AB" w:rsidP="0018723A">
            <w:pPr>
              <w:pStyle w:val="Tabletext"/>
              <w:keepNext/>
              <w:keepLines/>
              <w:spacing w:line="240" w:lineRule="auto"/>
            </w:pPr>
          </w:p>
        </w:tc>
      </w:tr>
      <w:tr w:rsidR="00EC27AB" w:rsidRPr="00EF3C6A" w:rsidTr="00386992">
        <w:trPr>
          <w:trHeight w:val="20"/>
          <w:tblHeader/>
        </w:trPr>
        <w:tc>
          <w:tcPr>
            <w:tcW w:w="337" w:type="pct"/>
            <w:shd w:val="clear" w:color="auto" w:fill="auto"/>
            <w:vAlign w:val="center"/>
          </w:tcPr>
          <w:p w:rsidR="00EC27AB" w:rsidRPr="00EF3C6A" w:rsidRDefault="00EC27AB" w:rsidP="0018723A">
            <w:pPr>
              <w:pStyle w:val="Tabletext"/>
              <w:keepNext/>
              <w:keepLines/>
              <w:spacing w:line="240" w:lineRule="auto"/>
            </w:pPr>
            <w:r w:rsidRPr="00EF3C6A">
              <w:t>Step 1</w:t>
            </w:r>
          </w:p>
        </w:tc>
        <w:tc>
          <w:tcPr>
            <w:tcW w:w="1908" w:type="pct"/>
            <w:shd w:val="clear" w:color="auto" w:fill="auto"/>
            <w:vAlign w:val="center"/>
          </w:tcPr>
          <w:p w:rsidR="00EC27AB" w:rsidRPr="00EF3C6A" w:rsidRDefault="00EC27AB" w:rsidP="0018723A">
            <w:pPr>
              <w:pStyle w:val="Tabletext"/>
              <w:keepNext/>
              <w:keepLines/>
              <w:spacing w:line="240" w:lineRule="auto"/>
            </w:pPr>
            <w:r w:rsidRPr="00EF3C6A">
              <w:t>Trial based evaluation: OS, TTD and PFS per KM estimates over the median duration of follow-up (</w:t>
            </w:r>
            <w:r w:rsidR="00B07F6B">
              <w:rPr>
                <w:noProof/>
                <w:color w:val="000000"/>
                <w:highlight w:val="black"/>
              </w:rPr>
              <w:t>''''''''''</w:t>
            </w:r>
            <w:r w:rsidRPr="00EF3C6A">
              <w:t xml:space="preserve"> months)</w:t>
            </w:r>
          </w:p>
        </w:tc>
        <w:tc>
          <w:tcPr>
            <w:tcW w:w="402" w:type="pct"/>
            <w:shd w:val="clear" w:color="auto" w:fill="auto"/>
            <w:vAlign w:val="center"/>
          </w:tcPr>
          <w:p w:rsidR="00EC27AB" w:rsidRPr="00EF3C6A" w:rsidRDefault="00EC27AB" w:rsidP="0018723A">
            <w:pPr>
              <w:pStyle w:val="Tabletext"/>
              <w:keepNext/>
              <w:keepLines/>
              <w:spacing w:line="240" w:lineRule="auto"/>
              <w:jc w:val="right"/>
            </w:pPr>
            <w:r w:rsidRPr="00EF3C6A">
              <w:t>$</w:t>
            </w:r>
            <w:r w:rsidR="00B07F6B">
              <w:rPr>
                <w:noProof/>
                <w:color w:val="000000"/>
                <w:highlight w:val="black"/>
              </w:rPr>
              <w:t>''''''''''''''''''</w:t>
            </w:r>
          </w:p>
        </w:tc>
        <w:tc>
          <w:tcPr>
            <w:tcW w:w="395" w:type="pct"/>
            <w:shd w:val="clear" w:color="auto" w:fill="auto"/>
            <w:vAlign w:val="center"/>
          </w:tcPr>
          <w:p w:rsidR="00EC27AB" w:rsidRPr="00EF3C6A" w:rsidRDefault="00EC27AB" w:rsidP="0018723A">
            <w:pPr>
              <w:pStyle w:val="Tabletext"/>
              <w:keepNext/>
              <w:keepLines/>
              <w:spacing w:line="240" w:lineRule="auto"/>
              <w:jc w:val="right"/>
            </w:pPr>
            <w:r w:rsidRPr="00EF3C6A">
              <w:t>$</w:t>
            </w:r>
            <w:r w:rsidR="00B07F6B">
              <w:rPr>
                <w:noProof/>
                <w:color w:val="000000"/>
                <w:highlight w:val="black"/>
              </w:rPr>
              <w:t>'''''''''''''''</w:t>
            </w:r>
          </w:p>
        </w:tc>
        <w:tc>
          <w:tcPr>
            <w:tcW w:w="346" w:type="pct"/>
            <w:shd w:val="clear" w:color="auto" w:fill="auto"/>
            <w:vAlign w:val="center"/>
          </w:tcPr>
          <w:p w:rsidR="00EC27AB" w:rsidRPr="00EF3C6A" w:rsidRDefault="00EC27AB" w:rsidP="0018723A">
            <w:pPr>
              <w:pStyle w:val="Tabletext"/>
              <w:keepNext/>
              <w:keepLines/>
              <w:spacing w:line="240" w:lineRule="auto"/>
              <w:jc w:val="right"/>
            </w:pPr>
            <w:r w:rsidRPr="00EF3C6A">
              <w:t>$</w:t>
            </w:r>
            <w:r w:rsidR="00B07F6B">
              <w:rPr>
                <w:noProof/>
                <w:color w:val="000000"/>
                <w:highlight w:val="black"/>
              </w:rPr>
              <w:t>''''''''''''''''''</w:t>
            </w:r>
          </w:p>
        </w:tc>
        <w:tc>
          <w:tcPr>
            <w:tcW w:w="402" w:type="pct"/>
            <w:shd w:val="clear" w:color="auto" w:fill="auto"/>
            <w:vAlign w:val="center"/>
          </w:tcPr>
          <w:p w:rsidR="00EC27AB" w:rsidRPr="00B07F6B" w:rsidRDefault="00B07F6B" w:rsidP="0018723A">
            <w:pPr>
              <w:pStyle w:val="Tabletext"/>
              <w:keepNext/>
              <w:keepLines/>
              <w:spacing w:line="240" w:lineRule="auto"/>
              <w:jc w:val="center"/>
              <w:rPr>
                <w:highlight w:val="black"/>
              </w:rPr>
            </w:pPr>
            <w:r>
              <w:rPr>
                <w:noProof/>
                <w:color w:val="000000"/>
                <w:highlight w:val="black"/>
              </w:rPr>
              <w:t>'''''''''''</w:t>
            </w:r>
          </w:p>
        </w:tc>
        <w:tc>
          <w:tcPr>
            <w:tcW w:w="291" w:type="pct"/>
            <w:shd w:val="clear" w:color="auto" w:fill="auto"/>
            <w:vAlign w:val="center"/>
          </w:tcPr>
          <w:p w:rsidR="00EC27AB" w:rsidRPr="00B07F6B" w:rsidRDefault="00B07F6B" w:rsidP="0018723A">
            <w:pPr>
              <w:pStyle w:val="Tabletext"/>
              <w:keepNext/>
              <w:keepLines/>
              <w:spacing w:line="240" w:lineRule="auto"/>
              <w:jc w:val="center"/>
              <w:rPr>
                <w:highlight w:val="black"/>
              </w:rPr>
            </w:pPr>
            <w:r>
              <w:rPr>
                <w:noProof/>
                <w:color w:val="000000"/>
                <w:highlight w:val="black"/>
              </w:rPr>
              <w:t>''''''''''''</w:t>
            </w:r>
          </w:p>
        </w:tc>
        <w:tc>
          <w:tcPr>
            <w:tcW w:w="318" w:type="pct"/>
            <w:shd w:val="clear" w:color="auto" w:fill="auto"/>
            <w:vAlign w:val="center"/>
          </w:tcPr>
          <w:p w:rsidR="00EC27AB" w:rsidRPr="00B07F6B" w:rsidRDefault="00B07F6B" w:rsidP="0018723A">
            <w:pPr>
              <w:pStyle w:val="Tabletext"/>
              <w:keepNext/>
              <w:keepLines/>
              <w:spacing w:line="240" w:lineRule="auto"/>
              <w:jc w:val="center"/>
              <w:rPr>
                <w:highlight w:val="black"/>
              </w:rPr>
            </w:pPr>
            <w:r>
              <w:rPr>
                <w:noProof/>
                <w:color w:val="000000"/>
                <w:highlight w:val="black"/>
              </w:rPr>
              <w:t>'''''''''''</w:t>
            </w:r>
          </w:p>
        </w:tc>
        <w:tc>
          <w:tcPr>
            <w:tcW w:w="603" w:type="pct"/>
            <w:shd w:val="clear" w:color="auto" w:fill="auto"/>
            <w:vAlign w:val="center"/>
          </w:tcPr>
          <w:p w:rsidR="00EC27AB" w:rsidRPr="00EF3C6A" w:rsidRDefault="00EC27AB" w:rsidP="0018723A">
            <w:pPr>
              <w:pStyle w:val="Tabletext"/>
              <w:keepNext/>
              <w:keepLines/>
              <w:spacing w:line="240" w:lineRule="auto"/>
            </w:pPr>
            <w:r w:rsidRPr="00EF3C6A">
              <w:t>$</w:t>
            </w:r>
            <w:r w:rsidR="00B07F6B">
              <w:rPr>
                <w:noProof/>
                <w:color w:val="000000"/>
                <w:highlight w:val="black"/>
              </w:rPr>
              <w:t>''''''''''''''''''''</w:t>
            </w:r>
            <w:r w:rsidRPr="00EF3C6A">
              <w:t>/LYG</w:t>
            </w:r>
          </w:p>
        </w:tc>
      </w:tr>
      <w:tr w:rsidR="00EC27AB" w:rsidRPr="00EF3C6A" w:rsidTr="00386992">
        <w:trPr>
          <w:trHeight w:val="20"/>
          <w:tblHeader/>
        </w:trPr>
        <w:tc>
          <w:tcPr>
            <w:tcW w:w="337" w:type="pct"/>
            <w:shd w:val="clear" w:color="auto" w:fill="auto"/>
            <w:vAlign w:val="center"/>
          </w:tcPr>
          <w:p w:rsidR="00EC27AB" w:rsidRPr="00EF3C6A" w:rsidRDefault="00EC27AB" w:rsidP="0018723A">
            <w:pPr>
              <w:pStyle w:val="Tabletext"/>
              <w:keepNext/>
              <w:keepLines/>
              <w:spacing w:line="240" w:lineRule="auto"/>
            </w:pPr>
            <w:r w:rsidRPr="00EF3C6A">
              <w:t>Step 2</w:t>
            </w:r>
          </w:p>
        </w:tc>
        <w:tc>
          <w:tcPr>
            <w:tcW w:w="1908" w:type="pct"/>
            <w:shd w:val="clear" w:color="auto" w:fill="auto"/>
            <w:vAlign w:val="center"/>
          </w:tcPr>
          <w:p w:rsidR="00EC27AB" w:rsidRPr="00EF3C6A" w:rsidRDefault="00EC27AB" w:rsidP="0018723A">
            <w:pPr>
              <w:pStyle w:val="Tabletext"/>
              <w:keepNext/>
              <w:keepLines/>
              <w:spacing w:line="240" w:lineRule="auto"/>
            </w:pPr>
            <w:r w:rsidRPr="00EF3C6A">
              <w:t xml:space="preserve">KM estimates applied to mean follow-up for OS, PFS and TTD; parametric extrapolation over </w:t>
            </w:r>
            <w:r w:rsidR="00B07F6B">
              <w:rPr>
                <w:noProof/>
                <w:color w:val="000000"/>
                <w:highlight w:val="black"/>
              </w:rPr>
              <w:t>''''''</w:t>
            </w:r>
            <w:r w:rsidRPr="00EF3C6A">
              <w:t xml:space="preserve"> year time horizon</w:t>
            </w:r>
          </w:p>
        </w:tc>
        <w:tc>
          <w:tcPr>
            <w:tcW w:w="402" w:type="pct"/>
            <w:shd w:val="clear" w:color="auto" w:fill="auto"/>
            <w:vAlign w:val="center"/>
          </w:tcPr>
          <w:p w:rsidR="00EC27AB" w:rsidRPr="00EF3C6A" w:rsidRDefault="00EC27AB" w:rsidP="0018723A">
            <w:pPr>
              <w:pStyle w:val="Tabletext"/>
              <w:keepNext/>
              <w:keepLines/>
              <w:spacing w:line="240" w:lineRule="auto"/>
              <w:jc w:val="right"/>
            </w:pPr>
            <w:r w:rsidRPr="00EF3C6A">
              <w:t>$</w:t>
            </w:r>
            <w:r w:rsidR="00B07F6B">
              <w:rPr>
                <w:noProof/>
                <w:color w:val="000000"/>
                <w:highlight w:val="black"/>
              </w:rPr>
              <w:t>'''''''''''''''''''''</w:t>
            </w:r>
          </w:p>
        </w:tc>
        <w:tc>
          <w:tcPr>
            <w:tcW w:w="395" w:type="pct"/>
            <w:shd w:val="clear" w:color="auto" w:fill="auto"/>
            <w:vAlign w:val="center"/>
          </w:tcPr>
          <w:p w:rsidR="00EC27AB" w:rsidRPr="00EF3C6A" w:rsidRDefault="00EC27AB" w:rsidP="0018723A">
            <w:pPr>
              <w:pStyle w:val="Tabletext"/>
              <w:keepNext/>
              <w:keepLines/>
              <w:spacing w:line="240" w:lineRule="auto"/>
              <w:jc w:val="right"/>
            </w:pPr>
            <w:r w:rsidRPr="00EF3C6A">
              <w:t>$</w:t>
            </w:r>
            <w:r w:rsidR="00B07F6B">
              <w:rPr>
                <w:noProof/>
                <w:color w:val="000000"/>
                <w:highlight w:val="black"/>
              </w:rPr>
              <w:t>''''''''''''''''''''</w:t>
            </w:r>
          </w:p>
        </w:tc>
        <w:tc>
          <w:tcPr>
            <w:tcW w:w="346" w:type="pct"/>
            <w:shd w:val="clear" w:color="auto" w:fill="auto"/>
            <w:vAlign w:val="center"/>
          </w:tcPr>
          <w:p w:rsidR="00EC27AB" w:rsidRPr="00EF3C6A" w:rsidRDefault="00EC27AB" w:rsidP="0018723A">
            <w:pPr>
              <w:pStyle w:val="Tabletext"/>
              <w:keepNext/>
              <w:keepLines/>
              <w:spacing w:line="240" w:lineRule="auto"/>
              <w:jc w:val="right"/>
            </w:pPr>
            <w:r w:rsidRPr="00EF3C6A">
              <w:t>$</w:t>
            </w:r>
            <w:r w:rsidR="00B07F6B">
              <w:rPr>
                <w:noProof/>
                <w:color w:val="000000"/>
                <w:highlight w:val="black"/>
              </w:rPr>
              <w:t>''''''''''''''''</w:t>
            </w:r>
          </w:p>
        </w:tc>
        <w:tc>
          <w:tcPr>
            <w:tcW w:w="402" w:type="pct"/>
            <w:shd w:val="clear" w:color="auto" w:fill="auto"/>
            <w:vAlign w:val="center"/>
          </w:tcPr>
          <w:p w:rsidR="00EC27AB" w:rsidRPr="00B07F6B" w:rsidRDefault="00B07F6B" w:rsidP="0018723A">
            <w:pPr>
              <w:pStyle w:val="Tabletext"/>
              <w:keepNext/>
              <w:keepLines/>
              <w:spacing w:line="240" w:lineRule="auto"/>
              <w:jc w:val="center"/>
              <w:rPr>
                <w:highlight w:val="black"/>
              </w:rPr>
            </w:pPr>
            <w:r>
              <w:rPr>
                <w:noProof/>
                <w:color w:val="000000"/>
                <w:highlight w:val="black"/>
              </w:rPr>
              <w:t>''''''''''</w:t>
            </w:r>
          </w:p>
        </w:tc>
        <w:tc>
          <w:tcPr>
            <w:tcW w:w="291" w:type="pct"/>
            <w:shd w:val="clear" w:color="auto" w:fill="auto"/>
            <w:vAlign w:val="center"/>
          </w:tcPr>
          <w:p w:rsidR="00EC27AB" w:rsidRPr="00B07F6B" w:rsidRDefault="00B07F6B" w:rsidP="0018723A">
            <w:pPr>
              <w:pStyle w:val="Tabletext"/>
              <w:keepNext/>
              <w:keepLines/>
              <w:spacing w:line="240" w:lineRule="auto"/>
              <w:jc w:val="center"/>
              <w:rPr>
                <w:highlight w:val="black"/>
              </w:rPr>
            </w:pPr>
            <w:r>
              <w:rPr>
                <w:noProof/>
                <w:color w:val="000000"/>
                <w:highlight w:val="black"/>
              </w:rPr>
              <w:t>''''''''''''</w:t>
            </w:r>
          </w:p>
        </w:tc>
        <w:tc>
          <w:tcPr>
            <w:tcW w:w="318" w:type="pct"/>
            <w:shd w:val="clear" w:color="auto" w:fill="auto"/>
            <w:vAlign w:val="center"/>
          </w:tcPr>
          <w:p w:rsidR="00EC27AB" w:rsidRPr="00B07F6B" w:rsidRDefault="00B07F6B" w:rsidP="0018723A">
            <w:pPr>
              <w:pStyle w:val="Tabletext"/>
              <w:keepNext/>
              <w:keepLines/>
              <w:spacing w:line="240" w:lineRule="auto"/>
              <w:jc w:val="center"/>
              <w:rPr>
                <w:highlight w:val="black"/>
              </w:rPr>
            </w:pPr>
            <w:r>
              <w:rPr>
                <w:noProof/>
                <w:color w:val="000000"/>
                <w:highlight w:val="black"/>
              </w:rPr>
              <w:t>'''''''''''</w:t>
            </w:r>
          </w:p>
        </w:tc>
        <w:tc>
          <w:tcPr>
            <w:tcW w:w="603" w:type="pct"/>
            <w:shd w:val="clear" w:color="auto" w:fill="auto"/>
            <w:vAlign w:val="center"/>
          </w:tcPr>
          <w:p w:rsidR="00EC27AB" w:rsidRPr="00EF3C6A" w:rsidRDefault="00EC27AB" w:rsidP="0018723A">
            <w:pPr>
              <w:pStyle w:val="Tabletext"/>
              <w:keepNext/>
              <w:keepLines/>
              <w:spacing w:line="240" w:lineRule="auto"/>
            </w:pPr>
            <w:r w:rsidRPr="00EF3C6A">
              <w:t>$</w:t>
            </w:r>
            <w:r w:rsidR="00B07F6B">
              <w:rPr>
                <w:noProof/>
                <w:color w:val="000000"/>
                <w:highlight w:val="black"/>
              </w:rPr>
              <w:t>''''''''''''''''''</w:t>
            </w:r>
            <w:r w:rsidRPr="00EF3C6A">
              <w:t>/LYG</w:t>
            </w:r>
          </w:p>
        </w:tc>
      </w:tr>
      <w:tr w:rsidR="00EC27AB" w:rsidRPr="00EF3C6A" w:rsidTr="00386992">
        <w:trPr>
          <w:trHeight w:val="20"/>
          <w:tblHeader/>
        </w:trPr>
        <w:tc>
          <w:tcPr>
            <w:tcW w:w="337" w:type="pct"/>
            <w:shd w:val="clear" w:color="auto" w:fill="auto"/>
            <w:vAlign w:val="center"/>
          </w:tcPr>
          <w:p w:rsidR="00EC27AB" w:rsidRPr="00EF3C6A" w:rsidRDefault="00EC27AB" w:rsidP="0018723A">
            <w:pPr>
              <w:pStyle w:val="Tabletext"/>
              <w:keepNext/>
              <w:keepLines/>
              <w:spacing w:line="240" w:lineRule="auto"/>
            </w:pPr>
            <w:r w:rsidRPr="00EF3C6A">
              <w:t>Step 3</w:t>
            </w:r>
          </w:p>
        </w:tc>
        <w:tc>
          <w:tcPr>
            <w:tcW w:w="1908" w:type="pct"/>
            <w:shd w:val="clear" w:color="auto" w:fill="auto"/>
            <w:vAlign w:val="center"/>
          </w:tcPr>
          <w:p w:rsidR="00EC27AB" w:rsidRPr="00EF3C6A" w:rsidRDefault="00EC27AB" w:rsidP="0018723A">
            <w:pPr>
              <w:pStyle w:val="Tabletext"/>
              <w:keepNext/>
              <w:keepLines/>
              <w:spacing w:line="240" w:lineRule="auto"/>
            </w:pPr>
            <w:r w:rsidRPr="00EF3C6A">
              <w:t>Treatment outcomes and TTD for NIVO+IPI converged to SUNI (from</w:t>
            </w:r>
            <w:r w:rsidR="00B07F6B">
              <w:rPr>
                <w:noProof/>
                <w:color w:val="000000"/>
                <w:highlight w:val="black"/>
              </w:rPr>
              <w:t xml:space="preserve"> '''''''</w:t>
            </w:r>
            <w:r w:rsidRPr="00EF3C6A">
              <w:t xml:space="preserve"> months) </w:t>
            </w:r>
            <w:r w:rsidR="0014316A" w:rsidRPr="00EF3C6A">
              <w:t xml:space="preserve">over </w:t>
            </w:r>
            <w:r w:rsidRPr="00EF3C6A">
              <w:t xml:space="preserve">the </w:t>
            </w:r>
            <w:r w:rsidR="00B07F6B">
              <w:rPr>
                <w:noProof/>
                <w:color w:val="000000"/>
                <w:highlight w:val="black"/>
              </w:rPr>
              <w:t>''''''</w:t>
            </w:r>
            <w:r w:rsidRPr="00EF3C6A">
              <w:t xml:space="preserve"> year time horizon</w:t>
            </w:r>
          </w:p>
        </w:tc>
        <w:tc>
          <w:tcPr>
            <w:tcW w:w="402" w:type="pct"/>
            <w:vMerge w:val="restart"/>
            <w:shd w:val="clear" w:color="auto" w:fill="auto"/>
            <w:vAlign w:val="center"/>
          </w:tcPr>
          <w:p w:rsidR="00EC27AB" w:rsidRPr="00EF3C6A" w:rsidRDefault="00EC27AB" w:rsidP="0018723A">
            <w:pPr>
              <w:pStyle w:val="Tabletext"/>
              <w:keepNext/>
              <w:keepLines/>
              <w:spacing w:line="240" w:lineRule="auto"/>
              <w:jc w:val="right"/>
            </w:pPr>
            <w:r w:rsidRPr="00EF3C6A">
              <w:t>$</w:t>
            </w:r>
            <w:r w:rsidR="00B07F6B">
              <w:rPr>
                <w:noProof/>
                <w:color w:val="000000"/>
                <w:highlight w:val="black"/>
              </w:rPr>
              <w:t>'''''''''''''''''''</w:t>
            </w:r>
          </w:p>
        </w:tc>
        <w:tc>
          <w:tcPr>
            <w:tcW w:w="395" w:type="pct"/>
            <w:vMerge w:val="restart"/>
            <w:shd w:val="clear" w:color="auto" w:fill="auto"/>
            <w:vAlign w:val="center"/>
          </w:tcPr>
          <w:p w:rsidR="00EC27AB" w:rsidRPr="00EF3C6A" w:rsidRDefault="00EC27AB" w:rsidP="0018723A">
            <w:pPr>
              <w:pStyle w:val="Tabletext"/>
              <w:keepNext/>
              <w:keepLines/>
              <w:spacing w:line="240" w:lineRule="auto"/>
              <w:jc w:val="right"/>
            </w:pPr>
            <w:r w:rsidRPr="00EF3C6A">
              <w:t>$</w:t>
            </w:r>
            <w:r w:rsidR="00B07F6B">
              <w:rPr>
                <w:noProof/>
                <w:color w:val="000000"/>
                <w:highlight w:val="black"/>
              </w:rPr>
              <w:t>''''''''''''''''''</w:t>
            </w:r>
          </w:p>
        </w:tc>
        <w:tc>
          <w:tcPr>
            <w:tcW w:w="346" w:type="pct"/>
            <w:vMerge w:val="restart"/>
            <w:shd w:val="clear" w:color="auto" w:fill="auto"/>
            <w:vAlign w:val="center"/>
          </w:tcPr>
          <w:p w:rsidR="00EC27AB" w:rsidRPr="00EF3C6A" w:rsidRDefault="00EC27AB" w:rsidP="0018723A">
            <w:pPr>
              <w:pStyle w:val="Tabletext"/>
              <w:keepNext/>
              <w:keepLines/>
              <w:spacing w:line="240" w:lineRule="auto"/>
              <w:jc w:val="right"/>
            </w:pPr>
            <w:r w:rsidRPr="00EF3C6A">
              <w:t>$</w:t>
            </w:r>
            <w:r w:rsidR="00B07F6B">
              <w:rPr>
                <w:noProof/>
                <w:color w:val="000000"/>
                <w:highlight w:val="black"/>
              </w:rPr>
              <w:t>'''''''''''''''''</w:t>
            </w:r>
          </w:p>
        </w:tc>
        <w:tc>
          <w:tcPr>
            <w:tcW w:w="402" w:type="pct"/>
            <w:shd w:val="clear" w:color="auto" w:fill="auto"/>
            <w:vAlign w:val="center"/>
          </w:tcPr>
          <w:p w:rsidR="00EC27AB" w:rsidRPr="00B07F6B" w:rsidRDefault="00B07F6B" w:rsidP="0018723A">
            <w:pPr>
              <w:pStyle w:val="Tabletext"/>
              <w:keepNext/>
              <w:keepLines/>
              <w:spacing w:line="240" w:lineRule="auto"/>
              <w:jc w:val="center"/>
              <w:rPr>
                <w:highlight w:val="black"/>
              </w:rPr>
            </w:pPr>
            <w:r>
              <w:rPr>
                <w:noProof/>
                <w:color w:val="000000"/>
                <w:highlight w:val="black"/>
              </w:rPr>
              <w:t>''''''''''</w:t>
            </w:r>
          </w:p>
        </w:tc>
        <w:tc>
          <w:tcPr>
            <w:tcW w:w="291" w:type="pct"/>
            <w:shd w:val="clear" w:color="auto" w:fill="auto"/>
            <w:vAlign w:val="center"/>
          </w:tcPr>
          <w:p w:rsidR="00EC27AB" w:rsidRPr="00B07F6B" w:rsidRDefault="00B07F6B" w:rsidP="0018723A">
            <w:pPr>
              <w:pStyle w:val="Tabletext"/>
              <w:keepNext/>
              <w:keepLines/>
              <w:spacing w:line="240" w:lineRule="auto"/>
              <w:jc w:val="center"/>
              <w:rPr>
                <w:highlight w:val="black"/>
              </w:rPr>
            </w:pPr>
            <w:r>
              <w:rPr>
                <w:noProof/>
                <w:color w:val="000000"/>
                <w:highlight w:val="black"/>
              </w:rPr>
              <w:t>'''''''''''</w:t>
            </w:r>
          </w:p>
        </w:tc>
        <w:tc>
          <w:tcPr>
            <w:tcW w:w="318" w:type="pct"/>
            <w:shd w:val="clear" w:color="auto" w:fill="auto"/>
            <w:vAlign w:val="center"/>
          </w:tcPr>
          <w:p w:rsidR="00EC27AB" w:rsidRPr="00B07F6B" w:rsidRDefault="00B07F6B" w:rsidP="0018723A">
            <w:pPr>
              <w:pStyle w:val="Tabletext"/>
              <w:keepNext/>
              <w:keepLines/>
              <w:spacing w:line="240" w:lineRule="auto"/>
              <w:jc w:val="center"/>
              <w:rPr>
                <w:highlight w:val="black"/>
              </w:rPr>
            </w:pPr>
            <w:r>
              <w:rPr>
                <w:noProof/>
                <w:color w:val="000000"/>
                <w:highlight w:val="black"/>
              </w:rPr>
              <w:t>'''''''''''</w:t>
            </w:r>
          </w:p>
        </w:tc>
        <w:tc>
          <w:tcPr>
            <w:tcW w:w="603" w:type="pct"/>
            <w:shd w:val="clear" w:color="auto" w:fill="auto"/>
            <w:vAlign w:val="center"/>
          </w:tcPr>
          <w:p w:rsidR="00EC27AB" w:rsidRPr="00EF3C6A" w:rsidRDefault="00EC27AB" w:rsidP="0018723A">
            <w:pPr>
              <w:pStyle w:val="Tabletext"/>
              <w:keepNext/>
              <w:keepLines/>
              <w:spacing w:line="240" w:lineRule="auto"/>
            </w:pPr>
            <w:r w:rsidRPr="00EF3C6A">
              <w:t>$</w:t>
            </w:r>
            <w:r w:rsidR="00B07F6B">
              <w:rPr>
                <w:noProof/>
                <w:color w:val="000000"/>
                <w:highlight w:val="black"/>
              </w:rPr>
              <w:t>''''''''''''''''</w:t>
            </w:r>
            <w:r w:rsidRPr="00EF3C6A">
              <w:t>/LYG</w:t>
            </w:r>
          </w:p>
        </w:tc>
      </w:tr>
      <w:tr w:rsidR="00EC27AB" w:rsidRPr="00EF3C6A" w:rsidTr="00386992">
        <w:trPr>
          <w:trHeight w:val="20"/>
          <w:tblHeader/>
        </w:trPr>
        <w:tc>
          <w:tcPr>
            <w:tcW w:w="337" w:type="pct"/>
            <w:shd w:val="clear" w:color="auto" w:fill="auto"/>
            <w:vAlign w:val="center"/>
          </w:tcPr>
          <w:p w:rsidR="00EC27AB" w:rsidRPr="00EF3C6A" w:rsidRDefault="00EC27AB" w:rsidP="0018723A">
            <w:pPr>
              <w:pStyle w:val="Tabletext"/>
              <w:keepNext/>
              <w:keepLines/>
              <w:spacing w:line="240" w:lineRule="auto"/>
            </w:pPr>
            <w:r w:rsidRPr="00EF3C6A">
              <w:t>Step 4</w:t>
            </w:r>
          </w:p>
        </w:tc>
        <w:tc>
          <w:tcPr>
            <w:tcW w:w="1908" w:type="pct"/>
            <w:shd w:val="clear" w:color="auto" w:fill="auto"/>
            <w:vAlign w:val="center"/>
          </w:tcPr>
          <w:p w:rsidR="00EC27AB" w:rsidRPr="00EF3C6A" w:rsidRDefault="00EC27AB" w:rsidP="0018723A">
            <w:pPr>
              <w:pStyle w:val="Tabletext"/>
              <w:keepNext/>
              <w:keepLines/>
              <w:spacing w:line="240" w:lineRule="auto"/>
            </w:pPr>
            <w:r w:rsidRPr="00EF3C6A">
              <w:t>Attachment of treatment arm, trial based utilities (CA209214)</w:t>
            </w:r>
          </w:p>
        </w:tc>
        <w:tc>
          <w:tcPr>
            <w:tcW w:w="402" w:type="pct"/>
            <w:vMerge/>
            <w:shd w:val="clear" w:color="auto" w:fill="auto"/>
            <w:vAlign w:val="center"/>
          </w:tcPr>
          <w:p w:rsidR="00EC27AB" w:rsidRPr="00EF3C6A" w:rsidRDefault="00EC27AB" w:rsidP="0018723A">
            <w:pPr>
              <w:pStyle w:val="Tabletext"/>
              <w:keepNext/>
              <w:keepLines/>
              <w:spacing w:line="240" w:lineRule="auto"/>
            </w:pPr>
          </w:p>
        </w:tc>
        <w:tc>
          <w:tcPr>
            <w:tcW w:w="395" w:type="pct"/>
            <w:vMerge/>
            <w:shd w:val="clear" w:color="auto" w:fill="auto"/>
            <w:vAlign w:val="center"/>
          </w:tcPr>
          <w:p w:rsidR="00EC27AB" w:rsidRPr="00EF3C6A" w:rsidRDefault="00EC27AB" w:rsidP="0018723A">
            <w:pPr>
              <w:pStyle w:val="Tabletext"/>
              <w:keepNext/>
              <w:keepLines/>
              <w:spacing w:line="240" w:lineRule="auto"/>
            </w:pPr>
          </w:p>
        </w:tc>
        <w:tc>
          <w:tcPr>
            <w:tcW w:w="346" w:type="pct"/>
            <w:vMerge/>
            <w:shd w:val="clear" w:color="auto" w:fill="auto"/>
            <w:vAlign w:val="center"/>
          </w:tcPr>
          <w:p w:rsidR="00EC27AB" w:rsidRPr="00EF3C6A" w:rsidRDefault="00EC27AB" w:rsidP="0018723A">
            <w:pPr>
              <w:pStyle w:val="Tabletext"/>
              <w:keepNext/>
              <w:keepLines/>
              <w:spacing w:line="240" w:lineRule="auto"/>
            </w:pPr>
          </w:p>
        </w:tc>
        <w:tc>
          <w:tcPr>
            <w:tcW w:w="402" w:type="pct"/>
            <w:shd w:val="clear" w:color="auto" w:fill="auto"/>
            <w:vAlign w:val="center"/>
          </w:tcPr>
          <w:p w:rsidR="00EC27AB" w:rsidRPr="00B07F6B" w:rsidRDefault="00B07F6B" w:rsidP="0018723A">
            <w:pPr>
              <w:pStyle w:val="Tabletext"/>
              <w:keepNext/>
              <w:keepLines/>
              <w:spacing w:line="240" w:lineRule="auto"/>
              <w:jc w:val="center"/>
              <w:rPr>
                <w:highlight w:val="black"/>
              </w:rPr>
            </w:pPr>
            <w:r>
              <w:rPr>
                <w:noProof/>
                <w:color w:val="000000"/>
                <w:highlight w:val="black"/>
              </w:rPr>
              <w:t>''''''''''</w:t>
            </w:r>
          </w:p>
        </w:tc>
        <w:tc>
          <w:tcPr>
            <w:tcW w:w="291" w:type="pct"/>
            <w:shd w:val="clear" w:color="auto" w:fill="auto"/>
            <w:vAlign w:val="center"/>
          </w:tcPr>
          <w:p w:rsidR="00EC27AB" w:rsidRPr="00B07F6B" w:rsidRDefault="00B07F6B" w:rsidP="0018723A">
            <w:pPr>
              <w:pStyle w:val="Tabletext"/>
              <w:keepNext/>
              <w:keepLines/>
              <w:spacing w:line="240" w:lineRule="auto"/>
              <w:jc w:val="center"/>
              <w:rPr>
                <w:highlight w:val="black"/>
              </w:rPr>
            </w:pPr>
            <w:r>
              <w:rPr>
                <w:noProof/>
                <w:color w:val="000000"/>
                <w:highlight w:val="black"/>
              </w:rPr>
              <w:t>''''''''''''</w:t>
            </w:r>
          </w:p>
        </w:tc>
        <w:tc>
          <w:tcPr>
            <w:tcW w:w="318" w:type="pct"/>
            <w:shd w:val="clear" w:color="auto" w:fill="auto"/>
            <w:vAlign w:val="center"/>
          </w:tcPr>
          <w:p w:rsidR="00EC27AB" w:rsidRPr="00B07F6B" w:rsidRDefault="00B07F6B" w:rsidP="0018723A">
            <w:pPr>
              <w:pStyle w:val="Tabletext"/>
              <w:keepNext/>
              <w:keepLines/>
              <w:spacing w:line="240" w:lineRule="auto"/>
              <w:jc w:val="center"/>
              <w:rPr>
                <w:highlight w:val="black"/>
              </w:rPr>
            </w:pPr>
            <w:r>
              <w:rPr>
                <w:noProof/>
                <w:color w:val="000000"/>
                <w:highlight w:val="black"/>
              </w:rPr>
              <w:t>''''''''''</w:t>
            </w:r>
          </w:p>
        </w:tc>
        <w:tc>
          <w:tcPr>
            <w:tcW w:w="603" w:type="pct"/>
            <w:shd w:val="clear" w:color="auto" w:fill="auto"/>
            <w:vAlign w:val="center"/>
          </w:tcPr>
          <w:p w:rsidR="00EC27AB" w:rsidRPr="00EF3C6A" w:rsidRDefault="00EC27AB" w:rsidP="0018723A">
            <w:pPr>
              <w:pStyle w:val="Tabletext"/>
              <w:keepNext/>
              <w:keepLines/>
              <w:spacing w:line="240" w:lineRule="auto"/>
            </w:pPr>
            <w:r w:rsidRPr="00EF3C6A">
              <w:t>$</w:t>
            </w:r>
            <w:r w:rsidR="00B07F6B">
              <w:rPr>
                <w:noProof/>
                <w:color w:val="000000"/>
                <w:highlight w:val="black"/>
              </w:rPr>
              <w:t>'''''''''''''''</w:t>
            </w:r>
            <w:r w:rsidRPr="00EF3C6A">
              <w:t>/QALY</w:t>
            </w:r>
          </w:p>
        </w:tc>
      </w:tr>
      <w:tr w:rsidR="00386992" w:rsidRPr="00EF3C6A" w:rsidTr="00386992">
        <w:trPr>
          <w:trHeight w:val="20"/>
          <w:tblHeader/>
        </w:trPr>
        <w:tc>
          <w:tcPr>
            <w:tcW w:w="5000" w:type="pct"/>
            <w:gridSpan w:val="9"/>
            <w:shd w:val="clear" w:color="auto" w:fill="auto"/>
            <w:vAlign w:val="center"/>
          </w:tcPr>
          <w:p w:rsidR="00386992" w:rsidRPr="00386992" w:rsidRDefault="00386992" w:rsidP="009473D1">
            <w:pPr>
              <w:pStyle w:val="Tabletext"/>
              <w:keepNext/>
              <w:keepLines/>
              <w:rPr>
                <w:b/>
              </w:rPr>
            </w:pPr>
            <w:r>
              <w:rPr>
                <w:b/>
              </w:rPr>
              <w:t>Revised base case in pre-PBAC response</w:t>
            </w:r>
            <w:r w:rsidR="00EF3FF6">
              <w:rPr>
                <w:b/>
              </w:rPr>
              <w:t xml:space="preserve"> </w:t>
            </w:r>
          </w:p>
        </w:tc>
      </w:tr>
      <w:tr w:rsidR="00386992" w:rsidRPr="00EF3C6A" w:rsidTr="00386992">
        <w:trPr>
          <w:trHeight w:val="20"/>
          <w:tblHeader/>
        </w:trPr>
        <w:tc>
          <w:tcPr>
            <w:tcW w:w="337" w:type="pct"/>
            <w:shd w:val="clear" w:color="auto" w:fill="auto"/>
            <w:vAlign w:val="center"/>
          </w:tcPr>
          <w:p w:rsidR="00386992" w:rsidRPr="00EF3C6A" w:rsidRDefault="0018723A" w:rsidP="0018723A">
            <w:pPr>
              <w:pStyle w:val="Tabletext"/>
              <w:keepNext/>
              <w:keepLines/>
            </w:pPr>
            <w:r>
              <w:t>Step 5</w:t>
            </w:r>
          </w:p>
        </w:tc>
        <w:tc>
          <w:tcPr>
            <w:tcW w:w="1908" w:type="pct"/>
            <w:shd w:val="clear" w:color="auto" w:fill="auto"/>
            <w:vAlign w:val="center"/>
          </w:tcPr>
          <w:p w:rsidR="00386992" w:rsidRPr="00EF3C6A" w:rsidRDefault="00386992" w:rsidP="0018723A">
            <w:pPr>
              <w:pStyle w:val="Tabletext"/>
              <w:keepNext/>
              <w:keepLines/>
              <w:spacing w:line="240" w:lineRule="auto"/>
            </w:pPr>
            <w:r>
              <w:t xml:space="preserve">Commencement of convergence at Year </w:t>
            </w:r>
            <w:r w:rsidR="00B07F6B">
              <w:rPr>
                <w:noProof/>
                <w:color w:val="000000"/>
                <w:highlight w:val="black"/>
              </w:rPr>
              <w:t>''''</w:t>
            </w:r>
            <w:r>
              <w:t xml:space="preserve"> and ending at </w:t>
            </w:r>
            <w:r w:rsidR="00B07F6B">
              <w:rPr>
                <w:noProof/>
                <w:color w:val="000000"/>
                <w:highlight w:val="black"/>
              </w:rPr>
              <w:t>''''''</w:t>
            </w:r>
            <w:r>
              <w:t xml:space="preserve"> years, with a </w:t>
            </w:r>
            <w:r w:rsidR="00B07F6B">
              <w:rPr>
                <w:noProof/>
                <w:color w:val="000000"/>
                <w:highlight w:val="black"/>
              </w:rPr>
              <w:t>''''''</w:t>
            </w:r>
            <w:r>
              <w:t xml:space="preserve"> year time horizon</w:t>
            </w:r>
          </w:p>
        </w:tc>
        <w:tc>
          <w:tcPr>
            <w:tcW w:w="402" w:type="pct"/>
            <w:shd w:val="clear" w:color="auto" w:fill="auto"/>
            <w:vAlign w:val="center"/>
          </w:tcPr>
          <w:p w:rsidR="00386992" w:rsidRPr="00EF3C6A" w:rsidRDefault="003F4338" w:rsidP="0018723A">
            <w:pPr>
              <w:pStyle w:val="Tabletext"/>
              <w:keepNext/>
              <w:keepLines/>
            </w:pPr>
            <w:r w:rsidRPr="003F4338">
              <w:t>$</w:t>
            </w:r>
            <w:r w:rsidR="00B07F6B">
              <w:rPr>
                <w:noProof/>
                <w:color w:val="000000"/>
                <w:highlight w:val="black"/>
              </w:rPr>
              <w:t>''''''''''''''''''</w:t>
            </w:r>
          </w:p>
        </w:tc>
        <w:tc>
          <w:tcPr>
            <w:tcW w:w="395" w:type="pct"/>
            <w:shd w:val="clear" w:color="auto" w:fill="auto"/>
            <w:vAlign w:val="center"/>
          </w:tcPr>
          <w:p w:rsidR="00386992" w:rsidRPr="00EF3C6A" w:rsidRDefault="003F4338" w:rsidP="0018723A">
            <w:pPr>
              <w:pStyle w:val="Tabletext"/>
              <w:keepNext/>
              <w:keepLines/>
            </w:pPr>
            <w:r w:rsidRPr="003F4338">
              <w:t>$</w:t>
            </w:r>
            <w:r w:rsidR="00B07F6B">
              <w:rPr>
                <w:noProof/>
                <w:color w:val="000000"/>
                <w:highlight w:val="black"/>
              </w:rPr>
              <w:t>'''''''''''''''''''''</w:t>
            </w:r>
          </w:p>
        </w:tc>
        <w:tc>
          <w:tcPr>
            <w:tcW w:w="346" w:type="pct"/>
            <w:shd w:val="clear" w:color="auto" w:fill="auto"/>
            <w:vAlign w:val="center"/>
          </w:tcPr>
          <w:p w:rsidR="00386992" w:rsidRPr="00EF3C6A" w:rsidRDefault="00386992" w:rsidP="0018723A">
            <w:pPr>
              <w:pStyle w:val="Tabletext"/>
              <w:keepNext/>
              <w:keepLines/>
            </w:pPr>
            <w:r>
              <w:t>$</w:t>
            </w:r>
            <w:r w:rsidR="00B07F6B">
              <w:rPr>
                <w:noProof/>
                <w:color w:val="000000"/>
                <w:highlight w:val="black"/>
              </w:rPr>
              <w:t>''''''''''''''''</w:t>
            </w:r>
          </w:p>
        </w:tc>
        <w:tc>
          <w:tcPr>
            <w:tcW w:w="402" w:type="pct"/>
            <w:shd w:val="clear" w:color="auto" w:fill="auto"/>
            <w:vAlign w:val="center"/>
          </w:tcPr>
          <w:p w:rsidR="00386992" w:rsidRPr="00B07F6B" w:rsidRDefault="00B07F6B" w:rsidP="0018723A">
            <w:pPr>
              <w:pStyle w:val="Tabletext"/>
              <w:keepNext/>
              <w:keepLines/>
              <w:jc w:val="center"/>
              <w:rPr>
                <w:highlight w:val="black"/>
              </w:rPr>
            </w:pPr>
            <w:r>
              <w:rPr>
                <w:noProof/>
                <w:color w:val="000000"/>
                <w:highlight w:val="black"/>
              </w:rPr>
              <w:t>''''''''''</w:t>
            </w:r>
          </w:p>
        </w:tc>
        <w:tc>
          <w:tcPr>
            <w:tcW w:w="291" w:type="pct"/>
            <w:shd w:val="clear" w:color="auto" w:fill="auto"/>
            <w:vAlign w:val="center"/>
          </w:tcPr>
          <w:p w:rsidR="00386992" w:rsidRPr="00B07F6B" w:rsidRDefault="00B07F6B" w:rsidP="0018723A">
            <w:pPr>
              <w:pStyle w:val="Tabletext"/>
              <w:keepNext/>
              <w:keepLines/>
              <w:jc w:val="center"/>
              <w:rPr>
                <w:highlight w:val="black"/>
              </w:rPr>
            </w:pPr>
            <w:r>
              <w:rPr>
                <w:noProof/>
                <w:color w:val="000000"/>
                <w:highlight w:val="black"/>
              </w:rPr>
              <w:t>''''''''''''</w:t>
            </w:r>
          </w:p>
        </w:tc>
        <w:tc>
          <w:tcPr>
            <w:tcW w:w="318" w:type="pct"/>
            <w:shd w:val="clear" w:color="auto" w:fill="auto"/>
            <w:vAlign w:val="center"/>
          </w:tcPr>
          <w:p w:rsidR="00386992" w:rsidRPr="00B07F6B" w:rsidRDefault="00B07F6B" w:rsidP="0018723A">
            <w:pPr>
              <w:pStyle w:val="Tabletext"/>
              <w:keepNext/>
              <w:keepLines/>
              <w:jc w:val="center"/>
              <w:rPr>
                <w:highlight w:val="black"/>
              </w:rPr>
            </w:pPr>
            <w:r>
              <w:rPr>
                <w:noProof/>
                <w:color w:val="000000"/>
                <w:highlight w:val="black"/>
              </w:rPr>
              <w:t>'''''''''''</w:t>
            </w:r>
          </w:p>
        </w:tc>
        <w:tc>
          <w:tcPr>
            <w:tcW w:w="603" w:type="pct"/>
            <w:shd w:val="clear" w:color="auto" w:fill="auto"/>
            <w:vAlign w:val="center"/>
          </w:tcPr>
          <w:p w:rsidR="00386992" w:rsidRPr="00EF3C6A" w:rsidRDefault="00386992" w:rsidP="0018723A">
            <w:pPr>
              <w:pStyle w:val="Tabletext"/>
              <w:keepNext/>
              <w:keepLines/>
            </w:pPr>
            <w:r>
              <w:t>$</w:t>
            </w:r>
            <w:r w:rsidR="00B07F6B">
              <w:rPr>
                <w:noProof/>
                <w:color w:val="000000"/>
                <w:highlight w:val="black"/>
              </w:rPr>
              <w:t>''''''''''''''''</w:t>
            </w:r>
            <w:r w:rsidR="003F4338">
              <w:t>/QA</w:t>
            </w:r>
            <w:r w:rsidR="00CE439C">
              <w:t>L</w:t>
            </w:r>
            <w:r w:rsidR="003F4338">
              <w:t>Y</w:t>
            </w:r>
          </w:p>
        </w:tc>
      </w:tr>
      <w:tr w:rsidR="003F4338" w:rsidRPr="00EF3C6A" w:rsidTr="00386992">
        <w:trPr>
          <w:trHeight w:val="20"/>
          <w:tblHeader/>
        </w:trPr>
        <w:tc>
          <w:tcPr>
            <w:tcW w:w="337" w:type="pct"/>
            <w:shd w:val="clear" w:color="auto" w:fill="auto"/>
            <w:vAlign w:val="center"/>
          </w:tcPr>
          <w:p w:rsidR="003F4338" w:rsidRPr="00EF3C6A" w:rsidRDefault="003F4338" w:rsidP="0018723A">
            <w:pPr>
              <w:pStyle w:val="Tabletext"/>
              <w:keepNext/>
              <w:keepLines/>
              <w:spacing w:line="240" w:lineRule="auto"/>
            </w:pPr>
            <w:r>
              <w:t>Step 6</w:t>
            </w:r>
          </w:p>
        </w:tc>
        <w:tc>
          <w:tcPr>
            <w:tcW w:w="1908" w:type="pct"/>
            <w:shd w:val="clear" w:color="auto" w:fill="auto"/>
            <w:vAlign w:val="center"/>
          </w:tcPr>
          <w:p w:rsidR="003F4338" w:rsidRDefault="003F4338" w:rsidP="0018723A">
            <w:pPr>
              <w:pStyle w:val="Tabletext"/>
              <w:keepNext/>
              <w:keepLines/>
              <w:spacing w:line="240" w:lineRule="auto"/>
            </w:pPr>
            <w:r>
              <w:t>With reduced price in pre-PBAC response</w:t>
            </w:r>
          </w:p>
          <w:p w:rsidR="003F4338" w:rsidRDefault="003F4338" w:rsidP="00AE7BEE">
            <w:pPr>
              <w:pStyle w:val="Tabletext"/>
              <w:keepNext/>
              <w:keepLines/>
              <w:spacing w:line="240" w:lineRule="auto"/>
            </w:pPr>
            <w:r>
              <w:t>(</w:t>
            </w:r>
            <w:r w:rsidR="00B07F6B">
              <w:rPr>
                <w:noProof/>
                <w:color w:val="000000"/>
                <w:highlight w:val="black"/>
              </w:rPr>
              <w:t>'''''''</w:t>
            </w:r>
            <w:r>
              <w:t>% reduction in nivolumab price</w:t>
            </w:r>
            <w:r w:rsidR="00AE7BEE">
              <w:t xml:space="preserve">) </w:t>
            </w:r>
            <w:r w:rsidR="00AE7BEE">
              <w:rPr>
                <w:vertAlign w:val="superscript"/>
              </w:rPr>
              <w:t>a</w:t>
            </w:r>
            <w:r>
              <w:t xml:space="preserve"> </w:t>
            </w:r>
          </w:p>
        </w:tc>
        <w:tc>
          <w:tcPr>
            <w:tcW w:w="402" w:type="pct"/>
            <w:shd w:val="clear" w:color="auto" w:fill="auto"/>
            <w:vAlign w:val="center"/>
          </w:tcPr>
          <w:p w:rsidR="003F4338" w:rsidRPr="00EF3C6A" w:rsidRDefault="003F4338" w:rsidP="0018723A">
            <w:pPr>
              <w:pStyle w:val="Tabletext"/>
              <w:keepNext/>
              <w:keepLines/>
            </w:pPr>
            <w:r w:rsidRPr="003F4338">
              <w:t>$</w:t>
            </w:r>
            <w:r w:rsidR="00B07F6B">
              <w:rPr>
                <w:noProof/>
                <w:color w:val="000000"/>
                <w:highlight w:val="black"/>
              </w:rPr>
              <w:t>'''''''''''''''''''</w:t>
            </w:r>
          </w:p>
        </w:tc>
        <w:tc>
          <w:tcPr>
            <w:tcW w:w="395" w:type="pct"/>
            <w:shd w:val="clear" w:color="auto" w:fill="auto"/>
            <w:vAlign w:val="center"/>
          </w:tcPr>
          <w:p w:rsidR="003F4338" w:rsidRPr="00EF3C6A" w:rsidRDefault="003F4338" w:rsidP="0018723A">
            <w:pPr>
              <w:pStyle w:val="Tabletext"/>
              <w:keepNext/>
              <w:keepLines/>
            </w:pPr>
            <w:r w:rsidRPr="003F4338">
              <w:t>$</w:t>
            </w:r>
            <w:r w:rsidR="00B07F6B">
              <w:rPr>
                <w:noProof/>
                <w:color w:val="000000"/>
                <w:highlight w:val="black"/>
              </w:rPr>
              <w:t>'''''''''''''''''''</w:t>
            </w:r>
          </w:p>
        </w:tc>
        <w:tc>
          <w:tcPr>
            <w:tcW w:w="346" w:type="pct"/>
            <w:shd w:val="clear" w:color="auto" w:fill="auto"/>
            <w:vAlign w:val="center"/>
          </w:tcPr>
          <w:p w:rsidR="003F4338" w:rsidRDefault="003F4338" w:rsidP="0018723A">
            <w:pPr>
              <w:pStyle w:val="Tabletext"/>
              <w:keepNext/>
              <w:keepLines/>
            </w:pPr>
            <w:r w:rsidRPr="003F4338">
              <w:t>$</w:t>
            </w:r>
            <w:r w:rsidR="00B07F6B">
              <w:rPr>
                <w:noProof/>
                <w:color w:val="000000"/>
                <w:highlight w:val="black"/>
              </w:rPr>
              <w:t>'''''''''''''''</w:t>
            </w:r>
          </w:p>
        </w:tc>
        <w:tc>
          <w:tcPr>
            <w:tcW w:w="402" w:type="pct"/>
            <w:shd w:val="clear" w:color="auto" w:fill="auto"/>
            <w:vAlign w:val="center"/>
          </w:tcPr>
          <w:p w:rsidR="003F4338" w:rsidRPr="00B07F6B" w:rsidRDefault="00B07F6B" w:rsidP="0018723A">
            <w:pPr>
              <w:pStyle w:val="Tabletext"/>
              <w:keepNext/>
              <w:keepLines/>
              <w:jc w:val="center"/>
              <w:rPr>
                <w:highlight w:val="black"/>
              </w:rPr>
            </w:pPr>
            <w:r>
              <w:rPr>
                <w:noProof/>
                <w:color w:val="000000"/>
                <w:highlight w:val="black"/>
              </w:rPr>
              <w:t>''''''''''''</w:t>
            </w:r>
          </w:p>
        </w:tc>
        <w:tc>
          <w:tcPr>
            <w:tcW w:w="291" w:type="pct"/>
            <w:shd w:val="clear" w:color="auto" w:fill="auto"/>
            <w:vAlign w:val="center"/>
          </w:tcPr>
          <w:p w:rsidR="003F4338" w:rsidRPr="00B07F6B" w:rsidRDefault="00B07F6B" w:rsidP="0018723A">
            <w:pPr>
              <w:pStyle w:val="Tabletext"/>
              <w:keepNext/>
              <w:keepLines/>
              <w:jc w:val="center"/>
              <w:rPr>
                <w:highlight w:val="black"/>
              </w:rPr>
            </w:pPr>
            <w:r>
              <w:rPr>
                <w:noProof/>
                <w:color w:val="000000"/>
                <w:highlight w:val="black"/>
              </w:rPr>
              <w:t>'''''''''''</w:t>
            </w:r>
          </w:p>
        </w:tc>
        <w:tc>
          <w:tcPr>
            <w:tcW w:w="318" w:type="pct"/>
            <w:shd w:val="clear" w:color="auto" w:fill="auto"/>
            <w:vAlign w:val="center"/>
          </w:tcPr>
          <w:p w:rsidR="003F4338" w:rsidRPr="00B07F6B" w:rsidRDefault="00B07F6B" w:rsidP="0018723A">
            <w:pPr>
              <w:pStyle w:val="Tabletext"/>
              <w:keepNext/>
              <w:keepLines/>
              <w:jc w:val="center"/>
              <w:rPr>
                <w:highlight w:val="black"/>
              </w:rPr>
            </w:pPr>
            <w:r>
              <w:rPr>
                <w:noProof/>
                <w:color w:val="000000"/>
                <w:highlight w:val="black"/>
              </w:rPr>
              <w:t>''''''''''</w:t>
            </w:r>
          </w:p>
        </w:tc>
        <w:tc>
          <w:tcPr>
            <w:tcW w:w="603" w:type="pct"/>
            <w:shd w:val="clear" w:color="auto" w:fill="auto"/>
            <w:vAlign w:val="center"/>
          </w:tcPr>
          <w:p w:rsidR="003F4338" w:rsidRDefault="003F4338" w:rsidP="0018723A">
            <w:pPr>
              <w:pStyle w:val="Tabletext"/>
              <w:keepNext/>
              <w:keepLines/>
            </w:pPr>
            <w:r>
              <w:t>$</w:t>
            </w:r>
            <w:r w:rsidR="00B07F6B">
              <w:rPr>
                <w:noProof/>
                <w:color w:val="000000"/>
                <w:highlight w:val="black"/>
              </w:rPr>
              <w:t>''''''''''''''''''</w:t>
            </w:r>
            <w:r w:rsidRPr="00EF3C6A">
              <w:t>/QALY</w:t>
            </w:r>
          </w:p>
        </w:tc>
      </w:tr>
    </w:tbl>
    <w:p w:rsidR="00EC27AB" w:rsidRPr="00EF3C6A" w:rsidRDefault="00EC27AB" w:rsidP="0018723A">
      <w:pPr>
        <w:pStyle w:val="TableFooter"/>
        <w:keepNext/>
        <w:keepLines/>
        <w:rPr>
          <w:rStyle w:val="CommentReference"/>
          <w:b w:val="0"/>
        </w:rPr>
      </w:pPr>
      <w:r w:rsidRPr="00EF3C6A">
        <w:t xml:space="preserve">IPI = </w:t>
      </w:r>
      <w:proofErr w:type="spellStart"/>
      <w:r w:rsidRPr="00EF3C6A">
        <w:t>ipilimumab</w:t>
      </w:r>
      <w:proofErr w:type="spellEnd"/>
      <w:r w:rsidRPr="00EF3C6A">
        <w:t xml:space="preserve">; KM = Kaplan-Meier; NIVO = nivolumab; OS = overall survival; PFS = progression free survival; TTD = time to treatment discontinuation; QALY = quality-adjusted life year; LYG = life year gained; SUNI = </w:t>
      </w:r>
      <w:proofErr w:type="spellStart"/>
      <w:r w:rsidRPr="00EF3C6A">
        <w:t>sunitinib</w:t>
      </w:r>
      <w:proofErr w:type="spellEnd"/>
      <w:r w:rsidRPr="00EF3C6A">
        <w:t xml:space="preserve">. </w:t>
      </w:r>
    </w:p>
    <w:p w:rsidR="00AE7BEE" w:rsidRDefault="00EC27AB" w:rsidP="0018723A">
      <w:pPr>
        <w:pStyle w:val="TableFooter"/>
        <w:keepNext/>
        <w:keepLines/>
        <w:rPr>
          <w:rStyle w:val="CommentReference"/>
          <w:b w:val="0"/>
        </w:rPr>
      </w:pPr>
      <w:r w:rsidRPr="00EF3C6A">
        <w:rPr>
          <w:rStyle w:val="CommentReference"/>
          <w:b w:val="0"/>
        </w:rPr>
        <w:t>Source: Table 96, p171 Section 3 of the submission</w:t>
      </w:r>
      <w:r w:rsidR="00D35D3B">
        <w:rPr>
          <w:rStyle w:val="CommentReference"/>
          <w:b w:val="0"/>
        </w:rPr>
        <w:t>; Tables 2-3 (pp. 2-3) pre-PBAC response</w:t>
      </w:r>
    </w:p>
    <w:p w:rsidR="00AE7BEE" w:rsidRPr="00AE7BEE" w:rsidRDefault="00AE7BEE" w:rsidP="00AE7BEE">
      <w:pPr>
        <w:pStyle w:val="TableFooter"/>
        <w:keepNext/>
        <w:keepLines/>
        <w:rPr>
          <w:rStyle w:val="CommentReference"/>
          <w:b w:val="0"/>
        </w:rPr>
      </w:pPr>
      <w:r>
        <w:rPr>
          <w:rStyle w:val="CommentReference"/>
          <w:b w:val="0"/>
          <w:vertAlign w:val="superscript"/>
        </w:rPr>
        <w:t xml:space="preserve">a </w:t>
      </w:r>
      <w:proofErr w:type="gramStart"/>
      <w:r>
        <w:t>From</w:t>
      </w:r>
      <w:proofErr w:type="gramEnd"/>
      <w:r>
        <w:t xml:space="preserve"> $</w:t>
      </w:r>
      <w:r w:rsidR="00B07F6B">
        <w:rPr>
          <w:noProof/>
          <w:color w:val="000000"/>
          <w:highlight w:val="black"/>
        </w:rPr>
        <w:t>'''''''''''''''''''''</w:t>
      </w:r>
      <w:r>
        <w:t xml:space="preserve"> to $</w:t>
      </w:r>
      <w:r w:rsidR="00B07F6B">
        <w:rPr>
          <w:noProof/>
          <w:color w:val="000000"/>
          <w:highlight w:val="black"/>
        </w:rPr>
        <w:t>''''''''''''''''''''' ''''''</w:t>
      </w:r>
      <w:r>
        <w:t xml:space="preserve"> for the 100 mg vial, with corresponding reductions also applied to the 40 mg vial price.</w:t>
      </w:r>
      <w:r>
        <w:rPr>
          <w:rStyle w:val="CommentReference"/>
          <w:b w:val="0"/>
          <w:vertAlign w:val="superscript"/>
        </w:rPr>
        <w:t xml:space="preserve"> </w:t>
      </w:r>
    </w:p>
    <w:p w:rsidR="00EC27AB" w:rsidRDefault="00EC27AB" w:rsidP="00EC27AB"/>
    <w:p w:rsidR="00B83A71" w:rsidRDefault="00B83A71" w:rsidP="00EC27AB">
      <w:r>
        <w:t>The redacted table shows ICERs in the range of $45,000/LY</w:t>
      </w:r>
      <w:r w:rsidR="0073375D">
        <w:t>G</w:t>
      </w:r>
      <w:r>
        <w:t xml:space="preserve"> - $200,000/LYG and $45,000/QALY - $105,000/QALY.</w:t>
      </w:r>
    </w:p>
    <w:p w:rsidR="0018664B" w:rsidRPr="00EF3C6A" w:rsidRDefault="0018664B" w:rsidP="00EC27AB"/>
    <w:p w:rsidR="00EC27AB" w:rsidRPr="00EF3C6A" w:rsidRDefault="00EC27AB" w:rsidP="00EC27AB">
      <w:pPr>
        <w:pStyle w:val="ListParagraph"/>
        <w:widowControl/>
        <w:numPr>
          <w:ilvl w:val="1"/>
          <w:numId w:val="3"/>
        </w:numPr>
      </w:pPr>
      <w:r w:rsidRPr="00EF3C6A">
        <w:t xml:space="preserve">The relationship between the ICER ($/QALY) and the time horizon of the model is provided in the figure below. After year </w:t>
      </w:r>
      <w:r w:rsidR="00B07F6B">
        <w:rPr>
          <w:noProof/>
          <w:color w:val="000000"/>
          <w:highlight w:val="black"/>
        </w:rPr>
        <w:t>''</w:t>
      </w:r>
      <w:r w:rsidRPr="00EF3C6A">
        <w:t xml:space="preserve">, the ICER remained stable until the end of year </w:t>
      </w:r>
      <w:r w:rsidR="00B07F6B">
        <w:rPr>
          <w:noProof/>
          <w:color w:val="000000"/>
          <w:highlight w:val="black"/>
        </w:rPr>
        <w:t>''''''</w:t>
      </w:r>
      <w:r w:rsidRPr="00EF3C6A">
        <w:t xml:space="preserve">. </w:t>
      </w:r>
    </w:p>
    <w:p w:rsidR="00EC27AB" w:rsidRPr="00EF3C6A" w:rsidRDefault="00EC27AB" w:rsidP="00EC27AB">
      <w:pPr>
        <w:keepNext/>
        <w:widowControl/>
        <w:rPr>
          <w:rStyle w:val="CommentReference"/>
        </w:rPr>
      </w:pPr>
      <w:r w:rsidRPr="00EF3C6A">
        <w:rPr>
          <w:rStyle w:val="CommentReference"/>
        </w:rPr>
        <w:lastRenderedPageBreak/>
        <w:t xml:space="preserve">Figure </w:t>
      </w:r>
      <w:r w:rsidR="005F4702" w:rsidRPr="00EF3C6A">
        <w:rPr>
          <w:rStyle w:val="CommentReference"/>
        </w:rPr>
        <w:t>5</w:t>
      </w:r>
      <w:r w:rsidRPr="00EF3C6A">
        <w:rPr>
          <w:rStyle w:val="CommentReference"/>
        </w:rPr>
        <w:t>: Relationship between the ICER ($/QALY) and the time horizon of the model</w:t>
      </w:r>
      <w:r w:rsidR="00574D1A">
        <w:rPr>
          <w:rStyle w:val="CommentReference"/>
        </w:rPr>
        <w:t xml:space="preserve"> (based on submission base case)</w:t>
      </w:r>
    </w:p>
    <w:p w:rsidR="00EC27AB" w:rsidRPr="00EF3C6A" w:rsidRDefault="00B07F6B" w:rsidP="00EC27AB">
      <w:r>
        <w:rPr>
          <w:noProof/>
          <w:snapToGrid/>
          <w:lang w:eastAsia="en-AU"/>
        </w:rPr>
        <w:drawing>
          <wp:inline distT="0" distB="0" distL="0" distR="0" wp14:anchorId="252DA216" wp14:editId="62AFF03F">
            <wp:extent cx="4799330" cy="2676525"/>
            <wp:effectExtent l="0" t="0" r="1270" b="9525"/>
            <wp:docPr id="1" name="Picture 1" title="Figure 5: Relationship between the ICER ($/QALY) and the time horizon of the model (based on submission base cas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99330" cy="2676525"/>
                    </a:xfrm>
                    <a:prstGeom prst="rect">
                      <a:avLst/>
                    </a:prstGeom>
                  </pic:spPr>
                </pic:pic>
              </a:graphicData>
            </a:graphic>
          </wp:inline>
        </w:drawing>
      </w:r>
    </w:p>
    <w:p w:rsidR="00EC27AB" w:rsidRPr="00EF3C6A" w:rsidRDefault="00EC27AB" w:rsidP="00EC27AB">
      <w:pPr>
        <w:pStyle w:val="TableFooter"/>
      </w:pPr>
      <w:r w:rsidRPr="00EF3C6A">
        <w:t>Source: Compiled during the evaluation based on Att_12_CEA_NIVO+IPI_1LRCC.xlsx</w:t>
      </w:r>
    </w:p>
    <w:p w:rsidR="00EC27AB" w:rsidRPr="00EF3C6A" w:rsidRDefault="00EC27AB" w:rsidP="00EC27AB"/>
    <w:p w:rsidR="00EC27AB" w:rsidRPr="00EF3C6A" w:rsidRDefault="00EC27AB" w:rsidP="00EC27AB">
      <w:pPr>
        <w:pStyle w:val="ListParagraph"/>
        <w:widowControl/>
        <w:numPr>
          <w:ilvl w:val="1"/>
          <w:numId w:val="3"/>
        </w:numPr>
      </w:pPr>
      <w:r w:rsidRPr="00EF3C6A">
        <w:t xml:space="preserve">Although the </w:t>
      </w:r>
      <w:r w:rsidR="00574D1A">
        <w:t xml:space="preserve">submission’s </w:t>
      </w:r>
      <w:r w:rsidRPr="00EF3C6A">
        <w:t xml:space="preserve">model applied convergence of survival curves from Year </w:t>
      </w:r>
      <w:r w:rsidR="00B07F6B">
        <w:rPr>
          <w:noProof/>
          <w:color w:val="000000"/>
          <w:highlight w:val="black"/>
        </w:rPr>
        <w:t>''</w:t>
      </w:r>
      <w:r w:rsidRPr="00EF3C6A">
        <w:t xml:space="preserve"> to Year </w:t>
      </w:r>
      <w:r w:rsidR="00B07F6B">
        <w:rPr>
          <w:noProof/>
          <w:color w:val="000000"/>
          <w:highlight w:val="black"/>
        </w:rPr>
        <w:t>''''''</w:t>
      </w:r>
      <w:r w:rsidRPr="00EF3C6A">
        <w:t>, this d</w:t>
      </w:r>
      <w:r w:rsidR="00574D1A">
        <w:t>id</w:t>
      </w:r>
      <w:r w:rsidRPr="00EF3C6A">
        <w:t xml:space="preserve"> not have a major impact on the results of the model, which indicated that the modelled health benefit is mostly accumulated within the first </w:t>
      </w:r>
      <w:r w:rsidR="00B07F6B">
        <w:rPr>
          <w:noProof/>
          <w:color w:val="000000"/>
          <w:highlight w:val="black"/>
        </w:rPr>
        <w:t>'''</w:t>
      </w:r>
      <w:r w:rsidRPr="00EF3C6A">
        <w:t xml:space="preserve"> years</w:t>
      </w:r>
      <w:r w:rsidR="000859A1" w:rsidRPr="00EF3C6A">
        <w:t xml:space="preserve"> </w:t>
      </w:r>
      <w:r w:rsidRPr="00EF3C6A">
        <w:t>(see above figure). During the evaluation, sensitivity analyses were conducted to explore the impact of assumptions used in the extrapolation of the OS and PFS curves (including assumptions about the convergence of these curves). See below.</w:t>
      </w:r>
    </w:p>
    <w:p w:rsidR="00EC27AB" w:rsidRPr="00EF3C6A" w:rsidRDefault="00EC27AB" w:rsidP="00EC27AB">
      <w:pPr>
        <w:pStyle w:val="ListParagraph"/>
        <w:widowControl/>
        <w:numPr>
          <w:ilvl w:val="1"/>
          <w:numId w:val="3"/>
        </w:numPr>
      </w:pPr>
      <w:r w:rsidRPr="00EF3C6A">
        <w:t>Results of selected sensitivity analyses are provided in the table below</w:t>
      </w:r>
      <w:r w:rsidR="006220D3">
        <w:t xml:space="preserve">, </w:t>
      </w:r>
      <w:r w:rsidR="00574D1A">
        <w:t xml:space="preserve">based on the submission’s base case. </w:t>
      </w:r>
    </w:p>
    <w:p w:rsidR="00EC27AB" w:rsidRPr="00EF3C6A" w:rsidRDefault="00EC27AB" w:rsidP="00574D1A">
      <w:pPr>
        <w:keepNext/>
        <w:widowControl/>
        <w:rPr>
          <w:rStyle w:val="CommentReference"/>
        </w:rPr>
      </w:pPr>
      <w:bookmarkStart w:id="18" w:name="_Ref512607042"/>
      <w:r w:rsidRPr="00EF3C6A">
        <w:rPr>
          <w:rStyle w:val="CommentReference"/>
        </w:rPr>
        <w:lastRenderedPageBreak/>
        <w:t xml:space="preserve">Table </w:t>
      </w:r>
      <w:r w:rsidR="00755DFA" w:rsidRPr="00EF3C6A">
        <w:rPr>
          <w:rStyle w:val="CommentReference"/>
        </w:rPr>
        <w:t>13</w:t>
      </w:r>
      <w:bookmarkEnd w:id="18"/>
      <w:r w:rsidRPr="00EF3C6A">
        <w:rPr>
          <w:rStyle w:val="CommentReference"/>
        </w:rPr>
        <w:t>: Results of key sensitivity analyses for the economic evaluation</w:t>
      </w:r>
      <w:r w:rsidR="00574D1A">
        <w:rPr>
          <w:rStyle w:val="CommentReference"/>
        </w:rPr>
        <w:t xml:space="preserve"> (based on submission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950"/>
        <w:gridCol w:w="845"/>
        <w:gridCol w:w="705"/>
        <w:gridCol w:w="563"/>
        <w:gridCol w:w="843"/>
        <w:gridCol w:w="753"/>
        <w:gridCol w:w="664"/>
      </w:tblGrid>
      <w:tr w:rsidR="00D15F40" w:rsidRPr="00EF3C6A" w:rsidTr="00CC5C03">
        <w:tc>
          <w:tcPr>
            <w:tcW w:w="2655" w:type="pct"/>
            <w:shd w:val="clear" w:color="auto" w:fill="auto"/>
            <w:vAlign w:val="center"/>
          </w:tcPr>
          <w:p w:rsidR="00D15F40" w:rsidRPr="00EF3C6A" w:rsidRDefault="00D15F40" w:rsidP="00F10AED">
            <w:pPr>
              <w:pStyle w:val="Tabletext"/>
              <w:keepNext/>
              <w:keepLines/>
              <w:spacing w:before="20" w:after="20"/>
              <w:rPr>
                <w:b/>
                <w:sz w:val="18"/>
                <w:szCs w:val="18"/>
              </w:rPr>
            </w:pPr>
            <w:r w:rsidRPr="00EF3C6A">
              <w:rPr>
                <w:b/>
                <w:sz w:val="18"/>
                <w:szCs w:val="18"/>
              </w:rPr>
              <w:t>Variable</w:t>
            </w:r>
          </w:p>
        </w:tc>
        <w:tc>
          <w:tcPr>
            <w:tcW w:w="453" w:type="pct"/>
            <w:shd w:val="clear" w:color="auto" w:fill="auto"/>
            <w:vAlign w:val="center"/>
          </w:tcPr>
          <w:p w:rsidR="00D15F40" w:rsidRPr="00EF3C6A" w:rsidRDefault="00D15F40" w:rsidP="00F10AED">
            <w:pPr>
              <w:pStyle w:val="Tabletext"/>
              <w:keepNext/>
              <w:keepLines/>
              <w:spacing w:before="20" w:after="20"/>
              <w:jc w:val="center"/>
              <w:rPr>
                <w:b/>
                <w:sz w:val="18"/>
                <w:szCs w:val="18"/>
              </w:rPr>
            </w:pPr>
            <w:r w:rsidRPr="00EF3C6A">
              <w:rPr>
                <w:b/>
                <w:sz w:val="18"/>
                <w:szCs w:val="18"/>
              </w:rPr>
              <w:t>∆Cost</w:t>
            </w:r>
          </w:p>
        </w:tc>
        <w:tc>
          <w:tcPr>
            <w:tcW w:w="378" w:type="pct"/>
            <w:shd w:val="clear" w:color="auto" w:fill="auto"/>
            <w:vAlign w:val="center"/>
          </w:tcPr>
          <w:p w:rsidR="00D15F40" w:rsidRPr="00EF3C6A" w:rsidRDefault="00D15F40" w:rsidP="00F10AED">
            <w:pPr>
              <w:pStyle w:val="Tabletext"/>
              <w:keepNext/>
              <w:keepLines/>
              <w:spacing w:before="20" w:after="20"/>
              <w:jc w:val="center"/>
              <w:rPr>
                <w:b/>
                <w:sz w:val="18"/>
                <w:szCs w:val="18"/>
              </w:rPr>
            </w:pPr>
            <w:r w:rsidRPr="00EF3C6A">
              <w:rPr>
                <w:b/>
                <w:sz w:val="18"/>
                <w:szCs w:val="18"/>
              </w:rPr>
              <w:t>∆LYG</w:t>
            </w:r>
          </w:p>
        </w:tc>
        <w:tc>
          <w:tcPr>
            <w:tcW w:w="302" w:type="pct"/>
            <w:shd w:val="clear" w:color="auto" w:fill="auto"/>
            <w:vAlign w:val="center"/>
          </w:tcPr>
          <w:p w:rsidR="00D15F40" w:rsidRPr="00EF3C6A" w:rsidRDefault="00D15F40" w:rsidP="00F10AED">
            <w:pPr>
              <w:pStyle w:val="Tabletext"/>
              <w:keepNext/>
              <w:keepLines/>
              <w:spacing w:before="20" w:after="20"/>
              <w:jc w:val="center"/>
              <w:rPr>
                <w:b/>
                <w:sz w:val="18"/>
                <w:szCs w:val="18"/>
              </w:rPr>
            </w:pPr>
            <w:r w:rsidRPr="00EF3C6A">
              <w:rPr>
                <w:b/>
                <w:sz w:val="18"/>
                <w:szCs w:val="18"/>
              </w:rPr>
              <w:t>∆QALY</w:t>
            </w:r>
          </w:p>
        </w:tc>
        <w:tc>
          <w:tcPr>
            <w:tcW w:w="452" w:type="pct"/>
            <w:shd w:val="clear" w:color="auto" w:fill="auto"/>
            <w:vAlign w:val="center"/>
          </w:tcPr>
          <w:p w:rsidR="00D15F40" w:rsidRPr="00EF3C6A" w:rsidRDefault="00D15F40" w:rsidP="00F10AED">
            <w:pPr>
              <w:pStyle w:val="Tabletext"/>
              <w:keepNext/>
              <w:keepLines/>
              <w:spacing w:before="20" w:after="20"/>
              <w:jc w:val="center"/>
              <w:rPr>
                <w:b/>
                <w:sz w:val="18"/>
                <w:szCs w:val="18"/>
              </w:rPr>
            </w:pPr>
            <w:r w:rsidRPr="00EF3C6A">
              <w:rPr>
                <w:b/>
                <w:sz w:val="18"/>
                <w:szCs w:val="18"/>
              </w:rPr>
              <w:t>Cost/</w:t>
            </w:r>
          </w:p>
          <w:p w:rsidR="00D15F40" w:rsidRPr="00EF3C6A" w:rsidRDefault="00D15F40" w:rsidP="00F10AED">
            <w:pPr>
              <w:pStyle w:val="Tabletext"/>
              <w:keepNext/>
              <w:keepLines/>
              <w:spacing w:before="20" w:after="20"/>
              <w:jc w:val="center"/>
              <w:rPr>
                <w:b/>
                <w:sz w:val="18"/>
                <w:szCs w:val="18"/>
              </w:rPr>
            </w:pPr>
            <w:r w:rsidRPr="00EF3C6A">
              <w:rPr>
                <w:b/>
                <w:sz w:val="18"/>
                <w:szCs w:val="18"/>
              </w:rPr>
              <w:t>LYG</w:t>
            </w:r>
          </w:p>
        </w:tc>
        <w:tc>
          <w:tcPr>
            <w:tcW w:w="404" w:type="pct"/>
            <w:shd w:val="clear" w:color="auto" w:fill="auto"/>
            <w:vAlign w:val="center"/>
          </w:tcPr>
          <w:p w:rsidR="00D15F40" w:rsidRPr="00EF3C6A" w:rsidRDefault="00D15F40" w:rsidP="00F10AED">
            <w:pPr>
              <w:pStyle w:val="Tabletext"/>
              <w:keepNext/>
              <w:keepLines/>
              <w:spacing w:before="20" w:after="20"/>
              <w:jc w:val="center"/>
              <w:rPr>
                <w:b/>
                <w:sz w:val="18"/>
                <w:szCs w:val="18"/>
              </w:rPr>
            </w:pPr>
            <w:r w:rsidRPr="00EF3C6A">
              <w:rPr>
                <w:b/>
                <w:sz w:val="18"/>
                <w:szCs w:val="18"/>
              </w:rPr>
              <w:t>Cost/</w:t>
            </w:r>
          </w:p>
          <w:p w:rsidR="00D15F40" w:rsidRPr="00EF3C6A" w:rsidRDefault="00D15F40" w:rsidP="00F10AED">
            <w:pPr>
              <w:pStyle w:val="Tabletext"/>
              <w:keepNext/>
              <w:keepLines/>
              <w:spacing w:before="20" w:after="20"/>
              <w:jc w:val="center"/>
              <w:rPr>
                <w:b/>
                <w:sz w:val="18"/>
                <w:szCs w:val="18"/>
              </w:rPr>
            </w:pPr>
            <w:r w:rsidRPr="00EF3C6A">
              <w:rPr>
                <w:b/>
                <w:sz w:val="18"/>
                <w:szCs w:val="18"/>
              </w:rPr>
              <w:t>QALY</w:t>
            </w:r>
          </w:p>
        </w:tc>
        <w:tc>
          <w:tcPr>
            <w:tcW w:w="356" w:type="pct"/>
            <w:shd w:val="clear" w:color="auto" w:fill="auto"/>
            <w:vAlign w:val="center"/>
          </w:tcPr>
          <w:p w:rsidR="00D15F40" w:rsidRPr="00EF3C6A" w:rsidRDefault="00D15F40" w:rsidP="00F10AED">
            <w:pPr>
              <w:pStyle w:val="Tabletext"/>
              <w:keepNext/>
              <w:keepLines/>
              <w:spacing w:before="20" w:after="20"/>
              <w:jc w:val="center"/>
              <w:rPr>
                <w:b/>
                <w:sz w:val="18"/>
                <w:szCs w:val="18"/>
              </w:rPr>
            </w:pPr>
            <w:r w:rsidRPr="00EF3C6A">
              <w:rPr>
                <w:b/>
                <w:sz w:val="18"/>
                <w:szCs w:val="18"/>
              </w:rPr>
              <w:t>% change</w:t>
            </w:r>
          </w:p>
        </w:tc>
      </w:tr>
      <w:tr w:rsidR="00D15F40" w:rsidRPr="00EF3C6A" w:rsidTr="00CC5C03">
        <w:tc>
          <w:tcPr>
            <w:tcW w:w="2655" w:type="pct"/>
            <w:shd w:val="clear" w:color="auto" w:fill="auto"/>
            <w:vAlign w:val="center"/>
          </w:tcPr>
          <w:p w:rsidR="00D15F40" w:rsidRPr="00EF3C6A" w:rsidRDefault="00D15F40" w:rsidP="00F10AED">
            <w:pPr>
              <w:pStyle w:val="Tabletext"/>
              <w:keepNext/>
              <w:keepLines/>
              <w:spacing w:before="20" w:after="20"/>
              <w:rPr>
                <w:b/>
                <w:sz w:val="18"/>
                <w:szCs w:val="18"/>
              </w:rPr>
            </w:pPr>
            <w:r w:rsidRPr="00EF3C6A">
              <w:rPr>
                <w:b/>
                <w:sz w:val="18"/>
                <w:szCs w:val="18"/>
              </w:rPr>
              <w:t>Base case</w:t>
            </w:r>
            <w:r w:rsidR="00EF3FF6">
              <w:rPr>
                <w:b/>
                <w:sz w:val="18"/>
                <w:szCs w:val="18"/>
              </w:rPr>
              <w:t xml:space="preserve"> (from submission)</w:t>
            </w:r>
          </w:p>
        </w:tc>
        <w:tc>
          <w:tcPr>
            <w:tcW w:w="453" w:type="pct"/>
            <w:shd w:val="clear" w:color="auto" w:fill="auto"/>
            <w:vAlign w:val="center"/>
          </w:tcPr>
          <w:p w:rsidR="00D15F40" w:rsidRPr="00EF3C6A" w:rsidRDefault="00D15F40" w:rsidP="00F10AED">
            <w:pPr>
              <w:pStyle w:val="Tabletext"/>
              <w:keepNext/>
              <w:keepLines/>
              <w:spacing w:before="20" w:after="20"/>
              <w:jc w:val="center"/>
              <w:rPr>
                <w:rFonts w:cs="Arial"/>
                <w:b/>
                <w:bCs/>
                <w:color w:val="222222"/>
                <w:sz w:val="18"/>
                <w:szCs w:val="18"/>
              </w:rPr>
            </w:pPr>
            <w:r w:rsidRPr="00EF3C6A">
              <w:rPr>
                <w:rFonts w:cs="Arial"/>
                <w:b/>
                <w:bCs/>
                <w:color w:val="222222"/>
                <w:sz w:val="18"/>
                <w:szCs w:val="18"/>
              </w:rPr>
              <w:t>$</w:t>
            </w:r>
            <w:r w:rsidR="00B07F6B">
              <w:rPr>
                <w:rFonts w:cs="Arial"/>
                <w:b/>
                <w:bCs/>
                <w:noProof/>
                <w:color w:val="000000"/>
                <w:sz w:val="18"/>
                <w:szCs w:val="18"/>
                <w:highlight w:val="black"/>
              </w:rPr>
              <w:t>'''''''''''''</w:t>
            </w:r>
          </w:p>
        </w:tc>
        <w:tc>
          <w:tcPr>
            <w:tcW w:w="378" w:type="pct"/>
            <w:shd w:val="clear" w:color="auto" w:fill="auto"/>
            <w:vAlign w:val="center"/>
          </w:tcPr>
          <w:p w:rsidR="00D15F40" w:rsidRPr="006068C2" w:rsidRDefault="006068C2" w:rsidP="00F10AED">
            <w:pPr>
              <w:pStyle w:val="Tabletext"/>
              <w:keepNext/>
              <w:keepLines/>
              <w:spacing w:before="20" w:after="20"/>
              <w:jc w:val="center"/>
              <w:rPr>
                <w:b/>
                <w:sz w:val="18"/>
                <w:szCs w:val="18"/>
                <w:highlight w:val="black"/>
              </w:rPr>
            </w:pPr>
            <w:r>
              <w:rPr>
                <w:rFonts w:cs="Arial"/>
                <w:b/>
                <w:bCs/>
                <w:noProof/>
                <w:color w:val="000000"/>
                <w:sz w:val="18"/>
                <w:szCs w:val="18"/>
                <w:highlight w:val="black"/>
              </w:rPr>
              <w:t>''''''''</w:t>
            </w:r>
          </w:p>
        </w:tc>
        <w:tc>
          <w:tcPr>
            <w:tcW w:w="302" w:type="pct"/>
            <w:shd w:val="clear" w:color="auto" w:fill="auto"/>
            <w:vAlign w:val="center"/>
          </w:tcPr>
          <w:p w:rsidR="00D15F40" w:rsidRPr="006068C2" w:rsidRDefault="006068C2" w:rsidP="00F10AED">
            <w:pPr>
              <w:pStyle w:val="Tabletext"/>
              <w:keepNext/>
              <w:keepLines/>
              <w:spacing w:before="20" w:after="20"/>
              <w:jc w:val="center"/>
              <w:rPr>
                <w:b/>
                <w:sz w:val="18"/>
                <w:szCs w:val="18"/>
                <w:highlight w:val="black"/>
              </w:rPr>
            </w:pPr>
            <w:r>
              <w:rPr>
                <w:rFonts w:cs="Arial"/>
                <w:b/>
                <w:bCs/>
                <w:noProof/>
                <w:color w:val="000000"/>
                <w:sz w:val="18"/>
                <w:szCs w:val="18"/>
                <w:highlight w:val="black"/>
              </w:rPr>
              <w:t>''''''''</w:t>
            </w:r>
          </w:p>
        </w:tc>
        <w:tc>
          <w:tcPr>
            <w:tcW w:w="452" w:type="pct"/>
            <w:shd w:val="clear" w:color="auto" w:fill="auto"/>
            <w:vAlign w:val="center"/>
          </w:tcPr>
          <w:p w:rsidR="00D15F40" w:rsidRPr="00EF3C6A" w:rsidRDefault="00D15F40" w:rsidP="00F10AED">
            <w:pPr>
              <w:pStyle w:val="Tabletext"/>
              <w:keepNext/>
              <w:keepLines/>
              <w:spacing w:before="20" w:after="20"/>
              <w:jc w:val="center"/>
              <w:rPr>
                <w:b/>
                <w:sz w:val="18"/>
                <w:szCs w:val="18"/>
              </w:rPr>
            </w:pPr>
            <w:r w:rsidRPr="00EF3C6A">
              <w:rPr>
                <w:rFonts w:cs="Arial"/>
                <w:b/>
                <w:bCs/>
                <w:color w:val="222222"/>
                <w:sz w:val="18"/>
                <w:szCs w:val="18"/>
              </w:rPr>
              <w:t>$</w:t>
            </w:r>
            <w:r w:rsidR="00B07F6B">
              <w:rPr>
                <w:rFonts w:cs="Arial"/>
                <w:b/>
                <w:bCs/>
                <w:noProof/>
                <w:color w:val="000000"/>
                <w:sz w:val="18"/>
                <w:szCs w:val="18"/>
                <w:highlight w:val="black"/>
              </w:rPr>
              <w:t>'''''''''''''</w:t>
            </w:r>
          </w:p>
        </w:tc>
        <w:tc>
          <w:tcPr>
            <w:tcW w:w="404" w:type="pct"/>
            <w:shd w:val="clear" w:color="auto" w:fill="auto"/>
            <w:vAlign w:val="center"/>
          </w:tcPr>
          <w:p w:rsidR="00D15F40" w:rsidRPr="00EF3C6A" w:rsidRDefault="00D15F40" w:rsidP="00F10AED">
            <w:pPr>
              <w:pStyle w:val="Tabletext"/>
              <w:keepNext/>
              <w:keepLines/>
              <w:spacing w:before="20" w:after="20"/>
              <w:jc w:val="center"/>
              <w:rPr>
                <w:b/>
                <w:sz w:val="18"/>
                <w:szCs w:val="18"/>
              </w:rPr>
            </w:pPr>
            <w:r w:rsidRPr="00EF3C6A">
              <w:rPr>
                <w:rFonts w:cs="Arial"/>
                <w:b/>
                <w:bCs/>
                <w:color w:val="222222"/>
                <w:sz w:val="18"/>
                <w:szCs w:val="18"/>
              </w:rPr>
              <w:t>$</w:t>
            </w:r>
            <w:r w:rsidR="00B07F6B">
              <w:rPr>
                <w:rFonts w:cs="Arial"/>
                <w:b/>
                <w:bCs/>
                <w:noProof/>
                <w:color w:val="000000"/>
                <w:sz w:val="18"/>
                <w:szCs w:val="18"/>
                <w:highlight w:val="black"/>
              </w:rPr>
              <w:t>''''''''''''</w:t>
            </w:r>
          </w:p>
        </w:tc>
        <w:tc>
          <w:tcPr>
            <w:tcW w:w="356" w:type="pct"/>
            <w:shd w:val="clear" w:color="auto" w:fill="auto"/>
            <w:vAlign w:val="center"/>
          </w:tcPr>
          <w:p w:rsidR="00D15F40" w:rsidRPr="00EF3C6A" w:rsidRDefault="00D15F40" w:rsidP="00F10AED">
            <w:pPr>
              <w:pStyle w:val="Tabletext"/>
              <w:keepNext/>
              <w:keepLines/>
              <w:spacing w:before="20" w:after="20"/>
              <w:jc w:val="center"/>
              <w:rPr>
                <w:b/>
                <w:sz w:val="18"/>
                <w:szCs w:val="18"/>
              </w:rPr>
            </w:pPr>
            <w:r w:rsidRPr="00EF3C6A">
              <w:rPr>
                <w:b/>
                <w:sz w:val="18"/>
                <w:szCs w:val="18"/>
              </w:rPr>
              <w:t>-</w:t>
            </w:r>
          </w:p>
        </w:tc>
      </w:tr>
      <w:tr w:rsidR="004A0911" w:rsidRPr="00EF3C6A" w:rsidTr="004A0911">
        <w:tc>
          <w:tcPr>
            <w:tcW w:w="5000" w:type="pct"/>
            <w:gridSpan w:val="7"/>
          </w:tcPr>
          <w:p w:rsidR="004A0911" w:rsidRPr="00EF3C6A" w:rsidRDefault="004A0911" w:rsidP="00F10AED">
            <w:pPr>
              <w:pStyle w:val="Tabletext"/>
              <w:keepNext/>
              <w:keepLines/>
              <w:spacing w:before="20" w:after="20"/>
              <w:rPr>
                <w:b/>
                <w:sz w:val="18"/>
                <w:szCs w:val="18"/>
              </w:rPr>
            </w:pPr>
            <w:r w:rsidRPr="00EF3C6A">
              <w:rPr>
                <w:b/>
                <w:sz w:val="18"/>
                <w:szCs w:val="18"/>
              </w:rPr>
              <w:t>Univariate analyses</w:t>
            </w:r>
          </w:p>
        </w:tc>
      </w:tr>
      <w:tr w:rsidR="004A0911" w:rsidRPr="00EF3C6A" w:rsidTr="004A0911">
        <w:tc>
          <w:tcPr>
            <w:tcW w:w="5000" w:type="pct"/>
            <w:gridSpan w:val="7"/>
          </w:tcPr>
          <w:p w:rsidR="004A0911" w:rsidRPr="00EF3C6A" w:rsidRDefault="004A0911" w:rsidP="006220D3">
            <w:pPr>
              <w:pStyle w:val="Tabletext"/>
              <w:keepNext/>
              <w:keepLines/>
              <w:spacing w:before="20" w:after="20"/>
              <w:rPr>
                <w:b/>
                <w:sz w:val="18"/>
                <w:szCs w:val="18"/>
              </w:rPr>
            </w:pPr>
            <w:r w:rsidRPr="00EF3C6A">
              <w:rPr>
                <w:b/>
                <w:sz w:val="18"/>
                <w:szCs w:val="18"/>
              </w:rPr>
              <w:t>Extrapolation</w:t>
            </w:r>
            <w:r w:rsidRPr="00EF3C6A">
              <w:rPr>
                <w:sz w:val="18"/>
                <w:szCs w:val="18"/>
              </w:rPr>
              <w:t xml:space="preserve">. </w:t>
            </w:r>
            <w:r w:rsidRPr="00EF3C6A">
              <w:rPr>
                <w:b/>
                <w:sz w:val="18"/>
                <w:szCs w:val="18"/>
              </w:rPr>
              <w:t xml:space="preserve">Base case: Convergence of OS and PFS begins at </w:t>
            </w:r>
            <w:r w:rsidR="00B07F6B">
              <w:rPr>
                <w:b/>
                <w:noProof/>
                <w:color w:val="000000"/>
                <w:sz w:val="18"/>
                <w:szCs w:val="18"/>
                <w:highlight w:val="black"/>
              </w:rPr>
              <w:t xml:space="preserve">''' </w:t>
            </w:r>
            <w:r w:rsidRPr="00EF3C6A">
              <w:rPr>
                <w:b/>
                <w:sz w:val="18"/>
                <w:szCs w:val="18"/>
              </w:rPr>
              <w:t xml:space="preserve">years, end at </w:t>
            </w:r>
            <w:r w:rsidR="00B07F6B">
              <w:rPr>
                <w:b/>
                <w:noProof/>
                <w:color w:val="000000"/>
                <w:sz w:val="18"/>
                <w:szCs w:val="18"/>
                <w:highlight w:val="black"/>
              </w:rPr>
              <w:t>'''''</w:t>
            </w:r>
            <w:r w:rsidRPr="00EF3C6A">
              <w:rPr>
                <w:b/>
                <w:sz w:val="18"/>
                <w:szCs w:val="18"/>
              </w:rPr>
              <w:t xml:space="preserve"> years </w:t>
            </w:r>
          </w:p>
        </w:tc>
      </w:tr>
      <w:tr w:rsidR="00D15F40" w:rsidRPr="00EF3C6A" w:rsidTr="00CC5C03">
        <w:trPr>
          <w:trHeight w:val="53"/>
        </w:trPr>
        <w:tc>
          <w:tcPr>
            <w:tcW w:w="2655" w:type="pct"/>
            <w:shd w:val="clear" w:color="auto" w:fill="auto"/>
            <w:vAlign w:val="center"/>
          </w:tcPr>
          <w:p w:rsidR="00D15F40" w:rsidRPr="00EF3C6A" w:rsidRDefault="00D15F40" w:rsidP="00F10AED">
            <w:pPr>
              <w:pStyle w:val="Tabletext"/>
              <w:keepNext/>
              <w:keepLines/>
              <w:spacing w:before="20" w:after="20"/>
              <w:rPr>
                <w:sz w:val="18"/>
                <w:szCs w:val="18"/>
              </w:rPr>
            </w:pPr>
            <w:r w:rsidRPr="00EF3C6A">
              <w:rPr>
                <w:rFonts w:cs="Arial"/>
                <w:color w:val="222222"/>
                <w:sz w:val="18"/>
                <w:szCs w:val="18"/>
              </w:rPr>
              <w:t xml:space="preserve">Convergence begin at </w:t>
            </w:r>
            <w:r w:rsidR="00B07F6B">
              <w:rPr>
                <w:rFonts w:cs="Arial"/>
                <w:noProof/>
                <w:color w:val="000000"/>
                <w:sz w:val="18"/>
                <w:szCs w:val="18"/>
                <w:highlight w:val="black"/>
              </w:rPr>
              <w:t>'''''''</w:t>
            </w:r>
            <w:r w:rsidRPr="00EF3C6A">
              <w:rPr>
                <w:rFonts w:cs="Arial"/>
                <w:color w:val="222222"/>
                <w:sz w:val="18"/>
                <w:szCs w:val="18"/>
              </w:rPr>
              <w:t xml:space="preserve"> months for PFS and OS, end at </w:t>
            </w:r>
            <w:r w:rsidR="00B07F6B">
              <w:rPr>
                <w:rFonts w:cs="Arial"/>
                <w:noProof/>
                <w:color w:val="000000"/>
                <w:sz w:val="18"/>
                <w:szCs w:val="18"/>
                <w:highlight w:val="black"/>
              </w:rPr>
              <w:t>''''''</w:t>
            </w:r>
            <w:r w:rsidRPr="00EF3C6A">
              <w:rPr>
                <w:rFonts w:cs="Arial"/>
                <w:color w:val="222222"/>
                <w:sz w:val="18"/>
                <w:szCs w:val="18"/>
              </w:rPr>
              <w:t xml:space="preserve"> years^</w:t>
            </w:r>
          </w:p>
        </w:tc>
        <w:tc>
          <w:tcPr>
            <w:tcW w:w="453" w:type="pct"/>
            <w:shd w:val="clear" w:color="auto" w:fill="auto"/>
          </w:tcPr>
          <w:p w:rsidR="00D15F40" w:rsidRPr="00EF3C6A" w:rsidRDefault="00D15F40" w:rsidP="00F10AED">
            <w:pPr>
              <w:pStyle w:val="Tabletext"/>
              <w:keepNext/>
              <w:keepLines/>
              <w:spacing w:before="20" w:after="20"/>
              <w:jc w:val="center"/>
              <w:rPr>
                <w:rFonts w:cs="Arial"/>
                <w:color w:val="222222"/>
                <w:sz w:val="18"/>
                <w:szCs w:val="18"/>
              </w:rPr>
            </w:pPr>
            <w:r w:rsidRPr="00EF3C6A">
              <w:rPr>
                <w:rFonts w:cs="Arial"/>
                <w:color w:val="222222"/>
                <w:sz w:val="18"/>
                <w:szCs w:val="18"/>
              </w:rPr>
              <w:t>$</w:t>
            </w:r>
            <w:r w:rsidR="00B07F6B">
              <w:rPr>
                <w:rFonts w:cs="Arial"/>
                <w:noProof/>
                <w:color w:val="000000"/>
                <w:sz w:val="18"/>
                <w:szCs w:val="18"/>
                <w:highlight w:val="black"/>
              </w:rPr>
              <w:t>'''''''''''''''</w:t>
            </w:r>
          </w:p>
        </w:tc>
        <w:tc>
          <w:tcPr>
            <w:tcW w:w="378" w:type="pct"/>
            <w:shd w:val="clear" w:color="auto" w:fill="auto"/>
          </w:tcPr>
          <w:p w:rsidR="00D15F40" w:rsidRPr="00B07F6B" w:rsidRDefault="00B07F6B" w:rsidP="00F10AED">
            <w:pPr>
              <w:pStyle w:val="Tabletext"/>
              <w:keepNext/>
              <w:keepLines/>
              <w:spacing w:before="20" w:after="20"/>
              <w:jc w:val="center"/>
              <w:rPr>
                <w:rFonts w:cs="Arial"/>
                <w:color w:val="222222"/>
                <w:sz w:val="18"/>
                <w:szCs w:val="18"/>
                <w:highlight w:val="black"/>
              </w:rPr>
            </w:pPr>
            <w:r>
              <w:rPr>
                <w:rFonts w:cs="Arial"/>
                <w:noProof/>
                <w:color w:val="000000"/>
                <w:sz w:val="18"/>
                <w:szCs w:val="18"/>
                <w:highlight w:val="black"/>
              </w:rPr>
              <w:t>'''''''''''</w:t>
            </w:r>
          </w:p>
        </w:tc>
        <w:tc>
          <w:tcPr>
            <w:tcW w:w="302" w:type="pct"/>
            <w:shd w:val="clear" w:color="auto" w:fill="auto"/>
          </w:tcPr>
          <w:p w:rsidR="00D15F40" w:rsidRPr="00B07F6B" w:rsidRDefault="00B07F6B" w:rsidP="00F10AED">
            <w:pPr>
              <w:pStyle w:val="Tabletext"/>
              <w:keepNext/>
              <w:keepLines/>
              <w:spacing w:before="20" w:after="20"/>
              <w:jc w:val="center"/>
              <w:rPr>
                <w:rFonts w:cs="Arial"/>
                <w:color w:val="222222"/>
                <w:sz w:val="18"/>
                <w:szCs w:val="18"/>
                <w:highlight w:val="black"/>
              </w:rPr>
            </w:pPr>
            <w:r>
              <w:rPr>
                <w:rFonts w:cs="Arial"/>
                <w:noProof/>
                <w:color w:val="000000"/>
                <w:sz w:val="18"/>
                <w:szCs w:val="18"/>
                <w:highlight w:val="black"/>
              </w:rPr>
              <w:t>'''''''''''</w:t>
            </w:r>
          </w:p>
        </w:tc>
        <w:tc>
          <w:tcPr>
            <w:tcW w:w="452" w:type="pct"/>
            <w:shd w:val="clear" w:color="auto" w:fill="auto"/>
          </w:tcPr>
          <w:p w:rsidR="00D15F40" w:rsidRPr="00EF3C6A" w:rsidRDefault="00D15F40" w:rsidP="00F10AED">
            <w:pPr>
              <w:pStyle w:val="Tabletext"/>
              <w:keepNext/>
              <w:keepLines/>
              <w:spacing w:before="20" w:after="20"/>
              <w:jc w:val="center"/>
              <w:rPr>
                <w:rFonts w:cs="Arial"/>
                <w:color w:val="222222"/>
                <w:sz w:val="18"/>
                <w:szCs w:val="18"/>
              </w:rPr>
            </w:pPr>
            <w:r w:rsidRPr="00EF3C6A">
              <w:rPr>
                <w:rFonts w:cs="Arial"/>
                <w:color w:val="222222"/>
                <w:sz w:val="18"/>
                <w:szCs w:val="18"/>
              </w:rPr>
              <w:t>$</w:t>
            </w:r>
            <w:r w:rsidR="00B07F6B">
              <w:rPr>
                <w:rFonts w:cs="Arial"/>
                <w:noProof/>
                <w:color w:val="000000"/>
                <w:sz w:val="18"/>
                <w:szCs w:val="18"/>
                <w:highlight w:val="black"/>
              </w:rPr>
              <w:t>'''''''''''''''''</w:t>
            </w:r>
          </w:p>
        </w:tc>
        <w:tc>
          <w:tcPr>
            <w:tcW w:w="404" w:type="pct"/>
            <w:shd w:val="clear" w:color="auto" w:fill="auto"/>
          </w:tcPr>
          <w:p w:rsidR="00D15F40" w:rsidRPr="00EF3C6A" w:rsidRDefault="00D15F40" w:rsidP="00F10AED">
            <w:pPr>
              <w:pStyle w:val="Tabletext"/>
              <w:keepNext/>
              <w:keepLines/>
              <w:spacing w:before="20" w:after="20"/>
              <w:jc w:val="center"/>
              <w:rPr>
                <w:rFonts w:cs="Arial"/>
                <w:color w:val="222222"/>
                <w:sz w:val="18"/>
                <w:szCs w:val="18"/>
              </w:rPr>
            </w:pPr>
            <w:r w:rsidRPr="00EF3C6A">
              <w:rPr>
                <w:rFonts w:cs="Arial"/>
                <w:color w:val="222222"/>
                <w:sz w:val="18"/>
                <w:szCs w:val="18"/>
              </w:rPr>
              <w:t>$</w:t>
            </w:r>
            <w:r w:rsidR="00B07F6B">
              <w:rPr>
                <w:rFonts w:cs="Arial"/>
                <w:noProof/>
                <w:color w:val="000000"/>
                <w:sz w:val="18"/>
                <w:szCs w:val="18"/>
                <w:highlight w:val="black"/>
              </w:rPr>
              <w:t>''''''''''''''''</w:t>
            </w:r>
          </w:p>
        </w:tc>
        <w:tc>
          <w:tcPr>
            <w:tcW w:w="356" w:type="pct"/>
            <w:shd w:val="clear" w:color="auto" w:fill="auto"/>
          </w:tcPr>
          <w:p w:rsidR="00D15F40" w:rsidRPr="00EF3C6A" w:rsidRDefault="00B07F6B" w:rsidP="00F10AED">
            <w:pPr>
              <w:pStyle w:val="Tabletext"/>
              <w:keepNext/>
              <w:keepLines/>
              <w:spacing w:before="20" w:after="20"/>
              <w:jc w:val="center"/>
              <w:rPr>
                <w:rFonts w:cs="Arial"/>
                <w:color w:val="222222"/>
                <w:sz w:val="18"/>
                <w:szCs w:val="18"/>
              </w:rPr>
            </w:pPr>
            <w:r>
              <w:rPr>
                <w:rFonts w:cs="Arial"/>
                <w:noProof/>
                <w:color w:val="000000"/>
                <w:sz w:val="18"/>
                <w:szCs w:val="18"/>
                <w:highlight w:val="black"/>
              </w:rPr>
              <w:t>'''''''</w:t>
            </w:r>
            <w:r w:rsidR="00D15F40" w:rsidRPr="00EF3C6A">
              <w:rPr>
                <w:rFonts w:cs="Arial"/>
                <w:color w:val="222222"/>
                <w:sz w:val="18"/>
                <w:szCs w:val="18"/>
              </w:rPr>
              <w:t>%</w:t>
            </w:r>
          </w:p>
        </w:tc>
      </w:tr>
      <w:tr w:rsidR="00D15F40" w:rsidRPr="00EF3C6A" w:rsidTr="00CC5C03">
        <w:tc>
          <w:tcPr>
            <w:tcW w:w="2655" w:type="pct"/>
            <w:shd w:val="clear" w:color="auto" w:fill="auto"/>
            <w:vAlign w:val="center"/>
          </w:tcPr>
          <w:p w:rsidR="00D15F40" w:rsidRPr="00EF3C6A" w:rsidRDefault="00D15F40" w:rsidP="00F10AED">
            <w:pPr>
              <w:pStyle w:val="Tabletext"/>
              <w:keepNext/>
              <w:keepLines/>
              <w:spacing w:before="20" w:after="20"/>
              <w:rPr>
                <w:sz w:val="18"/>
                <w:szCs w:val="18"/>
              </w:rPr>
            </w:pPr>
            <w:r w:rsidRPr="00EF3C6A">
              <w:rPr>
                <w:rFonts w:cs="Arial"/>
                <w:color w:val="222222"/>
                <w:sz w:val="18"/>
                <w:szCs w:val="18"/>
              </w:rPr>
              <w:t xml:space="preserve">Convergence begin at </w:t>
            </w:r>
            <w:r w:rsidR="00B07F6B">
              <w:rPr>
                <w:rFonts w:cs="Arial"/>
                <w:noProof/>
                <w:color w:val="000000"/>
                <w:sz w:val="18"/>
                <w:szCs w:val="18"/>
                <w:highlight w:val="black"/>
              </w:rPr>
              <w:t>'''''''</w:t>
            </w:r>
            <w:r w:rsidRPr="00EF3C6A">
              <w:rPr>
                <w:rFonts w:cs="Arial"/>
                <w:color w:val="222222"/>
                <w:sz w:val="18"/>
                <w:szCs w:val="18"/>
              </w:rPr>
              <w:t xml:space="preserve"> months for PFS and OS, end at </w:t>
            </w:r>
            <w:r w:rsidR="00B07F6B">
              <w:rPr>
                <w:rFonts w:cs="Arial"/>
                <w:noProof/>
                <w:color w:val="000000"/>
                <w:sz w:val="18"/>
                <w:szCs w:val="18"/>
                <w:highlight w:val="black"/>
              </w:rPr>
              <w:t>'''''''</w:t>
            </w:r>
            <w:r w:rsidRPr="00EF3C6A">
              <w:rPr>
                <w:rFonts w:cs="Arial"/>
                <w:color w:val="222222"/>
                <w:sz w:val="18"/>
                <w:szCs w:val="18"/>
              </w:rPr>
              <w:t xml:space="preserve"> years^</w:t>
            </w:r>
          </w:p>
        </w:tc>
        <w:tc>
          <w:tcPr>
            <w:tcW w:w="453" w:type="pct"/>
            <w:shd w:val="clear" w:color="auto" w:fill="auto"/>
          </w:tcPr>
          <w:p w:rsidR="00D15F40" w:rsidRPr="00EF3C6A" w:rsidRDefault="00D15F40" w:rsidP="00F10AED">
            <w:pPr>
              <w:pStyle w:val="Tabletext"/>
              <w:keepNext/>
              <w:keepLines/>
              <w:spacing w:before="20" w:after="20"/>
              <w:jc w:val="center"/>
              <w:rPr>
                <w:rFonts w:cs="Arial"/>
                <w:color w:val="222222"/>
                <w:sz w:val="18"/>
                <w:szCs w:val="18"/>
              </w:rPr>
            </w:pPr>
            <w:r w:rsidRPr="00EF3C6A">
              <w:rPr>
                <w:rFonts w:cs="Arial"/>
                <w:color w:val="222222"/>
                <w:sz w:val="18"/>
                <w:szCs w:val="18"/>
              </w:rPr>
              <w:t>$</w:t>
            </w:r>
            <w:r w:rsidR="00B07F6B">
              <w:rPr>
                <w:rFonts w:cs="Arial"/>
                <w:noProof/>
                <w:color w:val="000000"/>
                <w:sz w:val="18"/>
                <w:szCs w:val="18"/>
                <w:highlight w:val="black"/>
              </w:rPr>
              <w:t>'''''''''''''''''</w:t>
            </w:r>
          </w:p>
        </w:tc>
        <w:tc>
          <w:tcPr>
            <w:tcW w:w="378" w:type="pct"/>
            <w:shd w:val="clear" w:color="auto" w:fill="auto"/>
          </w:tcPr>
          <w:p w:rsidR="00D15F40" w:rsidRPr="00B07F6B" w:rsidRDefault="00B07F6B" w:rsidP="00F10AED">
            <w:pPr>
              <w:pStyle w:val="Tabletext"/>
              <w:keepNext/>
              <w:keepLines/>
              <w:spacing w:before="20" w:after="20"/>
              <w:jc w:val="center"/>
              <w:rPr>
                <w:rFonts w:cs="Arial"/>
                <w:color w:val="222222"/>
                <w:sz w:val="18"/>
                <w:szCs w:val="18"/>
                <w:highlight w:val="black"/>
              </w:rPr>
            </w:pPr>
            <w:r>
              <w:rPr>
                <w:rFonts w:cs="Arial"/>
                <w:noProof/>
                <w:color w:val="000000"/>
                <w:sz w:val="18"/>
                <w:szCs w:val="18"/>
                <w:highlight w:val="black"/>
              </w:rPr>
              <w:t>''''''''''</w:t>
            </w:r>
          </w:p>
        </w:tc>
        <w:tc>
          <w:tcPr>
            <w:tcW w:w="302" w:type="pct"/>
            <w:shd w:val="clear" w:color="auto" w:fill="auto"/>
          </w:tcPr>
          <w:p w:rsidR="00D15F40" w:rsidRPr="00B07F6B" w:rsidRDefault="00B07F6B" w:rsidP="00F10AED">
            <w:pPr>
              <w:pStyle w:val="Tabletext"/>
              <w:keepNext/>
              <w:keepLines/>
              <w:spacing w:before="20" w:after="20"/>
              <w:jc w:val="center"/>
              <w:rPr>
                <w:rFonts w:cs="Arial"/>
                <w:color w:val="222222"/>
                <w:sz w:val="18"/>
                <w:szCs w:val="18"/>
                <w:highlight w:val="black"/>
              </w:rPr>
            </w:pPr>
            <w:r>
              <w:rPr>
                <w:rFonts w:cs="Arial"/>
                <w:noProof/>
                <w:color w:val="000000"/>
                <w:sz w:val="18"/>
                <w:szCs w:val="18"/>
                <w:highlight w:val="black"/>
              </w:rPr>
              <w:t>'''''''''</w:t>
            </w:r>
          </w:p>
        </w:tc>
        <w:tc>
          <w:tcPr>
            <w:tcW w:w="452" w:type="pct"/>
            <w:shd w:val="clear" w:color="auto" w:fill="auto"/>
          </w:tcPr>
          <w:p w:rsidR="00D15F40" w:rsidRPr="00EF3C6A" w:rsidRDefault="00D15F40" w:rsidP="00F10AED">
            <w:pPr>
              <w:pStyle w:val="Tabletext"/>
              <w:keepNext/>
              <w:keepLines/>
              <w:spacing w:before="20" w:after="20"/>
              <w:jc w:val="center"/>
              <w:rPr>
                <w:rFonts w:cs="Arial"/>
                <w:color w:val="222222"/>
                <w:sz w:val="18"/>
                <w:szCs w:val="18"/>
              </w:rPr>
            </w:pPr>
            <w:r w:rsidRPr="00EF3C6A">
              <w:rPr>
                <w:rFonts w:cs="Arial"/>
                <w:color w:val="222222"/>
                <w:sz w:val="18"/>
                <w:szCs w:val="18"/>
              </w:rPr>
              <w:t>$</w:t>
            </w:r>
            <w:r w:rsidR="00B07F6B">
              <w:rPr>
                <w:rFonts w:cs="Arial"/>
                <w:noProof/>
                <w:color w:val="000000"/>
                <w:sz w:val="18"/>
                <w:szCs w:val="18"/>
                <w:highlight w:val="black"/>
              </w:rPr>
              <w:t>'''''''''''''''</w:t>
            </w:r>
          </w:p>
        </w:tc>
        <w:tc>
          <w:tcPr>
            <w:tcW w:w="404" w:type="pct"/>
            <w:shd w:val="clear" w:color="auto" w:fill="auto"/>
          </w:tcPr>
          <w:p w:rsidR="00D15F40" w:rsidRPr="00EF3C6A" w:rsidRDefault="00D15F40" w:rsidP="00F10AED">
            <w:pPr>
              <w:pStyle w:val="Tabletext"/>
              <w:keepNext/>
              <w:keepLines/>
              <w:spacing w:before="20" w:after="20"/>
              <w:jc w:val="center"/>
              <w:rPr>
                <w:rFonts w:cs="Arial"/>
                <w:color w:val="222222"/>
                <w:sz w:val="18"/>
                <w:szCs w:val="18"/>
              </w:rPr>
            </w:pPr>
            <w:r w:rsidRPr="00EF3C6A">
              <w:rPr>
                <w:rFonts w:cs="Arial"/>
                <w:color w:val="222222"/>
                <w:sz w:val="18"/>
                <w:szCs w:val="18"/>
              </w:rPr>
              <w:t>$</w:t>
            </w:r>
            <w:r w:rsidR="00B07F6B">
              <w:rPr>
                <w:rFonts w:cs="Arial"/>
                <w:noProof/>
                <w:color w:val="000000"/>
                <w:sz w:val="18"/>
                <w:szCs w:val="18"/>
                <w:highlight w:val="black"/>
              </w:rPr>
              <w:t>''''''''''''''''''</w:t>
            </w:r>
          </w:p>
        </w:tc>
        <w:tc>
          <w:tcPr>
            <w:tcW w:w="356" w:type="pct"/>
            <w:shd w:val="clear" w:color="auto" w:fill="auto"/>
          </w:tcPr>
          <w:p w:rsidR="00D15F40" w:rsidRPr="00EF3C6A" w:rsidRDefault="006068C2" w:rsidP="00F10AED">
            <w:pPr>
              <w:pStyle w:val="Tabletext"/>
              <w:keepNext/>
              <w:keepLines/>
              <w:spacing w:before="20" w:after="20"/>
              <w:jc w:val="center"/>
              <w:rPr>
                <w:rFonts w:cs="Arial"/>
                <w:color w:val="222222"/>
                <w:sz w:val="18"/>
                <w:szCs w:val="18"/>
              </w:rPr>
            </w:pPr>
            <w:r>
              <w:rPr>
                <w:rFonts w:cs="Arial"/>
                <w:noProof/>
                <w:color w:val="000000"/>
                <w:sz w:val="18"/>
                <w:szCs w:val="18"/>
                <w:highlight w:val="black"/>
              </w:rPr>
              <w:t>'''''''''''</w:t>
            </w:r>
            <w:r w:rsidR="00D15F40" w:rsidRPr="00D21951">
              <w:rPr>
                <w:rFonts w:cs="Arial"/>
                <w:color w:val="222222"/>
                <w:sz w:val="18"/>
                <w:szCs w:val="18"/>
              </w:rPr>
              <w:t>%</w:t>
            </w:r>
          </w:p>
        </w:tc>
      </w:tr>
      <w:tr w:rsidR="000725BE" w:rsidRPr="00EF3C6A" w:rsidTr="00D15F40">
        <w:tc>
          <w:tcPr>
            <w:tcW w:w="5000" w:type="pct"/>
            <w:gridSpan w:val="7"/>
            <w:shd w:val="clear" w:color="auto" w:fill="auto"/>
            <w:vAlign w:val="center"/>
          </w:tcPr>
          <w:p w:rsidR="000725BE" w:rsidRPr="00EF3C6A" w:rsidRDefault="000725BE" w:rsidP="00D15F40">
            <w:pPr>
              <w:pStyle w:val="Tabletext"/>
              <w:keepNext/>
              <w:keepLines/>
              <w:spacing w:before="20" w:after="20"/>
              <w:rPr>
                <w:rFonts w:cs="Arial"/>
                <w:b/>
                <w:color w:val="222222"/>
                <w:sz w:val="18"/>
                <w:szCs w:val="18"/>
              </w:rPr>
            </w:pPr>
            <w:r w:rsidRPr="00EF3C6A">
              <w:rPr>
                <w:rFonts w:cs="Arial"/>
                <w:b/>
                <w:color w:val="222222"/>
                <w:sz w:val="18"/>
                <w:szCs w:val="18"/>
              </w:rPr>
              <w:t>TTD and PFS extrapolated separately in both arms</w:t>
            </w:r>
          </w:p>
        </w:tc>
      </w:tr>
      <w:tr w:rsidR="000725BE" w:rsidRPr="00EF3C6A" w:rsidTr="00CC5C03">
        <w:tc>
          <w:tcPr>
            <w:tcW w:w="2655" w:type="pct"/>
            <w:shd w:val="clear" w:color="auto" w:fill="auto"/>
            <w:vAlign w:val="center"/>
          </w:tcPr>
          <w:p w:rsidR="000725BE" w:rsidRPr="00EF3C6A" w:rsidRDefault="000725BE" w:rsidP="00CC5C03">
            <w:pPr>
              <w:pStyle w:val="Tabletext"/>
              <w:keepNext/>
              <w:keepLines/>
              <w:spacing w:before="20" w:after="20"/>
              <w:rPr>
                <w:rFonts w:cs="Arial"/>
                <w:color w:val="222222"/>
                <w:sz w:val="18"/>
                <w:szCs w:val="18"/>
              </w:rPr>
            </w:pPr>
            <w:r w:rsidRPr="00EF3C6A">
              <w:rPr>
                <w:rFonts w:cs="Arial"/>
                <w:color w:val="222222"/>
                <w:sz w:val="18"/>
                <w:szCs w:val="18"/>
                <w:u w:val="single"/>
              </w:rPr>
              <w:t>TTD curve adjusted</w:t>
            </w:r>
            <w:r w:rsidRPr="00EF3C6A">
              <w:rPr>
                <w:rFonts w:cs="Arial"/>
                <w:color w:val="222222"/>
                <w:sz w:val="18"/>
                <w:szCs w:val="18"/>
              </w:rPr>
              <w:t xml:space="preserve"> so that proportion on treatment at month </w:t>
            </w:r>
            <w:r w:rsidR="006068C2">
              <w:rPr>
                <w:rFonts w:cs="Arial"/>
                <w:noProof/>
                <w:color w:val="000000"/>
                <w:sz w:val="18"/>
                <w:szCs w:val="18"/>
                <w:highlight w:val="black"/>
              </w:rPr>
              <w:t>''''''</w:t>
            </w:r>
            <w:r w:rsidRPr="00EF3C6A">
              <w:rPr>
                <w:rFonts w:cs="Arial"/>
                <w:color w:val="222222"/>
                <w:sz w:val="18"/>
                <w:szCs w:val="18"/>
              </w:rPr>
              <w:t xml:space="preserve"> was:  </w:t>
            </w:r>
            <w:r w:rsidR="00B07F6B">
              <w:rPr>
                <w:rFonts w:cs="Arial"/>
                <w:noProof/>
                <w:color w:val="000000"/>
                <w:sz w:val="18"/>
                <w:szCs w:val="18"/>
                <w:highlight w:val="black"/>
              </w:rPr>
              <w:t>'''''''''''</w:t>
            </w:r>
            <w:r w:rsidRPr="00EF3C6A">
              <w:rPr>
                <w:rFonts w:cs="Arial"/>
                <w:color w:val="222222"/>
                <w:sz w:val="18"/>
                <w:szCs w:val="18"/>
              </w:rPr>
              <w:t xml:space="preserve"> for NIVO+IPI; and </w:t>
            </w:r>
            <w:r w:rsidR="00B07F6B">
              <w:rPr>
                <w:rFonts w:cs="Arial"/>
                <w:noProof/>
                <w:color w:val="000000"/>
                <w:sz w:val="18"/>
                <w:szCs w:val="18"/>
                <w:highlight w:val="black"/>
              </w:rPr>
              <w:t>''''''''''</w:t>
            </w:r>
            <w:r w:rsidRPr="00EF3C6A">
              <w:rPr>
                <w:rFonts w:cs="Arial"/>
                <w:color w:val="222222"/>
                <w:sz w:val="18"/>
                <w:szCs w:val="18"/>
              </w:rPr>
              <w:t xml:space="preserve"> for </w:t>
            </w:r>
            <w:proofErr w:type="spellStart"/>
            <w:r w:rsidRPr="00EF3C6A">
              <w:rPr>
                <w:rFonts w:cs="Arial"/>
                <w:color w:val="222222"/>
                <w:sz w:val="18"/>
                <w:szCs w:val="18"/>
              </w:rPr>
              <w:t>sunitinib</w:t>
            </w:r>
            <w:proofErr w:type="spellEnd"/>
            <w:r w:rsidRPr="00EF3C6A">
              <w:rPr>
                <w:rFonts w:cs="Arial"/>
                <w:color w:val="222222"/>
                <w:sz w:val="18"/>
                <w:szCs w:val="18"/>
              </w:rPr>
              <w:t xml:space="preserve"> </w:t>
            </w:r>
            <w:r w:rsidRPr="00EF3C6A">
              <w:rPr>
                <w:rFonts w:cs="Arial"/>
                <w:color w:val="222222"/>
                <w:sz w:val="18"/>
                <w:szCs w:val="18"/>
                <w:vertAlign w:val="superscript"/>
              </w:rPr>
              <w:t>a</w:t>
            </w:r>
          </w:p>
        </w:tc>
        <w:tc>
          <w:tcPr>
            <w:tcW w:w="453" w:type="pct"/>
            <w:shd w:val="clear" w:color="auto" w:fill="auto"/>
          </w:tcPr>
          <w:p w:rsidR="000725BE" w:rsidRPr="00EF3C6A" w:rsidRDefault="000725BE" w:rsidP="00F10AED">
            <w:pPr>
              <w:pStyle w:val="Tabletext"/>
              <w:keepNext/>
              <w:keepLines/>
              <w:spacing w:before="20" w:after="20"/>
              <w:jc w:val="center"/>
              <w:rPr>
                <w:rFonts w:cs="Arial"/>
                <w:color w:val="222222"/>
                <w:sz w:val="18"/>
                <w:szCs w:val="18"/>
              </w:rPr>
            </w:pPr>
            <w:r w:rsidRPr="00EF3C6A">
              <w:t>$</w:t>
            </w:r>
            <w:r w:rsidR="00B07F6B">
              <w:rPr>
                <w:noProof/>
                <w:color w:val="000000"/>
                <w:highlight w:val="black"/>
              </w:rPr>
              <w:t>''''''''''''''''</w:t>
            </w:r>
          </w:p>
        </w:tc>
        <w:tc>
          <w:tcPr>
            <w:tcW w:w="378" w:type="pct"/>
            <w:shd w:val="clear" w:color="auto" w:fill="auto"/>
          </w:tcPr>
          <w:p w:rsidR="000725BE" w:rsidRPr="00B07F6B" w:rsidRDefault="00B07F6B" w:rsidP="00F10AED">
            <w:pPr>
              <w:pStyle w:val="Tabletext"/>
              <w:keepNext/>
              <w:keepLines/>
              <w:spacing w:before="20" w:after="20"/>
              <w:jc w:val="center"/>
              <w:rPr>
                <w:rFonts w:cs="Arial"/>
                <w:color w:val="222222"/>
                <w:sz w:val="18"/>
                <w:szCs w:val="18"/>
                <w:highlight w:val="black"/>
              </w:rPr>
            </w:pPr>
            <w:r>
              <w:rPr>
                <w:noProof/>
                <w:color w:val="000000"/>
                <w:highlight w:val="black"/>
              </w:rPr>
              <w:t>'''''''''''</w:t>
            </w:r>
          </w:p>
        </w:tc>
        <w:tc>
          <w:tcPr>
            <w:tcW w:w="302" w:type="pct"/>
            <w:shd w:val="clear" w:color="auto" w:fill="auto"/>
          </w:tcPr>
          <w:p w:rsidR="000725BE" w:rsidRPr="00B07F6B" w:rsidRDefault="00B07F6B" w:rsidP="00F10AED">
            <w:pPr>
              <w:pStyle w:val="Tabletext"/>
              <w:keepNext/>
              <w:keepLines/>
              <w:spacing w:before="20" w:after="20"/>
              <w:jc w:val="center"/>
              <w:rPr>
                <w:rFonts w:cs="Arial"/>
                <w:color w:val="222222"/>
                <w:sz w:val="18"/>
                <w:szCs w:val="18"/>
                <w:highlight w:val="black"/>
              </w:rPr>
            </w:pPr>
            <w:r>
              <w:rPr>
                <w:noProof/>
                <w:color w:val="000000"/>
                <w:highlight w:val="black"/>
              </w:rPr>
              <w:t>''''''''''''</w:t>
            </w:r>
          </w:p>
        </w:tc>
        <w:tc>
          <w:tcPr>
            <w:tcW w:w="452" w:type="pct"/>
            <w:shd w:val="clear" w:color="auto" w:fill="auto"/>
          </w:tcPr>
          <w:p w:rsidR="000725BE" w:rsidRPr="00EF3C6A" w:rsidRDefault="000725BE" w:rsidP="00F10AED">
            <w:pPr>
              <w:pStyle w:val="Tabletext"/>
              <w:keepNext/>
              <w:keepLines/>
              <w:spacing w:before="20" w:after="20"/>
              <w:jc w:val="center"/>
              <w:rPr>
                <w:rFonts w:cs="Arial"/>
                <w:color w:val="222222"/>
                <w:sz w:val="18"/>
                <w:szCs w:val="18"/>
              </w:rPr>
            </w:pPr>
            <w:r w:rsidRPr="00EF3C6A">
              <w:t>$</w:t>
            </w:r>
            <w:r w:rsidR="00B07F6B">
              <w:rPr>
                <w:noProof/>
                <w:color w:val="000000"/>
                <w:highlight w:val="black"/>
              </w:rPr>
              <w:t>'''''''''''''''''</w:t>
            </w:r>
          </w:p>
        </w:tc>
        <w:tc>
          <w:tcPr>
            <w:tcW w:w="404" w:type="pct"/>
            <w:shd w:val="clear" w:color="auto" w:fill="auto"/>
          </w:tcPr>
          <w:p w:rsidR="000725BE" w:rsidRPr="00EF3C6A" w:rsidRDefault="000725BE" w:rsidP="00F10AED">
            <w:pPr>
              <w:pStyle w:val="Tabletext"/>
              <w:keepNext/>
              <w:keepLines/>
              <w:spacing w:before="20" w:after="20"/>
              <w:jc w:val="center"/>
              <w:rPr>
                <w:rFonts w:cs="Arial"/>
                <w:color w:val="222222"/>
                <w:sz w:val="18"/>
                <w:szCs w:val="18"/>
              </w:rPr>
            </w:pPr>
            <w:r w:rsidRPr="00EF3C6A">
              <w:t>$</w:t>
            </w:r>
            <w:r w:rsidR="00B07F6B">
              <w:rPr>
                <w:noProof/>
                <w:color w:val="000000"/>
                <w:highlight w:val="black"/>
              </w:rPr>
              <w:t>''''''''''''''''</w:t>
            </w:r>
          </w:p>
        </w:tc>
        <w:tc>
          <w:tcPr>
            <w:tcW w:w="356" w:type="pct"/>
            <w:shd w:val="clear" w:color="auto" w:fill="auto"/>
          </w:tcPr>
          <w:p w:rsidR="000725BE" w:rsidRPr="00EF3C6A" w:rsidRDefault="00B07F6B" w:rsidP="00F10AED">
            <w:pPr>
              <w:pStyle w:val="Tabletext"/>
              <w:keepNext/>
              <w:keepLines/>
              <w:spacing w:before="20" w:after="20"/>
              <w:jc w:val="center"/>
              <w:rPr>
                <w:rFonts w:cs="Arial"/>
                <w:color w:val="222222"/>
                <w:sz w:val="18"/>
                <w:szCs w:val="18"/>
              </w:rPr>
            </w:pPr>
            <w:r>
              <w:rPr>
                <w:noProof/>
                <w:color w:val="000000"/>
                <w:highlight w:val="black"/>
              </w:rPr>
              <w:t>''''''''''</w:t>
            </w:r>
            <w:r w:rsidR="000725BE" w:rsidRPr="00EF3C6A">
              <w:t>%</w:t>
            </w:r>
          </w:p>
        </w:tc>
      </w:tr>
      <w:tr w:rsidR="000725BE" w:rsidRPr="00EF3C6A" w:rsidTr="004A0911">
        <w:trPr>
          <w:trHeight w:val="70"/>
        </w:trPr>
        <w:tc>
          <w:tcPr>
            <w:tcW w:w="5000" w:type="pct"/>
            <w:gridSpan w:val="7"/>
          </w:tcPr>
          <w:p w:rsidR="000725BE" w:rsidRPr="00EF3C6A" w:rsidRDefault="000725BE" w:rsidP="006220D3">
            <w:pPr>
              <w:pStyle w:val="Tabletext"/>
              <w:keepNext/>
              <w:keepLines/>
              <w:spacing w:before="20" w:after="20"/>
              <w:rPr>
                <w:rFonts w:cs="Arial"/>
                <w:b/>
                <w:color w:val="222222"/>
                <w:sz w:val="18"/>
                <w:szCs w:val="18"/>
              </w:rPr>
            </w:pPr>
            <w:r w:rsidRPr="00EF3C6A">
              <w:rPr>
                <w:b/>
                <w:sz w:val="18"/>
                <w:szCs w:val="18"/>
              </w:rPr>
              <w:t>Health state utilities</w:t>
            </w:r>
            <w:r w:rsidRPr="00EF3C6A">
              <w:rPr>
                <w:sz w:val="18"/>
                <w:szCs w:val="18"/>
              </w:rPr>
              <w:t xml:space="preserve">. </w:t>
            </w:r>
            <w:r w:rsidRPr="00EF3C6A">
              <w:rPr>
                <w:b/>
                <w:sz w:val="18"/>
                <w:szCs w:val="18"/>
              </w:rPr>
              <w:t xml:space="preserve">Base case: </w:t>
            </w:r>
            <w:r w:rsidRPr="00EF3C6A">
              <w:rPr>
                <w:b/>
                <w:sz w:val="18"/>
                <w:szCs w:val="18"/>
                <w:u w:val="single"/>
              </w:rPr>
              <w:t>NIVO+IPI</w:t>
            </w:r>
            <w:r w:rsidRPr="00EF3C6A">
              <w:rPr>
                <w:b/>
                <w:sz w:val="18"/>
                <w:szCs w:val="18"/>
              </w:rPr>
              <w:t xml:space="preserve">: PF: </w:t>
            </w:r>
            <w:r w:rsidR="006068C2">
              <w:rPr>
                <w:b/>
                <w:noProof/>
                <w:color w:val="000000"/>
                <w:sz w:val="18"/>
                <w:szCs w:val="18"/>
                <w:highlight w:val="black"/>
              </w:rPr>
              <w:t>''''''''</w:t>
            </w:r>
            <w:r w:rsidRPr="00EF3C6A">
              <w:rPr>
                <w:b/>
                <w:sz w:val="18"/>
                <w:szCs w:val="18"/>
              </w:rPr>
              <w:t xml:space="preserve">, PD: </w:t>
            </w:r>
            <w:r w:rsidR="006068C2">
              <w:rPr>
                <w:b/>
                <w:noProof/>
                <w:color w:val="000000"/>
                <w:sz w:val="18"/>
                <w:szCs w:val="18"/>
                <w:highlight w:val="black"/>
              </w:rPr>
              <w:t>''''''''</w:t>
            </w:r>
            <w:r w:rsidRPr="00EF3C6A">
              <w:rPr>
                <w:b/>
                <w:sz w:val="18"/>
                <w:szCs w:val="18"/>
              </w:rPr>
              <w:t xml:space="preserve">; </w:t>
            </w:r>
            <w:r w:rsidRPr="00EF3C6A">
              <w:rPr>
                <w:b/>
                <w:sz w:val="18"/>
                <w:szCs w:val="18"/>
                <w:u w:val="single"/>
              </w:rPr>
              <w:t>SUNI</w:t>
            </w:r>
            <w:r w:rsidRPr="00EF3C6A">
              <w:rPr>
                <w:b/>
                <w:sz w:val="18"/>
                <w:szCs w:val="18"/>
              </w:rPr>
              <w:t>: PF:</w:t>
            </w:r>
            <w:r w:rsidR="006068C2">
              <w:rPr>
                <w:b/>
                <w:noProof/>
                <w:color w:val="000000"/>
                <w:sz w:val="18"/>
                <w:szCs w:val="18"/>
                <w:highlight w:val="black"/>
              </w:rPr>
              <w:t>''''''''</w:t>
            </w:r>
            <w:r w:rsidRPr="00EF3C6A">
              <w:rPr>
                <w:b/>
                <w:sz w:val="18"/>
                <w:szCs w:val="18"/>
              </w:rPr>
              <w:t xml:space="preserve">, PD </w:t>
            </w:r>
            <w:r w:rsidR="006068C2">
              <w:rPr>
                <w:b/>
                <w:noProof/>
                <w:color w:val="000000"/>
                <w:sz w:val="18"/>
                <w:szCs w:val="18"/>
                <w:highlight w:val="black"/>
              </w:rPr>
              <w:t>''''''''</w:t>
            </w:r>
          </w:p>
        </w:tc>
      </w:tr>
      <w:tr w:rsidR="000725BE" w:rsidRPr="00EF3C6A" w:rsidTr="00CC5C03">
        <w:trPr>
          <w:trHeight w:val="355"/>
        </w:trPr>
        <w:tc>
          <w:tcPr>
            <w:tcW w:w="2655" w:type="pct"/>
            <w:shd w:val="clear" w:color="auto" w:fill="auto"/>
            <w:vAlign w:val="center"/>
          </w:tcPr>
          <w:p w:rsidR="000725BE" w:rsidRPr="00EF3C6A" w:rsidRDefault="000725BE" w:rsidP="00F10AED">
            <w:pPr>
              <w:pStyle w:val="Tabletext"/>
              <w:keepNext/>
              <w:keepLines/>
              <w:spacing w:before="20" w:after="20"/>
              <w:rPr>
                <w:sz w:val="18"/>
                <w:szCs w:val="18"/>
                <w:highlight w:val="yellow"/>
              </w:rPr>
            </w:pPr>
            <w:r w:rsidRPr="00EF3C6A">
              <w:rPr>
                <w:sz w:val="18"/>
                <w:szCs w:val="18"/>
              </w:rPr>
              <w:t>PF and PD health state utilities set to PF:</w:t>
            </w:r>
            <w:r w:rsidR="00B07F6B">
              <w:rPr>
                <w:noProof/>
                <w:color w:val="000000"/>
                <w:sz w:val="18"/>
                <w:szCs w:val="18"/>
                <w:highlight w:val="black"/>
              </w:rPr>
              <w:t>'''''''''''</w:t>
            </w:r>
            <w:r w:rsidRPr="00EF3C6A">
              <w:rPr>
                <w:sz w:val="18"/>
                <w:szCs w:val="18"/>
              </w:rPr>
              <w:t>, PD</w:t>
            </w:r>
            <w:r w:rsidR="00B07F6B">
              <w:rPr>
                <w:noProof/>
                <w:color w:val="000000"/>
                <w:sz w:val="18"/>
                <w:szCs w:val="18"/>
                <w:highlight w:val="black"/>
              </w:rPr>
              <w:t>''''''''''''</w:t>
            </w:r>
            <w:r w:rsidRPr="00EF3C6A">
              <w:rPr>
                <w:sz w:val="18"/>
                <w:szCs w:val="18"/>
              </w:rPr>
              <w:t xml:space="preserve"> (utilities based on </w:t>
            </w:r>
            <w:proofErr w:type="spellStart"/>
            <w:r w:rsidRPr="00EF3C6A">
              <w:rPr>
                <w:sz w:val="18"/>
                <w:szCs w:val="18"/>
              </w:rPr>
              <w:t>sunitinib</w:t>
            </w:r>
            <w:proofErr w:type="spellEnd"/>
            <w:r w:rsidRPr="00EF3C6A">
              <w:rPr>
                <w:sz w:val="18"/>
                <w:szCs w:val="18"/>
              </w:rPr>
              <w:t xml:space="preserve"> arm from CA209214)^</w:t>
            </w:r>
          </w:p>
        </w:tc>
        <w:tc>
          <w:tcPr>
            <w:tcW w:w="453" w:type="pct"/>
            <w:shd w:val="clear" w:color="auto" w:fill="auto"/>
            <w:vAlign w:val="center"/>
          </w:tcPr>
          <w:p w:rsidR="000725BE" w:rsidRPr="00EF3C6A" w:rsidRDefault="000725BE" w:rsidP="00F10AED">
            <w:pPr>
              <w:pStyle w:val="Tabletext"/>
              <w:keepNext/>
              <w:keepLines/>
              <w:spacing w:before="20" w:after="20"/>
              <w:jc w:val="center"/>
              <w:rPr>
                <w:rFonts w:cs="Arial"/>
                <w:color w:val="222222"/>
                <w:sz w:val="18"/>
                <w:szCs w:val="18"/>
              </w:rPr>
            </w:pPr>
            <w:r w:rsidRPr="00EF3C6A">
              <w:rPr>
                <w:rFonts w:cs="Arial"/>
                <w:color w:val="222222"/>
                <w:sz w:val="18"/>
                <w:szCs w:val="18"/>
              </w:rPr>
              <w:t>$</w:t>
            </w:r>
            <w:r w:rsidR="00B07F6B">
              <w:rPr>
                <w:rFonts w:cs="Arial"/>
                <w:noProof/>
                <w:color w:val="000000"/>
                <w:sz w:val="18"/>
                <w:szCs w:val="18"/>
                <w:highlight w:val="black"/>
              </w:rPr>
              <w:t>''''''''''''''''</w:t>
            </w:r>
          </w:p>
        </w:tc>
        <w:tc>
          <w:tcPr>
            <w:tcW w:w="378" w:type="pct"/>
            <w:shd w:val="clear" w:color="auto" w:fill="auto"/>
            <w:vAlign w:val="center"/>
          </w:tcPr>
          <w:p w:rsidR="000725BE" w:rsidRPr="00B07F6B" w:rsidRDefault="00B07F6B" w:rsidP="00F10AED">
            <w:pPr>
              <w:pStyle w:val="Tabletext"/>
              <w:keepNext/>
              <w:keepLines/>
              <w:spacing w:before="20" w:after="20"/>
              <w:jc w:val="center"/>
              <w:rPr>
                <w:sz w:val="18"/>
                <w:szCs w:val="18"/>
                <w:highlight w:val="black"/>
              </w:rPr>
            </w:pPr>
            <w:r>
              <w:rPr>
                <w:rFonts w:cs="Arial"/>
                <w:noProof/>
                <w:color w:val="000000"/>
                <w:sz w:val="18"/>
                <w:szCs w:val="18"/>
                <w:highlight w:val="black"/>
              </w:rPr>
              <w:t>''''''''''</w:t>
            </w:r>
          </w:p>
        </w:tc>
        <w:tc>
          <w:tcPr>
            <w:tcW w:w="302" w:type="pct"/>
            <w:shd w:val="clear" w:color="auto" w:fill="auto"/>
            <w:vAlign w:val="center"/>
          </w:tcPr>
          <w:p w:rsidR="000725BE" w:rsidRPr="00B07F6B" w:rsidRDefault="00B07F6B" w:rsidP="00F10AED">
            <w:pPr>
              <w:pStyle w:val="Tabletext"/>
              <w:keepNext/>
              <w:keepLines/>
              <w:spacing w:before="20" w:after="20"/>
              <w:jc w:val="center"/>
              <w:rPr>
                <w:sz w:val="18"/>
                <w:szCs w:val="18"/>
                <w:highlight w:val="black"/>
              </w:rPr>
            </w:pPr>
            <w:r>
              <w:rPr>
                <w:rFonts w:cs="Arial"/>
                <w:noProof/>
                <w:color w:val="000000"/>
                <w:sz w:val="18"/>
                <w:szCs w:val="18"/>
                <w:highlight w:val="black"/>
              </w:rPr>
              <w:t>'''''''''</w:t>
            </w:r>
          </w:p>
        </w:tc>
        <w:tc>
          <w:tcPr>
            <w:tcW w:w="452" w:type="pct"/>
            <w:shd w:val="clear" w:color="auto" w:fill="auto"/>
            <w:vAlign w:val="center"/>
          </w:tcPr>
          <w:p w:rsidR="000725BE" w:rsidRPr="00EF3C6A" w:rsidRDefault="000725BE" w:rsidP="00F10AED">
            <w:pPr>
              <w:pStyle w:val="Tabletext"/>
              <w:keepNext/>
              <w:keepLines/>
              <w:spacing w:before="20" w:after="20"/>
              <w:jc w:val="center"/>
              <w:rPr>
                <w:sz w:val="18"/>
                <w:szCs w:val="18"/>
                <w:highlight w:val="yellow"/>
              </w:rPr>
            </w:pPr>
            <w:r w:rsidRPr="00EF3C6A">
              <w:rPr>
                <w:rFonts w:cs="Arial"/>
                <w:color w:val="222222"/>
                <w:sz w:val="18"/>
                <w:szCs w:val="18"/>
              </w:rPr>
              <w:t>$</w:t>
            </w:r>
            <w:r w:rsidR="00B07F6B">
              <w:rPr>
                <w:rFonts w:cs="Arial"/>
                <w:noProof/>
                <w:color w:val="000000"/>
                <w:sz w:val="18"/>
                <w:szCs w:val="18"/>
                <w:highlight w:val="black"/>
              </w:rPr>
              <w:t>''''''''''''''''''</w:t>
            </w:r>
          </w:p>
        </w:tc>
        <w:tc>
          <w:tcPr>
            <w:tcW w:w="404" w:type="pct"/>
            <w:shd w:val="clear" w:color="auto" w:fill="auto"/>
            <w:vAlign w:val="center"/>
          </w:tcPr>
          <w:p w:rsidR="000725BE" w:rsidRPr="00EF3C6A" w:rsidRDefault="000725BE" w:rsidP="00F10AED">
            <w:pPr>
              <w:pStyle w:val="Tabletext"/>
              <w:keepNext/>
              <w:keepLines/>
              <w:spacing w:before="20" w:after="20"/>
              <w:jc w:val="center"/>
              <w:rPr>
                <w:sz w:val="18"/>
                <w:szCs w:val="18"/>
                <w:highlight w:val="yellow"/>
              </w:rPr>
            </w:pPr>
            <w:r w:rsidRPr="00EF3C6A">
              <w:rPr>
                <w:rFonts w:cs="Arial"/>
                <w:color w:val="222222"/>
                <w:sz w:val="18"/>
                <w:szCs w:val="18"/>
              </w:rPr>
              <w:t>$</w:t>
            </w:r>
            <w:r w:rsidR="00B07F6B">
              <w:rPr>
                <w:rFonts w:cs="Arial"/>
                <w:noProof/>
                <w:color w:val="000000"/>
                <w:sz w:val="18"/>
                <w:szCs w:val="18"/>
                <w:highlight w:val="black"/>
              </w:rPr>
              <w:t>''''''''''''''''</w:t>
            </w:r>
          </w:p>
        </w:tc>
        <w:tc>
          <w:tcPr>
            <w:tcW w:w="356" w:type="pct"/>
            <w:shd w:val="clear" w:color="auto" w:fill="auto"/>
            <w:vAlign w:val="center"/>
          </w:tcPr>
          <w:p w:rsidR="000725BE" w:rsidRPr="00EF3C6A" w:rsidRDefault="00B07F6B" w:rsidP="00F10AED">
            <w:pPr>
              <w:pStyle w:val="Tabletext"/>
              <w:keepNext/>
              <w:keepLines/>
              <w:spacing w:before="20" w:after="20"/>
              <w:jc w:val="center"/>
              <w:rPr>
                <w:sz w:val="18"/>
                <w:szCs w:val="18"/>
                <w:highlight w:val="yellow"/>
              </w:rPr>
            </w:pPr>
            <w:r>
              <w:rPr>
                <w:rFonts w:cs="Arial"/>
                <w:noProof/>
                <w:color w:val="000000"/>
                <w:sz w:val="18"/>
                <w:szCs w:val="18"/>
                <w:highlight w:val="black"/>
              </w:rPr>
              <w:t>''''''</w:t>
            </w:r>
            <w:r w:rsidR="000725BE" w:rsidRPr="00EF3C6A">
              <w:rPr>
                <w:rFonts w:cs="Arial"/>
                <w:color w:val="222222"/>
                <w:sz w:val="18"/>
                <w:szCs w:val="18"/>
              </w:rPr>
              <w:t>%</w:t>
            </w:r>
          </w:p>
        </w:tc>
      </w:tr>
      <w:tr w:rsidR="000725BE" w:rsidRPr="00EF3C6A" w:rsidTr="00CC5C03">
        <w:tc>
          <w:tcPr>
            <w:tcW w:w="2655" w:type="pct"/>
            <w:shd w:val="clear" w:color="auto" w:fill="auto"/>
            <w:vAlign w:val="center"/>
          </w:tcPr>
          <w:p w:rsidR="000725BE" w:rsidRPr="00EF3C6A" w:rsidRDefault="000725BE" w:rsidP="00F10AED">
            <w:pPr>
              <w:pStyle w:val="Tabletext"/>
              <w:keepNext/>
              <w:keepLines/>
              <w:spacing w:before="20" w:after="20"/>
              <w:rPr>
                <w:sz w:val="18"/>
                <w:szCs w:val="18"/>
              </w:rPr>
            </w:pPr>
            <w:r w:rsidRPr="00EF3C6A">
              <w:rPr>
                <w:sz w:val="18"/>
                <w:szCs w:val="18"/>
              </w:rPr>
              <w:t>PF and PD health state utilities set as average of PF and PD health state utilities from the literature, as calculated by the submission (PF =</w:t>
            </w:r>
            <w:r w:rsidR="00B07F6B">
              <w:rPr>
                <w:noProof/>
                <w:color w:val="000000"/>
                <w:sz w:val="18"/>
                <w:szCs w:val="18"/>
                <w:highlight w:val="black"/>
              </w:rPr>
              <w:t>'''''''''''''</w:t>
            </w:r>
            <w:r w:rsidRPr="00EF3C6A">
              <w:rPr>
                <w:sz w:val="18"/>
                <w:szCs w:val="18"/>
              </w:rPr>
              <w:t xml:space="preserve">, PD = </w:t>
            </w:r>
            <w:r w:rsidR="00B07F6B">
              <w:rPr>
                <w:noProof/>
                <w:color w:val="000000"/>
                <w:sz w:val="18"/>
                <w:szCs w:val="18"/>
                <w:highlight w:val="black"/>
              </w:rPr>
              <w:t>''''''''''''</w:t>
            </w:r>
            <w:r w:rsidRPr="00EF3C6A">
              <w:rPr>
                <w:sz w:val="18"/>
                <w:szCs w:val="18"/>
              </w:rPr>
              <w:t>)^</w:t>
            </w:r>
          </w:p>
        </w:tc>
        <w:tc>
          <w:tcPr>
            <w:tcW w:w="453" w:type="pct"/>
            <w:shd w:val="clear" w:color="auto" w:fill="auto"/>
          </w:tcPr>
          <w:p w:rsidR="000725BE" w:rsidRPr="00EF3C6A" w:rsidRDefault="000725BE" w:rsidP="00F10AED">
            <w:pPr>
              <w:pStyle w:val="Tabletext"/>
              <w:keepNext/>
              <w:keepLines/>
              <w:spacing w:before="20" w:after="20"/>
              <w:jc w:val="center"/>
              <w:rPr>
                <w:rFonts w:cs="Arial"/>
                <w:color w:val="222222"/>
                <w:sz w:val="18"/>
                <w:szCs w:val="18"/>
              </w:rPr>
            </w:pPr>
            <w:r w:rsidRPr="00EF3C6A">
              <w:rPr>
                <w:rFonts w:cs="Arial"/>
                <w:color w:val="222222"/>
                <w:sz w:val="18"/>
                <w:szCs w:val="18"/>
              </w:rPr>
              <w:t>$</w:t>
            </w:r>
            <w:r w:rsidR="00B07F6B">
              <w:rPr>
                <w:rFonts w:cs="Arial"/>
                <w:noProof/>
                <w:color w:val="000000"/>
                <w:sz w:val="18"/>
                <w:szCs w:val="18"/>
                <w:highlight w:val="black"/>
              </w:rPr>
              <w:t>''''''''''''''''''</w:t>
            </w:r>
          </w:p>
        </w:tc>
        <w:tc>
          <w:tcPr>
            <w:tcW w:w="378" w:type="pct"/>
            <w:shd w:val="clear" w:color="auto" w:fill="auto"/>
          </w:tcPr>
          <w:p w:rsidR="000725BE" w:rsidRPr="00B07F6B" w:rsidRDefault="00B07F6B" w:rsidP="00F10AED">
            <w:pPr>
              <w:pStyle w:val="Tabletext"/>
              <w:keepNext/>
              <w:keepLines/>
              <w:spacing w:before="20" w:after="20"/>
              <w:jc w:val="center"/>
              <w:rPr>
                <w:rFonts w:cs="Arial"/>
                <w:color w:val="222222"/>
                <w:sz w:val="18"/>
                <w:szCs w:val="18"/>
                <w:highlight w:val="black"/>
              </w:rPr>
            </w:pPr>
            <w:r>
              <w:rPr>
                <w:rFonts w:cs="Arial"/>
                <w:noProof/>
                <w:color w:val="000000"/>
                <w:sz w:val="18"/>
                <w:szCs w:val="18"/>
                <w:highlight w:val="black"/>
              </w:rPr>
              <w:t>'''''''''''</w:t>
            </w:r>
          </w:p>
        </w:tc>
        <w:tc>
          <w:tcPr>
            <w:tcW w:w="302" w:type="pct"/>
            <w:shd w:val="clear" w:color="auto" w:fill="auto"/>
          </w:tcPr>
          <w:p w:rsidR="000725BE" w:rsidRPr="00B07F6B" w:rsidRDefault="00B07F6B" w:rsidP="00F10AED">
            <w:pPr>
              <w:pStyle w:val="Tabletext"/>
              <w:keepNext/>
              <w:keepLines/>
              <w:spacing w:before="20" w:after="20"/>
              <w:jc w:val="center"/>
              <w:rPr>
                <w:rFonts w:cs="Arial"/>
                <w:color w:val="222222"/>
                <w:sz w:val="18"/>
                <w:szCs w:val="18"/>
                <w:highlight w:val="black"/>
              </w:rPr>
            </w:pPr>
            <w:r>
              <w:rPr>
                <w:rFonts w:cs="Arial"/>
                <w:noProof/>
                <w:color w:val="000000"/>
                <w:sz w:val="18"/>
                <w:szCs w:val="18"/>
                <w:highlight w:val="black"/>
              </w:rPr>
              <w:t>''''''''''</w:t>
            </w:r>
          </w:p>
        </w:tc>
        <w:tc>
          <w:tcPr>
            <w:tcW w:w="452" w:type="pct"/>
            <w:shd w:val="clear" w:color="auto" w:fill="auto"/>
          </w:tcPr>
          <w:p w:rsidR="000725BE" w:rsidRPr="00EF3C6A" w:rsidRDefault="000725BE" w:rsidP="00F10AED">
            <w:pPr>
              <w:pStyle w:val="Tabletext"/>
              <w:keepNext/>
              <w:keepLines/>
              <w:spacing w:before="20" w:after="20"/>
              <w:jc w:val="center"/>
              <w:rPr>
                <w:rFonts w:cs="Arial"/>
                <w:color w:val="222222"/>
                <w:sz w:val="18"/>
                <w:szCs w:val="18"/>
              </w:rPr>
            </w:pPr>
            <w:r w:rsidRPr="00EF3C6A">
              <w:rPr>
                <w:rFonts w:cs="Arial"/>
                <w:color w:val="222222"/>
                <w:sz w:val="18"/>
                <w:szCs w:val="18"/>
              </w:rPr>
              <w:t>$</w:t>
            </w:r>
            <w:r w:rsidR="00B07F6B">
              <w:rPr>
                <w:rFonts w:cs="Arial"/>
                <w:noProof/>
                <w:color w:val="000000"/>
                <w:sz w:val="18"/>
                <w:szCs w:val="18"/>
                <w:highlight w:val="black"/>
              </w:rPr>
              <w:t>'''''''''''''''</w:t>
            </w:r>
          </w:p>
        </w:tc>
        <w:tc>
          <w:tcPr>
            <w:tcW w:w="404" w:type="pct"/>
            <w:shd w:val="clear" w:color="auto" w:fill="auto"/>
          </w:tcPr>
          <w:p w:rsidR="000725BE" w:rsidRPr="00EF3C6A" w:rsidRDefault="000725BE" w:rsidP="00F10AED">
            <w:pPr>
              <w:pStyle w:val="Tabletext"/>
              <w:keepNext/>
              <w:keepLines/>
              <w:spacing w:before="20" w:after="20"/>
              <w:jc w:val="center"/>
              <w:rPr>
                <w:rFonts w:cs="Arial"/>
                <w:color w:val="222222"/>
                <w:sz w:val="18"/>
                <w:szCs w:val="18"/>
              </w:rPr>
            </w:pPr>
            <w:r w:rsidRPr="00EF3C6A">
              <w:rPr>
                <w:rFonts w:cs="Arial"/>
                <w:color w:val="222222"/>
                <w:sz w:val="18"/>
                <w:szCs w:val="18"/>
              </w:rPr>
              <w:t>$</w:t>
            </w:r>
            <w:r w:rsidR="00B07F6B">
              <w:rPr>
                <w:rFonts w:cs="Arial"/>
                <w:noProof/>
                <w:color w:val="000000"/>
                <w:sz w:val="18"/>
                <w:szCs w:val="18"/>
                <w:highlight w:val="black"/>
              </w:rPr>
              <w:t>'''''''''''''''</w:t>
            </w:r>
          </w:p>
        </w:tc>
        <w:tc>
          <w:tcPr>
            <w:tcW w:w="356" w:type="pct"/>
            <w:shd w:val="clear" w:color="auto" w:fill="auto"/>
          </w:tcPr>
          <w:p w:rsidR="000725BE" w:rsidRPr="00EF3C6A" w:rsidRDefault="00B07F6B" w:rsidP="00F10AED">
            <w:pPr>
              <w:pStyle w:val="Tabletext"/>
              <w:keepNext/>
              <w:keepLines/>
              <w:spacing w:before="20" w:after="20"/>
              <w:jc w:val="center"/>
              <w:rPr>
                <w:rFonts w:cs="Arial"/>
                <w:color w:val="222222"/>
                <w:sz w:val="18"/>
                <w:szCs w:val="18"/>
              </w:rPr>
            </w:pPr>
            <w:r>
              <w:rPr>
                <w:rFonts w:cs="Arial"/>
                <w:noProof/>
                <w:color w:val="000000"/>
                <w:sz w:val="18"/>
                <w:szCs w:val="18"/>
                <w:highlight w:val="black"/>
              </w:rPr>
              <w:t>'''''''</w:t>
            </w:r>
            <w:r w:rsidR="000725BE" w:rsidRPr="00EF3C6A">
              <w:rPr>
                <w:rFonts w:cs="Arial"/>
                <w:color w:val="222222"/>
                <w:sz w:val="18"/>
                <w:szCs w:val="18"/>
              </w:rPr>
              <w:t>%</w:t>
            </w:r>
          </w:p>
        </w:tc>
      </w:tr>
      <w:tr w:rsidR="000725BE" w:rsidRPr="00EF3C6A" w:rsidTr="004A0911">
        <w:tc>
          <w:tcPr>
            <w:tcW w:w="5000" w:type="pct"/>
            <w:gridSpan w:val="7"/>
          </w:tcPr>
          <w:p w:rsidR="000725BE" w:rsidRPr="00EF3C6A" w:rsidRDefault="000725BE" w:rsidP="00F10AED">
            <w:pPr>
              <w:pStyle w:val="Tabletext"/>
              <w:keepNext/>
              <w:keepLines/>
              <w:spacing w:before="20" w:after="20"/>
              <w:rPr>
                <w:sz w:val="18"/>
                <w:szCs w:val="18"/>
              </w:rPr>
            </w:pPr>
            <w:r w:rsidRPr="00EF3C6A">
              <w:rPr>
                <w:b/>
                <w:sz w:val="18"/>
                <w:szCs w:val="18"/>
              </w:rPr>
              <w:t>Multivariate analyses</w:t>
            </w:r>
          </w:p>
        </w:tc>
      </w:tr>
      <w:tr w:rsidR="000725BE" w:rsidRPr="00EF3C6A" w:rsidTr="004A0911">
        <w:tc>
          <w:tcPr>
            <w:tcW w:w="5000" w:type="pct"/>
            <w:gridSpan w:val="7"/>
          </w:tcPr>
          <w:p w:rsidR="000725BE" w:rsidRPr="00EF3C6A" w:rsidRDefault="000725BE" w:rsidP="00F10AED">
            <w:pPr>
              <w:pStyle w:val="Tabletext"/>
              <w:keepNext/>
              <w:keepLines/>
              <w:spacing w:before="20" w:after="20"/>
              <w:rPr>
                <w:sz w:val="18"/>
                <w:szCs w:val="18"/>
              </w:rPr>
            </w:pPr>
            <w:r w:rsidRPr="00EF3C6A">
              <w:rPr>
                <w:b/>
                <w:sz w:val="18"/>
                <w:szCs w:val="18"/>
              </w:rPr>
              <w:t>Extrapolation of PFS and OS; &amp; health state utilities ^</w:t>
            </w:r>
            <w:r w:rsidRPr="00EF3C6A">
              <w:rPr>
                <w:sz w:val="18"/>
                <w:szCs w:val="18"/>
              </w:rPr>
              <w:t xml:space="preserve"> </w:t>
            </w:r>
          </w:p>
          <w:p w:rsidR="000725BE" w:rsidRPr="00EF3C6A" w:rsidRDefault="000725BE" w:rsidP="002818CC">
            <w:pPr>
              <w:pStyle w:val="Tabletext"/>
              <w:keepNext/>
              <w:keepLines/>
              <w:spacing w:before="20" w:after="20"/>
              <w:rPr>
                <w:b/>
                <w:sz w:val="18"/>
                <w:szCs w:val="18"/>
              </w:rPr>
            </w:pPr>
            <w:r w:rsidRPr="00EF3C6A">
              <w:rPr>
                <w:sz w:val="18"/>
                <w:szCs w:val="18"/>
              </w:rPr>
              <w:t xml:space="preserve">Base case: Convergence of OS and PFS begins at </w:t>
            </w:r>
            <w:r w:rsidR="00B07F6B">
              <w:rPr>
                <w:noProof/>
                <w:color w:val="000000"/>
                <w:sz w:val="18"/>
                <w:szCs w:val="18"/>
                <w:highlight w:val="black"/>
              </w:rPr>
              <w:t>''''</w:t>
            </w:r>
            <w:r w:rsidRPr="00EF3C6A">
              <w:rPr>
                <w:sz w:val="18"/>
                <w:szCs w:val="18"/>
              </w:rPr>
              <w:t xml:space="preserve"> years and ends at </w:t>
            </w:r>
            <w:r w:rsidR="00B07F6B">
              <w:rPr>
                <w:noProof/>
                <w:color w:val="000000"/>
                <w:sz w:val="18"/>
                <w:szCs w:val="18"/>
                <w:highlight w:val="black"/>
              </w:rPr>
              <w:t>''''''</w:t>
            </w:r>
            <w:r w:rsidRPr="00EF3C6A">
              <w:rPr>
                <w:sz w:val="18"/>
                <w:szCs w:val="18"/>
              </w:rPr>
              <w:t xml:space="preserve"> years; Utilities treatment arm specific </w:t>
            </w:r>
            <w:r w:rsidRPr="00EF3C6A">
              <w:rPr>
                <w:sz w:val="18"/>
                <w:szCs w:val="18"/>
                <w:u w:val="single"/>
              </w:rPr>
              <w:t>NIVO+IPI</w:t>
            </w:r>
            <w:r w:rsidRPr="00EF3C6A">
              <w:rPr>
                <w:sz w:val="18"/>
                <w:szCs w:val="18"/>
              </w:rPr>
              <w:t xml:space="preserve">: PF: </w:t>
            </w:r>
            <w:r w:rsidR="00B07F6B">
              <w:rPr>
                <w:noProof/>
                <w:color w:val="000000"/>
                <w:sz w:val="18"/>
                <w:szCs w:val="18"/>
                <w:highlight w:val="black"/>
              </w:rPr>
              <w:t>'''''''''</w:t>
            </w:r>
            <w:r w:rsidRPr="00EF3C6A">
              <w:rPr>
                <w:sz w:val="18"/>
                <w:szCs w:val="18"/>
              </w:rPr>
              <w:t xml:space="preserve">, PD: </w:t>
            </w:r>
            <w:r w:rsidR="00B07F6B">
              <w:rPr>
                <w:noProof/>
                <w:color w:val="000000"/>
                <w:sz w:val="18"/>
                <w:szCs w:val="18"/>
                <w:highlight w:val="black"/>
              </w:rPr>
              <w:t>'''''''''''</w:t>
            </w:r>
            <w:r w:rsidRPr="00EF3C6A">
              <w:rPr>
                <w:sz w:val="18"/>
                <w:szCs w:val="18"/>
              </w:rPr>
              <w:t xml:space="preserve">; </w:t>
            </w:r>
            <w:r w:rsidRPr="00EF3C6A">
              <w:rPr>
                <w:sz w:val="18"/>
                <w:szCs w:val="18"/>
                <w:u w:val="single"/>
              </w:rPr>
              <w:t>SUNI</w:t>
            </w:r>
            <w:r w:rsidRPr="00EF3C6A">
              <w:rPr>
                <w:sz w:val="18"/>
                <w:szCs w:val="18"/>
              </w:rPr>
              <w:t>: PF:</w:t>
            </w:r>
            <w:r w:rsidR="00B07F6B">
              <w:rPr>
                <w:noProof/>
                <w:color w:val="000000"/>
                <w:sz w:val="18"/>
                <w:szCs w:val="18"/>
                <w:highlight w:val="black"/>
              </w:rPr>
              <w:t>''''''''''</w:t>
            </w:r>
            <w:r w:rsidRPr="00EF3C6A">
              <w:rPr>
                <w:sz w:val="18"/>
                <w:szCs w:val="18"/>
              </w:rPr>
              <w:t xml:space="preserve">, PD </w:t>
            </w:r>
            <w:r w:rsidR="00B07F6B">
              <w:rPr>
                <w:noProof/>
                <w:color w:val="000000"/>
                <w:sz w:val="18"/>
                <w:szCs w:val="18"/>
                <w:highlight w:val="black"/>
              </w:rPr>
              <w:t>'''''''''''</w:t>
            </w:r>
          </w:p>
        </w:tc>
      </w:tr>
      <w:tr w:rsidR="000725BE" w:rsidRPr="00EF3C6A" w:rsidTr="00CC5C03">
        <w:tc>
          <w:tcPr>
            <w:tcW w:w="2655" w:type="pct"/>
            <w:tcBorders>
              <w:left w:val="single" w:sz="4" w:space="0" w:color="auto"/>
              <w:right w:val="single" w:sz="4" w:space="0" w:color="auto"/>
            </w:tcBorders>
            <w:shd w:val="clear" w:color="auto" w:fill="auto"/>
            <w:vAlign w:val="center"/>
          </w:tcPr>
          <w:p w:rsidR="000725BE" w:rsidRPr="00EF3C6A" w:rsidRDefault="000725BE" w:rsidP="00F10AED">
            <w:pPr>
              <w:pStyle w:val="Tabletext"/>
              <w:keepNext/>
              <w:keepLines/>
              <w:spacing w:before="20" w:after="20"/>
              <w:rPr>
                <w:sz w:val="18"/>
                <w:szCs w:val="18"/>
              </w:rPr>
            </w:pPr>
            <w:r w:rsidRPr="00EF3C6A">
              <w:rPr>
                <w:sz w:val="18"/>
                <w:szCs w:val="18"/>
              </w:rPr>
              <w:t xml:space="preserve">Convergence begins at </w:t>
            </w:r>
            <w:r w:rsidR="00B07F6B">
              <w:rPr>
                <w:noProof/>
                <w:color w:val="000000"/>
                <w:sz w:val="18"/>
                <w:szCs w:val="18"/>
                <w:highlight w:val="black"/>
              </w:rPr>
              <w:t>''''''</w:t>
            </w:r>
            <w:r w:rsidRPr="00EF3C6A">
              <w:rPr>
                <w:sz w:val="18"/>
                <w:szCs w:val="18"/>
              </w:rPr>
              <w:t xml:space="preserve"> months and </w:t>
            </w:r>
            <w:r w:rsidRPr="00EF3C6A">
              <w:rPr>
                <w:sz w:val="18"/>
                <w:szCs w:val="18"/>
                <w:u w:val="single"/>
              </w:rPr>
              <w:t xml:space="preserve">ends at </w:t>
            </w:r>
            <w:r w:rsidR="00B07F6B">
              <w:rPr>
                <w:noProof/>
                <w:color w:val="000000"/>
                <w:sz w:val="18"/>
                <w:szCs w:val="18"/>
                <w:highlight w:val="black"/>
                <w:u w:val="single"/>
              </w:rPr>
              <w:t>''''''</w:t>
            </w:r>
            <w:r w:rsidRPr="00EF3C6A">
              <w:rPr>
                <w:sz w:val="18"/>
                <w:szCs w:val="18"/>
                <w:u w:val="single"/>
              </w:rPr>
              <w:t xml:space="preserve"> years</w:t>
            </w:r>
            <w:r w:rsidRPr="00EF3C6A">
              <w:rPr>
                <w:sz w:val="18"/>
                <w:szCs w:val="18"/>
              </w:rPr>
              <w:t xml:space="preserve">  for PFS and OS; Utilities in NIVO+IPI arm set equal to those in the </w:t>
            </w:r>
            <w:proofErr w:type="spellStart"/>
            <w:r w:rsidRPr="00EF3C6A">
              <w:rPr>
                <w:sz w:val="18"/>
                <w:szCs w:val="18"/>
              </w:rPr>
              <w:t>sunitinib</w:t>
            </w:r>
            <w:proofErr w:type="spellEnd"/>
            <w:r w:rsidRPr="00EF3C6A">
              <w:rPr>
                <w:sz w:val="18"/>
                <w:szCs w:val="18"/>
              </w:rPr>
              <w:t xml:space="preserve"> arm^</w:t>
            </w:r>
          </w:p>
        </w:tc>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rsidR="000725BE" w:rsidRPr="00EF3C6A" w:rsidRDefault="000725BE" w:rsidP="00F10AED">
            <w:pPr>
              <w:pStyle w:val="Tabletext"/>
              <w:keepNext/>
              <w:keepLines/>
              <w:spacing w:before="20" w:after="20"/>
              <w:jc w:val="center"/>
              <w:rPr>
                <w:rFonts w:cs="Arial"/>
                <w:color w:val="222222"/>
                <w:sz w:val="18"/>
                <w:szCs w:val="18"/>
              </w:rPr>
            </w:pPr>
            <w:r w:rsidRPr="00EF3C6A">
              <w:rPr>
                <w:rFonts w:cs="Arial"/>
                <w:color w:val="222222"/>
                <w:sz w:val="18"/>
                <w:szCs w:val="18"/>
              </w:rPr>
              <w:t>$</w:t>
            </w:r>
            <w:r w:rsidR="00B07F6B">
              <w:rPr>
                <w:rFonts w:cs="Arial"/>
                <w:noProof/>
                <w:color w:val="000000"/>
                <w:sz w:val="18"/>
                <w:szCs w:val="18"/>
                <w:highlight w:val="black"/>
              </w:rPr>
              <w:t>''''''''''''''''''</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rsidR="000725BE" w:rsidRPr="00B07F6B" w:rsidRDefault="00B07F6B" w:rsidP="00F10AED">
            <w:pPr>
              <w:pStyle w:val="Tabletext"/>
              <w:keepNext/>
              <w:keepLines/>
              <w:spacing w:before="20" w:after="20"/>
              <w:jc w:val="center"/>
              <w:rPr>
                <w:rFonts w:cs="Arial"/>
                <w:color w:val="222222"/>
                <w:sz w:val="18"/>
                <w:szCs w:val="18"/>
                <w:highlight w:val="black"/>
              </w:rPr>
            </w:pPr>
            <w:r>
              <w:rPr>
                <w:rFonts w:cs="Arial"/>
                <w:noProof/>
                <w:color w:val="000000"/>
                <w:sz w:val="18"/>
                <w:szCs w:val="18"/>
                <w:highlight w:val="black"/>
              </w:rPr>
              <w:t>'''''''''''</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rsidR="000725BE" w:rsidRPr="00B07F6B" w:rsidRDefault="00B07F6B" w:rsidP="00F10AED">
            <w:pPr>
              <w:pStyle w:val="Tabletext"/>
              <w:keepNext/>
              <w:keepLines/>
              <w:spacing w:before="20" w:after="20"/>
              <w:jc w:val="center"/>
              <w:rPr>
                <w:rFonts w:cs="Arial"/>
                <w:color w:val="222222"/>
                <w:sz w:val="18"/>
                <w:szCs w:val="18"/>
                <w:highlight w:val="black"/>
              </w:rPr>
            </w:pPr>
            <w:r>
              <w:rPr>
                <w:rFonts w:cs="Arial"/>
                <w:noProof/>
                <w:color w:val="000000"/>
                <w:sz w:val="18"/>
                <w:szCs w:val="18"/>
                <w:highlight w:val="black"/>
              </w:rPr>
              <w:t>'''''''''''</w:t>
            </w:r>
          </w:p>
        </w:tc>
        <w:tc>
          <w:tcPr>
            <w:tcW w:w="452" w:type="pct"/>
            <w:tcBorders>
              <w:top w:val="single" w:sz="4" w:space="0" w:color="auto"/>
              <w:left w:val="single" w:sz="4" w:space="0" w:color="auto"/>
              <w:bottom w:val="single" w:sz="4" w:space="0" w:color="auto"/>
              <w:right w:val="single" w:sz="4" w:space="0" w:color="auto"/>
            </w:tcBorders>
            <w:shd w:val="clear" w:color="auto" w:fill="auto"/>
            <w:vAlign w:val="center"/>
          </w:tcPr>
          <w:p w:rsidR="000725BE" w:rsidRPr="00EF3C6A" w:rsidRDefault="000725BE" w:rsidP="00F10AED">
            <w:pPr>
              <w:pStyle w:val="Tabletext"/>
              <w:keepNext/>
              <w:keepLines/>
              <w:spacing w:before="20" w:after="20"/>
              <w:jc w:val="center"/>
              <w:rPr>
                <w:rFonts w:cs="Arial"/>
                <w:color w:val="222222"/>
                <w:sz w:val="18"/>
                <w:szCs w:val="18"/>
              </w:rPr>
            </w:pPr>
            <w:r w:rsidRPr="00EF3C6A">
              <w:rPr>
                <w:rFonts w:cs="Arial"/>
                <w:color w:val="222222"/>
                <w:sz w:val="18"/>
                <w:szCs w:val="18"/>
              </w:rPr>
              <w:t>$</w:t>
            </w:r>
            <w:r w:rsidR="00B07F6B">
              <w:rPr>
                <w:rFonts w:cs="Arial"/>
                <w:noProof/>
                <w:color w:val="000000"/>
                <w:sz w:val="18"/>
                <w:szCs w:val="18"/>
                <w:highlight w:val="black"/>
              </w:rPr>
              <w:t>'''''''''''''''</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725BE" w:rsidRPr="00EF3C6A" w:rsidRDefault="000725BE" w:rsidP="00F10AED">
            <w:pPr>
              <w:pStyle w:val="Tabletext"/>
              <w:keepNext/>
              <w:keepLines/>
              <w:spacing w:before="20" w:after="20"/>
              <w:jc w:val="center"/>
              <w:rPr>
                <w:rFonts w:cs="Arial"/>
                <w:color w:val="222222"/>
                <w:sz w:val="18"/>
                <w:szCs w:val="18"/>
              </w:rPr>
            </w:pPr>
            <w:r w:rsidRPr="00EF3C6A">
              <w:rPr>
                <w:rFonts w:cs="Arial"/>
                <w:color w:val="222222"/>
                <w:sz w:val="18"/>
                <w:szCs w:val="18"/>
              </w:rPr>
              <w:t>$</w:t>
            </w:r>
            <w:r w:rsidR="00B07F6B">
              <w:rPr>
                <w:rFonts w:cs="Arial"/>
                <w:noProof/>
                <w:color w:val="000000"/>
                <w:sz w:val="18"/>
                <w:szCs w:val="18"/>
                <w:highlight w:val="black"/>
              </w:rPr>
              <w:t>''''''''''''''''''</w:t>
            </w:r>
          </w:p>
        </w:tc>
        <w:tc>
          <w:tcPr>
            <w:tcW w:w="356" w:type="pct"/>
            <w:tcBorders>
              <w:top w:val="single" w:sz="4" w:space="0" w:color="auto"/>
              <w:left w:val="single" w:sz="4" w:space="0" w:color="auto"/>
              <w:bottom w:val="single" w:sz="4" w:space="0" w:color="auto"/>
              <w:right w:val="single" w:sz="4" w:space="0" w:color="auto"/>
            </w:tcBorders>
            <w:shd w:val="clear" w:color="auto" w:fill="auto"/>
            <w:vAlign w:val="center"/>
          </w:tcPr>
          <w:p w:rsidR="000725BE" w:rsidRPr="00EF3C6A" w:rsidRDefault="00B07F6B" w:rsidP="00F10AED">
            <w:pPr>
              <w:pStyle w:val="Tabletext"/>
              <w:keepNext/>
              <w:keepLines/>
              <w:spacing w:before="20" w:after="20"/>
              <w:jc w:val="center"/>
              <w:rPr>
                <w:rFonts w:cs="Arial"/>
                <w:color w:val="222222"/>
                <w:sz w:val="18"/>
                <w:szCs w:val="18"/>
              </w:rPr>
            </w:pPr>
            <w:r>
              <w:rPr>
                <w:rFonts w:cs="Arial"/>
                <w:noProof/>
                <w:color w:val="000000"/>
                <w:sz w:val="18"/>
                <w:szCs w:val="18"/>
                <w:highlight w:val="black"/>
              </w:rPr>
              <w:t>''''''''''''</w:t>
            </w:r>
            <w:r w:rsidR="000725BE" w:rsidRPr="00EF3C6A">
              <w:rPr>
                <w:rFonts w:cs="Arial"/>
                <w:color w:val="222222"/>
                <w:sz w:val="18"/>
                <w:szCs w:val="18"/>
              </w:rPr>
              <w:t>%</w:t>
            </w:r>
          </w:p>
        </w:tc>
      </w:tr>
      <w:tr w:rsidR="000725BE" w:rsidRPr="00EF3C6A" w:rsidTr="00CC5C03">
        <w:tc>
          <w:tcPr>
            <w:tcW w:w="2655" w:type="pct"/>
            <w:tcBorders>
              <w:left w:val="single" w:sz="4" w:space="0" w:color="auto"/>
              <w:right w:val="single" w:sz="4" w:space="0" w:color="auto"/>
            </w:tcBorders>
            <w:shd w:val="clear" w:color="auto" w:fill="auto"/>
            <w:vAlign w:val="center"/>
          </w:tcPr>
          <w:p w:rsidR="000725BE" w:rsidRPr="00EF3C6A" w:rsidRDefault="000725BE" w:rsidP="00F10AED">
            <w:pPr>
              <w:pStyle w:val="Tabletext"/>
              <w:keepNext/>
              <w:keepLines/>
              <w:spacing w:before="20" w:after="20"/>
              <w:rPr>
                <w:sz w:val="18"/>
                <w:szCs w:val="18"/>
              </w:rPr>
            </w:pPr>
            <w:r w:rsidRPr="00EF3C6A">
              <w:rPr>
                <w:rFonts w:cs="Arial"/>
                <w:color w:val="222222"/>
                <w:sz w:val="18"/>
                <w:szCs w:val="18"/>
              </w:rPr>
              <w:t xml:space="preserve">Convergence begins at </w:t>
            </w:r>
            <w:r w:rsidR="00B07F6B">
              <w:rPr>
                <w:rFonts w:cs="Arial"/>
                <w:noProof/>
                <w:color w:val="000000"/>
                <w:sz w:val="18"/>
                <w:szCs w:val="18"/>
                <w:highlight w:val="black"/>
              </w:rPr>
              <w:t>'''''''</w:t>
            </w:r>
            <w:r w:rsidRPr="00EF3C6A">
              <w:rPr>
                <w:rFonts w:cs="Arial"/>
                <w:color w:val="222222"/>
                <w:sz w:val="18"/>
                <w:szCs w:val="18"/>
              </w:rPr>
              <w:t xml:space="preserve"> months and </w:t>
            </w:r>
            <w:r w:rsidRPr="00EF3C6A">
              <w:rPr>
                <w:rFonts w:cs="Arial"/>
                <w:color w:val="222222"/>
                <w:sz w:val="18"/>
                <w:szCs w:val="18"/>
                <w:u w:val="single"/>
              </w:rPr>
              <w:t xml:space="preserve">ends at </w:t>
            </w:r>
            <w:r w:rsidR="00B07F6B">
              <w:rPr>
                <w:rFonts w:cs="Arial"/>
                <w:noProof/>
                <w:color w:val="000000"/>
                <w:sz w:val="18"/>
                <w:szCs w:val="18"/>
                <w:highlight w:val="black"/>
                <w:u w:val="single"/>
              </w:rPr>
              <w:t>''''''</w:t>
            </w:r>
            <w:r w:rsidRPr="00EF3C6A">
              <w:rPr>
                <w:rFonts w:cs="Arial"/>
                <w:color w:val="222222"/>
                <w:sz w:val="18"/>
                <w:szCs w:val="18"/>
                <w:u w:val="single"/>
              </w:rPr>
              <w:t xml:space="preserve"> years</w:t>
            </w:r>
            <w:r w:rsidRPr="00EF3C6A">
              <w:rPr>
                <w:rFonts w:cs="Arial"/>
                <w:color w:val="222222"/>
                <w:sz w:val="18"/>
                <w:szCs w:val="18"/>
              </w:rPr>
              <w:t xml:space="preserve"> for PFS and OS; Utilities in NIVO+IPI and </w:t>
            </w:r>
            <w:proofErr w:type="spellStart"/>
            <w:r w:rsidRPr="00EF3C6A">
              <w:rPr>
                <w:rFonts w:cs="Arial"/>
                <w:color w:val="222222"/>
                <w:sz w:val="18"/>
                <w:szCs w:val="18"/>
              </w:rPr>
              <w:t>sunitinib</w:t>
            </w:r>
            <w:proofErr w:type="spellEnd"/>
            <w:r w:rsidRPr="00EF3C6A">
              <w:rPr>
                <w:rFonts w:cs="Arial"/>
                <w:color w:val="222222"/>
                <w:sz w:val="18"/>
                <w:szCs w:val="18"/>
              </w:rPr>
              <w:t xml:space="preserve"> arms equal to the average utilities from the literature </w:t>
            </w:r>
            <w:r w:rsidRPr="00EF3C6A">
              <w:rPr>
                <w:sz w:val="18"/>
                <w:szCs w:val="18"/>
              </w:rPr>
              <w:t>(see Section 3.5; PF =</w:t>
            </w:r>
            <w:r w:rsidR="00B07F6B">
              <w:rPr>
                <w:noProof/>
                <w:color w:val="000000"/>
                <w:sz w:val="18"/>
                <w:szCs w:val="18"/>
                <w:highlight w:val="black"/>
              </w:rPr>
              <w:t>''''''''''''</w:t>
            </w:r>
            <w:r w:rsidRPr="00EF3C6A">
              <w:rPr>
                <w:sz w:val="18"/>
                <w:szCs w:val="18"/>
              </w:rPr>
              <w:t xml:space="preserve">, PD = </w:t>
            </w:r>
            <w:r w:rsidR="00B07F6B">
              <w:rPr>
                <w:noProof/>
                <w:color w:val="000000"/>
                <w:sz w:val="18"/>
                <w:szCs w:val="18"/>
                <w:highlight w:val="black"/>
              </w:rPr>
              <w:t>'''''''''''''</w:t>
            </w:r>
            <w:r w:rsidRPr="00EF3C6A">
              <w:rPr>
                <w:sz w:val="18"/>
                <w:szCs w:val="18"/>
              </w:rPr>
              <w:t>)^</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0725BE" w:rsidRPr="00EF3C6A" w:rsidRDefault="000725BE" w:rsidP="00F10AED">
            <w:pPr>
              <w:pStyle w:val="Tabletext"/>
              <w:keepNext/>
              <w:keepLines/>
              <w:spacing w:before="20" w:after="20"/>
              <w:jc w:val="center"/>
              <w:rPr>
                <w:rFonts w:cs="Arial"/>
                <w:color w:val="222222"/>
                <w:sz w:val="18"/>
                <w:szCs w:val="18"/>
              </w:rPr>
            </w:pPr>
            <w:r w:rsidRPr="00EF3C6A">
              <w:rPr>
                <w:rFonts w:cs="Arial"/>
                <w:color w:val="222222"/>
                <w:sz w:val="18"/>
                <w:szCs w:val="18"/>
              </w:rPr>
              <w:t>$</w:t>
            </w:r>
            <w:r w:rsidR="00B07F6B">
              <w:rPr>
                <w:rFonts w:cs="Arial"/>
                <w:noProof/>
                <w:color w:val="000000"/>
                <w:sz w:val="18"/>
                <w:szCs w:val="18"/>
                <w:highlight w:val="black"/>
              </w:rPr>
              <w:t>''''''''''''''''''</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0725BE" w:rsidRPr="00B07F6B" w:rsidRDefault="00B07F6B" w:rsidP="00F10AED">
            <w:pPr>
              <w:pStyle w:val="Tabletext"/>
              <w:keepNext/>
              <w:keepLines/>
              <w:spacing w:before="20" w:after="20"/>
              <w:jc w:val="center"/>
              <w:rPr>
                <w:rFonts w:cs="Arial"/>
                <w:color w:val="222222"/>
                <w:sz w:val="18"/>
                <w:szCs w:val="18"/>
                <w:highlight w:val="black"/>
              </w:rPr>
            </w:pPr>
            <w:r>
              <w:rPr>
                <w:rFonts w:cs="Arial"/>
                <w:noProof/>
                <w:color w:val="000000"/>
                <w:sz w:val="18"/>
                <w:szCs w:val="18"/>
                <w:highlight w:val="black"/>
              </w:rPr>
              <w:t>'''''''''''</w:t>
            </w:r>
          </w:p>
        </w:tc>
        <w:tc>
          <w:tcPr>
            <w:tcW w:w="302" w:type="pct"/>
            <w:tcBorders>
              <w:top w:val="single" w:sz="4" w:space="0" w:color="auto"/>
              <w:left w:val="single" w:sz="4" w:space="0" w:color="auto"/>
              <w:bottom w:val="single" w:sz="4" w:space="0" w:color="auto"/>
              <w:right w:val="single" w:sz="4" w:space="0" w:color="auto"/>
            </w:tcBorders>
            <w:shd w:val="clear" w:color="auto" w:fill="auto"/>
          </w:tcPr>
          <w:p w:rsidR="000725BE" w:rsidRPr="00B07F6B" w:rsidRDefault="00B07F6B" w:rsidP="00F10AED">
            <w:pPr>
              <w:pStyle w:val="Tabletext"/>
              <w:keepNext/>
              <w:keepLines/>
              <w:spacing w:before="20" w:after="20"/>
              <w:jc w:val="center"/>
              <w:rPr>
                <w:rFonts w:cs="Arial"/>
                <w:color w:val="222222"/>
                <w:sz w:val="18"/>
                <w:szCs w:val="18"/>
                <w:highlight w:val="black"/>
              </w:rPr>
            </w:pPr>
            <w:r>
              <w:rPr>
                <w:rFonts w:cs="Arial"/>
                <w:noProof/>
                <w:color w:val="000000"/>
                <w:sz w:val="18"/>
                <w:szCs w:val="18"/>
                <w:highlight w:val="black"/>
              </w:rPr>
              <w:t>''''''''''</w:t>
            </w: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0725BE" w:rsidRPr="00EF3C6A" w:rsidRDefault="000725BE" w:rsidP="00F10AED">
            <w:pPr>
              <w:pStyle w:val="Tabletext"/>
              <w:keepNext/>
              <w:keepLines/>
              <w:spacing w:before="20" w:after="20"/>
              <w:jc w:val="center"/>
              <w:rPr>
                <w:rFonts w:cs="Arial"/>
                <w:color w:val="222222"/>
                <w:sz w:val="18"/>
                <w:szCs w:val="18"/>
              </w:rPr>
            </w:pPr>
            <w:r w:rsidRPr="00EF3C6A">
              <w:rPr>
                <w:rFonts w:cs="Arial"/>
                <w:color w:val="222222"/>
                <w:sz w:val="18"/>
                <w:szCs w:val="18"/>
              </w:rPr>
              <w:t>$</w:t>
            </w:r>
            <w:r w:rsidR="00B07F6B">
              <w:rPr>
                <w:rFonts w:cs="Arial"/>
                <w:noProof/>
                <w:color w:val="000000"/>
                <w:sz w:val="18"/>
                <w:szCs w:val="18"/>
                <w:highlight w:val="black"/>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0725BE" w:rsidRPr="00EF3C6A" w:rsidRDefault="000725BE" w:rsidP="00F10AED">
            <w:pPr>
              <w:pStyle w:val="Tabletext"/>
              <w:keepNext/>
              <w:keepLines/>
              <w:spacing w:before="20" w:after="20"/>
              <w:jc w:val="center"/>
              <w:rPr>
                <w:rFonts w:cs="Arial"/>
                <w:color w:val="222222"/>
                <w:sz w:val="18"/>
                <w:szCs w:val="18"/>
              </w:rPr>
            </w:pPr>
            <w:r w:rsidRPr="00EF3C6A">
              <w:rPr>
                <w:rFonts w:cs="Arial"/>
                <w:color w:val="222222"/>
                <w:sz w:val="18"/>
                <w:szCs w:val="18"/>
              </w:rPr>
              <w:t>$</w:t>
            </w:r>
            <w:r w:rsidR="00B07F6B">
              <w:rPr>
                <w:rFonts w:cs="Arial"/>
                <w:noProof/>
                <w:color w:val="000000"/>
                <w:sz w:val="18"/>
                <w:szCs w:val="18"/>
                <w:highlight w:val="black"/>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0725BE" w:rsidRPr="00EF3C6A" w:rsidRDefault="00B07F6B" w:rsidP="00F10AED">
            <w:pPr>
              <w:pStyle w:val="Tabletext"/>
              <w:keepNext/>
              <w:keepLines/>
              <w:spacing w:before="20" w:after="20"/>
              <w:jc w:val="center"/>
              <w:rPr>
                <w:rFonts w:cs="Arial"/>
                <w:color w:val="222222"/>
                <w:sz w:val="18"/>
                <w:szCs w:val="18"/>
              </w:rPr>
            </w:pPr>
            <w:r>
              <w:rPr>
                <w:rFonts w:cs="Arial"/>
                <w:noProof/>
                <w:color w:val="000000"/>
                <w:sz w:val="18"/>
                <w:szCs w:val="18"/>
                <w:highlight w:val="black"/>
              </w:rPr>
              <w:t>'''''''''''</w:t>
            </w:r>
            <w:r w:rsidR="000725BE" w:rsidRPr="00EF3C6A">
              <w:rPr>
                <w:rFonts w:cs="Arial"/>
                <w:color w:val="222222"/>
                <w:sz w:val="18"/>
                <w:szCs w:val="18"/>
              </w:rPr>
              <w:t>%</w:t>
            </w:r>
          </w:p>
        </w:tc>
      </w:tr>
      <w:tr w:rsidR="000725BE" w:rsidRPr="00EF3C6A" w:rsidTr="00CC5C03">
        <w:tc>
          <w:tcPr>
            <w:tcW w:w="5000" w:type="pct"/>
            <w:gridSpan w:val="7"/>
            <w:tcBorders>
              <w:left w:val="single" w:sz="4" w:space="0" w:color="auto"/>
              <w:right w:val="single" w:sz="4" w:space="0" w:color="auto"/>
            </w:tcBorders>
            <w:shd w:val="clear" w:color="auto" w:fill="auto"/>
            <w:vAlign w:val="center"/>
          </w:tcPr>
          <w:p w:rsidR="000725BE" w:rsidRPr="00EF3C6A" w:rsidRDefault="000725BE" w:rsidP="00CC5C03">
            <w:pPr>
              <w:pStyle w:val="Tabletext"/>
              <w:keepNext/>
              <w:keepLines/>
              <w:spacing w:before="20" w:after="20"/>
              <w:rPr>
                <w:rFonts w:cs="Arial"/>
                <w:color w:val="222222"/>
                <w:sz w:val="18"/>
                <w:szCs w:val="18"/>
              </w:rPr>
            </w:pPr>
            <w:r w:rsidRPr="00EF3C6A">
              <w:rPr>
                <w:b/>
                <w:sz w:val="18"/>
                <w:szCs w:val="18"/>
              </w:rPr>
              <w:t>Extrapolation of PFS and OS; TTD curves &amp; health state utilities</w:t>
            </w:r>
          </w:p>
        </w:tc>
      </w:tr>
      <w:tr w:rsidR="000725BE" w:rsidRPr="00EF3C6A" w:rsidTr="00CC5C03">
        <w:tc>
          <w:tcPr>
            <w:tcW w:w="2655" w:type="pct"/>
            <w:tcBorders>
              <w:left w:val="single" w:sz="4" w:space="0" w:color="auto"/>
              <w:right w:val="single" w:sz="4" w:space="0" w:color="auto"/>
            </w:tcBorders>
            <w:shd w:val="clear" w:color="auto" w:fill="auto"/>
            <w:vAlign w:val="center"/>
          </w:tcPr>
          <w:p w:rsidR="000725BE" w:rsidRPr="00EF3C6A" w:rsidRDefault="000725BE" w:rsidP="00101D36">
            <w:pPr>
              <w:pStyle w:val="Tabletext"/>
              <w:keepNext/>
              <w:keepLines/>
              <w:numPr>
                <w:ilvl w:val="0"/>
                <w:numId w:val="9"/>
              </w:numPr>
              <w:spacing w:before="20" w:after="20"/>
              <w:ind w:left="142" w:hanging="142"/>
              <w:rPr>
                <w:rFonts w:cs="Arial"/>
                <w:color w:val="222222"/>
                <w:sz w:val="18"/>
                <w:szCs w:val="18"/>
              </w:rPr>
            </w:pPr>
            <w:r w:rsidRPr="00EF3C6A">
              <w:rPr>
                <w:rFonts w:cs="Arial"/>
                <w:color w:val="222222"/>
                <w:sz w:val="18"/>
                <w:szCs w:val="18"/>
              </w:rPr>
              <w:t xml:space="preserve">Convergence begins at </w:t>
            </w:r>
            <w:r w:rsidR="006068C2">
              <w:rPr>
                <w:rFonts w:cs="Arial"/>
                <w:noProof/>
                <w:color w:val="000000"/>
                <w:sz w:val="18"/>
                <w:szCs w:val="18"/>
                <w:highlight w:val="black"/>
              </w:rPr>
              <w:t>''''''</w:t>
            </w:r>
            <w:r w:rsidRPr="00EF3C6A">
              <w:rPr>
                <w:rFonts w:cs="Arial"/>
                <w:color w:val="222222"/>
                <w:sz w:val="18"/>
                <w:szCs w:val="18"/>
              </w:rPr>
              <w:t xml:space="preserve"> months and ends </w:t>
            </w:r>
            <w:r w:rsidRPr="00EF3C6A">
              <w:rPr>
                <w:rFonts w:cs="Arial"/>
                <w:color w:val="222222"/>
                <w:sz w:val="18"/>
                <w:szCs w:val="18"/>
                <w:u w:val="single"/>
              </w:rPr>
              <w:t xml:space="preserve">at </w:t>
            </w:r>
            <w:r w:rsidR="00B07F6B">
              <w:rPr>
                <w:rFonts w:cs="Arial"/>
                <w:noProof/>
                <w:color w:val="000000"/>
                <w:sz w:val="18"/>
                <w:szCs w:val="18"/>
                <w:highlight w:val="black"/>
                <w:u w:val="single"/>
              </w:rPr>
              <w:t>'''''''</w:t>
            </w:r>
            <w:r w:rsidRPr="00EF3C6A">
              <w:rPr>
                <w:rFonts w:cs="Arial"/>
                <w:color w:val="222222"/>
                <w:sz w:val="18"/>
                <w:szCs w:val="18"/>
                <w:u w:val="single"/>
              </w:rPr>
              <w:t xml:space="preserve"> years</w:t>
            </w:r>
            <w:r w:rsidRPr="00EF3C6A">
              <w:rPr>
                <w:rFonts w:cs="Arial"/>
                <w:color w:val="222222"/>
                <w:sz w:val="18"/>
                <w:szCs w:val="18"/>
              </w:rPr>
              <w:t xml:space="preserve"> for PFS &amp;OS. </w:t>
            </w:r>
          </w:p>
          <w:p w:rsidR="000725BE" w:rsidRPr="00EF3C6A" w:rsidRDefault="000725BE" w:rsidP="00101D36">
            <w:pPr>
              <w:pStyle w:val="Tabletext"/>
              <w:keepNext/>
              <w:keepLines/>
              <w:numPr>
                <w:ilvl w:val="0"/>
                <w:numId w:val="9"/>
              </w:numPr>
              <w:spacing w:before="20" w:after="20"/>
              <w:ind w:left="142" w:hanging="142"/>
              <w:rPr>
                <w:rFonts w:cs="Arial"/>
                <w:color w:val="222222"/>
                <w:sz w:val="18"/>
                <w:szCs w:val="18"/>
              </w:rPr>
            </w:pPr>
            <w:r w:rsidRPr="00EF3C6A">
              <w:rPr>
                <w:rFonts w:cs="Arial"/>
                <w:color w:val="222222"/>
                <w:sz w:val="18"/>
                <w:szCs w:val="18"/>
                <w:u w:val="single"/>
              </w:rPr>
              <w:t>TTD curves</w:t>
            </w:r>
            <w:r w:rsidRPr="00EF3C6A">
              <w:rPr>
                <w:rFonts w:cs="Arial"/>
                <w:color w:val="222222"/>
                <w:sz w:val="18"/>
                <w:szCs w:val="18"/>
              </w:rPr>
              <w:t xml:space="preserve"> adjusted so that proportion on treatment at month </w:t>
            </w:r>
            <w:r w:rsidR="00B07F6B">
              <w:rPr>
                <w:rFonts w:cs="Arial"/>
                <w:noProof/>
                <w:color w:val="000000"/>
                <w:sz w:val="18"/>
                <w:szCs w:val="18"/>
                <w:highlight w:val="black"/>
              </w:rPr>
              <w:t>''''''</w:t>
            </w:r>
            <w:r w:rsidRPr="00EF3C6A">
              <w:rPr>
                <w:rFonts w:cs="Arial"/>
                <w:color w:val="222222"/>
                <w:sz w:val="18"/>
                <w:szCs w:val="18"/>
              </w:rPr>
              <w:t xml:space="preserve"> was:  </w:t>
            </w:r>
            <w:r w:rsidR="00B07F6B">
              <w:rPr>
                <w:rFonts w:cs="Arial"/>
                <w:noProof/>
                <w:color w:val="000000"/>
                <w:sz w:val="18"/>
                <w:szCs w:val="18"/>
                <w:highlight w:val="black"/>
              </w:rPr>
              <w:t>''''''''''</w:t>
            </w:r>
            <w:r w:rsidRPr="00EF3C6A">
              <w:rPr>
                <w:rFonts w:cs="Arial"/>
                <w:color w:val="222222"/>
                <w:sz w:val="18"/>
                <w:szCs w:val="18"/>
              </w:rPr>
              <w:t xml:space="preserve"> for NIVO+IPI; and </w:t>
            </w:r>
            <w:r w:rsidR="00B07F6B">
              <w:rPr>
                <w:rFonts w:cs="Arial"/>
                <w:noProof/>
                <w:color w:val="000000"/>
                <w:sz w:val="18"/>
                <w:szCs w:val="18"/>
                <w:highlight w:val="black"/>
              </w:rPr>
              <w:t>'''''''''''</w:t>
            </w:r>
            <w:r w:rsidRPr="00EF3C6A">
              <w:rPr>
                <w:rFonts w:cs="Arial"/>
                <w:color w:val="222222"/>
                <w:sz w:val="18"/>
                <w:szCs w:val="18"/>
              </w:rPr>
              <w:t xml:space="preserve"> for </w:t>
            </w:r>
            <w:proofErr w:type="spellStart"/>
            <w:r w:rsidRPr="00EF3C6A">
              <w:rPr>
                <w:rFonts w:cs="Arial"/>
                <w:color w:val="222222"/>
                <w:sz w:val="18"/>
                <w:szCs w:val="18"/>
              </w:rPr>
              <w:t>sunitinib</w:t>
            </w:r>
            <w:proofErr w:type="spellEnd"/>
            <w:r w:rsidRPr="00EF3C6A">
              <w:rPr>
                <w:rFonts w:cs="Arial"/>
                <w:color w:val="222222"/>
                <w:sz w:val="18"/>
                <w:szCs w:val="18"/>
              </w:rPr>
              <w:t xml:space="preserve"> </w:t>
            </w:r>
            <w:r w:rsidRPr="00EF3C6A">
              <w:rPr>
                <w:rFonts w:cs="Arial"/>
                <w:color w:val="222222"/>
                <w:sz w:val="18"/>
                <w:szCs w:val="18"/>
                <w:vertAlign w:val="superscript"/>
              </w:rPr>
              <w:t>a</w:t>
            </w:r>
            <w:r w:rsidRPr="00EF3C6A">
              <w:rPr>
                <w:rFonts w:cs="Arial"/>
                <w:color w:val="222222"/>
                <w:sz w:val="18"/>
                <w:szCs w:val="18"/>
              </w:rPr>
              <w:t xml:space="preserve"> </w:t>
            </w:r>
          </w:p>
          <w:p w:rsidR="000725BE" w:rsidRPr="00EF3C6A" w:rsidRDefault="000725BE" w:rsidP="00101D36">
            <w:pPr>
              <w:pStyle w:val="Tabletext"/>
              <w:keepNext/>
              <w:keepLines/>
              <w:numPr>
                <w:ilvl w:val="0"/>
                <w:numId w:val="9"/>
              </w:numPr>
              <w:spacing w:before="20" w:after="20"/>
              <w:ind w:left="142" w:hanging="142"/>
              <w:rPr>
                <w:rFonts w:cs="Arial"/>
                <w:color w:val="222222"/>
                <w:sz w:val="18"/>
                <w:szCs w:val="18"/>
              </w:rPr>
            </w:pPr>
            <w:r w:rsidRPr="00EF3C6A">
              <w:rPr>
                <w:rFonts w:cs="Arial"/>
                <w:color w:val="222222"/>
                <w:sz w:val="18"/>
                <w:szCs w:val="18"/>
              </w:rPr>
              <w:t xml:space="preserve">Utilities in NIVO+IPI and </w:t>
            </w:r>
            <w:proofErr w:type="spellStart"/>
            <w:r w:rsidRPr="00EF3C6A">
              <w:rPr>
                <w:rFonts w:cs="Arial"/>
                <w:color w:val="222222"/>
                <w:sz w:val="18"/>
                <w:szCs w:val="18"/>
              </w:rPr>
              <w:t>sunitinib</w:t>
            </w:r>
            <w:proofErr w:type="spellEnd"/>
            <w:r w:rsidRPr="00EF3C6A">
              <w:rPr>
                <w:rFonts w:cs="Arial"/>
                <w:color w:val="222222"/>
                <w:sz w:val="18"/>
                <w:szCs w:val="18"/>
              </w:rPr>
              <w:t xml:space="preserve"> arms equal to the average utilities from the literature (see Section 3.5; PF =</w:t>
            </w:r>
            <w:r w:rsidR="00B07F6B">
              <w:rPr>
                <w:rFonts w:cs="Arial"/>
                <w:noProof/>
                <w:color w:val="000000"/>
                <w:sz w:val="18"/>
                <w:szCs w:val="18"/>
                <w:highlight w:val="black"/>
              </w:rPr>
              <w:t>'''''''''''''''</w:t>
            </w:r>
            <w:r w:rsidRPr="00EF3C6A">
              <w:rPr>
                <w:rFonts w:cs="Arial"/>
                <w:color w:val="222222"/>
                <w:sz w:val="18"/>
                <w:szCs w:val="18"/>
              </w:rPr>
              <w:t xml:space="preserve">, PD = </w:t>
            </w:r>
            <w:r w:rsidR="00B07F6B">
              <w:rPr>
                <w:rFonts w:cs="Arial"/>
                <w:noProof/>
                <w:color w:val="000000"/>
                <w:sz w:val="18"/>
                <w:szCs w:val="18"/>
                <w:highlight w:val="black"/>
              </w:rPr>
              <w:t>'''''''''''''</w:t>
            </w:r>
            <w:r w:rsidRPr="00EF3C6A">
              <w:rPr>
                <w:rFonts w:cs="Arial"/>
                <w:color w:val="222222"/>
                <w:sz w:val="18"/>
                <w:szCs w:val="18"/>
              </w:rPr>
              <w:t>)^</w:t>
            </w:r>
          </w:p>
        </w:tc>
        <w:tc>
          <w:tcPr>
            <w:tcW w:w="453" w:type="pct"/>
            <w:tcBorders>
              <w:top w:val="single" w:sz="4" w:space="0" w:color="auto"/>
              <w:left w:val="single" w:sz="4" w:space="0" w:color="auto"/>
              <w:bottom w:val="single" w:sz="4" w:space="0" w:color="auto"/>
              <w:right w:val="single" w:sz="4" w:space="0" w:color="auto"/>
            </w:tcBorders>
            <w:shd w:val="clear" w:color="auto" w:fill="auto"/>
          </w:tcPr>
          <w:p w:rsidR="000725BE" w:rsidRPr="00EF3C6A" w:rsidRDefault="000725BE" w:rsidP="00CC5C03">
            <w:pPr>
              <w:pStyle w:val="Tabletext"/>
              <w:keepNext/>
              <w:keepLines/>
              <w:spacing w:before="20" w:after="20"/>
              <w:jc w:val="center"/>
              <w:rPr>
                <w:rFonts w:cs="Arial"/>
                <w:color w:val="222222"/>
                <w:sz w:val="18"/>
                <w:szCs w:val="18"/>
              </w:rPr>
            </w:pPr>
            <w:r w:rsidRPr="00EF3C6A">
              <w:rPr>
                <w:iCs/>
                <w:color w:val="222222"/>
                <w:sz w:val="18"/>
                <w:szCs w:val="18"/>
              </w:rPr>
              <w:t>$</w:t>
            </w:r>
            <w:r w:rsidR="00B07F6B">
              <w:rPr>
                <w:iCs/>
                <w:noProof/>
                <w:color w:val="000000"/>
                <w:sz w:val="18"/>
                <w:szCs w:val="18"/>
                <w:highlight w:val="black"/>
              </w:rPr>
              <w:t>''''''''''''''''</w:t>
            </w:r>
          </w:p>
        </w:tc>
        <w:tc>
          <w:tcPr>
            <w:tcW w:w="378" w:type="pct"/>
            <w:tcBorders>
              <w:top w:val="single" w:sz="4" w:space="0" w:color="auto"/>
              <w:left w:val="single" w:sz="4" w:space="0" w:color="auto"/>
              <w:bottom w:val="single" w:sz="4" w:space="0" w:color="auto"/>
              <w:right w:val="single" w:sz="4" w:space="0" w:color="auto"/>
            </w:tcBorders>
            <w:shd w:val="clear" w:color="auto" w:fill="auto"/>
          </w:tcPr>
          <w:p w:rsidR="000725BE" w:rsidRPr="00B07F6B" w:rsidRDefault="00B07F6B" w:rsidP="00CC5C03">
            <w:pPr>
              <w:pStyle w:val="Tabletext"/>
              <w:keepNext/>
              <w:keepLines/>
              <w:spacing w:before="20" w:after="20"/>
              <w:jc w:val="center"/>
              <w:rPr>
                <w:rFonts w:cs="Arial"/>
                <w:color w:val="222222"/>
                <w:sz w:val="18"/>
                <w:szCs w:val="18"/>
                <w:highlight w:val="black"/>
              </w:rPr>
            </w:pPr>
            <w:r>
              <w:rPr>
                <w:iCs/>
                <w:noProof/>
                <w:color w:val="000000"/>
                <w:sz w:val="18"/>
                <w:szCs w:val="18"/>
                <w:highlight w:val="black"/>
              </w:rPr>
              <w:t>'''''''''</w:t>
            </w:r>
          </w:p>
        </w:tc>
        <w:tc>
          <w:tcPr>
            <w:tcW w:w="302" w:type="pct"/>
            <w:tcBorders>
              <w:top w:val="single" w:sz="4" w:space="0" w:color="auto"/>
              <w:left w:val="single" w:sz="4" w:space="0" w:color="auto"/>
              <w:bottom w:val="single" w:sz="4" w:space="0" w:color="auto"/>
              <w:right w:val="single" w:sz="4" w:space="0" w:color="auto"/>
            </w:tcBorders>
            <w:shd w:val="clear" w:color="auto" w:fill="auto"/>
          </w:tcPr>
          <w:p w:rsidR="000725BE" w:rsidRPr="00B07F6B" w:rsidRDefault="00B07F6B" w:rsidP="00CC5C03">
            <w:pPr>
              <w:pStyle w:val="Tabletext"/>
              <w:keepNext/>
              <w:keepLines/>
              <w:spacing w:before="20" w:after="20"/>
              <w:jc w:val="center"/>
              <w:rPr>
                <w:rFonts w:cs="Arial"/>
                <w:color w:val="222222"/>
                <w:sz w:val="18"/>
                <w:szCs w:val="18"/>
                <w:highlight w:val="black"/>
              </w:rPr>
            </w:pPr>
            <w:r>
              <w:rPr>
                <w:iCs/>
                <w:noProof/>
                <w:color w:val="000000"/>
                <w:sz w:val="18"/>
                <w:szCs w:val="18"/>
                <w:highlight w:val="black"/>
              </w:rPr>
              <w:t>'''''''''''</w:t>
            </w:r>
          </w:p>
        </w:tc>
        <w:tc>
          <w:tcPr>
            <w:tcW w:w="452" w:type="pct"/>
            <w:tcBorders>
              <w:top w:val="single" w:sz="4" w:space="0" w:color="auto"/>
              <w:left w:val="single" w:sz="4" w:space="0" w:color="auto"/>
              <w:bottom w:val="single" w:sz="4" w:space="0" w:color="auto"/>
              <w:right w:val="single" w:sz="4" w:space="0" w:color="auto"/>
            </w:tcBorders>
            <w:shd w:val="clear" w:color="auto" w:fill="auto"/>
          </w:tcPr>
          <w:p w:rsidR="000725BE" w:rsidRPr="00EF3C6A" w:rsidRDefault="000725BE" w:rsidP="00CC5C03">
            <w:pPr>
              <w:pStyle w:val="Tabletext"/>
              <w:keepNext/>
              <w:keepLines/>
              <w:spacing w:before="20" w:after="20"/>
              <w:jc w:val="center"/>
              <w:rPr>
                <w:rFonts w:cs="Arial"/>
                <w:color w:val="222222"/>
                <w:sz w:val="18"/>
                <w:szCs w:val="18"/>
              </w:rPr>
            </w:pPr>
            <w:r w:rsidRPr="00EF3C6A">
              <w:rPr>
                <w:iCs/>
                <w:color w:val="222222"/>
                <w:sz w:val="18"/>
                <w:szCs w:val="18"/>
              </w:rPr>
              <w:t>$</w:t>
            </w:r>
            <w:r w:rsidR="00B07F6B">
              <w:rPr>
                <w:iCs/>
                <w:noProof/>
                <w:color w:val="000000"/>
                <w:sz w:val="18"/>
                <w:szCs w:val="18"/>
                <w:highlight w:val="black"/>
              </w:rPr>
              <w:t>'''''''''''''''''''</w:t>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0725BE" w:rsidRPr="00EF3C6A" w:rsidRDefault="000725BE" w:rsidP="00CC5C03">
            <w:pPr>
              <w:pStyle w:val="Tabletext"/>
              <w:keepNext/>
              <w:keepLines/>
              <w:spacing w:before="20" w:after="20"/>
              <w:jc w:val="center"/>
              <w:rPr>
                <w:rFonts w:cs="Arial"/>
                <w:color w:val="222222"/>
                <w:sz w:val="18"/>
                <w:szCs w:val="18"/>
              </w:rPr>
            </w:pPr>
            <w:r w:rsidRPr="00EF3C6A">
              <w:rPr>
                <w:iCs/>
                <w:color w:val="222222"/>
                <w:sz w:val="18"/>
                <w:szCs w:val="18"/>
              </w:rPr>
              <w:t>$</w:t>
            </w:r>
            <w:r w:rsidR="00B07F6B">
              <w:rPr>
                <w:iCs/>
                <w:noProof/>
                <w:color w:val="000000"/>
                <w:sz w:val="18"/>
                <w:szCs w:val="18"/>
                <w:highlight w:val="black"/>
              </w:rPr>
              <w:t>''''''''''''''''''''</w:t>
            </w:r>
          </w:p>
        </w:tc>
        <w:tc>
          <w:tcPr>
            <w:tcW w:w="356" w:type="pct"/>
            <w:tcBorders>
              <w:top w:val="single" w:sz="4" w:space="0" w:color="auto"/>
              <w:left w:val="single" w:sz="4" w:space="0" w:color="auto"/>
              <w:bottom w:val="single" w:sz="4" w:space="0" w:color="auto"/>
              <w:right w:val="single" w:sz="4" w:space="0" w:color="auto"/>
            </w:tcBorders>
            <w:shd w:val="clear" w:color="auto" w:fill="auto"/>
          </w:tcPr>
          <w:p w:rsidR="000725BE" w:rsidRPr="00EF3C6A" w:rsidRDefault="00B07F6B" w:rsidP="00CC5C03">
            <w:pPr>
              <w:pStyle w:val="Tabletext"/>
              <w:keepNext/>
              <w:keepLines/>
              <w:spacing w:before="20" w:after="20"/>
              <w:jc w:val="center"/>
              <w:rPr>
                <w:rFonts w:cs="Arial"/>
                <w:color w:val="222222"/>
                <w:sz w:val="18"/>
                <w:szCs w:val="18"/>
              </w:rPr>
            </w:pPr>
            <w:r>
              <w:rPr>
                <w:iCs/>
                <w:noProof/>
                <w:color w:val="000000"/>
                <w:sz w:val="18"/>
                <w:szCs w:val="18"/>
                <w:highlight w:val="black"/>
              </w:rPr>
              <w:t>'''''''''''''</w:t>
            </w:r>
            <w:r w:rsidR="000725BE" w:rsidRPr="00EF3C6A">
              <w:rPr>
                <w:iCs/>
                <w:color w:val="222222"/>
                <w:sz w:val="18"/>
                <w:szCs w:val="18"/>
              </w:rPr>
              <w:t>%</w:t>
            </w:r>
          </w:p>
        </w:tc>
      </w:tr>
    </w:tbl>
    <w:p w:rsidR="00EC27AB" w:rsidRPr="00EF3C6A" w:rsidRDefault="00EC27AB" w:rsidP="00EC27AB">
      <w:pPr>
        <w:pStyle w:val="TableFooter"/>
        <w:keepNext/>
        <w:keepLines/>
      </w:pPr>
      <w:r w:rsidRPr="00EF3C6A">
        <w:t>^Conducted during the evaluation</w:t>
      </w:r>
    </w:p>
    <w:p w:rsidR="000725BE" w:rsidRPr="00EF3C6A" w:rsidRDefault="000725BE" w:rsidP="000725BE">
      <w:pPr>
        <w:pStyle w:val="TableFooter"/>
        <w:keepNext/>
        <w:keepLines/>
      </w:pPr>
      <w:proofErr w:type="gramStart"/>
      <w:r w:rsidRPr="00EF3C6A">
        <w:rPr>
          <w:vertAlign w:val="superscript"/>
        </w:rPr>
        <w:t>a</w:t>
      </w:r>
      <w:proofErr w:type="gramEnd"/>
      <w:r w:rsidRPr="00EF3C6A">
        <w:t xml:space="preserve"> Conducted as part of the ESC advice. The TTD curve for NIVO+IPI was re-aligned, starting at mean duration of follow up (</w:t>
      </w:r>
      <w:r w:rsidR="00B07F6B">
        <w:rPr>
          <w:noProof/>
          <w:color w:val="000000"/>
          <w:highlight w:val="black"/>
        </w:rPr>
        <w:t>''''''''''</w:t>
      </w:r>
      <w:r w:rsidRPr="00EF3C6A">
        <w:t xml:space="preserve"> months) such that the proportion on treatment at month </w:t>
      </w:r>
      <w:r w:rsidR="00B07F6B">
        <w:rPr>
          <w:noProof/>
          <w:color w:val="000000"/>
          <w:highlight w:val="black"/>
        </w:rPr>
        <w:t>'''''''</w:t>
      </w:r>
      <w:r w:rsidRPr="00EF3C6A">
        <w:t xml:space="preserve"> is </w:t>
      </w:r>
      <w:r w:rsidR="00B07F6B">
        <w:rPr>
          <w:noProof/>
          <w:color w:val="000000"/>
          <w:highlight w:val="black"/>
        </w:rPr>
        <w:t>'''''''''''</w:t>
      </w:r>
      <w:r w:rsidRPr="00EF3C6A">
        <w:t xml:space="preserve">. The TTD curve for </w:t>
      </w:r>
      <w:proofErr w:type="spellStart"/>
      <w:r w:rsidRPr="00EF3C6A">
        <w:t>sunitinib</w:t>
      </w:r>
      <w:proofErr w:type="spellEnd"/>
      <w:r w:rsidRPr="00EF3C6A">
        <w:t xml:space="preserve"> was re-aligned, starting at mean duration of follow up (</w:t>
      </w:r>
      <w:r w:rsidR="00B07F6B">
        <w:rPr>
          <w:noProof/>
          <w:color w:val="000000"/>
          <w:highlight w:val="black"/>
        </w:rPr>
        <w:t>'''''''''''</w:t>
      </w:r>
      <w:r w:rsidRPr="00EF3C6A">
        <w:t xml:space="preserve"> months), such that the proportion on treatment at month </w:t>
      </w:r>
      <w:r w:rsidR="00B07F6B">
        <w:rPr>
          <w:noProof/>
          <w:color w:val="000000"/>
          <w:highlight w:val="black"/>
        </w:rPr>
        <w:t>''''''</w:t>
      </w:r>
      <w:r w:rsidRPr="00EF3C6A">
        <w:t xml:space="preserve"> is </w:t>
      </w:r>
      <w:r w:rsidR="00B07F6B">
        <w:rPr>
          <w:noProof/>
          <w:color w:val="000000"/>
          <w:highlight w:val="black"/>
        </w:rPr>
        <w:t>''''''''''</w:t>
      </w:r>
      <w:r w:rsidRPr="00EF3C6A">
        <w:t>.</w:t>
      </w:r>
    </w:p>
    <w:p w:rsidR="00EC27AB" w:rsidRPr="00EF3C6A" w:rsidRDefault="00EC27AB" w:rsidP="00EC27AB">
      <w:pPr>
        <w:pStyle w:val="TableFooter"/>
        <w:keepNext/>
        <w:keepLines/>
      </w:pPr>
      <w:r w:rsidRPr="00EF3C6A">
        <w:t xml:space="preserve">DoT = duration of therapy; IPI = </w:t>
      </w:r>
      <w:proofErr w:type="spellStart"/>
      <w:r w:rsidRPr="00EF3C6A">
        <w:t>ipilimumab</w:t>
      </w:r>
      <w:proofErr w:type="spellEnd"/>
      <w:r w:rsidRPr="00EF3C6A">
        <w:t>; LYG = life year gained; NIVO = nivolumab; OS = overall survival; PD = progressive disease; PFS = progression free survival; QA</w:t>
      </w:r>
      <w:r w:rsidR="008A6DD3" w:rsidRPr="00EF3C6A">
        <w:t>LY = quality adjusted life year; TTD = Time to Treatment Discontinuation</w:t>
      </w:r>
    </w:p>
    <w:p w:rsidR="00EC27AB" w:rsidRPr="00EF3C6A" w:rsidRDefault="00EC27AB" w:rsidP="00EC27AB">
      <w:pPr>
        <w:pStyle w:val="TableFooter"/>
        <w:keepNext/>
        <w:keepLines/>
      </w:pPr>
      <w:r w:rsidRPr="00EF3C6A">
        <w:t>Source: Table 101, p 177 Section 3 of the submission</w:t>
      </w:r>
    </w:p>
    <w:p w:rsidR="00EC27AB" w:rsidRDefault="00EC27AB" w:rsidP="00EC27AB"/>
    <w:p w:rsidR="00C41937" w:rsidRDefault="00C41937" w:rsidP="00EC27AB">
      <w:r>
        <w:t>This redacted table shows ICERs in the range of $45,000/LYG - $200,000/LYG; and $45,000/QALY - $200,000/QALY.</w:t>
      </w:r>
    </w:p>
    <w:p w:rsidR="00C41937" w:rsidRPr="00EF3C6A" w:rsidRDefault="00C41937" w:rsidP="00EC27AB"/>
    <w:p w:rsidR="000725BE" w:rsidRPr="00EF3C6A" w:rsidRDefault="006220D3" w:rsidP="006220D3">
      <w:pPr>
        <w:pStyle w:val="ListParagraph"/>
        <w:widowControl/>
        <w:numPr>
          <w:ilvl w:val="1"/>
          <w:numId w:val="3"/>
        </w:numPr>
      </w:pPr>
      <w:r w:rsidRPr="006220D3">
        <w:t>The sensitivity analyses indicated that the model was sensitive to the utilities applied and the extrapolation of OS (particularly as part of multivariate analyses where utilities were also changed).</w:t>
      </w:r>
      <w:r>
        <w:t xml:space="preserve"> </w:t>
      </w:r>
      <w:r w:rsidR="000725BE" w:rsidRPr="00EF3C6A">
        <w:t>The ESC noted that the model was also sensitive to the extrapolation of the Time to Treatment Discontinuation curve</w:t>
      </w:r>
      <w:r>
        <w:t xml:space="preserve"> (though </w:t>
      </w:r>
      <w:r w:rsidR="000725BE" w:rsidRPr="00EF3C6A">
        <w:t>acknowledged the analysis relied on the base case PFS extrapolation which may not have been reliable</w:t>
      </w:r>
      <w:r>
        <w:t>).</w:t>
      </w:r>
      <w:r w:rsidR="000725BE" w:rsidRPr="00EF3C6A">
        <w:t xml:space="preserve"> </w:t>
      </w:r>
    </w:p>
    <w:p w:rsidR="00EC27AB" w:rsidRPr="00EF3C6A" w:rsidRDefault="00E5457B" w:rsidP="00EC27AB">
      <w:pPr>
        <w:pStyle w:val="ListParagraph"/>
        <w:keepNext/>
        <w:widowControl/>
        <w:numPr>
          <w:ilvl w:val="1"/>
          <w:numId w:val="3"/>
        </w:numPr>
      </w:pPr>
      <w:r w:rsidRPr="00EF3C6A">
        <w:t xml:space="preserve">The ESC considered that a more realistic scenario would need to address: the assumption of </w:t>
      </w:r>
      <w:r w:rsidR="00E5613D" w:rsidRPr="00EF3C6A">
        <w:t xml:space="preserve">proportional hazards to </w:t>
      </w:r>
      <w:r w:rsidR="00B07F6B">
        <w:rPr>
          <w:noProof/>
          <w:color w:val="000000"/>
          <w:highlight w:val="black"/>
        </w:rPr>
        <w:t>''</w:t>
      </w:r>
      <w:r w:rsidR="00E5613D" w:rsidRPr="00EF3C6A">
        <w:t xml:space="preserve"> years and </w:t>
      </w:r>
      <w:r w:rsidRPr="00EF3C6A">
        <w:t xml:space="preserve">convergence at </w:t>
      </w:r>
      <w:r w:rsidR="00B07F6B">
        <w:rPr>
          <w:noProof/>
          <w:color w:val="000000"/>
          <w:highlight w:val="black"/>
        </w:rPr>
        <w:t>'''''</w:t>
      </w:r>
      <w:r w:rsidRPr="00EF3C6A">
        <w:t xml:space="preserve"> years; the </w:t>
      </w:r>
      <w:r w:rsidR="0046276D" w:rsidRPr="00EF3C6A">
        <w:t>large difference</w:t>
      </w:r>
      <w:r w:rsidRPr="00EF3C6A">
        <w:t xml:space="preserve"> </w:t>
      </w:r>
      <w:r w:rsidRPr="00EF3C6A">
        <w:lastRenderedPageBreak/>
        <w:t xml:space="preserve">between the extrapolated TTD and PFS curves; and the high utility values applied (i.e. the utilities were similar to population norms and were considerably higher than those sourced from the literature). </w:t>
      </w:r>
    </w:p>
    <w:p w:rsidR="00EC27AB" w:rsidRPr="006068C2" w:rsidRDefault="00EC27AB" w:rsidP="00160ED7">
      <w:pPr>
        <w:pStyle w:val="Heading2"/>
        <w:spacing w:before="240" w:after="120"/>
      </w:pPr>
      <w:bookmarkStart w:id="19" w:name="_Toc514248492"/>
      <w:r w:rsidRPr="006068C2">
        <w:t>Drug cost/patient/course: $</w:t>
      </w:r>
      <w:bookmarkEnd w:id="19"/>
      <w:r w:rsidR="00B07F6B" w:rsidRPr="006068C2">
        <w:rPr>
          <w:noProof/>
          <w:color w:val="000000"/>
          <w:highlight w:val="black"/>
        </w:rPr>
        <w:t>''''''''''''''''</w:t>
      </w:r>
      <w:r w:rsidR="00777C83" w:rsidRPr="006068C2">
        <w:t xml:space="preserve"> (based on price proposed in submission) </w:t>
      </w:r>
    </w:p>
    <w:p w:rsidR="00EC27AB" w:rsidRPr="00EF3C6A" w:rsidRDefault="00EC27AB" w:rsidP="00EC27AB">
      <w:pPr>
        <w:pStyle w:val="ListParagraph"/>
        <w:keepNext/>
        <w:widowControl/>
        <w:numPr>
          <w:ilvl w:val="1"/>
          <w:numId w:val="3"/>
        </w:numPr>
      </w:pPr>
      <w:r w:rsidRPr="00EF3C6A">
        <w:t>This consists of a cost per patient per course of $</w:t>
      </w:r>
      <w:r w:rsidR="00B07F6B">
        <w:rPr>
          <w:noProof/>
          <w:color w:val="000000"/>
          <w:highlight w:val="black"/>
        </w:rPr>
        <w:t>'''''''''''''</w:t>
      </w:r>
      <w:r w:rsidRPr="00EF3C6A">
        <w:t xml:space="preserve"> for </w:t>
      </w:r>
      <w:proofErr w:type="spellStart"/>
      <w:r w:rsidRPr="00EF3C6A">
        <w:t>ipilimumab</w:t>
      </w:r>
      <w:proofErr w:type="spellEnd"/>
      <w:r w:rsidRPr="00EF3C6A">
        <w:t xml:space="preserve"> and $</w:t>
      </w:r>
      <w:r w:rsidR="00B07F6B">
        <w:rPr>
          <w:noProof/>
          <w:color w:val="000000"/>
          <w:highlight w:val="black"/>
        </w:rPr>
        <w:t>''''''''''''''</w:t>
      </w:r>
      <w:r w:rsidRPr="00EF3C6A">
        <w:t xml:space="preserve"> for nivolumab.</w:t>
      </w:r>
    </w:p>
    <w:p w:rsidR="00EC27AB" w:rsidRPr="00EF3C6A" w:rsidRDefault="00EC27AB" w:rsidP="00EC27AB">
      <w:pPr>
        <w:pStyle w:val="ListParagraph"/>
        <w:keepNext/>
        <w:widowControl/>
        <w:numPr>
          <w:ilvl w:val="1"/>
          <w:numId w:val="3"/>
        </w:numPr>
        <w:spacing w:after="0"/>
      </w:pPr>
      <w:r w:rsidRPr="00EF3C6A">
        <w:t>In the base case, the cost associated with NIVO+IPI was calculated on the basis of:</w:t>
      </w:r>
    </w:p>
    <w:p w:rsidR="00EC27AB" w:rsidRPr="00EF3C6A" w:rsidRDefault="00EC27AB" w:rsidP="00EC27AB">
      <w:pPr>
        <w:pStyle w:val="Bulletpoints"/>
        <w:ind w:left="1134"/>
        <w:rPr>
          <w:snapToGrid/>
          <w:lang w:val="en-US" w:eastAsia="en-AU"/>
        </w:rPr>
      </w:pPr>
      <w:r w:rsidRPr="00EF3C6A">
        <w:rPr>
          <w:snapToGrid/>
          <w:lang w:val="en-US" w:eastAsia="en-AU"/>
        </w:rPr>
        <w:t>A dose of 3mg/kg for nivolumab every 3 weeks for the first four doses, then every 2 weeks thereafter until disease progression or unacceptable toxicity was assumed, consistent with the do</w:t>
      </w:r>
      <w:r w:rsidR="00C15861">
        <w:rPr>
          <w:snapToGrid/>
          <w:lang w:val="en-US" w:eastAsia="en-AU"/>
        </w:rPr>
        <w:t>s</w:t>
      </w:r>
      <w:r w:rsidRPr="00EF3C6A">
        <w:rPr>
          <w:snapToGrid/>
          <w:lang w:val="en-US" w:eastAsia="en-AU"/>
        </w:rPr>
        <w:t xml:space="preserve">es in CA209214, and the proposed TGA PI. </w:t>
      </w:r>
    </w:p>
    <w:p w:rsidR="00EC27AB" w:rsidRPr="00EF3C6A" w:rsidRDefault="00EC27AB" w:rsidP="00EC27AB">
      <w:pPr>
        <w:pStyle w:val="Bulletpoints"/>
        <w:ind w:left="1134"/>
        <w:rPr>
          <w:snapToGrid/>
          <w:lang w:val="en-US" w:eastAsia="en-AU"/>
        </w:rPr>
      </w:pPr>
      <w:r w:rsidRPr="00EF3C6A">
        <w:rPr>
          <w:snapToGrid/>
          <w:lang w:val="en-US" w:eastAsia="en-AU"/>
        </w:rPr>
        <w:t xml:space="preserve">A dose of 1mg/kg for </w:t>
      </w:r>
      <w:proofErr w:type="spellStart"/>
      <w:r w:rsidRPr="00EF3C6A">
        <w:rPr>
          <w:snapToGrid/>
          <w:lang w:val="en-US" w:eastAsia="en-AU"/>
        </w:rPr>
        <w:t>ipilimumab</w:t>
      </w:r>
      <w:proofErr w:type="spellEnd"/>
      <w:r w:rsidRPr="00EF3C6A">
        <w:rPr>
          <w:snapToGrid/>
          <w:lang w:val="en-US" w:eastAsia="en-AU"/>
        </w:rPr>
        <w:t xml:space="preserve"> every three weeks, for an average of </w:t>
      </w:r>
      <w:r w:rsidR="00B07F6B">
        <w:rPr>
          <w:noProof/>
          <w:snapToGrid/>
          <w:color w:val="000000"/>
          <w:highlight w:val="black"/>
          <w:lang w:val="en-US" w:eastAsia="en-AU"/>
        </w:rPr>
        <w:t>''''''</w:t>
      </w:r>
      <w:r w:rsidRPr="00EF3C6A">
        <w:rPr>
          <w:snapToGrid/>
          <w:lang w:val="en-US" w:eastAsia="en-AU"/>
        </w:rPr>
        <w:t xml:space="preserve"> infusions (CA209214)</w:t>
      </w:r>
    </w:p>
    <w:p w:rsidR="00EC27AB" w:rsidRPr="00EF3C6A" w:rsidRDefault="00EC27AB" w:rsidP="00EC27AB">
      <w:pPr>
        <w:pStyle w:val="Bulletpoints"/>
        <w:ind w:left="1134"/>
        <w:rPr>
          <w:snapToGrid/>
          <w:lang w:val="en-US" w:eastAsia="en-AU"/>
        </w:rPr>
      </w:pPr>
      <w:r w:rsidRPr="00EF3C6A">
        <w:rPr>
          <w:snapToGrid/>
          <w:lang w:val="en-US" w:eastAsia="en-AU"/>
        </w:rPr>
        <w:t xml:space="preserve">Using a mean patient weight of </w:t>
      </w:r>
      <w:r w:rsidR="00B07F6B">
        <w:rPr>
          <w:noProof/>
          <w:snapToGrid/>
          <w:color w:val="000000"/>
          <w:highlight w:val="black"/>
          <w:lang w:val="en-US" w:eastAsia="en-AU"/>
        </w:rPr>
        <w:t>''''''''</w:t>
      </w:r>
      <w:r w:rsidRPr="00EF3C6A">
        <w:rPr>
          <w:snapToGrid/>
          <w:lang w:val="en-US" w:eastAsia="en-AU"/>
        </w:rPr>
        <w:t xml:space="preserve">kg, based on CA209214 and distribution of dose intensity from CA209214. This resulted in an average dose of </w:t>
      </w:r>
      <w:r w:rsidR="00B07F6B">
        <w:rPr>
          <w:noProof/>
          <w:snapToGrid/>
          <w:color w:val="000000"/>
          <w:highlight w:val="black"/>
          <w:lang w:val="en-US" w:eastAsia="en-AU"/>
        </w:rPr>
        <w:t>'''''''''''</w:t>
      </w:r>
      <w:r w:rsidRPr="00EF3C6A">
        <w:rPr>
          <w:snapToGrid/>
          <w:lang w:val="en-US" w:eastAsia="en-AU"/>
        </w:rPr>
        <w:t xml:space="preserve">mg per dose per patient for nivolumab, and </w:t>
      </w:r>
      <w:r w:rsidR="00B07F6B">
        <w:rPr>
          <w:noProof/>
          <w:snapToGrid/>
          <w:color w:val="000000"/>
          <w:highlight w:val="black"/>
          <w:lang w:val="en-US" w:eastAsia="en-AU"/>
        </w:rPr>
        <w:t>'''''''''</w:t>
      </w:r>
      <w:r w:rsidRPr="00EF3C6A">
        <w:rPr>
          <w:snapToGrid/>
          <w:lang w:val="en-US" w:eastAsia="en-AU"/>
        </w:rPr>
        <w:t xml:space="preserve">mg for </w:t>
      </w:r>
      <w:proofErr w:type="spellStart"/>
      <w:r w:rsidRPr="00EF3C6A">
        <w:rPr>
          <w:snapToGrid/>
          <w:lang w:val="en-US" w:eastAsia="en-AU"/>
        </w:rPr>
        <w:t>ipilimumab</w:t>
      </w:r>
      <w:proofErr w:type="spellEnd"/>
      <w:r w:rsidRPr="00EF3C6A">
        <w:rPr>
          <w:snapToGrid/>
          <w:lang w:val="en-US" w:eastAsia="en-AU"/>
        </w:rPr>
        <w:t xml:space="preserve">. </w:t>
      </w:r>
    </w:p>
    <w:p w:rsidR="00EC27AB" w:rsidRPr="00EF3C6A" w:rsidRDefault="00EC27AB" w:rsidP="00EC27AB">
      <w:pPr>
        <w:pStyle w:val="Bulletpoints"/>
        <w:ind w:left="1134"/>
        <w:rPr>
          <w:snapToGrid/>
          <w:lang w:val="en-US" w:eastAsia="en-AU"/>
        </w:rPr>
      </w:pPr>
      <w:r w:rsidRPr="00EF3C6A">
        <w:rPr>
          <w:snapToGrid/>
          <w:lang w:val="en-US" w:eastAsia="en-AU"/>
        </w:rPr>
        <w:t xml:space="preserve">A most efficient vial combination of 2x100mg and 1x40mg vials of nivolumab (240mg), and 2x 50mg </w:t>
      </w:r>
      <w:proofErr w:type="spellStart"/>
      <w:r w:rsidRPr="00EF3C6A">
        <w:rPr>
          <w:snapToGrid/>
          <w:lang w:val="en-US" w:eastAsia="en-AU"/>
        </w:rPr>
        <w:t>ipilimumab</w:t>
      </w:r>
      <w:proofErr w:type="spellEnd"/>
      <w:r w:rsidRPr="00EF3C6A">
        <w:rPr>
          <w:snapToGrid/>
          <w:lang w:val="en-US" w:eastAsia="en-AU"/>
        </w:rPr>
        <w:t xml:space="preserve"> vials (100mg) would be dispensed per dose;</w:t>
      </w:r>
    </w:p>
    <w:p w:rsidR="00EC27AB" w:rsidRPr="00EF3C6A" w:rsidRDefault="00EC27AB" w:rsidP="00777C83">
      <w:pPr>
        <w:pStyle w:val="Bulletpoints"/>
        <w:ind w:left="1134"/>
        <w:rPr>
          <w:snapToGrid/>
          <w:lang w:val="en-US" w:eastAsia="en-AU"/>
        </w:rPr>
      </w:pPr>
      <w:r w:rsidRPr="00EF3C6A">
        <w:rPr>
          <w:snapToGrid/>
          <w:lang w:val="en-US" w:eastAsia="en-AU"/>
        </w:rPr>
        <w:t xml:space="preserve">The </w:t>
      </w:r>
      <w:r w:rsidR="00777C83">
        <w:rPr>
          <w:snapToGrid/>
          <w:lang w:val="en-US" w:eastAsia="en-AU"/>
        </w:rPr>
        <w:t>submission</w:t>
      </w:r>
      <w:r w:rsidR="00777C83" w:rsidRPr="00EF3C6A" w:rsidDel="00777C83">
        <w:rPr>
          <w:snapToGrid/>
          <w:lang w:val="en-US" w:eastAsia="en-AU"/>
        </w:rPr>
        <w:t xml:space="preserve"> </w:t>
      </w:r>
      <w:r w:rsidRPr="00EF3C6A">
        <w:rPr>
          <w:snapToGrid/>
          <w:lang w:val="en-US" w:eastAsia="en-AU"/>
        </w:rPr>
        <w:t xml:space="preserve">proposed </w:t>
      </w:r>
      <w:r w:rsidR="00777C83">
        <w:rPr>
          <w:snapToGrid/>
          <w:lang w:val="en-US" w:eastAsia="en-AU"/>
        </w:rPr>
        <w:t xml:space="preserve">an </w:t>
      </w:r>
      <w:r w:rsidRPr="00EF3C6A">
        <w:rPr>
          <w:snapToGrid/>
          <w:lang w:val="en-US" w:eastAsia="en-AU"/>
        </w:rPr>
        <w:t>effective ex-manufacturer price for nivolumab</w:t>
      </w:r>
      <w:r w:rsidR="00777C83">
        <w:rPr>
          <w:snapToGrid/>
          <w:lang w:val="en-US" w:eastAsia="en-AU"/>
        </w:rPr>
        <w:t xml:space="preserve"> of</w:t>
      </w:r>
      <w:r w:rsidRPr="00EF3C6A">
        <w:rPr>
          <w:snapToGrid/>
          <w:lang w:val="en-US" w:eastAsia="en-AU"/>
        </w:rPr>
        <w:t>: 40mg vial $</w:t>
      </w:r>
      <w:r w:rsidR="00B07F6B">
        <w:rPr>
          <w:noProof/>
          <w:snapToGrid/>
          <w:color w:val="000000"/>
          <w:highlight w:val="black"/>
          <w:lang w:val="en-US" w:eastAsia="en-AU"/>
        </w:rPr>
        <w:t>'''''''</w:t>
      </w:r>
      <w:r w:rsidRPr="00EF3C6A">
        <w:rPr>
          <w:snapToGrid/>
          <w:lang w:val="en-US" w:eastAsia="en-AU"/>
        </w:rPr>
        <w:t>; 100mg vial $</w:t>
      </w:r>
      <w:r w:rsidR="00B07F6B">
        <w:rPr>
          <w:noProof/>
          <w:snapToGrid/>
          <w:color w:val="000000"/>
          <w:highlight w:val="black"/>
          <w:lang w:val="en-US" w:eastAsia="en-AU"/>
        </w:rPr>
        <w:t>'''''''''''</w:t>
      </w:r>
      <w:r w:rsidRPr="00EF3C6A">
        <w:rPr>
          <w:snapToGrid/>
          <w:lang w:val="en-US" w:eastAsia="en-AU"/>
        </w:rPr>
        <w:t>; and the proposed effective ex-manufacturer price of $</w:t>
      </w:r>
      <w:r w:rsidR="00B07F6B">
        <w:rPr>
          <w:noProof/>
          <w:snapToGrid/>
          <w:color w:val="000000"/>
          <w:highlight w:val="black"/>
          <w:lang w:val="en-US" w:eastAsia="en-AU"/>
        </w:rPr>
        <w:t>''''''''''</w:t>
      </w:r>
      <w:r w:rsidRPr="00EF3C6A">
        <w:rPr>
          <w:snapToGrid/>
          <w:lang w:val="en-US" w:eastAsia="en-AU"/>
        </w:rPr>
        <w:t xml:space="preserve"> per 50mg vial of </w:t>
      </w:r>
      <w:proofErr w:type="spellStart"/>
      <w:r w:rsidRPr="00EF3C6A">
        <w:rPr>
          <w:snapToGrid/>
          <w:lang w:val="en-US" w:eastAsia="en-AU"/>
        </w:rPr>
        <w:t>ipilimumab</w:t>
      </w:r>
      <w:proofErr w:type="spellEnd"/>
      <w:r w:rsidR="00777C83">
        <w:rPr>
          <w:snapToGrid/>
          <w:lang w:val="en-US" w:eastAsia="en-AU"/>
        </w:rPr>
        <w:t xml:space="preserve">. The pre-PBAC response proposed a </w:t>
      </w:r>
      <w:r w:rsidR="00B07F6B">
        <w:rPr>
          <w:noProof/>
          <w:snapToGrid/>
          <w:color w:val="000000"/>
          <w:highlight w:val="black"/>
          <w:lang w:val="en-US" w:eastAsia="en-AU"/>
        </w:rPr>
        <w:t>'''''''</w:t>
      </w:r>
      <w:r w:rsidR="00777C83">
        <w:rPr>
          <w:snapToGrid/>
          <w:lang w:val="en-US" w:eastAsia="en-AU"/>
        </w:rPr>
        <w:t xml:space="preserve">% lower price of nivolumab (no change was proposed to the </w:t>
      </w:r>
      <w:proofErr w:type="spellStart"/>
      <w:r w:rsidR="00777C83">
        <w:rPr>
          <w:snapToGrid/>
          <w:lang w:val="en-US" w:eastAsia="en-AU"/>
        </w:rPr>
        <w:t>ipilimumab</w:t>
      </w:r>
      <w:proofErr w:type="spellEnd"/>
      <w:r w:rsidR="00777C83">
        <w:rPr>
          <w:snapToGrid/>
          <w:lang w:val="en-US" w:eastAsia="en-AU"/>
        </w:rPr>
        <w:t xml:space="preserve"> price).</w:t>
      </w:r>
    </w:p>
    <w:p w:rsidR="00EC27AB" w:rsidRPr="00EF3C6A" w:rsidRDefault="00EC27AB" w:rsidP="00EC27AB">
      <w:pPr>
        <w:pStyle w:val="Bulletpoints"/>
        <w:ind w:left="1134"/>
        <w:rPr>
          <w:snapToGrid/>
          <w:lang w:val="en-US" w:eastAsia="en-AU"/>
        </w:rPr>
      </w:pPr>
      <w:r w:rsidRPr="00EF3C6A">
        <w:rPr>
          <w:snapToGrid/>
          <w:lang w:val="en-US" w:eastAsia="en-AU"/>
        </w:rPr>
        <w:t xml:space="preserve">Assuming a public/private split of </w:t>
      </w:r>
      <w:r w:rsidR="00B07F6B">
        <w:rPr>
          <w:noProof/>
          <w:snapToGrid/>
          <w:color w:val="000000"/>
          <w:highlight w:val="black"/>
          <w:lang w:val="en-US" w:eastAsia="en-AU"/>
        </w:rPr>
        <w:t>'''''</w:t>
      </w:r>
      <w:r w:rsidRPr="00EF3C6A">
        <w:rPr>
          <w:snapToGrid/>
          <w:lang w:val="en-US" w:eastAsia="en-AU"/>
        </w:rPr>
        <w:t>:</w:t>
      </w:r>
      <w:r w:rsidR="00B07F6B">
        <w:rPr>
          <w:noProof/>
          <w:snapToGrid/>
          <w:color w:val="000000"/>
          <w:highlight w:val="black"/>
          <w:lang w:val="en-US" w:eastAsia="en-AU"/>
        </w:rPr>
        <w:t>''''''</w:t>
      </w:r>
      <w:r w:rsidRPr="00EF3C6A">
        <w:rPr>
          <w:snapToGrid/>
          <w:lang w:val="en-US" w:eastAsia="en-AU"/>
        </w:rPr>
        <w:t xml:space="preserve">. </w:t>
      </w:r>
    </w:p>
    <w:p w:rsidR="00EC27AB" w:rsidRPr="00EF3C6A" w:rsidRDefault="00EC27AB" w:rsidP="00EC27AB">
      <w:pPr>
        <w:pStyle w:val="Bulletpoints"/>
        <w:ind w:left="1134"/>
        <w:rPr>
          <w:snapToGrid/>
          <w:lang w:val="en-US" w:eastAsia="en-AU"/>
        </w:rPr>
      </w:pPr>
      <w:r w:rsidRPr="00EF3C6A">
        <w:rPr>
          <w:snapToGrid/>
          <w:lang w:val="en-US" w:eastAsia="en-AU"/>
        </w:rPr>
        <w:t xml:space="preserve">The duration of treatment for nivolumab was based the extrapolation of the TTD curve, which estimated an average of </w:t>
      </w:r>
      <w:r w:rsidR="00B07F6B">
        <w:rPr>
          <w:noProof/>
          <w:snapToGrid/>
          <w:color w:val="000000"/>
          <w:highlight w:val="black"/>
          <w:lang w:val="en-US" w:eastAsia="en-AU"/>
        </w:rPr>
        <w:t>'''''''''</w:t>
      </w:r>
      <w:r w:rsidRPr="00EF3C6A">
        <w:rPr>
          <w:snapToGrid/>
          <w:lang w:val="en-US" w:eastAsia="en-AU"/>
        </w:rPr>
        <w:t xml:space="preserve"> doses (</w:t>
      </w:r>
      <w:r w:rsidR="00B07F6B">
        <w:rPr>
          <w:noProof/>
          <w:snapToGrid/>
          <w:color w:val="000000"/>
          <w:highlight w:val="black"/>
          <w:lang w:val="en-US" w:eastAsia="en-AU"/>
        </w:rPr>
        <w:t>'''''''''</w:t>
      </w:r>
      <w:r w:rsidRPr="00EF3C6A">
        <w:rPr>
          <w:snapToGrid/>
          <w:lang w:val="en-US" w:eastAsia="en-AU"/>
        </w:rPr>
        <w:t xml:space="preserve"> months of treatment, including </w:t>
      </w:r>
      <w:r w:rsidR="00B07F6B">
        <w:rPr>
          <w:noProof/>
          <w:snapToGrid/>
          <w:color w:val="000000"/>
          <w:highlight w:val="black"/>
          <w:lang w:val="en-US" w:eastAsia="en-AU"/>
        </w:rPr>
        <w:t>''''''</w:t>
      </w:r>
      <w:r w:rsidRPr="00EF3C6A">
        <w:rPr>
          <w:snapToGrid/>
          <w:lang w:val="en-US" w:eastAsia="en-AU"/>
        </w:rPr>
        <w:t xml:space="preserve"> doses in the induction phase). </w:t>
      </w:r>
      <w:r w:rsidR="00777C83">
        <w:rPr>
          <w:snapToGrid/>
          <w:lang w:val="en-US" w:eastAsia="en-AU"/>
        </w:rPr>
        <w:t xml:space="preserve">The </w:t>
      </w:r>
      <w:r w:rsidR="001260FE">
        <w:rPr>
          <w:snapToGrid/>
          <w:lang w:val="en-US" w:eastAsia="en-AU"/>
        </w:rPr>
        <w:t>changes to the OS extrapolation and</w:t>
      </w:r>
      <w:r w:rsidR="00777C83">
        <w:rPr>
          <w:snapToGrid/>
          <w:lang w:val="en-US" w:eastAsia="en-AU"/>
        </w:rPr>
        <w:t xml:space="preserve"> time horizon proposed in the pre-PBAC response would</w:t>
      </w:r>
      <w:r w:rsidR="001260FE">
        <w:rPr>
          <w:snapToGrid/>
          <w:lang w:val="en-US" w:eastAsia="en-AU"/>
        </w:rPr>
        <w:t xml:space="preserve"> reduce </w:t>
      </w:r>
      <w:r w:rsidR="00777C83">
        <w:rPr>
          <w:snapToGrid/>
          <w:lang w:val="en-US" w:eastAsia="en-AU"/>
        </w:rPr>
        <w:t>the estimated average number of nivolumab doses to 33.6</w:t>
      </w:r>
      <w:r w:rsidR="00602DA4">
        <w:rPr>
          <w:snapToGrid/>
          <w:lang w:val="en-US" w:eastAsia="en-AU"/>
        </w:rPr>
        <w:t xml:space="preserve"> </w:t>
      </w:r>
      <w:r w:rsidR="001260FE">
        <w:rPr>
          <w:snapToGrid/>
          <w:lang w:val="en-US" w:eastAsia="en-AU"/>
        </w:rPr>
        <w:t>per patient</w:t>
      </w:r>
      <w:r w:rsidR="00777C83">
        <w:rPr>
          <w:snapToGrid/>
          <w:lang w:val="en-US" w:eastAsia="en-AU"/>
        </w:rPr>
        <w:t>.</w:t>
      </w:r>
    </w:p>
    <w:p w:rsidR="00EC27AB" w:rsidRPr="00EF3C6A" w:rsidRDefault="00EC27AB" w:rsidP="00EC27AB">
      <w:pPr>
        <w:pStyle w:val="ListParagraph"/>
        <w:keepNext/>
        <w:widowControl/>
        <w:numPr>
          <w:ilvl w:val="1"/>
          <w:numId w:val="3"/>
        </w:numPr>
      </w:pPr>
      <w:r w:rsidRPr="00EF3C6A">
        <w:t xml:space="preserve">The cost per patient per course for the main comparator, </w:t>
      </w:r>
      <w:proofErr w:type="spellStart"/>
      <w:r w:rsidRPr="00EF3C6A">
        <w:t>sunitinib</w:t>
      </w:r>
      <w:proofErr w:type="spellEnd"/>
      <w:r w:rsidRPr="00EF3C6A">
        <w:t>, was $</w:t>
      </w:r>
      <w:r w:rsidR="00B07F6B">
        <w:rPr>
          <w:noProof/>
          <w:color w:val="000000"/>
          <w:highlight w:val="black"/>
        </w:rPr>
        <w:t>''''''''''''''</w:t>
      </w:r>
      <w:r w:rsidRPr="00EF3C6A">
        <w:t xml:space="preserve"> per patient per course. This was calculated on the following basis:</w:t>
      </w:r>
    </w:p>
    <w:p w:rsidR="00EC27AB" w:rsidRPr="00EF3C6A" w:rsidRDefault="00EC27AB" w:rsidP="00EC27AB">
      <w:pPr>
        <w:pStyle w:val="Bulletpoints"/>
        <w:ind w:left="1134"/>
        <w:rPr>
          <w:snapToGrid/>
          <w:lang w:val="en-US" w:eastAsia="en-AU"/>
        </w:rPr>
      </w:pPr>
      <w:r w:rsidRPr="00EF3C6A">
        <w:rPr>
          <w:snapToGrid/>
          <w:lang w:val="en-US" w:eastAsia="en-AU"/>
        </w:rPr>
        <w:t xml:space="preserve">The dosing of </w:t>
      </w:r>
      <w:proofErr w:type="spellStart"/>
      <w:r w:rsidRPr="00EF3C6A">
        <w:rPr>
          <w:snapToGrid/>
          <w:lang w:val="en-US" w:eastAsia="en-AU"/>
        </w:rPr>
        <w:t>sunitinib</w:t>
      </w:r>
      <w:proofErr w:type="spellEnd"/>
      <w:r w:rsidRPr="00EF3C6A">
        <w:rPr>
          <w:snapToGrid/>
          <w:lang w:val="en-US" w:eastAsia="en-AU"/>
        </w:rPr>
        <w:t xml:space="preserve"> in CA209214 and the TGA approved PI for </w:t>
      </w:r>
      <w:proofErr w:type="spellStart"/>
      <w:r w:rsidRPr="00EF3C6A">
        <w:rPr>
          <w:snapToGrid/>
          <w:lang w:val="en-US" w:eastAsia="en-AU"/>
        </w:rPr>
        <w:t>sunitinib</w:t>
      </w:r>
      <w:proofErr w:type="spellEnd"/>
      <w:r w:rsidRPr="00EF3C6A">
        <w:rPr>
          <w:snapToGrid/>
          <w:lang w:val="en-US" w:eastAsia="en-AU"/>
        </w:rPr>
        <w:t xml:space="preserve"> is 50mg for 4 weeks, followed by 2 weeks off, allowing for dose adjustments.</w:t>
      </w:r>
    </w:p>
    <w:p w:rsidR="00EC27AB" w:rsidRPr="00EF3C6A" w:rsidRDefault="00EC27AB" w:rsidP="00EC27AB">
      <w:pPr>
        <w:pStyle w:val="Bulletpoints"/>
        <w:ind w:left="1134"/>
        <w:rPr>
          <w:snapToGrid/>
          <w:lang w:val="en-US" w:eastAsia="en-AU"/>
        </w:rPr>
      </w:pPr>
      <w:r w:rsidRPr="00EF3C6A">
        <w:rPr>
          <w:snapToGrid/>
          <w:lang w:val="en-US" w:eastAsia="en-AU"/>
        </w:rPr>
        <w:t xml:space="preserve">The average daily dose (mg/day) of </w:t>
      </w:r>
      <w:proofErr w:type="spellStart"/>
      <w:r w:rsidRPr="00EF3C6A">
        <w:rPr>
          <w:snapToGrid/>
          <w:lang w:val="en-US" w:eastAsia="en-AU"/>
        </w:rPr>
        <w:t>sunitinib</w:t>
      </w:r>
      <w:proofErr w:type="spellEnd"/>
      <w:r w:rsidRPr="00EF3C6A">
        <w:rPr>
          <w:snapToGrid/>
          <w:lang w:val="en-US" w:eastAsia="en-AU"/>
        </w:rPr>
        <w:t xml:space="preserve"> in CA209214 (</w:t>
      </w:r>
      <w:r w:rsidR="00B07F6B">
        <w:rPr>
          <w:noProof/>
          <w:snapToGrid/>
          <w:color w:val="000000"/>
          <w:highlight w:val="black"/>
          <w:lang w:val="en-US" w:eastAsia="en-AU"/>
        </w:rPr>
        <w:t>'''''''''''</w:t>
      </w:r>
      <w:r w:rsidRPr="00EF3C6A">
        <w:rPr>
          <w:snapToGrid/>
          <w:lang w:val="en-US" w:eastAsia="en-AU"/>
        </w:rPr>
        <w:t xml:space="preserve">mg/day, multiplied by </w:t>
      </w:r>
      <w:r w:rsidR="00B07F6B">
        <w:rPr>
          <w:noProof/>
          <w:snapToGrid/>
          <w:color w:val="000000"/>
          <w:highlight w:val="black"/>
          <w:lang w:val="en-US" w:eastAsia="en-AU"/>
        </w:rPr>
        <w:t>'''</w:t>
      </w:r>
      <w:r w:rsidRPr="00EF3C6A">
        <w:rPr>
          <w:snapToGrid/>
          <w:lang w:val="en-US" w:eastAsia="en-AU"/>
        </w:rPr>
        <w:t>/</w:t>
      </w:r>
      <w:r w:rsidR="00B07F6B">
        <w:rPr>
          <w:noProof/>
          <w:snapToGrid/>
          <w:color w:val="000000"/>
          <w:highlight w:val="black"/>
          <w:lang w:val="en-US" w:eastAsia="en-AU"/>
        </w:rPr>
        <w:t xml:space="preserve">''' </w:t>
      </w:r>
      <w:r w:rsidRPr="00EF3C6A">
        <w:rPr>
          <w:snapToGrid/>
          <w:lang w:val="en-US" w:eastAsia="en-AU"/>
        </w:rPr>
        <w:t xml:space="preserve">to get </w:t>
      </w:r>
      <w:r w:rsidR="00B07F6B">
        <w:rPr>
          <w:noProof/>
          <w:snapToGrid/>
          <w:color w:val="000000"/>
          <w:highlight w:val="black"/>
          <w:lang w:val="en-US" w:eastAsia="en-AU"/>
        </w:rPr>
        <w:t>''''''''</w:t>
      </w:r>
      <w:r w:rsidRPr="00EF3C6A">
        <w:rPr>
          <w:snapToGrid/>
          <w:lang w:val="en-US" w:eastAsia="en-AU"/>
        </w:rPr>
        <w:t xml:space="preserve">mg average dose per day of </w:t>
      </w:r>
      <w:proofErr w:type="spellStart"/>
      <w:r w:rsidRPr="00EF3C6A">
        <w:rPr>
          <w:snapToGrid/>
          <w:lang w:val="en-US" w:eastAsia="en-AU"/>
        </w:rPr>
        <w:t>sunitinib</w:t>
      </w:r>
      <w:proofErr w:type="spellEnd"/>
      <w:r w:rsidRPr="00EF3C6A">
        <w:rPr>
          <w:snapToGrid/>
          <w:lang w:val="en-US" w:eastAsia="en-AU"/>
        </w:rPr>
        <w:t xml:space="preserve"> in the four treatment weeks). </w:t>
      </w:r>
    </w:p>
    <w:p w:rsidR="00EC27AB" w:rsidRPr="00EF3C6A" w:rsidRDefault="00EC27AB" w:rsidP="00EC27AB">
      <w:pPr>
        <w:pStyle w:val="Bulletpoints"/>
        <w:ind w:left="1134"/>
        <w:rPr>
          <w:snapToGrid/>
          <w:lang w:val="en-US" w:eastAsia="en-AU"/>
        </w:rPr>
      </w:pPr>
      <w:r w:rsidRPr="00EF3C6A">
        <w:rPr>
          <w:snapToGrid/>
          <w:lang w:val="en-US" w:eastAsia="en-AU"/>
        </w:rPr>
        <w:t>Given that multiple strengths were available (12.5mg, 25mg, 37.5mg, 50mg) a weighted cost/mg was applied ($</w:t>
      </w:r>
      <w:r w:rsidR="00B07F6B">
        <w:rPr>
          <w:noProof/>
          <w:snapToGrid/>
          <w:color w:val="000000"/>
          <w:highlight w:val="black"/>
          <w:lang w:val="en-US" w:eastAsia="en-AU"/>
        </w:rPr>
        <w:t>'''''''''</w:t>
      </w:r>
      <w:r w:rsidRPr="00EF3C6A">
        <w:rPr>
          <w:snapToGrid/>
          <w:lang w:val="en-US" w:eastAsia="en-AU"/>
        </w:rPr>
        <w:t xml:space="preserve">/mg) based on prescriptions dispensed since listing (May 2009 - November 2017); </w:t>
      </w:r>
    </w:p>
    <w:p w:rsidR="00EC27AB" w:rsidRPr="00EF3C6A" w:rsidRDefault="00EC27AB" w:rsidP="00EC27AB">
      <w:pPr>
        <w:pStyle w:val="Bulletpoints"/>
        <w:ind w:left="1134"/>
        <w:rPr>
          <w:snapToGrid/>
          <w:lang w:val="en-US" w:eastAsia="en-AU"/>
        </w:rPr>
      </w:pPr>
      <w:r w:rsidRPr="00EF3C6A">
        <w:rPr>
          <w:snapToGrid/>
          <w:lang w:val="en-US" w:eastAsia="en-AU"/>
        </w:rPr>
        <w:t xml:space="preserve">This resulted in a cost of </w:t>
      </w:r>
      <w:proofErr w:type="spellStart"/>
      <w:r w:rsidRPr="00EF3C6A">
        <w:rPr>
          <w:snapToGrid/>
          <w:lang w:val="en-US" w:eastAsia="en-AU"/>
        </w:rPr>
        <w:t>sunitinib</w:t>
      </w:r>
      <w:proofErr w:type="spellEnd"/>
      <w:r w:rsidRPr="00EF3C6A">
        <w:rPr>
          <w:snapToGrid/>
          <w:lang w:val="en-US" w:eastAsia="en-AU"/>
        </w:rPr>
        <w:t xml:space="preserve"> per 6-week treatment cycle (4 weeks on treatment, followed by two weeks off treatment) of $</w:t>
      </w:r>
      <w:r w:rsidR="00B07F6B">
        <w:rPr>
          <w:noProof/>
          <w:snapToGrid/>
          <w:color w:val="000000"/>
          <w:highlight w:val="black"/>
          <w:lang w:val="en-US" w:eastAsia="en-AU"/>
        </w:rPr>
        <w:t>''''''''''''</w:t>
      </w:r>
      <w:r w:rsidRPr="00EF3C6A">
        <w:rPr>
          <w:snapToGrid/>
          <w:lang w:val="en-US" w:eastAsia="en-AU"/>
        </w:rPr>
        <w:t xml:space="preserve">. </w:t>
      </w:r>
    </w:p>
    <w:p w:rsidR="00EC27AB" w:rsidRPr="00160ED7" w:rsidRDefault="00EC27AB" w:rsidP="00160ED7">
      <w:pPr>
        <w:pStyle w:val="Bulletpoints"/>
        <w:ind w:left="1134"/>
        <w:rPr>
          <w:snapToGrid/>
          <w:lang w:val="en-US" w:eastAsia="en-AU"/>
        </w:rPr>
      </w:pPr>
      <w:r w:rsidRPr="00EF3C6A">
        <w:rPr>
          <w:snapToGrid/>
          <w:lang w:val="en-US" w:eastAsia="en-AU"/>
        </w:rPr>
        <w:t xml:space="preserve">The duration of </w:t>
      </w:r>
      <w:proofErr w:type="spellStart"/>
      <w:r w:rsidRPr="00EF3C6A">
        <w:rPr>
          <w:snapToGrid/>
          <w:lang w:val="en-US" w:eastAsia="en-AU"/>
        </w:rPr>
        <w:t>sunitinib</w:t>
      </w:r>
      <w:proofErr w:type="spellEnd"/>
      <w:r w:rsidRPr="00EF3C6A">
        <w:rPr>
          <w:snapToGrid/>
          <w:lang w:val="en-US" w:eastAsia="en-AU"/>
        </w:rPr>
        <w:t xml:space="preserve"> treatment was based on the extrapolated TTD curve, which </w:t>
      </w:r>
      <w:r w:rsidRPr="00EF3C6A">
        <w:rPr>
          <w:snapToGrid/>
          <w:lang w:val="en-US" w:eastAsia="en-AU"/>
        </w:rPr>
        <w:lastRenderedPageBreak/>
        <w:t xml:space="preserve">estimated an average of </w:t>
      </w:r>
      <w:r w:rsidR="00B07F6B">
        <w:rPr>
          <w:noProof/>
          <w:snapToGrid/>
          <w:color w:val="000000"/>
          <w:highlight w:val="black"/>
          <w:lang w:val="en-US" w:eastAsia="en-AU"/>
        </w:rPr>
        <w:t>''''''''</w:t>
      </w:r>
      <w:r w:rsidRPr="00EF3C6A">
        <w:rPr>
          <w:snapToGrid/>
          <w:lang w:val="en-US" w:eastAsia="en-AU"/>
        </w:rPr>
        <w:t xml:space="preserve"> packs per treatment course (</w:t>
      </w:r>
      <w:r w:rsidR="00B07F6B">
        <w:rPr>
          <w:noProof/>
          <w:snapToGrid/>
          <w:color w:val="000000"/>
          <w:highlight w:val="black"/>
          <w:lang w:val="en-US" w:eastAsia="en-AU"/>
        </w:rPr>
        <w:t>'''''''''</w:t>
      </w:r>
      <w:r w:rsidRPr="00EF3C6A">
        <w:rPr>
          <w:snapToGrid/>
          <w:lang w:val="en-US" w:eastAsia="en-AU"/>
        </w:rPr>
        <w:t xml:space="preserve"> months of treatment or </w:t>
      </w:r>
      <w:r w:rsidR="00B07F6B">
        <w:rPr>
          <w:noProof/>
          <w:snapToGrid/>
          <w:color w:val="000000"/>
          <w:highlight w:val="black"/>
          <w:lang w:val="en-US" w:eastAsia="en-AU"/>
        </w:rPr>
        <w:t>''''''''</w:t>
      </w:r>
      <w:r w:rsidR="00160ED7">
        <w:rPr>
          <w:snapToGrid/>
          <w:lang w:val="en-US" w:eastAsia="en-AU"/>
        </w:rPr>
        <w:t xml:space="preserve"> treatment cycles).</w:t>
      </w:r>
    </w:p>
    <w:p w:rsidR="00EC27AB" w:rsidRPr="006068C2" w:rsidRDefault="00EC27AB" w:rsidP="00160ED7">
      <w:pPr>
        <w:pStyle w:val="Heading2"/>
        <w:spacing w:before="240" w:after="120"/>
      </w:pPr>
      <w:bookmarkStart w:id="20" w:name="_Toc514248493"/>
      <w:r w:rsidRPr="006068C2">
        <w:t>Estimated PBS usage &amp; financial implications</w:t>
      </w:r>
      <w:bookmarkEnd w:id="13"/>
      <w:bookmarkEnd w:id="20"/>
    </w:p>
    <w:p w:rsidR="00EC27AB" w:rsidRPr="00EF3C6A" w:rsidRDefault="00EC27AB" w:rsidP="00EC27AB">
      <w:pPr>
        <w:pStyle w:val="ListParagraph"/>
        <w:widowControl/>
        <w:numPr>
          <w:ilvl w:val="1"/>
          <w:numId w:val="3"/>
        </w:numPr>
      </w:pPr>
      <w:r w:rsidRPr="00EF3C6A">
        <w:t>This submission w</w:t>
      </w:r>
      <w:r w:rsidR="00461CCF" w:rsidRPr="00EF3C6A">
        <w:t>as</w:t>
      </w:r>
      <w:r w:rsidRPr="00EF3C6A">
        <w:t xml:space="preserve"> not considered by DUSC</w:t>
      </w:r>
      <w:r w:rsidR="00C77D8A" w:rsidRPr="00EF3C6A">
        <w:t>.</w:t>
      </w:r>
      <w:r w:rsidRPr="00EF3C6A">
        <w:rPr>
          <w:color w:val="0070C0"/>
        </w:rPr>
        <w:t xml:space="preserve"> </w:t>
      </w:r>
    </w:p>
    <w:p w:rsidR="00EC27AB" w:rsidRPr="00EF3C6A" w:rsidRDefault="00EC27AB" w:rsidP="00EC27AB">
      <w:pPr>
        <w:pStyle w:val="ListParagraph"/>
        <w:widowControl/>
        <w:numPr>
          <w:ilvl w:val="1"/>
          <w:numId w:val="3"/>
        </w:numPr>
      </w:pPr>
      <w:r w:rsidRPr="00EF3C6A">
        <w:t xml:space="preserve">The submission used a mixed market- and epidemiological-based method to estimate the extent of use and financial implications of listing NIVO+IPI on the PBS. </w:t>
      </w:r>
    </w:p>
    <w:p w:rsidR="00EC27AB" w:rsidRPr="00EF3C6A" w:rsidRDefault="00EC27AB" w:rsidP="00EC27AB">
      <w:pPr>
        <w:pStyle w:val="ListParagraph"/>
        <w:widowControl/>
        <w:numPr>
          <w:ilvl w:val="1"/>
          <w:numId w:val="3"/>
        </w:numPr>
      </w:pPr>
      <w:r w:rsidRPr="00EF3C6A">
        <w:t>The size of the eligible patient population was based on:</w:t>
      </w:r>
    </w:p>
    <w:p w:rsidR="00EC27AB" w:rsidRPr="00EF3C6A" w:rsidRDefault="00EC27AB" w:rsidP="00EC27AB">
      <w:pPr>
        <w:pStyle w:val="Bulletpoints"/>
        <w:ind w:left="1134"/>
        <w:rPr>
          <w:snapToGrid/>
          <w:lang w:val="en-US" w:eastAsia="en-AU"/>
        </w:rPr>
      </w:pPr>
      <w:r w:rsidRPr="00EF3C6A">
        <w:rPr>
          <w:snapToGrid/>
          <w:lang w:val="en-US" w:eastAsia="en-AU"/>
        </w:rPr>
        <w:t>The historical number of patients to be treated with PBS-</w:t>
      </w:r>
      <w:proofErr w:type="spellStart"/>
      <w:r w:rsidRPr="00EF3C6A">
        <w:rPr>
          <w:snapToGrid/>
          <w:lang w:val="en-US" w:eastAsia="en-AU"/>
        </w:rPr>
        <w:t>subsidised</w:t>
      </w:r>
      <w:proofErr w:type="spellEnd"/>
      <w:r w:rsidRPr="00EF3C6A">
        <w:rPr>
          <w:snapToGrid/>
          <w:lang w:val="en-US" w:eastAsia="en-AU"/>
        </w:rPr>
        <w:t xml:space="preserve"> therapies for RCC (100% PBS sample from the Department of Human Services). The submission used the number of patients initiating RCC therapy in the 12 months prior to 30 June 2016 to estimate the number of patients initiating therapy for first-line (1L) RCC in 2016 (</w:t>
      </w:r>
      <w:r w:rsidR="00B07F6B">
        <w:rPr>
          <w:noProof/>
          <w:snapToGrid/>
          <w:color w:val="000000"/>
          <w:highlight w:val="black"/>
          <w:lang w:val="en-US" w:eastAsia="en-AU"/>
        </w:rPr>
        <w:t>''''''''</w:t>
      </w:r>
      <w:r w:rsidRPr="00EF3C6A">
        <w:rPr>
          <w:snapToGrid/>
          <w:lang w:val="en-US" w:eastAsia="en-AU"/>
        </w:rPr>
        <w:t xml:space="preserve"> patients). The submission referenced the total number of patients initiating therapy with PBS items used to treat RCC, in any line of therapy, rather than those initiating first-line therapy only.</w:t>
      </w:r>
      <w:r w:rsidR="007366F3" w:rsidRPr="00EF3C6A">
        <w:rPr>
          <w:snapToGrid/>
          <w:lang w:val="en-US" w:eastAsia="en-AU"/>
        </w:rPr>
        <w:t xml:space="preserve"> T</w:t>
      </w:r>
      <w:r w:rsidR="00414AF6" w:rsidRPr="00EF3C6A">
        <w:rPr>
          <w:snapToGrid/>
          <w:lang w:val="en-US" w:eastAsia="en-AU"/>
        </w:rPr>
        <w:t xml:space="preserve">he evaluation considered that </w:t>
      </w:r>
      <w:r w:rsidRPr="00EF3C6A">
        <w:rPr>
          <w:snapToGrid/>
          <w:lang w:val="en-US" w:eastAsia="en-AU"/>
        </w:rPr>
        <w:t>this w</w:t>
      </w:r>
      <w:r w:rsidR="00414AF6" w:rsidRPr="00EF3C6A">
        <w:rPr>
          <w:snapToGrid/>
          <w:lang w:val="en-US" w:eastAsia="en-AU"/>
        </w:rPr>
        <w:t>ould likely</w:t>
      </w:r>
      <w:r w:rsidRPr="00EF3C6A">
        <w:rPr>
          <w:snapToGrid/>
          <w:lang w:val="en-US" w:eastAsia="en-AU"/>
        </w:rPr>
        <w:t xml:space="preserve"> overestimate the number of patients currently seeking PBS-</w:t>
      </w:r>
      <w:proofErr w:type="spellStart"/>
      <w:r w:rsidRPr="00EF3C6A">
        <w:rPr>
          <w:snapToGrid/>
          <w:lang w:val="en-US" w:eastAsia="en-AU"/>
        </w:rPr>
        <w:t>subsidised</w:t>
      </w:r>
      <w:proofErr w:type="spellEnd"/>
      <w:r w:rsidRPr="00EF3C6A">
        <w:rPr>
          <w:snapToGrid/>
          <w:lang w:val="en-US" w:eastAsia="en-AU"/>
        </w:rPr>
        <w:t xml:space="preserve"> therapy for RCC in the first-line setting.</w:t>
      </w:r>
      <w:r w:rsidR="00414AF6" w:rsidRPr="00EF3C6A">
        <w:rPr>
          <w:snapToGrid/>
          <w:lang w:val="en-US" w:eastAsia="en-AU"/>
        </w:rPr>
        <w:t xml:space="preserve"> The PSCR stated that the estimate was based on </w:t>
      </w:r>
      <w:r w:rsidR="00EF2DE1" w:rsidRPr="00EF3C6A">
        <w:rPr>
          <w:snapToGrid/>
          <w:lang w:val="en-US" w:eastAsia="en-AU"/>
        </w:rPr>
        <w:t xml:space="preserve">the </w:t>
      </w:r>
      <w:r w:rsidR="00414AF6" w:rsidRPr="00EF3C6A">
        <w:rPr>
          <w:snapToGrid/>
          <w:lang w:val="en-US" w:eastAsia="en-AU"/>
        </w:rPr>
        <w:t xml:space="preserve">number of patients </w:t>
      </w:r>
      <w:r w:rsidR="00EF2DE1" w:rsidRPr="00EF3C6A">
        <w:rPr>
          <w:snapToGrid/>
          <w:lang w:val="en-US" w:eastAsia="en-AU"/>
        </w:rPr>
        <w:t xml:space="preserve">who </w:t>
      </w:r>
      <w:r w:rsidR="00414AF6" w:rsidRPr="00EF3C6A">
        <w:rPr>
          <w:snapToGrid/>
          <w:lang w:val="en-US" w:eastAsia="en-AU"/>
        </w:rPr>
        <w:t>receiv</w:t>
      </w:r>
      <w:r w:rsidR="00EF2DE1" w:rsidRPr="00EF3C6A">
        <w:rPr>
          <w:snapToGrid/>
          <w:lang w:val="en-US" w:eastAsia="en-AU"/>
        </w:rPr>
        <w:t>ed</w:t>
      </w:r>
      <w:r w:rsidR="00414AF6" w:rsidRPr="00EF3C6A">
        <w:rPr>
          <w:snapToGrid/>
          <w:lang w:val="en-US" w:eastAsia="en-AU"/>
        </w:rPr>
        <w:t xml:space="preserve"> a </w:t>
      </w:r>
      <w:r w:rsidR="00EF2DE1" w:rsidRPr="00EF3C6A">
        <w:rPr>
          <w:snapToGrid/>
          <w:lang w:val="en-US" w:eastAsia="en-AU"/>
        </w:rPr>
        <w:t xml:space="preserve">PBS </w:t>
      </w:r>
      <w:r w:rsidR="00414AF6" w:rsidRPr="00EF3C6A">
        <w:rPr>
          <w:snapToGrid/>
          <w:lang w:val="en-US" w:eastAsia="en-AU"/>
        </w:rPr>
        <w:t xml:space="preserve">script for RCC therapy after </w:t>
      </w:r>
      <w:r w:rsidR="00EF2DE1" w:rsidRPr="00EF3C6A">
        <w:rPr>
          <w:snapToGrid/>
          <w:lang w:val="en-US" w:eastAsia="en-AU"/>
        </w:rPr>
        <w:t xml:space="preserve">having had </w:t>
      </w:r>
      <w:r w:rsidR="00414AF6" w:rsidRPr="00EF3C6A">
        <w:rPr>
          <w:snapToGrid/>
          <w:lang w:val="en-US" w:eastAsia="en-AU"/>
        </w:rPr>
        <w:t xml:space="preserve">no </w:t>
      </w:r>
      <w:r w:rsidR="00B11EAA" w:rsidRPr="00EF3C6A">
        <w:rPr>
          <w:snapToGrid/>
          <w:lang w:val="en-US" w:eastAsia="en-AU"/>
        </w:rPr>
        <w:t xml:space="preserve">PBS </w:t>
      </w:r>
      <w:r w:rsidR="00EF2DE1" w:rsidRPr="00EF3C6A">
        <w:rPr>
          <w:snapToGrid/>
          <w:lang w:val="en-US" w:eastAsia="en-AU"/>
        </w:rPr>
        <w:t xml:space="preserve">scripts for </w:t>
      </w:r>
      <w:r w:rsidR="00414AF6" w:rsidRPr="00EF3C6A">
        <w:rPr>
          <w:snapToGrid/>
          <w:lang w:val="en-US" w:eastAsia="en-AU"/>
        </w:rPr>
        <w:t>RCC therap</w:t>
      </w:r>
      <w:r w:rsidR="00EF2DE1" w:rsidRPr="00EF3C6A">
        <w:rPr>
          <w:snapToGrid/>
          <w:lang w:val="en-US" w:eastAsia="en-AU"/>
        </w:rPr>
        <w:t>ies</w:t>
      </w:r>
      <w:r w:rsidR="00414AF6" w:rsidRPr="00EF3C6A">
        <w:rPr>
          <w:snapToGrid/>
          <w:lang w:val="en-US" w:eastAsia="en-AU"/>
        </w:rPr>
        <w:t xml:space="preserve"> in the previous 12 months, and that the numbers were similar when a 24 month look-back period was used. The PSCR stated that this </w:t>
      </w:r>
      <w:r w:rsidR="000A69D3" w:rsidRPr="00EF3C6A">
        <w:rPr>
          <w:snapToGrid/>
          <w:lang w:val="en-US" w:eastAsia="en-AU"/>
        </w:rPr>
        <w:t xml:space="preserve">only </w:t>
      </w:r>
      <w:r w:rsidR="00414AF6" w:rsidRPr="00EF3C6A">
        <w:rPr>
          <w:snapToGrid/>
          <w:lang w:val="en-US" w:eastAsia="en-AU"/>
        </w:rPr>
        <w:t>captured patients commencing treatment in the first-line setting</w:t>
      </w:r>
      <w:r w:rsidR="00EF2DE1" w:rsidRPr="00EF3C6A">
        <w:rPr>
          <w:snapToGrid/>
          <w:lang w:val="en-US" w:eastAsia="en-AU"/>
        </w:rPr>
        <w:t>.</w:t>
      </w:r>
      <w:r w:rsidR="00B11EAA" w:rsidRPr="00EF3C6A">
        <w:rPr>
          <w:snapToGrid/>
          <w:lang w:val="en-US" w:eastAsia="en-AU"/>
        </w:rPr>
        <w:t xml:space="preserve"> </w:t>
      </w:r>
      <w:r w:rsidR="000725BE" w:rsidRPr="00EF3C6A">
        <w:rPr>
          <w:snapToGrid/>
          <w:lang w:val="en-US" w:eastAsia="en-AU"/>
        </w:rPr>
        <w:t>The ESC considered that the submission’s assumption, that most patients with no scripts for RCC therapies in the previous 12 or 24 months would be in the first-line setting, was generally reasonable but may have slightly underestimated the eligible patient population as it may exclude some patient with intervening surgery or on clinical trials (acknowledging the latter was accounted for in a</w:t>
      </w:r>
      <w:r w:rsidR="005F01B0">
        <w:rPr>
          <w:snapToGrid/>
          <w:lang w:val="en-US" w:eastAsia="en-AU"/>
        </w:rPr>
        <w:t xml:space="preserve"> subsequent </w:t>
      </w:r>
      <w:r w:rsidR="000725BE" w:rsidRPr="00EF3C6A">
        <w:rPr>
          <w:snapToGrid/>
          <w:lang w:val="en-US" w:eastAsia="en-AU"/>
        </w:rPr>
        <w:t>step).</w:t>
      </w:r>
    </w:p>
    <w:p w:rsidR="00EC27AB" w:rsidRPr="00EF3C6A" w:rsidRDefault="00EC27AB" w:rsidP="00EC27AB">
      <w:pPr>
        <w:pStyle w:val="Bulletpoints"/>
        <w:ind w:left="1134"/>
        <w:rPr>
          <w:snapToGrid/>
          <w:lang w:val="en-US" w:eastAsia="en-AU"/>
        </w:rPr>
      </w:pPr>
      <w:r w:rsidRPr="00EF3C6A">
        <w:rPr>
          <w:snapToGrid/>
          <w:lang w:val="en-US" w:eastAsia="en-AU"/>
        </w:rPr>
        <w:t>The estimated increase in the size of the incident population with RCC was based on a linear extrapolation of Australian Cancer Incidence and Mortality (ACIM) books kidney cancer rates from 2001 to 2014</w:t>
      </w:r>
      <w:r w:rsidRPr="00EF3C6A">
        <w:rPr>
          <w:rStyle w:val="FootnoteReference"/>
          <w:snapToGrid/>
          <w:lang w:val="en-US" w:eastAsia="en-AU"/>
        </w:rPr>
        <w:footnoteReference w:id="9"/>
      </w:r>
      <w:r w:rsidRPr="00EF3C6A">
        <w:rPr>
          <w:snapToGrid/>
          <w:lang w:val="en-US" w:eastAsia="en-AU"/>
        </w:rPr>
        <w:t>. This equated to an increase of approximately 2-3% per year.</w:t>
      </w:r>
    </w:p>
    <w:p w:rsidR="00EC27AB" w:rsidRPr="00EF3C6A" w:rsidRDefault="00EC27AB" w:rsidP="00EC27AB">
      <w:pPr>
        <w:pStyle w:val="Bulletpoints"/>
        <w:ind w:left="1134"/>
        <w:rPr>
          <w:snapToGrid/>
          <w:lang w:val="en-US" w:eastAsia="en-AU"/>
        </w:rPr>
      </w:pPr>
      <w:r w:rsidRPr="00EF3C6A">
        <w:rPr>
          <w:snapToGrid/>
          <w:lang w:val="en-US" w:eastAsia="en-AU"/>
        </w:rPr>
        <w:t xml:space="preserve">Increasing the size of the PBS-treated </w:t>
      </w:r>
      <w:r w:rsidRPr="0018664B">
        <w:rPr>
          <w:snapToGrid/>
          <w:lang w:val="en-US" w:eastAsia="en-AU"/>
        </w:rPr>
        <w:t xml:space="preserve">population by </w:t>
      </w:r>
      <w:r w:rsidR="00B07F6B">
        <w:rPr>
          <w:noProof/>
          <w:snapToGrid/>
          <w:color w:val="000000"/>
          <w:highlight w:val="black"/>
          <w:lang w:val="en-US" w:eastAsia="en-AU"/>
        </w:rPr>
        <w:t>'''''</w:t>
      </w:r>
      <w:r w:rsidR="008632CE" w:rsidRPr="0018664B">
        <w:rPr>
          <w:snapToGrid/>
          <w:lang w:val="en-US" w:eastAsia="en-AU"/>
        </w:rPr>
        <w:t>%</w:t>
      </w:r>
      <w:r w:rsidRPr="0018664B">
        <w:rPr>
          <w:snapToGrid/>
          <w:lang w:val="en-US" w:eastAsia="en-AU"/>
        </w:rPr>
        <w:t>,</w:t>
      </w:r>
      <w:r w:rsidRPr="00EF3C6A">
        <w:rPr>
          <w:snapToGrid/>
          <w:lang w:val="en-US" w:eastAsia="en-AU"/>
        </w:rPr>
        <w:t xml:space="preserve"> to account for a high level of clinical trial activity occurring in Australia for first-line RCC, which the submission argued had led to a decrease in the PBS treated population. The figure of </w:t>
      </w:r>
      <w:r w:rsidR="00B07F6B">
        <w:rPr>
          <w:noProof/>
          <w:snapToGrid/>
          <w:color w:val="000000"/>
          <w:highlight w:val="black"/>
          <w:lang w:val="en-US" w:eastAsia="en-AU"/>
        </w:rPr>
        <w:t>''''''</w:t>
      </w:r>
      <w:r w:rsidRPr="00EF3C6A">
        <w:rPr>
          <w:snapToGrid/>
          <w:lang w:val="en-US" w:eastAsia="en-AU"/>
        </w:rPr>
        <w:t>% due to increased clinical trial activity, was based on Bristol-Myers Squibb 1L RCC trial participation. A total of four Australian Bristol-Myers Squibb 1L RCC clinical trials were referenced from 2014 to 2018 (CA209-9ER, CA209-800, CA209-214 and CA018-</w:t>
      </w:r>
      <w:r w:rsidRPr="00EF3C6A">
        <w:rPr>
          <w:snapToGrid/>
          <w:lang w:val="en-US" w:eastAsia="en-AU"/>
        </w:rPr>
        <w:lastRenderedPageBreak/>
        <w:t xml:space="preserve">005) and included a total of </w:t>
      </w:r>
      <w:r w:rsidR="00B07F6B">
        <w:rPr>
          <w:noProof/>
          <w:snapToGrid/>
          <w:color w:val="000000"/>
          <w:highlight w:val="black"/>
          <w:lang w:val="en-US" w:eastAsia="en-AU"/>
        </w:rPr>
        <w:t>''''''''</w:t>
      </w:r>
      <w:r w:rsidRPr="00EF3C6A">
        <w:rPr>
          <w:snapToGrid/>
          <w:lang w:val="en-US" w:eastAsia="en-AU"/>
        </w:rPr>
        <w:t xml:space="preserve"> patients. The submission also referenced 1L RCC ongoing trials by pharmaceutical companies Roche and Pfizer, but participant numbers were not provided.</w:t>
      </w:r>
    </w:p>
    <w:p w:rsidR="00EC27AB" w:rsidRPr="00EF3C6A" w:rsidRDefault="00EC27AB" w:rsidP="0025713A">
      <w:pPr>
        <w:pStyle w:val="Bulletpoints"/>
        <w:spacing w:after="160"/>
        <w:ind w:left="1134" w:hanging="357"/>
        <w:rPr>
          <w:snapToGrid/>
          <w:lang w:val="en-US" w:eastAsia="en-AU"/>
        </w:rPr>
      </w:pPr>
      <w:r w:rsidRPr="00EF3C6A">
        <w:rPr>
          <w:snapToGrid/>
          <w:lang w:val="en-US" w:eastAsia="en-AU"/>
        </w:rPr>
        <w:t xml:space="preserve">The submission estimated that </w:t>
      </w:r>
      <w:r w:rsidR="00B07F6B">
        <w:rPr>
          <w:noProof/>
          <w:snapToGrid/>
          <w:color w:val="000000"/>
          <w:highlight w:val="black"/>
          <w:lang w:val="en-US" w:eastAsia="en-AU"/>
        </w:rPr>
        <w:t>'''''</w:t>
      </w:r>
      <w:r w:rsidRPr="00EF3C6A">
        <w:rPr>
          <w:snapToGrid/>
          <w:lang w:val="en-US" w:eastAsia="en-AU"/>
        </w:rPr>
        <w:t>% of the 1L treated advanced/metastatic RCC patients had intermediate or poor risk prognostic scores based on IMDC. This was based on a weighted average from a number of international trials</w:t>
      </w:r>
      <w:r w:rsidRPr="00365223">
        <w:rPr>
          <w:snapToGrid/>
          <w:vertAlign w:val="superscript"/>
          <w:lang w:val="en-US" w:eastAsia="en-AU"/>
        </w:rPr>
        <w:footnoteReference w:id="10"/>
      </w:r>
      <w:r w:rsidRPr="00EF3C6A">
        <w:rPr>
          <w:snapToGrid/>
          <w:lang w:val="en-US" w:eastAsia="en-AU"/>
        </w:rPr>
        <w:t xml:space="preserve"> as well as an Australian retrospective study</w:t>
      </w:r>
      <w:r w:rsidRPr="00365223">
        <w:rPr>
          <w:snapToGrid/>
          <w:vertAlign w:val="superscript"/>
          <w:lang w:val="en-US" w:eastAsia="en-AU"/>
        </w:rPr>
        <w:footnoteReference w:id="11"/>
      </w:r>
      <w:r w:rsidRPr="00EF3C6A">
        <w:rPr>
          <w:snapToGrid/>
          <w:lang w:val="en-US" w:eastAsia="en-AU"/>
        </w:rPr>
        <w:t xml:space="preserve"> and phase III comparative studies (COMPARZ</w:t>
      </w:r>
      <w:r w:rsidRPr="00365223">
        <w:rPr>
          <w:snapToGrid/>
          <w:vertAlign w:val="superscript"/>
          <w:lang w:val="en-US" w:eastAsia="en-AU"/>
        </w:rPr>
        <w:footnoteReference w:id="12"/>
      </w:r>
      <w:r w:rsidRPr="00EF3C6A">
        <w:rPr>
          <w:snapToGrid/>
          <w:lang w:val="en-US" w:eastAsia="en-AU"/>
        </w:rPr>
        <w:t xml:space="preserve"> and Study CA209214). This appeared reasonable.</w:t>
      </w:r>
    </w:p>
    <w:p w:rsidR="00EC27AB" w:rsidRPr="00EF3C6A" w:rsidRDefault="00EC27AB" w:rsidP="0025713A">
      <w:pPr>
        <w:pStyle w:val="ListParagraph"/>
        <w:widowControl/>
        <w:numPr>
          <w:ilvl w:val="1"/>
          <w:numId w:val="3"/>
        </w:numPr>
      </w:pPr>
      <w:r w:rsidRPr="00EF3C6A">
        <w:t xml:space="preserve">The submission estimated the uptake of NIVO+IPI combination in future Australian practice is </w:t>
      </w:r>
      <w:r w:rsidR="00B07F6B">
        <w:rPr>
          <w:noProof/>
          <w:color w:val="000000"/>
          <w:highlight w:val="black"/>
        </w:rPr>
        <w:t>'''''</w:t>
      </w:r>
      <w:r w:rsidRPr="00EF3C6A">
        <w:t xml:space="preserve">% in patients with intermediate/poor risk, with a potential lower limit of </w:t>
      </w:r>
      <w:r w:rsidR="00B07F6B">
        <w:rPr>
          <w:noProof/>
          <w:color w:val="000000"/>
          <w:highlight w:val="black"/>
        </w:rPr>
        <w:t>'''''</w:t>
      </w:r>
      <w:r w:rsidRPr="00EF3C6A">
        <w:t>% (meeting minutes of Bristol Myers Squibb 1L Renal cell carcinoma advisory board- Appendix 3 of submission).</w:t>
      </w:r>
    </w:p>
    <w:p w:rsidR="00EC27AB" w:rsidRPr="00EF3C6A" w:rsidRDefault="00EC27AB" w:rsidP="0025713A">
      <w:pPr>
        <w:pStyle w:val="ListParagraph"/>
        <w:widowControl/>
        <w:numPr>
          <w:ilvl w:val="1"/>
          <w:numId w:val="3"/>
        </w:numPr>
      </w:pPr>
      <w:r w:rsidRPr="00EF3C6A">
        <w:rPr>
          <w:snapToGrid/>
          <w:lang w:val="en-US" w:eastAsia="en-AU"/>
        </w:rPr>
        <w:t xml:space="preserve">The submission reported that the most likely PBS medicines affected by the listing of NIVO+IPI for 1L RCC therapy were the currently listed therapies in the 1L, 2L and 3L setting. The submission stated that the utilisation of </w:t>
      </w:r>
      <w:proofErr w:type="spellStart"/>
      <w:r w:rsidRPr="00EF3C6A">
        <w:rPr>
          <w:snapToGrid/>
          <w:lang w:val="en-US" w:eastAsia="en-AU"/>
        </w:rPr>
        <w:t>sunitinib</w:t>
      </w:r>
      <w:proofErr w:type="spellEnd"/>
      <w:r w:rsidRPr="00EF3C6A">
        <w:rPr>
          <w:snapToGrid/>
          <w:lang w:val="en-US" w:eastAsia="en-AU"/>
        </w:rPr>
        <w:t xml:space="preserve"> and </w:t>
      </w:r>
      <w:proofErr w:type="spellStart"/>
      <w:r w:rsidRPr="00EF3C6A">
        <w:rPr>
          <w:snapToGrid/>
          <w:lang w:val="en-US" w:eastAsia="en-AU"/>
        </w:rPr>
        <w:t>pazopanib</w:t>
      </w:r>
      <w:proofErr w:type="spellEnd"/>
      <w:r w:rsidRPr="00EF3C6A">
        <w:rPr>
          <w:snapToGrid/>
          <w:lang w:val="en-US" w:eastAsia="en-AU"/>
        </w:rPr>
        <w:t xml:space="preserve"> in the 1L setting and nivolumab in the 2L setting were anticipated to be reduced, and therefore represented the majority of PBS/RPBS cost offsets over the six year forecast period.</w:t>
      </w:r>
    </w:p>
    <w:p w:rsidR="00EC27AB" w:rsidRPr="00EF3C6A" w:rsidRDefault="00EC27AB" w:rsidP="00EC27AB">
      <w:pPr>
        <w:pStyle w:val="ListParagraph"/>
        <w:widowControl/>
        <w:numPr>
          <w:ilvl w:val="1"/>
          <w:numId w:val="3"/>
        </w:numPr>
      </w:pPr>
      <w:r w:rsidRPr="00EF3C6A">
        <w:t>The proportion of patients requiring subsequent 2L therapy (</w:t>
      </w:r>
      <w:r w:rsidR="00B07F6B">
        <w:rPr>
          <w:noProof/>
          <w:color w:val="000000"/>
          <w:highlight w:val="black"/>
        </w:rPr>
        <w:t>'''''</w:t>
      </w:r>
      <w:r w:rsidRPr="00EF3C6A">
        <w:t>%) and 3L therapy (</w:t>
      </w:r>
      <w:r w:rsidR="00B07F6B">
        <w:rPr>
          <w:noProof/>
          <w:color w:val="000000"/>
          <w:highlight w:val="black"/>
        </w:rPr>
        <w:t>'''''</w:t>
      </w:r>
      <w:r w:rsidRPr="00EF3C6A">
        <w:t xml:space="preserve">%) were consistent with figures previously accepted by PBAC for the listing of nivolumab for use in the 2L treatment for RCC. As reported by PBAC, an increased </w:t>
      </w:r>
      <w:r w:rsidR="00B07F6B">
        <w:rPr>
          <w:noProof/>
          <w:color w:val="000000"/>
          <w:highlight w:val="black"/>
        </w:rPr>
        <w:t>'''''</w:t>
      </w:r>
      <w:r w:rsidRPr="00EF3C6A">
        <w:t xml:space="preserve">% initiation of 2L therapy was considered to be a likely overestimation, although this figure represented a reasonable upper limit for the purposes of calculating risk sharing arrangement caps (Paragraph 6.46, Nivolumab Public Summary Document, March 2017). </w:t>
      </w:r>
      <w:r w:rsidR="004D7F21">
        <w:t xml:space="preserve">The PBAC therefore considered it was </w:t>
      </w:r>
      <w:r w:rsidRPr="00EF3C6A">
        <w:t>likely that cost offsets associated substituted 2L and 3L therapies may be overestimated.</w:t>
      </w:r>
    </w:p>
    <w:p w:rsidR="00EC27AB" w:rsidRPr="00EF3C6A" w:rsidRDefault="00EC27AB" w:rsidP="00EC27AB">
      <w:pPr>
        <w:pStyle w:val="ListParagraph"/>
        <w:widowControl/>
        <w:numPr>
          <w:ilvl w:val="1"/>
          <w:numId w:val="3"/>
        </w:numPr>
      </w:pPr>
      <w:r w:rsidRPr="00EF3C6A">
        <w:rPr>
          <w:snapToGrid/>
          <w:lang w:val="en-US" w:eastAsia="en-AU"/>
        </w:rPr>
        <w:t>The relative market share of subsequent therapies in second- and third-line settings were informed by the virtual advisory board. These values were based on a small number of oncologists (n=9/12), and their opinions may not be representative of the Australian clinical practice.</w:t>
      </w:r>
    </w:p>
    <w:p w:rsidR="00EC27AB" w:rsidRPr="00EF3C6A" w:rsidRDefault="00EC27AB" w:rsidP="00D25256">
      <w:pPr>
        <w:keepNext/>
        <w:rPr>
          <w:rStyle w:val="CommentReference"/>
        </w:rPr>
      </w:pPr>
      <w:bookmarkStart w:id="21" w:name="_GoBack"/>
      <w:r w:rsidRPr="00EF3C6A">
        <w:rPr>
          <w:rStyle w:val="CommentReference"/>
        </w:rPr>
        <w:lastRenderedPageBreak/>
        <w:t xml:space="preserve">Table </w:t>
      </w:r>
      <w:r w:rsidR="00755DFA" w:rsidRPr="00EF3C6A">
        <w:rPr>
          <w:rStyle w:val="CommentReference"/>
        </w:rPr>
        <w:t>14</w:t>
      </w:r>
      <w:r w:rsidRPr="00EF3C6A">
        <w:rPr>
          <w:rStyle w:val="CommentReference"/>
        </w:rPr>
        <w:t>: Estimated use and financial implications</w:t>
      </w:r>
    </w:p>
    <w:bookmarkEnd w:id="21"/>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95"/>
        <w:gridCol w:w="1292"/>
        <w:gridCol w:w="1292"/>
        <w:gridCol w:w="1292"/>
        <w:gridCol w:w="1292"/>
        <w:gridCol w:w="1292"/>
        <w:gridCol w:w="1288"/>
      </w:tblGrid>
      <w:tr w:rsidR="00EC27AB" w:rsidRPr="00EF3C6A" w:rsidTr="009C62D2">
        <w:trPr>
          <w:tblHeader/>
        </w:trPr>
        <w:tc>
          <w:tcPr>
            <w:tcW w:w="808" w:type="pct"/>
            <w:shd w:val="clear" w:color="auto" w:fill="auto"/>
            <w:vAlign w:val="center"/>
          </w:tcPr>
          <w:p w:rsidR="00EC27AB" w:rsidRPr="00EF3C6A" w:rsidRDefault="00EC27AB" w:rsidP="00EC27AB">
            <w:pPr>
              <w:pStyle w:val="Tabletext"/>
            </w:pPr>
          </w:p>
        </w:tc>
        <w:tc>
          <w:tcPr>
            <w:tcW w:w="699" w:type="pct"/>
            <w:shd w:val="clear" w:color="auto" w:fill="auto"/>
            <w:vAlign w:val="center"/>
          </w:tcPr>
          <w:p w:rsidR="00EC27AB" w:rsidRPr="00EF3C6A" w:rsidRDefault="00EC27AB" w:rsidP="00EC27AB">
            <w:pPr>
              <w:pStyle w:val="Tabletext"/>
              <w:jc w:val="center"/>
              <w:rPr>
                <w:b/>
              </w:rPr>
            </w:pPr>
            <w:r w:rsidRPr="00EF3C6A">
              <w:rPr>
                <w:b/>
              </w:rPr>
              <w:t>Year 1</w:t>
            </w:r>
          </w:p>
        </w:tc>
        <w:tc>
          <w:tcPr>
            <w:tcW w:w="699" w:type="pct"/>
            <w:shd w:val="clear" w:color="auto" w:fill="auto"/>
            <w:vAlign w:val="center"/>
          </w:tcPr>
          <w:p w:rsidR="00EC27AB" w:rsidRPr="00EF3C6A" w:rsidRDefault="00EC27AB" w:rsidP="00EC27AB">
            <w:pPr>
              <w:pStyle w:val="Tabletext"/>
              <w:jc w:val="center"/>
              <w:rPr>
                <w:b/>
              </w:rPr>
            </w:pPr>
            <w:r w:rsidRPr="00EF3C6A">
              <w:rPr>
                <w:b/>
              </w:rPr>
              <w:t>Year 2</w:t>
            </w:r>
          </w:p>
        </w:tc>
        <w:tc>
          <w:tcPr>
            <w:tcW w:w="699" w:type="pct"/>
            <w:shd w:val="clear" w:color="auto" w:fill="auto"/>
            <w:vAlign w:val="center"/>
          </w:tcPr>
          <w:p w:rsidR="00EC27AB" w:rsidRPr="00EF3C6A" w:rsidRDefault="00EC27AB" w:rsidP="00EC27AB">
            <w:pPr>
              <w:pStyle w:val="Tabletext"/>
              <w:jc w:val="center"/>
              <w:rPr>
                <w:b/>
              </w:rPr>
            </w:pPr>
            <w:r w:rsidRPr="00EF3C6A">
              <w:rPr>
                <w:b/>
              </w:rPr>
              <w:t>Year 3</w:t>
            </w:r>
          </w:p>
        </w:tc>
        <w:tc>
          <w:tcPr>
            <w:tcW w:w="699" w:type="pct"/>
            <w:shd w:val="clear" w:color="auto" w:fill="auto"/>
            <w:vAlign w:val="center"/>
          </w:tcPr>
          <w:p w:rsidR="00EC27AB" w:rsidRPr="00EF3C6A" w:rsidRDefault="00EC27AB" w:rsidP="00EC27AB">
            <w:pPr>
              <w:pStyle w:val="Tabletext"/>
              <w:jc w:val="center"/>
              <w:rPr>
                <w:b/>
              </w:rPr>
            </w:pPr>
            <w:r w:rsidRPr="00EF3C6A">
              <w:rPr>
                <w:b/>
              </w:rPr>
              <w:t>Year 4</w:t>
            </w:r>
          </w:p>
        </w:tc>
        <w:tc>
          <w:tcPr>
            <w:tcW w:w="699" w:type="pct"/>
            <w:shd w:val="clear" w:color="auto" w:fill="auto"/>
            <w:vAlign w:val="center"/>
          </w:tcPr>
          <w:p w:rsidR="00EC27AB" w:rsidRPr="00EF3C6A" w:rsidRDefault="00EC27AB" w:rsidP="00EC27AB">
            <w:pPr>
              <w:pStyle w:val="Tabletext"/>
              <w:jc w:val="center"/>
              <w:rPr>
                <w:b/>
              </w:rPr>
            </w:pPr>
            <w:r w:rsidRPr="00EF3C6A">
              <w:rPr>
                <w:b/>
              </w:rPr>
              <w:t>Year 5</w:t>
            </w:r>
          </w:p>
        </w:tc>
        <w:tc>
          <w:tcPr>
            <w:tcW w:w="698" w:type="pct"/>
          </w:tcPr>
          <w:p w:rsidR="00EC27AB" w:rsidRPr="00EF3C6A" w:rsidRDefault="00EC27AB" w:rsidP="00EC27AB">
            <w:pPr>
              <w:pStyle w:val="Tabletext"/>
              <w:jc w:val="center"/>
              <w:rPr>
                <w:b/>
              </w:rPr>
            </w:pPr>
            <w:r w:rsidRPr="00EF3C6A">
              <w:rPr>
                <w:b/>
              </w:rPr>
              <w:t>Year 6</w:t>
            </w:r>
          </w:p>
        </w:tc>
      </w:tr>
      <w:tr w:rsidR="00EC27AB" w:rsidRPr="00EF3C6A" w:rsidTr="009C62D2">
        <w:tc>
          <w:tcPr>
            <w:tcW w:w="5000" w:type="pct"/>
            <w:gridSpan w:val="7"/>
            <w:shd w:val="clear" w:color="auto" w:fill="auto"/>
            <w:vAlign w:val="center"/>
          </w:tcPr>
          <w:p w:rsidR="00EC27AB" w:rsidRPr="00EF3C6A" w:rsidRDefault="00EC27AB" w:rsidP="00EC27AB">
            <w:pPr>
              <w:pStyle w:val="Tabletext"/>
              <w:rPr>
                <w:b/>
                <w:bCs/>
                <w:color w:val="000000"/>
              </w:rPr>
            </w:pPr>
            <w:r w:rsidRPr="00EF3C6A">
              <w:rPr>
                <w:b/>
                <w:bCs/>
                <w:color w:val="000000"/>
              </w:rPr>
              <w:t>Estimated extent of use of NIVO+IPI</w:t>
            </w:r>
          </w:p>
        </w:tc>
      </w:tr>
      <w:tr w:rsidR="00EC27AB" w:rsidRPr="00EF3C6A" w:rsidTr="009C62D2">
        <w:tc>
          <w:tcPr>
            <w:tcW w:w="808" w:type="pct"/>
            <w:shd w:val="clear" w:color="auto" w:fill="auto"/>
            <w:vAlign w:val="center"/>
          </w:tcPr>
          <w:p w:rsidR="00EC27AB" w:rsidRPr="00EF3C6A" w:rsidRDefault="00EC27AB" w:rsidP="00EC27AB">
            <w:pPr>
              <w:pStyle w:val="Tabletext"/>
              <w:rPr>
                <w:rFonts w:ascii="Times" w:hAnsi="Times"/>
              </w:rPr>
            </w:pPr>
            <w:r w:rsidRPr="00EF3C6A">
              <w:t>Number of patients treated</w:t>
            </w:r>
          </w:p>
        </w:tc>
        <w:tc>
          <w:tcPr>
            <w:tcW w:w="699" w:type="pct"/>
            <w:shd w:val="clear" w:color="auto" w:fill="auto"/>
            <w:vAlign w:val="center"/>
          </w:tcPr>
          <w:p w:rsidR="00EC27AB" w:rsidRPr="00B07F6B" w:rsidRDefault="00B07F6B" w:rsidP="00EC27AB">
            <w:pPr>
              <w:pStyle w:val="Tabletext"/>
              <w:jc w:val="center"/>
              <w:rPr>
                <w:bCs/>
                <w:color w:val="000000"/>
                <w:highlight w:val="black"/>
              </w:rPr>
            </w:pPr>
            <w:r>
              <w:rPr>
                <w:noProof/>
                <w:color w:val="000000"/>
                <w:highlight w:val="black"/>
              </w:rPr>
              <w:t>''''''''''</w:t>
            </w:r>
          </w:p>
        </w:tc>
        <w:tc>
          <w:tcPr>
            <w:tcW w:w="699" w:type="pct"/>
            <w:shd w:val="clear" w:color="auto" w:fill="auto"/>
            <w:vAlign w:val="center"/>
          </w:tcPr>
          <w:p w:rsidR="00EC27AB" w:rsidRPr="00B07F6B" w:rsidRDefault="00B07F6B" w:rsidP="00EC27AB">
            <w:pPr>
              <w:pStyle w:val="Tabletext"/>
              <w:jc w:val="center"/>
              <w:rPr>
                <w:bCs/>
                <w:color w:val="000000"/>
                <w:highlight w:val="black"/>
              </w:rPr>
            </w:pPr>
            <w:r>
              <w:rPr>
                <w:noProof/>
                <w:color w:val="000000"/>
                <w:highlight w:val="black"/>
              </w:rPr>
              <w:t>'''''''''</w:t>
            </w:r>
          </w:p>
        </w:tc>
        <w:tc>
          <w:tcPr>
            <w:tcW w:w="699" w:type="pct"/>
            <w:shd w:val="clear" w:color="auto" w:fill="auto"/>
            <w:vAlign w:val="center"/>
          </w:tcPr>
          <w:p w:rsidR="00EC27AB" w:rsidRPr="00B07F6B" w:rsidRDefault="00B07F6B" w:rsidP="00EC27AB">
            <w:pPr>
              <w:pStyle w:val="Tabletext"/>
              <w:jc w:val="center"/>
              <w:rPr>
                <w:bCs/>
                <w:color w:val="000000"/>
                <w:highlight w:val="black"/>
              </w:rPr>
            </w:pPr>
            <w:r>
              <w:rPr>
                <w:noProof/>
                <w:color w:val="000000"/>
                <w:highlight w:val="black"/>
              </w:rPr>
              <w:t>''''''''''</w:t>
            </w:r>
          </w:p>
        </w:tc>
        <w:tc>
          <w:tcPr>
            <w:tcW w:w="699" w:type="pct"/>
            <w:shd w:val="clear" w:color="auto" w:fill="auto"/>
            <w:vAlign w:val="center"/>
          </w:tcPr>
          <w:p w:rsidR="00EC27AB" w:rsidRPr="00B07F6B" w:rsidRDefault="00B07F6B" w:rsidP="00EC27AB">
            <w:pPr>
              <w:pStyle w:val="Tabletext"/>
              <w:jc w:val="center"/>
              <w:rPr>
                <w:bCs/>
                <w:color w:val="000000"/>
                <w:highlight w:val="black"/>
              </w:rPr>
            </w:pPr>
            <w:r>
              <w:rPr>
                <w:noProof/>
                <w:color w:val="000000"/>
                <w:highlight w:val="black"/>
              </w:rPr>
              <w:t>'''''''''</w:t>
            </w:r>
          </w:p>
        </w:tc>
        <w:tc>
          <w:tcPr>
            <w:tcW w:w="699" w:type="pct"/>
            <w:shd w:val="clear" w:color="auto" w:fill="auto"/>
            <w:vAlign w:val="center"/>
          </w:tcPr>
          <w:p w:rsidR="00EC27AB" w:rsidRPr="00B07F6B" w:rsidRDefault="00B07F6B" w:rsidP="00EC27AB">
            <w:pPr>
              <w:pStyle w:val="Tabletext"/>
              <w:jc w:val="center"/>
              <w:rPr>
                <w:bCs/>
                <w:color w:val="000000"/>
                <w:highlight w:val="black"/>
              </w:rPr>
            </w:pPr>
            <w:r>
              <w:rPr>
                <w:noProof/>
                <w:color w:val="000000"/>
                <w:highlight w:val="black"/>
              </w:rPr>
              <w:t>'''''''''</w:t>
            </w:r>
          </w:p>
        </w:tc>
        <w:tc>
          <w:tcPr>
            <w:tcW w:w="698" w:type="pct"/>
            <w:vAlign w:val="center"/>
          </w:tcPr>
          <w:p w:rsidR="00EC27AB" w:rsidRPr="00B07F6B" w:rsidRDefault="00B07F6B" w:rsidP="00EC27AB">
            <w:pPr>
              <w:pStyle w:val="Tabletext"/>
              <w:jc w:val="center"/>
              <w:rPr>
                <w:bCs/>
                <w:color w:val="000000"/>
                <w:highlight w:val="black"/>
              </w:rPr>
            </w:pPr>
            <w:r>
              <w:rPr>
                <w:noProof/>
                <w:color w:val="000000"/>
                <w:highlight w:val="black"/>
              </w:rPr>
              <w:t>''''''''''</w:t>
            </w:r>
          </w:p>
        </w:tc>
      </w:tr>
      <w:tr w:rsidR="00EC27AB" w:rsidRPr="00EF3C6A" w:rsidTr="009C62D2">
        <w:tc>
          <w:tcPr>
            <w:tcW w:w="808" w:type="pct"/>
            <w:shd w:val="clear" w:color="auto" w:fill="auto"/>
            <w:vAlign w:val="center"/>
          </w:tcPr>
          <w:p w:rsidR="00EC27AB" w:rsidRPr="00EF3C6A" w:rsidRDefault="00EC27AB" w:rsidP="00EC27AB">
            <w:pPr>
              <w:pStyle w:val="Tabletext"/>
              <w:rPr>
                <w:rFonts w:ascii="Times" w:hAnsi="Times"/>
              </w:rPr>
            </w:pPr>
            <w:r w:rsidRPr="00EF3C6A">
              <w:t>Induction infusions/year</w:t>
            </w:r>
          </w:p>
        </w:tc>
        <w:tc>
          <w:tcPr>
            <w:tcW w:w="699" w:type="pct"/>
            <w:shd w:val="clear" w:color="auto" w:fill="auto"/>
            <w:vAlign w:val="center"/>
          </w:tcPr>
          <w:p w:rsidR="00EC27AB" w:rsidRPr="00B07F6B" w:rsidRDefault="00B07F6B" w:rsidP="00EC27AB">
            <w:pPr>
              <w:pStyle w:val="Tabletext"/>
              <w:jc w:val="center"/>
              <w:rPr>
                <w:bCs/>
                <w:color w:val="000000"/>
                <w:highlight w:val="black"/>
              </w:rPr>
            </w:pPr>
            <w:r>
              <w:rPr>
                <w:noProof/>
                <w:color w:val="000000"/>
                <w:highlight w:val="black"/>
              </w:rPr>
              <w:t xml:space="preserve">'''''''''''''' </w:t>
            </w:r>
          </w:p>
        </w:tc>
        <w:tc>
          <w:tcPr>
            <w:tcW w:w="699" w:type="pct"/>
            <w:shd w:val="clear" w:color="auto" w:fill="auto"/>
            <w:vAlign w:val="center"/>
          </w:tcPr>
          <w:p w:rsidR="00EC27AB" w:rsidRPr="00B07F6B" w:rsidRDefault="00B07F6B" w:rsidP="00EC27AB">
            <w:pPr>
              <w:pStyle w:val="Tabletext"/>
              <w:jc w:val="center"/>
              <w:rPr>
                <w:bCs/>
                <w:color w:val="000000"/>
                <w:highlight w:val="black"/>
              </w:rPr>
            </w:pPr>
            <w:r>
              <w:rPr>
                <w:noProof/>
                <w:color w:val="000000"/>
                <w:highlight w:val="black"/>
              </w:rPr>
              <w:t xml:space="preserve">''''''''''''' </w:t>
            </w:r>
          </w:p>
        </w:tc>
        <w:tc>
          <w:tcPr>
            <w:tcW w:w="699" w:type="pct"/>
            <w:shd w:val="clear" w:color="auto" w:fill="auto"/>
            <w:vAlign w:val="center"/>
          </w:tcPr>
          <w:p w:rsidR="00EC27AB" w:rsidRPr="00B07F6B" w:rsidRDefault="00B07F6B" w:rsidP="00EC27AB">
            <w:pPr>
              <w:pStyle w:val="Tabletext"/>
              <w:jc w:val="center"/>
              <w:rPr>
                <w:bCs/>
                <w:color w:val="000000"/>
                <w:highlight w:val="black"/>
              </w:rPr>
            </w:pPr>
            <w:r>
              <w:rPr>
                <w:noProof/>
                <w:color w:val="000000"/>
                <w:highlight w:val="black"/>
              </w:rPr>
              <w:t xml:space="preserve">'''''''''''' </w:t>
            </w:r>
          </w:p>
        </w:tc>
        <w:tc>
          <w:tcPr>
            <w:tcW w:w="699" w:type="pct"/>
            <w:shd w:val="clear" w:color="auto" w:fill="auto"/>
            <w:vAlign w:val="center"/>
          </w:tcPr>
          <w:p w:rsidR="00EC27AB" w:rsidRPr="00B07F6B" w:rsidRDefault="00B07F6B" w:rsidP="00EC27AB">
            <w:pPr>
              <w:pStyle w:val="Tabletext"/>
              <w:jc w:val="center"/>
              <w:rPr>
                <w:bCs/>
                <w:color w:val="000000"/>
                <w:highlight w:val="black"/>
              </w:rPr>
            </w:pPr>
            <w:r>
              <w:rPr>
                <w:noProof/>
                <w:color w:val="000000"/>
                <w:highlight w:val="black"/>
              </w:rPr>
              <w:t xml:space="preserve">''''''''''''' </w:t>
            </w:r>
          </w:p>
        </w:tc>
        <w:tc>
          <w:tcPr>
            <w:tcW w:w="699" w:type="pct"/>
            <w:shd w:val="clear" w:color="auto" w:fill="auto"/>
            <w:vAlign w:val="center"/>
          </w:tcPr>
          <w:p w:rsidR="00EC27AB" w:rsidRPr="00B07F6B" w:rsidRDefault="00B07F6B" w:rsidP="00EC27AB">
            <w:pPr>
              <w:pStyle w:val="Tabletext"/>
              <w:jc w:val="center"/>
              <w:rPr>
                <w:bCs/>
                <w:color w:val="000000"/>
                <w:highlight w:val="black"/>
              </w:rPr>
            </w:pPr>
            <w:r>
              <w:rPr>
                <w:noProof/>
                <w:color w:val="000000"/>
                <w:highlight w:val="black"/>
              </w:rPr>
              <w:t xml:space="preserve">'''''''''''''' </w:t>
            </w:r>
          </w:p>
        </w:tc>
        <w:tc>
          <w:tcPr>
            <w:tcW w:w="698" w:type="pct"/>
            <w:vAlign w:val="center"/>
          </w:tcPr>
          <w:p w:rsidR="00EC27AB" w:rsidRPr="00B07F6B" w:rsidRDefault="00B07F6B" w:rsidP="00EC27AB">
            <w:pPr>
              <w:pStyle w:val="Tabletext"/>
              <w:jc w:val="center"/>
              <w:rPr>
                <w:bCs/>
                <w:color w:val="000000"/>
                <w:highlight w:val="black"/>
              </w:rPr>
            </w:pPr>
            <w:r>
              <w:rPr>
                <w:noProof/>
                <w:color w:val="000000"/>
                <w:highlight w:val="black"/>
              </w:rPr>
              <w:t xml:space="preserve">'''''''''''''' </w:t>
            </w:r>
          </w:p>
        </w:tc>
      </w:tr>
      <w:tr w:rsidR="00EC27AB" w:rsidRPr="00EF3C6A" w:rsidTr="009C62D2">
        <w:tc>
          <w:tcPr>
            <w:tcW w:w="808" w:type="pct"/>
            <w:shd w:val="clear" w:color="auto" w:fill="auto"/>
            <w:vAlign w:val="center"/>
          </w:tcPr>
          <w:p w:rsidR="00EC27AB" w:rsidRPr="00EF3C6A" w:rsidRDefault="00EC27AB" w:rsidP="00EC27AB">
            <w:pPr>
              <w:pStyle w:val="Tabletext"/>
            </w:pPr>
            <w:r w:rsidRPr="00EF3C6A">
              <w:t>Maintenance infusions/year</w:t>
            </w:r>
          </w:p>
        </w:tc>
        <w:tc>
          <w:tcPr>
            <w:tcW w:w="699" w:type="pct"/>
            <w:shd w:val="clear" w:color="auto" w:fill="auto"/>
            <w:vAlign w:val="center"/>
          </w:tcPr>
          <w:p w:rsidR="00EC27AB" w:rsidRPr="00B07F6B" w:rsidRDefault="00B07F6B" w:rsidP="00EC27AB">
            <w:pPr>
              <w:pStyle w:val="Tabletext"/>
              <w:jc w:val="center"/>
              <w:rPr>
                <w:bCs/>
                <w:color w:val="000000"/>
                <w:highlight w:val="black"/>
              </w:rPr>
            </w:pPr>
            <w:r>
              <w:rPr>
                <w:noProof/>
                <w:color w:val="000000"/>
                <w:highlight w:val="black"/>
              </w:rPr>
              <w:t xml:space="preserve">''''''''''''' </w:t>
            </w:r>
          </w:p>
        </w:tc>
        <w:tc>
          <w:tcPr>
            <w:tcW w:w="699" w:type="pct"/>
            <w:shd w:val="clear" w:color="auto" w:fill="auto"/>
            <w:vAlign w:val="center"/>
          </w:tcPr>
          <w:p w:rsidR="00EC27AB" w:rsidRPr="00B07F6B" w:rsidRDefault="00B07F6B" w:rsidP="00EC27AB">
            <w:pPr>
              <w:pStyle w:val="Tabletext"/>
              <w:jc w:val="center"/>
              <w:rPr>
                <w:bCs/>
                <w:color w:val="000000"/>
                <w:highlight w:val="black"/>
              </w:rPr>
            </w:pPr>
            <w:r>
              <w:rPr>
                <w:noProof/>
                <w:color w:val="000000"/>
                <w:highlight w:val="black"/>
              </w:rPr>
              <w:t xml:space="preserve">''''''''''''''' </w:t>
            </w:r>
          </w:p>
        </w:tc>
        <w:tc>
          <w:tcPr>
            <w:tcW w:w="699" w:type="pct"/>
            <w:shd w:val="clear" w:color="auto" w:fill="auto"/>
            <w:vAlign w:val="center"/>
          </w:tcPr>
          <w:p w:rsidR="00EC27AB" w:rsidRPr="00B07F6B" w:rsidRDefault="00B07F6B" w:rsidP="00EC27AB">
            <w:pPr>
              <w:pStyle w:val="Tabletext"/>
              <w:jc w:val="center"/>
              <w:rPr>
                <w:bCs/>
                <w:color w:val="000000"/>
                <w:highlight w:val="black"/>
              </w:rPr>
            </w:pPr>
            <w:r>
              <w:rPr>
                <w:noProof/>
                <w:color w:val="000000"/>
                <w:highlight w:val="black"/>
              </w:rPr>
              <w:t xml:space="preserve">''''''''''''''''' </w:t>
            </w:r>
          </w:p>
        </w:tc>
        <w:tc>
          <w:tcPr>
            <w:tcW w:w="699" w:type="pct"/>
            <w:shd w:val="clear" w:color="auto" w:fill="auto"/>
            <w:vAlign w:val="center"/>
          </w:tcPr>
          <w:p w:rsidR="00EC27AB" w:rsidRPr="00B07F6B" w:rsidRDefault="00B07F6B" w:rsidP="00EC27AB">
            <w:pPr>
              <w:pStyle w:val="Tabletext"/>
              <w:jc w:val="center"/>
              <w:rPr>
                <w:bCs/>
                <w:color w:val="000000"/>
                <w:highlight w:val="black"/>
              </w:rPr>
            </w:pPr>
            <w:r>
              <w:rPr>
                <w:noProof/>
                <w:color w:val="000000"/>
                <w:highlight w:val="black"/>
              </w:rPr>
              <w:t xml:space="preserve">'''''''''''''''''' </w:t>
            </w:r>
          </w:p>
        </w:tc>
        <w:tc>
          <w:tcPr>
            <w:tcW w:w="699" w:type="pct"/>
            <w:shd w:val="clear" w:color="auto" w:fill="auto"/>
            <w:vAlign w:val="center"/>
          </w:tcPr>
          <w:p w:rsidR="00EC27AB" w:rsidRPr="00B07F6B" w:rsidRDefault="00B07F6B" w:rsidP="00EC27AB">
            <w:pPr>
              <w:pStyle w:val="Tabletext"/>
              <w:jc w:val="center"/>
              <w:rPr>
                <w:bCs/>
                <w:color w:val="000000"/>
                <w:highlight w:val="black"/>
              </w:rPr>
            </w:pPr>
            <w:r>
              <w:rPr>
                <w:noProof/>
                <w:color w:val="000000"/>
                <w:highlight w:val="black"/>
              </w:rPr>
              <w:t xml:space="preserve">''''''''''''''''' </w:t>
            </w:r>
          </w:p>
        </w:tc>
        <w:tc>
          <w:tcPr>
            <w:tcW w:w="698" w:type="pct"/>
            <w:vAlign w:val="center"/>
          </w:tcPr>
          <w:p w:rsidR="00EC27AB" w:rsidRPr="00B07F6B" w:rsidRDefault="00B07F6B" w:rsidP="00EC27AB">
            <w:pPr>
              <w:pStyle w:val="Tabletext"/>
              <w:jc w:val="center"/>
              <w:rPr>
                <w:bCs/>
                <w:color w:val="000000"/>
                <w:highlight w:val="black"/>
              </w:rPr>
            </w:pPr>
            <w:r>
              <w:rPr>
                <w:noProof/>
                <w:color w:val="000000"/>
                <w:highlight w:val="black"/>
              </w:rPr>
              <w:t xml:space="preserve">'''''''''''''''' </w:t>
            </w:r>
          </w:p>
        </w:tc>
      </w:tr>
      <w:tr w:rsidR="00EC27AB" w:rsidRPr="00EF3C6A" w:rsidTr="009C62D2">
        <w:tc>
          <w:tcPr>
            <w:tcW w:w="5000" w:type="pct"/>
            <w:gridSpan w:val="7"/>
            <w:shd w:val="clear" w:color="auto" w:fill="auto"/>
            <w:vAlign w:val="center"/>
          </w:tcPr>
          <w:p w:rsidR="00EC27AB" w:rsidRPr="00EF3C6A" w:rsidRDefault="00EC27AB" w:rsidP="00EC27AB">
            <w:pPr>
              <w:pStyle w:val="Tabletext"/>
              <w:rPr>
                <w:b/>
                <w:bCs/>
                <w:color w:val="000000"/>
              </w:rPr>
            </w:pPr>
            <w:r w:rsidRPr="00EF3C6A">
              <w:rPr>
                <w:b/>
                <w:bCs/>
                <w:color w:val="000000"/>
              </w:rPr>
              <w:t>Estimated financial implications of NIVO+IPI</w:t>
            </w:r>
          </w:p>
        </w:tc>
      </w:tr>
      <w:tr w:rsidR="00EC27AB" w:rsidRPr="00EF3C6A" w:rsidTr="009C62D2">
        <w:tc>
          <w:tcPr>
            <w:tcW w:w="808" w:type="pct"/>
            <w:shd w:val="clear" w:color="auto" w:fill="auto"/>
            <w:vAlign w:val="center"/>
          </w:tcPr>
          <w:p w:rsidR="00EC27AB" w:rsidRPr="00EF3C6A" w:rsidRDefault="00EC27AB" w:rsidP="00EC27AB">
            <w:pPr>
              <w:pStyle w:val="Tabletext"/>
              <w:rPr>
                <w:rFonts w:ascii="Times" w:hAnsi="Times"/>
              </w:rPr>
            </w:pPr>
            <w:r w:rsidRPr="00EF3C6A">
              <w:rPr>
                <w:sz w:val="19"/>
                <w:szCs w:val="19"/>
              </w:rPr>
              <w:t>Cost to PBS/RPBS</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8" w:type="pct"/>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r>
      <w:tr w:rsidR="00EC27AB" w:rsidRPr="00EF3C6A" w:rsidTr="009C62D2">
        <w:tc>
          <w:tcPr>
            <w:tcW w:w="808" w:type="pct"/>
            <w:shd w:val="clear" w:color="auto" w:fill="auto"/>
            <w:vAlign w:val="center"/>
          </w:tcPr>
          <w:p w:rsidR="00EC27AB" w:rsidRPr="00EF3C6A" w:rsidRDefault="00EC27AB" w:rsidP="00EC27AB">
            <w:pPr>
              <w:pStyle w:val="Tabletext"/>
              <w:rPr>
                <w:sz w:val="19"/>
                <w:szCs w:val="19"/>
              </w:rPr>
            </w:pPr>
            <w:r w:rsidRPr="00EF3C6A">
              <w:rPr>
                <w:sz w:val="19"/>
                <w:szCs w:val="19"/>
              </w:rPr>
              <w:t>Copayments</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8" w:type="pct"/>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r>
      <w:tr w:rsidR="00EC27AB" w:rsidRPr="00EF3C6A" w:rsidTr="009C62D2">
        <w:tc>
          <w:tcPr>
            <w:tcW w:w="808" w:type="pct"/>
            <w:shd w:val="clear" w:color="auto" w:fill="auto"/>
            <w:vAlign w:val="center"/>
          </w:tcPr>
          <w:p w:rsidR="00EC27AB" w:rsidRPr="00EF3C6A" w:rsidRDefault="00EC27AB" w:rsidP="00EC27AB">
            <w:pPr>
              <w:pStyle w:val="Tabletext"/>
              <w:rPr>
                <w:sz w:val="19"/>
                <w:szCs w:val="19"/>
              </w:rPr>
            </w:pPr>
            <w:r w:rsidRPr="00EF3C6A">
              <w:rPr>
                <w:sz w:val="19"/>
                <w:szCs w:val="19"/>
              </w:rPr>
              <w:t>Cost to PBS/RPBS less copayments</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8" w:type="pct"/>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r>
      <w:tr w:rsidR="00EC27AB" w:rsidRPr="00EF3C6A" w:rsidTr="009C62D2">
        <w:tc>
          <w:tcPr>
            <w:tcW w:w="5000" w:type="pct"/>
            <w:gridSpan w:val="7"/>
            <w:shd w:val="clear" w:color="auto" w:fill="auto"/>
            <w:vAlign w:val="center"/>
          </w:tcPr>
          <w:p w:rsidR="00EC27AB" w:rsidRPr="00EF3C6A" w:rsidRDefault="00EC27AB" w:rsidP="00EC27AB">
            <w:pPr>
              <w:pStyle w:val="Tabletext"/>
              <w:rPr>
                <w:bCs/>
                <w:color w:val="000000"/>
              </w:rPr>
            </w:pPr>
            <w:r w:rsidRPr="00EF3C6A">
              <w:rPr>
                <w:b/>
                <w:bCs/>
                <w:color w:val="000000"/>
              </w:rPr>
              <w:t xml:space="preserve">Estimated financial implications for other PBS medicines </w:t>
            </w:r>
          </w:p>
        </w:tc>
      </w:tr>
      <w:tr w:rsidR="00EC27AB" w:rsidRPr="00EF3C6A" w:rsidTr="009C62D2">
        <w:tc>
          <w:tcPr>
            <w:tcW w:w="808" w:type="pct"/>
            <w:tcBorders>
              <w:bottom w:val="nil"/>
            </w:tcBorders>
            <w:shd w:val="clear" w:color="auto" w:fill="auto"/>
            <w:vAlign w:val="center"/>
          </w:tcPr>
          <w:p w:rsidR="00EC27AB" w:rsidRPr="00EF3C6A" w:rsidRDefault="00EC27AB" w:rsidP="00EC27AB">
            <w:pPr>
              <w:pStyle w:val="Tabletext"/>
              <w:rPr>
                <w:sz w:val="19"/>
                <w:szCs w:val="19"/>
              </w:rPr>
            </w:pPr>
            <w:r w:rsidRPr="00EF3C6A">
              <w:rPr>
                <w:sz w:val="19"/>
                <w:szCs w:val="19"/>
              </w:rPr>
              <w:t>Cost to PBS/RPBS</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8" w:type="pct"/>
            <w:tcBorders>
              <w:bottom w:val="nil"/>
            </w:tcBorders>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r>
      <w:tr w:rsidR="00EC27AB" w:rsidRPr="00EF3C6A" w:rsidTr="009C62D2">
        <w:tc>
          <w:tcPr>
            <w:tcW w:w="808" w:type="pct"/>
            <w:tcBorders>
              <w:top w:val="nil"/>
            </w:tcBorders>
            <w:shd w:val="clear" w:color="auto" w:fill="auto"/>
            <w:vAlign w:val="center"/>
          </w:tcPr>
          <w:p w:rsidR="00EC27AB" w:rsidRPr="00EF3C6A" w:rsidRDefault="00EC27AB" w:rsidP="00EC27AB">
            <w:pPr>
              <w:pStyle w:val="Tabletext"/>
              <w:rPr>
                <w:color w:val="000000"/>
              </w:rPr>
            </w:pPr>
            <w:r w:rsidRPr="00EF3C6A">
              <w:rPr>
                <w:color w:val="000000"/>
              </w:rPr>
              <w:t>Revised^</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8" w:type="pct"/>
            <w:tcBorders>
              <w:top w:val="nil"/>
            </w:tcBorders>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r>
      <w:tr w:rsidR="00EC27AB" w:rsidRPr="00EF3C6A" w:rsidTr="009C62D2">
        <w:tc>
          <w:tcPr>
            <w:tcW w:w="808" w:type="pct"/>
            <w:shd w:val="clear" w:color="auto" w:fill="auto"/>
            <w:vAlign w:val="center"/>
          </w:tcPr>
          <w:p w:rsidR="00EC27AB" w:rsidRPr="00EF3C6A" w:rsidRDefault="00EC27AB" w:rsidP="00EC27AB">
            <w:pPr>
              <w:pStyle w:val="Tabletext"/>
              <w:rPr>
                <w:sz w:val="19"/>
                <w:szCs w:val="19"/>
              </w:rPr>
            </w:pPr>
            <w:r w:rsidRPr="00EF3C6A">
              <w:rPr>
                <w:sz w:val="19"/>
                <w:szCs w:val="19"/>
              </w:rPr>
              <w:t>Copayments</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8" w:type="pct"/>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r>
      <w:tr w:rsidR="00EC27AB" w:rsidRPr="00EF3C6A" w:rsidTr="009C62D2">
        <w:tc>
          <w:tcPr>
            <w:tcW w:w="808" w:type="pct"/>
            <w:tcBorders>
              <w:bottom w:val="nil"/>
            </w:tcBorders>
            <w:shd w:val="clear" w:color="auto" w:fill="auto"/>
            <w:vAlign w:val="center"/>
          </w:tcPr>
          <w:p w:rsidR="00EC27AB" w:rsidRPr="00EF3C6A" w:rsidRDefault="00EC27AB" w:rsidP="00EC27AB">
            <w:pPr>
              <w:pStyle w:val="Tabletext"/>
              <w:rPr>
                <w:sz w:val="19"/>
                <w:szCs w:val="19"/>
              </w:rPr>
            </w:pPr>
            <w:r w:rsidRPr="00EF3C6A">
              <w:rPr>
                <w:sz w:val="19"/>
                <w:szCs w:val="19"/>
              </w:rPr>
              <w:t>Cost to PBS/RPBS less copayments</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8" w:type="pct"/>
            <w:tcBorders>
              <w:bottom w:val="nil"/>
            </w:tcBorders>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r>
      <w:tr w:rsidR="00EC27AB" w:rsidRPr="00EF3C6A" w:rsidTr="009C62D2">
        <w:tc>
          <w:tcPr>
            <w:tcW w:w="808" w:type="pct"/>
            <w:tcBorders>
              <w:top w:val="nil"/>
            </w:tcBorders>
            <w:shd w:val="clear" w:color="auto" w:fill="auto"/>
            <w:vAlign w:val="center"/>
          </w:tcPr>
          <w:p w:rsidR="00EC27AB" w:rsidRPr="00EF3C6A" w:rsidRDefault="00EC27AB" w:rsidP="00EC27AB">
            <w:pPr>
              <w:pStyle w:val="Tabletext"/>
              <w:rPr>
                <w:color w:val="000000"/>
              </w:rPr>
            </w:pPr>
            <w:r w:rsidRPr="00EF3C6A">
              <w:rPr>
                <w:color w:val="000000"/>
              </w:rPr>
              <w:t>Revised^</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8" w:type="pct"/>
            <w:tcBorders>
              <w:top w:val="nil"/>
            </w:tcBorders>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r>
      <w:tr w:rsidR="00EC27AB" w:rsidRPr="00EF3C6A" w:rsidTr="009C62D2">
        <w:tc>
          <w:tcPr>
            <w:tcW w:w="5000" w:type="pct"/>
            <w:gridSpan w:val="7"/>
            <w:shd w:val="clear" w:color="auto" w:fill="auto"/>
            <w:vAlign w:val="center"/>
          </w:tcPr>
          <w:p w:rsidR="00EC27AB" w:rsidRPr="00EF3C6A" w:rsidRDefault="00EC27AB" w:rsidP="00EC27AB">
            <w:pPr>
              <w:pStyle w:val="Tabletext"/>
              <w:rPr>
                <w:b/>
                <w:bCs/>
                <w:color w:val="000000"/>
              </w:rPr>
            </w:pPr>
            <w:r w:rsidRPr="00EF3C6A">
              <w:rPr>
                <w:b/>
                <w:bCs/>
                <w:color w:val="000000"/>
              </w:rPr>
              <w:t>Net financial implications</w:t>
            </w:r>
          </w:p>
        </w:tc>
      </w:tr>
      <w:tr w:rsidR="00EC27AB" w:rsidRPr="00EF3C6A" w:rsidTr="009C62D2">
        <w:tc>
          <w:tcPr>
            <w:tcW w:w="808" w:type="pct"/>
            <w:tcBorders>
              <w:bottom w:val="nil"/>
            </w:tcBorders>
            <w:shd w:val="clear" w:color="auto" w:fill="auto"/>
            <w:vAlign w:val="center"/>
          </w:tcPr>
          <w:p w:rsidR="00EC27AB" w:rsidRPr="00EF3C6A" w:rsidRDefault="00EC27AB" w:rsidP="00EC27AB">
            <w:pPr>
              <w:pStyle w:val="Tabletext"/>
              <w:rPr>
                <w:sz w:val="19"/>
                <w:szCs w:val="19"/>
              </w:rPr>
            </w:pPr>
            <w:r w:rsidRPr="00EF3C6A">
              <w:rPr>
                <w:sz w:val="19"/>
                <w:szCs w:val="19"/>
              </w:rPr>
              <w:t>Net cost to PBS/RPBS</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8" w:type="pct"/>
            <w:tcBorders>
              <w:bottom w:val="nil"/>
            </w:tcBorders>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r>
      <w:tr w:rsidR="00EC27AB" w:rsidRPr="00EF3C6A" w:rsidTr="009C62D2">
        <w:tc>
          <w:tcPr>
            <w:tcW w:w="808" w:type="pct"/>
            <w:tcBorders>
              <w:top w:val="nil"/>
            </w:tcBorders>
            <w:shd w:val="clear" w:color="auto" w:fill="auto"/>
            <w:vAlign w:val="center"/>
          </w:tcPr>
          <w:p w:rsidR="00EC27AB" w:rsidRPr="00EF3C6A" w:rsidRDefault="00EC27AB" w:rsidP="00EC27AB">
            <w:pPr>
              <w:pStyle w:val="Tabletext"/>
              <w:rPr>
                <w:color w:val="000000"/>
              </w:rPr>
            </w:pPr>
            <w:r w:rsidRPr="00EF3C6A">
              <w:rPr>
                <w:color w:val="000000"/>
              </w:rPr>
              <w:t>Revised^</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8" w:type="pct"/>
            <w:tcBorders>
              <w:top w:val="nil"/>
            </w:tcBorders>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r>
      <w:tr w:rsidR="00EC27AB" w:rsidRPr="00EF3C6A" w:rsidTr="009C62D2">
        <w:tc>
          <w:tcPr>
            <w:tcW w:w="808" w:type="pct"/>
            <w:shd w:val="clear" w:color="auto" w:fill="auto"/>
            <w:vAlign w:val="center"/>
          </w:tcPr>
          <w:p w:rsidR="00EC27AB" w:rsidRPr="00EF3C6A" w:rsidRDefault="00EC27AB" w:rsidP="00EC27AB">
            <w:pPr>
              <w:pStyle w:val="Tabletext"/>
              <w:rPr>
                <w:rFonts w:ascii="Times" w:hAnsi="Times"/>
              </w:rPr>
            </w:pPr>
            <w:r w:rsidRPr="00EF3C6A">
              <w:rPr>
                <w:sz w:val="19"/>
                <w:szCs w:val="19"/>
              </w:rPr>
              <w:t>Net cost to MBS</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8" w:type="pct"/>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r>
      <w:tr w:rsidR="00EC27AB" w:rsidRPr="00EF3C6A" w:rsidTr="009C62D2">
        <w:tc>
          <w:tcPr>
            <w:tcW w:w="808" w:type="pct"/>
            <w:tcBorders>
              <w:bottom w:val="nil"/>
            </w:tcBorders>
            <w:shd w:val="clear" w:color="auto" w:fill="auto"/>
            <w:vAlign w:val="center"/>
          </w:tcPr>
          <w:p w:rsidR="00EC27AB" w:rsidRPr="00EF3C6A" w:rsidRDefault="00EC27AB" w:rsidP="00EC27AB">
            <w:pPr>
              <w:pStyle w:val="Tabletext"/>
              <w:rPr>
                <w:sz w:val="19"/>
                <w:szCs w:val="19"/>
              </w:rPr>
            </w:pPr>
            <w:r w:rsidRPr="00EF3C6A">
              <w:rPr>
                <w:sz w:val="19"/>
                <w:szCs w:val="19"/>
              </w:rPr>
              <w:t>Net cost to PBS/RPBS/MBS</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bottom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8" w:type="pct"/>
            <w:tcBorders>
              <w:bottom w:val="nil"/>
            </w:tcBorders>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r>
      <w:tr w:rsidR="00EC27AB" w:rsidRPr="00EF3C6A" w:rsidTr="009C62D2">
        <w:tc>
          <w:tcPr>
            <w:tcW w:w="808" w:type="pct"/>
            <w:tcBorders>
              <w:top w:val="nil"/>
            </w:tcBorders>
            <w:shd w:val="clear" w:color="auto" w:fill="auto"/>
            <w:vAlign w:val="center"/>
          </w:tcPr>
          <w:p w:rsidR="00EC27AB" w:rsidRPr="00EF3C6A" w:rsidRDefault="00EC27AB" w:rsidP="00EC27AB">
            <w:pPr>
              <w:pStyle w:val="Tabletext"/>
              <w:rPr>
                <w:color w:val="000000"/>
              </w:rPr>
            </w:pPr>
            <w:r w:rsidRPr="00EF3C6A">
              <w:rPr>
                <w:color w:val="000000"/>
              </w:rPr>
              <w:t>Revised^</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9" w:type="pct"/>
            <w:tcBorders>
              <w:top w:val="nil"/>
            </w:tcBorders>
            <w:shd w:val="clear" w:color="auto" w:fill="auto"/>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c>
          <w:tcPr>
            <w:tcW w:w="698" w:type="pct"/>
            <w:tcBorders>
              <w:top w:val="nil"/>
            </w:tcBorders>
            <w:vAlign w:val="center"/>
          </w:tcPr>
          <w:p w:rsidR="00EC27AB" w:rsidRPr="00EF3C6A" w:rsidRDefault="00EC27AB" w:rsidP="00EC27AB">
            <w:pPr>
              <w:pStyle w:val="Tabletext"/>
              <w:ind w:right="123"/>
              <w:jc w:val="right"/>
              <w:rPr>
                <w:color w:val="000000"/>
              </w:rPr>
            </w:pPr>
            <w:r w:rsidRPr="00EF3C6A">
              <w:rPr>
                <w:color w:val="000000"/>
              </w:rPr>
              <w:t>$</w:t>
            </w:r>
            <w:r w:rsidR="00B07F6B">
              <w:rPr>
                <w:noProof/>
                <w:color w:val="000000"/>
                <w:highlight w:val="black"/>
              </w:rPr>
              <w:t>''''''''''''''''''''''''</w:t>
            </w:r>
          </w:p>
        </w:tc>
      </w:tr>
    </w:tbl>
    <w:p w:rsidR="00EC27AB" w:rsidRPr="00EF3C6A" w:rsidRDefault="00EC27AB" w:rsidP="00EC27AB">
      <w:pPr>
        <w:pStyle w:val="TableFooter"/>
      </w:pPr>
      <w:r w:rsidRPr="00EF3C6A">
        <w:t xml:space="preserve">^Revised during the evaluation to apply the published ex-manufacturer price for these medicines. It was unclear where the effective prices for these medicines used in the financial estimates were sourced from. </w:t>
      </w:r>
    </w:p>
    <w:p w:rsidR="00EC27AB" w:rsidRPr="00EF3C6A" w:rsidRDefault="00EC27AB" w:rsidP="00EC27AB">
      <w:pPr>
        <w:pStyle w:val="TableFooter"/>
      </w:pPr>
      <w:r w:rsidRPr="00EF3C6A">
        <w:t>Source: compiled during the evaluation based on information presented in ‘Att_13_BIM_NIVO+IPI_1LRCC.xlsx’</w:t>
      </w:r>
    </w:p>
    <w:p w:rsidR="00EC27AB" w:rsidRPr="00EF3C6A" w:rsidRDefault="00EC27AB" w:rsidP="00EC27AB"/>
    <w:p w:rsidR="0018723A" w:rsidRDefault="0018723A" w:rsidP="009939BA">
      <w:pPr>
        <w:pStyle w:val="ListParagraph"/>
        <w:widowControl/>
        <w:numPr>
          <w:ilvl w:val="1"/>
          <w:numId w:val="3"/>
        </w:numPr>
      </w:pPr>
      <w:r>
        <w:t xml:space="preserve">The </w:t>
      </w:r>
      <w:r w:rsidR="005F01B0">
        <w:t xml:space="preserve">submission estimated a </w:t>
      </w:r>
      <w:r w:rsidR="007332A8">
        <w:t xml:space="preserve">cost to the PBS/RPBS of </w:t>
      </w:r>
      <w:r w:rsidR="000C68AF">
        <w:t xml:space="preserve">$30 - $60 </w:t>
      </w:r>
      <w:r w:rsidR="007332A8">
        <w:t xml:space="preserve">million in Year 5 and </w:t>
      </w:r>
      <w:r w:rsidR="00AA3C58">
        <w:t>more than $</w:t>
      </w:r>
      <w:r w:rsidR="00C45F2B">
        <w:t>1</w:t>
      </w:r>
      <w:r w:rsidR="00AA3C58">
        <w:t xml:space="preserve">00 </w:t>
      </w:r>
      <w:r w:rsidR="007332A8">
        <w:t>million over the first six years of listing, and a</w:t>
      </w:r>
      <w:r w:rsidR="005F01B0">
        <w:t xml:space="preserve"> net cost to the PBS/RPBS </w:t>
      </w:r>
      <w:r w:rsidR="007332A8">
        <w:t xml:space="preserve">(including offsets) of </w:t>
      </w:r>
      <w:r w:rsidR="00C45F2B">
        <w:t>more than $100</w:t>
      </w:r>
      <w:r w:rsidR="007332A8">
        <w:t xml:space="preserve"> million over the first six years. </w:t>
      </w:r>
      <w:r>
        <w:t xml:space="preserve">The </w:t>
      </w:r>
      <w:r w:rsidR="007332A8">
        <w:t xml:space="preserve">reduced </w:t>
      </w:r>
      <w:r>
        <w:t xml:space="preserve">nivolumab vial price </w:t>
      </w:r>
      <w:r w:rsidR="00A34DFE">
        <w:t xml:space="preserve">proposed in the pre-PBAC response </w:t>
      </w:r>
      <w:r>
        <w:t xml:space="preserve">and </w:t>
      </w:r>
      <w:r w:rsidR="007332A8">
        <w:t>lower estimated</w:t>
      </w:r>
      <w:r>
        <w:t xml:space="preserve"> number </w:t>
      </w:r>
      <w:r w:rsidR="009939BA">
        <w:t>o</w:t>
      </w:r>
      <w:r>
        <w:t>f vials per pat</w:t>
      </w:r>
      <w:r w:rsidR="009939BA">
        <w:t>ient (</w:t>
      </w:r>
      <w:r w:rsidR="007332A8">
        <w:t>due to changed economic model parameters</w:t>
      </w:r>
      <w:r w:rsidR="00FD6D7A">
        <w:t xml:space="preserve"> in the pre-PBAC response</w:t>
      </w:r>
      <w:r w:rsidR="007332A8">
        <w:t>)</w:t>
      </w:r>
      <w:r w:rsidR="00A34DFE">
        <w:t xml:space="preserve"> would </w:t>
      </w:r>
      <w:r w:rsidR="009939BA" w:rsidRPr="009939BA">
        <w:t>resul</w:t>
      </w:r>
      <w:r w:rsidR="00A34DFE">
        <w:t>t</w:t>
      </w:r>
      <w:r w:rsidR="009939BA" w:rsidRPr="009939BA">
        <w:t xml:space="preserve"> in </w:t>
      </w:r>
      <w:r w:rsidR="00A34DFE">
        <w:t xml:space="preserve">a </w:t>
      </w:r>
      <w:r w:rsidR="007332A8">
        <w:t>lower estimated cost to the PBS/RPBS</w:t>
      </w:r>
      <w:r w:rsidR="009939BA" w:rsidRPr="009939BA">
        <w:t>.</w:t>
      </w:r>
    </w:p>
    <w:p w:rsidR="00EC27AB" w:rsidRDefault="004D7F21" w:rsidP="00EC27AB">
      <w:pPr>
        <w:pStyle w:val="ListParagraph"/>
        <w:widowControl/>
        <w:numPr>
          <w:ilvl w:val="1"/>
          <w:numId w:val="3"/>
        </w:numPr>
      </w:pPr>
      <w:r>
        <w:t>The PBAC considered that t</w:t>
      </w:r>
      <w:r w:rsidR="00EC27AB" w:rsidRPr="00EF3C6A">
        <w:t xml:space="preserve">he estimated financial implications for other PBS medicines (cost offsets), particularly those relating to second- or later-line settings, is likely to be overestimated due to the high proportion of patients assumed to seek treatment in these settings. </w:t>
      </w:r>
    </w:p>
    <w:p w:rsidR="00EC27AB" w:rsidRDefault="002C3044" w:rsidP="00BA6CD6">
      <w:pPr>
        <w:pStyle w:val="ListParagraph"/>
        <w:widowControl/>
        <w:numPr>
          <w:ilvl w:val="1"/>
          <w:numId w:val="3"/>
        </w:numPr>
      </w:pPr>
      <w:r w:rsidRPr="00EF3C6A">
        <w:t xml:space="preserve">Further, </w:t>
      </w:r>
      <w:r w:rsidR="0009556B" w:rsidRPr="00EF3C6A">
        <w:t xml:space="preserve">similar to an issue raised in the DUSC Advice for Item 7.05 (NIVO+IPI in malignant melanoma), </w:t>
      </w:r>
      <w:r w:rsidRPr="00EF3C6A">
        <w:t xml:space="preserve">in the </w:t>
      </w:r>
      <w:r w:rsidR="0009556B" w:rsidRPr="00EF3C6A">
        <w:t>pivotal RCC</w:t>
      </w:r>
      <w:r w:rsidRPr="00EF3C6A">
        <w:t xml:space="preserve"> trial patients had to receive the full four doses of </w:t>
      </w:r>
      <w:proofErr w:type="spellStart"/>
      <w:r w:rsidRPr="00EF3C6A">
        <w:t>ipilimumab</w:t>
      </w:r>
      <w:proofErr w:type="spellEnd"/>
      <w:r w:rsidRPr="00EF3C6A">
        <w:t xml:space="preserve"> induction therapy before they could proceed to the nivolumab monotherapy continuation phase. A </w:t>
      </w:r>
      <w:r w:rsidR="00417D0E" w:rsidRPr="00EF3C6A">
        <w:t>substantial</w:t>
      </w:r>
      <w:r w:rsidRPr="00EF3C6A">
        <w:t xml:space="preserve"> proportion of patients discontinued NIVO+IPI during the induction phase due to drug toxicity (</w:t>
      </w:r>
      <w:r w:rsidR="00B07F6B">
        <w:rPr>
          <w:noProof/>
          <w:color w:val="000000"/>
          <w:highlight w:val="black"/>
        </w:rPr>
        <w:t>'''''''''</w:t>
      </w:r>
      <w:r w:rsidRPr="00EF3C6A">
        <w:t>%)</w:t>
      </w:r>
      <w:r w:rsidR="000A69D3" w:rsidRPr="00EF3C6A">
        <w:t xml:space="preserve"> in the trial</w:t>
      </w:r>
      <w:r w:rsidRPr="00EF3C6A">
        <w:t xml:space="preserve">. The ESC considered that, in </w:t>
      </w:r>
      <w:r w:rsidRPr="00EF3C6A">
        <w:lastRenderedPageBreak/>
        <w:t xml:space="preserve">clinical practice, patients who </w:t>
      </w:r>
      <w:r w:rsidR="00487EE6" w:rsidRPr="00EF3C6A">
        <w:t>experience</w:t>
      </w:r>
      <w:r w:rsidRPr="00EF3C6A">
        <w:t xml:space="preserve"> adverse events du</w:t>
      </w:r>
      <w:r w:rsidR="00487EE6" w:rsidRPr="00EF3C6A">
        <w:t xml:space="preserve">ring NIVO+IPI </w:t>
      </w:r>
      <w:r w:rsidRPr="00EF3C6A">
        <w:t>induction may go on to receive nivolumab monotherapy</w:t>
      </w:r>
      <w:r w:rsidR="0009556B" w:rsidRPr="00EF3C6A">
        <w:t xml:space="preserve"> (rather than discontinue)</w:t>
      </w:r>
      <w:r w:rsidR="00487EE6" w:rsidRPr="00EF3C6A">
        <w:t>. Th</w:t>
      </w:r>
      <w:r w:rsidR="00BA6CD6" w:rsidRPr="00EF3C6A">
        <w:t>is may have further underestimated</w:t>
      </w:r>
      <w:r w:rsidR="00E2310C" w:rsidRPr="00EF3C6A">
        <w:t xml:space="preserve"> the number of </w:t>
      </w:r>
      <w:r w:rsidR="00BA6CD6" w:rsidRPr="00EF3C6A">
        <w:t xml:space="preserve">nivolumab </w:t>
      </w:r>
      <w:r w:rsidR="00E2310C" w:rsidRPr="00EF3C6A">
        <w:t xml:space="preserve">prescriptions </w:t>
      </w:r>
      <w:r w:rsidR="00BA6CD6" w:rsidRPr="00EF3C6A">
        <w:t xml:space="preserve">per patient that would be used </w:t>
      </w:r>
      <w:r w:rsidR="000512F2">
        <w:t>in clinical practice.</w:t>
      </w:r>
    </w:p>
    <w:p w:rsidR="00BC370B" w:rsidRPr="00EF3C6A" w:rsidRDefault="00BC370B" w:rsidP="00BA6CD6">
      <w:pPr>
        <w:pStyle w:val="ListParagraph"/>
        <w:widowControl/>
        <w:numPr>
          <w:ilvl w:val="1"/>
          <w:numId w:val="3"/>
        </w:numPr>
      </w:pPr>
      <w:r>
        <w:t xml:space="preserve">The pre-PBAC response stated that use of nivolumab monotherapy in patients who had discontinued NIVO+IPI induction was likely to be minimal as </w:t>
      </w:r>
      <w:r>
        <w:rPr>
          <w:iCs/>
        </w:rPr>
        <w:t xml:space="preserve">only </w:t>
      </w:r>
      <w:r w:rsidR="00B07F6B">
        <w:rPr>
          <w:iCs/>
          <w:noProof/>
          <w:color w:val="000000"/>
          <w:highlight w:val="black"/>
        </w:rPr>
        <w:t>''''''</w:t>
      </w:r>
      <w:r>
        <w:rPr>
          <w:iCs/>
        </w:rPr>
        <w:t>% of patients (</w:t>
      </w:r>
      <w:r w:rsidR="00B07F6B">
        <w:rPr>
          <w:iCs/>
          <w:noProof/>
          <w:color w:val="000000"/>
          <w:highlight w:val="black"/>
        </w:rPr>
        <w:t>'''''</w:t>
      </w:r>
      <w:r>
        <w:rPr>
          <w:iCs/>
        </w:rPr>
        <w:t>/425) received an anti-PD-1 treatment following NIVO+IPI therapy.</w:t>
      </w:r>
      <w:r w:rsidR="00E87A9C">
        <w:rPr>
          <w:iCs/>
        </w:rPr>
        <w:t xml:space="preserve"> However, the clinician at the sponsor hearing indicated that, in most cases, </w:t>
      </w:r>
      <w:proofErr w:type="spellStart"/>
      <w:r w:rsidR="00FD6D7A">
        <w:rPr>
          <w:iCs/>
        </w:rPr>
        <w:t>ipilimumab</w:t>
      </w:r>
      <w:proofErr w:type="spellEnd"/>
      <w:r w:rsidR="00E87A9C">
        <w:rPr>
          <w:iCs/>
        </w:rPr>
        <w:t xml:space="preserve"> was responsible for toxicities that occur during the induction phase, and in such cases it </w:t>
      </w:r>
      <w:r w:rsidR="006220D3">
        <w:rPr>
          <w:iCs/>
        </w:rPr>
        <w:t xml:space="preserve">is generally </w:t>
      </w:r>
      <w:r w:rsidR="00E87A9C">
        <w:rPr>
          <w:iCs/>
        </w:rPr>
        <w:t>appropriate to cease all treatment and rechallenge with nivolumab monotherapy</w:t>
      </w:r>
      <w:r w:rsidR="00FD6D7A">
        <w:rPr>
          <w:iCs/>
        </w:rPr>
        <w:t xml:space="preserve"> once the toxicity resolves</w:t>
      </w:r>
      <w:r w:rsidR="00E87A9C">
        <w:rPr>
          <w:iCs/>
        </w:rPr>
        <w:t>.</w:t>
      </w:r>
    </w:p>
    <w:p w:rsidR="00EC27AB" w:rsidRPr="006068C2" w:rsidRDefault="00EC27AB" w:rsidP="00160ED7">
      <w:pPr>
        <w:pStyle w:val="Heading2"/>
        <w:spacing w:before="240" w:after="120"/>
      </w:pPr>
      <w:bookmarkStart w:id="22" w:name="_Toc371170713"/>
      <w:bookmarkStart w:id="23" w:name="_Toc514248494"/>
      <w:r w:rsidRPr="006068C2">
        <w:t>Quality Use of Medicines</w:t>
      </w:r>
      <w:bookmarkEnd w:id="22"/>
      <w:bookmarkEnd w:id="23"/>
    </w:p>
    <w:p w:rsidR="00EC27AB" w:rsidRPr="00EF3C6A" w:rsidRDefault="00EC27AB" w:rsidP="00EC27AB">
      <w:pPr>
        <w:pStyle w:val="ListParagraph"/>
        <w:widowControl/>
        <w:numPr>
          <w:ilvl w:val="1"/>
          <w:numId w:val="3"/>
        </w:numPr>
      </w:pPr>
      <w:r w:rsidRPr="00EF3C6A">
        <w:t xml:space="preserve">The </w:t>
      </w:r>
      <w:r w:rsidR="008F7CF8" w:rsidRPr="00EF3C6A">
        <w:t>submissions</w:t>
      </w:r>
      <w:r w:rsidRPr="00EF3C6A">
        <w:t xml:space="preserve"> reported sponsor activities to support the safe and effective use of NIVO+IPI in Australia, included physician education and nursing and pharmacy in-services. The submission reported that following TGA approval of NIVO+IPI for RCC, educational resources would be available for health care professionals and patients including </w:t>
      </w:r>
      <w:r w:rsidRPr="00EF3C6A">
        <w:rPr>
          <w:rFonts w:eastAsiaTheme="minorEastAsia"/>
        </w:rPr>
        <w:t>immune related Adverse Reactions</w:t>
      </w:r>
      <w:r w:rsidRPr="00EF3C6A">
        <w:t xml:space="preserve"> (</w:t>
      </w:r>
      <w:proofErr w:type="spellStart"/>
      <w:r w:rsidRPr="00EF3C6A">
        <w:t>irAR</w:t>
      </w:r>
      <w:proofErr w:type="spellEnd"/>
      <w:r w:rsidRPr="00EF3C6A">
        <w:t xml:space="preserve">) management guide, </w:t>
      </w:r>
      <w:proofErr w:type="spellStart"/>
      <w:r w:rsidRPr="00EF3C6A">
        <w:t>irAR</w:t>
      </w:r>
      <w:proofErr w:type="spellEnd"/>
      <w:r w:rsidRPr="00EF3C6A">
        <w:t xml:space="preserve"> symptom checklist and wallet alert card. The submission explained that patients would access educational material from the oncologist only, and not via the sponsor.</w:t>
      </w:r>
    </w:p>
    <w:p w:rsidR="00EC27AB" w:rsidRPr="00EF3C6A" w:rsidRDefault="00EC27AB" w:rsidP="00EC27AB">
      <w:pPr>
        <w:pStyle w:val="ListParagraph"/>
        <w:numPr>
          <w:ilvl w:val="1"/>
          <w:numId w:val="3"/>
        </w:numPr>
      </w:pPr>
      <w:r w:rsidRPr="00EF3C6A">
        <w:t xml:space="preserve">The sponsor is seeking PBS listing for combined NIVO+IPI as a first line treatment of RCC before </w:t>
      </w:r>
      <w:r w:rsidR="00993DBD">
        <w:t xml:space="preserve">either </w:t>
      </w:r>
      <w:r w:rsidRPr="00EF3C6A">
        <w:t xml:space="preserve">nivolumab </w:t>
      </w:r>
      <w:r w:rsidR="00993DBD">
        <w:t>or</w:t>
      </w:r>
      <w:r w:rsidRPr="00EF3C6A">
        <w:t xml:space="preserve"> </w:t>
      </w:r>
      <w:proofErr w:type="spellStart"/>
      <w:r w:rsidRPr="00EF3C6A">
        <w:t>ipilimumab</w:t>
      </w:r>
      <w:proofErr w:type="spellEnd"/>
      <w:r w:rsidRPr="00EF3C6A">
        <w:t xml:space="preserve"> monotherap</w:t>
      </w:r>
      <w:r w:rsidR="00993DBD">
        <w:t>y</w:t>
      </w:r>
      <w:r w:rsidRPr="00EF3C6A">
        <w:t xml:space="preserve"> have been determined as being acceptable first line treatments for RCC. Neither nivolumab monotherapy nor </w:t>
      </w:r>
      <w:proofErr w:type="spellStart"/>
      <w:r w:rsidRPr="00EF3C6A">
        <w:t>ipilimumab</w:t>
      </w:r>
      <w:proofErr w:type="spellEnd"/>
      <w:r w:rsidRPr="00EF3C6A">
        <w:t xml:space="preserve"> monotherapy are currently listed on the PBS or TGA-approved for RCC in the first-line setting. It is, therefore, unclear as to the contribution of each medicine to the combined treatment effect, and whether patients would be unnecessarily exposed to additional toxicities associated with combined treatment. </w:t>
      </w:r>
    </w:p>
    <w:p w:rsidR="00EC27AB" w:rsidRDefault="00EC27AB" w:rsidP="009C62D2">
      <w:pPr>
        <w:pStyle w:val="ListParagraph"/>
        <w:widowControl/>
        <w:numPr>
          <w:ilvl w:val="1"/>
          <w:numId w:val="3"/>
        </w:numPr>
      </w:pPr>
      <w:r w:rsidRPr="00EF3C6A">
        <w:t xml:space="preserve">The sponsor recognised, there was potential for leakage of NIVO+IPI in patients with favourable risk. Efficacy results indicate </w:t>
      </w:r>
      <w:r w:rsidR="00993DBD">
        <w:t>that</w:t>
      </w:r>
      <w:r w:rsidRPr="00EF3C6A">
        <w:t xml:space="preserve"> NIVO+IPI may be inferior to </w:t>
      </w:r>
      <w:proofErr w:type="spellStart"/>
      <w:r w:rsidRPr="00EF3C6A">
        <w:t>sunitinib</w:t>
      </w:r>
      <w:proofErr w:type="spellEnd"/>
      <w:r w:rsidRPr="00EF3C6A">
        <w:t xml:space="preserve"> in favourable risk patients, in terms of OS, PFS and ORR</w:t>
      </w:r>
      <w:r w:rsidR="00993DBD">
        <w:t xml:space="preserve">, and thus there is </w:t>
      </w:r>
      <w:r w:rsidRPr="00EF3C6A">
        <w:t>potential for harm in this subset of patients.</w:t>
      </w:r>
      <w:r w:rsidR="00993DBD">
        <w:t xml:space="preserve"> The PBAC considered that categorisation of patients into level of risk was reasonably straightforward in clinical practice (using IMDC), minimising the risk of using NIVO+IPI in favourable risk patients.</w:t>
      </w:r>
    </w:p>
    <w:p w:rsidR="00EC27AB" w:rsidRPr="006068C2" w:rsidRDefault="00EC27AB" w:rsidP="00160ED7">
      <w:pPr>
        <w:pStyle w:val="Heading2"/>
        <w:spacing w:before="240" w:after="120"/>
      </w:pPr>
      <w:bookmarkStart w:id="24" w:name="_Toc371170714"/>
      <w:bookmarkStart w:id="25" w:name="_Toc514248495"/>
      <w:r w:rsidRPr="006068C2">
        <w:t>Financial Management – Risk Sharing Arrangements</w:t>
      </w:r>
      <w:bookmarkEnd w:id="24"/>
      <w:bookmarkEnd w:id="25"/>
    </w:p>
    <w:p w:rsidR="00EC27AB" w:rsidRPr="00EF3C6A" w:rsidRDefault="00EC27AB" w:rsidP="000D0464">
      <w:pPr>
        <w:pStyle w:val="ListParagraph"/>
        <w:widowControl/>
        <w:numPr>
          <w:ilvl w:val="1"/>
          <w:numId w:val="3"/>
        </w:numPr>
      </w:pPr>
      <w:r w:rsidRPr="00EF3C6A">
        <w:t xml:space="preserve">The sponsor recognised there was potential for leakage of NIVO+IPI </w:t>
      </w:r>
      <w:r w:rsidR="00993DBD">
        <w:t>and were willing</w:t>
      </w:r>
      <w:r w:rsidRPr="00EF3C6A">
        <w:t xml:space="preserve"> </w:t>
      </w:r>
      <w:r w:rsidR="005331CE">
        <w:t>to enter a</w:t>
      </w:r>
      <w:r w:rsidRPr="00EF3C6A">
        <w:t xml:space="preserve"> risk share arrangement</w:t>
      </w:r>
      <w:r w:rsidR="005331CE">
        <w:t xml:space="preserve"> with </w:t>
      </w:r>
      <w:r w:rsidRPr="00EF3C6A">
        <w:t xml:space="preserve">a </w:t>
      </w:r>
      <w:r w:rsidR="00B07F6B">
        <w:rPr>
          <w:noProof/>
          <w:color w:val="000000"/>
          <w:highlight w:val="black"/>
        </w:rPr>
        <w:t>''''''''</w:t>
      </w:r>
      <w:r w:rsidRPr="00EF3C6A">
        <w:t xml:space="preserve">% rebate beyond the agreed subsidisation caps to mitigate </w:t>
      </w:r>
      <w:r w:rsidR="005331CE">
        <w:t xml:space="preserve">any </w:t>
      </w:r>
      <w:r w:rsidR="00993DBD" w:rsidRPr="00EF3C6A">
        <w:t>financial uncertainty</w:t>
      </w:r>
      <w:r w:rsidRPr="00EF3C6A">
        <w:t xml:space="preserve">. </w:t>
      </w:r>
    </w:p>
    <w:p w:rsidR="00EF3C6A" w:rsidRPr="00F90A91" w:rsidRDefault="00EF3C6A" w:rsidP="00EF3C6A">
      <w:pPr>
        <w:pStyle w:val="ListParagraph"/>
        <w:ind w:left="709"/>
        <w:rPr>
          <w:rFonts w:asciiTheme="minorHAnsi" w:hAnsiTheme="minorHAnsi"/>
          <w:i/>
        </w:rPr>
      </w:pPr>
      <w:r w:rsidRPr="00525B39">
        <w:rPr>
          <w:rFonts w:asciiTheme="minorHAnsi" w:hAnsiTheme="minorHAnsi"/>
          <w:i/>
        </w:rPr>
        <w:t>For more detail on PBAC’s view, see section 7 PBAC outcome.</w:t>
      </w:r>
    </w:p>
    <w:p w:rsidR="007C50D2" w:rsidRPr="00E40468" w:rsidRDefault="007C50D2" w:rsidP="00160ED7">
      <w:pPr>
        <w:pStyle w:val="PBACHeading1"/>
        <w:keepNext/>
        <w:keepLines/>
        <w:spacing w:before="240" w:after="120"/>
        <w:outlineLvl w:val="0"/>
      </w:pPr>
      <w:r w:rsidRPr="00E40468">
        <w:lastRenderedPageBreak/>
        <w:t>PBAC Outcome</w:t>
      </w:r>
    </w:p>
    <w:p w:rsidR="009B7000" w:rsidRPr="00335EA4" w:rsidRDefault="002D186B" w:rsidP="00C06C42">
      <w:pPr>
        <w:pStyle w:val="ListParagraph"/>
        <w:numPr>
          <w:ilvl w:val="1"/>
          <w:numId w:val="3"/>
        </w:numPr>
        <w:rPr>
          <w:rFonts w:asciiTheme="minorHAnsi" w:hAnsiTheme="minorHAnsi"/>
          <w:bCs/>
          <w:szCs w:val="24"/>
          <w:lang w:val="en-GB"/>
        </w:rPr>
      </w:pPr>
      <w:r w:rsidRPr="009B7000">
        <w:rPr>
          <w:rFonts w:asciiTheme="minorHAnsi" w:hAnsiTheme="minorHAnsi"/>
          <w:bCs/>
          <w:szCs w:val="24"/>
          <w:lang w:val="en-GB"/>
        </w:rPr>
        <w:t xml:space="preserve">The PBAC decided not to recommend nivolumab in combination with </w:t>
      </w:r>
      <w:proofErr w:type="spellStart"/>
      <w:r w:rsidRPr="009B7000">
        <w:rPr>
          <w:rFonts w:asciiTheme="minorHAnsi" w:hAnsiTheme="minorHAnsi"/>
          <w:bCs/>
          <w:szCs w:val="24"/>
          <w:lang w:val="en-GB"/>
        </w:rPr>
        <w:t>ipilimumab</w:t>
      </w:r>
      <w:proofErr w:type="spellEnd"/>
      <w:r w:rsidRPr="009B7000">
        <w:rPr>
          <w:rFonts w:asciiTheme="minorHAnsi" w:hAnsiTheme="minorHAnsi"/>
          <w:bCs/>
          <w:szCs w:val="24"/>
          <w:lang w:val="en-GB"/>
        </w:rPr>
        <w:t xml:space="preserve"> (NIVO+IPI) </w:t>
      </w:r>
      <w:r w:rsidR="00907861">
        <w:rPr>
          <w:rFonts w:asciiTheme="minorHAnsi" w:hAnsiTheme="minorHAnsi"/>
          <w:bCs/>
          <w:szCs w:val="24"/>
          <w:lang w:val="en-GB"/>
        </w:rPr>
        <w:t xml:space="preserve">for the </w:t>
      </w:r>
      <w:r w:rsidRPr="009B7000">
        <w:rPr>
          <w:rFonts w:asciiTheme="minorHAnsi" w:hAnsiTheme="minorHAnsi"/>
          <w:bCs/>
          <w:szCs w:val="24"/>
          <w:lang w:val="en-GB"/>
        </w:rPr>
        <w:t>first</w:t>
      </w:r>
      <w:r w:rsidR="00723EF1">
        <w:rPr>
          <w:rFonts w:asciiTheme="minorHAnsi" w:hAnsiTheme="minorHAnsi"/>
          <w:bCs/>
          <w:szCs w:val="24"/>
          <w:lang w:val="en-GB"/>
        </w:rPr>
        <w:t>-</w:t>
      </w:r>
      <w:r w:rsidRPr="009B7000">
        <w:rPr>
          <w:rFonts w:asciiTheme="minorHAnsi" w:hAnsiTheme="minorHAnsi"/>
          <w:bCs/>
          <w:szCs w:val="24"/>
          <w:lang w:val="en-GB"/>
        </w:rPr>
        <w:t xml:space="preserve">line treatment </w:t>
      </w:r>
      <w:r w:rsidR="00907861">
        <w:rPr>
          <w:rFonts w:asciiTheme="minorHAnsi" w:hAnsiTheme="minorHAnsi"/>
          <w:bCs/>
          <w:szCs w:val="24"/>
          <w:lang w:val="en-GB"/>
        </w:rPr>
        <w:t>of</w:t>
      </w:r>
      <w:r w:rsidRPr="009B7000">
        <w:rPr>
          <w:rFonts w:asciiTheme="minorHAnsi" w:hAnsiTheme="minorHAnsi"/>
          <w:bCs/>
          <w:szCs w:val="24"/>
          <w:lang w:val="en-GB"/>
        </w:rPr>
        <w:t xml:space="preserve"> Stage IV clear cell variant renal cell carcinoma (RCC) in patients at intermediate to poor </w:t>
      </w:r>
      <w:r w:rsidR="00335EA4">
        <w:rPr>
          <w:rFonts w:asciiTheme="minorHAnsi" w:hAnsiTheme="minorHAnsi"/>
          <w:bCs/>
          <w:szCs w:val="24"/>
          <w:lang w:val="en-GB"/>
        </w:rPr>
        <w:t xml:space="preserve">prognostic </w:t>
      </w:r>
      <w:r w:rsidRPr="009B7000">
        <w:rPr>
          <w:rFonts w:asciiTheme="minorHAnsi" w:hAnsiTheme="minorHAnsi"/>
          <w:bCs/>
          <w:szCs w:val="24"/>
          <w:lang w:val="en-GB"/>
        </w:rPr>
        <w:t xml:space="preserve">risk. </w:t>
      </w:r>
      <w:r w:rsidR="008E5EBF" w:rsidRPr="008E5EBF">
        <w:rPr>
          <w:rFonts w:asciiTheme="minorHAnsi" w:hAnsiTheme="minorHAnsi"/>
          <w:bCs/>
          <w:szCs w:val="24"/>
          <w:lang w:val="en-GB"/>
        </w:rPr>
        <w:t>The PBAC acknowledged</w:t>
      </w:r>
      <w:r w:rsidR="008E5EBF">
        <w:rPr>
          <w:rFonts w:asciiTheme="minorHAnsi" w:hAnsiTheme="minorHAnsi"/>
          <w:bCs/>
          <w:szCs w:val="24"/>
          <w:lang w:val="en-GB"/>
        </w:rPr>
        <w:t xml:space="preserve"> the</w:t>
      </w:r>
      <w:r w:rsidR="008E5EBF" w:rsidRPr="008E5EBF">
        <w:rPr>
          <w:rFonts w:asciiTheme="minorHAnsi" w:hAnsiTheme="minorHAnsi"/>
          <w:bCs/>
          <w:szCs w:val="24"/>
          <w:lang w:val="en-GB"/>
        </w:rPr>
        <w:t xml:space="preserve"> high clinical need </w:t>
      </w:r>
      <w:r w:rsidR="008E5EBF">
        <w:rPr>
          <w:rFonts w:asciiTheme="minorHAnsi" w:hAnsiTheme="minorHAnsi"/>
          <w:bCs/>
          <w:szCs w:val="24"/>
          <w:lang w:val="en-GB"/>
        </w:rPr>
        <w:t xml:space="preserve">for effective first-line therapies, </w:t>
      </w:r>
      <w:r w:rsidR="008E5EBF" w:rsidRPr="008E5EBF">
        <w:rPr>
          <w:rFonts w:asciiTheme="minorHAnsi" w:hAnsiTheme="minorHAnsi"/>
          <w:bCs/>
          <w:szCs w:val="24"/>
          <w:lang w:val="en-GB"/>
        </w:rPr>
        <w:t xml:space="preserve">especially in patients who are categorised as being at poor </w:t>
      </w:r>
      <w:r w:rsidR="000A177C">
        <w:rPr>
          <w:rFonts w:asciiTheme="minorHAnsi" w:hAnsiTheme="minorHAnsi"/>
          <w:bCs/>
          <w:szCs w:val="24"/>
          <w:lang w:val="en-GB"/>
        </w:rPr>
        <w:t>prognostic</w:t>
      </w:r>
      <w:r w:rsidR="000A177C" w:rsidRPr="008E5EBF">
        <w:rPr>
          <w:rFonts w:asciiTheme="minorHAnsi" w:hAnsiTheme="minorHAnsi"/>
          <w:bCs/>
          <w:szCs w:val="24"/>
          <w:lang w:val="en-GB"/>
        </w:rPr>
        <w:t xml:space="preserve"> </w:t>
      </w:r>
      <w:r w:rsidR="008E5EBF" w:rsidRPr="008E5EBF">
        <w:rPr>
          <w:rFonts w:asciiTheme="minorHAnsi" w:hAnsiTheme="minorHAnsi"/>
          <w:bCs/>
          <w:szCs w:val="24"/>
          <w:lang w:val="en-GB"/>
        </w:rPr>
        <w:t>risk. However, the PBAC considered that the</w:t>
      </w:r>
      <w:r w:rsidR="00335EA4">
        <w:rPr>
          <w:rFonts w:asciiTheme="minorHAnsi" w:hAnsiTheme="minorHAnsi"/>
          <w:bCs/>
          <w:szCs w:val="24"/>
          <w:lang w:val="en-GB"/>
        </w:rPr>
        <w:t xml:space="preserve"> incremental</w:t>
      </w:r>
      <w:r w:rsidR="008E5EBF" w:rsidRPr="008E5EBF">
        <w:rPr>
          <w:rFonts w:asciiTheme="minorHAnsi" w:hAnsiTheme="minorHAnsi"/>
          <w:bCs/>
          <w:szCs w:val="24"/>
          <w:lang w:val="en-GB"/>
        </w:rPr>
        <w:t xml:space="preserve"> survival and quality of life benefits were overestimated in the economic model presented, and </w:t>
      </w:r>
      <w:r w:rsidR="000B3042">
        <w:rPr>
          <w:rFonts w:asciiTheme="minorHAnsi" w:hAnsiTheme="minorHAnsi"/>
          <w:bCs/>
          <w:szCs w:val="24"/>
          <w:lang w:val="en-GB"/>
        </w:rPr>
        <w:t xml:space="preserve">that the </w:t>
      </w:r>
      <w:r w:rsidR="000B3042" w:rsidRPr="008E5EBF">
        <w:rPr>
          <w:rFonts w:asciiTheme="minorHAnsi" w:hAnsiTheme="minorHAnsi"/>
          <w:bCs/>
          <w:szCs w:val="24"/>
          <w:lang w:val="en-GB"/>
        </w:rPr>
        <w:t xml:space="preserve">incremental cost-effectiveness ratio </w:t>
      </w:r>
      <w:r w:rsidR="000B3042">
        <w:rPr>
          <w:rFonts w:asciiTheme="minorHAnsi" w:hAnsiTheme="minorHAnsi"/>
          <w:bCs/>
          <w:szCs w:val="24"/>
          <w:lang w:val="en-GB"/>
        </w:rPr>
        <w:t xml:space="preserve">(ICER) </w:t>
      </w:r>
      <w:r w:rsidR="000B3042" w:rsidRPr="008E5EBF">
        <w:rPr>
          <w:rFonts w:asciiTheme="minorHAnsi" w:hAnsiTheme="minorHAnsi"/>
          <w:bCs/>
          <w:szCs w:val="24"/>
          <w:lang w:val="en-GB"/>
        </w:rPr>
        <w:t xml:space="preserve">was uncertain </w:t>
      </w:r>
      <w:r w:rsidR="000B3042" w:rsidRPr="00335EA4">
        <w:rPr>
          <w:rFonts w:asciiTheme="minorHAnsi" w:hAnsiTheme="minorHAnsi"/>
          <w:bCs/>
          <w:szCs w:val="24"/>
          <w:lang w:val="en-GB"/>
        </w:rPr>
        <w:t xml:space="preserve">and unacceptably high. The PBAC considered </w:t>
      </w:r>
      <w:r w:rsidR="008E5EBF" w:rsidRPr="00335EA4">
        <w:rPr>
          <w:rFonts w:asciiTheme="minorHAnsi" w:hAnsiTheme="minorHAnsi"/>
          <w:bCs/>
          <w:szCs w:val="24"/>
          <w:lang w:val="en-GB"/>
        </w:rPr>
        <w:t>that a price reduction would be required to bring the estimated ICER into an acceptable range.</w:t>
      </w:r>
    </w:p>
    <w:p w:rsidR="002D186B" w:rsidRDefault="002D186B" w:rsidP="00C06C42">
      <w:pPr>
        <w:widowControl/>
        <w:numPr>
          <w:ilvl w:val="1"/>
          <w:numId w:val="3"/>
        </w:numPr>
        <w:spacing w:after="120"/>
        <w:rPr>
          <w:rFonts w:asciiTheme="minorHAnsi" w:hAnsiTheme="minorHAnsi"/>
          <w:bCs/>
          <w:szCs w:val="24"/>
          <w:lang w:val="en-GB"/>
        </w:rPr>
      </w:pPr>
      <w:r>
        <w:rPr>
          <w:rFonts w:asciiTheme="minorHAnsi" w:hAnsiTheme="minorHAnsi"/>
          <w:bCs/>
          <w:szCs w:val="24"/>
          <w:lang w:val="en-GB"/>
        </w:rPr>
        <w:t xml:space="preserve">The PBAC considered that there </w:t>
      </w:r>
      <w:r w:rsidR="00BC5EA4">
        <w:rPr>
          <w:rFonts w:asciiTheme="minorHAnsi" w:hAnsiTheme="minorHAnsi"/>
          <w:bCs/>
          <w:szCs w:val="24"/>
          <w:lang w:val="en-GB"/>
        </w:rPr>
        <w:t>i</w:t>
      </w:r>
      <w:r>
        <w:rPr>
          <w:rFonts w:asciiTheme="minorHAnsi" w:hAnsiTheme="minorHAnsi"/>
          <w:bCs/>
          <w:szCs w:val="24"/>
          <w:lang w:val="en-GB"/>
        </w:rPr>
        <w:t>s a high clinical need for effective</w:t>
      </w:r>
      <w:r w:rsidR="000B3042">
        <w:rPr>
          <w:rFonts w:asciiTheme="minorHAnsi" w:hAnsiTheme="minorHAnsi"/>
          <w:bCs/>
          <w:szCs w:val="24"/>
          <w:lang w:val="en-GB"/>
        </w:rPr>
        <w:t xml:space="preserve"> first-line </w:t>
      </w:r>
      <w:r>
        <w:rPr>
          <w:rFonts w:asciiTheme="minorHAnsi" w:hAnsiTheme="minorHAnsi"/>
          <w:bCs/>
          <w:szCs w:val="24"/>
          <w:lang w:val="en-GB"/>
        </w:rPr>
        <w:t xml:space="preserve">therapies </w:t>
      </w:r>
      <w:r w:rsidR="000B3042">
        <w:rPr>
          <w:rFonts w:asciiTheme="minorHAnsi" w:hAnsiTheme="minorHAnsi"/>
          <w:bCs/>
          <w:szCs w:val="24"/>
          <w:lang w:val="en-GB"/>
        </w:rPr>
        <w:t>for RCC</w:t>
      </w:r>
      <w:r w:rsidR="00BC5EA4">
        <w:rPr>
          <w:rFonts w:asciiTheme="minorHAnsi" w:hAnsiTheme="minorHAnsi"/>
          <w:bCs/>
          <w:szCs w:val="24"/>
          <w:lang w:val="en-GB"/>
        </w:rPr>
        <w:t>,</w:t>
      </w:r>
      <w:r w:rsidR="000B3042">
        <w:rPr>
          <w:rFonts w:asciiTheme="minorHAnsi" w:hAnsiTheme="minorHAnsi"/>
          <w:bCs/>
          <w:szCs w:val="24"/>
          <w:lang w:val="en-GB"/>
        </w:rPr>
        <w:t xml:space="preserve"> </w:t>
      </w:r>
      <w:r>
        <w:rPr>
          <w:rFonts w:asciiTheme="minorHAnsi" w:hAnsiTheme="minorHAnsi"/>
          <w:bCs/>
          <w:szCs w:val="24"/>
          <w:lang w:val="en-GB"/>
        </w:rPr>
        <w:t xml:space="preserve">especially in </w:t>
      </w:r>
      <w:r w:rsidR="00A24837">
        <w:rPr>
          <w:rFonts w:asciiTheme="minorHAnsi" w:hAnsiTheme="minorHAnsi"/>
          <w:bCs/>
          <w:szCs w:val="24"/>
          <w:lang w:val="en-GB"/>
        </w:rPr>
        <w:t xml:space="preserve">the </w:t>
      </w:r>
      <w:r>
        <w:rPr>
          <w:rFonts w:asciiTheme="minorHAnsi" w:hAnsiTheme="minorHAnsi"/>
          <w:bCs/>
          <w:szCs w:val="24"/>
          <w:lang w:val="en-GB"/>
        </w:rPr>
        <w:t>poor</w:t>
      </w:r>
      <w:r w:rsidR="00A24837">
        <w:rPr>
          <w:rFonts w:asciiTheme="minorHAnsi" w:hAnsiTheme="minorHAnsi"/>
          <w:bCs/>
          <w:szCs w:val="24"/>
          <w:lang w:val="en-GB"/>
        </w:rPr>
        <w:t>-</w:t>
      </w:r>
      <w:r>
        <w:rPr>
          <w:rFonts w:asciiTheme="minorHAnsi" w:hAnsiTheme="minorHAnsi"/>
          <w:bCs/>
          <w:szCs w:val="24"/>
          <w:lang w:val="en-GB"/>
        </w:rPr>
        <w:t>risk</w:t>
      </w:r>
      <w:r w:rsidR="00A24837">
        <w:rPr>
          <w:rFonts w:asciiTheme="minorHAnsi" w:hAnsiTheme="minorHAnsi"/>
          <w:bCs/>
          <w:szCs w:val="24"/>
          <w:lang w:val="en-GB"/>
        </w:rPr>
        <w:t xml:space="preserve"> patient population</w:t>
      </w:r>
      <w:r w:rsidR="008761B7">
        <w:rPr>
          <w:rFonts w:asciiTheme="minorHAnsi" w:hAnsiTheme="minorHAnsi"/>
          <w:bCs/>
          <w:szCs w:val="24"/>
          <w:lang w:val="en-GB"/>
        </w:rPr>
        <w:t xml:space="preserve"> </w:t>
      </w:r>
      <w:r w:rsidR="003D3A28">
        <w:rPr>
          <w:rFonts w:asciiTheme="minorHAnsi" w:hAnsiTheme="minorHAnsi"/>
          <w:bCs/>
          <w:szCs w:val="24"/>
          <w:lang w:val="en-GB"/>
        </w:rPr>
        <w:t xml:space="preserve">for whom </w:t>
      </w:r>
      <w:r w:rsidR="000B3042">
        <w:rPr>
          <w:rFonts w:asciiTheme="minorHAnsi" w:hAnsiTheme="minorHAnsi"/>
          <w:bCs/>
          <w:szCs w:val="24"/>
          <w:lang w:val="en-GB"/>
        </w:rPr>
        <w:t>no PBS-subsidised therapies are available.</w:t>
      </w:r>
    </w:p>
    <w:p w:rsidR="002D186B" w:rsidRDefault="002D186B" w:rsidP="00C06C42">
      <w:pPr>
        <w:widowControl/>
        <w:numPr>
          <w:ilvl w:val="1"/>
          <w:numId w:val="3"/>
        </w:numPr>
        <w:spacing w:after="120"/>
        <w:rPr>
          <w:rFonts w:asciiTheme="minorHAnsi" w:hAnsiTheme="minorHAnsi"/>
          <w:bCs/>
          <w:szCs w:val="24"/>
          <w:lang w:val="en-GB"/>
        </w:rPr>
      </w:pPr>
      <w:r>
        <w:rPr>
          <w:rFonts w:asciiTheme="minorHAnsi" w:hAnsiTheme="minorHAnsi"/>
          <w:bCs/>
          <w:szCs w:val="24"/>
          <w:lang w:val="en-GB"/>
        </w:rPr>
        <w:t xml:space="preserve">The PBAC considered that </w:t>
      </w:r>
      <w:r w:rsidR="00444669">
        <w:rPr>
          <w:rFonts w:asciiTheme="minorHAnsi" w:hAnsiTheme="minorHAnsi"/>
          <w:bCs/>
          <w:szCs w:val="24"/>
          <w:lang w:val="en-GB"/>
        </w:rPr>
        <w:t xml:space="preserve">the restriction criteria </w:t>
      </w:r>
      <w:r w:rsidR="005921E3" w:rsidRPr="00EF3C6A">
        <w:t xml:space="preserve">for NIVO+IPI </w:t>
      </w:r>
      <w:r w:rsidR="00444669">
        <w:rPr>
          <w:rFonts w:asciiTheme="minorHAnsi" w:hAnsiTheme="minorHAnsi"/>
          <w:bCs/>
          <w:szCs w:val="24"/>
          <w:lang w:val="en-GB"/>
        </w:rPr>
        <w:t xml:space="preserve">should be based on </w:t>
      </w:r>
      <w:r w:rsidR="000B3042" w:rsidRPr="00EF3C6A">
        <w:t>International Metastatic Renal Cell Carcinoma Database Consortium</w:t>
      </w:r>
      <w:r>
        <w:rPr>
          <w:rFonts w:asciiTheme="minorHAnsi" w:hAnsiTheme="minorHAnsi"/>
          <w:bCs/>
          <w:szCs w:val="24"/>
          <w:lang w:val="en-GB"/>
        </w:rPr>
        <w:t xml:space="preserve"> </w:t>
      </w:r>
      <w:r w:rsidR="000B3042">
        <w:rPr>
          <w:rFonts w:asciiTheme="minorHAnsi" w:hAnsiTheme="minorHAnsi"/>
          <w:bCs/>
          <w:szCs w:val="24"/>
          <w:lang w:val="en-GB"/>
        </w:rPr>
        <w:t>(</w:t>
      </w:r>
      <w:r>
        <w:rPr>
          <w:rFonts w:asciiTheme="minorHAnsi" w:hAnsiTheme="minorHAnsi"/>
          <w:bCs/>
          <w:szCs w:val="24"/>
          <w:lang w:val="en-GB"/>
        </w:rPr>
        <w:t>IMDC</w:t>
      </w:r>
      <w:r w:rsidR="000B3042">
        <w:rPr>
          <w:rFonts w:asciiTheme="minorHAnsi" w:hAnsiTheme="minorHAnsi"/>
          <w:bCs/>
          <w:szCs w:val="24"/>
          <w:lang w:val="en-GB"/>
        </w:rPr>
        <w:t>)</w:t>
      </w:r>
      <w:r>
        <w:rPr>
          <w:rFonts w:asciiTheme="minorHAnsi" w:hAnsiTheme="minorHAnsi"/>
          <w:bCs/>
          <w:szCs w:val="24"/>
          <w:lang w:val="en-GB"/>
        </w:rPr>
        <w:t xml:space="preserve">, rather than </w:t>
      </w:r>
      <w:r w:rsidR="003F6E2F" w:rsidRPr="00EF3C6A">
        <w:t xml:space="preserve">the </w:t>
      </w:r>
      <w:r w:rsidR="00444669">
        <w:t xml:space="preserve">Memorial Sloan </w:t>
      </w:r>
      <w:r w:rsidR="003F6E2F" w:rsidRPr="00EF3C6A">
        <w:t xml:space="preserve">Kettering Cancer </w:t>
      </w:r>
      <w:proofErr w:type="spellStart"/>
      <w:r w:rsidR="003F6E2F" w:rsidRPr="00EF3C6A">
        <w:t>Center</w:t>
      </w:r>
      <w:proofErr w:type="spellEnd"/>
      <w:r w:rsidR="003F6E2F" w:rsidRPr="00EF3C6A">
        <w:t xml:space="preserve"> (MSKCC) </w:t>
      </w:r>
      <w:r w:rsidR="00444669">
        <w:t>criteria</w:t>
      </w:r>
      <w:r>
        <w:rPr>
          <w:rFonts w:asciiTheme="minorHAnsi" w:hAnsiTheme="minorHAnsi"/>
          <w:bCs/>
          <w:szCs w:val="24"/>
          <w:lang w:val="en-GB"/>
        </w:rPr>
        <w:t xml:space="preserve">, </w:t>
      </w:r>
      <w:r w:rsidR="00444669">
        <w:rPr>
          <w:rFonts w:asciiTheme="minorHAnsi" w:hAnsiTheme="minorHAnsi"/>
          <w:bCs/>
          <w:szCs w:val="24"/>
          <w:lang w:val="en-GB"/>
        </w:rPr>
        <w:t xml:space="preserve">to </w:t>
      </w:r>
      <w:r>
        <w:rPr>
          <w:rFonts w:asciiTheme="minorHAnsi" w:hAnsiTheme="minorHAnsi"/>
          <w:bCs/>
          <w:szCs w:val="24"/>
          <w:lang w:val="en-GB"/>
        </w:rPr>
        <w:t xml:space="preserve">reflect current clinical </w:t>
      </w:r>
      <w:r w:rsidR="003F6E2F">
        <w:rPr>
          <w:rFonts w:asciiTheme="minorHAnsi" w:hAnsiTheme="minorHAnsi"/>
          <w:bCs/>
          <w:szCs w:val="24"/>
          <w:lang w:val="en-GB"/>
        </w:rPr>
        <w:t xml:space="preserve">practice </w:t>
      </w:r>
      <w:r w:rsidR="00444669">
        <w:rPr>
          <w:rFonts w:asciiTheme="minorHAnsi" w:hAnsiTheme="minorHAnsi"/>
          <w:bCs/>
          <w:szCs w:val="24"/>
          <w:lang w:val="en-GB"/>
        </w:rPr>
        <w:t xml:space="preserve">where IMDC </w:t>
      </w:r>
      <w:r w:rsidR="00444669" w:rsidRPr="00EF3C6A">
        <w:t>has superseded</w:t>
      </w:r>
      <w:r w:rsidR="00A02F01">
        <w:t xml:space="preserve"> </w:t>
      </w:r>
      <w:r w:rsidR="00A02F01" w:rsidRPr="00EF3C6A">
        <w:t>MSKCC</w:t>
      </w:r>
      <w:r w:rsidR="00444669">
        <w:t>.</w:t>
      </w:r>
      <w:r>
        <w:rPr>
          <w:rFonts w:asciiTheme="minorHAnsi" w:hAnsiTheme="minorHAnsi"/>
          <w:bCs/>
          <w:szCs w:val="24"/>
          <w:lang w:val="en-GB"/>
        </w:rPr>
        <w:t xml:space="preserve"> The PBAC </w:t>
      </w:r>
      <w:r w:rsidR="003F6E2F">
        <w:rPr>
          <w:rFonts w:asciiTheme="minorHAnsi" w:hAnsiTheme="minorHAnsi"/>
          <w:bCs/>
          <w:szCs w:val="24"/>
          <w:lang w:val="en-GB"/>
        </w:rPr>
        <w:t xml:space="preserve">further </w:t>
      </w:r>
      <w:r>
        <w:rPr>
          <w:rFonts w:asciiTheme="minorHAnsi" w:hAnsiTheme="minorHAnsi"/>
          <w:bCs/>
          <w:szCs w:val="24"/>
          <w:lang w:val="en-GB"/>
        </w:rPr>
        <w:t xml:space="preserve">noted that the current restrictions for </w:t>
      </w:r>
      <w:proofErr w:type="spellStart"/>
      <w:r>
        <w:rPr>
          <w:rFonts w:asciiTheme="minorHAnsi" w:hAnsiTheme="minorHAnsi"/>
          <w:bCs/>
          <w:szCs w:val="24"/>
          <w:lang w:val="en-GB"/>
        </w:rPr>
        <w:t>sunitinib</w:t>
      </w:r>
      <w:proofErr w:type="spellEnd"/>
      <w:r w:rsidR="00C9660B">
        <w:rPr>
          <w:rFonts w:asciiTheme="minorHAnsi" w:hAnsiTheme="minorHAnsi"/>
          <w:bCs/>
          <w:szCs w:val="24"/>
          <w:lang w:val="en-GB"/>
        </w:rPr>
        <w:t xml:space="preserve"> and</w:t>
      </w:r>
      <w:r w:rsidR="00A02F01">
        <w:rPr>
          <w:rFonts w:asciiTheme="minorHAnsi" w:hAnsiTheme="minorHAnsi"/>
          <w:bCs/>
          <w:szCs w:val="24"/>
          <w:lang w:val="en-GB"/>
        </w:rPr>
        <w:t xml:space="preserve"> </w:t>
      </w:r>
      <w:proofErr w:type="spellStart"/>
      <w:r w:rsidR="00A02F01">
        <w:rPr>
          <w:rFonts w:asciiTheme="minorHAnsi" w:hAnsiTheme="minorHAnsi"/>
          <w:bCs/>
          <w:szCs w:val="24"/>
          <w:lang w:val="en-GB"/>
        </w:rPr>
        <w:t>pazopanib</w:t>
      </w:r>
      <w:proofErr w:type="spellEnd"/>
      <w:r w:rsidR="00C9660B">
        <w:rPr>
          <w:rFonts w:asciiTheme="minorHAnsi" w:hAnsiTheme="minorHAnsi"/>
          <w:bCs/>
          <w:szCs w:val="24"/>
          <w:lang w:val="en-GB"/>
        </w:rPr>
        <w:t xml:space="preserve"> in RCC are based on the </w:t>
      </w:r>
      <w:r w:rsidR="003F6E2F" w:rsidRPr="00EF3C6A">
        <w:t xml:space="preserve">MSKCC </w:t>
      </w:r>
      <w:r w:rsidR="00C9660B">
        <w:t xml:space="preserve">criteria, </w:t>
      </w:r>
      <w:r>
        <w:rPr>
          <w:rFonts w:asciiTheme="minorHAnsi" w:hAnsiTheme="minorHAnsi"/>
          <w:bCs/>
          <w:szCs w:val="24"/>
          <w:lang w:val="en-GB"/>
        </w:rPr>
        <w:t xml:space="preserve">and considered </w:t>
      </w:r>
      <w:r w:rsidR="00C50511">
        <w:rPr>
          <w:rFonts w:asciiTheme="minorHAnsi" w:hAnsiTheme="minorHAnsi"/>
          <w:bCs/>
          <w:szCs w:val="24"/>
          <w:lang w:val="en-GB"/>
        </w:rPr>
        <w:t xml:space="preserve">that, should </w:t>
      </w:r>
      <w:r w:rsidR="00C50511" w:rsidRPr="00EF3C6A">
        <w:t>NIVO+IPI</w:t>
      </w:r>
      <w:r w:rsidR="00C50511">
        <w:t xml:space="preserve"> be listed for RCC in the future, the</w:t>
      </w:r>
      <w:r w:rsidR="00E65ACB">
        <w:t>n the</w:t>
      </w:r>
      <w:r w:rsidR="00C50511">
        <w:t xml:space="preserve"> restrictions </w:t>
      </w:r>
      <w:r w:rsidR="00C50511">
        <w:rPr>
          <w:rFonts w:asciiTheme="minorHAnsi" w:hAnsiTheme="minorHAnsi"/>
          <w:bCs/>
          <w:szCs w:val="24"/>
          <w:lang w:val="en-GB"/>
        </w:rPr>
        <w:t xml:space="preserve">for </w:t>
      </w:r>
      <w:proofErr w:type="spellStart"/>
      <w:r w:rsidR="00C50511">
        <w:rPr>
          <w:rFonts w:asciiTheme="minorHAnsi" w:hAnsiTheme="minorHAnsi"/>
          <w:bCs/>
          <w:szCs w:val="24"/>
          <w:lang w:val="en-GB"/>
        </w:rPr>
        <w:t>sunitinib</w:t>
      </w:r>
      <w:proofErr w:type="spellEnd"/>
      <w:r w:rsidR="00C50511">
        <w:rPr>
          <w:rFonts w:asciiTheme="minorHAnsi" w:hAnsiTheme="minorHAnsi"/>
          <w:bCs/>
          <w:szCs w:val="24"/>
          <w:lang w:val="en-GB"/>
        </w:rPr>
        <w:t xml:space="preserve"> and </w:t>
      </w:r>
      <w:proofErr w:type="spellStart"/>
      <w:r w:rsidR="00C50511">
        <w:rPr>
          <w:rFonts w:asciiTheme="minorHAnsi" w:hAnsiTheme="minorHAnsi"/>
          <w:bCs/>
          <w:szCs w:val="24"/>
          <w:lang w:val="en-GB"/>
        </w:rPr>
        <w:t>pazopanib</w:t>
      </w:r>
      <w:proofErr w:type="spellEnd"/>
      <w:r w:rsidR="00C50511">
        <w:rPr>
          <w:rFonts w:asciiTheme="minorHAnsi" w:hAnsiTheme="minorHAnsi"/>
          <w:bCs/>
          <w:szCs w:val="24"/>
          <w:lang w:val="en-GB"/>
        </w:rPr>
        <w:t xml:space="preserve"> </w:t>
      </w:r>
      <w:r w:rsidR="002475BD">
        <w:rPr>
          <w:rFonts w:asciiTheme="minorHAnsi" w:hAnsiTheme="minorHAnsi"/>
          <w:bCs/>
          <w:szCs w:val="24"/>
          <w:lang w:val="en-GB"/>
        </w:rPr>
        <w:t xml:space="preserve">could </w:t>
      </w:r>
      <w:r w:rsidR="00CC6582">
        <w:rPr>
          <w:rFonts w:asciiTheme="minorHAnsi" w:hAnsiTheme="minorHAnsi"/>
          <w:bCs/>
          <w:szCs w:val="24"/>
          <w:lang w:val="en-GB"/>
        </w:rPr>
        <w:t xml:space="preserve">similarly </w:t>
      </w:r>
      <w:r>
        <w:rPr>
          <w:rFonts w:asciiTheme="minorHAnsi" w:hAnsiTheme="minorHAnsi"/>
          <w:bCs/>
          <w:szCs w:val="24"/>
          <w:lang w:val="en-GB"/>
        </w:rPr>
        <w:t>be changed to IMDC</w:t>
      </w:r>
      <w:r w:rsidR="00E65ACB">
        <w:rPr>
          <w:rFonts w:asciiTheme="minorHAnsi" w:hAnsiTheme="minorHAnsi"/>
          <w:bCs/>
          <w:szCs w:val="24"/>
          <w:lang w:val="en-GB"/>
        </w:rPr>
        <w:t xml:space="preserve"> for consistency.</w:t>
      </w:r>
      <w:r>
        <w:rPr>
          <w:rFonts w:asciiTheme="minorHAnsi" w:hAnsiTheme="minorHAnsi"/>
          <w:bCs/>
          <w:szCs w:val="24"/>
          <w:lang w:val="en-GB"/>
        </w:rPr>
        <w:t xml:space="preserve"> </w:t>
      </w:r>
      <w:r w:rsidR="003155EE">
        <w:rPr>
          <w:rFonts w:asciiTheme="minorHAnsi" w:hAnsiTheme="minorHAnsi"/>
          <w:bCs/>
          <w:szCs w:val="24"/>
          <w:lang w:val="en-GB"/>
        </w:rPr>
        <w:t xml:space="preserve"> </w:t>
      </w:r>
    </w:p>
    <w:p w:rsidR="00BC5EA4" w:rsidRDefault="00226512" w:rsidP="00C06C42">
      <w:pPr>
        <w:widowControl/>
        <w:numPr>
          <w:ilvl w:val="1"/>
          <w:numId w:val="3"/>
        </w:numPr>
        <w:spacing w:after="120"/>
        <w:rPr>
          <w:rFonts w:asciiTheme="minorHAnsi" w:hAnsiTheme="minorHAnsi"/>
          <w:bCs/>
          <w:szCs w:val="24"/>
          <w:lang w:val="en-GB"/>
        </w:rPr>
      </w:pPr>
      <w:r w:rsidRPr="00EF3C6A">
        <w:t xml:space="preserve">The </w:t>
      </w:r>
      <w:r>
        <w:t xml:space="preserve">PBAC noted that the requested restriction </w:t>
      </w:r>
      <w:r w:rsidRPr="00226512">
        <w:t>included patients with a WHO performance status of ≤ 2</w:t>
      </w:r>
      <w:r>
        <w:t xml:space="preserve">, rather than the trial inclusion of </w:t>
      </w:r>
      <w:proofErr w:type="spellStart"/>
      <w:r w:rsidRPr="00EF3C6A">
        <w:t>Karnofsky</w:t>
      </w:r>
      <w:proofErr w:type="spellEnd"/>
      <w:r w:rsidRPr="00EF3C6A">
        <w:t xml:space="preserve"> Performance Status (KPS) ≥ 70, </w:t>
      </w:r>
      <w:r>
        <w:t xml:space="preserve">in order </w:t>
      </w:r>
      <w:r w:rsidRPr="00226512">
        <w:t xml:space="preserve">to align with the </w:t>
      </w:r>
      <w:r w:rsidR="007C5DD8">
        <w:t xml:space="preserve">restrictions </w:t>
      </w:r>
      <w:r w:rsidRPr="00226512">
        <w:t>for other PBS</w:t>
      </w:r>
      <w:r>
        <w:t>-</w:t>
      </w:r>
      <w:r w:rsidRPr="00226512">
        <w:t>listed medicines for RCC</w:t>
      </w:r>
      <w:r>
        <w:t>.</w:t>
      </w:r>
      <w:r>
        <w:rPr>
          <w:szCs w:val="24"/>
        </w:rPr>
        <w:t xml:space="preserve"> </w:t>
      </w:r>
      <w:r w:rsidR="00BC5EA4">
        <w:rPr>
          <w:szCs w:val="24"/>
        </w:rPr>
        <w:t xml:space="preserve">The PBAC </w:t>
      </w:r>
      <w:r w:rsidR="00BC5EA4" w:rsidRPr="00EF3C6A">
        <w:rPr>
          <w:szCs w:val="24"/>
        </w:rPr>
        <w:t>considered that</w:t>
      </w:r>
      <w:r>
        <w:rPr>
          <w:szCs w:val="24"/>
        </w:rPr>
        <w:t xml:space="preserve"> </w:t>
      </w:r>
      <w:r w:rsidRPr="00EF3C6A">
        <w:rPr>
          <w:szCs w:val="24"/>
        </w:rPr>
        <w:t>WHO performance status is more commonly used in Australian clinical practice</w:t>
      </w:r>
      <w:r>
        <w:rPr>
          <w:szCs w:val="24"/>
        </w:rPr>
        <w:t xml:space="preserve">, and as such, </w:t>
      </w:r>
      <w:r w:rsidR="00BC5EA4" w:rsidRPr="00EF3C6A">
        <w:rPr>
          <w:szCs w:val="24"/>
        </w:rPr>
        <w:t xml:space="preserve">it </w:t>
      </w:r>
      <w:r w:rsidR="00BC5EA4">
        <w:rPr>
          <w:szCs w:val="24"/>
        </w:rPr>
        <w:t>would</w:t>
      </w:r>
      <w:r w:rsidR="00BC5EA4" w:rsidRPr="00EF3C6A">
        <w:rPr>
          <w:szCs w:val="24"/>
        </w:rPr>
        <w:t xml:space="preserve"> be appropriate for the restriction to include WHO performance status ≤ 2, as requested by the submission</w:t>
      </w:r>
    </w:p>
    <w:p w:rsidR="009B7000" w:rsidRDefault="00B277CF" w:rsidP="00C06C42">
      <w:pPr>
        <w:widowControl/>
        <w:numPr>
          <w:ilvl w:val="1"/>
          <w:numId w:val="3"/>
        </w:numPr>
        <w:spacing w:after="120"/>
        <w:rPr>
          <w:rFonts w:asciiTheme="minorHAnsi" w:hAnsiTheme="minorHAnsi"/>
          <w:bCs/>
          <w:szCs w:val="24"/>
          <w:lang w:val="en-GB"/>
        </w:rPr>
      </w:pPr>
      <w:r w:rsidRPr="00EF3C6A">
        <w:t xml:space="preserve">The </w:t>
      </w:r>
      <w:r>
        <w:t xml:space="preserve">PBAC noted that the </w:t>
      </w:r>
      <w:r w:rsidRPr="00EF3C6A">
        <w:t xml:space="preserve">submission </w:t>
      </w:r>
      <w:r>
        <w:t>r</w:t>
      </w:r>
      <w:r w:rsidRPr="00EF3C6A">
        <w:t xml:space="preserve">equested </w:t>
      </w:r>
      <w:r>
        <w:t>a</w:t>
      </w:r>
      <w:r w:rsidR="00226512">
        <w:t xml:space="preserve"> flow-on</w:t>
      </w:r>
      <w:r>
        <w:t xml:space="preserve"> </w:t>
      </w:r>
      <w:r>
        <w:rPr>
          <w:rFonts w:asciiTheme="minorHAnsi" w:hAnsiTheme="minorHAnsi"/>
          <w:bCs/>
          <w:szCs w:val="24"/>
          <w:lang w:val="en-GB"/>
        </w:rPr>
        <w:t>change</w:t>
      </w:r>
      <w:r w:rsidR="00BB4544">
        <w:rPr>
          <w:rFonts w:asciiTheme="minorHAnsi" w:hAnsiTheme="minorHAnsi"/>
          <w:bCs/>
          <w:szCs w:val="24"/>
          <w:lang w:val="en-GB"/>
        </w:rPr>
        <w:t xml:space="preserve"> to the</w:t>
      </w:r>
      <w:r>
        <w:rPr>
          <w:rFonts w:asciiTheme="minorHAnsi" w:hAnsiTheme="minorHAnsi"/>
          <w:bCs/>
          <w:szCs w:val="24"/>
          <w:lang w:val="en-GB"/>
        </w:rPr>
        <w:t xml:space="preserve"> </w:t>
      </w:r>
      <w:r w:rsidR="00226512">
        <w:rPr>
          <w:rFonts w:asciiTheme="minorHAnsi" w:hAnsiTheme="minorHAnsi"/>
          <w:bCs/>
          <w:szCs w:val="24"/>
          <w:lang w:val="en-GB"/>
        </w:rPr>
        <w:t xml:space="preserve">existing </w:t>
      </w:r>
      <w:r>
        <w:rPr>
          <w:rFonts w:asciiTheme="minorHAnsi" w:hAnsiTheme="minorHAnsi"/>
          <w:bCs/>
          <w:szCs w:val="24"/>
          <w:lang w:val="en-GB"/>
        </w:rPr>
        <w:t>restriction</w:t>
      </w:r>
      <w:r w:rsidR="00226512">
        <w:rPr>
          <w:rFonts w:asciiTheme="minorHAnsi" w:hAnsiTheme="minorHAnsi"/>
          <w:bCs/>
          <w:szCs w:val="24"/>
          <w:lang w:val="en-GB"/>
        </w:rPr>
        <w:t>s</w:t>
      </w:r>
      <w:r>
        <w:rPr>
          <w:rFonts w:asciiTheme="minorHAnsi" w:hAnsiTheme="minorHAnsi"/>
          <w:bCs/>
          <w:szCs w:val="24"/>
          <w:lang w:val="en-GB"/>
        </w:rPr>
        <w:t xml:space="preserve"> for second-</w:t>
      </w:r>
      <w:r w:rsidR="00226512">
        <w:rPr>
          <w:rFonts w:asciiTheme="minorHAnsi" w:hAnsiTheme="minorHAnsi"/>
          <w:bCs/>
          <w:szCs w:val="24"/>
          <w:lang w:val="en-GB"/>
        </w:rPr>
        <w:t xml:space="preserve"> and later-</w:t>
      </w:r>
      <w:r>
        <w:rPr>
          <w:rFonts w:asciiTheme="minorHAnsi" w:hAnsiTheme="minorHAnsi"/>
          <w:bCs/>
          <w:szCs w:val="24"/>
          <w:lang w:val="en-GB"/>
        </w:rPr>
        <w:t xml:space="preserve">line </w:t>
      </w:r>
      <w:r w:rsidR="00226512">
        <w:rPr>
          <w:rFonts w:asciiTheme="minorHAnsi" w:hAnsiTheme="minorHAnsi"/>
          <w:bCs/>
          <w:szCs w:val="24"/>
          <w:lang w:val="en-GB"/>
        </w:rPr>
        <w:t>RCC therapies</w:t>
      </w:r>
      <w:r w:rsidR="003F6E2F">
        <w:rPr>
          <w:rFonts w:asciiTheme="minorHAnsi" w:hAnsiTheme="minorHAnsi"/>
          <w:bCs/>
          <w:szCs w:val="24"/>
          <w:lang w:val="en-GB"/>
        </w:rPr>
        <w:t>:</w:t>
      </w:r>
      <w:r>
        <w:rPr>
          <w:rFonts w:asciiTheme="minorHAnsi" w:hAnsiTheme="minorHAnsi"/>
          <w:bCs/>
          <w:szCs w:val="24"/>
          <w:lang w:val="en-GB"/>
        </w:rPr>
        <w:t xml:space="preserve"> </w:t>
      </w:r>
      <w:r w:rsidRPr="00EF3C6A">
        <w:t xml:space="preserve">removal of the requirement for patients to have received prior TKI therapy before commencing </w:t>
      </w:r>
      <w:r>
        <w:t xml:space="preserve">second-line nivolumab, </w:t>
      </w:r>
      <w:proofErr w:type="spellStart"/>
      <w:r w:rsidRPr="00EF3C6A">
        <w:t>everolimus</w:t>
      </w:r>
      <w:proofErr w:type="spellEnd"/>
      <w:r w:rsidRPr="00EF3C6A">
        <w:t xml:space="preserve">, </w:t>
      </w:r>
      <w:proofErr w:type="spellStart"/>
      <w:r w:rsidRPr="00EF3C6A">
        <w:t>axitinib</w:t>
      </w:r>
      <w:proofErr w:type="spellEnd"/>
      <w:r w:rsidRPr="00EF3C6A">
        <w:t xml:space="preserve">, sorafenib or cabozantinib. </w:t>
      </w:r>
      <w:r>
        <w:t xml:space="preserve">The PBAC considered that this was not appropriate given that no evidence had been provided to support this change. </w:t>
      </w:r>
    </w:p>
    <w:p w:rsidR="009B7000" w:rsidRDefault="00DA085B" w:rsidP="00C06C42">
      <w:pPr>
        <w:pStyle w:val="ListParagraph"/>
        <w:widowControl/>
        <w:numPr>
          <w:ilvl w:val="1"/>
          <w:numId w:val="3"/>
        </w:numPr>
        <w:rPr>
          <w:rFonts w:asciiTheme="minorHAnsi" w:hAnsiTheme="minorHAnsi"/>
          <w:bCs/>
          <w:szCs w:val="24"/>
          <w:lang w:val="en-GB"/>
        </w:rPr>
      </w:pPr>
      <w:r>
        <w:rPr>
          <w:rFonts w:asciiTheme="minorHAnsi" w:hAnsiTheme="minorHAnsi"/>
          <w:bCs/>
          <w:szCs w:val="24"/>
          <w:lang w:val="en-GB"/>
        </w:rPr>
        <w:t xml:space="preserve">The PBAC noted that the submission proposed </w:t>
      </w:r>
      <w:proofErr w:type="spellStart"/>
      <w:r w:rsidR="005423B8">
        <w:rPr>
          <w:rFonts w:asciiTheme="minorHAnsi" w:hAnsiTheme="minorHAnsi"/>
          <w:bCs/>
          <w:szCs w:val="24"/>
          <w:lang w:val="en-GB"/>
        </w:rPr>
        <w:t>s</w:t>
      </w:r>
      <w:r>
        <w:rPr>
          <w:rFonts w:asciiTheme="minorHAnsi" w:hAnsiTheme="minorHAnsi"/>
          <w:bCs/>
          <w:szCs w:val="24"/>
          <w:lang w:val="en-GB"/>
        </w:rPr>
        <w:t>unitinib</w:t>
      </w:r>
      <w:proofErr w:type="spellEnd"/>
      <w:r>
        <w:rPr>
          <w:rFonts w:asciiTheme="minorHAnsi" w:hAnsiTheme="minorHAnsi"/>
          <w:bCs/>
          <w:szCs w:val="24"/>
          <w:lang w:val="en-GB"/>
        </w:rPr>
        <w:t xml:space="preserve"> as the comparator</w:t>
      </w:r>
      <w:r w:rsidR="005423B8">
        <w:rPr>
          <w:rFonts w:asciiTheme="minorHAnsi" w:hAnsiTheme="minorHAnsi"/>
          <w:bCs/>
          <w:szCs w:val="24"/>
          <w:lang w:val="en-GB"/>
        </w:rPr>
        <w:t xml:space="preserve"> in the proposed population (i.e.</w:t>
      </w:r>
      <w:r>
        <w:rPr>
          <w:rFonts w:asciiTheme="minorHAnsi" w:hAnsiTheme="minorHAnsi"/>
          <w:bCs/>
          <w:szCs w:val="24"/>
          <w:lang w:val="en-GB"/>
        </w:rPr>
        <w:t xml:space="preserve"> in both intermediate and</w:t>
      </w:r>
      <w:r w:rsidR="005423B8">
        <w:rPr>
          <w:rFonts w:asciiTheme="minorHAnsi" w:hAnsiTheme="minorHAnsi"/>
          <w:bCs/>
          <w:szCs w:val="24"/>
          <w:lang w:val="en-GB"/>
        </w:rPr>
        <w:t xml:space="preserve"> poor risk patients), despite </w:t>
      </w:r>
      <w:proofErr w:type="spellStart"/>
      <w:r w:rsidR="005423B8">
        <w:rPr>
          <w:rFonts w:asciiTheme="minorHAnsi" w:hAnsiTheme="minorHAnsi"/>
          <w:bCs/>
          <w:szCs w:val="24"/>
          <w:lang w:val="en-GB"/>
        </w:rPr>
        <w:t>sunitinib</w:t>
      </w:r>
      <w:proofErr w:type="spellEnd"/>
      <w:r w:rsidR="005423B8">
        <w:rPr>
          <w:rFonts w:asciiTheme="minorHAnsi" w:hAnsiTheme="minorHAnsi"/>
          <w:bCs/>
          <w:szCs w:val="24"/>
          <w:lang w:val="en-GB"/>
        </w:rPr>
        <w:t xml:space="preserve"> </w:t>
      </w:r>
      <w:r>
        <w:rPr>
          <w:rFonts w:asciiTheme="minorHAnsi" w:hAnsiTheme="minorHAnsi"/>
          <w:bCs/>
          <w:szCs w:val="24"/>
          <w:lang w:val="en-GB"/>
        </w:rPr>
        <w:t>not being PBS</w:t>
      </w:r>
      <w:r w:rsidR="005423B8">
        <w:rPr>
          <w:rFonts w:asciiTheme="minorHAnsi" w:hAnsiTheme="minorHAnsi"/>
          <w:bCs/>
          <w:szCs w:val="24"/>
          <w:lang w:val="en-GB"/>
        </w:rPr>
        <w:t>-listed for use in poor</w:t>
      </w:r>
      <w:r>
        <w:rPr>
          <w:rFonts w:asciiTheme="minorHAnsi" w:hAnsiTheme="minorHAnsi"/>
          <w:bCs/>
          <w:szCs w:val="24"/>
          <w:lang w:val="en-GB"/>
        </w:rPr>
        <w:t xml:space="preserve"> risk patient</w:t>
      </w:r>
      <w:r w:rsidR="005423B8">
        <w:rPr>
          <w:rFonts w:asciiTheme="minorHAnsi" w:hAnsiTheme="minorHAnsi"/>
          <w:bCs/>
          <w:szCs w:val="24"/>
          <w:lang w:val="en-GB"/>
        </w:rPr>
        <w:t>s.</w:t>
      </w:r>
      <w:r>
        <w:rPr>
          <w:rFonts w:asciiTheme="minorHAnsi" w:hAnsiTheme="minorHAnsi"/>
          <w:bCs/>
          <w:szCs w:val="24"/>
          <w:lang w:val="en-GB"/>
        </w:rPr>
        <w:t xml:space="preserve"> </w:t>
      </w:r>
      <w:r w:rsidR="0029376B">
        <w:rPr>
          <w:rFonts w:asciiTheme="minorHAnsi" w:hAnsiTheme="minorHAnsi"/>
          <w:bCs/>
          <w:szCs w:val="24"/>
          <w:lang w:val="en-GB"/>
        </w:rPr>
        <w:t xml:space="preserve">The PBAC acknowledged that </w:t>
      </w:r>
      <w:proofErr w:type="spellStart"/>
      <w:r w:rsidR="0029376B">
        <w:rPr>
          <w:rFonts w:asciiTheme="minorHAnsi" w:hAnsiTheme="minorHAnsi"/>
          <w:bCs/>
          <w:szCs w:val="24"/>
          <w:lang w:val="en-GB"/>
        </w:rPr>
        <w:t>s</w:t>
      </w:r>
      <w:r w:rsidR="009B7000">
        <w:rPr>
          <w:rFonts w:asciiTheme="minorHAnsi" w:hAnsiTheme="minorHAnsi"/>
          <w:bCs/>
          <w:szCs w:val="24"/>
          <w:lang w:val="en-GB"/>
        </w:rPr>
        <w:t>unitinib</w:t>
      </w:r>
      <w:proofErr w:type="spellEnd"/>
      <w:r w:rsidR="009B7000">
        <w:rPr>
          <w:rFonts w:asciiTheme="minorHAnsi" w:hAnsiTheme="minorHAnsi"/>
          <w:bCs/>
          <w:szCs w:val="24"/>
          <w:lang w:val="en-GB"/>
        </w:rPr>
        <w:t xml:space="preserve"> </w:t>
      </w:r>
      <w:r w:rsidR="00D71693">
        <w:rPr>
          <w:rFonts w:asciiTheme="minorHAnsi" w:hAnsiTheme="minorHAnsi"/>
          <w:bCs/>
          <w:szCs w:val="24"/>
          <w:lang w:val="en-GB"/>
        </w:rPr>
        <w:t xml:space="preserve">(and </w:t>
      </w:r>
      <w:proofErr w:type="spellStart"/>
      <w:r w:rsidR="00D71693">
        <w:rPr>
          <w:rFonts w:asciiTheme="minorHAnsi" w:hAnsiTheme="minorHAnsi"/>
          <w:bCs/>
          <w:szCs w:val="24"/>
          <w:lang w:val="en-GB"/>
        </w:rPr>
        <w:t>pazopanib</w:t>
      </w:r>
      <w:proofErr w:type="spellEnd"/>
      <w:r w:rsidR="00D71693">
        <w:rPr>
          <w:rFonts w:asciiTheme="minorHAnsi" w:hAnsiTheme="minorHAnsi"/>
          <w:bCs/>
          <w:szCs w:val="24"/>
          <w:lang w:val="en-GB"/>
        </w:rPr>
        <w:t xml:space="preserve">) are </w:t>
      </w:r>
      <w:r w:rsidR="009B7000">
        <w:rPr>
          <w:rFonts w:asciiTheme="minorHAnsi" w:hAnsiTheme="minorHAnsi"/>
          <w:bCs/>
          <w:szCs w:val="24"/>
          <w:lang w:val="en-GB"/>
        </w:rPr>
        <w:t>used in clinical practice</w:t>
      </w:r>
      <w:r w:rsidR="0029376B">
        <w:rPr>
          <w:rFonts w:asciiTheme="minorHAnsi" w:hAnsiTheme="minorHAnsi"/>
          <w:bCs/>
          <w:szCs w:val="24"/>
          <w:lang w:val="en-GB"/>
        </w:rPr>
        <w:t xml:space="preserve"> in patients </w:t>
      </w:r>
      <w:r w:rsidR="005423B8">
        <w:rPr>
          <w:rFonts w:asciiTheme="minorHAnsi" w:hAnsiTheme="minorHAnsi"/>
          <w:bCs/>
          <w:szCs w:val="24"/>
          <w:lang w:val="en-GB"/>
        </w:rPr>
        <w:t xml:space="preserve">who are </w:t>
      </w:r>
      <w:r w:rsidR="0029376B">
        <w:rPr>
          <w:rFonts w:asciiTheme="minorHAnsi" w:hAnsiTheme="minorHAnsi"/>
          <w:bCs/>
          <w:szCs w:val="24"/>
          <w:lang w:val="en-GB"/>
        </w:rPr>
        <w:t xml:space="preserve">at </w:t>
      </w:r>
      <w:r w:rsidR="00BB4544">
        <w:rPr>
          <w:rFonts w:asciiTheme="minorHAnsi" w:hAnsiTheme="minorHAnsi"/>
          <w:bCs/>
          <w:szCs w:val="24"/>
          <w:lang w:val="en-GB"/>
        </w:rPr>
        <w:t>poor</w:t>
      </w:r>
      <w:r w:rsidR="0029376B">
        <w:rPr>
          <w:rFonts w:asciiTheme="minorHAnsi" w:hAnsiTheme="minorHAnsi"/>
          <w:bCs/>
          <w:szCs w:val="24"/>
          <w:lang w:val="en-GB"/>
        </w:rPr>
        <w:t xml:space="preserve"> prognostic</w:t>
      </w:r>
      <w:r w:rsidR="00CC6582">
        <w:rPr>
          <w:rFonts w:asciiTheme="minorHAnsi" w:hAnsiTheme="minorHAnsi"/>
          <w:bCs/>
          <w:szCs w:val="24"/>
          <w:lang w:val="en-GB"/>
        </w:rPr>
        <w:t xml:space="preserve"> risk</w:t>
      </w:r>
      <w:r w:rsidR="009B7000">
        <w:rPr>
          <w:rFonts w:asciiTheme="minorHAnsi" w:hAnsiTheme="minorHAnsi"/>
          <w:bCs/>
          <w:szCs w:val="24"/>
          <w:lang w:val="en-GB"/>
        </w:rPr>
        <w:t xml:space="preserve">. </w:t>
      </w:r>
      <w:r w:rsidR="009D4091">
        <w:rPr>
          <w:rFonts w:asciiTheme="minorHAnsi" w:hAnsiTheme="minorHAnsi"/>
          <w:bCs/>
          <w:szCs w:val="24"/>
          <w:lang w:val="en-GB"/>
        </w:rPr>
        <w:t xml:space="preserve">While accepting </w:t>
      </w:r>
      <w:proofErr w:type="spellStart"/>
      <w:r w:rsidR="009D4091">
        <w:rPr>
          <w:rFonts w:asciiTheme="minorHAnsi" w:hAnsiTheme="minorHAnsi"/>
          <w:bCs/>
          <w:szCs w:val="24"/>
          <w:lang w:val="en-GB"/>
        </w:rPr>
        <w:t>sunitinib</w:t>
      </w:r>
      <w:proofErr w:type="spellEnd"/>
      <w:r w:rsidR="009D4091">
        <w:rPr>
          <w:rFonts w:asciiTheme="minorHAnsi" w:hAnsiTheme="minorHAnsi"/>
          <w:bCs/>
          <w:szCs w:val="24"/>
          <w:lang w:val="en-GB"/>
        </w:rPr>
        <w:t xml:space="preserve"> as the appropriate comparator, t</w:t>
      </w:r>
      <w:r w:rsidR="0029376B">
        <w:rPr>
          <w:rFonts w:asciiTheme="minorHAnsi" w:hAnsiTheme="minorHAnsi"/>
          <w:bCs/>
          <w:szCs w:val="24"/>
          <w:lang w:val="en-GB"/>
        </w:rPr>
        <w:t>he PBAC e</w:t>
      </w:r>
      <w:r w:rsidR="007871BC">
        <w:rPr>
          <w:rFonts w:asciiTheme="minorHAnsi" w:hAnsiTheme="minorHAnsi"/>
          <w:bCs/>
          <w:szCs w:val="24"/>
          <w:lang w:val="en-GB"/>
        </w:rPr>
        <w:t>xpressed c</w:t>
      </w:r>
      <w:r w:rsidR="009B7000">
        <w:rPr>
          <w:rFonts w:asciiTheme="minorHAnsi" w:hAnsiTheme="minorHAnsi"/>
          <w:bCs/>
          <w:szCs w:val="24"/>
          <w:lang w:val="en-GB"/>
        </w:rPr>
        <w:t xml:space="preserve">oncern that patients </w:t>
      </w:r>
      <w:r>
        <w:rPr>
          <w:rFonts w:asciiTheme="minorHAnsi" w:hAnsiTheme="minorHAnsi"/>
          <w:bCs/>
          <w:szCs w:val="24"/>
          <w:lang w:val="en-GB"/>
        </w:rPr>
        <w:t xml:space="preserve">at poor prognostic risk </w:t>
      </w:r>
      <w:r w:rsidR="009B7000">
        <w:rPr>
          <w:rFonts w:asciiTheme="minorHAnsi" w:hAnsiTheme="minorHAnsi"/>
          <w:bCs/>
          <w:szCs w:val="24"/>
          <w:lang w:val="en-GB"/>
        </w:rPr>
        <w:t>are currently being treated with</w:t>
      </w:r>
      <w:r w:rsidR="00BB4544">
        <w:rPr>
          <w:rFonts w:asciiTheme="minorHAnsi" w:hAnsiTheme="minorHAnsi"/>
          <w:bCs/>
          <w:szCs w:val="24"/>
          <w:lang w:val="en-GB"/>
        </w:rPr>
        <w:t xml:space="preserve"> </w:t>
      </w:r>
      <w:proofErr w:type="spellStart"/>
      <w:r w:rsidR="005423B8">
        <w:t>sunitinib</w:t>
      </w:r>
      <w:proofErr w:type="spellEnd"/>
      <w:r w:rsidR="005423B8">
        <w:t xml:space="preserve"> and </w:t>
      </w:r>
      <w:proofErr w:type="spellStart"/>
      <w:r w:rsidR="005423B8">
        <w:t>pazopanib</w:t>
      </w:r>
      <w:proofErr w:type="spellEnd"/>
      <w:r w:rsidR="00D71693">
        <w:t xml:space="preserve">, which </w:t>
      </w:r>
      <w:r w:rsidR="005423B8">
        <w:t xml:space="preserve">are likely to </w:t>
      </w:r>
      <w:r w:rsidR="00D71693">
        <w:t>have</w:t>
      </w:r>
      <w:r w:rsidR="005423B8">
        <w:t xml:space="preserve"> limited efficacy</w:t>
      </w:r>
      <w:r w:rsidR="00D71693">
        <w:t xml:space="preserve"> in this population</w:t>
      </w:r>
      <w:r w:rsidR="005423B8">
        <w:t>, but may be associated with significant toxicity.</w:t>
      </w:r>
      <w:r w:rsidR="008761B7">
        <w:rPr>
          <w:rFonts w:asciiTheme="minorHAnsi" w:hAnsiTheme="minorHAnsi"/>
          <w:bCs/>
          <w:szCs w:val="24"/>
          <w:lang w:val="en-GB"/>
        </w:rPr>
        <w:t xml:space="preserve"> </w:t>
      </w:r>
    </w:p>
    <w:p w:rsidR="002D186B" w:rsidRPr="00E920CC" w:rsidRDefault="006F785A" w:rsidP="00D06EDC">
      <w:pPr>
        <w:pStyle w:val="ListParagraph"/>
        <w:widowControl/>
        <w:numPr>
          <w:ilvl w:val="1"/>
          <w:numId w:val="3"/>
        </w:numPr>
        <w:rPr>
          <w:rFonts w:asciiTheme="minorHAnsi" w:hAnsiTheme="minorHAnsi"/>
          <w:bCs/>
          <w:szCs w:val="24"/>
          <w:lang w:val="en-GB"/>
        </w:rPr>
      </w:pPr>
      <w:r w:rsidRPr="00E920CC">
        <w:rPr>
          <w:rFonts w:asciiTheme="minorHAnsi" w:hAnsiTheme="minorHAnsi"/>
          <w:bCs/>
          <w:szCs w:val="24"/>
          <w:lang w:val="en-GB"/>
        </w:rPr>
        <w:lastRenderedPageBreak/>
        <w:t xml:space="preserve">The PBAC noted that NIVO+IPI was associated with a </w:t>
      </w:r>
      <w:r w:rsidR="00B07F6B">
        <w:rPr>
          <w:rFonts w:asciiTheme="minorHAnsi" w:hAnsiTheme="minorHAnsi"/>
          <w:bCs/>
          <w:noProof/>
          <w:color w:val="000000"/>
          <w:szCs w:val="24"/>
          <w:highlight w:val="black"/>
          <w:lang w:val="en-GB"/>
        </w:rPr>
        <w:t>'''''</w:t>
      </w:r>
      <w:r w:rsidRPr="00E920CC">
        <w:rPr>
          <w:rFonts w:asciiTheme="minorHAnsi" w:hAnsiTheme="minorHAnsi"/>
          <w:bCs/>
          <w:szCs w:val="24"/>
          <w:lang w:val="en-GB"/>
        </w:rPr>
        <w:t xml:space="preserve">% </w:t>
      </w:r>
      <w:r w:rsidRPr="000A177C">
        <w:rPr>
          <w:rFonts w:asciiTheme="minorHAnsi" w:hAnsiTheme="minorHAnsi"/>
          <w:bCs/>
          <w:szCs w:val="24"/>
          <w:lang w:val="en-GB"/>
        </w:rPr>
        <w:t xml:space="preserve">improvement in </w:t>
      </w:r>
      <w:r w:rsidR="00003557">
        <w:rPr>
          <w:rFonts w:asciiTheme="minorHAnsi" w:hAnsiTheme="minorHAnsi"/>
          <w:bCs/>
          <w:szCs w:val="24"/>
          <w:lang w:val="en-GB"/>
        </w:rPr>
        <w:t>OS</w:t>
      </w:r>
      <w:r w:rsidRPr="000A177C">
        <w:rPr>
          <w:rFonts w:asciiTheme="minorHAnsi" w:hAnsiTheme="minorHAnsi"/>
          <w:bCs/>
          <w:szCs w:val="24"/>
          <w:lang w:val="en-GB"/>
        </w:rPr>
        <w:t xml:space="preserve"> at 18 months </w:t>
      </w:r>
      <w:r w:rsidR="00CC6582" w:rsidRPr="000A177C">
        <w:rPr>
          <w:rFonts w:asciiTheme="minorHAnsi" w:hAnsiTheme="minorHAnsi"/>
          <w:bCs/>
          <w:szCs w:val="24"/>
          <w:lang w:val="en-GB"/>
        </w:rPr>
        <w:t xml:space="preserve">versus </w:t>
      </w:r>
      <w:proofErr w:type="spellStart"/>
      <w:r w:rsidR="00CC6582" w:rsidRPr="000A177C">
        <w:rPr>
          <w:rFonts w:asciiTheme="minorHAnsi" w:hAnsiTheme="minorHAnsi"/>
          <w:bCs/>
          <w:szCs w:val="24"/>
          <w:lang w:val="en-GB"/>
        </w:rPr>
        <w:t>sunitinib</w:t>
      </w:r>
      <w:proofErr w:type="spellEnd"/>
      <w:r w:rsidR="00D06EDC">
        <w:rPr>
          <w:rFonts w:asciiTheme="minorHAnsi" w:hAnsiTheme="minorHAnsi"/>
          <w:bCs/>
          <w:szCs w:val="24"/>
          <w:lang w:val="en-GB"/>
        </w:rPr>
        <w:t xml:space="preserve">, with a </w:t>
      </w:r>
      <w:r w:rsidR="00D06EDC" w:rsidRPr="00D06EDC">
        <w:rPr>
          <w:rFonts w:asciiTheme="minorHAnsi" w:hAnsiTheme="minorHAnsi"/>
          <w:bCs/>
          <w:szCs w:val="24"/>
          <w:lang w:val="en-GB"/>
        </w:rPr>
        <w:t>hazard ratio for death</w:t>
      </w:r>
      <w:r w:rsidR="00D06EDC">
        <w:rPr>
          <w:rFonts w:asciiTheme="minorHAnsi" w:hAnsiTheme="minorHAnsi"/>
          <w:bCs/>
          <w:szCs w:val="24"/>
          <w:lang w:val="en-GB"/>
        </w:rPr>
        <w:t xml:space="preserve"> of</w:t>
      </w:r>
      <w:r w:rsidRPr="000A177C">
        <w:rPr>
          <w:rFonts w:asciiTheme="minorHAnsi" w:hAnsiTheme="minorHAnsi"/>
          <w:bCs/>
          <w:szCs w:val="24"/>
          <w:lang w:val="en-GB"/>
        </w:rPr>
        <w:t xml:space="preserve"> 0.63 (95% CI: 0.44, 0.89)</w:t>
      </w:r>
      <w:r w:rsidR="007C04B8" w:rsidRPr="000A177C">
        <w:rPr>
          <w:rFonts w:asciiTheme="minorHAnsi" w:hAnsiTheme="minorHAnsi"/>
          <w:bCs/>
          <w:szCs w:val="24"/>
          <w:lang w:val="en-GB"/>
        </w:rPr>
        <w:t xml:space="preserve">, which the </w:t>
      </w:r>
      <w:r w:rsidR="007C04B8" w:rsidRPr="000A177C">
        <w:t xml:space="preserve">PBAC considered was indicative </w:t>
      </w:r>
      <w:r w:rsidR="00CC6582" w:rsidRPr="000A177C">
        <w:t>of</w:t>
      </w:r>
      <w:r w:rsidR="007C04B8" w:rsidRPr="000A177C">
        <w:t xml:space="preserve"> </w:t>
      </w:r>
      <w:r w:rsidR="007F40AE" w:rsidRPr="000A177C">
        <w:t>an</w:t>
      </w:r>
      <w:r w:rsidR="007C04B8" w:rsidRPr="000A177C">
        <w:t xml:space="preserve"> important improvement in OS</w:t>
      </w:r>
      <w:r w:rsidR="007C04B8" w:rsidRPr="000A177C">
        <w:rPr>
          <w:rFonts w:asciiTheme="minorHAnsi" w:hAnsiTheme="minorHAnsi"/>
          <w:bCs/>
          <w:szCs w:val="24"/>
          <w:lang w:val="en-GB"/>
        </w:rPr>
        <w:t>.</w:t>
      </w:r>
      <w:r w:rsidR="00CC6582" w:rsidRPr="00E920CC">
        <w:rPr>
          <w:rFonts w:asciiTheme="minorHAnsi" w:hAnsiTheme="minorHAnsi"/>
          <w:bCs/>
          <w:szCs w:val="24"/>
          <w:lang w:val="en-GB"/>
        </w:rPr>
        <w:t xml:space="preserve"> However, the PBAC considered that the absolute magnitude of the treatment effect could not be reliably estimated because</w:t>
      </w:r>
      <w:r w:rsidR="00E920CC">
        <w:rPr>
          <w:rFonts w:asciiTheme="minorHAnsi" w:hAnsiTheme="minorHAnsi"/>
          <w:bCs/>
          <w:szCs w:val="24"/>
          <w:lang w:val="en-GB"/>
        </w:rPr>
        <w:t xml:space="preserve"> </w:t>
      </w:r>
      <w:r w:rsidR="0029376B" w:rsidRPr="00E920CC">
        <w:rPr>
          <w:rFonts w:asciiTheme="minorHAnsi" w:hAnsiTheme="minorHAnsi"/>
          <w:bCs/>
          <w:szCs w:val="24"/>
          <w:lang w:val="en-GB"/>
        </w:rPr>
        <w:t xml:space="preserve">the </w:t>
      </w:r>
      <w:r w:rsidR="00D71693" w:rsidRPr="00E920CC">
        <w:rPr>
          <w:rFonts w:asciiTheme="minorHAnsi" w:hAnsiTheme="minorHAnsi"/>
          <w:bCs/>
          <w:szCs w:val="24"/>
          <w:lang w:val="en-GB"/>
        </w:rPr>
        <w:t xml:space="preserve">OS data from the pivotal trial were immature, </w:t>
      </w:r>
      <w:r w:rsidR="009D4091" w:rsidRPr="00E920CC">
        <w:rPr>
          <w:rFonts w:asciiTheme="minorHAnsi" w:hAnsiTheme="minorHAnsi"/>
          <w:bCs/>
          <w:szCs w:val="24"/>
          <w:lang w:val="en-GB"/>
        </w:rPr>
        <w:t>with 61% of patients still alive at the data-cut</w:t>
      </w:r>
      <w:r w:rsidR="009034A1" w:rsidRPr="00E920CC">
        <w:rPr>
          <w:rFonts w:asciiTheme="minorHAnsi" w:hAnsiTheme="minorHAnsi"/>
          <w:bCs/>
          <w:szCs w:val="24"/>
          <w:lang w:val="en-GB"/>
        </w:rPr>
        <w:t xml:space="preserve"> reported in the submission</w:t>
      </w:r>
      <w:r w:rsidR="007241F1" w:rsidRPr="00E920CC">
        <w:rPr>
          <w:rFonts w:asciiTheme="minorHAnsi" w:hAnsiTheme="minorHAnsi"/>
          <w:bCs/>
          <w:szCs w:val="24"/>
          <w:lang w:val="en-GB"/>
        </w:rPr>
        <w:t xml:space="preserve"> </w:t>
      </w:r>
      <w:r w:rsidR="007241F1" w:rsidRPr="00E920CC">
        <w:rPr>
          <w:szCs w:val="24"/>
        </w:rPr>
        <w:t>(across both arms of the intermediate to poor risk group)</w:t>
      </w:r>
      <w:r w:rsidR="00CC6582" w:rsidRPr="00E920CC">
        <w:rPr>
          <w:szCs w:val="24"/>
        </w:rPr>
        <w:t>.</w:t>
      </w:r>
      <w:r w:rsidR="00E920CC">
        <w:rPr>
          <w:szCs w:val="24"/>
        </w:rPr>
        <w:t xml:space="preserve"> However, the PBAC</w:t>
      </w:r>
      <w:r w:rsidR="00CC6582" w:rsidRPr="00E920CC">
        <w:rPr>
          <w:rFonts w:asciiTheme="minorHAnsi" w:hAnsiTheme="minorHAnsi"/>
          <w:bCs/>
          <w:szCs w:val="24"/>
          <w:lang w:val="en-GB"/>
        </w:rPr>
        <w:t xml:space="preserve"> a</w:t>
      </w:r>
      <w:r w:rsidR="009D4091" w:rsidRPr="00E920CC">
        <w:rPr>
          <w:rFonts w:asciiTheme="minorHAnsi" w:hAnsiTheme="minorHAnsi"/>
          <w:bCs/>
          <w:szCs w:val="24"/>
          <w:lang w:val="en-GB"/>
        </w:rPr>
        <w:t>cknowledged that</w:t>
      </w:r>
      <w:r w:rsidR="002D186B" w:rsidRPr="00E920CC">
        <w:rPr>
          <w:rFonts w:asciiTheme="minorHAnsi" w:hAnsiTheme="minorHAnsi"/>
          <w:bCs/>
          <w:szCs w:val="24"/>
          <w:lang w:val="en-GB"/>
        </w:rPr>
        <w:t xml:space="preserve"> </w:t>
      </w:r>
      <w:r w:rsidR="00D06EDC">
        <w:rPr>
          <w:rFonts w:asciiTheme="minorHAnsi" w:hAnsiTheme="minorHAnsi"/>
          <w:bCs/>
          <w:szCs w:val="24"/>
          <w:lang w:val="en-GB"/>
        </w:rPr>
        <w:t xml:space="preserve">any </w:t>
      </w:r>
      <w:r w:rsidR="009D4091" w:rsidRPr="00E920CC">
        <w:rPr>
          <w:rFonts w:asciiTheme="minorHAnsi" w:hAnsiTheme="minorHAnsi"/>
          <w:bCs/>
          <w:szCs w:val="24"/>
          <w:lang w:val="en-GB"/>
        </w:rPr>
        <w:t>l</w:t>
      </w:r>
      <w:r w:rsidR="002D186B" w:rsidRPr="00E920CC">
        <w:rPr>
          <w:rFonts w:asciiTheme="minorHAnsi" w:hAnsiTheme="minorHAnsi"/>
          <w:bCs/>
          <w:szCs w:val="24"/>
          <w:lang w:val="en-GB"/>
        </w:rPr>
        <w:t xml:space="preserve">onger term data </w:t>
      </w:r>
      <w:r w:rsidR="009D4091" w:rsidRPr="00E920CC">
        <w:rPr>
          <w:rFonts w:asciiTheme="minorHAnsi" w:hAnsiTheme="minorHAnsi"/>
          <w:bCs/>
          <w:szCs w:val="24"/>
          <w:lang w:val="en-GB"/>
        </w:rPr>
        <w:t>(subsequent data-cuts)</w:t>
      </w:r>
      <w:r w:rsidR="002D186B" w:rsidRPr="00E920CC">
        <w:rPr>
          <w:rFonts w:asciiTheme="minorHAnsi" w:hAnsiTheme="minorHAnsi"/>
          <w:bCs/>
          <w:szCs w:val="24"/>
          <w:lang w:val="en-GB"/>
        </w:rPr>
        <w:t xml:space="preserve"> </w:t>
      </w:r>
      <w:r w:rsidR="007C04B8" w:rsidRPr="00E920CC">
        <w:rPr>
          <w:rFonts w:asciiTheme="minorHAnsi" w:hAnsiTheme="minorHAnsi"/>
          <w:bCs/>
          <w:szCs w:val="24"/>
          <w:lang w:val="en-GB"/>
        </w:rPr>
        <w:t>would</w:t>
      </w:r>
      <w:r w:rsidR="002D186B" w:rsidRPr="00E920CC">
        <w:rPr>
          <w:rFonts w:asciiTheme="minorHAnsi" w:hAnsiTheme="minorHAnsi"/>
          <w:bCs/>
          <w:szCs w:val="24"/>
          <w:lang w:val="en-GB"/>
        </w:rPr>
        <w:t xml:space="preserve"> be</w:t>
      </w:r>
      <w:r w:rsidR="00CC6582" w:rsidRPr="00E920CC">
        <w:rPr>
          <w:rFonts w:asciiTheme="minorHAnsi" w:hAnsiTheme="minorHAnsi"/>
          <w:bCs/>
          <w:szCs w:val="24"/>
          <w:lang w:val="en-GB"/>
        </w:rPr>
        <w:t xml:space="preserve"> further</w:t>
      </w:r>
      <w:r w:rsidR="002D186B" w:rsidRPr="00E920CC">
        <w:rPr>
          <w:rFonts w:asciiTheme="minorHAnsi" w:hAnsiTheme="minorHAnsi"/>
          <w:bCs/>
          <w:szCs w:val="24"/>
          <w:lang w:val="en-GB"/>
        </w:rPr>
        <w:t xml:space="preserve"> confounded by subsequent therapies.</w:t>
      </w:r>
    </w:p>
    <w:p w:rsidR="009B7000" w:rsidRDefault="006F785A" w:rsidP="00C06C42">
      <w:pPr>
        <w:widowControl/>
        <w:numPr>
          <w:ilvl w:val="1"/>
          <w:numId w:val="3"/>
        </w:numPr>
        <w:spacing w:after="120"/>
        <w:rPr>
          <w:rFonts w:asciiTheme="minorHAnsi" w:hAnsiTheme="minorHAnsi"/>
          <w:bCs/>
          <w:szCs w:val="24"/>
          <w:lang w:val="en-GB"/>
        </w:rPr>
      </w:pPr>
      <w:r>
        <w:t xml:space="preserve">The PBAC </w:t>
      </w:r>
      <w:r w:rsidR="00D570BA">
        <w:t>c</w:t>
      </w:r>
      <w:r>
        <w:t xml:space="preserve">onsidered that the </w:t>
      </w:r>
      <w:r w:rsidR="00E920CC">
        <w:t>trial may have overestimated the incremental effectiveness</w:t>
      </w:r>
      <w:r w:rsidR="000A177C">
        <w:t>, and underestimated the incremental toxicity,</w:t>
      </w:r>
      <w:r w:rsidR="00E920CC">
        <w:t xml:space="preserve"> of NIVO+IPI versus </w:t>
      </w:r>
      <w:proofErr w:type="spellStart"/>
      <w:r w:rsidR="00E920CC">
        <w:t>sunitinib</w:t>
      </w:r>
      <w:proofErr w:type="spellEnd"/>
      <w:r w:rsidR="000A177C">
        <w:t xml:space="preserve"> that would be observed in the PBS population</w:t>
      </w:r>
      <w:r w:rsidR="00E920CC">
        <w:t xml:space="preserve"> as the </w:t>
      </w:r>
      <w:r>
        <w:t xml:space="preserve">trial population may </w:t>
      </w:r>
      <w:r w:rsidR="000A177C">
        <w:t xml:space="preserve">have </w:t>
      </w:r>
      <w:r>
        <w:t>be</w:t>
      </w:r>
      <w:r w:rsidR="000A177C">
        <w:t>en</w:t>
      </w:r>
      <w:r>
        <w:t xml:space="preserve"> healthier than the likely PBS population</w:t>
      </w:r>
      <w:r w:rsidR="000A177C">
        <w:t>. For example</w:t>
      </w:r>
      <w:r w:rsidR="00C06C42">
        <w:t>:</w:t>
      </w:r>
      <w:r w:rsidR="000A177C">
        <w:t xml:space="preserve"> </w:t>
      </w:r>
      <w:r w:rsidR="00B07F6B">
        <w:rPr>
          <w:noProof/>
          <w:color w:val="000000"/>
          <w:highlight w:val="black"/>
        </w:rPr>
        <w:t>'''''</w:t>
      </w:r>
      <w:r w:rsidR="00E920CC">
        <w:t xml:space="preserve">% of patients in the NIVO+IPI arm of the trial were &lt; 65 years of age, while only </w:t>
      </w:r>
      <w:r w:rsidR="00B07F6B">
        <w:rPr>
          <w:noProof/>
          <w:color w:val="000000"/>
          <w:highlight w:val="black"/>
        </w:rPr>
        <w:t>'''</w:t>
      </w:r>
      <w:r w:rsidR="00E920CC">
        <w:t xml:space="preserve">% of patients were </w:t>
      </w:r>
      <w:r w:rsidR="00E920CC">
        <w:rPr>
          <w:rFonts w:cs="Calibri"/>
        </w:rPr>
        <w:t>≥</w:t>
      </w:r>
      <w:r w:rsidR="00E920CC">
        <w:t xml:space="preserve"> 75 years; </w:t>
      </w:r>
      <w:r w:rsidR="00B07F6B">
        <w:rPr>
          <w:noProof/>
          <w:color w:val="000000"/>
          <w:highlight w:val="black"/>
        </w:rPr>
        <w:t>''''''''</w:t>
      </w:r>
      <w:r w:rsidR="00E920CC">
        <w:t xml:space="preserve">% were KPS 90-100; </w:t>
      </w:r>
      <w:r w:rsidR="00D06EDC">
        <w:t xml:space="preserve">and </w:t>
      </w:r>
      <w:r w:rsidR="00E920CC">
        <w:t xml:space="preserve">the trial excluded patients with </w:t>
      </w:r>
      <w:r w:rsidR="000A177C">
        <w:t xml:space="preserve">CNS </w:t>
      </w:r>
      <w:r w:rsidR="000A177C">
        <w:rPr>
          <w:rFonts w:asciiTheme="minorHAnsi" w:hAnsiTheme="minorHAnsi"/>
          <w:bCs/>
          <w:szCs w:val="24"/>
          <w:lang w:val="en-GB"/>
        </w:rPr>
        <w:t xml:space="preserve">and used the </w:t>
      </w:r>
      <w:r w:rsidR="00926326">
        <w:rPr>
          <w:rFonts w:asciiTheme="minorHAnsi" w:hAnsiTheme="minorHAnsi"/>
          <w:bCs/>
          <w:szCs w:val="24"/>
          <w:lang w:val="en-GB"/>
        </w:rPr>
        <w:t xml:space="preserve">less tolerable </w:t>
      </w:r>
      <w:proofErr w:type="spellStart"/>
      <w:r w:rsidR="000A177C">
        <w:rPr>
          <w:rFonts w:asciiTheme="minorHAnsi" w:hAnsiTheme="minorHAnsi"/>
          <w:bCs/>
          <w:szCs w:val="24"/>
          <w:lang w:val="en-GB"/>
        </w:rPr>
        <w:t>sunitinib</w:t>
      </w:r>
      <w:proofErr w:type="spellEnd"/>
      <w:r w:rsidR="000A177C">
        <w:rPr>
          <w:rFonts w:asciiTheme="minorHAnsi" w:hAnsiTheme="minorHAnsi"/>
          <w:bCs/>
          <w:szCs w:val="24"/>
          <w:lang w:val="en-GB"/>
        </w:rPr>
        <w:t xml:space="preserve"> 4:2 dosing regimen</w:t>
      </w:r>
      <w:r w:rsidR="00D100F1">
        <w:rPr>
          <w:rFonts w:asciiTheme="minorHAnsi" w:hAnsiTheme="minorHAnsi"/>
          <w:bCs/>
          <w:szCs w:val="24"/>
          <w:lang w:val="en-GB"/>
        </w:rPr>
        <w:t>.</w:t>
      </w:r>
      <w:r w:rsidR="00FA4289">
        <w:rPr>
          <w:rFonts w:asciiTheme="minorHAnsi" w:hAnsiTheme="minorHAnsi"/>
          <w:bCs/>
          <w:szCs w:val="24"/>
          <w:lang w:val="en-GB"/>
        </w:rPr>
        <w:t xml:space="preserve"> </w:t>
      </w:r>
    </w:p>
    <w:p w:rsidR="00C911CA" w:rsidRDefault="00FA4289" w:rsidP="00C06C42">
      <w:pPr>
        <w:widowControl/>
        <w:numPr>
          <w:ilvl w:val="1"/>
          <w:numId w:val="3"/>
        </w:numPr>
        <w:spacing w:after="120"/>
        <w:rPr>
          <w:rFonts w:asciiTheme="minorHAnsi" w:hAnsiTheme="minorHAnsi"/>
          <w:bCs/>
          <w:szCs w:val="24"/>
          <w:lang w:val="en-GB"/>
        </w:rPr>
      </w:pPr>
      <w:r w:rsidRPr="00FA4289">
        <w:rPr>
          <w:rFonts w:asciiTheme="minorHAnsi" w:hAnsiTheme="minorHAnsi"/>
          <w:bCs/>
          <w:szCs w:val="24"/>
          <w:lang w:val="en-GB"/>
        </w:rPr>
        <w:t xml:space="preserve">The PBAC acknowledged that NIVO+IPI </w:t>
      </w:r>
      <w:r w:rsidR="00D570BA">
        <w:rPr>
          <w:rFonts w:asciiTheme="minorHAnsi" w:hAnsiTheme="minorHAnsi"/>
          <w:bCs/>
          <w:szCs w:val="24"/>
          <w:lang w:val="en-GB"/>
        </w:rPr>
        <w:t>i</w:t>
      </w:r>
      <w:r w:rsidRPr="00FA4289">
        <w:rPr>
          <w:rFonts w:asciiTheme="minorHAnsi" w:hAnsiTheme="minorHAnsi"/>
          <w:bCs/>
          <w:szCs w:val="24"/>
          <w:lang w:val="en-GB"/>
        </w:rPr>
        <w:t>s associated with a different a</w:t>
      </w:r>
      <w:r w:rsidR="009B7000" w:rsidRPr="00FA4289">
        <w:rPr>
          <w:rFonts w:asciiTheme="minorHAnsi" w:hAnsiTheme="minorHAnsi"/>
          <w:bCs/>
          <w:szCs w:val="24"/>
          <w:lang w:val="en-GB"/>
        </w:rPr>
        <w:t>dverse event</w:t>
      </w:r>
      <w:r w:rsidRPr="00FA4289">
        <w:rPr>
          <w:rFonts w:asciiTheme="minorHAnsi" w:hAnsiTheme="minorHAnsi"/>
          <w:bCs/>
          <w:szCs w:val="24"/>
          <w:lang w:val="en-GB"/>
        </w:rPr>
        <w:t xml:space="preserve"> profile than </w:t>
      </w:r>
      <w:proofErr w:type="spellStart"/>
      <w:r w:rsidRPr="00FA4289">
        <w:rPr>
          <w:rFonts w:asciiTheme="minorHAnsi" w:hAnsiTheme="minorHAnsi"/>
          <w:bCs/>
          <w:szCs w:val="24"/>
          <w:lang w:val="en-GB"/>
        </w:rPr>
        <w:t>sunitinib</w:t>
      </w:r>
      <w:proofErr w:type="spellEnd"/>
      <w:r w:rsidRPr="00FA4289">
        <w:rPr>
          <w:rFonts w:asciiTheme="minorHAnsi" w:hAnsiTheme="minorHAnsi"/>
          <w:bCs/>
          <w:szCs w:val="24"/>
          <w:lang w:val="en-GB"/>
        </w:rPr>
        <w:t xml:space="preserve">. The PBAC considered that with immunotherapies such as NIVO+IPI there is likely to be a </w:t>
      </w:r>
      <w:r w:rsidR="00C911CA">
        <w:rPr>
          <w:rFonts w:asciiTheme="minorHAnsi" w:hAnsiTheme="minorHAnsi"/>
          <w:bCs/>
          <w:szCs w:val="24"/>
          <w:lang w:val="en-GB"/>
        </w:rPr>
        <w:t>group of patient who experience</w:t>
      </w:r>
      <w:r w:rsidRPr="00FA4289">
        <w:rPr>
          <w:rFonts w:asciiTheme="minorHAnsi" w:hAnsiTheme="minorHAnsi"/>
          <w:bCs/>
          <w:szCs w:val="24"/>
          <w:lang w:val="en-GB"/>
        </w:rPr>
        <w:t xml:space="preserve"> severe toxicity and other patients who experience no adverse events. On the other hand, with </w:t>
      </w:r>
      <w:proofErr w:type="spellStart"/>
      <w:r w:rsidRPr="00FA4289">
        <w:rPr>
          <w:rFonts w:asciiTheme="minorHAnsi" w:hAnsiTheme="minorHAnsi"/>
          <w:bCs/>
          <w:szCs w:val="24"/>
          <w:lang w:val="en-GB"/>
        </w:rPr>
        <w:t>sunitinib</w:t>
      </w:r>
      <w:proofErr w:type="spellEnd"/>
      <w:r w:rsidRPr="00FA4289">
        <w:rPr>
          <w:rFonts w:asciiTheme="minorHAnsi" w:hAnsiTheme="minorHAnsi"/>
          <w:bCs/>
          <w:szCs w:val="24"/>
          <w:lang w:val="en-GB"/>
        </w:rPr>
        <w:t xml:space="preserve"> most patients will experience some low-grade adverse events. However, overall the</w:t>
      </w:r>
      <w:r w:rsidR="00C828BC" w:rsidRPr="0083556B">
        <w:rPr>
          <w:rFonts w:asciiTheme="minorHAnsi" w:hAnsiTheme="minorHAnsi"/>
          <w:szCs w:val="20"/>
        </w:rPr>
        <w:t xml:space="preserve"> PBAC considered that NIVO+IPI was associated with inferior comparative safety</w:t>
      </w:r>
      <w:r w:rsidR="00C828BC">
        <w:rPr>
          <w:rFonts w:asciiTheme="minorHAnsi" w:hAnsiTheme="minorHAnsi"/>
          <w:szCs w:val="20"/>
        </w:rPr>
        <w:t xml:space="preserve"> versus </w:t>
      </w:r>
      <w:proofErr w:type="spellStart"/>
      <w:r w:rsidR="00C828BC">
        <w:rPr>
          <w:rFonts w:asciiTheme="minorHAnsi" w:hAnsiTheme="minorHAnsi"/>
          <w:szCs w:val="20"/>
        </w:rPr>
        <w:t>sunitinib</w:t>
      </w:r>
      <w:proofErr w:type="spellEnd"/>
      <w:r w:rsidR="00C828BC" w:rsidRPr="0083556B">
        <w:rPr>
          <w:rFonts w:asciiTheme="minorHAnsi" w:hAnsiTheme="minorHAnsi"/>
          <w:szCs w:val="20"/>
        </w:rPr>
        <w:t>, given NIVO+IPI was associated with</w:t>
      </w:r>
      <w:r w:rsidR="00C828BC">
        <w:rPr>
          <w:rFonts w:asciiTheme="minorHAnsi" w:hAnsiTheme="minorHAnsi"/>
          <w:szCs w:val="20"/>
        </w:rPr>
        <w:t xml:space="preserve"> a higher rate of </w:t>
      </w:r>
      <w:r w:rsidR="00C828BC" w:rsidRPr="0083556B">
        <w:rPr>
          <w:rFonts w:asciiTheme="minorHAnsi" w:hAnsiTheme="minorHAnsi"/>
          <w:szCs w:val="20"/>
        </w:rPr>
        <w:t>serious adverse events and adverse events requiring treatment discontinuation</w:t>
      </w:r>
      <w:r>
        <w:rPr>
          <w:rFonts w:asciiTheme="minorHAnsi" w:hAnsiTheme="minorHAnsi"/>
          <w:bCs/>
          <w:szCs w:val="24"/>
          <w:lang w:val="en-GB"/>
        </w:rPr>
        <w:t xml:space="preserve"> than </w:t>
      </w:r>
      <w:proofErr w:type="spellStart"/>
      <w:r w:rsidR="00C911CA">
        <w:rPr>
          <w:rFonts w:asciiTheme="minorHAnsi" w:hAnsiTheme="minorHAnsi"/>
          <w:bCs/>
          <w:szCs w:val="24"/>
          <w:lang w:val="en-GB"/>
        </w:rPr>
        <w:t>sunitinib</w:t>
      </w:r>
      <w:proofErr w:type="spellEnd"/>
      <w:r w:rsidR="00C911CA">
        <w:rPr>
          <w:rFonts w:asciiTheme="minorHAnsi" w:hAnsiTheme="minorHAnsi"/>
          <w:bCs/>
          <w:szCs w:val="24"/>
          <w:lang w:val="en-GB"/>
        </w:rPr>
        <w:t>.</w:t>
      </w:r>
    </w:p>
    <w:p w:rsidR="009B7000" w:rsidRDefault="00FA4289" w:rsidP="00C2606E">
      <w:pPr>
        <w:widowControl/>
        <w:numPr>
          <w:ilvl w:val="1"/>
          <w:numId w:val="3"/>
        </w:numPr>
        <w:spacing w:after="120"/>
        <w:rPr>
          <w:rFonts w:asciiTheme="minorHAnsi" w:hAnsiTheme="minorHAnsi"/>
          <w:bCs/>
          <w:szCs w:val="24"/>
          <w:lang w:val="en-GB"/>
        </w:rPr>
      </w:pPr>
      <w:r>
        <w:rPr>
          <w:rFonts w:asciiTheme="minorHAnsi" w:hAnsiTheme="minorHAnsi"/>
          <w:bCs/>
          <w:szCs w:val="24"/>
          <w:lang w:val="en-GB"/>
        </w:rPr>
        <w:t>Further, t</w:t>
      </w:r>
      <w:r w:rsidR="009B7000">
        <w:rPr>
          <w:rFonts w:asciiTheme="minorHAnsi" w:hAnsiTheme="minorHAnsi"/>
          <w:bCs/>
          <w:szCs w:val="24"/>
          <w:lang w:val="en-GB"/>
        </w:rPr>
        <w:t>he PBAC considered that the adverse events associated with NIVO+IPI may be challenging to manage outside major tertiary centres</w:t>
      </w:r>
      <w:r w:rsidR="00C2606E">
        <w:rPr>
          <w:rFonts w:asciiTheme="minorHAnsi" w:hAnsiTheme="minorHAnsi"/>
          <w:bCs/>
          <w:szCs w:val="24"/>
          <w:lang w:val="en-GB"/>
        </w:rPr>
        <w:t xml:space="preserve"> (e.g. in </w:t>
      </w:r>
      <w:r w:rsidR="00C2606E" w:rsidRPr="00C2606E">
        <w:rPr>
          <w:rFonts w:asciiTheme="minorHAnsi" w:hAnsiTheme="minorHAnsi"/>
          <w:bCs/>
          <w:szCs w:val="24"/>
          <w:lang w:val="en-GB"/>
        </w:rPr>
        <w:t>the more rural and remote settings and private hospitals</w:t>
      </w:r>
      <w:r w:rsidR="00C2606E">
        <w:rPr>
          <w:rFonts w:asciiTheme="minorHAnsi" w:hAnsiTheme="minorHAnsi"/>
          <w:bCs/>
          <w:szCs w:val="24"/>
          <w:lang w:val="en-GB"/>
        </w:rPr>
        <w:t>)</w:t>
      </w:r>
      <w:r w:rsidR="00C911CA">
        <w:rPr>
          <w:rFonts w:asciiTheme="minorHAnsi" w:hAnsiTheme="minorHAnsi"/>
          <w:bCs/>
          <w:szCs w:val="24"/>
          <w:lang w:val="en-GB"/>
        </w:rPr>
        <w:t xml:space="preserve">. </w:t>
      </w:r>
      <w:r w:rsidR="00C2606E" w:rsidRPr="00C2606E">
        <w:rPr>
          <w:rFonts w:asciiTheme="minorHAnsi" w:hAnsiTheme="minorHAnsi"/>
          <w:bCs/>
          <w:szCs w:val="24"/>
          <w:lang w:val="en-GB"/>
        </w:rPr>
        <w:t>The PBAC considered that there was a need for improved access to immune-modulating rescue therapies in these settings, for example infliximab for treatment-induced colitis which are not currently PBS-funded for this indication nor routinely available on hospital formularies.</w:t>
      </w:r>
      <w:r w:rsidR="009B7000">
        <w:rPr>
          <w:rFonts w:asciiTheme="minorHAnsi" w:hAnsiTheme="minorHAnsi"/>
          <w:bCs/>
          <w:szCs w:val="24"/>
          <w:lang w:val="en-GB"/>
        </w:rPr>
        <w:t xml:space="preserve"> </w:t>
      </w:r>
    </w:p>
    <w:p w:rsidR="00D570BA" w:rsidRDefault="00D570BA" w:rsidP="00C06C42">
      <w:pPr>
        <w:widowControl/>
        <w:numPr>
          <w:ilvl w:val="1"/>
          <w:numId w:val="3"/>
        </w:numPr>
        <w:spacing w:after="120"/>
        <w:rPr>
          <w:rFonts w:asciiTheme="minorHAnsi" w:hAnsiTheme="minorHAnsi"/>
          <w:bCs/>
          <w:szCs w:val="24"/>
          <w:lang w:val="en-GB"/>
        </w:rPr>
      </w:pPr>
      <w:r>
        <w:rPr>
          <w:rFonts w:asciiTheme="minorHAnsi" w:hAnsiTheme="minorHAnsi"/>
          <w:bCs/>
          <w:szCs w:val="24"/>
          <w:lang w:val="en-GB"/>
        </w:rPr>
        <w:t xml:space="preserve">The PBAC noted that </w:t>
      </w:r>
      <w:r>
        <w:t xml:space="preserve">NIVO+IPI was associated with potentially worse outcomes than </w:t>
      </w:r>
      <w:proofErr w:type="spellStart"/>
      <w:r>
        <w:t>sunitinib</w:t>
      </w:r>
      <w:proofErr w:type="spellEnd"/>
      <w:r>
        <w:rPr>
          <w:rFonts w:asciiTheme="minorHAnsi" w:hAnsiTheme="minorHAnsi"/>
          <w:bCs/>
          <w:szCs w:val="24"/>
          <w:lang w:val="en-GB"/>
        </w:rPr>
        <w:t xml:space="preserve"> in </w:t>
      </w:r>
      <w:r w:rsidR="00C06C42">
        <w:rPr>
          <w:rFonts w:asciiTheme="minorHAnsi" w:hAnsiTheme="minorHAnsi"/>
          <w:bCs/>
          <w:szCs w:val="24"/>
          <w:lang w:val="en-GB"/>
        </w:rPr>
        <w:t xml:space="preserve">the group of patients with a </w:t>
      </w:r>
      <w:r>
        <w:rPr>
          <w:rFonts w:asciiTheme="minorHAnsi" w:hAnsiTheme="minorHAnsi"/>
          <w:bCs/>
          <w:szCs w:val="24"/>
          <w:lang w:val="en-GB"/>
        </w:rPr>
        <w:t xml:space="preserve">favourable prognosis </w:t>
      </w:r>
      <w:r>
        <w:t>(a statistically significant decrease in PFS and ORR</w:t>
      </w:r>
      <w:r w:rsidR="00C828BC">
        <w:t xml:space="preserve"> was observed in the trial</w:t>
      </w:r>
      <w:r>
        <w:t>)</w:t>
      </w:r>
      <w:r>
        <w:rPr>
          <w:rFonts w:asciiTheme="minorHAnsi" w:hAnsiTheme="minorHAnsi"/>
          <w:bCs/>
          <w:szCs w:val="24"/>
          <w:lang w:val="en-GB"/>
        </w:rPr>
        <w:t>, and considered that the r</w:t>
      </w:r>
      <w:r w:rsidR="00DD0B24">
        <w:rPr>
          <w:rFonts w:asciiTheme="minorHAnsi" w:hAnsiTheme="minorHAnsi"/>
          <w:bCs/>
          <w:szCs w:val="24"/>
          <w:lang w:val="en-GB"/>
        </w:rPr>
        <w:t xml:space="preserve">easons </w:t>
      </w:r>
      <w:r>
        <w:rPr>
          <w:rFonts w:asciiTheme="minorHAnsi" w:hAnsiTheme="minorHAnsi"/>
          <w:bCs/>
          <w:szCs w:val="24"/>
          <w:lang w:val="en-GB"/>
        </w:rPr>
        <w:t>for this w</w:t>
      </w:r>
      <w:r w:rsidR="00DD0B24">
        <w:rPr>
          <w:rFonts w:asciiTheme="minorHAnsi" w:hAnsiTheme="minorHAnsi"/>
          <w:bCs/>
          <w:szCs w:val="24"/>
          <w:lang w:val="en-GB"/>
        </w:rPr>
        <w:t>ere</w:t>
      </w:r>
      <w:r>
        <w:rPr>
          <w:rFonts w:asciiTheme="minorHAnsi" w:hAnsiTheme="minorHAnsi"/>
          <w:bCs/>
          <w:szCs w:val="24"/>
          <w:lang w:val="en-GB"/>
        </w:rPr>
        <w:t xml:space="preserve"> unclear. However, the PBAC considered that determination </w:t>
      </w:r>
      <w:r w:rsidR="007F40AE">
        <w:rPr>
          <w:rFonts w:asciiTheme="minorHAnsi" w:hAnsiTheme="minorHAnsi"/>
          <w:bCs/>
          <w:szCs w:val="24"/>
          <w:lang w:val="en-GB"/>
        </w:rPr>
        <w:t xml:space="preserve">of a patient’s </w:t>
      </w:r>
      <w:r>
        <w:rPr>
          <w:rFonts w:asciiTheme="minorHAnsi" w:hAnsiTheme="minorHAnsi"/>
          <w:bCs/>
          <w:szCs w:val="24"/>
          <w:lang w:val="en-GB"/>
        </w:rPr>
        <w:t xml:space="preserve">prognostic risk was </w:t>
      </w:r>
      <w:r w:rsidR="007F40AE">
        <w:rPr>
          <w:rFonts w:asciiTheme="minorHAnsi" w:hAnsiTheme="minorHAnsi"/>
          <w:bCs/>
          <w:szCs w:val="24"/>
          <w:lang w:val="en-GB"/>
        </w:rPr>
        <w:t xml:space="preserve">reasonably </w:t>
      </w:r>
      <w:r>
        <w:rPr>
          <w:rFonts w:asciiTheme="minorHAnsi" w:hAnsiTheme="minorHAnsi"/>
          <w:bCs/>
          <w:szCs w:val="24"/>
          <w:lang w:val="en-GB"/>
        </w:rPr>
        <w:t>clear, which would minimise the risk of use of NIVO+IPI in patients</w:t>
      </w:r>
      <w:r w:rsidR="007F40AE">
        <w:rPr>
          <w:rFonts w:asciiTheme="minorHAnsi" w:hAnsiTheme="minorHAnsi"/>
          <w:bCs/>
          <w:szCs w:val="24"/>
          <w:lang w:val="en-GB"/>
        </w:rPr>
        <w:t xml:space="preserve"> with a favourable prognosis</w:t>
      </w:r>
      <w:r>
        <w:rPr>
          <w:rFonts w:asciiTheme="minorHAnsi" w:hAnsiTheme="minorHAnsi"/>
          <w:bCs/>
          <w:szCs w:val="24"/>
          <w:lang w:val="en-GB"/>
        </w:rPr>
        <w:t xml:space="preserve">.  </w:t>
      </w:r>
    </w:p>
    <w:p w:rsidR="00F24622" w:rsidRDefault="00F24622" w:rsidP="00C06C42">
      <w:pPr>
        <w:numPr>
          <w:ilvl w:val="1"/>
          <w:numId w:val="3"/>
        </w:numPr>
        <w:spacing w:after="120"/>
        <w:rPr>
          <w:bCs/>
          <w:lang w:val="en-GB"/>
        </w:rPr>
      </w:pPr>
      <w:r>
        <w:rPr>
          <w:rFonts w:asciiTheme="minorHAnsi" w:hAnsiTheme="minorHAnsi"/>
          <w:bCs/>
          <w:szCs w:val="24"/>
          <w:lang w:val="en-GB"/>
        </w:rPr>
        <w:t xml:space="preserve">The PBAC </w:t>
      </w:r>
      <w:r w:rsidR="00351E36">
        <w:rPr>
          <w:rFonts w:asciiTheme="minorHAnsi" w:hAnsiTheme="minorHAnsi"/>
          <w:bCs/>
          <w:szCs w:val="24"/>
          <w:lang w:val="en-GB"/>
        </w:rPr>
        <w:t xml:space="preserve">acknowledged </w:t>
      </w:r>
      <w:r>
        <w:rPr>
          <w:rFonts w:asciiTheme="minorHAnsi" w:hAnsiTheme="minorHAnsi"/>
          <w:bCs/>
          <w:szCs w:val="24"/>
          <w:lang w:val="en-GB"/>
        </w:rPr>
        <w:t>that the p</w:t>
      </w:r>
      <w:r w:rsidR="008761B7" w:rsidRPr="008761B7">
        <w:rPr>
          <w:rFonts w:asciiTheme="minorHAnsi" w:hAnsiTheme="minorHAnsi"/>
          <w:bCs/>
          <w:szCs w:val="24"/>
          <w:lang w:val="en-GB"/>
        </w:rPr>
        <w:t xml:space="preserve">re-PBAC </w:t>
      </w:r>
      <w:r>
        <w:rPr>
          <w:rFonts w:asciiTheme="minorHAnsi" w:hAnsiTheme="minorHAnsi"/>
          <w:bCs/>
          <w:szCs w:val="24"/>
          <w:lang w:val="en-GB"/>
        </w:rPr>
        <w:t>response had made</w:t>
      </w:r>
      <w:r w:rsidR="008761B7" w:rsidRPr="008761B7">
        <w:rPr>
          <w:rFonts w:asciiTheme="minorHAnsi" w:hAnsiTheme="minorHAnsi"/>
          <w:bCs/>
          <w:szCs w:val="24"/>
          <w:lang w:val="en-GB"/>
        </w:rPr>
        <w:t xml:space="preserve"> modest change</w:t>
      </w:r>
      <w:r>
        <w:rPr>
          <w:rFonts w:asciiTheme="minorHAnsi" w:hAnsiTheme="minorHAnsi"/>
          <w:bCs/>
          <w:szCs w:val="24"/>
          <w:lang w:val="en-GB"/>
        </w:rPr>
        <w:t xml:space="preserve">s to </w:t>
      </w:r>
      <w:r w:rsidR="003F5062">
        <w:rPr>
          <w:rFonts w:asciiTheme="minorHAnsi" w:hAnsiTheme="minorHAnsi"/>
          <w:bCs/>
          <w:szCs w:val="24"/>
          <w:lang w:val="en-GB"/>
        </w:rPr>
        <w:t>the economic model survival extrapolations</w:t>
      </w:r>
      <w:r w:rsidR="00351E36">
        <w:rPr>
          <w:rFonts w:asciiTheme="minorHAnsi" w:hAnsiTheme="minorHAnsi"/>
          <w:bCs/>
          <w:szCs w:val="24"/>
          <w:lang w:val="en-GB"/>
        </w:rPr>
        <w:t xml:space="preserve">, but </w:t>
      </w:r>
      <w:r>
        <w:rPr>
          <w:bCs/>
          <w:lang w:val="en-GB"/>
        </w:rPr>
        <w:t xml:space="preserve">considered that the ICER/QALY remained uncertain and </w:t>
      </w:r>
      <w:r>
        <w:rPr>
          <w:rFonts w:asciiTheme="minorHAnsi" w:hAnsiTheme="minorHAnsi"/>
          <w:bCs/>
          <w:szCs w:val="24"/>
          <w:lang w:val="en-GB"/>
        </w:rPr>
        <w:t xml:space="preserve">overly optimistic </w:t>
      </w:r>
      <w:r>
        <w:rPr>
          <w:bCs/>
          <w:lang w:val="en-GB"/>
        </w:rPr>
        <w:t>due to:</w:t>
      </w:r>
    </w:p>
    <w:p w:rsidR="00F63C8E" w:rsidRPr="00351E36" w:rsidRDefault="00F24622" w:rsidP="00C06C42">
      <w:pPr>
        <w:pStyle w:val="Bulletpoints"/>
        <w:ind w:left="1134"/>
        <w:rPr>
          <w:rFonts w:asciiTheme="minorHAnsi" w:hAnsiTheme="minorHAnsi"/>
          <w:bCs/>
          <w:lang w:val="en-GB"/>
        </w:rPr>
      </w:pPr>
      <w:r w:rsidRPr="00351E36">
        <w:rPr>
          <w:rFonts w:asciiTheme="minorHAnsi" w:hAnsiTheme="minorHAnsi"/>
          <w:bCs/>
          <w:lang w:val="en-GB"/>
        </w:rPr>
        <w:t xml:space="preserve">the assumption </w:t>
      </w:r>
      <w:r w:rsidR="00351E36" w:rsidRPr="00351E36">
        <w:rPr>
          <w:rFonts w:asciiTheme="minorHAnsi" w:hAnsiTheme="minorHAnsi"/>
          <w:bCs/>
          <w:lang w:val="en-GB"/>
        </w:rPr>
        <w:t xml:space="preserve">of proportional hazards from the mean duration of follow-up to </w:t>
      </w:r>
      <w:r w:rsidR="003F5062">
        <w:rPr>
          <w:rFonts w:asciiTheme="minorHAnsi" w:hAnsiTheme="minorHAnsi"/>
          <w:bCs/>
          <w:lang w:val="en-GB"/>
        </w:rPr>
        <w:t>five</w:t>
      </w:r>
      <w:r w:rsidR="00351E36" w:rsidRPr="00351E36">
        <w:rPr>
          <w:rFonts w:asciiTheme="minorHAnsi" w:hAnsiTheme="minorHAnsi"/>
          <w:bCs/>
          <w:lang w:val="en-GB"/>
        </w:rPr>
        <w:t xml:space="preserve"> </w:t>
      </w:r>
      <w:r w:rsidR="00351E36" w:rsidRPr="00351E36">
        <w:rPr>
          <w:rFonts w:asciiTheme="minorHAnsi" w:hAnsiTheme="minorHAnsi"/>
          <w:bCs/>
          <w:lang w:val="en-GB"/>
        </w:rPr>
        <w:lastRenderedPageBreak/>
        <w:t xml:space="preserve">years, which the PBAC </w:t>
      </w:r>
      <w:r w:rsidR="00351E36">
        <w:t xml:space="preserve">considered </w:t>
      </w:r>
      <w:r w:rsidR="00351E36" w:rsidRPr="00EF3C6A">
        <w:t xml:space="preserve">was highly uncertain given that median OS had not yet been reached in the NIVO+IPI arm. </w:t>
      </w:r>
      <w:r w:rsidR="00351E36" w:rsidRPr="00351E36">
        <w:rPr>
          <w:rFonts w:asciiTheme="minorHAnsi" w:hAnsiTheme="minorHAnsi"/>
          <w:bCs/>
          <w:lang w:val="en-GB"/>
        </w:rPr>
        <w:t xml:space="preserve">The PBAC considered it would be more reasonable </w:t>
      </w:r>
      <w:r w:rsidR="0090661A">
        <w:rPr>
          <w:rFonts w:asciiTheme="minorHAnsi" w:hAnsiTheme="minorHAnsi"/>
          <w:bCs/>
          <w:lang w:val="en-GB"/>
        </w:rPr>
        <w:t xml:space="preserve">to assume that </w:t>
      </w:r>
      <w:r w:rsidR="00CE0CCB">
        <w:rPr>
          <w:rFonts w:asciiTheme="minorHAnsi" w:hAnsiTheme="minorHAnsi"/>
          <w:bCs/>
          <w:lang w:val="en-GB"/>
        </w:rPr>
        <w:t>c</w:t>
      </w:r>
      <w:r w:rsidR="00F63C8E" w:rsidRPr="00351E36">
        <w:rPr>
          <w:rFonts w:asciiTheme="minorHAnsi" w:hAnsiTheme="minorHAnsi"/>
          <w:bCs/>
          <w:lang w:val="en-GB"/>
        </w:rPr>
        <w:t xml:space="preserve">onvergence </w:t>
      </w:r>
      <w:r w:rsidR="0090661A">
        <w:rPr>
          <w:rFonts w:asciiTheme="minorHAnsi" w:hAnsiTheme="minorHAnsi"/>
          <w:bCs/>
          <w:lang w:val="en-GB"/>
        </w:rPr>
        <w:t xml:space="preserve">of the OS (and PFS) curves </w:t>
      </w:r>
      <w:r w:rsidR="00F63C8E" w:rsidRPr="00351E36">
        <w:rPr>
          <w:rFonts w:asciiTheme="minorHAnsi" w:hAnsiTheme="minorHAnsi"/>
          <w:bCs/>
          <w:lang w:val="en-GB"/>
        </w:rPr>
        <w:t>begin</w:t>
      </w:r>
      <w:r w:rsidR="0090661A">
        <w:rPr>
          <w:rFonts w:asciiTheme="minorHAnsi" w:hAnsiTheme="minorHAnsi"/>
          <w:bCs/>
          <w:lang w:val="en-GB"/>
        </w:rPr>
        <w:t>s</w:t>
      </w:r>
      <w:r w:rsidR="00F63C8E" w:rsidRPr="00351E36">
        <w:rPr>
          <w:rFonts w:asciiTheme="minorHAnsi" w:hAnsiTheme="minorHAnsi"/>
          <w:bCs/>
          <w:lang w:val="en-GB"/>
        </w:rPr>
        <w:t xml:space="preserve"> at </w:t>
      </w:r>
      <w:r w:rsidR="00B07F6B">
        <w:rPr>
          <w:rFonts w:asciiTheme="minorHAnsi" w:hAnsiTheme="minorHAnsi"/>
          <w:bCs/>
          <w:noProof/>
          <w:color w:val="000000"/>
          <w:highlight w:val="black"/>
          <w:lang w:val="en-GB"/>
        </w:rPr>
        <w:t>'''''</w:t>
      </w:r>
      <w:r w:rsidR="00F63C8E" w:rsidRPr="00351E36">
        <w:rPr>
          <w:rFonts w:asciiTheme="minorHAnsi" w:hAnsiTheme="minorHAnsi"/>
          <w:bCs/>
          <w:lang w:val="en-GB"/>
        </w:rPr>
        <w:t xml:space="preserve"> months</w:t>
      </w:r>
      <w:r w:rsidR="00335EA4">
        <w:rPr>
          <w:rFonts w:asciiTheme="minorHAnsi" w:hAnsiTheme="minorHAnsi"/>
          <w:bCs/>
          <w:lang w:val="en-GB"/>
        </w:rPr>
        <w:t>)</w:t>
      </w:r>
      <w:r w:rsidR="0090661A">
        <w:rPr>
          <w:rFonts w:asciiTheme="minorHAnsi" w:hAnsiTheme="minorHAnsi"/>
          <w:bCs/>
          <w:lang w:val="en-GB"/>
        </w:rPr>
        <w:t>;</w:t>
      </w:r>
    </w:p>
    <w:p w:rsidR="00F63C8E" w:rsidRPr="0090661A" w:rsidRDefault="00CE0CCB" w:rsidP="00CC6FEA">
      <w:pPr>
        <w:pStyle w:val="Bulletpoints"/>
        <w:ind w:left="1137"/>
        <w:rPr>
          <w:rFonts w:asciiTheme="minorHAnsi" w:hAnsiTheme="minorHAnsi"/>
          <w:bCs/>
          <w:lang w:val="en-GB"/>
        </w:rPr>
      </w:pPr>
      <w:proofErr w:type="gramStart"/>
      <w:r w:rsidRPr="00EF3C6A">
        <w:t>the</w:t>
      </w:r>
      <w:proofErr w:type="gramEnd"/>
      <w:r w:rsidRPr="00EF3C6A">
        <w:t xml:space="preserve"> utility estimates were similar to population norms </w:t>
      </w:r>
      <w:r>
        <w:t xml:space="preserve">and </w:t>
      </w:r>
      <w:r w:rsidR="00207B89" w:rsidRPr="00207B89">
        <w:rPr>
          <w:iCs/>
        </w:rPr>
        <w:t>were considerably higher than those sourced from the literature.</w:t>
      </w:r>
      <w:r w:rsidRPr="00207B89">
        <w:t xml:space="preserve"> The PBAC noted</w:t>
      </w:r>
      <w:r>
        <w:t xml:space="preserve"> that the utility value applied in the progressed disease health state was </w:t>
      </w:r>
      <w:r w:rsidR="00B07F6B">
        <w:rPr>
          <w:noProof/>
          <w:color w:val="000000"/>
          <w:highlight w:val="black"/>
        </w:rPr>
        <w:t>''''''''</w:t>
      </w:r>
      <w:r>
        <w:t xml:space="preserve"> in the NIVO+IPI arm (</w:t>
      </w:r>
      <w:r w:rsidR="00B07F6B">
        <w:rPr>
          <w:noProof/>
          <w:color w:val="000000"/>
          <w:highlight w:val="black"/>
        </w:rPr>
        <w:t>'''''''''</w:t>
      </w:r>
      <w:r>
        <w:t xml:space="preserve"> in the </w:t>
      </w:r>
      <w:proofErr w:type="spellStart"/>
      <w:r>
        <w:t>sunitinib</w:t>
      </w:r>
      <w:proofErr w:type="spellEnd"/>
      <w:r>
        <w:t xml:space="preserve"> arm)</w:t>
      </w:r>
      <w:r w:rsidR="0090661A">
        <w:t xml:space="preserve">, and </w:t>
      </w:r>
      <w:r>
        <w:t>considered it was</w:t>
      </w:r>
      <w:r w:rsidRPr="00EF3C6A">
        <w:t xml:space="preserve"> unlikely that patients </w:t>
      </w:r>
      <w:r>
        <w:t>would</w:t>
      </w:r>
      <w:r w:rsidRPr="00EF3C6A">
        <w:t xml:space="preserve"> experience such a high utility consistently over the time horizon of the model.</w:t>
      </w:r>
      <w:r>
        <w:t xml:space="preserve"> </w:t>
      </w:r>
      <w:r w:rsidR="0090661A">
        <w:t xml:space="preserve">The PBAC </w:t>
      </w:r>
      <w:bookmarkStart w:id="26" w:name="KVWin_undoend"/>
      <w:bookmarkEnd w:id="26"/>
      <w:r w:rsidR="0090661A">
        <w:t xml:space="preserve">considered that it would be more reasonable to assume that the </w:t>
      </w:r>
      <w:r w:rsidR="00E20BA0" w:rsidRPr="0090661A">
        <w:rPr>
          <w:rFonts w:asciiTheme="minorHAnsi" w:hAnsiTheme="minorHAnsi"/>
          <w:bCs/>
          <w:lang w:val="en-GB"/>
        </w:rPr>
        <w:t>utilities</w:t>
      </w:r>
      <w:r w:rsidR="00F63C8E" w:rsidRPr="0090661A">
        <w:rPr>
          <w:rFonts w:asciiTheme="minorHAnsi" w:hAnsiTheme="minorHAnsi"/>
          <w:bCs/>
          <w:lang w:val="en-GB"/>
        </w:rPr>
        <w:t xml:space="preserve"> </w:t>
      </w:r>
      <w:r w:rsidR="00207B89">
        <w:rPr>
          <w:rFonts w:asciiTheme="minorHAnsi" w:hAnsiTheme="minorHAnsi"/>
          <w:bCs/>
          <w:lang w:val="en-GB"/>
        </w:rPr>
        <w:t xml:space="preserve">would be consistent with </w:t>
      </w:r>
      <w:r w:rsidR="00F63C8E" w:rsidRPr="0090661A">
        <w:rPr>
          <w:rFonts w:asciiTheme="minorHAnsi" w:hAnsiTheme="minorHAnsi"/>
          <w:bCs/>
          <w:lang w:val="en-GB"/>
        </w:rPr>
        <w:t>the average utilities from the literature (</w:t>
      </w:r>
      <w:r w:rsidR="0090661A">
        <w:rPr>
          <w:rFonts w:asciiTheme="minorHAnsi" w:hAnsiTheme="minorHAnsi"/>
          <w:bCs/>
          <w:lang w:val="en-GB"/>
        </w:rPr>
        <w:t xml:space="preserve">progression free health state utility </w:t>
      </w:r>
      <w:r w:rsidR="00F63C8E" w:rsidRPr="0090661A">
        <w:rPr>
          <w:rFonts w:asciiTheme="minorHAnsi" w:hAnsiTheme="minorHAnsi"/>
          <w:bCs/>
          <w:lang w:val="en-GB"/>
        </w:rPr>
        <w:t>=</w:t>
      </w:r>
      <w:r w:rsidR="0090661A">
        <w:rPr>
          <w:rFonts w:asciiTheme="minorHAnsi" w:hAnsiTheme="minorHAnsi"/>
          <w:bCs/>
          <w:lang w:val="en-GB"/>
        </w:rPr>
        <w:t xml:space="preserve"> </w:t>
      </w:r>
      <w:r w:rsidR="00B07F6B">
        <w:rPr>
          <w:rFonts w:asciiTheme="minorHAnsi" w:hAnsiTheme="minorHAnsi"/>
          <w:bCs/>
          <w:noProof/>
          <w:color w:val="000000"/>
          <w:highlight w:val="black"/>
          <w:lang w:val="en-GB"/>
        </w:rPr>
        <w:t>'''''''''''</w:t>
      </w:r>
      <w:r w:rsidR="00F63C8E" w:rsidRPr="0090661A">
        <w:rPr>
          <w:rFonts w:asciiTheme="minorHAnsi" w:hAnsiTheme="minorHAnsi"/>
          <w:bCs/>
          <w:lang w:val="en-GB"/>
        </w:rPr>
        <w:t xml:space="preserve">, </w:t>
      </w:r>
      <w:r w:rsidR="00207B89">
        <w:rPr>
          <w:rFonts w:asciiTheme="minorHAnsi" w:hAnsiTheme="minorHAnsi"/>
          <w:bCs/>
          <w:lang w:val="en-GB"/>
        </w:rPr>
        <w:t>progressed disease health state utility</w:t>
      </w:r>
      <w:r w:rsidR="00F63C8E" w:rsidRPr="0090661A">
        <w:rPr>
          <w:rFonts w:asciiTheme="minorHAnsi" w:hAnsiTheme="minorHAnsi"/>
          <w:bCs/>
          <w:lang w:val="en-GB"/>
        </w:rPr>
        <w:t xml:space="preserve"> = </w:t>
      </w:r>
      <w:r w:rsidR="00B07F6B">
        <w:rPr>
          <w:rFonts w:asciiTheme="minorHAnsi" w:hAnsiTheme="minorHAnsi"/>
          <w:bCs/>
          <w:noProof/>
          <w:color w:val="000000"/>
          <w:highlight w:val="black"/>
          <w:lang w:val="en-GB"/>
        </w:rPr>
        <w:t>''''''''''</w:t>
      </w:r>
      <w:r w:rsidR="00F63C8E" w:rsidRPr="0090661A">
        <w:rPr>
          <w:rFonts w:asciiTheme="minorHAnsi" w:hAnsiTheme="minorHAnsi"/>
          <w:bCs/>
          <w:lang w:val="en-GB"/>
        </w:rPr>
        <w:t>)</w:t>
      </w:r>
      <w:r w:rsidR="00207B89">
        <w:rPr>
          <w:rFonts w:asciiTheme="minorHAnsi" w:hAnsiTheme="minorHAnsi"/>
          <w:bCs/>
          <w:lang w:val="en-GB"/>
        </w:rPr>
        <w:t>.</w:t>
      </w:r>
    </w:p>
    <w:p w:rsidR="002D186B" w:rsidRDefault="00E20BA0" w:rsidP="00C06C42">
      <w:pPr>
        <w:pStyle w:val="Bulletpoints"/>
        <w:spacing w:after="160"/>
        <w:ind w:left="1134" w:hanging="357"/>
        <w:contextualSpacing/>
        <w:rPr>
          <w:rFonts w:asciiTheme="minorHAnsi" w:hAnsiTheme="minorHAnsi"/>
          <w:bCs/>
          <w:lang w:val="en-GB"/>
        </w:rPr>
      </w:pPr>
      <w:proofErr w:type="gramStart"/>
      <w:r>
        <w:rPr>
          <w:snapToGrid/>
          <w:lang w:val="en-US" w:eastAsia="en-AU"/>
        </w:rPr>
        <w:t>t</w:t>
      </w:r>
      <w:r w:rsidR="00F63C8E" w:rsidRPr="00207B89">
        <w:rPr>
          <w:snapToGrid/>
          <w:lang w:val="en-US" w:eastAsia="en-AU"/>
        </w:rPr>
        <w:t>he</w:t>
      </w:r>
      <w:proofErr w:type="gramEnd"/>
      <w:r w:rsidR="00F63C8E" w:rsidRPr="00F63C8E">
        <w:rPr>
          <w:rFonts w:asciiTheme="minorHAnsi" w:hAnsiTheme="minorHAnsi"/>
          <w:bCs/>
          <w:lang w:val="en-GB"/>
        </w:rPr>
        <w:t xml:space="preserve"> PBAC considered that the t</w:t>
      </w:r>
      <w:r w:rsidR="008761B7" w:rsidRPr="00F63C8E">
        <w:rPr>
          <w:rFonts w:asciiTheme="minorHAnsi" w:hAnsiTheme="minorHAnsi"/>
          <w:bCs/>
          <w:lang w:val="en-GB"/>
        </w:rPr>
        <w:t xml:space="preserve">ime horizon </w:t>
      </w:r>
      <w:r w:rsidR="00207B89">
        <w:rPr>
          <w:rFonts w:asciiTheme="minorHAnsi" w:hAnsiTheme="minorHAnsi"/>
          <w:bCs/>
          <w:lang w:val="en-GB"/>
        </w:rPr>
        <w:t>(</w:t>
      </w:r>
      <w:r w:rsidR="00B07F6B">
        <w:rPr>
          <w:rFonts w:asciiTheme="minorHAnsi" w:hAnsiTheme="minorHAnsi"/>
          <w:bCs/>
          <w:noProof/>
          <w:color w:val="000000"/>
          <w:highlight w:val="black"/>
          <w:lang w:val="en-GB"/>
        </w:rPr>
        <w:t>''''''</w:t>
      </w:r>
      <w:r w:rsidR="00207B89">
        <w:rPr>
          <w:rFonts w:asciiTheme="minorHAnsi" w:hAnsiTheme="minorHAnsi"/>
          <w:bCs/>
          <w:lang w:val="en-GB"/>
        </w:rPr>
        <w:t xml:space="preserve"> years in the pre-PBAC response) </w:t>
      </w:r>
      <w:r w:rsidR="00F63C8E" w:rsidRPr="00F63C8E">
        <w:rPr>
          <w:rFonts w:asciiTheme="minorHAnsi" w:hAnsiTheme="minorHAnsi"/>
          <w:bCs/>
          <w:lang w:val="en-GB"/>
        </w:rPr>
        <w:t>was</w:t>
      </w:r>
      <w:r w:rsidR="007871BC" w:rsidRPr="00F63C8E">
        <w:rPr>
          <w:rFonts w:asciiTheme="minorHAnsi" w:hAnsiTheme="minorHAnsi"/>
          <w:bCs/>
          <w:lang w:val="en-GB"/>
        </w:rPr>
        <w:t xml:space="preserve"> </w:t>
      </w:r>
      <w:r w:rsidR="00207B89">
        <w:rPr>
          <w:rFonts w:asciiTheme="minorHAnsi" w:hAnsiTheme="minorHAnsi"/>
          <w:bCs/>
          <w:lang w:val="en-GB"/>
        </w:rPr>
        <w:t xml:space="preserve">not </w:t>
      </w:r>
      <w:r w:rsidR="00DF4C0D">
        <w:rPr>
          <w:rFonts w:asciiTheme="minorHAnsi" w:hAnsiTheme="minorHAnsi"/>
          <w:bCs/>
          <w:lang w:val="en-GB"/>
        </w:rPr>
        <w:t xml:space="preserve">reasonable given the short duration of follow-up in the trial and the uncertainties with the extrapolation. Further, the Committee noted that the model estimated that </w:t>
      </w:r>
      <w:r w:rsidR="00B07F6B">
        <w:rPr>
          <w:rFonts w:asciiTheme="minorHAnsi" w:hAnsiTheme="minorHAnsi"/>
          <w:bCs/>
          <w:noProof/>
          <w:color w:val="000000"/>
          <w:highlight w:val="black"/>
          <w:lang w:val="en-GB"/>
        </w:rPr>
        <w:t>'''''</w:t>
      </w:r>
      <w:r w:rsidR="00DF4C0D">
        <w:rPr>
          <w:rFonts w:asciiTheme="minorHAnsi" w:hAnsiTheme="minorHAnsi"/>
          <w:bCs/>
          <w:lang w:val="en-GB"/>
        </w:rPr>
        <w:t xml:space="preserve">% of patients in the </w:t>
      </w:r>
      <w:proofErr w:type="spellStart"/>
      <w:r w:rsidR="00DF4C0D">
        <w:rPr>
          <w:rFonts w:asciiTheme="minorHAnsi" w:hAnsiTheme="minorHAnsi"/>
          <w:bCs/>
          <w:lang w:val="en-GB"/>
        </w:rPr>
        <w:t>sunitinib</w:t>
      </w:r>
      <w:proofErr w:type="spellEnd"/>
      <w:r w:rsidR="00DF4C0D">
        <w:rPr>
          <w:rFonts w:asciiTheme="minorHAnsi" w:hAnsiTheme="minorHAnsi"/>
          <w:bCs/>
          <w:lang w:val="en-GB"/>
        </w:rPr>
        <w:t xml:space="preserve"> arm would be </w:t>
      </w:r>
      <w:r w:rsidR="007871BC" w:rsidRPr="00F63C8E">
        <w:rPr>
          <w:rFonts w:asciiTheme="minorHAnsi" w:hAnsiTheme="minorHAnsi"/>
          <w:bCs/>
          <w:lang w:val="en-GB"/>
        </w:rPr>
        <w:t xml:space="preserve">alive at </w:t>
      </w:r>
      <w:r w:rsidR="00B07F6B">
        <w:rPr>
          <w:rFonts w:asciiTheme="minorHAnsi" w:hAnsiTheme="minorHAnsi"/>
          <w:bCs/>
          <w:noProof/>
          <w:color w:val="000000"/>
          <w:highlight w:val="black"/>
          <w:lang w:val="en-GB"/>
        </w:rPr>
        <w:t>'''''</w:t>
      </w:r>
      <w:r w:rsidR="007871BC" w:rsidRPr="00F63C8E">
        <w:rPr>
          <w:rFonts w:asciiTheme="minorHAnsi" w:hAnsiTheme="minorHAnsi"/>
          <w:bCs/>
          <w:lang w:val="en-GB"/>
        </w:rPr>
        <w:t xml:space="preserve"> years</w:t>
      </w:r>
      <w:r w:rsidR="00DF4C0D">
        <w:rPr>
          <w:rFonts w:asciiTheme="minorHAnsi" w:hAnsiTheme="minorHAnsi"/>
          <w:bCs/>
          <w:lang w:val="en-GB"/>
        </w:rPr>
        <w:t xml:space="preserve">, which the PBAC considered was not realistic for a population of patients </w:t>
      </w:r>
      <w:r w:rsidR="00DF4C0D" w:rsidRPr="00F63C8E">
        <w:rPr>
          <w:rFonts w:asciiTheme="minorHAnsi" w:hAnsiTheme="minorHAnsi"/>
          <w:bCs/>
          <w:lang w:val="en-GB"/>
        </w:rPr>
        <w:t>with poor/</w:t>
      </w:r>
      <w:r w:rsidR="00DF4C0D">
        <w:rPr>
          <w:rFonts w:asciiTheme="minorHAnsi" w:hAnsiTheme="minorHAnsi"/>
          <w:bCs/>
          <w:lang w:val="en-GB"/>
        </w:rPr>
        <w:t xml:space="preserve">intermediate </w:t>
      </w:r>
      <w:r w:rsidR="00DF4C0D" w:rsidRPr="00F63C8E">
        <w:rPr>
          <w:rFonts w:asciiTheme="minorHAnsi" w:hAnsiTheme="minorHAnsi"/>
          <w:bCs/>
          <w:lang w:val="en-GB"/>
        </w:rPr>
        <w:t>risk</w:t>
      </w:r>
      <w:r w:rsidR="00DF4C0D">
        <w:rPr>
          <w:rFonts w:asciiTheme="minorHAnsi" w:hAnsiTheme="minorHAnsi"/>
          <w:bCs/>
          <w:lang w:val="en-GB"/>
        </w:rPr>
        <w:t xml:space="preserve"> </w:t>
      </w:r>
      <w:r w:rsidR="00DF4C0D" w:rsidRPr="00EF3C6A">
        <w:t>Stage IV</w:t>
      </w:r>
      <w:r w:rsidR="00DF4C0D">
        <w:t xml:space="preserve"> RCC. While</w:t>
      </w:r>
      <w:r w:rsidR="00F63C8E" w:rsidRPr="00F63C8E">
        <w:rPr>
          <w:rFonts w:asciiTheme="minorHAnsi" w:hAnsiTheme="minorHAnsi"/>
          <w:bCs/>
          <w:lang w:val="en-GB"/>
        </w:rPr>
        <w:t xml:space="preserve"> the PBAC noted that economic model was </w:t>
      </w:r>
      <w:r w:rsidR="003F5062">
        <w:rPr>
          <w:rFonts w:asciiTheme="minorHAnsi" w:hAnsiTheme="minorHAnsi"/>
          <w:bCs/>
          <w:lang w:val="en-GB"/>
        </w:rPr>
        <w:t xml:space="preserve">relatively insensitive </w:t>
      </w:r>
      <w:r w:rsidR="00F63C8E" w:rsidRPr="00F63C8E">
        <w:rPr>
          <w:rFonts w:asciiTheme="minorHAnsi" w:hAnsiTheme="minorHAnsi"/>
          <w:bCs/>
          <w:lang w:val="en-GB"/>
        </w:rPr>
        <w:t>to the time horizon</w:t>
      </w:r>
      <w:r w:rsidR="00DF4C0D">
        <w:rPr>
          <w:rFonts w:asciiTheme="minorHAnsi" w:hAnsiTheme="minorHAnsi"/>
          <w:bCs/>
          <w:lang w:val="en-GB"/>
        </w:rPr>
        <w:t>,</w:t>
      </w:r>
      <w:r w:rsidR="00F63C8E" w:rsidRPr="00F63C8E">
        <w:rPr>
          <w:rFonts w:asciiTheme="minorHAnsi" w:hAnsiTheme="minorHAnsi"/>
          <w:bCs/>
          <w:lang w:val="en-GB"/>
        </w:rPr>
        <w:t xml:space="preserve"> </w:t>
      </w:r>
      <w:r w:rsidR="00DF4C0D">
        <w:rPr>
          <w:rFonts w:asciiTheme="minorHAnsi" w:hAnsiTheme="minorHAnsi"/>
          <w:bCs/>
          <w:lang w:val="en-GB"/>
        </w:rPr>
        <w:t>t</w:t>
      </w:r>
      <w:r w:rsidR="00F63C8E">
        <w:rPr>
          <w:rFonts w:asciiTheme="minorHAnsi" w:hAnsiTheme="minorHAnsi"/>
          <w:bCs/>
          <w:lang w:val="en-GB"/>
        </w:rPr>
        <w:t xml:space="preserve">he PBAC considered that a time horizon of </w:t>
      </w:r>
      <w:r w:rsidR="00B07F6B">
        <w:rPr>
          <w:rFonts w:asciiTheme="minorHAnsi" w:hAnsiTheme="minorHAnsi"/>
          <w:bCs/>
          <w:noProof/>
          <w:color w:val="000000"/>
          <w:highlight w:val="black"/>
          <w:lang w:val="en-GB"/>
        </w:rPr>
        <w:t>''''''</w:t>
      </w:r>
      <w:r w:rsidR="00F63C8E">
        <w:rPr>
          <w:rFonts w:asciiTheme="minorHAnsi" w:hAnsiTheme="minorHAnsi"/>
          <w:bCs/>
          <w:lang w:val="en-GB"/>
        </w:rPr>
        <w:t xml:space="preserve"> years would be more realistic in this </w:t>
      </w:r>
      <w:r w:rsidR="003F5062">
        <w:rPr>
          <w:rFonts w:asciiTheme="minorHAnsi" w:hAnsiTheme="minorHAnsi"/>
          <w:bCs/>
          <w:lang w:val="en-GB"/>
        </w:rPr>
        <w:t>population group</w:t>
      </w:r>
      <w:r w:rsidR="00F63C8E">
        <w:rPr>
          <w:rFonts w:asciiTheme="minorHAnsi" w:hAnsiTheme="minorHAnsi"/>
          <w:bCs/>
          <w:lang w:val="en-GB"/>
        </w:rPr>
        <w:t>.</w:t>
      </w:r>
    </w:p>
    <w:p w:rsidR="008761B7" w:rsidRDefault="003F5062" w:rsidP="00C06C42">
      <w:pPr>
        <w:widowControl/>
        <w:numPr>
          <w:ilvl w:val="1"/>
          <w:numId w:val="3"/>
        </w:numPr>
        <w:spacing w:after="120"/>
        <w:rPr>
          <w:rFonts w:asciiTheme="minorHAnsi" w:hAnsiTheme="minorHAnsi"/>
          <w:bCs/>
          <w:szCs w:val="24"/>
          <w:lang w:val="en-GB"/>
        </w:rPr>
      </w:pPr>
      <w:r>
        <w:rPr>
          <w:rFonts w:asciiTheme="minorHAnsi" w:hAnsiTheme="minorHAnsi"/>
          <w:bCs/>
          <w:szCs w:val="24"/>
          <w:lang w:val="en-GB"/>
        </w:rPr>
        <w:t>T</w:t>
      </w:r>
      <w:r w:rsidR="008761B7">
        <w:rPr>
          <w:rFonts w:asciiTheme="minorHAnsi" w:hAnsiTheme="minorHAnsi"/>
          <w:bCs/>
          <w:szCs w:val="24"/>
          <w:lang w:val="en-GB"/>
        </w:rPr>
        <w:t>he PBAC considered that NIVO</w:t>
      </w:r>
      <w:r>
        <w:rPr>
          <w:rFonts w:asciiTheme="minorHAnsi" w:hAnsiTheme="minorHAnsi"/>
          <w:bCs/>
          <w:szCs w:val="24"/>
          <w:lang w:val="en-GB"/>
        </w:rPr>
        <w:t>+</w:t>
      </w:r>
      <w:r w:rsidR="008761B7">
        <w:rPr>
          <w:rFonts w:asciiTheme="minorHAnsi" w:hAnsiTheme="minorHAnsi"/>
          <w:bCs/>
          <w:szCs w:val="24"/>
          <w:lang w:val="en-GB"/>
        </w:rPr>
        <w:t xml:space="preserve">IPI would be cost-effective at an ICER of </w:t>
      </w:r>
      <w:r w:rsidR="00543729">
        <w:rPr>
          <w:rFonts w:asciiTheme="minorHAnsi" w:hAnsiTheme="minorHAnsi"/>
          <w:bCs/>
          <w:szCs w:val="24"/>
          <w:lang w:val="en-GB"/>
        </w:rPr>
        <w:t xml:space="preserve">less than </w:t>
      </w:r>
      <w:r w:rsidR="00BB6CD1">
        <w:rPr>
          <w:rFonts w:asciiTheme="minorHAnsi" w:hAnsiTheme="minorHAnsi"/>
          <w:bCs/>
          <w:szCs w:val="24"/>
          <w:lang w:val="en-GB"/>
        </w:rPr>
        <w:t>$45,000/QALY - $75,000/QALY</w:t>
      </w:r>
      <w:r w:rsidR="008761B7">
        <w:rPr>
          <w:rFonts w:asciiTheme="minorHAnsi" w:hAnsiTheme="minorHAnsi"/>
          <w:bCs/>
          <w:szCs w:val="24"/>
          <w:lang w:val="en-GB"/>
        </w:rPr>
        <w:t xml:space="preserve">, using the updated model parameters outlined above. </w:t>
      </w:r>
    </w:p>
    <w:p w:rsidR="003A5BBC" w:rsidRDefault="004D7F21" w:rsidP="00C06C42">
      <w:pPr>
        <w:widowControl/>
        <w:numPr>
          <w:ilvl w:val="1"/>
          <w:numId w:val="3"/>
        </w:numPr>
        <w:spacing w:after="120"/>
        <w:rPr>
          <w:rFonts w:asciiTheme="minorHAnsi" w:hAnsiTheme="minorHAnsi"/>
          <w:bCs/>
          <w:szCs w:val="24"/>
          <w:lang w:val="en-GB"/>
        </w:rPr>
      </w:pPr>
      <w:r>
        <w:rPr>
          <w:rFonts w:asciiTheme="minorHAnsi" w:hAnsiTheme="minorHAnsi"/>
          <w:bCs/>
          <w:szCs w:val="24"/>
          <w:lang w:val="en-GB"/>
        </w:rPr>
        <w:t>The PBAC considered</w:t>
      </w:r>
      <w:r w:rsidR="00856E37">
        <w:rPr>
          <w:rFonts w:asciiTheme="minorHAnsi" w:hAnsiTheme="minorHAnsi"/>
          <w:bCs/>
          <w:szCs w:val="24"/>
          <w:lang w:val="en-GB"/>
        </w:rPr>
        <w:t xml:space="preserve"> that</w:t>
      </w:r>
      <w:r>
        <w:rPr>
          <w:rFonts w:asciiTheme="minorHAnsi" w:hAnsiTheme="minorHAnsi"/>
          <w:bCs/>
          <w:szCs w:val="24"/>
          <w:lang w:val="en-GB"/>
        </w:rPr>
        <w:t xml:space="preserve"> the estimated </w:t>
      </w:r>
      <w:r w:rsidR="003D3A28">
        <w:rPr>
          <w:rFonts w:asciiTheme="minorHAnsi" w:hAnsiTheme="minorHAnsi"/>
          <w:bCs/>
          <w:szCs w:val="24"/>
          <w:lang w:val="en-GB"/>
        </w:rPr>
        <w:t xml:space="preserve">net </w:t>
      </w:r>
      <w:r>
        <w:rPr>
          <w:rFonts w:asciiTheme="minorHAnsi" w:hAnsiTheme="minorHAnsi"/>
          <w:bCs/>
          <w:szCs w:val="24"/>
          <w:lang w:val="en-GB"/>
        </w:rPr>
        <w:t>cost to the PB</w:t>
      </w:r>
      <w:r w:rsidR="00664783">
        <w:rPr>
          <w:rFonts w:asciiTheme="minorHAnsi" w:hAnsiTheme="minorHAnsi"/>
          <w:bCs/>
          <w:szCs w:val="24"/>
          <w:lang w:val="en-GB"/>
        </w:rPr>
        <w:t>S</w:t>
      </w:r>
      <w:r w:rsidR="00C06C42">
        <w:rPr>
          <w:rFonts w:asciiTheme="minorHAnsi" w:hAnsiTheme="minorHAnsi"/>
          <w:bCs/>
          <w:szCs w:val="24"/>
          <w:lang w:val="en-GB"/>
        </w:rPr>
        <w:t>/RPBS</w:t>
      </w:r>
      <w:r>
        <w:rPr>
          <w:rFonts w:asciiTheme="minorHAnsi" w:hAnsiTheme="minorHAnsi"/>
          <w:bCs/>
          <w:szCs w:val="24"/>
          <w:lang w:val="en-GB"/>
        </w:rPr>
        <w:t xml:space="preserve"> was high and potentially </w:t>
      </w:r>
      <w:r w:rsidR="00664783">
        <w:rPr>
          <w:rFonts w:asciiTheme="minorHAnsi" w:hAnsiTheme="minorHAnsi"/>
          <w:bCs/>
          <w:szCs w:val="24"/>
          <w:lang w:val="en-GB"/>
        </w:rPr>
        <w:t xml:space="preserve">underestimated </w:t>
      </w:r>
      <w:r>
        <w:rPr>
          <w:rFonts w:asciiTheme="minorHAnsi" w:hAnsiTheme="minorHAnsi"/>
          <w:bCs/>
          <w:szCs w:val="24"/>
          <w:lang w:val="en-GB"/>
        </w:rPr>
        <w:t>given</w:t>
      </w:r>
      <w:r w:rsidR="003A5BBC">
        <w:rPr>
          <w:rFonts w:asciiTheme="minorHAnsi" w:hAnsiTheme="minorHAnsi"/>
          <w:bCs/>
          <w:szCs w:val="24"/>
          <w:lang w:val="en-GB"/>
        </w:rPr>
        <w:t>:</w:t>
      </w:r>
    </w:p>
    <w:p w:rsidR="003A5BBC" w:rsidRPr="00856E37" w:rsidRDefault="00E20BA0" w:rsidP="00C06C42">
      <w:pPr>
        <w:pStyle w:val="Bulletpoints"/>
        <w:ind w:left="1134"/>
        <w:rPr>
          <w:snapToGrid/>
          <w:lang w:val="en-US" w:eastAsia="en-AU"/>
        </w:rPr>
      </w:pPr>
      <w:r>
        <w:rPr>
          <w:snapToGrid/>
          <w:lang w:val="en-US" w:eastAsia="en-AU"/>
        </w:rPr>
        <w:t>T</w:t>
      </w:r>
      <w:r w:rsidR="004D7F21" w:rsidRPr="00856E37">
        <w:rPr>
          <w:snapToGrid/>
          <w:lang w:val="en-US" w:eastAsia="en-AU"/>
        </w:rPr>
        <w:t xml:space="preserve">here is potential for a higher rate and duration of use of </w:t>
      </w:r>
      <w:r w:rsidR="00664783" w:rsidRPr="00856E37">
        <w:rPr>
          <w:snapToGrid/>
          <w:lang w:val="en-US" w:eastAsia="en-AU"/>
        </w:rPr>
        <w:t xml:space="preserve">nivolumab </w:t>
      </w:r>
      <w:r w:rsidR="004D7F21" w:rsidRPr="00856E37">
        <w:rPr>
          <w:snapToGrid/>
          <w:lang w:val="en-US" w:eastAsia="en-AU"/>
        </w:rPr>
        <w:t xml:space="preserve">maintenance </w:t>
      </w:r>
      <w:r w:rsidR="00664783" w:rsidRPr="00856E37">
        <w:rPr>
          <w:snapToGrid/>
          <w:lang w:val="en-US" w:eastAsia="en-AU"/>
        </w:rPr>
        <w:t>therapy</w:t>
      </w:r>
      <w:r w:rsidR="00856E37" w:rsidRPr="00856E37">
        <w:rPr>
          <w:snapToGrid/>
          <w:lang w:val="en-US" w:eastAsia="en-AU"/>
        </w:rPr>
        <w:t xml:space="preserve"> in clinical practice than was observed in the trial. In clinical practice, patients who experience adverse events during NIVO+IPI induction may go on to receive nivolumab monotherapy</w:t>
      </w:r>
      <w:r w:rsidR="00856E37">
        <w:rPr>
          <w:snapToGrid/>
          <w:lang w:val="en-US" w:eastAsia="en-AU"/>
        </w:rPr>
        <w:t>,</w:t>
      </w:r>
      <w:r w:rsidR="00856E37" w:rsidRPr="00856E37">
        <w:rPr>
          <w:snapToGrid/>
          <w:lang w:val="en-US" w:eastAsia="en-AU"/>
        </w:rPr>
        <w:t xml:space="preserve"> rather than discontinue as was required by the trial protocol. </w:t>
      </w:r>
    </w:p>
    <w:p w:rsidR="003A5BBC" w:rsidRPr="00452E6E" w:rsidRDefault="00856E37" w:rsidP="00C06C42">
      <w:pPr>
        <w:pStyle w:val="Bulletpoints"/>
        <w:spacing w:after="120"/>
        <w:ind w:left="1134" w:hanging="357"/>
        <w:contextualSpacing/>
        <w:rPr>
          <w:rFonts w:asciiTheme="minorHAnsi" w:hAnsiTheme="minorHAnsi"/>
          <w:bCs/>
          <w:lang w:val="en-GB"/>
        </w:rPr>
      </w:pPr>
      <w:r>
        <w:rPr>
          <w:snapToGrid/>
          <w:lang w:val="en-US" w:eastAsia="en-AU"/>
        </w:rPr>
        <w:t>T</w:t>
      </w:r>
      <w:r w:rsidR="003A5BBC" w:rsidRPr="00856E37">
        <w:rPr>
          <w:snapToGrid/>
          <w:lang w:val="en-US" w:eastAsia="en-AU"/>
        </w:rPr>
        <w:t>he estimated financial implications for other PBS medicines (cost offsets), particularly those relating to second- or later-line</w:t>
      </w:r>
      <w:r w:rsidR="00C06C42">
        <w:rPr>
          <w:snapToGrid/>
          <w:lang w:val="en-US" w:eastAsia="en-AU"/>
        </w:rPr>
        <w:t xml:space="preserve"> settings, wa</w:t>
      </w:r>
      <w:r w:rsidR="003A5BBC" w:rsidRPr="00856E37">
        <w:rPr>
          <w:snapToGrid/>
          <w:lang w:val="en-US" w:eastAsia="en-AU"/>
        </w:rPr>
        <w:t xml:space="preserve">s likely to </w:t>
      </w:r>
      <w:r w:rsidR="00C06C42">
        <w:rPr>
          <w:snapToGrid/>
          <w:lang w:val="en-US" w:eastAsia="en-AU"/>
        </w:rPr>
        <w:t xml:space="preserve">have </w:t>
      </w:r>
      <w:r w:rsidR="003A5BBC" w:rsidRPr="00856E37">
        <w:rPr>
          <w:snapToGrid/>
          <w:lang w:val="en-US" w:eastAsia="en-AU"/>
        </w:rPr>
        <w:t>be</w:t>
      </w:r>
      <w:r w:rsidR="00C06C42">
        <w:rPr>
          <w:snapToGrid/>
          <w:lang w:val="en-US" w:eastAsia="en-AU"/>
        </w:rPr>
        <w:t>en</w:t>
      </w:r>
      <w:r w:rsidR="003A5BBC" w:rsidRPr="00856E37">
        <w:rPr>
          <w:snapToGrid/>
          <w:lang w:val="en-US" w:eastAsia="en-AU"/>
        </w:rPr>
        <w:t xml:space="preserve"> overestimated due to the high proportion of patients assumed to seek treatment in these settings.</w:t>
      </w:r>
    </w:p>
    <w:p w:rsidR="00F63C8E" w:rsidRDefault="00D100F1" w:rsidP="00C06C42">
      <w:pPr>
        <w:widowControl/>
        <w:numPr>
          <w:ilvl w:val="1"/>
          <w:numId w:val="3"/>
        </w:numPr>
        <w:spacing w:after="120"/>
        <w:rPr>
          <w:rFonts w:asciiTheme="minorHAnsi" w:hAnsiTheme="minorHAnsi"/>
          <w:bCs/>
          <w:szCs w:val="24"/>
          <w:lang w:val="en-GB"/>
        </w:rPr>
      </w:pPr>
      <w:r>
        <w:rPr>
          <w:rFonts w:asciiTheme="minorHAnsi" w:hAnsiTheme="minorHAnsi"/>
          <w:bCs/>
          <w:szCs w:val="24"/>
          <w:lang w:val="en-GB"/>
        </w:rPr>
        <w:t xml:space="preserve">The PBAC considered that any resubmission would need to be a major resubmission and </w:t>
      </w:r>
      <w:r w:rsidR="00F24622">
        <w:rPr>
          <w:rFonts w:asciiTheme="minorHAnsi" w:hAnsiTheme="minorHAnsi"/>
          <w:bCs/>
          <w:szCs w:val="24"/>
          <w:lang w:val="en-GB"/>
        </w:rPr>
        <w:t>would</w:t>
      </w:r>
      <w:r>
        <w:rPr>
          <w:rFonts w:asciiTheme="minorHAnsi" w:hAnsiTheme="minorHAnsi"/>
          <w:bCs/>
          <w:szCs w:val="24"/>
          <w:lang w:val="en-GB"/>
        </w:rPr>
        <w:t xml:space="preserve"> need to: </w:t>
      </w:r>
    </w:p>
    <w:p w:rsidR="00335EA4" w:rsidRDefault="003F5062" w:rsidP="00C06C42">
      <w:pPr>
        <w:pStyle w:val="Bulletpoints"/>
        <w:spacing w:after="160"/>
        <w:ind w:left="1134" w:hanging="357"/>
        <w:contextualSpacing/>
        <w:rPr>
          <w:snapToGrid/>
          <w:lang w:val="en-US" w:eastAsia="en-AU"/>
        </w:rPr>
      </w:pPr>
      <w:r w:rsidRPr="00335EA4">
        <w:rPr>
          <w:snapToGrid/>
          <w:lang w:val="en-US" w:eastAsia="en-AU"/>
        </w:rPr>
        <w:t>provide a revised economic model based on</w:t>
      </w:r>
      <w:r w:rsidR="00335EA4" w:rsidRPr="00335EA4">
        <w:rPr>
          <w:snapToGrid/>
          <w:lang w:val="en-US" w:eastAsia="en-AU"/>
        </w:rPr>
        <w:t xml:space="preserve"> the parameters outlined above; </w:t>
      </w:r>
    </w:p>
    <w:p w:rsidR="00856E37" w:rsidRPr="00335EA4" w:rsidRDefault="00856E37" w:rsidP="00C06C42">
      <w:pPr>
        <w:pStyle w:val="Bulletpoints"/>
        <w:spacing w:after="160"/>
        <w:ind w:left="1134" w:hanging="357"/>
        <w:contextualSpacing/>
        <w:rPr>
          <w:snapToGrid/>
          <w:lang w:val="en-US" w:eastAsia="en-AU"/>
        </w:rPr>
      </w:pPr>
      <w:r>
        <w:rPr>
          <w:snapToGrid/>
          <w:lang w:val="en-US" w:eastAsia="en-AU"/>
        </w:rPr>
        <w:t>update the financial estimates as outlined above;</w:t>
      </w:r>
    </w:p>
    <w:p w:rsidR="00C2606E" w:rsidRPr="00C2606E" w:rsidRDefault="00335EA4" w:rsidP="00C2606E">
      <w:pPr>
        <w:pStyle w:val="Bulletpoints"/>
        <w:spacing w:after="160"/>
        <w:ind w:left="1134" w:hanging="357"/>
        <w:contextualSpacing/>
        <w:rPr>
          <w:rFonts w:asciiTheme="minorHAnsi" w:hAnsiTheme="minorHAnsi"/>
          <w:bCs/>
          <w:lang w:val="en-GB"/>
        </w:rPr>
      </w:pPr>
      <w:proofErr w:type="gramStart"/>
      <w:r>
        <w:rPr>
          <w:snapToGrid/>
          <w:lang w:val="en-US" w:eastAsia="en-AU"/>
        </w:rPr>
        <w:t>include</w:t>
      </w:r>
      <w:proofErr w:type="gramEnd"/>
      <w:r>
        <w:rPr>
          <w:snapToGrid/>
          <w:lang w:val="en-US" w:eastAsia="en-AU"/>
        </w:rPr>
        <w:t xml:space="preserve"> an </w:t>
      </w:r>
      <w:r w:rsidR="00F63C8E" w:rsidRPr="00335EA4">
        <w:rPr>
          <w:snapToGrid/>
          <w:lang w:val="en-US" w:eastAsia="en-AU"/>
        </w:rPr>
        <w:t xml:space="preserve">RSA </w:t>
      </w:r>
      <w:r>
        <w:rPr>
          <w:snapToGrid/>
          <w:lang w:val="en-US" w:eastAsia="en-AU"/>
        </w:rPr>
        <w:t>with a</w:t>
      </w:r>
      <w:r w:rsidR="00F63C8E" w:rsidRPr="00335EA4">
        <w:rPr>
          <w:snapToGrid/>
          <w:lang w:val="en-US" w:eastAsia="en-AU"/>
        </w:rPr>
        <w:t xml:space="preserve"> </w:t>
      </w:r>
      <w:r w:rsidR="00B07F6B">
        <w:rPr>
          <w:noProof/>
          <w:snapToGrid/>
          <w:color w:val="000000"/>
          <w:highlight w:val="black"/>
          <w:lang w:val="en-US" w:eastAsia="en-AU"/>
        </w:rPr>
        <w:t>''''''''</w:t>
      </w:r>
      <w:r w:rsidR="00F63C8E" w:rsidRPr="00335EA4">
        <w:rPr>
          <w:snapToGrid/>
          <w:lang w:val="en-US" w:eastAsia="en-AU"/>
        </w:rPr>
        <w:t>% rebate beyond</w:t>
      </w:r>
      <w:r>
        <w:rPr>
          <w:snapToGrid/>
          <w:lang w:val="en-US" w:eastAsia="en-AU"/>
        </w:rPr>
        <w:t xml:space="preserve"> estimated utilisation. The PBAC considered </w:t>
      </w:r>
      <w:r w:rsidR="004D7F21">
        <w:rPr>
          <w:snapToGrid/>
          <w:lang w:val="en-US" w:eastAsia="en-AU"/>
        </w:rPr>
        <w:t xml:space="preserve">that listing NIVO+IPI </w:t>
      </w:r>
      <w:r w:rsidR="00CC6FEA">
        <w:rPr>
          <w:snapToGrid/>
          <w:lang w:val="en-US" w:eastAsia="en-AU"/>
        </w:rPr>
        <w:t xml:space="preserve">in the first-line setting </w:t>
      </w:r>
      <w:r w:rsidR="004D7F21">
        <w:rPr>
          <w:snapToGrid/>
          <w:lang w:val="en-US" w:eastAsia="en-AU"/>
        </w:rPr>
        <w:t xml:space="preserve">would reduce second-line use </w:t>
      </w:r>
      <w:r w:rsidR="00856E37">
        <w:rPr>
          <w:snapToGrid/>
          <w:lang w:val="en-US" w:eastAsia="en-AU"/>
        </w:rPr>
        <w:t xml:space="preserve">of </w:t>
      </w:r>
      <w:r w:rsidR="004D7F21">
        <w:rPr>
          <w:snapToGrid/>
          <w:lang w:val="en-US" w:eastAsia="en-AU"/>
        </w:rPr>
        <w:t xml:space="preserve">nivolumab, and so flow-on changes would be required to </w:t>
      </w:r>
      <w:r w:rsidR="00C06C42">
        <w:rPr>
          <w:snapToGrid/>
          <w:lang w:val="en-US" w:eastAsia="en-AU"/>
        </w:rPr>
        <w:t>th</w:t>
      </w:r>
      <w:r w:rsidR="00856E37">
        <w:rPr>
          <w:snapToGrid/>
          <w:lang w:val="en-US" w:eastAsia="en-AU"/>
        </w:rPr>
        <w:t>e</w:t>
      </w:r>
      <w:r w:rsidR="00CC6FEA">
        <w:rPr>
          <w:snapToGrid/>
          <w:lang w:val="en-US" w:eastAsia="en-AU"/>
        </w:rPr>
        <w:t xml:space="preserve"> existing </w:t>
      </w:r>
      <w:r w:rsidR="004D7F21">
        <w:rPr>
          <w:snapToGrid/>
          <w:lang w:val="en-US" w:eastAsia="en-AU"/>
        </w:rPr>
        <w:t xml:space="preserve">RSA for </w:t>
      </w:r>
      <w:r w:rsidR="004D7F21">
        <w:rPr>
          <w:snapToGrid/>
          <w:lang w:val="en-US" w:eastAsia="en-AU"/>
        </w:rPr>
        <w:lastRenderedPageBreak/>
        <w:t>second-line nivolumab</w:t>
      </w:r>
      <w:r w:rsidR="008A7E22">
        <w:rPr>
          <w:snapToGrid/>
          <w:lang w:val="en-US" w:eastAsia="en-AU"/>
        </w:rPr>
        <w:t>.</w:t>
      </w:r>
      <w:r w:rsidR="00C2606E">
        <w:rPr>
          <w:snapToGrid/>
          <w:lang w:val="en-US" w:eastAsia="en-AU"/>
        </w:rPr>
        <w:t xml:space="preserve"> </w:t>
      </w:r>
    </w:p>
    <w:p w:rsidR="004D7F21" w:rsidRDefault="00EF3C6A" w:rsidP="00C2606E">
      <w:pPr>
        <w:widowControl/>
        <w:numPr>
          <w:ilvl w:val="1"/>
          <w:numId w:val="3"/>
        </w:numPr>
        <w:spacing w:after="120"/>
        <w:rPr>
          <w:rFonts w:asciiTheme="minorHAnsi" w:hAnsiTheme="minorHAnsi"/>
          <w:bCs/>
          <w:szCs w:val="24"/>
          <w:lang w:val="en-GB"/>
        </w:rPr>
      </w:pPr>
      <w:r w:rsidRPr="00EF3C6A">
        <w:rPr>
          <w:rFonts w:asciiTheme="minorHAnsi" w:hAnsiTheme="minorHAnsi"/>
          <w:bCs/>
          <w:szCs w:val="24"/>
          <w:lang w:val="en-GB"/>
        </w:rPr>
        <w:t>The PBAC noted that this submission is</w:t>
      </w:r>
      <w:r w:rsidR="004D7F21">
        <w:rPr>
          <w:rFonts w:asciiTheme="minorHAnsi" w:hAnsiTheme="minorHAnsi"/>
          <w:bCs/>
          <w:szCs w:val="24"/>
          <w:lang w:val="en-GB"/>
        </w:rPr>
        <w:t xml:space="preserve"> </w:t>
      </w:r>
      <w:r w:rsidRPr="00EF3C6A">
        <w:rPr>
          <w:rFonts w:asciiTheme="minorHAnsi" w:hAnsiTheme="minorHAnsi"/>
          <w:bCs/>
          <w:szCs w:val="24"/>
          <w:lang w:val="en-GB"/>
        </w:rPr>
        <w:t>eligible for an Independent Review</w:t>
      </w:r>
    </w:p>
    <w:p w:rsidR="00EF3C6A" w:rsidRPr="00EF3C6A" w:rsidRDefault="00EF3C6A" w:rsidP="00EF3C6A">
      <w:pPr>
        <w:widowControl/>
        <w:spacing w:before="240" w:after="120"/>
        <w:rPr>
          <w:rFonts w:asciiTheme="minorHAnsi" w:hAnsiTheme="minorHAnsi"/>
          <w:b/>
          <w:bCs/>
          <w:szCs w:val="24"/>
          <w:lang w:val="en-GB"/>
        </w:rPr>
      </w:pPr>
      <w:r w:rsidRPr="00EF3C6A">
        <w:rPr>
          <w:rFonts w:asciiTheme="minorHAnsi" w:hAnsiTheme="minorHAnsi"/>
          <w:b/>
          <w:bCs/>
          <w:szCs w:val="24"/>
          <w:lang w:val="en-GB"/>
        </w:rPr>
        <w:t>Outcome:</w:t>
      </w:r>
    </w:p>
    <w:p w:rsidR="00C06C42" w:rsidRPr="00136B30" w:rsidRDefault="00EF3C6A" w:rsidP="00003557">
      <w:pPr>
        <w:widowControl/>
        <w:spacing w:after="120"/>
        <w:rPr>
          <w:rFonts w:asciiTheme="minorHAnsi" w:hAnsiTheme="minorHAnsi"/>
          <w:bCs/>
          <w:szCs w:val="24"/>
          <w:lang w:val="en-GB"/>
        </w:rPr>
      </w:pPr>
      <w:r w:rsidRPr="00EF3C6A">
        <w:rPr>
          <w:rFonts w:asciiTheme="minorHAnsi" w:hAnsiTheme="minorHAnsi"/>
          <w:bCs/>
          <w:szCs w:val="24"/>
          <w:lang w:val="en-GB"/>
        </w:rPr>
        <w:t>Reje</w:t>
      </w:r>
      <w:r w:rsidR="004D7F21">
        <w:rPr>
          <w:rFonts w:asciiTheme="minorHAnsi" w:hAnsiTheme="minorHAnsi"/>
          <w:bCs/>
          <w:szCs w:val="24"/>
          <w:lang w:val="en-GB"/>
        </w:rPr>
        <w:t>cted</w:t>
      </w:r>
      <w:r w:rsidR="006150C4" w:rsidRPr="006150C4">
        <w:rPr>
          <w:rFonts w:asciiTheme="minorHAnsi" w:hAnsiTheme="minorHAnsi" w:cs="Times New Roman"/>
          <w:snapToGrid/>
          <w:szCs w:val="24"/>
        </w:rPr>
        <w:t xml:space="preserve"> </w:t>
      </w:r>
    </w:p>
    <w:p w:rsidR="00C002A3" w:rsidRPr="0011288D" w:rsidRDefault="00C002A3" w:rsidP="00160ED7">
      <w:pPr>
        <w:pStyle w:val="PBACHeading1"/>
        <w:spacing w:before="240" w:after="120"/>
        <w:outlineLvl w:val="0"/>
      </w:pPr>
      <w:r w:rsidRPr="0011288D">
        <w:t>Context for Decision</w:t>
      </w:r>
    </w:p>
    <w:p w:rsidR="00C002A3" w:rsidRPr="00160ED7" w:rsidRDefault="00C002A3" w:rsidP="00160ED7">
      <w:pPr>
        <w:ind w:left="709"/>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w:t>
      </w:r>
      <w:r w:rsidR="00160ED7">
        <w:rPr>
          <w:rFonts w:asciiTheme="minorHAnsi" w:hAnsiTheme="minorHAnsi"/>
        </w:rPr>
        <w:t>nt review of the PBAC decision.</w:t>
      </w:r>
    </w:p>
    <w:p w:rsidR="00C002A3" w:rsidRPr="0011288D" w:rsidRDefault="00C002A3" w:rsidP="00160ED7">
      <w:pPr>
        <w:pStyle w:val="PBACHeading1"/>
        <w:spacing w:before="240" w:after="120"/>
        <w:outlineLvl w:val="0"/>
      </w:pPr>
      <w:r>
        <w:t>S</w:t>
      </w:r>
      <w:r w:rsidRPr="0011288D">
        <w:t>ponsor’s Comment</w:t>
      </w:r>
    </w:p>
    <w:p w:rsidR="00EF3C6A" w:rsidRPr="00160ED7" w:rsidRDefault="00C002A3" w:rsidP="00160ED7">
      <w:pPr>
        <w:spacing w:after="120"/>
        <w:ind w:left="709"/>
        <w:rPr>
          <w:rFonts w:asciiTheme="minorHAnsi" w:hAnsiTheme="minorHAnsi"/>
          <w:bCs/>
        </w:rPr>
      </w:pPr>
      <w:r w:rsidRPr="00C07617">
        <w:rPr>
          <w:rFonts w:asciiTheme="minorHAnsi" w:hAnsiTheme="minorHAnsi"/>
          <w:bCs/>
        </w:rPr>
        <w:t>Th</w:t>
      </w:r>
      <w:r w:rsidR="00160ED7">
        <w:rPr>
          <w:rFonts w:asciiTheme="minorHAnsi" w:hAnsiTheme="minorHAnsi"/>
          <w:bCs/>
        </w:rPr>
        <w:t>e sponsor had no comment.</w:t>
      </w:r>
    </w:p>
    <w:sectPr w:rsidR="00EF3C6A" w:rsidRPr="00160ED7" w:rsidSect="00461CCF">
      <w:headerReference w:type="even" r:id="rId9"/>
      <w:headerReference w:type="default" r:id="rId10"/>
      <w:footerReference w:type="even" r:id="rId11"/>
      <w:footerReference w:type="default" r:id="rId12"/>
      <w:headerReference w:type="first" r:id="rId13"/>
      <w:footerReference w:type="first" r:id="rId14"/>
      <w:footnotePr>
        <w:pos w:val="beneathText"/>
        <w:numFmt w:val="lowerLetter"/>
      </w:footnotePr>
      <w:pgSz w:w="11907" w:h="16840" w:code="9"/>
      <w:pgMar w:top="1440" w:right="1134"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210ACA" w16cid:durableId="1F121671"/>
  <w16cid:commentId w16cid:paraId="5461FC9C" w16cid:durableId="1F122272"/>
  <w16cid:commentId w16cid:paraId="122F5519" w16cid:durableId="1F121672"/>
  <w16cid:commentId w16cid:paraId="0993B22C" w16cid:durableId="1F122288"/>
  <w16cid:commentId w16cid:paraId="7A57498D" w16cid:durableId="1F1222EC"/>
  <w16cid:commentId w16cid:paraId="73E0EE21" w16cid:durableId="1F121673"/>
  <w16cid:commentId w16cid:paraId="00CF1086" w16cid:durableId="1F1229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8C2" w:rsidRDefault="006068C2" w:rsidP="00124A51">
      <w:r>
        <w:separator/>
      </w:r>
    </w:p>
    <w:p w:rsidR="006068C2" w:rsidRDefault="006068C2"/>
  </w:endnote>
  <w:endnote w:type="continuationSeparator" w:id="0">
    <w:p w:rsidR="006068C2" w:rsidRDefault="006068C2" w:rsidP="00124A51">
      <w:r>
        <w:continuationSeparator/>
      </w:r>
    </w:p>
    <w:p w:rsidR="006068C2" w:rsidRDefault="00606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B4" w:rsidRDefault="00251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B4" w:rsidRDefault="002518B4">
    <w:pPr>
      <w:pStyle w:val="Footer"/>
      <w:jc w:val="center"/>
    </w:pPr>
  </w:p>
  <w:p w:rsidR="002518B4" w:rsidRDefault="00D25256">
    <w:pPr>
      <w:pStyle w:val="Footer"/>
      <w:jc w:val="center"/>
    </w:pPr>
    <w:sdt>
      <w:sdtPr>
        <w:id w:val="-270247458"/>
        <w:docPartObj>
          <w:docPartGallery w:val="Page Numbers (Bottom of Page)"/>
          <w:docPartUnique/>
        </w:docPartObj>
      </w:sdtPr>
      <w:sdtEndPr>
        <w:rPr>
          <w:noProof/>
        </w:rPr>
      </w:sdtEndPr>
      <w:sdtContent>
        <w:r w:rsidR="002518B4">
          <w:fldChar w:fldCharType="begin"/>
        </w:r>
        <w:r w:rsidR="002518B4">
          <w:instrText xml:space="preserve"> PAGE   \* MERGEFORMAT </w:instrText>
        </w:r>
        <w:r w:rsidR="002518B4">
          <w:fldChar w:fldCharType="separate"/>
        </w:r>
        <w:r>
          <w:rPr>
            <w:noProof/>
          </w:rPr>
          <w:t>34</w:t>
        </w:r>
        <w:r w:rsidR="002518B4">
          <w:rPr>
            <w:noProof/>
          </w:rPr>
          <w:fldChar w:fldCharType="end"/>
        </w:r>
      </w:sdtContent>
    </w:sdt>
  </w:p>
  <w:p w:rsidR="002518B4" w:rsidRPr="00D13A3E" w:rsidRDefault="002518B4" w:rsidP="00015886">
    <w:pPr>
      <w:ind w:right="360"/>
      <w:jc w:val="center"/>
      <w:rPr>
        <w:b/>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B4" w:rsidRDefault="00251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8C2" w:rsidRDefault="006068C2" w:rsidP="00124A51">
      <w:r>
        <w:separator/>
      </w:r>
    </w:p>
    <w:p w:rsidR="006068C2" w:rsidRDefault="006068C2"/>
  </w:footnote>
  <w:footnote w:type="continuationSeparator" w:id="0">
    <w:p w:rsidR="006068C2" w:rsidRDefault="006068C2" w:rsidP="00124A51">
      <w:r>
        <w:continuationSeparator/>
      </w:r>
    </w:p>
    <w:p w:rsidR="006068C2" w:rsidRDefault="006068C2"/>
  </w:footnote>
  <w:footnote w:id="1">
    <w:p w:rsidR="002518B4" w:rsidRDefault="002518B4" w:rsidP="00E87FAB">
      <w:pPr>
        <w:pStyle w:val="TableFooter"/>
      </w:pPr>
      <w:r>
        <w:rPr>
          <w:rStyle w:val="FootnoteReference"/>
        </w:rPr>
        <w:footnoteRef/>
      </w:r>
      <w:r>
        <w:t xml:space="preserve"> West, H and </w:t>
      </w:r>
      <w:proofErr w:type="spellStart"/>
      <w:r>
        <w:t>Jin</w:t>
      </w:r>
      <w:proofErr w:type="spellEnd"/>
      <w:r>
        <w:t xml:space="preserve"> JO. Performance status in patients with cancer. JAMA </w:t>
      </w:r>
      <w:proofErr w:type="spellStart"/>
      <w:r>
        <w:t>Oncol</w:t>
      </w:r>
      <w:proofErr w:type="spellEnd"/>
      <w:r>
        <w:t>, 2015; 1 (7): 998.</w:t>
      </w:r>
    </w:p>
    <w:p w:rsidR="002518B4" w:rsidRDefault="002518B4" w:rsidP="00E87FAB">
      <w:pPr>
        <w:pStyle w:val="FootnoteText"/>
      </w:pPr>
    </w:p>
  </w:footnote>
  <w:footnote w:id="2">
    <w:p w:rsidR="002518B4" w:rsidRDefault="002518B4" w:rsidP="005A5990">
      <w:pPr>
        <w:pStyle w:val="TableFooter"/>
      </w:pPr>
      <w:r>
        <w:rPr>
          <w:rStyle w:val="FootnoteReference"/>
        </w:rPr>
        <w:footnoteRef/>
      </w:r>
      <w:r>
        <w:t xml:space="preserve"> </w:t>
      </w:r>
      <w:proofErr w:type="spellStart"/>
      <w:r w:rsidRPr="00AA3BF1">
        <w:t>Mohammadian</w:t>
      </w:r>
      <w:proofErr w:type="spellEnd"/>
      <w:r w:rsidRPr="00AA3BF1">
        <w:t xml:space="preserve"> M, </w:t>
      </w:r>
      <w:proofErr w:type="spellStart"/>
      <w:r w:rsidRPr="00AA3BF1">
        <w:t>Pakzad</w:t>
      </w:r>
      <w:proofErr w:type="spellEnd"/>
      <w:r w:rsidRPr="00AA3BF1">
        <w:t xml:space="preserve"> R, </w:t>
      </w:r>
      <w:proofErr w:type="spellStart"/>
      <w:r w:rsidRPr="00AA3BF1">
        <w:t>Towhidi</w:t>
      </w:r>
      <w:proofErr w:type="spellEnd"/>
      <w:r w:rsidRPr="00AA3BF1">
        <w:t xml:space="preserve"> F, </w:t>
      </w:r>
      <w:proofErr w:type="spellStart"/>
      <w:r w:rsidRPr="00AA3BF1">
        <w:t>Makhsosi</w:t>
      </w:r>
      <w:proofErr w:type="spellEnd"/>
      <w:r w:rsidRPr="00AA3BF1">
        <w:t xml:space="preserve"> BR, Ahmadi A, </w:t>
      </w:r>
      <w:proofErr w:type="spellStart"/>
      <w:r w:rsidRPr="00AA3BF1">
        <w:t>Salehiniya</w:t>
      </w:r>
      <w:proofErr w:type="spellEnd"/>
      <w:r w:rsidRPr="00AA3BF1">
        <w:t xml:space="preserve"> H. Incidence and mortality of kidney cancer and its relationship with HDI (Human Development Index) in the world in 2012. </w:t>
      </w:r>
      <w:proofErr w:type="spellStart"/>
      <w:r w:rsidRPr="00AA3BF1">
        <w:t>Clujul</w:t>
      </w:r>
      <w:proofErr w:type="spellEnd"/>
      <w:r w:rsidRPr="00AA3BF1">
        <w:t xml:space="preserve"> Medical. 2017</w:t>
      </w:r>
      <w:proofErr w:type="gramStart"/>
      <w:r w:rsidRPr="00AA3BF1">
        <w:t>;90</w:t>
      </w:r>
      <w:proofErr w:type="gramEnd"/>
      <w:r w:rsidRPr="00AA3BF1">
        <w:t>(3):286-93.</w:t>
      </w:r>
    </w:p>
  </w:footnote>
  <w:footnote w:id="3">
    <w:p w:rsidR="002518B4" w:rsidRDefault="002518B4" w:rsidP="005A5990">
      <w:pPr>
        <w:pStyle w:val="TableFooter"/>
      </w:pPr>
      <w:r>
        <w:rPr>
          <w:rStyle w:val="FootnoteReference"/>
        </w:rPr>
        <w:footnoteRef/>
      </w:r>
      <w:r>
        <w:t xml:space="preserve"> </w:t>
      </w:r>
      <w:proofErr w:type="spellStart"/>
      <w:r w:rsidRPr="00936CE6">
        <w:t>Rini</w:t>
      </w:r>
      <w:proofErr w:type="spellEnd"/>
      <w:r w:rsidRPr="00936CE6">
        <w:t xml:space="preserve"> BI, Campbell SC, </w:t>
      </w:r>
      <w:proofErr w:type="spellStart"/>
      <w:r w:rsidRPr="00936CE6">
        <w:t>Escudier</w:t>
      </w:r>
      <w:proofErr w:type="spellEnd"/>
      <w:r w:rsidRPr="00936CE6">
        <w:t xml:space="preserve"> B. Renal cell carcinoma. Lancet. 2009</w:t>
      </w:r>
      <w:proofErr w:type="gramStart"/>
      <w:r w:rsidRPr="00936CE6">
        <w:t>;373:1119</w:t>
      </w:r>
      <w:proofErr w:type="gramEnd"/>
      <w:r w:rsidRPr="00936CE6">
        <w:t>-32.</w:t>
      </w:r>
    </w:p>
  </w:footnote>
  <w:footnote w:id="4">
    <w:p w:rsidR="002518B4" w:rsidRDefault="002518B4" w:rsidP="005A5990">
      <w:pPr>
        <w:pStyle w:val="TableFooter"/>
      </w:pPr>
      <w:r>
        <w:rPr>
          <w:rStyle w:val="FootnoteReference"/>
        </w:rPr>
        <w:footnoteRef/>
      </w:r>
      <w:r>
        <w:t xml:space="preserve"> </w:t>
      </w:r>
      <w:proofErr w:type="spellStart"/>
      <w:r w:rsidRPr="00936CE6">
        <w:t>Heng</w:t>
      </w:r>
      <w:proofErr w:type="spellEnd"/>
      <w:r w:rsidRPr="00936CE6">
        <w:t xml:space="preserve"> DYC, </w:t>
      </w:r>
      <w:proofErr w:type="spellStart"/>
      <w:r w:rsidRPr="00936CE6">
        <w:t>Xie</w:t>
      </w:r>
      <w:proofErr w:type="spellEnd"/>
      <w:r w:rsidRPr="00936CE6">
        <w:t xml:space="preserve"> W, Regan MM, </w:t>
      </w:r>
      <w:proofErr w:type="spellStart"/>
      <w:r w:rsidRPr="00936CE6">
        <w:t>Harshman</w:t>
      </w:r>
      <w:proofErr w:type="spellEnd"/>
      <w:r w:rsidRPr="00936CE6">
        <w:t xml:space="preserve"> LC, </w:t>
      </w:r>
      <w:proofErr w:type="spellStart"/>
      <w:r w:rsidRPr="00936CE6">
        <w:t>Bjarnason</w:t>
      </w:r>
      <w:proofErr w:type="spellEnd"/>
      <w:r w:rsidRPr="00936CE6">
        <w:t xml:space="preserve"> GA, </w:t>
      </w:r>
      <w:proofErr w:type="spellStart"/>
      <w:r w:rsidRPr="00936CE6">
        <w:t>Vaishampayan</w:t>
      </w:r>
      <w:proofErr w:type="spellEnd"/>
      <w:r w:rsidRPr="00936CE6">
        <w:t xml:space="preserve"> UN, et al. External validation and comparison with other models of the International Metastatic Renal-Cell Carcinoma Database Consortium prognostic model: a population-based study. The Lancet Oncology. 2013</w:t>
      </w:r>
      <w:proofErr w:type="gramStart"/>
      <w:r w:rsidRPr="00936CE6">
        <w:t>;14</w:t>
      </w:r>
      <w:proofErr w:type="gramEnd"/>
      <w:r w:rsidRPr="00936CE6">
        <w:t>(2):141-8.</w:t>
      </w:r>
    </w:p>
  </w:footnote>
  <w:footnote w:id="5">
    <w:p w:rsidR="002518B4" w:rsidRPr="00136B30" w:rsidRDefault="002518B4" w:rsidP="009E7E43">
      <w:pPr>
        <w:pStyle w:val="FootnoteText"/>
        <w:rPr>
          <w:rFonts w:ascii="Arial Narrow" w:hAnsi="Arial Narrow"/>
          <w:sz w:val="18"/>
          <w:szCs w:val="18"/>
        </w:rPr>
      </w:pPr>
      <w:r w:rsidRPr="00136B30">
        <w:rPr>
          <w:rStyle w:val="FootnoteReference"/>
          <w:rFonts w:ascii="Arial Narrow" w:hAnsi="Arial Narrow"/>
          <w:sz w:val="18"/>
          <w:szCs w:val="18"/>
        </w:rPr>
        <w:footnoteRef/>
      </w:r>
      <w:r w:rsidRPr="00136B30">
        <w:rPr>
          <w:rFonts w:ascii="Arial Narrow" w:hAnsi="Arial Narrow"/>
          <w:sz w:val="18"/>
          <w:szCs w:val="18"/>
        </w:rPr>
        <w:t xml:space="preserve"> </w:t>
      </w:r>
      <w:proofErr w:type="spellStart"/>
      <w:r w:rsidRPr="00136B30">
        <w:rPr>
          <w:rFonts w:ascii="Arial Narrow" w:hAnsi="Arial Narrow"/>
          <w:sz w:val="18"/>
          <w:szCs w:val="18"/>
        </w:rPr>
        <w:t>Cherny</w:t>
      </w:r>
      <w:proofErr w:type="spellEnd"/>
      <w:r w:rsidRPr="00136B30">
        <w:rPr>
          <w:rFonts w:ascii="Arial Narrow" w:hAnsi="Arial Narrow"/>
          <w:sz w:val="18"/>
          <w:szCs w:val="18"/>
        </w:rPr>
        <w:t xml:space="preserve"> NI, Dafni U, </w:t>
      </w:r>
      <w:proofErr w:type="spellStart"/>
      <w:r w:rsidRPr="00136B30">
        <w:rPr>
          <w:rFonts w:ascii="Arial Narrow" w:hAnsi="Arial Narrow"/>
          <w:sz w:val="18"/>
          <w:szCs w:val="18"/>
        </w:rPr>
        <w:t>Bogaerts</w:t>
      </w:r>
      <w:proofErr w:type="spellEnd"/>
      <w:r w:rsidRPr="00136B30">
        <w:rPr>
          <w:rFonts w:ascii="Arial Narrow" w:hAnsi="Arial Narrow"/>
          <w:sz w:val="18"/>
          <w:szCs w:val="18"/>
        </w:rPr>
        <w:t xml:space="preserve"> J, et al: ESMO-Magnitude of Clinical Benefit Scale version 1.1. Annals of Oncology 28:2340-2366, 2017</w:t>
      </w:r>
    </w:p>
  </w:footnote>
  <w:footnote w:id="6">
    <w:p w:rsidR="002518B4" w:rsidRPr="00136B30" w:rsidRDefault="002518B4">
      <w:pPr>
        <w:pStyle w:val="FootnoteText"/>
        <w:rPr>
          <w:rFonts w:ascii="Arial Narrow" w:hAnsi="Arial Narrow"/>
          <w:sz w:val="18"/>
          <w:szCs w:val="18"/>
        </w:rPr>
      </w:pPr>
      <w:r w:rsidRPr="00136B30">
        <w:rPr>
          <w:rStyle w:val="FootnoteReference"/>
          <w:rFonts w:ascii="Arial Narrow" w:hAnsi="Arial Narrow"/>
          <w:sz w:val="18"/>
          <w:szCs w:val="18"/>
        </w:rPr>
        <w:footnoteRef/>
      </w:r>
      <w:r w:rsidRPr="00136B30">
        <w:rPr>
          <w:rFonts w:ascii="Arial Narrow" w:hAnsi="Arial Narrow"/>
          <w:sz w:val="18"/>
          <w:szCs w:val="18"/>
        </w:rPr>
        <w:t xml:space="preserve"> Data is from all treated patients</w:t>
      </w:r>
    </w:p>
  </w:footnote>
  <w:footnote w:id="7">
    <w:p w:rsidR="002518B4" w:rsidRDefault="002518B4" w:rsidP="005A5990">
      <w:pPr>
        <w:pStyle w:val="TableFooter"/>
      </w:pPr>
      <w:r>
        <w:rPr>
          <w:rStyle w:val="FootnoteReference"/>
        </w:rPr>
        <w:footnoteRef/>
      </w:r>
      <w:r>
        <w:t xml:space="preserve"> Public Summary Document March 2017, PBAC Meeting 7.06 Nivolumab plus Ipilimumab, paragraph 6.23, p 15 </w:t>
      </w:r>
    </w:p>
  </w:footnote>
  <w:footnote w:id="8">
    <w:p w:rsidR="002518B4" w:rsidRDefault="002518B4" w:rsidP="00EC27AB">
      <w:pPr>
        <w:pStyle w:val="TableFooter"/>
      </w:pPr>
      <w:r>
        <w:rPr>
          <w:rStyle w:val="FootnoteReference"/>
        </w:rPr>
        <w:footnoteRef/>
      </w:r>
      <w:r>
        <w:t xml:space="preserve"> Paragraph 4.3.10, National Institute for Health and Clinical Excellence, final appraisal determination, </w:t>
      </w:r>
      <w:proofErr w:type="spellStart"/>
      <w:r>
        <w:t>sunitinib</w:t>
      </w:r>
      <w:proofErr w:type="spellEnd"/>
      <w:r>
        <w:t xml:space="preserve"> for the first-line treatment of advanced and/or metastatic renal cell carcinoma, 2009; </w:t>
      </w:r>
      <w:proofErr w:type="spellStart"/>
      <w:r>
        <w:t>url</w:t>
      </w:r>
      <w:proofErr w:type="spellEnd"/>
      <w:r>
        <w:t xml:space="preserve"> </w:t>
      </w:r>
      <w:hyperlink r:id="rId1" w:history="1">
        <w:r w:rsidRPr="0045767D">
          <w:rPr>
            <w:rStyle w:val="Hyperlink"/>
          </w:rPr>
          <w:t>https://www.nice.org.uk/guidance/ta169/documents/sunitinib-for-the-firstline-treatment-of-advanced-andor-metastatic-renal-cell-carcinoma-final-appraisal-determination3</w:t>
        </w:r>
      </w:hyperlink>
      <w:r>
        <w:t>, Accessed 14 May 2018.</w:t>
      </w:r>
    </w:p>
  </w:footnote>
  <w:footnote w:id="9">
    <w:p w:rsidR="002518B4" w:rsidRDefault="002518B4" w:rsidP="00EC27AB">
      <w:pPr>
        <w:pStyle w:val="TableFooter"/>
      </w:pPr>
      <w:r>
        <w:rPr>
          <w:rStyle w:val="FootnoteReference"/>
        </w:rPr>
        <w:footnoteRef/>
      </w:r>
      <w:r>
        <w:t xml:space="preserve"> </w:t>
      </w:r>
      <w:r>
        <w:rPr>
          <w:snapToGrid/>
          <w:lang w:eastAsia="en-AU"/>
        </w:rPr>
        <w:t>Australian Institute of Health and Welfare (AHIW). Figures by cancer type (kidney-cancer). 2017 [updated April 2018]; Available from: https://www.aihw.gov.au/reports/cancer/acim-books/contents/acim-books.</w:t>
      </w:r>
    </w:p>
  </w:footnote>
  <w:footnote w:id="10">
    <w:p w:rsidR="002518B4" w:rsidRDefault="002518B4" w:rsidP="00EC27AB">
      <w:pPr>
        <w:pStyle w:val="TableFooter"/>
        <w:rPr>
          <w:snapToGrid/>
          <w:lang w:eastAsia="en-AU"/>
        </w:rPr>
      </w:pPr>
      <w:r>
        <w:rPr>
          <w:rStyle w:val="FootnoteReference"/>
        </w:rPr>
        <w:footnoteRef/>
      </w:r>
      <w:r>
        <w:t xml:space="preserve"> </w:t>
      </w:r>
      <w:r>
        <w:rPr>
          <w:snapToGrid/>
          <w:lang w:eastAsia="en-AU"/>
        </w:rPr>
        <w:t xml:space="preserve">Gore ME, </w:t>
      </w:r>
      <w:proofErr w:type="spellStart"/>
      <w:r>
        <w:rPr>
          <w:snapToGrid/>
          <w:lang w:eastAsia="en-AU"/>
        </w:rPr>
        <w:t>Szczylik</w:t>
      </w:r>
      <w:proofErr w:type="spellEnd"/>
      <w:r>
        <w:rPr>
          <w:snapToGrid/>
          <w:lang w:eastAsia="en-AU"/>
        </w:rPr>
        <w:t xml:space="preserve"> C, Porta C, </w:t>
      </w:r>
      <w:proofErr w:type="spellStart"/>
      <w:r>
        <w:rPr>
          <w:snapToGrid/>
          <w:lang w:eastAsia="en-AU"/>
        </w:rPr>
        <w:t>Bracarda</w:t>
      </w:r>
      <w:proofErr w:type="spellEnd"/>
      <w:r>
        <w:rPr>
          <w:snapToGrid/>
          <w:lang w:eastAsia="en-AU"/>
        </w:rPr>
        <w:t xml:space="preserve"> S, </w:t>
      </w:r>
      <w:proofErr w:type="spellStart"/>
      <w:r>
        <w:rPr>
          <w:snapToGrid/>
          <w:lang w:eastAsia="en-AU"/>
        </w:rPr>
        <w:t>Bjarnason</w:t>
      </w:r>
      <w:proofErr w:type="spellEnd"/>
      <w:r>
        <w:rPr>
          <w:snapToGrid/>
          <w:lang w:eastAsia="en-AU"/>
        </w:rPr>
        <w:t xml:space="preserve"> GA, </w:t>
      </w:r>
      <w:proofErr w:type="spellStart"/>
      <w:r>
        <w:rPr>
          <w:snapToGrid/>
          <w:lang w:eastAsia="en-AU"/>
        </w:rPr>
        <w:t>Oudard</w:t>
      </w:r>
      <w:proofErr w:type="spellEnd"/>
      <w:r>
        <w:rPr>
          <w:snapToGrid/>
          <w:lang w:eastAsia="en-AU"/>
        </w:rPr>
        <w:t xml:space="preserve"> S, et al. Final results from the large </w:t>
      </w:r>
      <w:proofErr w:type="spellStart"/>
      <w:r>
        <w:rPr>
          <w:snapToGrid/>
          <w:lang w:eastAsia="en-AU"/>
        </w:rPr>
        <w:t>sunitinib</w:t>
      </w:r>
      <w:proofErr w:type="spellEnd"/>
      <w:r>
        <w:rPr>
          <w:snapToGrid/>
          <w:lang w:eastAsia="en-AU"/>
        </w:rPr>
        <w:t xml:space="preserve"> global expanded-access trial in metastatic renal cell carcinoma. Br J Cancer. 2015</w:t>
      </w:r>
      <w:proofErr w:type="gramStart"/>
      <w:r>
        <w:rPr>
          <w:snapToGrid/>
          <w:lang w:eastAsia="en-AU"/>
        </w:rPr>
        <w:t>;113</w:t>
      </w:r>
      <w:proofErr w:type="gramEnd"/>
      <w:r>
        <w:rPr>
          <w:snapToGrid/>
          <w:lang w:eastAsia="en-AU"/>
        </w:rPr>
        <w:t>(1):12-9.</w:t>
      </w:r>
    </w:p>
    <w:p w:rsidR="002518B4" w:rsidRDefault="002518B4" w:rsidP="00EC27AB">
      <w:pPr>
        <w:pStyle w:val="TableFooter"/>
        <w:rPr>
          <w:snapToGrid/>
          <w:lang w:eastAsia="en-AU"/>
        </w:rPr>
      </w:pPr>
      <w:proofErr w:type="spellStart"/>
      <w:r>
        <w:rPr>
          <w:snapToGrid/>
          <w:lang w:eastAsia="en-AU"/>
        </w:rPr>
        <w:t>Heng</w:t>
      </w:r>
      <w:proofErr w:type="spellEnd"/>
      <w:r>
        <w:rPr>
          <w:snapToGrid/>
          <w:lang w:eastAsia="en-AU"/>
        </w:rPr>
        <w:t xml:space="preserve"> DYC, </w:t>
      </w:r>
      <w:proofErr w:type="spellStart"/>
      <w:r>
        <w:rPr>
          <w:snapToGrid/>
          <w:lang w:eastAsia="en-AU"/>
        </w:rPr>
        <w:t>Xie</w:t>
      </w:r>
      <w:proofErr w:type="spellEnd"/>
      <w:r>
        <w:rPr>
          <w:snapToGrid/>
          <w:lang w:eastAsia="en-AU"/>
        </w:rPr>
        <w:t xml:space="preserve"> W, Regan MM, </w:t>
      </w:r>
      <w:proofErr w:type="spellStart"/>
      <w:r>
        <w:rPr>
          <w:snapToGrid/>
          <w:lang w:eastAsia="en-AU"/>
        </w:rPr>
        <w:t>Harshman</w:t>
      </w:r>
      <w:proofErr w:type="spellEnd"/>
      <w:r>
        <w:rPr>
          <w:snapToGrid/>
          <w:lang w:eastAsia="en-AU"/>
        </w:rPr>
        <w:t xml:space="preserve"> LC, </w:t>
      </w:r>
      <w:proofErr w:type="spellStart"/>
      <w:r>
        <w:rPr>
          <w:snapToGrid/>
          <w:lang w:eastAsia="en-AU"/>
        </w:rPr>
        <w:t>Bjarnason</w:t>
      </w:r>
      <w:proofErr w:type="spellEnd"/>
      <w:r>
        <w:rPr>
          <w:snapToGrid/>
          <w:lang w:eastAsia="en-AU"/>
        </w:rPr>
        <w:t xml:space="preserve"> GA, </w:t>
      </w:r>
      <w:proofErr w:type="spellStart"/>
      <w:r>
        <w:rPr>
          <w:snapToGrid/>
          <w:lang w:eastAsia="en-AU"/>
        </w:rPr>
        <w:t>Vaishampayan</w:t>
      </w:r>
      <w:proofErr w:type="spellEnd"/>
      <w:r>
        <w:rPr>
          <w:snapToGrid/>
          <w:lang w:eastAsia="en-AU"/>
        </w:rPr>
        <w:t xml:space="preserve"> UN, et al. External validation and comparison with other models of the International Metastatic Renal-Cell Carcinoma Database Consortium prognostic model: a population-based study. The Lancet Oncology. 2013</w:t>
      </w:r>
      <w:proofErr w:type="gramStart"/>
      <w:r>
        <w:rPr>
          <w:snapToGrid/>
          <w:lang w:eastAsia="en-AU"/>
        </w:rPr>
        <w:t>;14</w:t>
      </w:r>
      <w:proofErr w:type="gramEnd"/>
      <w:r>
        <w:rPr>
          <w:snapToGrid/>
          <w:lang w:eastAsia="en-AU"/>
        </w:rPr>
        <w:t>(2):141-8.</w:t>
      </w:r>
    </w:p>
    <w:p w:rsidR="002518B4" w:rsidRDefault="002518B4" w:rsidP="00EC27AB">
      <w:pPr>
        <w:pStyle w:val="TableFooter"/>
      </w:pPr>
      <w:r>
        <w:rPr>
          <w:snapToGrid/>
          <w:lang w:eastAsia="en-AU"/>
        </w:rPr>
        <w:t xml:space="preserve">Ruiz-Morales JM, </w:t>
      </w:r>
      <w:proofErr w:type="spellStart"/>
      <w:r>
        <w:rPr>
          <w:snapToGrid/>
          <w:lang w:eastAsia="en-AU"/>
        </w:rPr>
        <w:t>Swierkowski</w:t>
      </w:r>
      <w:proofErr w:type="spellEnd"/>
      <w:r>
        <w:rPr>
          <w:snapToGrid/>
          <w:lang w:eastAsia="en-AU"/>
        </w:rPr>
        <w:t xml:space="preserve"> M, Wells JC, </w:t>
      </w:r>
      <w:proofErr w:type="spellStart"/>
      <w:r>
        <w:rPr>
          <w:snapToGrid/>
          <w:lang w:eastAsia="en-AU"/>
        </w:rPr>
        <w:t>Fraccon</w:t>
      </w:r>
      <w:proofErr w:type="spellEnd"/>
      <w:r>
        <w:rPr>
          <w:snapToGrid/>
          <w:lang w:eastAsia="en-AU"/>
        </w:rPr>
        <w:t xml:space="preserve"> AP, </w:t>
      </w:r>
      <w:proofErr w:type="spellStart"/>
      <w:r>
        <w:rPr>
          <w:snapToGrid/>
          <w:lang w:eastAsia="en-AU"/>
        </w:rPr>
        <w:t>Pasini</w:t>
      </w:r>
      <w:proofErr w:type="spellEnd"/>
      <w:r>
        <w:rPr>
          <w:snapToGrid/>
          <w:lang w:eastAsia="en-AU"/>
        </w:rPr>
        <w:t xml:space="preserve"> F, </w:t>
      </w:r>
      <w:proofErr w:type="spellStart"/>
      <w:r>
        <w:rPr>
          <w:snapToGrid/>
          <w:lang w:eastAsia="en-AU"/>
        </w:rPr>
        <w:t>Donskov</w:t>
      </w:r>
      <w:proofErr w:type="spellEnd"/>
      <w:r>
        <w:rPr>
          <w:snapToGrid/>
          <w:lang w:eastAsia="en-AU"/>
        </w:rPr>
        <w:t xml:space="preserve"> F, et al. First-line </w:t>
      </w:r>
      <w:proofErr w:type="spellStart"/>
      <w:r>
        <w:rPr>
          <w:snapToGrid/>
          <w:lang w:eastAsia="en-AU"/>
        </w:rPr>
        <w:t>sunitinib</w:t>
      </w:r>
      <w:proofErr w:type="spellEnd"/>
      <w:r>
        <w:rPr>
          <w:snapToGrid/>
          <w:lang w:eastAsia="en-AU"/>
        </w:rPr>
        <w:t xml:space="preserve"> versus </w:t>
      </w:r>
      <w:proofErr w:type="spellStart"/>
      <w:r>
        <w:rPr>
          <w:snapToGrid/>
          <w:lang w:eastAsia="en-AU"/>
        </w:rPr>
        <w:t>pazopanib</w:t>
      </w:r>
      <w:proofErr w:type="spellEnd"/>
      <w:r>
        <w:rPr>
          <w:snapToGrid/>
          <w:lang w:eastAsia="en-AU"/>
        </w:rPr>
        <w:t xml:space="preserve"> in metastatic renal cell carcinoma: Results from the International Metastatic Renal Cell Carcinoma Database Consortium. </w:t>
      </w:r>
      <w:proofErr w:type="spellStart"/>
      <w:r>
        <w:rPr>
          <w:snapToGrid/>
          <w:lang w:eastAsia="en-AU"/>
        </w:rPr>
        <w:t>Eur</w:t>
      </w:r>
      <w:proofErr w:type="spellEnd"/>
      <w:r>
        <w:rPr>
          <w:snapToGrid/>
          <w:lang w:eastAsia="en-AU"/>
        </w:rPr>
        <w:t xml:space="preserve"> J Cancer. 2016</w:t>
      </w:r>
      <w:proofErr w:type="gramStart"/>
      <w:r>
        <w:rPr>
          <w:snapToGrid/>
          <w:lang w:eastAsia="en-AU"/>
        </w:rPr>
        <w:t>;65:102</w:t>
      </w:r>
      <w:proofErr w:type="gramEnd"/>
      <w:r>
        <w:rPr>
          <w:snapToGrid/>
          <w:lang w:eastAsia="en-AU"/>
        </w:rPr>
        <w:t>-8.</w:t>
      </w:r>
    </w:p>
  </w:footnote>
  <w:footnote w:id="11">
    <w:p w:rsidR="002518B4" w:rsidRDefault="002518B4" w:rsidP="00EC27AB">
      <w:pPr>
        <w:pStyle w:val="TableFooter"/>
      </w:pPr>
      <w:r>
        <w:rPr>
          <w:rStyle w:val="FootnoteReference"/>
        </w:rPr>
        <w:footnoteRef/>
      </w:r>
      <w:r>
        <w:t xml:space="preserve"> </w:t>
      </w:r>
      <w:r>
        <w:rPr>
          <w:snapToGrid/>
          <w:lang w:eastAsia="en-AU"/>
        </w:rPr>
        <w:t xml:space="preserve">Day D, </w:t>
      </w:r>
      <w:proofErr w:type="spellStart"/>
      <w:r>
        <w:rPr>
          <w:snapToGrid/>
          <w:lang w:eastAsia="en-AU"/>
        </w:rPr>
        <w:t>Kanjanapan</w:t>
      </w:r>
      <w:proofErr w:type="spellEnd"/>
      <w:r>
        <w:rPr>
          <w:snapToGrid/>
          <w:lang w:eastAsia="en-AU"/>
        </w:rPr>
        <w:t xml:space="preserve"> Y, Kwan E, Yip D, </w:t>
      </w:r>
      <w:proofErr w:type="spellStart"/>
      <w:r>
        <w:rPr>
          <w:snapToGrid/>
          <w:lang w:eastAsia="en-AU"/>
        </w:rPr>
        <w:t>Lawrentschuk</w:t>
      </w:r>
      <w:proofErr w:type="spellEnd"/>
      <w:r>
        <w:rPr>
          <w:snapToGrid/>
          <w:lang w:eastAsia="en-AU"/>
        </w:rPr>
        <w:t xml:space="preserve"> N, Andrews M, et al. Patterns of care for metastatic renal cell carcinoma in Australia. BJU Int. 2015</w:t>
      </w:r>
      <w:proofErr w:type="gramStart"/>
      <w:r>
        <w:rPr>
          <w:snapToGrid/>
          <w:lang w:eastAsia="en-AU"/>
        </w:rPr>
        <w:t>;116</w:t>
      </w:r>
      <w:proofErr w:type="gramEnd"/>
      <w:r>
        <w:rPr>
          <w:snapToGrid/>
          <w:lang w:eastAsia="en-AU"/>
        </w:rPr>
        <w:t xml:space="preserve"> </w:t>
      </w:r>
      <w:proofErr w:type="spellStart"/>
      <w:r>
        <w:rPr>
          <w:snapToGrid/>
          <w:lang w:eastAsia="en-AU"/>
        </w:rPr>
        <w:t>Suppl</w:t>
      </w:r>
      <w:proofErr w:type="spellEnd"/>
      <w:r>
        <w:rPr>
          <w:snapToGrid/>
          <w:lang w:eastAsia="en-AU"/>
        </w:rPr>
        <w:t xml:space="preserve"> 3:36-41.</w:t>
      </w:r>
    </w:p>
  </w:footnote>
  <w:footnote w:id="12">
    <w:p w:rsidR="002518B4" w:rsidRDefault="002518B4" w:rsidP="00EC27AB">
      <w:pPr>
        <w:pStyle w:val="FootnoteText"/>
      </w:pPr>
      <w:r>
        <w:rPr>
          <w:rStyle w:val="FootnoteReference"/>
        </w:rPr>
        <w:footnoteRef/>
      </w:r>
      <w:r>
        <w:t xml:space="preserve"> </w:t>
      </w:r>
      <w:r w:rsidRPr="00657732">
        <w:rPr>
          <w:rFonts w:ascii="Arial Narrow" w:hAnsi="Arial Narrow"/>
          <w:snapToGrid/>
          <w:sz w:val="18"/>
          <w:szCs w:val="22"/>
          <w:lang w:eastAsia="en-AU"/>
        </w:rPr>
        <w:t xml:space="preserve">Motzer RJ, Hutson TE, </w:t>
      </w:r>
      <w:proofErr w:type="spellStart"/>
      <w:r w:rsidRPr="00657732">
        <w:rPr>
          <w:rFonts w:ascii="Arial Narrow" w:hAnsi="Arial Narrow"/>
          <w:snapToGrid/>
          <w:sz w:val="18"/>
          <w:szCs w:val="22"/>
          <w:lang w:eastAsia="en-AU"/>
        </w:rPr>
        <w:t>Cella</w:t>
      </w:r>
      <w:proofErr w:type="spellEnd"/>
      <w:r w:rsidRPr="00657732">
        <w:rPr>
          <w:rFonts w:ascii="Arial Narrow" w:hAnsi="Arial Narrow"/>
          <w:snapToGrid/>
          <w:sz w:val="18"/>
          <w:szCs w:val="22"/>
          <w:lang w:eastAsia="en-AU"/>
        </w:rPr>
        <w:t xml:space="preserve"> D, Reeves J, Hawkins R, </w:t>
      </w:r>
      <w:proofErr w:type="spellStart"/>
      <w:r w:rsidRPr="00657732">
        <w:rPr>
          <w:rFonts w:ascii="Arial Narrow" w:hAnsi="Arial Narrow"/>
          <w:snapToGrid/>
          <w:sz w:val="18"/>
          <w:szCs w:val="22"/>
          <w:lang w:eastAsia="en-AU"/>
        </w:rPr>
        <w:t>Guo</w:t>
      </w:r>
      <w:proofErr w:type="spellEnd"/>
      <w:r w:rsidRPr="00657732">
        <w:rPr>
          <w:rFonts w:ascii="Arial Narrow" w:hAnsi="Arial Narrow"/>
          <w:snapToGrid/>
          <w:sz w:val="18"/>
          <w:szCs w:val="22"/>
          <w:lang w:eastAsia="en-AU"/>
        </w:rPr>
        <w:t xml:space="preserve"> J, et al. </w:t>
      </w:r>
      <w:proofErr w:type="spellStart"/>
      <w:r w:rsidRPr="00657732">
        <w:rPr>
          <w:rFonts w:ascii="Arial Narrow" w:hAnsi="Arial Narrow"/>
          <w:snapToGrid/>
          <w:sz w:val="18"/>
          <w:szCs w:val="22"/>
          <w:lang w:eastAsia="en-AU"/>
        </w:rPr>
        <w:t>Pazopanib</w:t>
      </w:r>
      <w:proofErr w:type="spellEnd"/>
      <w:r w:rsidRPr="00657732">
        <w:rPr>
          <w:rFonts w:ascii="Arial Narrow" w:hAnsi="Arial Narrow"/>
          <w:snapToGrid/>
          <w:sz w:val="18"/>
          <w:szCs w:val="22"/>
          <w:lang w:eastAsia="en-AU"/>
        </w:rPr>
        <w:t xml:space="preserve"> versus </w:t>
      </w:r>
      <w:proofErr w:type="spellStart"/>
      <w:r w:rsidRPr="00657732">
        <w:rPr>
          <w:rFonts w:ascii="Arial Narrow" w:hAnsi="Arial Narrow"/>
          <w:snapToGrid/>
          <w:sz w:val="18"/>
          <w:szCs w:val="22"/>
          <w:lang w:eastAsia="en-AU"/>
        </w:rPr>
        <w:t>sunitinib</w:t>
      </w:r>
      <w:proofErr w:type="spellEnd"/>
      <w:r w:rsidRPr="00657732">
        <w:rPr>
          <w:rFonts w:ascii="Arial Narrow" w:hAnsi="Arial Narrow"/>
          <w:snapToGrid/>
          <w:sz w:val="18"/>
          <w:szCs w:val="22"/>
          <w:lang w:eastAsia="en-AU"/>
        </w:rPr>
        <w:t xml:space="preserve"> in metastatic renal-cell carcinoma. N </w:t>
      </w:r>
      <w:proofErr w:type="spellStart"/>
      <w:r w:rsidRPr="00657732">
        <w:rPr>
          <w:rFonts w:ascii="Arial Narrow" w:hAnsi="Arial Narrow"/>
          <w:snapToGrid/>
          <w:sz w:val="18"/>
          <w:szCs w:val="22"/>
          <w:lang w:eastAsia="en-AU"/>
        </w:rPr>
        <w:t>Engl</w:t>
      </w:r>
      <w:proofErr w:type="spellEnd"/>
      <w:r w:rsidRPr="00657732">
        <w:rPr>
          <w:rFonts w:ascii="Arial Narrow" w:hAnsi="Arial Narrow"/>
          <w:snapToGrid/>
          <w:sz w:val="18"/>
          <w:szCs w:val="22"/>
          <w:lang w:eastAsia="en-AU"/>
        </w:rPr>
        <w:t xml:space="preserve"> J Med. 2013</w:t>
      </w:r>
      <w:proofErr w:type="gramStart"/>
      <w:r w:rsidRPr="00657732">
        <w:rPr>
          <w:rFonts w:ascii="Arial Narrow" w:hAnsi="Arial Narrow"/>
          <w:snapToGrid/>
          <w:sz w:val="18"/>
          <w:szCs w:val="22"/>
          <w:lang w:eastAsia="en-AU"/>
        </w:rPr>
        <w:t>;369</w:t>
      </w:r>
      <w:proofErr w:type="gramEnd"/>
      <w:r w:rsidRPr="00657732">
        <w:rPr>
          <w:rFonts w:ascii="Arial Narrow" w:hAnsi="Arial Narrow"/>
          <w:snapToGrid/>
          <w:sz w:val="18"/>
          <w:szCs w:val="22"/>
          <w:lang w:eastAsia="en-AU"/>
        </w:rPr>
        <w:t>(8):722-31.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B4" w:rsidRDefault="002518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B4" w:rsidRPr="00EF3C6A" w:rsidRDefault="002518B4" w:rsidP="00EF3C6A">
    <w:pPr>
      <w:widowControl/>
      <w:tabs>
        <w:tab w:val="center" w:pos="4153"/>
        <w:tab w:val="right" w:pos="8306"/>
      </w:tabs>
      <w:spacing w:after="120"/>
      <w:ind w:left="360"/>
      <w:jc w:val="center"/>
      <w:rPr>
        <w:rFonts w:asciiTheme="minorHAnsi" w:hAnsiTheme="minorHAnsi"/>
        <w:i/>
        <w:snapToGrid/>
        <w:color w:val="808080"/>
        <w:sz w:val="22"/>
        <w:szCs w:val="24"/>
      </w:rPr>
    </w:pPr>
    <w:r>
      <w:rPr>
        <w:rFonts w:asciiTheme="minorHAnsi" w:hAnsiTheme="minorHAnsi"/>
        <w:i/>
        <w:snapToGrid/>
        <w:color w:val="808080"/>
        <w:sz w:val="22"/>
        <w:szCs w:val="24"/>
      </w:rPr>
      <w:t>Public Summary Document</w:t>
    </w:r>
    <w:r w:rsidRPr="00EF3C6A">
      <w:rPr>
        <w:rFonts w:asciiTheme="minorHAnsi" w:hAnsiTheme="minorHAnsi"/>
        <w:i/>
        <w:snapToGrid/>
        <w:color w:val="808080"/>
        <w:sz w:val="22"/>
        <w:szCs w:val="24"/>
      </w:rPr>
      <w:t>– July</w:t>
    </w:r>
    <w:r>
      <w:rPr>
        <w:rFonts w:asciiTheme="minorHAnsi" w:hAnsiTheme="minorHAnsi"/>
        <w:i/>
        <w:snapToGrid/>
        <w:color w:val="808080"/>
        <w:sz w:val="22"/>
        <w:szCs w:val="24"/>
      </w:rPr>
      <w:t xml:space="preserve"> 2018</w:t>
    </w:r>
    <w:r w:rsidRPr="00EF3C6A">
      <w:rPr>
        <w:rFonts w:asciiTheme="minorHAnsi" w:hAnsiTheme="minorHAnsi"/>
        <w:i/>
        <w:snapToGrid/>
        <w:color w:val="808080"/>
        <w:sz w:val="22"/>
        <w:szCs w:val="24"/>
      </w:rPr>
      <w:t xml:space="preserve"> PBAC Meeting</w:t>
    </w:r>
  </w:p>
  <w:p w:rsidR="002518B4" w:rsidRPr="008C7ECB" w:rsidRDefault="002518B4" w:rsidP="00EF3C6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18B4" w:rsidRDefault="0025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D24B55"/>
    <w:multiLevelType w:val="hybridMultilevel"/>
    <w:tmpl w:val="6CA09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F5CA3"/>
    <w:multiLevelType w:val="hybridMultilevel"/>
    <w:tmpl w:val="19F4E5C6"/>
    <w:lvl w:ilvl="0" w:tplc="003A11CC">
      <w:start w:val="21"/>
      <w:numFmt w:val="bullet"/>
      <w:lvlText w:val="-"/>
      <w:lvlJc w:val="left"/>
      <w:pPr>
        <w:ind w:left="644" w:hanging="360"/>
      </w:pPr>
      <w:rPr>
        <w:rFonts w:ascii="Arial Narrow" w:eastAsia="Times New Roman" w:hAnsi="Arial Narrow"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172E4"/>
    <w:multiLevelType w:val="hybridMultilevel"/>
    <w:tmpl w:val="A7AAD4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9C4ACE"/>
    <w:multiLevelType w:val="hybridMultilevel"/>
    <w:tmpl w:val="107EF6DE"/>
    <w:lvl w:ilvl="0" w:tplc="0C090001">
      <w:start w:val="1"/>
      <w:numFmt w:val="bullet"/>
      <w:pStyle w:val="ListBullet3"/>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B7C34E2"/>
    <w:multiLevelType w:val="hybridMultilevel"/>
    <w:tmpl w:val="DCB8F764"/>
    <w:lvl w:ilvl="0" w:tplc="0C090001">
      <w:start w:val="1"/>
      <w:numFmt w:val="bullet"/>
      <w:lvlText w:val=""/>
      <w:lvlJc w:val="left"/>
      <w:pPr>
        <w:ind w:left="720" w:hanging="360"/>
      </w:pPr>
      <w:rPr>
        <w:rFonts w:ascii="Symbol" w:hAnsi="Symbol" w:hint="default"/>
      </w:rPr>
    </w:lvl>
    <w:lvl w:ilvl="1" w:tplc="44E808F0">
      <w:numFmt w:val="bullet"/>
      <w:lvlText w:val="•"/>
      <w:lvlJc w:val="left"/>
      <w:pPr>
        <w:ind w:left="1800" w:hanging="720"/>
      </w:pPr>
      <w:rPr>
        <w:rFonts w:ascii="Calibri" w:eastAsia="Times New Roman" w:hAnsi="Calibri"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4442297"/>
    <w:multiLevelType w:val="hybridMultilevel"/>
    <w:tmpl w:val="B07AE692"/>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CD2D05"/>
    <w:multiLevelType w:val="hybridMultilevel"/>
    <w:tmpl w:val="8CB09EB8"/>
    <w:lvl w:ilvl="0" w:tplc="0C090001">
      <w:start w:val="1"/>
      <w:numFmt w:val="bullet"/>
      <w:lvlText w:val=""/>
      <w:lvlJc w:val="left"/>
      <w:pPr>
        <w:ind w:left="797" w:hanging="360"/>
      </w:pPr>
      <w:rPr>
        <w:rFonts w:ascii="Symbol" w:hAnsi="Symbol" w:hint="default"/>
      </w:rPr>
    </w:lvl>
    <w:lvl w:ilvl="1" w:tplc="0C090003" w:tentative="1">
      <w:start w:val="1"/>
      <w:numFmt w:val="bullet"/>
      <w:lvlText w:val="o"/>
      <w:lvlJc w:val="left"/>
      <w:pPr>
        <w:ind w:left="1517" w:hanging="360"/>
      </w:pPr>
      <w:rPr>
        <w:rFonts w:ascii="Courier New" w:hAnsi="Courier New" w:cs="Courier New" w:hint="default"/>
      </w:rPr>
    </w:lvl>
    <w:lvl w:ilvl="2" w:tplc="0C090005" w:tentative="1">
      <w:start w:val="1"/>
      <w:numFmt w:val="bullet"/>
      <w:lvlText w:val=""/>
      <w:lvlJc w:val="left"/>
      <w:pPr>
        <w:ind w:left="2237" w:hanging="360"/>
      </w:pPr>
      <w:rPr>
        <w:rFonts w:ascii="Wingdings" w:hAnsi="Wingdings" w:hint="default"/>
      </w:rPr>
    </w:lvl>
    <w:lvl w:ilvl="3" w:tplc="0C090001" w:tentative="1">
      <w:start w:val="1"/>
      <w:numFmt w:val="bullet"/>
      <w:lvlText w:val=""/>
      <w:lvlJc w:val="left"/>
      <w:pPr>
        <w:ind w:left="2957" w:hanging="360"/>
      </w:pPr>
      <w:rPr>
        <w:rFonts w:ascii="Symbol" w:hAnsi="Symbol" w:hint="default"/>
      </w:rPr>
    </w:lvl>
    <w:lvl w:ilvl="4" w:tplc="0C090003" w:tentative="1">
      <w:start w:val="1"/>
      <w:numFmt w:val="bullet"/>
      <w:lvlText w:val="o"/>
      <w:lvlJc w:val="left"/>
      <w:pPr>
        <w:ind w:left="3677" w:hanging="360"/>
      </w:pPr>
      <w:rPr>
        <w:rFonts w:ascii="Courier New" w:hAnsi="Courier New" w:cs="Courier New" w:hint="default"/>
      </w:rPr>
    </w:lvl>
    <w:lvl w:ilvl="5" w:tplc="0C090005" w:tentative="1">
      <w:start w:val="1"/>
      <w:numFmt w:val="bullet"/>
      <w:lvlText w:val=""/>
      <w:lvlJc w:val="left"/>
      <w:pPr>
        <w:ind w:left="4397" w:hanging="360"/>
      </w:pPr>
      <w:rPr>
        <w:rFonts w:ascii="Wingdings" w:hAnsi="Wingdings" w:hint="default"/>
      </w:rPr>
    </w:lvl>
    <w:lvl w:ilvl="6" w:tplc="0C090001" w:tentative="1">
      <w:start w:val="1"/>
      <w:numFmt w:val="bullet"/>
      <w:lvlText w:val=""/>
      <w:lvlJc w:val="left"/>
      <w:pPr>
        <w:ind w:left="5117" w:hanging="360"/>
      </w:pPr>
      <w:rPr>
        <w:rFonts w:ascii="Symbol" w:hAnsi="Symbol" w:hint="default"/>
      </w:rPr>
    </w:lvl>
    <w:lvl w:ilvl="7" w:tplc="0C090003" w:tentative="1">
      <w:start w:val="1"/>
      <w:numFmt w:val="bullet"/>
      <w:lvlText w:val="o"/>
      <w:lvlJc w:val="left"/>
      <w:pPr>
        <w:ind w:left="5837" w:hanging="360"/>
      </w:pPr>
      <w:rPr>
        <w:rFonts w:ascii="Courier New" w:hAnsi="Courier New" w:cs="Courier New" w:hint="default"/>
      </w:rPr>
    </w:lvl>
    <w:lvl w:ilvl="8" w:tplc="0C090005" w:tentative="1">
      <w:start w:val="1"/>
      <w:numFmt w:val="bullet"/>
      <w:lvlText w:val=""/>
      <w:lvlJc w:val="left"/>
      <w:pPr>
        <w:ind w:left="6557" w:hanging="360"/>
      </w:pPr>
      <w:rPr>
        <w:rFonts w:ascii="Wingdings" w:hAnsi="Wingdings" w:hint="default"/>
      </w:rPr>
    </w:lvl>
  </w:abstractNum>
  <w:abstractNum w:abstractNumId="13" w15:restartNumberingAfterBreak="0">
    <w:nsid w:val="6F0A26A7"/>
    <w:multiLevelType w:val="hybridMultilevel"/>
    <w:tmpl w:val="820A56BA"/>
    <w:lvl w:ilvl="0" w:tplc="306AAB26">
      <w:start w:val="48"/>
      <w:numFmt w:val="bullet"/>
      <w:lvlText w:val="-"/>
      <w:lvlJc w:val="left"/>
      <w:pPr>
        <w:ind w:left="632" w:hanging="360"/>
      </w:pPr>
      <w:rPr>
        <w:rFonts w:ascii="Arial Narrow" w:eastAsia="Times New Roman" w:hAnsi="Arial Narrow" w:cs="Times New Roman" w:hint="default"/>
      </w:rPr>
    </w:lvl>
    <w:lvl w:ilvl="1" w:tplc="0C090003">
      <w:start w:val="1"/>
      <w:numFmt w:val="bullet"/>
      <w:lvlText w:val="o"/>
      <w:lvlJc w:val="left"/>
      <w:pPr>
        <w:ind w:left="1352" w:hanging="360"/>
      </w:pPr>
      <w:rPr>
        <w:rFonts w:ascii="Courier New" w:hAnsi="Courier New" w:cs="Courier New" w:hint="default"/>
      </w:rPr>
    </w:lvl>
    <w:lvl w:ilvl="2" w:tplc="0C090005" w:tentative="1">
      <w:start w:val="1"/>
      <w:numFmt w:val="bullet"/>
      <w:lvlText w:val=""/>
      <w:lvlJc w:val="left"/>
      <w:pPr>
        <w:ind w:left="2072" w:hanging="360"/>
      </w:pPr>
      <w:rPr>
        <w:rFonts w:ascii="Wingdings" w:hAnsi="Wingdings" w:hint="default"/>
      </w:rPr>
    </w:lvl>
    <w:lvl w:ilvl="3" w:tplc="0C090001" w:tentative="1">
      <w:start w:val="1"/>
      <w:numFmt w:val="bullet"/>
      <w:lvlText w:val=""/>
      <w:lvlJc w:val="left"/>
      <w:pPr>
        <w:ind w:left="2792" w:hanging="360"/>
      </w:pPr>
      <w:rPr>
        <w:rFonts w:ascii="Symbol" w:hAnsi="Symbol" w:hint="default"/>
      </w:rPr>
    </w:lvl>
    <w:lvl w:ilvl="4" w:tplc="0C090003" w:tentative="1">
      <w:start w:val="1"/>
      <w:numFmt w:val="bullet"/>
      <w:lvlText w:val="o"/>
      <w:lvlJc w:val="left"/>
      <w:pPr>
        <w:ind w:left="3512" w:hanging="360"/>
      </w:pPr>
      <w:rPr>
        <w:rFonts w:ascii="Courier New" w:hAnsi="Courier New" w:cs="Courier New" w:hint="default"/>
      </w:rPr>
    </w:lvl>
    <w:lvl w:ilvl="5" w:tplc="0C090005" w:tentative="1">
      <w:start w:val="1"/>
      <w:numFmt w:val="bullet"/>
      <w:lvlText w:val=""/>
      <w:lvlJc w:val="left"/>
      <w:pPr>
        <w:ind w:left="4232" w:hanging="360"/>
      </w:pPr>
      <w:rPr>
        <w:rFonts w:ascii="Wingdings" w:hAnsi="Wingdings" w:hint="default"/>
      </w:rPr>
    </w:lvl>
    <w:lvl w:ilvl="6" w:tplc="0C090001" w:tentative="1">
      <w:start w:val="1"/>
      <w:numFmt w:val="bullet"/>
      <w:lvlText w:val=""/>
      <w:lvlJc w:val="left"/>
      <w:pPr>
        <w:ind w:left="4952" w:hanging="360"/>
      </w:pPr>
      <w:rPr>
        <w:rFonts w:ascii="Symbol" w:hAnsi="Symbol" w:hint="default"/>
      </w:rPr>
    </w:lvl>
    <w:lvl w:ilvl="7" w:tplc="0C090003" w:tentative="1">
      <w:start w:val="1"/>
      <w:numFmt w:val="bullet"/>
      <w:lvlText w:val="o"/>
      <w:lvlJc w:val="left"/>
      <w:pPr>
        <w:ind w:left="5672" w:hanging="360"/>
      </w:pPr>
      <w:rPr>
        <w:rFonts w:ascii="Courier New" w:hAnsi="Courier New" w:cs="Courier New" w:hint="default"/>
      </w:rPr>
    </w:lvl>
    <w:lvl w:ilvl="8" w:tplc="0C090005" w:tentative="1">
      <w:start w:val="1"/>
      <w:numFmt w:val="bullet"/>
      <w:lvlText w:val=""/>
      <w:lvlJc w:val="left"/>
      <w:pPr>
        <w:ind w:left="6392" w:hanging="360"/>
      </w:pPr>
      <w:rPr>
        <w:rFonts w:ascii="Wingdings" w:hAnsi="Wingdings" w:hint="default"/>
      </w:rPr>
    </w:lvl>
  </w:abstractNum>
  <w:abstractNum w:abstractNumId="14" w15:restartNumberingAfterBreak="0">
    <w:nsid w:val="784D033C"/>
    <w:multiLevelType w:val="multilevel"/>
    <w:tmpl w:val="D51AEA8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
  </w:num>
  <w:num w:numId="3">
    <w:abstractNumId w:val="14"/>
  </w:num>
  <w:num w:numId="4">
    <w:abstractNumId w:val="9"/>
  </w:num>
  <w:num w:numId="5">
    <w:abstractNumId w:val="12"/>
  </w:num>
  <w:num w:numId="6">
    <w:abstractNumId w:val="1"/>
  </w:num>
  <w:num w:numId="7">
    <w:abstractNumId w:val="13"/>
  </w:num>
  <w:num w:numId="8">
    <w:abstractNumId w:val="3"/>
  </w:num>
  <w:num w:numId="9">
    <w:abstractNumId w:val="5"/>
  </w:num>
  <w:num w:numId="10">
    <w:abstractNumId w:val="10"/>
  </w:num>
  <w:num w:numId="11">
    <w:abstractNumId w:val="11"/>
  </w:num>
  <w:num w:numId="12">
    <w:abstractNumId w:val="4"/>
  </w:num>
  <w:num w:numId="13">
    <w:abstractNumId w:val="0"/>
  </w:num>
  <w:num w:numId="14">
    <w:abstractNumId w:val="7"/>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NotTrackFormatting/>
  <w:defaultTabStop w:val="720"/>
  <w:characterSpacingControl w:val="doNotCompress"/>
  <w:hdrShapeDefaults>
    <o:shapedefaults v:ext="edit" spidmax="4097"/>
  </w:hdrShapeDefaults>
  <w:footnotePr>
    <w:pos w:val="beneathText"/>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F23EA26-A126-484C-B80B-C4104396A79D}"/>
    <w:docVar w:name="dgnword-eventsink" w:val="416531464"/>
    <w:docVar w:name="EN.Layout" w:val="&lt;ENLayout&gt;&lt;Style&gt;Vancouver Leesa&lt;/Style&gt;&lt;LeftDelim&gt;{&lt;/LeftDelim&gt;&lt;RightDelim&gt;}&lt;/RightDelim&gt;&lt;FontName&gt;Arial Narrow&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x5st5esu0r9ptevdw6xsda95rewv25xe2pw&quot;&gt;My EndNote Library&lt;record-ids&gt;&lt;item&gt;1&lt;/item&gt;&lt;item&gt;2&lt;/item&gt;&lt;item&gt;4&lt;/item&gt;&lt;item&gt;5&lt;/item&gt;&lt;item&gt;6&lt;/item&gt;&lt;item&gt;7&lt;/item&gt;&lt;item&gt;8&lt;/item&gt;&lt;item&gt;9&lt;/item&gt;&lt;item&gt;10&lt;/item&gt;&lt;item&gt;12&lt;/item&gt;&lt;item&gt;13&lt;/item&gt;&lt;item&gt;14&lt;/item&gt;&lt;item&gt;18&lt;/item&gt;&lt;item&gt;20&lt;/item&gt;&lt;item&gt;21&lt;/item&gt;&lt;item&gt;22&lt;/item&gt;&lt;item&gt;23&lt;/item&gt;&lt;item&gt;25&lt;/item&gt;&lt;item&gt;31&lt;/item&gt;&lt;item&gt;32&lt;/item&gt;&lt;item&gt;33&lt;/item&gt;&lt;item&gt;34&lt;/item&gt;&lt;/record-ids&gt;&lt;/item&gt;&lt;/Libraries&gt;"/>
  </w:docVars>
  <w:rsids>
    <w:rsidRoot w:val="00E65E79"/>
    <w:rsid w:val="00000790"/>
    <w:rsid w:val="000010E3"/>
    <w:rsid w:val="0000110B"/>
    <w:rsid w:val="00001A82"/>
    <w:rsid w:val="00001B85"/>
    <w:rsid w:val="00002957"/>
    <w:rsid w:val="00002D12"/>
    <w:rsid w:val="0000348F"/>
    <w:rsid w:val="00003499"/>
    <w:rsid w:val="00003557"/>
    <w:rsid w:val="000039B7"/>
    <w:rsid w:val="00004209"/>
    <w:rsid w:val="0000429A"/>
    <w:rsid w:val="0000449F"/>
    <w:rsid w:val="00004B72"/>
    <w:rsid w:val="00004E29"/>
    <w:rsid w:val="00005C4C"/>
    <w:rsid w:val="0000601A"/>
    <w:rsid w:val="00006BA8"/>
    <w:rsid w:val="00006CE7"/>
    <w:rsid w:val="00006D99"/>
    <w:rsid w:val="000071C4"/>
    <w:rsid w:val="00007400"/>
    <w:rsid w:val="00007565"/>
    <w:rsid w:val="00007B7B"/>
    <w:rsid w:val="00007F85"/>
    <w:rsid w:val="00010AA7"/>
    <w:rsid w:val="00010E00"/>
    <w:rsid w:val="0001137E"/>
    <w:rsid w:val="00012C7C"/>
    <w:rsid w:val="00012C96"/>
    <w:rsid w:val="00012DB7"/>
    <w:rsid w:val="00012F3C"/>
    <w:rsid w:val="00013247"/>
    <w:rsid w:val="00013414"/>
    <w:rsid w:val="00013741"/>
    <w:rsid w:val="0001389C"/>
    <w:rsid w:val="00013C90"/>
    <w:rsid w:val="00013CB6"/>
    <w:rsid w:val="0001418A"/>
    <w:rsid w:val="000143C3"/>
    <w:rsid w:val="000144F3"/>
    <w:rsid w:val="0001471E"/>
    <w:rsid w:val="00014AEE"/>
    <w:rsid w:val="00014B73"/>
    <w:rsid w:val="00014D3A"/>
    <w:rsid w:val="00014E26"/>
    <w:rsid w:val="00014F27"/>
    <w:rsid w:val="000155F4"/>
    <w:rsid w:val="00015886"/>
    <w:rsid w:val="000162EF"/>
    <w:rsid w:val="0001635E"/>
    <w:rsid w:val="00016BE9"/>
    <w:rsid w:val="00017A3B"/>
    <w:rsid w:val="00017F2A"/>
    <w:rsid w:val="00017F8D"/>
    <w:rsid w:val="00017FAD"/>
    <w:rsid w:val="00017FB3"/>
    <w:rsid w:val="000200B3"/>
    <w:rsid w:val="000209B5"/>
    <w:rsid w:val="00021004"/>
    <w:rsid w:val="000217A4"/>
    <w:rsid w:val="00021803"/>
    <w:rsid w:val="00021899"/>
    <w:rsid w:val="00021DD7"/>
    <w:rsid w:val="0002225F"/>
    <w:rsid w:val="000227AE"/>
    <w:rsid w:val="000228BF"/>
    <w:rsid w:val="0002340C"/>
    <w:rsid w:val="00023763"/>
    <w:rsid w:val="0002397B"/>
    <w:rsid w:val="00023EF6"/>
    <w:rsid w:val="0002498D"/>
    <w:rsid w:val="00024A48"/>
    <w:rsid w:val="00024CBC"/>
    <w:rsid w:val="00025436"/>
    <w:rsid w:val="0002569D"/>
    <w:rsid w:val="000256A8"/>
    <w:rsid w:val="00025758"/>
    <w:rsid w:val="000259CF"/>
    <w:rsid w:val="00025B19"/>
    <w:rsid w:val="00025D64"/>
    <w:rsid w:val="00025E6D"/>
    <w:rsid w:val="00026512"/>
    <w:rsid w:val="00026DCF"/>
    <w:rsid w:val="00027208"/>
    <w:rsid w:val="00027F0E"/>
    <w:rsid w:val="00027F25"/>
    <w:rsid w:val="000308BB"/>
    <w:rsid w:val="00031926"/>
    <w:rsid w:val="00031A19"/>
    <w:rsid w:val="00031A39"/>
    <w:rsid w:val="00032326"/>
    <w:rsid w:val="00032BA6"/>
    <w:rsid w:val="000330C9"/>
    <w:rsid w:val="000335F2"/>
    <w:rsid w:val="000336B4"/>
    <w:rsid w:val="00033863"/>
    <w:rsid w:val="000341E0"/>
    <w:rsid w:val="000345E3"/>
    <w:rsid w:val="000347EA"/>
    <w:rsid w:val="00035B41"/>
    <w:rsid w:val="00035C04"/>
    <w:rsid w:val="00035DC0"/>
    <w:rsid w:val="000364B6"/>
    <w:rsid w:val="00036518"/>
    <w:rsid w:val="00036829"/>
    <w:rsid w:val="00037240"/>
    <w:rsid w:val="000377A7"/>
    <w:rsid w:val="00037BDB"/>
    <w:rsid w:val="00037C23"/>
    <w:rsid w:val="00037F7B"/>
    <w:rsid w:val="00040198"/>
    <w:rsid w:val="00040533"/>
    <w:rsid w:val="00040895"/>
    <w:rsid w:val="00041154"/>
    <w:rsid w:val="00041E8B"/>
    <w:rsid w:val="00042C64"/>
    <w:rsid w:val="00042DDC"/>
    <w:rsid w:val="0004329F"/>
    <w:rsid w:val="00043688"/>
    <w:rsid w:val="00043C18"/>
    <w:rsid w:val="00043C37"/>
    <w:rsid w:val="00043EEB"/>
    <w:rsid w:val="00043F26"/>
    <w:rsid w:val="000441D2"/>
    <w:rsid w:val="00044437"/>
    <w:rsid w:val="00044480"/>
    <w:rsid w:val="000447AB"/>
    <w:rsid w:val="00045017"/>
    <w:rsid w:val="00045203"/>
    <w:rsid w:val="00045412"/>
    <w:rsid w:val="00045A2B"/>
    <w:rsid w:val="00045A44"/>
    <w:rsid w:val="00045BF9"/>
    <w:rsid w:val="00046340"/>
    <w:rsid w:val="0004698F"/>
    <w:rsid w:val="00046F52"/>
    <w:rsid w:val="00046FC0"/>
    <w:rsid w:val="000472C3"/>
    <w:rsid w:val="00047FBE"/>
    <w:rsid w:val="00050DEA"/>
    <w:rsid w:val="000512F2"/>
    <w:rsid w:val="0005134A"/>
    <w:rsid w:val="00051637"/>
    <w:rsid w:val="00051830"/>
    <w:rsid w:val="00051948"/>
    <w:rsid w:val="00051D9D"/>
    <w:rsid w:val="000521C6"/>
    <w:rsid w:val="00052646"/>
    <w:rsid w:val="00052865"/>
    <w:rsid w:val="00052AF3"/>
    <w:rsid w:val="00052B1A"/>
    <w:rsid w:val="00052D94"/>
    <w:rsid w:val="0005306C"/>
    <w:rsid w:val="000538DA"/>
    <w:rsid w:val="000539D0"/>
    <w:rsid w:val="00053B17"/>
    <w:rsid w:val="00054022"/>
    <w:rsid w:val="00054311"/>
    <w:rsid w:val="00054604"/>
    <w:rsid w:val="00054621"/>
    <w:rsid w:val="000546D7"/>
    <w:rsid w:val="00054C70"/>
    <w:rsid w:val="00054D1F"/>
    <w:rsid w:val="00054DF5"/>
    <w:rsid w:val="00054EC6"/>
    <w:rsid w:val="00055801"/>
    <w:rsid w:val="00056037"/>
    <w:rsid w:val="000564A1"/>
    <w:rsid w:val="00056581"/>
    <w:rsid w:val="000567DF"/>
    <w:rsid w:val="00056965"/>
    <w:rsid w:val="000569E2"/>
    <w:rsid w:val="00056AB7"/>
    <w:rsid w:val="00056D46"/>
    <w:rsid w:val="00057880"/>
    <w:rsid w:val="00057DA6"/>
    <w:rsid w:val="00057E37"/>
    <w:rsid w:val="0006020B"/>
    <w:rsid w:val="00060A4D"/>
    <w:rsid w:val="0006115D"/>
    <w:rsid w:val="0006128E"/>
    <w:rsid w:val="00061BC3"/>
    <w:rsid w:val="00061C6D"/>
    <w:rsid w:val="00061D0A"/>
    <w:rsid w:val="00062F74"/>
    <w:rsid w:val="000634A3"/>
    <w:rsid w:val="00063611"/>
    <w:rsid w:val="000639AC"/>
    <w:rsid w:val="00063CB4"/>
    <w:rsid w:val="000640C0"/>
    <w:rsid w:val="00064690"/>
    <w:rsid w:val="00064880"/>
    <w:rsid w:val="00064B9E"/>
    <w:rsid w:val="00065369"/>
    <w:rsid w:val="0006564B"/>
    <w:rsid w:val="000658AE"/>
    <w:rsid w:val="0006598B"/>
    <w:rsid w:val="00065C90"/>
    <w:rsid w:val="00066360"/>
    <w:rsid w:val="000672DC"/>
    <w:rsid w:val="000677A1"/>
    <w:rsid w:val="00067A1C"/>
    <w:rsid w:val="00067AAB"/>
    <w:rsid w:val="00067AEC"/>
    <w:rsid w:val="00067B20"/>
    <w:rsid w:val="00070459"/>
    <w:rsid w:val="000709C8"/>
    <w:rsid w:val="00070C23"/>
    <w:rsid w:val="00071248"/>
    <w:rsid w:val="000717D0"/>
    <w:rsid w:val="00071A7E"/>
    <w:rsid w:val="00071CC3"/>
    <w:rsid w:val="000720B9"/>
    <w:rsid w:val="000721C4"/>
    <w:rsid w:val="00072391"/>
    <w:rsid w:val="000725BE"/>
    <w:rsid w:val="000730B0"/>
    <w:rsid w:val="0007313A"/>
    <w:rsid w:val="000737F7"/>
    <w:rsid w:val="0007394D"/>
    <w:rsid w:val="0007496F"/>
    <w:rsid w:val="00074C06"/>
    <w:rsid w:val="000753EF"/>
    <w:rsid w:val="0007662C"/>
    <w:rsid w:val="0007672F"/>
    <w:rsid w:val="000768E4"/>
    <w:rsid w:val="00076D83"/>
    <w:rsid w:val="0007747C"/>
    <w:rsid w:val="000774F0"/>
    <w:rsid w:val="00077503"/>
    <w:rsid w:val="00077684"/>
    <w:rsid w:val="00077A98"/>
    <w:rsid w:val="00077AE4"/>
    <w:rsid w:val="00077C98"/>
    <w:rsid w:val="000805F9"/>
    <w:rsid w:val="000808D7"/>
    <w:rsid w:val="00080909"/>
    <w:rsid w:val="000809CB"/>
    <w:rsid w:val="000812CA"/>
    <w:rsid w:val="0008137B"/>
    <w:rsid w:val="00081418"/>
    <w:rsid w:val="000814EF"/>
    <w:rsid w:val="0008196F"/>
    <w:rsid w:val="00081EEF"/>
    <w:rsid w:val="00081FE8"/>
    <w:rsid w:val="00082115"/>
    <w:rsid w:val="0008216A"/>
    <w:rsid w:val="00082377"/>
    <w:rsid w:val="00082486"/>
    <w:rsid w:val="0008258D"/>
    <w:rsid w:val="00082910"/>
    <w:rsid w:val="00082967"/>
    <w:rsid w:val="0008299A"/>
    <w:rsid w:val="00082F24"/>
    <w:rsid w:val="00083156"/>
    <w:rsid w:val="0008326B"/>
    <w:rsid w:val="0008381C"/>
    <w:rsid w:val="00083984"/>
    <w:rsid w:val="00083E1D"/>
    <w:rsid w:val="00083E99"/>
    <w:rsid w:val="00085263"/>
    <w:rsid w:val="000856C5"/>
    <w:rsid w:val="000859A1"/>
    <w:rsid w:val="00085A5A"/>
    <w:rsid w:val="00085C9A"/>
    <w:rsid w:val="00085CB5"/>
    <w:rsid w:val="00085FFB"/>
    <w:rsid w:val="000863CE"/>
    <w:rsid w:val="00086796"/>
    <w:rsid w:val="00087C39"/>
    <w:rsid w:val="00087DCC"/>
    <w:rsid w:val="00090B15"/>
    <w:rsid w:val="00090C7E"/>
    <w:rsid w:val="000918AB"/>
    <w:rsid w:val="0009193A"/>
    <w:rsid w:val="00091AC0"/>
    <w:rsid w:val="00091F74"/>
    <w:rsid w:val="00092600"/>
    <w:rsid w:val="0009262B"/>
    <w:rsid w:val="00093150"/>
    <w:rsid w:val="00093310"/>
    <w:rsid w:val="00093540"/>
    <w:rsid w:val="00093ACA"/>
    <w:rsid w:val="00093CB1"/>
    <w:rsid w:val="0009445C"/>
    <w:rsid w:val="00094D3A"/>
    <w:rsid w:val="00095077"/>
    <w:rsid w:val="00095456"/>
    <w:rsid w:val="0009553A"/>
    <w:rsid w:val="0009556B"/>
    <w:rsid w:val="000956F2"/>
    <w:rsid w:val="00095D1D"/>
    <w:rsid w:val="00095FE5"/>
    <w:rsid w:val="00096105"/>
    <w:rsid w:val="00096174"/>
    <w:rsid w:val="00096276"/>
    <w:rsid w:val="00096284"/>
    <w:rsid w:val="00096E09"/>
    <w:rsid w:val="00097039"/>
    <w:rsid w:val="000972BC"/>
    <w:rsid w:val="00097622"/>
    <w:rsid w:val="00097783"/>
    <w:rsid w:val="00097B7F"/>
    <w:rsid w:val="00097C4A"/>
    <w:rsid w:val="00097EA9"/>
    <w:rsid w:val="00097F66"/>
    <w:rsid w:val="000A008E"/>
    <w:rsid w:val="000A00DE"/>
    <w:rsid w:val="000A049F"/>
    <w:rsid w:val="000A04CA"/>
    <w:rsid w:val="000A0518"/>
    <w:rsid w:val="000A0607"/>
    <w:rsid w:val="000A0860"/>
    <w:rsid w:val="000A0B00"/>
    <w:rsid w:val="000A0BE3"/>
    <w:rsid w:val="000A139E"/>
    <w:rsid w:val="000A13AE"/>
    <w:rsid w:val="000A177C"/>
    <w:rsid w:val="000A1882"/>
    <w:rsid w:val="000A24E5"/>
    <w:rsid w:val="000A27C8"/>
    <w:rsid w:val="000A3172"/>
    <w:rsid w:val="000A3630"/>
    <w:rsid w:val="000A39AF"/>
    <w:rsid w:val="000A3C8E"/>
    <w:rsid w:val="000A3E35"/>
    <w:rsid w:val="000A3E36"/>
    <w:rsid w:val="000A3F7C"/>
    <w:rsid w:val="000A43B8"/>
    <w:rsid w:val="000A4598"/>
    <w:rsid w:val="000A4D25"/>
    <w:rsid w:val="000A51D8"/>
    <w:rsid w:val="000A54F6"/>
    <w:rsid w:val="000A59E6"/>
    <w:rsid w:val="000A5C83"/>
    <w:rsid w:val="000A5CB5"/>
    <w:rsid w:val="000A5EEA"/>
    <w:rsid w:val="000A605B"/>
    <w:rsid w:val="000A69D3"/>
    <w:rsid w:val="000A7863"/>
    <w:rsid w:val="000A7D08"/>
    <w:rsid w:val="000B026B"/>
    <w:rsid w:val="000B0670"/>
    <w:rsid w:val="000B06FE"/>
    <w:rsid w:val="000B0901"/>
    <w:rsid w:val="000B09D0"/>
    <w:rsid w:val="000B0E75"/>
    <w:rsid w:val="000B0FE6"/>
    <w:rsid w:val="000B139A"/>
    <w:rsid w:val="000B13BF"/>
    <w:rsid w:val="000B1665"/>
    <w:rsid w:val="000B1712"/>
    <w:rsid w:val="000B1825"/>
    <w:rsid w:val="000B1988"/>
    <w:rsid w:val="000B19CC"/>
    <w:rsid w:val="000B1E3A"/>
    <w:rsid w:val="000B2058"/>
    <w:rsid w:val="000B23F3"/>
    <w:rsid w:val="000B28A0"/>
    <w:rsid w:val="000B2919"/>
    <w:rsid w:val="000B2ED7"/>
    <w:rsid w:val="000B3042"/>
    <w:rsid w:val="000B31DE"/>
    <w:rsid w:val="000B3368"/>
    <w:rsid w:val="000B356A"/>
    <w:rsid w:val="000B3657"/>
    <w:rsid w:val="000B3710"/>
    <w:rsid w:val="000B4413"/>
    <w:rsid w:val="000B4A8E"/>
    <w:rsid w:val="000B4BFD"/>
    <w:rsid w:val="000B4F20"/>
    <w:rsid w:val="000B5299"/>
    <w:rsid w:val="000B5D31"/>
    <w:rsid w:val="000B688C"/>
    <w:rsid w:val="000B6AF8"/>
    <w:rsid w:val="000B6CAC"/>
    <w:rsid w:val="000B7612"/>
    <w:rsid w:val="000B769F"/>
    <w:rsid w:val="000B795A"/>
    <w:rsid w:val="000B799D"/>
    <w:rsid w:val="000B7ACC"/>
    <w:rsid w:val="000B7FC3"/>
    <w:rsid w:val="000C0789"/>
    <w:rsid w:val="000C0D45"/>
    <w:rsid w:val="000C0E51"/>
    <w:rsid w:val="000C0F73"/>
    <w:rsid w:val="000C12D8"/>
    <w:rsid w:val="000C145C"/>
    <w:rsid w:val="000C1478"/>
    <w:rsid w:val="000C1B4B"/>
    <w:rsid w:val="000C1E14"/>
    <w:rsid w:val="000C2C84"/>
    <w:rsid w:val="000C306E"/>
    <w:rsid w:val="000C3073"/>
    <w:rsid w:val="000C3DF9"/>
    <w:rsid w:val="000C4477"/>
    <w:rsid w:val="000C4609"/>
    <w:rsid w:val="000C523E"/>
    <w:rsid w:val="000C5780"/>
    <w:rsid w:val="000C582F"/>
    <w:rsid w:val="000C5DCA"/>
    <w:rsid w:val="000C5DD5"/>
    <w:rsid w:val="000C6636"/>
    <w:rsid w:val="000C6713"/>
    <w:rsid w:val="000C68AF"/>
    <w:rsid w:val="000C72D9"/>
    <w:rsid w:val="000C72F1"/>
    <w:rsid w:val="000C770C"/>
    <w:rsid w:val="000C789C"/>
    <w:rsid w:val="000D01C6"/>
    <w:rsid w:val="000D0464"/>
    <w:rsid w:val="000D069A"/>
    <w:rsid w:val="000D0C0F"/>
    <w:rsid w:val="000D0D2A"/>
    <w:rsid w:val="000D0D8B"/>
    <w:rsid w:val="000D10DF"/>
    <w:rsid w:val="000D160D"/>
    <w:rsid w:val="000D1843"/>
    <w:rsid w:val="000D1BFC"/>
    <w:rsid w:val="000D1CBE"/>
    <w:rsid w:val="000D1D1B"/>
    <w:rsid w:val="000D1DE6"/>
    <w:rsid w:val="000D22FE"/>
    <w:rsid w:val="000D281A"/>
    <w:rsid w:val="000D326A"/>
    <w:rsid w:val="000D32FB"/>
    <w:rsid w:val="000D3699"/>
    <w:rsid w:val="000D3F5C"/>
    <w:rsid w:val="000D400B"/>
    <w:rsid w:val="000D40C4"/>
    <w:rsid w:val="000D44EF"/>
    <w:rsid w:val="000D4C15"/>
    <w:rsid w:val="000D515F"/>
    <w:rsid w:val="000D51FB"/>
    <w:rsid w:val="000D5347"/>
    <w:rsid w:val="000D53B5"/>
    <w:rsid w:val="000D5799"/>
    <w:rsid w:val="000D5982"/>
    <w:rsid w:val="000D5A45"/>
    <w:rsid w:val="000D5ACB"/>
    <w:rsid w:val="000D5D18"/>
    <w:rsid w:val="000D6030"/>
    <w:rsid w:val="000D6452"/>
    <w:rsid w:val="000D6768"/>
    <w:rsid w:val="000D7487"/>
    <w:rsid w:val="000D775D"/>
    <w:rsid w:val="000D7977"/>
    <w:rsid w:val="000D7AA9"/>
    <w:rsid w:val="000D7ECF"/>
    <w:rsid w:val="000E0AAA"/>
    <w:rsid w:val="000E0C4A"/>
    <w:rsid w:val="000E1309"/>
    <w:rsid w:val="000E135D"/>
    <w:rsid w:val="000E14EE"/>
    <w:rsid w:val="000E16DF"/>
    <w:rsid w:val="000E1812"/>
    <w:rsid w:val="000E1C1C"/>
    <w:rsid w:val="000E1C72"/>
    <w:rsid w:val="000E24A5"/>
    <w:rsid w:val="000E2791"/>
    <w:rsid w:val="000E2B37"/>
    <w:rsid w:val="000E3227"/>
    <w:rsid w:val="000E356F"/>
    <w:rsid w:val="000E3E53"/>
    <w:rsid w:val="000E3F4D"/>
    <w:rsid w:val="000E4097"/>
    <w:rsid w:val="000E468E"/>
    <w:rsid w:val="000E50FA"/>
    <w:rsid w:val="000E510E"/>
    <w:rsid w:val="000E5F9C"/>
    <w:rsid w:val="000E67CC"/>
    <w:rsid w:val="000E6A6A"/>
    <w:rsid w:val="000E7034"/>
    <w:rsid w:val="000E743D"/>
    <w:rsid w:val="000F00BA"/>
    <w:rsid w:val="000F24AA"/>
    <w:rsid w:val="000F2918"/>
    <w:rsid w:val="000F306D"/>
    <w:rsid w:val="000F30ED"/>
    <w:rsid w:val="000F316A"/>
    <w:rsid w:val="000F34DD"/>
    <w:rsid w:val="000F3C14"/>
    <w:rsid w:val="000F3C74"/>
    <w:rsid w:val="000F47CC"/>
    <w:rsid w:val="000F4BB8"/>
    <w:rsid w:val="000F4E3B"/>
    <w:rsid w:val="000F55C3"/>
    <w:rsid w:val="000F58A4"/>
    <w:rsid w:val="000F664E"/>
    <w:rsid w:val="000F6982"/>
    <w:rsid w:val="000F707F"/>
    <w:rsid w:val="000F7127"/>
    <w:rsid w:val="000F7276"/>
    <w:rsid w:val="000F7853"/>
    <w:rsid w:val="000F79F1"/>
    <w:rsid w:val="000F7CFA"/>
    <w:rsid w:val="001008A9"/>
    <w:rsid w:val="00100F8A"/>
    <w:rsid w:val="00100FD9"/>
    <w:rsid w:val="001015E3"/>
    <w:rsid w:val="00101BE7"/>
    <w:rsid w:val="00101D36"/>
    <w:rsid w:val="00101E72"/>
    <w:rsid w:val="001020A7"/>
    <w:rsid w:val="00102505"/>
    <w:rsid w:val="001027EB"/>
    <w:rsid w:val="001031BF"/>
    <w:rsid w:val="00103754"/>
    <w:rsid w:val="001039AA"/>
    <w:rsid w:val="00103AD8"/>
    <w:rsid w:val="00103D7E"/>
    <w:rsid w:val="00103F8D"/>
    <w:rsid w:val="00104026"/>
    <w:rsid w:val="001040C8"/>
    <w:rsid w:val="00104BA8"/>
    <w:rsid w:val="00104C2E"/>
    <w:rsid w:val="00105AE2"/>
    <w:rsid w:val="001065EC"/>
    <w:rsid w:val="001068EC"/>
    <w:rsid w:val="00106B80"/>
    <w:rsid w:val="00107177"/>
    <w:rsid w:val="0010778C"/>
    <w:rsid w:val="001077C9"/>
    <w:rsid w:val="00107872"/>
    <w:rsid w:val="0011009A"/>
    <w:rsid w:val="0011032E"/>
    <w:rsid w:val="0011036C"/>
    <w:rsid w:val="00110B5E"/>
    <w:rsid w:val="00110CC6"/>
    <w:rsid w:val="00110F60"/>
    <w:rsid w:val="00111D9F"/>
    <w:rsid w:val="0011262E"/>
    <w:rsid w:val="0011348B"/>
    <w:rsid w:val="0011482B"/>
    <w:rsid w:val="00114FF5"/>
    <w:rsid w:val="001151EB"/>
    <w:rsid w:val="00115982"/>
    <w:rsid w:val="00115BE8"/>
    <w:rsid w:val="00116C53"/>
    <w:rsid w:val="0011704F"/>
    <w:rsid w:val="00117CF4"/>
    <w:rsid w:val="00117D24"/>
    <w:rsid w:val="00120480"/>
    <w:rsid w:val="00120849"/>
    <w:rsid w:val="001210B9"/>
    <w:rsid w:val="0012119D"/>
    <w:rsid w:val="001216E3"/>
    <w:rsid w:val="00121799"/>
    <w:rsid w:val="0012180F"/>
    <w:rsid w:val="00121DB2"/>
    <w:rsid w:val="0012218C"/>
    <w:rsid w:val="001222FC"/>
    <w:rsid w:val="00122453"/>
    <w:rsid w:val="00122EF8"/>
    <w:rsid w:val="00123243"/>
    <w:rsid w:val="001233D0"/>
    <w:rsid w:val="00123586"/>
    <w:rsid w:val="00123935"/>
    <w:rsid w:val="00123F4D"/>
    <w:rsid w:val="00123FD2"/>
    <w:rsid w:val="00124752"/>
    <w:rsid w:val="00124A51"/>
    <w:rsid w:val="00124C29"/>
    <w:rsid w:val="0012550B"/>
    <w:rsid w:val="00125814"/>
    <w:rsid w:val="001258EA"/>
    <w:rsid w:val="00125A26"/>
    <w:rsid w:val="00125CE7"/>
    <w:rsid w:val="001260FE"/>
    <w:rsid w:val="001262FF"/>
    <w:rsid w:val="00126621"/>
    <w:rsid w:val="001269F6"/>
    <w:rsid w:val="00127038"/>
    <w:rsid w:val="0012733D"/>
    <w:rsid w:val="00127A16"/>
    <w:rsid w:val="00127AB7"/>
    <w:rsid w:val="0013000A"/>
    <w:rsid w:val="00130071"/>
    <w:rsid w:val="001301E9"/>
    <w:rsid w:val="00130F95"/>
    <w:rsid w:val="0013132C"/>
    <w:rsid w:val="0013135B"/>
    <w:rsid w:val="0013176E"/>
    <w:rsid w:val="00131D82"/>
    <w:rsid w:val="00132F21"/>
    <w:rsid w:val="00132FF7"/>
    <w:rsid w:val="0013387B"/>
    <w:rsid w:val="00133920"/>
    <w:rsid w:val="00133D36"/>
    <w:rsid w:val="00133DC0"/>
    <w:rsid w:val="00133FFB"/>
    <w:rsid w:val="0013443C"/>
    <w:rsid w:val="00134630"/>
    <w:rsid w:val="001355DB"/>
    <w:rsid w:val="00135AE4"/>
    <w:rsid w:val="00135C15"/>
    <w:rsid w:val="001364EB"/>
    <w:rsid w:val="00136B30"/>
    <w:rsid w:val="00136C36"/>
    <w:rsid w:val="0013719B"/>
    <w:rsid w:val="00137645"/>
    <w:rsid w:val="0013777A"/>
    <w:rsid w:val="0014015A"/>
    <w:rsid w:val="001409AB"/>
    <w:rsid w:val="00140B6E"/>
    <w:rsid w:val="00140E99"/>
    <w:rsid w:val="00141769"/>
    <w:rsid w:val="00141B93"/>
    <w:rsid w:val="00141BC1"/>
    <w:rsid w:val="00141E15"/>
    <w:rsid w:val="0014240F"/>
    <w:rsid w:val="0014291A"/>
    <w:rsid w:val="00142B9E"/>
    <w:rsid w:val="0014316A"/>
    <w:rsid w:val="001436E1"/>
    <w:rsid w:val="00143771"/>
    <w:rsid w:val="00143BDF"/>
    <w:rsid w:val="00144152"/>
    <w:rsid w:val="0014454B"/>
    <w:rsid w:val="0014488F"/>
    <w:rsid w:val="001448A3"/>
    <w:rsid w:val="00144AB8"/>
    <w:rsid w:val="00144CD0"/>
    <w:rsid w:val="001450AA"/>
    <w:rsid w:val="00145286"/>
    <w:rsid w:val="00145540"/>
    <w:rsid w:val="001456B0"/>
    <w:rsid w:val="00145804"/>
    <w:rsid w:val="001461BA"/>
    <w:rsid w:val="00147650"/>
    <w:rsid w:val="00150619"/>
    <w:rsid w:val="00150843"/>
    <w:rsid w:val="00150A85"/>
    <w:rsid w:val="00150E3A"/>
    <w:rsid w:val="00151330"/>
    <w:rsid w:val="0015156F"/>
    <w:rsid w:val="00151E89"/>
    <w:rsid w:val="00151FD6"/>
    <w:rsid w:val="001523C1"/>
    <w:rsid w:val="001526D0"/>
    <w:rsid w:val="00152F04"/>
    <w:rsid w:val="0015343C"/>
    <w:rsid w:val="0015343F"/>
    <w:rsid w:val="00153480"/>
    <w:rsid w:val="00153BF7"/>
    <w:rsid w:val="001550DC"/>
    <w:rsid w:val="00155E3F"/>
    <w:rsid w:val="00156165"/>
    <w:rsid w:val="0015668F"/>
    <w:rsid w:val="001566A6"/>
    <w:rsid w:val="00157105"/>
    <w:rsid w:val="00157130"/>
    <w:rsid w:val="001576B1"/>
    <w:rsid w:val="00157AF7"/>
    <w:rsid w:val="00157C3E"/>
    <w:rsid w:val="0016046A"/>
    <w:rsid w:val="00160A3B"/>
    <w:rsid w:val="00160A4C"/>
    <w:rsid w:val="00160C0F"/>
    <w:rsid w:val="00160ED7"/>
    <w:rsid w:val="00161469"/>
    <w:rsid w:val="00161A76"/>
    <w:rsid w:val="0016277B"/>
    <w:rsid w:val="00162913"/>
    <w:rsid w:val="00162C1E"/>
    <w:rsid w:val="001630E8"/>
    <w:rsid w:val="001631AF"/>
    <w:rsid w:val="001633BF"/>
    <w:rsid w:val="00163EFF"/>
    <w:rsid w:val="0016400E"/>
    <w:rsid w:val="001648D0"/>
    <w:rsid w:val="00164C10"/>
    <w:rsid w:val="001650BB"/>
    <w:rsid w:val="00165F78"/>
    <w:rsid w:val="001661FB"/>
    <w:rsid w:val="00166550"/>
    <w:rsid w:val="0016773D"/>
    <w:rsid w:val="00167749"/>
    <w:rsid w:val="00167A1A"/>
    <w:rsid w:val="001700E7"/>
    <w:rsid w:val="0017015C"/>
    <w:rsid w:val="00171468"/>
    <w:rsid w:val="001715DD"/>
    <w:rsid w:val="00171A48"/>
    <w:rsid w:val="00172021"/>
    <w:rsid w:val="001727D1"/>
    <w:rsid w:val="00172823"/>
    <w:rsid w:val="00172D4E"/>
    <w:rsid w:val="00172FF4"/>
    <w:rsid w:val="001731A4"/>
    <w:rsid w:val="00173565"/>
    <w:rsid w:val="0017375A"/>
    <w:rsid w:val="00173833"/>
    <w:rsid w:val="001738AB"/>
    <w:rsid w:val="00173B07"/>
    <w:rsid w:val="00173C4B"/>
    <w:rsid w:val="00173C91"/>
    <w:rsid w:val="00173D9C"/>
    <w:rsid w:val="00173F7F"/>
    <w:rsid w:val="00174984"/>
    <w:rsid w:val="00175012"/>
    <w:rsid w:val="00175C3E"/>
    <w:rsid w:val="00175E52"/>
    <w:rsid w:val="00176236"/>
    <w:rsid w:val="0017646A"/>
    <w:rsid w:val="00176668"/>
    <w:rsid w:val="0017692C"/>
    <w:rsid w:val="001769AB"/>
    <w:rsid w:val="00177375"/>
    <w:rsid w:val="00177457"/>
    <w:rsid w:val="0018059C"/>
    <w:rsid w:val="00180950"/>
    <w:rsid w:val="00180A36"/>
    <w:rsid w:val="00180F15"/>
    <w:rsid w:val="0018115A"/>
    <w:rsid w:val="001816B8"/>
    <w:rsid w:val="00181AA3"/>
    <w:rsid w:val="00181B89"/>
    <w:rsid w:val="00181D9C"/>
    <w:rsid w:val="00181F60"/>
    <w:rsid w:val="001820F0"/>
    <w:rsid w:val="00182827"/>
    <w:rsid w:val="00183670"/>
    <w:rsid w:val="00183DD2"/>
    <w:rsid w:val="001841A4"/>
    <w:rsid w:val="0018421C"/>
    <w:rsid w:val="001843AD"/>
    <w:rsid w:val="00184ADD"/>
    <w:rsid w:val="00185053"/>
    <w:rsid w:val="001859F3"/>
    <w:rsid w:val="00185A06"/>
    <w:rsid w:val="00185EA4"/>
    <w:rsid w:val="001862D8"/>
    <w:rsid w:val="0018664B"/>
    <w:rsid w:val="001867D9"/>
    <w:rsid w:val="00186D95"/>
    <w:rsid w:val="0018723A"/>
    <w:rsid w:val="0018752F"/>
    <w:rsid w:val="00187CC0"/>
    <w:rsid w:val="001904D8"/>
    <w:rsid w:val="001905E1"/>
    <w:rsid w:val="00190AB9"/>
    <w:rsid w:val="00190D06"/>
    <w:rsid w:val="00190E12"/>
    <w:rsid w:val="0019135F"/>
    <w:rsid w:val="001920FC"/>
    <w:rsid w:val="001925C4"/>
    <w:rsid w:val="001927AC"/>
    <w:rsid w:val="00192F0C"/>
    <w:rsid w:val="0019312F"/>
    <w:rsid w:val="001937A2"/>
    <w:rsid w:val="00194326"/>
    <w:rsid w:val="001947B5"/>
    <w:rsid w:val="001949D0"/>
    <w:rsid w:val="00194C04"/>
    <w:rsid w:val="00194D3D"/>
    <w:rsid w:val="00194F5C"/>
    <w:rsid w:val="00195222"/>
    <w:rsid w:val="001955A7"/>
    <w:rsid w:val="00195707"/>
    <w:rsid w:val="00195904"/>
    <w:rsid w:val="00196B2C"/>
    <w:rsid w:val="00196D75"/>
    <w:rsid w:val="00196EE1"/>
    <w:rsid w:val="001975D8"/>
    <w:rsid w:val="00197763"/>
    <w:rsid w:val="001979EF"/>
    <w:rsid w:val="001A027D"/>
    <w:rsid w:val="001A02DE"/>
    <w:rsid w:val="001A08F9"/>
    <w:rsid w:val="001A0FF5"/>
    <w:rsid w:val="001A21D7"/>
    <w:rsid w:val="001A24DA"/>
    <w:rsid w:val="001A2657"/>
    <w:rsid w:val="001A2A98"/>
    <w:rsid w:val="001A320F"/>
    <w:rsid w:val="001A38C9"/>
    <w:rsid w:val="001A421F"/>
    <w:rsid w:val="001A4228"/>
    <w:rsid w:val="001A43FA"/>
    <w:rsid w:val="001A453A"/>
    <w:rsid w:val="001A4584"/>
    <w:rsid w:val="001A4C54"/>
    <w:rsid w:val="001A4F0D"/>
    <w:rsid w:val="001A59FB"/>
    <w:rsid w:val="001A5B4B"/>
    <w:rsid w:val="001A610B"/>
    <w:rsid w:val="001A6354"/>
    <w:rsid w:val="001A6C00"/>
    <w:rsid w:val="001A74C8"/>
    <w:rsid w:val="001A78EF"/>
    <w:rsid w:val="001A7AAE"/>
    <w:rsid w:val="001A7AE8"/>
    <w:rsid w:val="001B04FE"/>
    <w:rsid w:val="001B172B"/>
    <w:rsid w:val="001B1982"/>
    <w:rsid w:val="001B199A"/>
    <w:rsid w:val="001B1E85"/>
    <w:rsid w:val="001B1F7D"/>
    <w:rsid w:val="001B1FD7"/>
    <w:rsid w:val="001B204E"/>
    <w:rsid w:val="001B24B5"/>
    <w:rsid w:val="001B2C36"/>
    <w:rsid w:val="001B3199"/>
    <w:rsid w:val="001B3443"/>
    <w:rsid w:val="001B35B6"/>
    <w:rsid w:val="001B446C"/>
    <w:rsid w:val="001B4D20"/>
    <w:rsid w:val="001B5283"/>
    <w:rsid w:val="001B5570"/>
    <w:rsid w:val="001B5C0F"/>
    <w:rsid w:val="001B5FA9"/>
    <w:rsid w:val="001B656C"/>
    <w:rsid w:val="001B671E"/>
    <w:rsid w:val="001B68A4"/>
    <w:rsid w:val="001B69AF"/>
    <w:rsid w:val="001B6A58"/>
    <w:rsid w:val="001B6AEA"/>
    <w:rsid w:val="001B6C60"/>
    <w:rsid w:val="001B72AE"/>
    <w:rsid w:val="001B7475"/>
    <w:rsid w:val="001B78C4"/>
    <w:rsid w:val="001C08D2"/>
    <w:rsid w:val="001C0E45"/>
    <w:rsid w:val="001C2A38"/>
    <w:rsid w:val="001C2A46"/>
    <w:rsid w:val="001C2A9B"/>
    <w:rsid w:val="001C2BCD"/>
    <w:rsid w:val="001C2E2A"/>
    <w:rsid w:val="001C355E"/>
    <w:rsid w:val="001C3B1B"/>
    <w:rsid w:val="001C4299"/>
    <w:rsid w:val="001C45FF"/>
    <w:rsid w:val="001C4C4A"/>
    <w:rsid w:val="001C4E49"/>
    <w:rsid w:val="001C4E96"/>
    <w:rsid w:val="001C56F4"/>
    <w:rsid w:val="001C5B85"/>
    <w:rsid w:val="001C5F94"/>
    <w:rsid w:val="001C649B"/>
    <w:rsid w:val="001C68DE"/>
    <w:rsid w:val="001C69A5"/>
    <w:rsid w:val="001C6E66"/>
    <w:rsid w:val="001C6FAD"/>
    <w:rsid w:val="001C720C"/>
    <w:rsid w:val="001C729A"/>
    <w:rsid w:val="001C796E"/>
    <w:rsid w:val="001C7EA5"/>
    <w:rsid w:val="001D000E"/>
    <w:rsid w:val="001D052F"/>
    <w:rsid w:val="001D078D"/>
    <w:rsid w:val="001D0872"/>
    <w:rsid w:val="001D0B32"/>
    <w:rsid w:val="001D0CD9"/>
    <w:rsid w:val="001D0EDE"/>
    <w:rsid w:val="001D0F2B"/>
    <w:rsid w:val="001D1993"/>
    <w:rsid w:val="001D258A"/>
    <w:rsid w:val="001D29F9"/>
    <w:rsid w:val="001D3000"/>
    <w:rsid w:val="001D3196"/>
    <w:rsid w:val="001D32A0"/>
    <w:rsid w:val="001D3419"/>
    <w:rsid w:val="001D371F"/>
    <w:rsid w:val="001D48CC"/>
    <w:rsid w:val="001D52A1"/>
    <w:rsid w:val="001D6232"/>
    <w:rsid w:val="001D6909"/>
    <w:rsid w:val="001D6EB7"/>
    <w:rsid w:val="001D72F5"/>
    <w:rsid w:val="001D75C5"/>
    <w:rsid w:val="001E0677"/>
    <w:rsid w:val="001E11D9"/>
    <w:rsid w:val="001E168B"/>
    <w:rsid w:val="001E1B77"/>
    <w:rsid w:val="001E1EAB"/>
    <w:rsid w:val="001E1EE5"/>
    <w:rsid w:val="001E1FFE"/>
    <w:rsid w:val="001E238E"/>
    <w:rsid w:val="001E2483"/>
    <w:rsid w:val="001E2982"/>
    <w:rsid w:val="001E2B1E"/>
    <w:rsid w:val="001E2E53"/>
    <w:rsid w:val="001E2E6A"/>
    <w:rsid w:val="001E2EED"/>
    <w:rsid w:val="001E30D4"/>
    <w:rsid w:val="001E3ADC"/>
    <w:rsid w:val="001E3BD8"/>
    <w:rsid w:val="001E459F"/>
    <w:rsid w:val="001E4D62"/>
    <w:rsid w:val="001E52EB"/>
    <w:rsid w:val="001E5982"/>
    <w:rsid w:val="001E5DB7"/>
    <w:rsid w:val="001E5EFB"/>
    <w:rsid w:val="001E6126"/>
    <w:rsid w:val="001E61D2"/>
    <w:rsid w:val="001E627F"/>
    <w:rsid w:val="001E67B1"/>
    <w:rsid w:val="001E6A26"/>
    <w:rsid w:val="001E7121"/>
    <w:rsid w:val="001E7178"/>
    <w:rsid w:val="001E740C"/>
    <w:rsid w:val="001E7575"/>
    <w:rsid w:val="001E77A4"/>
    <w:rsid w:val="001F0057"/>
    <w:rsid w:val="001F0648"/>
    <w:rsid w:val="001F11C4"/>
    <w:rsid w:val="001F1235"/>
    <w:rsid w:val="001F1706"/>
    <w:rsid w:val="001F181B"/>
    <w:rsid w:val="001F195A"/>
    <w:rsid w:val="001F1CB3"/>
    <w:rsid w:val="001F1CEC"/>
    <w:rsid w:val="001F249E"/>
    <w:rsid w:val="001F294C"/>
    <w:rsid w:val="001F3248"/>
    <w:rsid w:val="001F32DE"/>
    <w:rsid w:val="001F38B5"/>
    <w:rsid w:val="001F39E6"/>
    <w:rsid w:val="001F3BC8"/>
    <w:rsid w:val="001F3FFE"/>
    <w:rsid w:val="001F40EA"/>
    <w:rsid w:val="001F4605"/>
    <w:rsid w:val="001F4940"/>
    <w:rsid w:val="001F4C06"/>
    <w:rsid w:val="001F4C52"/>
    <w:rsid w:val="001F5241"/>
    <w:rsid w:val="001F644B"/>
    <w:rsid w:val="001F6D3D"/>
    <w:rsid w:val="001F7361"/>
    <w:rsid w:val="001F7543"/>
    <w:rsid w:val="001F75AB"/>
    <w:rsid w:val="001F76B4"/>
    <w:rsid w:val="001F79F1"/>
    <w:rsid w:val="001F7D7E"/>
    <w:rsid w:val="00200840"/>
    <w:rsid w:val="00200A77"/>
    <w:rsid w:val="00200CD9"/>
    <w:rsid w:val="002011B0"/>
    <w:rsid w:val="00201640"/>
    <w:rsid w:val="0020199C"/>
    <w:rsid w:val="00202441"/>
    <w:rsid w:val="0020268E"/>
    <w:rsid w:val="002029FF"/>
    <w:rsid w:val="00202B36"/>
    <w:rsid w:val="00203181"/>
    <w:rsid w:val="00203623"/>
    <w:rsid w:val="00203650"/>
    <w:rsid w:val="00203652"/>
    <w:rsid w:val="00203783"/>
    <w:rsid w:val="0020385F"/>
    <w:rsid w:val="0020394C"/>
    <w:rsid w:val="00203A1B"/>
    <w:rsid w:val="002048BD"/>
    <w:rsid w:val="00204B0F"/>
    <w:rsid w:val="00204EFD"/>
    <w:rsid w:val="0020546C"/>
    <w:rsid w:val="002055F8"/>
    <w:rsid w:val="00205BD3"/>
    <w:rsid w:val="002062E9"/>
    <w:rsid w:val="002063C1"/>
    <w:rsid w:val="00206807"/>
    <w:rsid w:val="00206809"/>
    <w:rsid w:val="00206F75"/>
    <w:rsid w:val="00207021"/>
    <w:rsid w:val="0020732F"/>
    <w:rsid w:val="002075AF"/>
    <w:rsid w:val="00207946"/>
    <w:rsid w:val="00207B89"/>
    <w:rsid w:val="00207D00"/>
    <w:rsid w:val="0021001A"/>
    <w:rsid w:val="0021023A"/>
    <w:rsid w:val="0021034E"/>
    <w:rsid w:val="002105C1"/>
    <w:rsid w:val="00210A49"/>
    <w:rsid w:val="00210EB1"/>
    <w:rsid w:val="002111EF"/>
    <w:rsid w:val="002115BE"/>
    <w:rsid w:val="0021171A"/>
    <w:rsid w:val="0021379A"/>
    <w:rsid w:val="00213E99"/>
    <w:rsid w:val="0021424A"/>
    <w:rsid w:val="00214679"/>
    <w:rsid w:val="00214B5B"/>
    <w:rsid w:val="00214CC1"/>
    <w:rsid w:val="00214DE0"/>
    <w:rsid w:val="00214E6E"/>
    <w:rsid w:val="002150A7"/>
    <w:rsid w:val="00216364"/>
    <w:rsid w:val="00216647"/>
    <w:rsid w:val="00216F3D"/>
    <w:rsid w:val="002173F4"/>
    <w:rsid w:val="00220939"/>
    <w:rsid w:val="00220B38"/>
    <w:rsid w:val="00220B7B"/>
    <w:rsid w:val="00220E6D"/>
    <w:rsid w:val="00221BEB"/>
    <w:rsid w:val="00222353"/>
    <w:rsid w:val="00222A4F"/>
    <w:rsid w:val="00222A6F"/>
    <w:rsid w:val="0022366A"/>
    <w:rsid w:val="00223ADB"/>
    <w:rsid w:val="00223B49"/>
    <w:rsid w:val="00223BA7"/>
    <w:rsid w:val="00223D31"/>
    <w:rsid w:val="00224B16"/>
    <w:rsid w:val="00224DD4"/>
    <w:rsid w:val="00225082"/>
    <w:rsid w:val="00225579"/>
    <w:rsid w:val="00225671"/>
    <w:rsid w:val="002256C6"/>
    <w:rsid w:val="00225750"/>
    <w:rsid w:val="00225827"/>
    <w:rsid w:val="00225AFB"/>
    <w:rsid w:val="00226156"/>
    <w:rsid w:val="00226512"/>
    <w:rsid w:val="002265E9"/>
    <w:rsid w:val="00226C33"/>
    <w:rsid w:val="0022733D"/>
    <w:rsid w:val="00227AB5"/>
    <w:rsid w:val="00227C3B"/>
    <w:rsid w:val="00227FDB"/>
    <w:rsid w:val="002304EA"/>
    <w:rsid w:val="002309CC"/>
    <w:rsid w:val="00230C33"/>
    <w:rsid w:val="00230C8E"/>
    <w:rsid w:val="00231830"/>
    <w:rsid w:val="0023209F"/>
    <w:rsid w:val="0023284D"/>
    <w:rsid w:val="00232CC3"/>
    <w:rsid w:val="00232D43"/>
    <w:rsid w:val="00233200"/>
    <w:rsid w:val="00233216"/>
    <w:rsid w:val="002333C4"/>
    <w:rsid w:val="00233C12"/>
    <w:rsid w:val="002342A3"/>
    <w:rsid w:val="0023486D"/>
    <w:rsid w:val="00234E25"/>
    <w:rsid w:val="002353BD"/>
    <w:rsid w:val="00235925"/>
    <w:rsid w:val="00235F52"/>
    <w:rsid w:val="0023629D"/>
    <w:rsid w:val="002367DC"/>
    <w:rsid w:val="002368C7"/>
    <w:rsid w:val="00236B73"/>
    <w:rsid w:val="00236F60"/>
    <w:rsid w:val="00237255"/>
    <w:rsid w:val="00237302"/>
    <w:rsid w:val="00237804"/>
    <w:rsid w:val="00237F90"/>
    <w:rsid w:val="00240270"/>
    <w:rsid w:val="00240422"/>
    <w:rsid w:val="00240632"/>
    <w:rsid w:val="00240E6F"/>
    <w:rsid w:val="00241478"/>
    <w:rsid w:val="00242184"/>
    <w:rsid w:val="002424AF"/>
    <w:rsid w:val="00242D9A"/>
    <w:rsid w:val="00242DD6"/>
    <w:rsid w:val="00242F73"/>
    <w:rsid w:val="0024319E"/>
    <w:rsid w:val="002439DC"/>
    <w:rsid w:val="00243C2E"/>
    <w:rsid w:val="002440B6"/>
    <w:rsid w:val="002443AF"/>
    <w:rsid w:val="00244DC8"/>
    <w:rsid w:val="0024500F"/>
    <w:rsid w:val="002458BA"/>
    <w:rsid w:val="00245E00"/>
    <w:rsid w:val="0024636C"/>
    <w:rsid w:val="002464A8"/>
    <w:rsid w:val="0024678D"/>
    <w:rsid w:val="00246A28"/>
    <w:rsid w:val="00246A8C"/>
    <w:rsid w:val="00246BC1"/>
    <w:rsid w:val="002473E7"/>
    <w:rsid w:val="002475BD"/>
    <w:rsid w:val="00247925"/>
    <w:rsid w:val="00247A9D"/>
    <w:rsid w:val="00247D11"/>
    <w:rsid w:val="002500ED"/>
    <w:rsid w:val="00250530"/>
    <w:rsid w:val="00250BFB"/>
    <w:rsid w:val="002511A2"/>
    <w:rsid w:val="002515D8"/>
    <w:rsid w:val="002518B4"/>
    <w:rsid w:val="00251C1F"/>
    <w:rsid w:val="00252A47"/>
    <w:rsid w:val="00252EE2"/>
    <w:rsid w:val="0025358E"/>
    <w:rsid w:val="00253871"/>
    <w:rsid w:val="00253C3F"/>
    <w:rsid w:val="00253E91"/>
    <w:rsid w:val="00254626"/>
    <w:rsid w:val="002547BC"/>
    <w:rsid w:val="00254DCF"/>
    <w:rsid w:val="0025534B"/>
    <w:rsid w:val="00255432"/>
    <w:rsid w:val="00255BB7"/>
    <w:rsid w:val="00255FC4"/>
    <w:rsid w:val="0025628B"/>
    <w:rsid w:val="002563A5"/>
    <w:rsid w:val="002569AC"/>
    <w:rsid w:val="00256E83"/>
    <w:rsid w:val="00256E9B"/>
    <w:rsid w:val="0025713A"/>
    <w:rsid w:val="0025750D"/>
    <w:rsid w:val="00257541"/>
    <w:rsid w:val="00257A13"/>
    <w:rsid w:val="00257E24"/>
    <w:rsid w:val="00260D42"/>
    <w:rsid w:val="00261067"/>
    <w:rsid w:val="00261581"/>
    <w:rsid w:val="0026181D"/>
    <w:rsid w:val="00262183"/>
    <w:rsid w:val="002627A0"/>
    <w:rsid w:val="00262A1A"/>
    <w:rsid w:val="00262A62"/>
    <w:rsid w:val="00262A87"/>
    <w:rsid w:val="00262EEE"/>
    <w:rsid w:val="00263074"/>
    <w:rsid w:val="00263F3B"/>
    <w:rsid w:val="0026446B"/>
    <w:rsid w:val="00264A52"/>
    <w:rsid w:val="00264C5E"/>
    <w:rsid w:val="00264D26"/>
    <w:rsid w:val="00264ED1"/>
    <w:rsid w:val="0026592A"/>
    <w:rsid w:val="00265C35"/>
    <w:rsid w:val="00265ECC"/>
    <w:rsid w:val="00265F81"/>
    <w:rsid w:val="00266A54"/>
    <w:rsid w:val="00266E34"/>
    <w:rsid w:val="00267239"/>
    <w:rsid w:val="0026726C"/>
    <w:rsid w:val="00267642"/>
    <w:rsid w:val="00267AEA"/>
    <w:rsid w:val="00267BDA"/>
    <w:rsid w:val="002700E6"/>
    <w:rsid w:val="002716DE"/>
    <w:rsid w:val="00271731"/>
    <w:rsid w:val="002717A9"/>
    <w:rsid w:val="002717B3"/>
    <w:rsid w:val="00271ACA"/>
    <w:rsid w:val="00271BD5"/>
    <w:rsid w:val="00271DDF"/>
    <w:rsid w:val="002720B2"/>
    <w:rsid w:val="0027294B"/>
    <w:rsid w:val="0027294D"/>
    <w:rsid w:val="00272E27"/>
    <w:rsid w:val="002735F7"/>
    <w:rsid w:val="00273652"/>
    <w:rsid w:val="00273ADB"/>
    <w:rsid w:val="00273B9D"/>
    <w:rsid w:val="0027412A"/>
    <w:rsid w:val="002742E1"/>
    <w:rsid w:val="0027452F"/>
    <w:rsid w:val="002748DF"/>
    <w:rsid w:val="00274D39"/>
    <w:rsid w:val="00275370"/>
    <w:rsid w:val="002759DB"/>
    <w:rsid w:val="002759F0"/>
    <w:rsid w:val="00275C5A"/>
    <w:rsid w:val="00275E99"/>
    <w:rsid w:val="002761A4"/>
    <w:rsid w:val="002763A9"/>
    <w:rsid w:val="002768A3"/>
    <w:rsid w:val="00276B83"/>
    <w:rsid w:val="002773FD"/>
    <w:rsid w:val="00277708"/>
    <w:rsid w:val="00277BDA"/>
    <w:rsid w:val="0028064B"/>
    <w:rsid w:val="00280A4C"/>
    <w:rsid w:val="00280C75"/>
    <w:rsid w:val="00280FBB"/>
    <w:rsid w:val="00281014"/>
    <w:rsid w:val="00281104"/>
    <w:rsid w:val="0028114C"/>
    <w:rsid w:val="002818CC"/>
    <w:rsid w:val="00281E6D"/>
    <w:rsid w:val="00281FC0"/>
    <w:rsid w:val="00282009"/>
    <w:rsid w:val="0028281D"/>
    <w:rsid w:val="00282859"/>
    <w:rsid w:val="00282AFE"/>
    <w:rsid w:val="00282DF2"/>
    <w:rsid w:val="00282E9D"/>
    <w:rsid w:val="0028354D"/>
    <w:rsid w:val="00283BF7"/>
    <w:rsid w:val="00284AC2"/>
    <w:rsid w:val="00284D19"/>
    <w:rsid w:val="00285231"/>
    <w:rsid w:val="002854A0"/>
    <w:rsid w:val="0028564F"/>
    <w:rsid w:val="00285C98"/>
    <w:rsid w:val="00286143"/>
    <w:rsid w:val="002869C7"/>
    <w:rsid w:val="00287734"/>
    <w:rsid w:val="00287BBF"/>
    <w:rsid w:val="00287CB3"/>
    <w:rsid w:val="002906ED"/>
    <w:rsid w:val="0029099D"/>
    <w:rsid w:val="00290BC6"/>
    <w:rsid w:val="00290E4E"/>
    <w:rsid w:val="00290E94"/>
    <w:rsid w:val="00290F28"/>
    <w:rsid w:val="0029128F"/>
    <w:rsid w:val="00291CC8"/>
    <w:rsid w:val="002927BE"/>
    <w:rsid w:val="00292864"/>
    <w:rsid w:val="002929A7"/>
    <w:rsid w:val="00292BA3"/>
    <w:rsid w:val="00292D70"/>
    <w:rsid w:val="0029376B"/>
    <w:rsid w:val="00293859"/>
    <w:rsid w:val="00293CEF"/>
    <w:rsid w:val="002945EC"/>
    <w:rsid w:val="00295963"/>
    <w:rsid w:val="00295AEF"/>
    <w:rsid w:val="0029613F"/>
    <w:rsid w:val="00296580"/>
    <w:rsid w:val="002967BE"/>
    <w:rsid w:val="00296CD7"/>
    <w:rsid w:val="00296EDD"/>
    <w:rsid w:val="0029794B"/>
    <w:rsid w:val="002A04D6"/>
    <w:rsid w:val="002A07F2"/>
    <w:rsid w:val="002A083C"/>
    <w:rsid w:val="002A0BF7"/>
    <w:rsid w:val="002A0D95"/>
    <w:rsid w:val="002A11D2"/>
    <w:rsid w:val="002A14AB"/>
    <w:rsid w:val="002A1AA0"/>
    <w:rsid w:val="002A246E"/>
    <w:rsid w:val="002A24B7"/>
    <w:rsid w:val="002A2B18"/>
    <w:rsid w:val="002A2B19"/>
    <w:rsid w:val="002A2B59"/>
    <w:rsid w:val="002A2F50"/>
    <w:rsid w:val="002A3404"/>
    <w:rsid w:val="002A4B96"/>
    <w:rsid w:val="002A5200"/>
    <w:rsid w:val="002A547F"/>
    <w:rsid w:val="002A5A49"/>
    <w:rsid w:val="002A5E2C"/>
    <w:rsid w:val="002A5EE4"/>
    <w:rsid w:val="002A66C0"/>
    <w:rsid w:val="002A67BE"/>
    <w:rsid w:val="002A67DC"/>
    <w:rsid w:val="002A6833"/>
    <w:rsid w:val="002A70A0"/>
    <w:rsid w:val="002A7616"/>
    <w:rsid w:val="002B09A4"/>
    <w:rsid w:val="002B0DE9"/>
    <w:rsid w:val="002B1C1F"/>
    <w:rsid w:val="002B1CDA"/>
    <w:rsid w:val="002B1D5B"/>
    <w:rsid w:val="002B1E2E"/>
    <w:rsid w:val="002B21BA"/>
    <w:rsid w:val="002B2364"/>
    <w:rsid w:val="002B249D"/>
    <w:rsid w:val="002B2F36"/>
    <w:rsid w:val="002B3187"/>
    <w:rsid w:val="002B35CA"/>
    <w:rsid w:val="002B38A1"/>
    <w:rsid w:val="002B3ECD"/>
    <w:rsid w:val="002B41D3"/>
    <w:rsid w:val="002B42AA"/>
    <w:rsid w:val="002B432F"/>
    <w:rsid w:val="002B4757"/>
    <w:rsid w:val="002B4C39"/>
    <w:rsid w:val="002B54F3"/>
    <w:rsid w:val="002B581A"/>
    <w:rsid w:val="002B5B2D"/>
    <w:rsid w:val="002B5E67"/>
    <w:rsid w:val="002B60DE"/>
    <w:rsid w:val="002B62B3"/>
    <w:rsid w:val="002B6754"/>
    <w:rsid w:val="002B6BB4"/>
    <w:rsid w:val="002B6CCE"/>
    <w:rsid w:val="002B6CEC"/>
    <w:rsid w:val="002B70D0"/>
    <w:rsid w:val="002B7F7B"/>
    <w:rsid w:val="002C07D9"/>
    <w:rsid w:val="002C0DFC"/>
    <w:rsid w:val="002C14FF"/>
    <w:rsid w:val="002C1BEF"/>
    <w:rsid w:val="002C24B5"/>
    <w:rsid w:val="002C2502"/>
    <w:rsid w:val="002C2510"/>
    <w:rsid w:val="002C2717"/>
    <w:rsid w:val="002C2775"/>
    <w:rsid w:val="002C27C1"/>
    <w:rsid w:val="002C27DD"/>
    <w:rsid w:val="002C2CEF"/>
    <w:rsid w:val="002C3044"/>
    <w:rsid w:val="002C3582"/>
    <w:rsid w:val="002C4D7D"/>
    <w:rsid w:val="002C4E4F"/>
    <w:rsid w:val="002C5099"/>
    <w:rsid w:val="002C5545"/>
    <w:rsid w:val="002C5889"/>
    <w:rsid w:val="002C5D76"/>
    <w:rsid w:val="002C5E13"/>
    <w:rsid w:val="002C5E57"/>
    <w:rsid w:val="002C62A1"/>
    <w:rsid w:val="002C71CE"/>
    <w:rsid w:val="002D0D4F"/>
    <w:rsid w:val="002D0F1F"/>
    <w:rsid w:val="002D1052"/>
    <w:rsid w:val="002D186B"/>
    <w:rsid w:val="002D1956"/>
    <w:rsid w:val="002D2013"/>
    <w:rsid w:val="002D2037"/>
    <w:rsid w:val="002D20AE"/>
    <w:rsid w:val="002D217E"/>
    <w:rsid w:val="002D220D"/>
    <w:rsid w:val="002D227C"/>
    <w:rsid w:val="002D2483"/>
    <w:rsid w:val="002D3407"/>
    <w:rsid w:val="002D3FE7"/>
    <w:rsid w:val="002D4171"/>
    <w:rsid w:val="002D48CB"/>
    <w:rsid w:val="002D4E3E"/>
    <w:rsid w:val="002D4FD9"/>
    <w:rsid w:val="002D5062"/>
    <w:rsid w:val="002D53EF"/>
    <w:rsid w:val="002D577C"/>
    <w:rsid w:val="002D598E"/>
    <w:rsid w:val="002D5CF4"/>
    <w:rsid w:val="002D6D89"/>
    <w:rsid w:val="002D6F53"/>
    <w:rsid w:val="002D732E"/>
    <w:rsid w:val="002D7D3C"/>
    <w:rsid w:val="002D7DFE"/>
    <w:rsid w:val="002E0453"/>
    <w:rsid w:val="002E0539"/>
    <w:rsid w:val="002E09CF"/>
    <w:rsid w:val="002E09D6"/>
    <w:rsid w:val="002E1232"/>
    <w:rsid w:val="002E15B9"/>
    <w:rsid w:val="002E16D3"/>
    <w:rsid w:val="002E195F"/>
    <w:rsid w:val="002E1A72"/>
    <w:rsid w:val="002E1B46"/>
    <w:rsid w:val="002E2158"/>
    <w:rsid w:val="002E2664"/>
    <w:rsid w:val="002E2FE1"/>
    <w:rsid w:val="002E32C3"/>
    <w:rsid w:val="002E3D3A"/>
    <w:rsid w:val="002E45CF"/>
    <w:rsid w:val="002E46C4"/>
    <w:rsid w:val="002E46C8"/>
    <w:rsid w:val="002E49CA"/>
    <w:rsid w:val="002E4A79"/>
    <w:rsid w:val="002E5116"/>
    <w:rsid w:val="002E52C9"/>
    <w:rsid w:val="002E5405"/>
    <w:rsid w:val="002E55C2"/>
    <w:rsid w:val="002E5D1B"/>
    <w:rsid w:val="002E5D30"/>
    <w:rsid w:val="002E5E83"/>
    <w:rsid w:val="002E64E6"/>
    <w:rsid w:val="002E65B5"/>
    <w:rsid w:val="002E6659"/>
    <w:rsid w:val="002E6AE4"/>
    <w:rsid w:val="002E6C9B"/>
    <w:rsid w:val="002E7722"/>
    <w:rsid w:val="002E7E26"/>
    <w:rsid w:val="002F00E2"/>
    <w:rsid w:val="002F01CF"/>
    <w:rsid w:val="002F07BA"/>
    <w:rsid w:val="002F090B"/>
    <w:rsid w:val="002F09CD"/>
    <w:rsid w:val="002F0C2C"/>
    <w:rsid w:val="002F0C5F"/>
    <w:rsid w:val="002F0CEA"/>
    <w:rsid w:val="002F0DA9"/>
    <w:rsid w:val="002F0DDD"/>
    <w:rsid w:val="002F0FF9"/>
    <w:rsid w:val="002F1047"/>
    <w:rsid w:val="002F1359"/>
    <w:rsid w:val="002F1914"/>
    <w:rsid w:val="002F222F"/>
    <w:rsid w:val="002F226E"/>
    <w:rsid w:val="002F243D"/>
    <w:rsid w:val="002F2863"/>
    <w:rsid w:val="002F29FF"/>
    <w:rsid w:val="002F2EED"/>
    <w:rsid w:val="002F2FC1"/>
    <w:rsid w:val="002F30BF"/>
    <w:rsid w:val="002F32A2"/>
    <w:rsid w:val="002F37F0"/>
    <w:rsid w:val="002F386A"/>
    <w:rsid w:val="002F4013"/>
    <w:rsid w:val="002F422A"/>
    <w:rsid w:val="002F4F68"/>
    <w:rsid w:val="002F5D53"/>
    <w:rsid w:val="002F5D71"/>
    <w:rsid w:val="002F5F97"/>
    <w:rsid w:val="002F643C"/>
    <w:rsid w:val="002F68D6"/>
    <w:rsid w:val="002F6A53"/>
    <w:rsid w:val="002F6B66"/>
    <w:rsid w:val="002F71C0"/>
    <w:rsid w:val="002F7877"/>
    <w:rsid w:val="002F7BE1"/>
    <w:rsid w:val="002F7CD6"/>
    <w:rsid w:val="002F7D89"/>
    <w:rsid w:val="002F7D95"/>
    <w:rsid w:val="003005AC"/>
    <w:rsid w:val="00300F5D"/>
    <w:rsid w:val="00301017"/>
    <w:rsid w:val="00301081"/>
    <w:rsid w:val="003011AA"/>
    <w:rsid w:val="00301547"/>
    <w:rsid w:val="0030155F"/>
    <w:rsid w:val="003017BD"/>
    <w:rsid w:val="00302D10"/>
    <w:rsid w:val="00302E7E"/>
    <w:rsid w:val="003033F6"/>
    <w:rsid w:val="0030370C"/>
    <w:rsid w:val="00303B90"/>
    <w:rsid w:val="00303DDE"/>
    <w:rsid w:val="00303E46"/>
    <w:rsid w:val="003041F2"/>
    <w:rsid w:val="003042B8"/>
    <w:rsid w:val="00304619"/>
    <w:rsid w:val="003046D9"/>
    <w:rsid w:val="00305202"/>
    <w:rsid w:val="00305277"/>
    <w:rsid w:val="003055CC"/>
    <w:rsid w:val="0030587B"/>
    <w:rsid w:val="00305AA7"/>
    <w:rsid w:val="00305BF9"/>
    <w:rsid w:val="00306155"/>
    <w:rsid w:val="0030615E"/>
    <w:rsid w:val="00306D98"/>
    <w:rsid w:val="003071C9"/>
    <w:rsid w:val="00307229"/>
    <w:rsid w:val="00307306"/>
    <w:rsid w:val="00307520"/>
    <w:rsid w:val="00307860"/>
    <w:rsid w:val="0030786C"/>
    <w:rsid w:val="00307D2F"/>
    <w:rsid w:val="00310227"/>
    <w:rsid w:val="0031031A"/>
    <w:rsid w:val="003108FA"/>
    <w:rsid w:val="00310981"/>
    <w:rsid w:val="00311014"/>
    <w:rsid w:val="0031159D"/>
    <w:rsid w:val="00311B87"/>
    <w:rsid w:val="00312B88"/>
    <w:rsid w:val="00312BCE"/>
    <w:rsid w:val="003133DE"/>
    <w:rsid w:val="00313656"/>
    <w:rsid w:val="00313806"/>
    <w:rsid w:val="00313C72"/>
    <w:rsid w:val="00314622"/>
    <w:rsid w:val="00314C90"/>
    <w:rsid w:val="00315417"/>
    <w:rsid w:val="00315498"/>
    <w:rsid w:val="003155EE"/>
    <w:rsid w:val="003170A7"/>
    <w:rsid w:val="003175BE"/>
    <w:rsid w:val="0031780B"/>
    <w:rsid w:val="00320449"/>
    <w:rsid w:val="00320C2A"/>
    <w:rsid w:val="00320D70"/>
    <w:rsid w:val="00321063"/>
    <w:rsid w:val="003215FA"/>
    <w:rsid w:val="00321FAE"/>
    <w:rsid w:val="00322107"/>
    <w:rsid w:val="00322846"/>
    <w:rsid w:val="00322896"/>
    <w:rsid w:val="00322A56"/>
    <w:rsid w:val="00322E15"/>
    <w:rsid w:val="0032357B"/>
    <w:rsid w:val="003245E8"/>
    <w:rsid w:val="00324B35"/>
    <w:rsid w:val="00324CE4"/>
    <w:rsid w:val="00325255"/>
    <w:rsid w:val="00325278"/>
    <w:rsid w:val="003258AA"/>
    <w:rsid w:val="00325A68"/>
    <w:rsid w:val="00325C14"/>
    <w:rsid w:val="00326305"/>
    <w:rsid w:val="003264CB"/>
    <w:rsid w:val="00326591"/>
    <w:rsid w:val="00326CF0"/>
    <w:rsid w:val="00326DA7"/>
    <w:rsid w:val="00327051"/>
    <w:rsid w:val="003270E4"/>
    <w:rsid w:val="003275A2"/>
    <w:rsid w:val="00327888"/>
    <w:rsid w:val="0032790E"/>
    <w:rsid w:val="00327CDC"/>
    <w:rsid w:val="00327D69"/>
    <w:rsid w:val="003300BB"/>
    <w:rsid w:val="0033047D"/>
    <w:rsid w:val="00330EA5"/>
    <w:rsid w:val="00330F5C"/>
    <w:rsid w:val="003310D4"/>
    <w:rsid w:val="003319D0"/>
    <w:rsid w:val="00332876"/>
    <w:rsid w:val="00332E3D"/>
    <w:rsid w:val="00333EDD"/>
    <w:rsid w:val="0033481E"/>
    <w:rsid w:val="003349C7"/>
    <w:rsid w:val="00334E0A"/>
    <w:rsid w:val="0033508C"/>
    <w:rsid w:val="0033548C"/>
    <w:rsid w:val="0033581E"/>
    <w:rsid w:val="00335EA4"/>
    <w:rsid w:val="003366C9"/>
    <w:rsid w:val="00336AEA"/>
    <w:rsid w:val="003371B0"/>
    <w:rsid w:val="00340416"/>
    <w:rsid w:val="003404FA"/>
    <w:rsid w:val="00340917"/>
    <w:rsid w:val="00340DF1"/>
    <w:rsid w:val="00341798"/>
    <w:rsid w:val="00341890"/>
    <w:rsid w:val="00341FF5"/>
    <w:rsid w:val="00342172"/>
    <w:rsid w:val="0034264C"/>
    <w:rsid w:val="00342CA2"/>
    <w:rsid w:val="00342F8A"/>
    <w:rsid w:val="003434EE"/>
    <w:rsid w:val="003438F8"/>
    <w:rsid w:val="0034390B"/>
    <w:rsid w:val="00343A5D"/>
    <w:rsid w:val="0034464F"/>
    <w:rsid w:val="00344C7B"/>
    <w:rsid w:val="00344F53"/>
    <w:rsid w:val="00345283"/>
    <w:rsid w:val="00345BCD"/>
    <w:rsid w:val="003461D8"/>
    <w:rsid w:val="003465B6"/>
    <w:rsid w:val="003465CE"/>
    <w:rsid w:val="00346A43"/>
    <w:rsid w:val="00346A69"/>
    <w:rsid w:val="00346D15"/>
    <w:rsid w:val="003507AA"/>
    <w:rsid w:val="00350929"/>
    <w:rsid w:val="00350B75"/>
    <w:rsid w:val="00350EA8"/>
    <w:rsid w:val="003517F9"/>
    <w:rsid w:val="003519F3"/>
    <w:rsid w:val="00351E36"/>
    <w:rsid w:val="00352F93"/>
    <w:rsid w:val="003539FF"/>
    <w:rsid w:val="003540C3"/>
    <w:rsid w:val="0035453E"/>
    <w:rsid w:val="0035473A"/>
    <w:rsid w:val="0035511B"/>
    <w:rsid w:val="00355322"/>
    <w:rsid w:val="003554BB"/>
    <w:rsid w:val="0035584D"/>
    <w:rsid w:val="003558CB"/>
    <w:rsid w:val="0035620E"/>
    <w:rsid w:val="00356375"/>
    <w:rsid w:val="003564A4"/>
    <w:rsid w:val="003565EB"/>
    <w:rsid w:val="00356C2F"/>
    <w:rsid w:val="00356F71"/>
    <w:rsid w:val="00357259"/>
    <w:rsid w:val="003574F6"/>
    <w:rsid w:val="00357A44"/>
    <w:rsid w:val="0036016A"/>
    <w:rsid w:val="003605D0"/>
    <w:rsid w:val="0036087B"/>
    <w:rsid w:val="00360AD2"/>
    <w:rsid w:val="0036119A"/>
    <w:rsid w:val="003617CD"/>
    <w:rsid w:val="00361A29"/>
    <w:rsid w:val="0036207E"/>
    <w:rsid w:val="003624C4"/>
    <w:rsid w:val="00362727"/>
    <w:rsid w:val="00362731"/>
    <w:rsid w:val="0036299B"/>
    <w:rsid w:val="00362A40"/>
    <w:rsid w:val="00363A0E"/>
    <w:rsid w:val="00363DFA"/>
    <w:rsid w:val="00364177"/>
    <w:rsid w:val="00364473"/>
    <w:rsid w:val="00364609"/>
    <w:rsid w:val="003649AC"/>
    <w:rsid w:val="00364BCE"/>
    <w:rsid w:val="00364C18"/>
    <w:rsid w:val="00364D4A"/>
    <w:rsid w:val="00365223"/>
    <w:rsid w:val="003654AC"/>
    <w:rsid w:val="00366362"/>
    <w:rsid w:val="003667BC"/>
    <w:rsid w:val="003669E0"/>
    <w:rsid w:val="00366AF2"/>
    <w:rsid w:val="003670C5"/>
    <w:rsid w:val="00367358"/>
    <w:rsid w:val="00367495"/>
    <w:rsid w:val="00367D58"/>
    <w:rsid w:val="00367F8B"/>
    <w:rsid w:val="003707CC"/>
    <w:rsid w:val="0037086B"/>
    <w:rsid w:val="00370BE6"/>
    <w:rsid w:val="0037100A"/>
    <w:rsid w:val="0037108E"/>
    <w:rsid w:val="003710CF"/>
    <w:rsid w:val="00371B90"/>
    <w:rsid w:val="0037238F"/>
    <w:rsid w:val="00372416"/>
    <w:rsid w:val="003727AF"/>
    <w:rsid w:val="003729EA"/>
    <w:rsid w:val="0037358A"/>
    <w:rsid w:val="00373746"/>
    <w:rsid w:val="00373B12"/>
    <w:rsid w:val="0037418E"/>
    <w:rsid w:val="00374250"/>
    <w:rsid w:val="003746D6"/>
    <w:rsid w:val="0037493F"/>
    <w:rsid w:val="003750F6"/>
    <w:rsid w:val="00375F9A"/>
    <w:rsid w:val="00376028"/>
    <w:rsid w:val="003760FC"/>
    <w:rsid w:val="00376128"/>
    <w:rsid w:val="00376466"/>
    <w:rsid w:val="00376480"/>
    <w:rsid w:val="00376EBE"/>
    <w:rsid w:val="00377E57"/>
    <w:rsid w:val="00377F63"/>
    <w:rsid w:val="0038029F"/>
    <w:rsid w:val="00380A64"/>
    <w:rsid w:val="003814C2"/>
    <w:rsid w:val="00381529"/>
    <w:rsid w:val="00381582"/>
    <w:rsid w:val="003817F5"/>
    <w:rsid w:val="00381B73"/>
    <w:rsid w:val="00381DD6"/>
    <w:rsid w:val="00381EE6"/>
    <w:rsid w:val="003824AB"/>
    <w:rsid w:val="00382692"/>
    <w:rsid w:val="0038334E"/>
    <w:rsid w:val="00383651"/>
    <w:rsid w:val="0038365C"/>
    <w:rsid w:val="0038369B"/>
    <w:rsid w:val="00383A34"/>
    <w:rsid w:val="00383B78"/>
    <w:rsid w:val="00384127"/>
    <w:rsid w:val="00384145"/>
    <w:rsid w:val="003847FB"/>
    <w:rsid w:val="00384D3E"/>
    <w:rsid w:val="003850AB"/>
    <w:rsid w:val="003851E7"/>
    <w:rsid w:val="0038545C"/>
    <w:rsid w:val="00385A9D"/>
    <w:rsid w:val="00386609"/>
    <w:rsid w:val="0038676C"/>
    <w:rsid w:val="00386992"/>
    <w:rsid w:val="003870AF"/>
    <w:rsid w:val="0038774C"/>
    <w:rsid w:val="00390259"/>
    <w:rsid w:val="003902B1"/>
    <w:rsid w:val="0039063A"/>
    <w:rsid w:val="00390C4D"/>
    <w:rsid w:val="00391268"/>
    <w:rsid w:val="003915D0"/>
    <w:rsid w:val="00391F12"/>
    <w:rsid w:val="003924FB"/>
    <w:rsid w:val="003925EF"/>
    <w:rsid w:val="00392C6E"/>
    <w:rsid w:val="003931BB"/>
    <w:rsid w:val="003932E0"/>
    <w:rsid w:val="00393979"/>
    <w:rsid w:val="00393AC2"/>
    <w:rsid w:val="0039470C"/>
    <w:rsid w:val="00394873"/>
    <w:rsid w:val="00395064"/>
    <w:rsid w:val="00395659"/>
    <w:rsid w:val="00395663"/>
    <w:rsid w:val="00395FEA"/>
    <w:rsid w:val="00396018"/>
    <w:rsid w:val="003960A7"/>
    <w:rsid w:val="003961DC"/>
    <w:rsid w:val="00396896"/>
    <w:rsid w:val="00396D9D"/>
    <w:rsid w:val="00396EA2"/>
    <w:rsid w:val="00396FAA"/>
    <w:rsid w:val="00396FD0"/>
    <w:rsid w:val="00397F6A"/>
    <w:rsid w:val="00397F7A"/>
    <w:rsid w:val="003A009E"/>
    <w:rsid w:val="003A0AE8"/>
    <w:rsid w:val="003A1599"/>
    <w:rsid w:val="003A1A40"/>
    <w:rsid w:val="003A1A7A"/>
    <w:rsid w:val="003A1AB5"/>
    <w:rsid w:val="003A1D08"/>
    <w:rsid w:val="003A1D54"/>
    <w:rsid w:val="003A2392"/>
    <w:rsid w:val="003A262A"/>
    <w:rsid w:val="003A26C2"/>
    <w:rsid w:val="003A2831"/>
    <w:rsid w:val="003A2887"/>
    <w:rsid w:val="003A2A1E"/>
    <w:rsid w:val="003A2CA3"/>
    <w:rsid w:val="003A31A5"/>
    <w:rsid w:val="003A394A"/>
    <w:rsid w:val="003A3ED1"/>
    <w:rsid w:val="003A3F30"/>
    <w:rsid w:val="003A4D0F"/>
    <w:rsid w:val="003A4F0B"/>
    <w:rsid w:val="003A5253"/>
    <w:rsid w:val="003A5656"/>
    <w:rsid w:val="003A58F2"/>
    <w:rsid w:val="003A59E0"/>
    <w:rsid w:val="003A5BBC"/>
    <w:rsid w:val="003A5D19"/>
    <w:rsid w:val="003A6480"/>
    <w:rsid w:val="003A6C1E"/>
    <w:rsid w:val="003A721D"/>
    <w:rsid w:val="003A745B"/>
    <w:rsid w:val="003A7516"/>
    <w:rsid w:val="003A7A41"/>
    <w:rsid w:val="003A7B6D"/>
    <w:rsid w:val="003B09D8"/>
    <w:rsid w:val="003B0D7E"/>
    <w:rsid w:val="003B1069"/>
    <w:rsid w:val="003B1311"/>
    <w:rsid w:val="003B146A"/>
    <w:rsid w:val="003B1C00"/>
    <w:rsid w:val="003B1E0E"/>
    <w:rsid w:val="003B26CC"/>
    <w:rsid w:val="003B29B8"/>
    <w:rsid w:val="003B2F83"/>
    <w:rsid w:val="003B3088"/>
    <w:rsid w:val="003B31B5"/>
    <w:rsid w:val="003B3359"/>
    <w:rsid w:val="003B37A3"/>
    <w:rsid w:val="003B3B40"/>
    <w:rsid w:val="003B3FA6"/>
    <w:rsid w:val="003B4177"/>
    <w:rsid w:val="003B4190"/>
    <w:rsid w:val="003B4B3A"/>
    <w:rsid w:val="003B5202"/>
    <w:rsid w:val="003B587F"/>
    <w:rsid w:val="003B5B61"/>
    <w:rsid w:val="003B5FDE"/>
    <w:rsid w:val="003B6762"/>
    <w:rsid w:val="003B688C"/>
    <w:rsid w:val="003B6C08"/>
    <w:rsid w:val="003B6C9E"/>
    <w:rsid w:val="003B726E"/>
    <w:rsid w:val="003B752A"/>
    <w:rsid w:val="003B7D17"/>
    <w:rsid w:val="003B7F6B"/>
    <w:rsid w:val="003B7FD9"/>
    <w:rsid w:val="003C0D2C"/>
    <w:rsid w:val="003C0DF7"/>
    <w:rsid w:val="003C1164"/>
    <w:rsid w:val="003C1268"/>
    <w:rsid w:val="003C1654"/>
    <w:rsid w:val="003C171A"/>
    <w:rsid w:val="003C1776"/>
    <w:rsid w:val="003C1AE3"/>
    <w:rsid w:val="003C2A28"/>
    <w:rsid w:val="003C2F7B"/>
    <w:rsid w:val="003C3076"/>
    <w:rsid w:val="003C307C"/>
    <w:rsid w:val="003C3C75"/>
    <w:rsid w:val="003C3CAA"/>
    <w:rsid w:val="003C4A94"/>
    <w:rsid w:val="003C4AAF"/>
    <w:rsid w:val="003C58CC"/>
    <w:rsid w:val="003C5BC2"/>
    <w:rsid w:val="003C5CF5"/>
    <w:rsid w:val="003C5D9B"/>
    <w:rsid w:val="003C6385"/>
    <w:rsid w:val="003C646B"/>
    <w:rsid w:val="003C6940"/>
    <w:rsid w:val="003C6B35"/>
    <w:rsid w:val="003C6CDE"/>
    <w:rsid w:val="003C7339"/>
    <w:rsid w:val="003C76FD"/>
    <w:rsid w:val="003C771C"/>
    <w:rsid w:val="003C7794"/>
    <w:rsid w:val="003C7D19"/>
    <w:rsid w:val="003D01AE"/>
    <w:rsid w:val="003D01C8"/>
    <w:rsid w:val="003D0436"/>
    <w:rsid w:val="003D0707"/>
    <w:rsid w:val="003D0B01"/>
    <w:rsid w:val="003D0CA5"/>
    <w:rsid w:val="003D0DCE"/>
    <w:rsid w:val="003D0F9B"/>
    <w:rsid w:val="003D14A4"/>
    <w:rsid w:val="003D1828"/>
    <w:rsid w:val="003D1BE0"/>
    <w:rsid w:val="003D1CC5"/>
    <w:rsid w:val="003D1DE4"/>
    <w:rsid w:val="003D211C"/>
    <w:rsid w:val="003D2422"/>
    <w:rsid w:val="003D2D55"/>
    <w:rsid w:val="003D3652"/>
    <w:rsid w:val="003D39A1"/>
    <w:rsid w:val="003D3A28"/>
    <w:rsid w:val="003D3C27"/>
    <w:rsid w:val="003D3EC0"/>
    <w:rsid w:val="003D3F2B"/>
    <w:rsid w:val="003D3FBF"/>
    <w:rsid w:val="003D492B"/>
    <w:rsid w:val="003D4A30"/>
    <w:rsid w:val="003D4CEB"/>
    <w:rsid w:val="003D5A4D"/>
    <w:rsid w:val="003D64FD"/>
    <w:rsid w:val="003D7117"/>
    <w:rsid w:val="003D7398"/>
    <w:rsid w:val="003D76E2"/>
    <w:rsid w:val="003D78BB"/>
    <w:rsid w:val="003D79BB"/>
    <w:rsid w:val="003D7A02"/>
    <w:rsid w:val="003D7AB1"/>
    <w:rsid w:val="003D7C98"/>
    <w:rsid w:val="003E047E"/>
    <w:rsid w:val="003E0543"/>
    <w:rsid w:val="003E0D9F"/>
    <w:rsid w:val="003E0FD9"/>
    <w:rsid w:val="003E14A7"/>
    <w:rsid w:val="003E14EB"/>
    <w:rsid w:val="003E173A"/>
    <w:rsid w:val="003E26F3"/>
    <w:rsid w:val="003E2990"/>
    <w:rsid w:val="003E32E0"/>
    <w:rsid w:val="003E344E"/>
    <w:rsid w:val="003E3BDF"/>
    <w:rsid w:val="003E3E86"/>
    <w:rsid w:val="003E41E9"/>
    <w:rsid w:val="003E431D"/>
    <w:rsid w:val="003E46C0"/>
    <w:rsid w:val="003E4943"/>
    <w:rsid w:val="003E49EE"/>
    <w:rsid w:val="003E4A7D"/>
    <w:rsid w:val="003E4A7F"/>
    <w:rsid w:val="003E4C09"/>
    <w:rsid w:val="003E50CA"/>
    <w:rsid w:val="003E5140"/>
    <w:rsid w:val="003E5FA5"/>
    <w:rsid w:val="003E6155"/>
    <w:rsid w:val="003E62D6"/>
    <w:rsid w:val="003E6805"/>
    <w:rsid w:val="003E7536"/>
    <w:rsid w:val="003E75A3"/>
    <w:rsid w:val="003E7618"/>
    <w:rsid w:val="003F024D"/>
    <w:rsid w:val="003F0307"/>
    <w:rsid w:val="003F09EE"/>
    <w:rsid w:val="003F0AC4"/>
    <w:rsid w:val="003F0C28"/>
    <w:rsid w:val="003F19A8"/>
    <w:rsid w:val="003F1B80"/>
    <w:rsid w:val="003F1C16"/>
    <w:rsid w:val="003F20A2"/>
    <w:rsid w:val="003F215D"/>
    <w:rsid w:val="003F2245"/>
    <w:rsid w:val="003F2716"/>
    <w:rsid w:val="003F28AA"/>
    <w:rsid w:val="003F28F0"/>
    <w:rsid w:val="003F30DF"/>
    <w:rsid w:val="003F3217"/>
    <w:rsid w:val="003F326B"/>
    <w:rsid w:val="003F3A6D"/>
    <w:rsid w:val="003F3B0E"/>
    <w:rsid w:val="003F4026"/>
    <w:rsid w:val="003F4156"/>
    <w:rsid w:val="003F431F"/>
    <w:rsid w:val="003F4338"/>
    <w:rsid w:val="003F43A8"/>
    <w:rsid w:val="003F47AD"/>
    <w:rsid w:val="003F4C57"/>
    <w:rsid w:val="003F5062"/>
    <w:rsid w:val="003F5252"/>
    <w:rsid w:val="003F5797"/>
    <w:rsid w:val="003F5DA6"/>
    <w:rsid w:val="003F686C"/>
    <w:rsid w:val="003F6E2F"/>
    <w:rsid w:val="003F6F55"/>
    <w:rsid w:val="003F7347"/>
    <w:rsid w:val="003F7560"/>
    <w:rsid w:val="003F78B0"/>
    <w:rsid w:val="00400AB9"/>
    <w:rsid w:val="00400B29"/>
    <w:rsid w:val="00400C0E"/>
    <w:rsid w:val="00400FCB"/>
    <w:rsid w:val="00401134"/>
    <w:rsid w:val="004013C9"/>
    <w:rsid w:val="00401A11"/>
    <w:rsid w:val="00401BD7"/>
    <w:rsid w:val="00402F7D"/>
    <w:rsid w:val="00403601"/>
    <w:rsid w:val="00403DD9"/>
    <w:rsid w:val="00403EF5"/>
    <w:rsid w:val="004049E7"/>
    <w:rsid w:val="00404A68"/>
    <w:rsid w:val="00404AB6"/>
    <w:rsid w:val="0040504B"/>
    <w:rsid w:val="004054EC"/>
    <w:rsid w:val="004057B8"/>
    <w:rsid w:val="00405CF4"/>
    <w:rsid w:val="00405CFB"/>
    <w:rsid w:val="00405E59"/>
    <w:rsid w:val="004064C8"/>
    <w:rsid w:val="00406BD6"/>
    <w:rsid w:val="00406DA9"/>
    <w:rsid w:val="00407215"/>
    <w:rsid w:val="00410708"/>
    <w:rsid w:val="00410955"/>
    <w:rsid w:val="00410966"/>
    <w:rsid w:val="004109D7"/>
    <w:rsid w:val="00410A39"/>
    <w:rsid w:val="00410EC7"/>
    <w:rsid w:val="0041164C"/>
    <w:rsid w:val="00411B39"/>
    <w:rsid w:val="00412086"/>
    <w:rsid w:val="004120FC"/>
    <w:rsid w:val="004127E0"/>
    <w:rsid w:val="00412AA7"/>
    <w:rsid w:val="00413203"/>
    <w:rsid w:val="0041370C"/>
    <w:rsid w:val="00413A1E"/>
    <w:rsid w:val="0041429F"/>
    <w:rsid w:val="00414379"/>
    <w:rsid w:val="00414476"/>
    <w:rsid w:val="0041499F"/>
    <w:rsid w:val="00414AF6"/>
    <w:rsid w:val="00414C2E"/>
    <w:rsid w:val="004151CF"/>
    <w:rsid w:val="004151D2"/>
    <w:rsid w:val="004156C3"/>
    <w:rsid w:val="00415715"/>
    <w:rsid w:val="00415A43"/>
    <w:rsid w:val="00415C6D"/>
    <w:rsid w:val="00415D41"/>
    <w:rsid w:val="00415E11"/>
    <w:rsid w:val="00415E3A"/>
    <w:rsid w:val="00415F6E"/>
    <w:rsid w:val="00416364"/>
    <w:rsid w:val="00417103"/>
    <w:rsid w:val="00417229"/>
    <w:rsid w:val="004174D8"/>
    <w:rsid w:val="00417577"/>
    <w:rsid w:val="00417661"/>
    <w:rsid w:val="004177F4"/>
    <w:rsid w:val="00417A88"/>
    <w:rsid w:val="00417D0E"/>
    <w:rsid w:val="00420243"/>
    <w:rsid w:val="00420883"/>
    <w:rsid w:val="00420AA6"/>
    <w:rsid w:val="00420B9F"/>
    <w:rsid w:val="0042171E"/>
    <w:rsid w:val="00422260"/>
    <w:rsid w:val="00422540"/>
    <w:rsid w:val="00422717"/>
    <w:rsid w:val="0042291B"/>
    <w:rsid w:val="00422BFB"/>
    <w:rsid w:val="0042325D"/>
    <w:rsid w:val="004238C5"/>
    <w:rsid w:val="00423B2E"/>
    <w:rsid w:val="00423DB2"/>
    <w:rsid w:val="00423DD8"/>
    <w:rsid w:val="0042413F"/>
    <w:rsid w:val="004244DC"/>
    <w:rsid w:val="00424ACA"/>
    <w:rsid w:val="00424D83"/>
    <w:rsid w:val="00424F93"/>
    <w:rsid w:val="00425005"/>
    <w:rsid w:val="004251F1"/>
    <w:rsid w:val="004258AA"/>
    <w:rsid w:val="00425A24"/>
    <w:rsid w:val="00425ABE"/>
    <w:rsid w:val="004267EA"/>
    <w:rsid w:val="0042694D"/>
    <w:rsid w:val="00426B28"/>
    <w:rsid w:val="00427F45"/>
    <w:rsid w:val="0043080C"/>
    <w:rsid w:val="00430B84"/>
    <w:rsid w:val="00431931"/>
    <w:rsid w:val="004319F8"/>
    <w:rsid w:val="00431BC0"/>
    <w:rsid w:val="00431E16"/>
    <w:rsid w:val="00431E55"/>
    <w:rsid w:val="004321F6"/>
    <w:rsid w:val="00432A10"/>
    <w:rsid w:val="00432ABD"/>
    <w:rsid w:val="00433044"/>
    <w:rsid w:val="00433059"/>
    <w:rsid w:val="00433086"/>
    <w:rsid w:val="004330F0"/>
    <w:rsid w:val="004339A2"/>
    <w:rsid w:val="00433B7F"/>
    <w:rsid w:val="00433EB2"/>
    <w:rsid w:val="00434881"/>
    <w:rsid w:val="0043494B"/>
    <w:rsid w:val="00434E2D"/>
    <w:rsid w:val="004355D5"/>
    <w:rsid w:val="00435AE4"/>
    <w:rsid w:val="00435BE9"/>
    <w:rsid w:val="00435C63"/>
    <w:rsid w:val="00435D75"/>
    <w:rsid w:val="00436327"/>
    <w:rsid w:val="0043646E"/>
    <w:rsid w:val="00436597"/>
    <w:rsid w:val="004365EC"/>
    <w:rsid w:val="00436A05"/>
    <w:rsid w:val="00437049"/>
    <w:rsid w:val="00437548"/>
    <w:rsid w:val="004375B9"/>
    <w:rsid w:val="00437650"/>
    <w:rsid w:val="00437898"/>
    <w:rsid w:val="004379F3"/>
    <w:rsid w:val="00437F13"/>
    <w:rsid w:val="0044084C"/>
    <w:rsid w:val="00440CD8"/>
    <w:rsid w:val="00440D57"/>
    <w:rsid w:val="004410EF"/>
    <w:rsid w:val="004415C2"/>
    <w:rsid w:val="0044239D"/>
    <w:rsid w:val="004428D0"/>
    <w:rsid w:val="00442BD8"/>
    <w:rsid w:val="00444222"/>
    <w:rsid w:val="004443A7"/>
    <w:rsid w:val="0044442C"/>
    <w:rsid w:val="004444EA"/>
    <w:rsid w:val="00444669"/>
    <w:rsid w:val="00444E5E"/>
    <w:rsid w:val="00445693"/>
    <w:rsid w:val="00445941"/>
    <w:rsid w:val="00445FF7"/>
    <w:rsid w:val="0044609D"/>
    <w:rsid w:val="004464EB"/>
    <w:rsid w:val="004464FF"/>
    <w:rsid w:val="004465CA"/>
    <w:rsid w:val="00446953"/>
    <w:rsid w:val="00447134"/>
    <w:rsid w:val="00447610"/>
    <w:rsid w:val="00447638"/>
    <w:rsid w:val="00447D26"/>
    <w:rsid w:val="00447D63"/>
    <w:rsid w:val="00447F72"/>
    <w:rsid w:val="00451115"/>
    <w:rsid w:val="004517BD"/>
    <w:rsid w:val="0045196E"/>
    <w:rsid w:val="00451A03"/>
    <w:rsid w:val="0045229E"/>
    <w:rsid w:val="00452CCA"/>
    <w:rsid w:val="00452E6E"/>
    <w:rsid w:val="004532CF"/>
    <w:rsid w:val="004533F1"/>
    <w:rsid w:val="0045349A"/>
    <w:rsid w:val="00453BB8"/>
    <w:rsid w:val="004541C5"/>
    <w:rsid w:val="004543A6"/>
    <w:rsid w:val="00454725"/>
    <w:rsid w:val="0045483D"/>
    <w:rsid w:val="00454BE1"/>
    <w:rsid w:val="00454E28"/>
    <w:rsid w:val="00455D45"/>
    <w:rsid w:val="00455FA8"/>
    <w:rsid w:val="004561CB"/>
    <w:rsid w:val="0045628B"/>
    <w:rsid w:val="004568A7"/>
    <w:rsid w:val="00456DD7"/>
    <w:rsid w:val="0045708F"/>
    <w:rsid w:val="004574A2"/>
    <w:rsid w:val="004575DB"/>
    <w:rsid w:val="00457ACB"/>
    <w:rsid w:val="0046075F"/>
    <w:rsid w:val="004611AB"/>
    <w:rsid w:val="004616AE"/>
    <w:rsid w:val="00461BF2"/>
    <w:rsid w:val="00461CCF"/>
    <w:rsid w:val="00461F77"/>
    <w:rsid w:val="004622B1"/>
    <w:rsid w:val="00462479"/>
    <w:rsid w:val="004626D2"/>
    <w:rsid w:val="0046276D"/>
    <w:rsid w:val="00462B22"/>
    <w:rsid w:val="00462D57"/>
    <w:rsid w:val="004632EA"/>
    <w:rsid w:val="00463811"/>
    <w:rsid w:val="00463934"/>
    <w:rsid w:val="00463F54"/>
    <w:rsid w:val="00464317"/>
    <w:rsid w:val="00464595"/>
    <w:rsid w:val="004646DA"/>
    <w:rsid w:val="00464958"/>
    <w:rsid w:val="00464E83"/>
    <w:rsid w:val="00465AED"/>
    <w:rsid w:val="00466989"/>
    <w:rsid w:val="00466C69"/>
    <w:rsid w:val="00466CA4"/>
    <w:rsid w:val="00466D43"/>
    <w:rsid w:val="00467102"/>
    <w:rsid w:val="00470027"/>
    <w:rsid w:val="00470113"/>
    <w:rsid w:val="004702AB"/>
    <w:rsid w:val="00470BE9"/>
    <w:rsid w:val="00470C8B"/>
    <w:rsid w:val="0047124F"/>
    <w:rsid w:val="00471270"/>
    <w:rsid w:val="00471330"/>
    <w:rsid w:val="00471408"/>
    <w:rsid w:val="00471661"/>
    <w:rsid w:val="0047182C"/>
    <w:rsid w:val="00471AB5"/>
    <w:rsid w:val="00471DF8"/>
    <w:rsid w:val="00471F5B"/>
    <w:rsid w:val="004721FF"/>
    <w:rsid w:val="00472A79"/>
    <w:rsid w:val="00473323"/>
    <w:rsid w:val="004738CC"/>
    <w:rsid w:val="004739AC"/>
    <w:rsid w:val="00473F19"/>
    <w:rsid w:val="00474217"/>
    <w:rsid w:val="0047427B"/>
    <w:rsid w:val="00474737"/>
    <w:rsid w:val="00474D94"/>
    <w:rsid w:val="004755C3"/>
    <w:rsid w:val="00475907"/>
    <w:rsid w:val="004759B2"/>
    <w:rsid w:val="00475E22"/>
    <w:rsid w:val="00475E81"/>
    <w:rsid w:val="004766A3"/>
    <w:rsid w:val="0047673E"/>
    <w:rsid w:val="00476CAA"/>
    <w:rsid w:val="00477560"/>
    <w:rsid w:val="00477A6D"/>
    <w:rsid w:val="00477ABD"/>
    <w:rsid w:val="00477F1D"/>
    <w:rsid w:val="0048021D"/>
    <w:rsid w:val="0048024F"/>
    <w:rsid w:val="0048088E"/>
    <w:rsid w:val="00480AC0"/>
    <w:rsid w:val="00480CC0"/>
    <w:rsid w:val="00480F46"/>
    <w:rsid w:val="00481A59"/>
    <w:rsid w:val="00482720"/>
    <w:rsid w:val="00482825"/>
    <w:rsid w:val="00482EFB"/>
    <w:rsid w:val="0048346F"/>
    <w:rsid w:val="00483499"/>
    <w:rsid w:val="004835E7"/>
    <w:rsid w:val="004838FF"/>
    <w:rsid w:val="00483AD9"/>
    <w:rsid w:val="00483B64"/>
    <w:rsid w:val="00483BD9"/>
    <w:rsid w:val="00483CDE"/>
    <w:rsid w:val="00483F35"/>
    <w:rsid w:val="00484049"/>
    <w:rsid w:val="0048409C"/>
    <w:rsid w:val="004846C0"/>
    <w:rsid w:val="0048493B"/>
    <w:rsid w:val="0048494E"/>
    <w:rsid w:val="004849FD"/>
    <w:rsid w:val="00484C7A"/>
    <w:rsid w:val="00484F95"/>
    <w:rsid w:val="004852EE"/>
    <w:rsid w:val="00485609"/>
    <w:rsid w:val="004856CB"/>
    <w:rsid w:val="00486061"/>
    <w:rsid w:val="004867E2"/>
    <w:rsid w:val="00486C7E"/>
    <w:rsid w:val="0048762C"/>
    <w:rsid w:val="0048771E"/>
    <w:rsid w:val="00487736"/>
    <w:rsid w:val="004877A9"/>
    <w:rsid w:val="00487AE5"/>
    <w:rsid w:val="00487EE6"/>
    <w:rsid w:val="00490000"/>
    <w:rsid w:val="00490319"/>
    <w:rsid w:val="0049087F"/>
    <w:rsid w:val="004909CF"/>
    <w:rsid w:val="00490C92"/>
    <w:rsid w:val="00490D7C"/>
    <w:rsid w:val="00490DE1"/>
    <w:rsid w:val="00490FB5"/>
    <w:rsid w:val="0049166C"/>
    <w:rsid w:val="00491672"/>
    <w:rsid w:val="004919DF"/>
    <w:rsid w:val="00491B3A"/>
    <w:rsid w:val="00492478"/>
    <w:rsid w:val="00492CFD"/>
    <w:rsid w:val="004930B2"/>
    <w:rsid w:val="00493182"/>
    <w:rsid w:val="00493BC6"/>
    <w:rsid w:val="00494285"/>
    <w:rsid w:val="004943AC"/>
    <w:rsid w:val="00494A90"/>
    <w:rsid w:val="00494DD5"/>
    <w:rsid w:val="00494F29"/>
    <w:rsid w:val="004950A0"/>
    <w:rsid w:val="004950E0"/>
    <w:rsid w:val="0049515F"/>
    <w:rsid w:val="00495313"/>
    <w:rsid w:val="00495B06"/>
    <w:rsid w:val="00495B0B"/>
    <w:rsid w:val="00495CB3"/>
    <w:rsid w:val="00495F37"/>
    <w:rsid w:val="0049618F"/>
    <w:rsid w:val="004962D2"/>
    <w:rsid w:val="00496531"/>
    <w:rsid w:val="004969EC"/>
    <w:rsid w:val="00496DDF"/>
    <w:rsid w:val="004970EA"/>
    <w:rsid w:val="004A052F"/>
    <w:rsid w:val="004A07A9"/>
    <w:rsid w:val="004A0911"/>
    <w:rsid w:val="004A0DA1"/>
    <w:rsid w:val="004A108B"/>
    <w:rsid w:val="004A12E9"/>
    <w:rsid w:val="004A1DA1"/>
    <w:rsid w:val="004A211F"/>
    <w:rsid w:val="004A27B6"/>
    <w:rsid w:val="004A2895"/>
    <w:rsid w:val="004A296A"/>
    <w:rsid w:val="004A3E17"/>
    <w:rsid w:val="004A4114"/>
    <w:rsid w:val="004A41DA"/>
    <w:rsid w:val="004A42C9"/>
    <w:rsid w:val="004A49AE"/>
    <w:rsid w:val="004A4BA8"/>
    <w:rsid w:val="004A4F0E"/>
    <w:rsid w:val="004A51B6"/>
    <w:rsid w:val="004A528A"/>
    <w:rsid w:val="004A52E9"/>
    <w:rsid w:val="004A5773"/>
    <w:rsid w:val="004A5E0B"/>
    <w:rsid w:val="004A6281"/>
    <w:rsid w:val="004A645C"/>
    <w:rsid w:val="004A6597"/>
    <w:rsid w:val="004A7129"/>
    <w:rsid w:val="004A738F"/>
    <w:rsid w:val="004A74E8"/>
    <w:rsid w:val="004A7848"/>
    <w:rsid w:val="004A7948"/>
    <w:rsid w:val="004A7AC4"/>
    <w:rsid w:val="004A7C28"/>
    <w:rsid w:val="004B067E"/>
    <w:rsid w:val="004B074A"/>
    <w:rsid w:val="004B0916"/>
    <w:rsid w:val="004B0D8A"/>
    <w:rsid w:val="004B0F95"/>
    <w:rsid w:val="004B19E2"/>
    <w:rsid w:val="004B1B02"/>
    <w:rsid w:val="004B1CA4"/>
    <w:rsid w:val="004B1CB4"/>
    <w:rsid w:val="004B1E1B"/>
    <w:rsid w:val="004B2100"/>
    <w:rsid w:val="004B26F8"/>
    <w:rsid w:val="004B2A5F"/>
    <w:rsid w:val="004B2B28"/>
    <w:rsid w:val="004B2F18"/>
    <w:rsid w:val="004B3469"/>
    <w:rsid w:val="004B3BD2"/>
    <w:rsid w:val="004B3DDB"/>
    <w:rsid w:val="004B41B2"/>
    <w:rsid w:val="004B44FD"/>
    <w:rsid w:val="004B4EF5"/>
    <w:rsid w:val="004B568B"/>
    <w:rsid w:val="004B5A19"/>
    <w:rsid w:val="004B5CC2"/>
    <w:rsid w:val="004B5CFC"/>
    <w:rsid w:val="004B5DAE"/>
    <w:rsid w:val="004B64D6"/>
    <w:rsid w:val="004B6BD4"/>
    <w:rsid w:val="004B7029"/>
    <w:rsid w:val="004B71D2"/>
    <w:rsid w:val="004B73A1"/>
    <w:rsid w:val="004B774D"/>
    <w:rsid w:val="004B7C24"/>
    <w:rsid w:val="004B7D3E"/>
    <w:rsid w:val="004B7FB0"/>
    <w:rsid w:val="004C0830"/>
    <w:rsid w:val="004C0AFF"/>
    <w:rsid w:val="004C0DD7"/>
    <w:rsid w:val="004C0EE3"/>
    <w:rsid w:val="004C0FA2"/>
    <w:rsid w:val="004C1A7A"/>
    <w:rsid w:val="004C1FDC"/>
    <w:rsid w:val="004C2180"/>
    <w:rsid w:val="004C225F"/>
    <w:rsid w:val="004C27BC"/>
    <w:rsid w:val="004C33BB"/>
    <w:rsid w:val="004C3BC1"/>
    <w:rsid w:val="004C433C"/>
    <w:rsid w:val="004C44A5"/>
    <w:rsid w:val="004C4AED"/>
    <w:rsid w:val="004C4EBE"/>
    <w:rsid w:val="004C50ED"/>
    <w:rsid w:val="004C5654"/>
    <w:rsid w:val="004C56E7"/>
    <w:rsid w:val="004C5912"/>
    <w:rsid w:val="004C5C16"/>
    <w:rsid w:val="004C5E3C"/>
    <w:rsid w:val="004C62F2"/>
    <w:rsid w:val="004C635A"/>
    <w:rsid w:val="004C6CC2"/>
    <w:rsid w:val="004C6E3A"/>
    <w:rsid w:val="004C7163"/>
    <w:rsid w:val="004C7361"/>
    <w:rsid w:val="004C7949"/>
    <w:rsid w:val="004C7955"/>
    <w:rsid w:val="004D05B8"/>
    <w:rsid w:val="004D0776"/>
    <w:rsid w:val="004D0EF4"/>
    <w:rsid w:val="004D0F79"/>
    <w:rsid w:val="004D11EC"/>
    <w:rsid w:val="004D14D7"/>
    <w:rsid w:val="004D1A91"/>
    <w:rsid w:val="004D1D2E"/>
    <w:rsid w:val="004D2409"/>
    <w:rsid w:val="004D25DB"/>
    <w:rsid w:val="004D2666"/>
    <w:rsid w:val="004D2C2D"/>
    <w:rsid w:val="004D37AD"/>
    <w:rsid w:val="004D392A"/>
    <w:rsid w:val="004D41C4"/>
    <w:rsid w:val="004D4E76"/>
    <w:rsid w:val="004D51D7"/>
    <w:rsid w:val="004D5B05"/>
    <w:rsid w:val="004D64EB"/>
    <w:rsid w:val="004D6C8B"/>
    <w:rsid w:val="004D7227"/>
    <w:rsid w:val="004D725C"/>
    <w:rsid w:val="004D7282"/>
    <w:rsid w:val="004D765F"/>
    <w:rsid w:val="004D7967"/>
    <w:rsid w:val="004D7F21"/>
    <w:rsid w:val="004E01EB"/>
    <w:rsid w:val="004E01F4"/>
    <w:rsid w:val="004E026D"/>
    <w:rsid w:val="004E03A5"/>
    <w:rsid w:val="004E055D"/>
    <w:rsid w:val="004E086B"/>
    <w:rsid w:val="004E0A26"/>
    <w:rsid w:val="004E0E7F"/>
    <w:rsid w:val="004E0EB8"/>
    <w:rsid w:val="004E13B7"/>
    <w:rsid w:val="004E15D1"/>
    <w:rsid w:val="004E1975"/>
    <w:rsid w:val="004E2488"/>
    <w:rsid w:val="004E2ADC"/>
    <w:rsid w:val="004E2B0F"/>
    <w:rsid w:val="004E31A7"/>
    <w:rsid w:val="004E35B6"/>
    <w:rsid w:val="004E3C8B"/>
    <w:rsid w:val="004E3DBB"/>
    <w:rsid w:val="004E43B2"/>
    <w:rsid w:val="004E45D7"/>
    <w:rsid w:val="004E4D87"/>
    <w:rsid w:val="004E4E9A"/>
    <w:rsid w:val="004E54E7"/>
    <w:rsid w:val="004E5A80"/>
    <w:rsid w:val="004E5F39"/>
    <w:rsid w:val="004E65B0"/>
    <w:rsid w:val="004E65E3"/>
    <w:rsid w:val="004E6752"/>
    <w:rsid w:val="004E6EDF"/>
    <w:rsid w:val="004E7183"/>
    <w:rsid w:val="004E7D7C"/>
    <w:rsid w:val="004E7E9F"/>
    <w:rsid w:val="004E7ED3"/>
    <w:rsid w:val="004E7FC0"/>
    <w:rsid w:val="004F06BE"/>
    <w:rsid w:val="004F0B34"/>
    <w:rsid w:val="004F0B66"/>
    <w:rsid w:val="004F0DD4"/>
    <w:rsid w:val="004F17C5"/>
    <w:rsid w:val="004F17DB"/>
    <w:rsid w:val="004F1D02"/>
    <w:rsid w:val="004F1DD1"/>
    <w:rsid w:val="004F2386"/>
    <w:rsid w:val="004F23B6"/>
    <w:rsid w:val="004F2679"/>
    <w:rsid w:val="004F2A71"/>
    <w:rsid w:val="004F2F21"/>
    <w:rsid w:val="004F3080"/>
    <w:rsid w:val="004F322E"/>
    <w:rsid w:val="004F35C3"/>
    <w:rsid w:val="004F3EEA"/>
    <w:rsid w:val="004F4A7D"/>
    <w:rsid w:val="004F4D05"/>
    <w:rsid w:val="004F5872"/>
    <w:rsid w:val="004F5AB0"/>
    <w:rsid w:val="004F62C4"/>
    <w:rsid w:val="004F642D"/>
    <w:rsid w:val="004F68C0"/>
    <w:rsid w:val="004F6913"/>
    <w:rsid w:val="004F6A0A"/>
    <w:rsid w:val="004F7269"/>
    <w:rsid w:val="004F728D"/>
    <w:rsid w:val="004F7865"/>
    <w:rsid w:val="004F7C1F"/>
    <w:rsid w:val="00501152"/>
    <w:rsid w:val="005016A9"/>
    <w:rsid w:val="00501840"/>
    <w:rsid w:val="00502076"/>
    <w:rsid w:val="0050219B"/>
    <w:rsid w:val="00502AD4"/>
    <w:rsid w:val="00502CF7"/>
    <w:rsid w:val="00502D20"/>
    <w:rsid w:val="00503131"/>
    <w:rsid w:val="00503324"/>
    <w:rsid w:val="00503376"/>
    <w:rsid w:val="005039F7"/>
    <w:rsid w:val="00503E4C"/>
    <w:rsid w:val="00503F17"/>
    <w:rsid w:val="00504051"/>
    <w:rsid w:val="0050506A"/>
    <w:rsid w:val="00505498"/>
    <w:rsid w:val="00505B59"/>
    <w:rsid w:val="00505CD3"/>
    <w:rsid w:val="0050609F"/>
    <w:rsid w:val="00506928"/>
    <w:rsid w:val="00506AFC"/>
    <w:rsid w:val="00506F28"/>
    <w:rsid w:val="00507088"/>
    <w:rsid w:val="0051020D"/>
    <w:rsid w:val="005111C1"/>
    <w:rsid w:val="005113D5"/>
    <w:rsid w:val="00511542"/>
    <w:rsid w:val="00511731"/>
    <w:rsid w:val="00511B7C"/>
    <w:rsid w:val="00511CFB"/>
    <w:rsid w:val="00512316"/>
    <w:rsid w:val="00512959"/>
    <w:rsid w:val="005135FE"/>
    <w:rsid w:val="00513844"/>
    <w:rsid w:val="00513A1F"/>
    <w:rsid w:val="00513C75"/>
    <w:rsid w:val="00513F5A"/>
    <w:rsid w:val="005141CE"/>
    <w:rsid w:val="00514879"/>
    <w:rsid w:val="00514974"/>
    <w:rsid w:val="005152B5"/>
    <w:rsid w:val="005157ED"/>
    <w:rsid w:val="00516014"/>
    <w:rsid w:val="005160EA"/>
    <w:rsid w:val="0051632C"/>
    <w:rsid w:val="00517088"/>
    <w:rsid w:val="00517BEF"/>
    <w:rsid w:val="00520028"/>
    <w:rsid w:val="005202C4"/>
    <w:rsid w:val="005202E3"/>
    <w:rsid w:val="00520A52"/>
    <w:rsid w:val="00521319"/>
    <w:rsid w:val="0052190B"/>
    <w:rsid w:val="00521A76"/>
    <w:rsid w:val="00521AA4"/>
    <w:rsid w:val="00521E0B"/>
    <w:rsid w:val="00522432"/>
    <w:rsid w:val="00522BC8"/>
    <w:rsid w:val="00522E57"/>
    <w:rsid w:val="00523233"/>
    <w:rsid w:val="00523C28"/>
    <w:rsid w:val="0052442D"/>
    <w:rsid w:val="00524FE8"/>
    <w:rsid w:val="005256A9"/>
    <w:rsid w:val="005259EC"/>
    <w:rsid w:val="00526055"/>
    <w:rsid w:val="005267A9"/>
    <w:rsid w:val="00526E2F"/>
    <w:rsid w:val="00527438"/>
    <w:rsid w:val="00527962"/>
    <w:rsid w:val="00527EC8"/>
    <w:rsid w:val="00527F1F"/>
    <w:rsid w:val="00530356"/>
    <w:rsid w:val="00530644"/>
    <w:rsid w:val="00530BAE"/>
    <w:rsid w:val="00530D9B"/>
    <w:rsid w:val="00531475"/>
    <w:rsid w:val="0053156D"/>
    <w:rsid w:val="00531936"/>
    <w:rsid w:val="00531CF3"/>
    <w:rsid w:val="00531EA7"/>
    <w:rsid w:val="00531F42"/>
    <w:rsid w:val="0053279C"/>
    <w:rsid w:val="00532F17"/>
    <w:rsid w:val="005331CE"/>
    <w:rsid w:val="0053345E"/>
    <w:rsid w:val="0053392C"/>
    <w:rsid w:val="00534718"/>
    <w:rsid w:val="0053492A"/>
    <w:rsid w:val="005349B3"/>
    <w:rsid w:val="00535164"/>
    <w:rsid w:val="005357E1"/>
    <w:rsid w:val="00535B05"/>
    <w:rsid w:val="00535B3F"/>
    <w:rsid w:val="0053664F"/>
    <w:rsid w:val="005366E1"/>
    <w:rsid w:val="00536C29"/>
    <w:rsid w:val="00536F42"/>
    <w:rsid w:val="00536FEA"/>
    <w:rsid w:val="00537085"/>
    <w:rsid w:val="00537182"/>
    <w:rsid w:val="0053788C"/>
    <w:rsid w:val="00537A61"/>
    <w:rsid w:val="00540074"/>
    <w:rsid w:val="005419A4"/>
    <w:rsid w:val="00541DA8"/>
    <w:rsid w:val="00542104"/>
    <w:rsid w:val="00542329"/>
    <w:rsid w:val="005423B8"/>
    <w:rsid w:val="005425D0"/>
    <w:rsid w:val="00542743"/>
    <w:rsid w:val="005428C5"/>
    <w:rsid w:val="00542C2D"/>
    <w:rsid w:val="00542D6E"/>
    <w:rsid w:val="00542EBF"/>
    <w:rsid w:val="0054300D"/>
    <w:rsid w:val="005431EB"/>
    <w:rsid w:val="00543226"/>
    <w:rsid w:val="005435DF"/>
    <w:rsid w:val="005436D7"/>
    <w:rsid w:val="00543729"/>
    <w:rsid w:val="0054399D"/>
    <w:rsid w:val="00543A44"/>
    <w:rsid w:val="00543D0F"/>
    <w:rsid w:val="00543F87"/>
    <w:rsid w:val="00544401"/>
    <w:rsid w:val="005445B8"/>
    <w:rsid w:val="00544843"/>
    <w:rsid w:val="00544978"/>
    <w:rsid w:val="00545305"/>
    <w:rsid w:val="00545739"/>
    <w:rsid w:val="00545A7C"/>
    <w:rsid w:val="005461F1"/>
    <w:rsid w:val="00546552"/>
    <w:rsid w:val="0054683E"/>
    <w:rsid w:val="005468D7"/>
    <w:rsid w:val="00546A35"/>
    <w:rsid w:val="00547004"/>
    <w:rsid w:val="00547908"/>
    <w:rsid w:val="00547A6F"/>
    <w:rsid w:val="00547D33"/>
    <w:rsid w:val="00547DA5"/>
    <w:rsid w:val="00550159"/>
    <w:rsid w:val="00550AB2"/>
    <w:rsid w:val="00550CC3"/>
    <w:rsid w:val="00550D15"/>
    <w:rsid w:val="00551369"/>
    <w:rsid w:val="0055177A"/>
    <w:rsid w:val="00551985"/>
    <w:rsid w:val="005519D1"/>
    <w:rsid w:val="00551FE1"/>
    <w:rsid w:val="0055206F"/>
    <w:rsid w:val="00552150"/>
    <w:rsid w:val="005524B4"/>
    <w:rsid w:val="0055286D"/>
    <w:rsid w:val="00552BD3"/>
    <w:rsid w:val="00552DB5"/>
    <w:rsid w:val="00553021"/>
    <w:rsid w:val="005534F8"/>
    <w:rsid w:val="00553547"/>
    <w:rsid w:val="00553B13"/>
    <w:rsid w:val="00553B20"/>
    <w:rsid w:val="00553F01"/>
    <w:rsid w:val="00554399"/>
    <w:rsid w:val="0055463A"/>
    <w:rsid w:val="00555109"/>
    <w:rsid w:val="00555595"/>
    <w:rsid w:val="00555940"/>
    <w:rsid w:val="00555CAF"/>
    <w:rsid w:val="005562F0"/>
    <w:rsid w:val="00556543"/>
    <w:rsid w:val="00556962"/>
    <w:rsid w:val="00556968"/>
    <w:rsid w:val="00557381"/>
    <w:rsid w:val="00557483"/>
    <w:rsid w:val="00557DD2"/>
    <w:rsid w:val="00561419"/>
    <w:rsid w:val="00561B72"/>
    <w:rsid w:val="00561BC0"/>
    <w:rsid w:val="00561F9D"/>
    <w:rsid w:val="0056234E"/>
    <w:rsid w:val="005624AE"/>
    <w:rsid w:val="0056256C"/>
    <w:rsid w:val="00562B68"/>
    <w:rsid w:val="005632E8"/>
    <w:rsid w:val="0056358C"/>
    <w:rsid w:val="00563C2F"/>
    <w:rsid w:val="00563D6D"/>
    <w:rsid w:val="005653FD"/>
    <w:rsid w:val="00565424"/>
    <w:rsid w:val="00565A0D"/>
    <w:rsid w:val="00565AF4"/>
    <w:rsid w:val="00565C7B"/>
    <w:rsid w:val="00566252"/>
    <w:rsid w:val="00566798"/>
    <w:rsid w:val="0056696F"/>
    <w:rsid w:val="0056765F"/>
    <w:rsid w:val="00567B55"/>
    <w:rsid w:val="0057029F"/>
    <w:rsid w:val="0057077E"/>
    <w:rsid w:val="00570A9A"/>
    <w:rsid w:val="00570C30"/>
    <w:rsid w:val="00571329"/>
    <w:rsid w:val="0057147D"/>
    <w:rsid w:val="005714A3"/>
    <w:rsid w:val="0057174F"/>
    <w:rsid w:val="0057180E"/>
    <w:rsid w:val="00571948"/>
    <w:rsid w:val="00571D1B"/>
    <w:rsid w:val="00572092"/>
    <w:rsid w:val="00572269"/>
    <w:rsid w:val="0057244A"/>
    <w:rsid w:val="00572FDD"/>
    <w:rsid w:val="005732DF"/>
    <w:rsid w:val="00573D79"/>
    <w:rsid w:val="00573F99"/>
    <w:rsid w:val="005743F3"/>
    <w:rsid w:val="005745F1"/>
    <w:rsid w:val="00574A81"/>
    <w:rsid w:val="00574D1A"/>
    <w:rsid w:val="00575294"/>
    <w:rsid w:val="00575795"/>
    <w:rsid w:val="00575836"/>
    <w:rsid w:val="00575D8D"/>
    <w:rsid w:val="00575DE5"/>
    <w:rsid w:val="00575E58"/>
    <w:rsid w:val="00576137"/>
    <w:rsid w:val="00576972"/>
    <w:rsid w:val="00576AF8"/>
    <w:rsid w:val="00577052"/>
    <w:rsid w:val="00577A6B"/>
    <w:rsid w:val="00577B0B"/>
    <w:rsid w:val="005809E0"/>
    <w:rsid w:val="00580DA3"/>
    <w:rsid w:val="00580E85"/>
    <w:rsid w:val="005815E5"/>
    <w:rsid w:val="0058190A"/>
    <w:rsid w:val="00581F2D"/>
    <w:rsid w:val="00581F42"/>
    <w:rsid w:val="0058236C"/>
    <w:rsid w:val="0058238D"/>
    <w:rsid w:val="00583699"/>
    <w:rsid w:val="00583E01"/>
    <w:rsid w:val="00583F96"/>
    <w:rsid w:val="00583FC0"/>
    <w:rsid w:val="00584833"/>
    <w:rsid w:val="00584BA2"/>
    <w:rsid w:val="00584E54"/>
    <w:rsid w:val="00584EBC"/>
    <w:rsid w:val="00585760"/>
    <w:rsid w:val="00585BBA"/>
    <w:rsid w:val="00585CDD"/>
    <w:rsid w:val="005860CC"/>
    <w:rsid w:val="00586C03"/>
    <w:rsid w:val="00586FB9"/>
    <w:rsid w:val="00587058"/>
    <w:rsid w:val="005879A9"/>
    <w:rsid w:val="00590595"/>
    <w:rsid w:val="00591957"/>
    <w:rsid w:val="00591C7E"/>
    <w:rsid w:val="005921E3"/>
    <w:rsid w:val="005922D6"/>
    <w:rsid w:val="005927AB"/>
    <w:rsid w:val="005931E5"/>
    <w:rsid w:val="00593286"/>
    <w:rsid w:val="005938D7"/>
    <w:rsid w:val="00593D1D"/>
    <w:rsid w:val="00594489"/>
    <w:rsid w:val="00594A90"/>
    <w:rsid w:val="00594B61"/>
    <w:rsid w:val="00595329"/>
    <w:rsid w:val="00595899"/>
    <w:rsid w:val="00596118"/>
    <w:rsid w:val="005974DF"/>
    <w:rsid w:val="00597BF9"/>
    <w:rsid w:val="00597C82"/>
    <w:rsid w:val="00597EA1"/>
    <w:rsid w:val="005A09A1"/>
    <w:rsid w:val="005A12BC"/>
    <w:rsid w:val="005A1CF2"/>
    <w:rsid w:val="005A21C8"/>
    <w:rsid w:val="005A312B"/>
    <w:rsid w:val="005A320D"/>
    <w:rsid w:val="005A3657"/>
    <w:rsid w:val="005A373D"/>
    <w:rsid w:val="005A53E8"/>
    <w:rsid w:val="005A5990"/>
    <w:rsid w:val="005A6495"/>
    <w:rsid w:val="005A669E"/>
    <w:rsid w:val="005A6852"/>
    <w:rsid w:val="005A693E"/>
    <w:rsid w:val="005A6BE0"/>
    <w:rsid w:val="005A6C6F"/>
    <w:rsid w:val="005A73D9"/>
    <w:rsid w:val="005A76D7"/>
    <w:rsid w:val="005A79F3"/>
    <w:rsid w:val="005A7A77"/>
    <w:rsid w:val="005A7E6D"/>
    <w:rsid w:val="005B1144"/>
    <w:rsid w:val="005B114B"/>
    <w:rsid w:val="005B1B10"/>
    <w:rsid w:val="005B1F08"/>
    <w:rsid w:val="005B20D3"/>
    <w:rsid w:val="005B2221"/>
    <w:rsid w:val="005B23C5"/>
    <w:rsid w:val="005B244F"/>
    <w:rsid w:val="005B2647"/>
    <w:rsid w:val="005B29DD"/>
    <w:rsid w:val="005B2B04"/>
    <w:rsid w:val="005B3A96"/>
    <w:rsid w:val="005B3D0E"/>
    <w:rsid w:val="005B3E37"/>
    <w:rsid w:val="005B3EC0"/>
    <w:rsid w:val="005B3EC1"/>
    <w:rsid w:val="005B42FD"/>
    <w:rsid w:val="005B45CB"/>
    <w:rsid w:val="005B4BF9"/>
    <w:rsid w:val="005B56D2"/>
    <w:rsid w:val="005B5857"/>
    <w:rsid w:val="005B5920"/>
    <w:rsid w:val="005B5E23"/>
    <w:rsid w:val="005B6BCE"/>
    <w:rsid w:val="005B749C"/>
    <w:rsid w:val="005B78B3"/>
    <w:rsid w:val="005B798A"/>
    <w:rsid w:val="005B79FD"/>
    <w:rsid w:val="005B7A89"/>
    <w:rsid w:val="005C0125"/>
    <w:rsid w:val="005C057B"/>
    <w:rsid w:val="005C09A0"/>
    <w:rsid w:val="005C0BBE"/>
    <w:rsid w:val="005C0C8F"/>
    <w:rsid w:val="005C1000"/>
    <w:rsid w:val="005C156D"/>
    <w:rsid w:val="005C16D2"/>
    <w:rsid w:val="005C1724"/>
    <w:rsid w:val="005C1A4B"/>
    <w:rsid w:val="005C1B83"/>
    <w:rsid w:val="005C2947"/>
    <w:rsid w:val="005C2A30"/>
    <w:rsid w:val="005C2D55"/>
    <w:rsid w:val="005C346B"/>
    <w:rsid w:val="005C3910"/>
    <w:rsid w:val="005C3B94"/>
    <w:rsid w:val="005C3F52"/>
    <w:rsid w:val="005C4177"/>
    <w:rsid w:val="005C4D23"/>
    <w:rsid w:val="005C5130"/>
    <w:rsid w:val="005C5828"/>
    <w:rsid w:val="005C5A17"/>
    <w:rsid w:val="005C5C1F"/>
    <w:rsid w:val="005C5E28"/>
    <w:rsid w:val="005C61F2"/>
    <w:rsid w:val="005C639A"/>
    <w:rsid w:val="005C63E6"/>
    <w:rsid w:val="005C70C7"/>
    <w:rsid w:val="005C72C5"/>
    <w:rsid w:val="005C75D6"/>
    <w:rsid w:val="005C7688"/>
    <w:rsid w:val="005C77F4"/>
    <w:rsid w:val="005C7DB4"/>
    <w:rsid w:val="005C7FAF"/>
    <w:rsid w:val="005D00E8"/>
    <w:rsid w:val="005D044D"/>
    <w:rsid w:val="005D0ABD"/>
    <w:rsid w:val="005D0F30"/>
    <w:rsid w:val="005D18AD"/>
    <w:rsid w:val="005D19F3"/>
    <w:rsid w:val="005D1A14"/>
    <w:rsid w:val="005D26B4"/>
    <w:rsid w:val="005D2892"/>
    <w:rsid w:val="005D2BB8"/>
    <w:rsid w:val="005D33BB"/>
    <w:rsid w:val="005D34D8"/>
    <w:rsid w:val="005D37BB"/>
    <w:rsid w:val="005D3850"/>
    <w:rsid w:val="005D3C72"/>
    <w:rsid w:val="005D40CD"/>
    <w:rsid w:val="005D486B"/>
    <w:rsid w:val="005D5229"/>
    <w:rsid w:val="005D54D7"/>
    <w:rsid w:val="005D55A8"/>
    <w:rsid w:val="005D5B4B"/>
    <w:rsid w:val="005D65C3"/>
    <w:rsid w:val="005D6C9F"/>
    <w:rsid w:val="005D794A"/>
    <w:rsid w:val="005D79B8"/>
    <w:rsid w:val="005D7F92"/>
    <w:rsid w:val="005E00A2"/>
    <w:rsid w:val="005E0B9C"/>
    <w:rsid w:val="005E0BFA"/>
    <w:rsid w:val="005E0CB2"/>
    <w:rsid w:val="005E10CC"/>
    <w:rsid w:val="005E124E"/>
    <w:rsid w:val="005E1285"/>
    <w:rsid w:val="005E12CD"/>
    <w:rsid w:val="005E1569"/>
    <w:rsid w:val="005E1C1F"/>
    <w:rsid w:val="005E1C4E"/>
    <w:rsid w:val="005E25FC"/>
    <w:rsid w:val="005E2928"/>
    <w:rsid w:val="005E2FE5"/>
    <w:rsid w:val="005E34CB"/>
    <w:rsid w:val="005E44AF"/>
    <w:rsid w:val="005E523D"/>
    <w:rsid w:val="005E5B6F"/>
    <w:rsid w:val="005E621D"/>
    <w:rsid w:val="005E6742"/>
    <w:rsid w:val="005E6CBC"/>
    <w:rsid w:val="005E709F"/>
    <w:rsid w:val="005E73C0"/>
    <w:rsid w:val="005E74A7"/>
    <w:rsid w:val="005F002F"/>
    <w:rsid w:val="005F00D8"/>
    <w:rsid w:val="005F01B0"/>
    <w:rsid w:val="005F02AB"/>
    <w:rsid w:val="005F07B3"/>
    <w:rsid w:val="005F0D65"/>
    <w:rsid w:val="005F18BC"/>
    <w:rsid w:val="005F1BA3"/>
    <w:rsid w:val="005F2641"/>
    <w:rsid w:val="005F2706"/>
    <w:rsid w:val="005F2A42"/>
    <w:rsid w:val="005F2D66"/>
    <w:rsid w:val="005F3481"/>
    <w:rsid w:val="005F36FE"/>
    <w:rsid w:val="005F46EB"/>
    <w:rsid w:val="005F4702"/>
    <w:rsid w:val="005F4741"/>
    <w:rsid w:val="005F49AD"/>
    <w:rsid w:val="005F4A06"/>
    <w:rsid w:val="005F4DAC"/>
    <w:rsid w:val="005F4E4A"/>
    <w:rsid w:val="005F50A2"/>
    <w:rsid w:val="005F54E4"/>
    <w:rsid w:val="005F589C"/>
    <w:rsid w:val="005F5B95"/>
    <w:rsid w:val="005F6027"/>
    <w:rsid w:val="005F6466"/>
    <w:rsid w:val="005F6789"/>
    <w:rsid w:val="005F6A8F"/>
    <w:rsid w:val="005F7697"/>
    <w:rsid w:val="005F7864"/>
    <w:rsid w:val="005F78C5"/>
    <w:rsid w:val="005F7FF8"/>
    <w:rsid w:val="00600201"/>
    <w:rsid w:val="00600E2E"/>
    <w:rsid w:val="00602890"/>
    <w:rsid w:val="00602DA4"/>
    <w:rsid w:val="00602F20"/>
    <w:rsid w:val="006036D5"/>
    <w:rsid w:val="00603CCA"/>
    <w:rsid w:val="00603DA8"/>
    <w:rsid w:val="00603DB9"/>
    <w:rsid w:val="00604312"/>
    <w:rsid w:val="00604330"/>
    <w:rsid w:val="0060460C"/>
    <w:rsid w:val="00604BC8"/>
    <w:rsid w:val="006051A5"/>
    <w:rsid w:val="006051C9"/>
    <w:rsid w:val="006054E2"/>
    <w:rsid w:val="00605768"/>
    <w:rsid w:val="006058BD"/>
    <w:rsid w:val="00605A10"/>
    <w:rsid w:val="00605B08"/>
    <w:rsid w:val="0060637D"/>
    <w:rsid w:val="00606443"/>
    <w:rsid w:val="006068C2"/>
    <w:rsid w:val="00606AA2"/>
    <w:rsid w:val="00607233"/>
    <w:rsid w:val="00607669"/>
    <w:rsid w:val="00607AA5"/>
    <w:rsid w:val="00607AFD"/>
    <w:rsid w:val="00607D44"/>
    <w:rsid w:val="00607E3E"/>
    <w:rsid w:val="006102DD"/>
    <w:rsid w:val="00611176"/>
    <w:rsid w:val="0061141E"/>
    <w:rsid w:val="0061186A"/>
    <w:rsid w:val="006125F2"/>
    <w:rsid w:val="0061294F"/>
    <w:rsid w:val="00612EA9"/>
    <w:rsid w:val="00612F97"/>
    <w:rsid w:val="00613344"/>
    <w:rsid w:val="006133A6"/>
    <w:rsid w:val="0061345D"/>
    <w:rsid w:val="006136C5"/>
    <w:rsid w:val="0061374C"/>
    <w:rsid w:val="006141AC"/>
    <w:rsid w:val="006149A1"/>
    <w:rsid w:val="00614ACB"/>
    <w:rsid w:val="00614E8C"/>
    <w:rsid w:val="006150C4"/>
    <w:rsid w:val="00615395"/>
    <w:rsid w:val="00615649"/>
    <w:rsid w:val="00615B7F"/>
    <w:rsid w:val="00615E01"/>
    <w:rsid w:val="00616232"/>
    <w:rsid w:val="0061666A"/>
    <w:rsid w:val="00616802"/>
    <w:rsid w:val="006168BC"/>
    <w:rsid w:val="00617167"/>
    <w:rsid w:val="006174FF"/>
    <w:rsid w:val="006176DD"/>
    <w:rsid w:val="00617E12"/>
    <w:rsid w:val="00620130"/>
    <w:rsid w:val="00620800"/>
    <w:rsid w:val="00620BA8"/>
    <w:rsid w:val="00621190"/>
    <w:rsid w:val="00621477"/>
    <w:rsid w:val="0062156F"/>
    <w:rsid w:val="006215EF"/>
    <w:rsid w:val="00621602"/>
    <w:rsid w:val="006217CD"/>
    <w:rsid w:val="006218CD"/>
    <w:rsid w:val="00621AA9"/>
    <w:rsid w:val="00621D89"/>
    <w:rsid w:val="006220D3"/>
    <w:rsid w:val="00622262"/>
    <w:rsid w:val="00622415"/>
    <w:rsid w:val="0062251F"/>
    <w:rsid w:val="00622629"/>
    <w:rsid w:val="00622E81"/>
    <w:rsid w:val="00622F11"/>
    <w:rsid w:val="00622FCC"/>
    <w:rsid w:val="00623084"/>
    <w:rsid w:val="0062338A"/>
    <w:rsid w:val="006236A3"/>
    <w:rsid w:val="00623F23"/>
    <w:rsid w:val="00623FA1"/>
    <w:rsid w:val="00624964"/>
    <w:rsid w:val="006249D2"/>
    <w:rsid w:val="00624F2D"/>
    <w:rsid w:val="006257BE"/>
    <w:rsid w:val="00625811"/>
    <w:rsid w:val="00625821"/>
    <w:rsid w:val="006258CD"/>
    <w:rsid w:val="00625A32"/>
    <w:rsid w:val="00625F70"/>
    <w:rsid w:val="00626E2D"/>
    <w:rsid w:val="0062721E"/>
    <w:rsid w:val="00627DF3"/>
    <w:rsid w:val="00630130"/>
    <w:rsid w:val="006306B2"/>
    <w:rsid w:val="00630865"/>
    <w:rsid w:val="00630F8D"/>
    <w:rsid w:val="0063158F"/>
    <w:rsid w:val="00631C58"/>
    <w:rsid w:val="00631D6B"/>
    <w:rsid w:val="00631E51"/>
    <w:rsid w:val="006325C8"/>
    <w:rsid w:val="00632A92"/>
    <w:rsid w:val="00632FE1"/>
    <w:rsid w:val="006330A1"/>
    <w:rsid w:val="00633148"/>
    <w:rsid w:val="006342A5"/>
    <w:rsid w:val="00634749"/>
    <w:rsid w:val="0063474A"/>
    <w:rsid w:val="0063479F"/>
    <w:rsid w:val="00634825"/>
    <w:rsid w:val="00634D61"/>
    <w:rsid w:val="006353F0"/>
    <w:rsid w:val="0063568D"/>
    <w:rsid w:val="00635EE1"/>
    <w:rsid w:val="00635FEF"/>
    <w:rsid w:val="006361AC"/>
    <w:rsid w:val="006361BB"/>
    <w:rsid w:val="006364A1"/>
    <w:rsid w:val="00636751"/>
    <w:rsid w:val="00636CD1"/>
    <w:rsid w:val="00636FF8"/>
    <w:rsid w:val="00637BFD"/>
    <w:rsid w:val="00637F73"/>
    <w:rsid w:val="00637FB8"/>
    <w:rsid w:val="0064004B"/>
    <w:rsid w:val="006404E1"/>
    <w:rsid w:val="0064066A"/>
    <w:rsid w:val="00640C91"/>
    <w:rsid w:val="00640DCF"/>
    <w:rsid w:val="0064121B"/>
    <w:rsid w:val="00641522"/>
    <w:rsid w:val="00641C4E"/>
    <w:rsid w:val="00641FB1"/>
    <w:rsid w:val="006424B4"/>
    <w:rsid w:val="006425AB"/>
    <w:rsid w:val="00642778"/>
    <w:rsid w:val="006427EF"/>
    <w:rsid w:val="00642905"/>
    <w:rsid w:val="0064391D"/>
    <w:rsid w:val="00643CB5"/>
    <w:rsid w:val="00644098"/>
    <w:rsid w:val="0064459D"/>
    <w:rsid w:val="00644E9E"/>
    <w:rsid w:val="006450AA"/>
    <w:rsid w:val="006451DB"/>
    <w:rsid w:val="0064520E"/>
    <w:rsid w:val="00645600"/>
    <w:rsid w:val="00645D00"/>
    <w:rsid w:val="00646392"/>
    <w:rsid w:val="006471CC"/>
    <w:rsid w:val="0064731D"/>
    <w:rsid w:val="006476BE"/>
    <w:rsid w:val="00650780"/>
    <w:rsid w:val="0065079F"/>
    <w:rsid w:val="00650A19"/>
    <w:rsid w:val="00650EE2"/>
    <w:rsid w:val="0065171C"/>
    <w:rsid w:val="006520AD"/>
    <w:rsid w:val="006521E9"/>
    <w:rsid w:val="00652593"/>
    <w:rsid w:val="006526E4"/>
    <w:rsid w:val="006527BA"/>
    <w:rsid w:val="00652D64"/>
    <w:rsid w:val="006532DF"/>
    <w:rsid w:val="0065379F"/>
    <w:rsid w:val="006537C7"/>
    <w:rsid w:val="00653E02"/>
    <w:rsid w:val="0065401D"/>
    <w:rsid w:val="006544CA"/>
    <w:rsid w:val="00654DAC"/>
    <w:rsid w:val="00654ED9"/>
    <w:rsid w:val="00654FF3"/>
    <w:rsid w:val="006550B3"/>
    <w:rsid w:val="006552F7"/>
    <w:rsid w:val="00655A42"/>
    <w:rsid w:val="00655A4E"/>
    <w:rsid w:val="00655C7C"/>
    <w:rsid w:val="0065607C"/>
    <w:rsid w:val="0065704B"/>
    <w:rsid w:val="0065752D"/>
    <w:rsid w:val="006577F4"/>
    <w:rsid w:val="00657D1B"/>
    <w:rsid w:val="00660159"/>
    <w:rsid w:val="00660189"/>
    <w:rsid w:val="00660C7B"/>
    <w:rsid w:val="00661161"/>
    <w:rsid w:val="006611E0"/>
    <w:rsid w:val="006614E1"/>
    <w:rsid w:val="00661546"/>
    <w:rsid w:val="00661585"/>
    <w:rsid w:val="00661625"/>
    <w:rsid w:val="00661692"/>
    <w:rsid w:val="006616CA"/>
    <w:rsid w:val="00661C6B"/>
    <w:rsid w:val="0066214A"/>
    <w:rsid w:val="00662274"/>
    <w:rsid w:val="0066228A"/>
    <w:rsid w:val="0066236A"/>
    <w:rsid w:val="006630EE"/>
    <w:rsid w:val="006631CF"/>
    <w:rsid w:val="0066332F"/>
    <w:rsid w:val="006641C3"/>
    <w:rsid w:val="00664373"/>
    <w:rsid w:val="00664783"/>
    <w:rsid w:val="00664BAD"/>
    <w:rsid w:val="00665078"/>
    <w:rsid w:val="006659E7"/>
    <w:rsid w:val="00665D6B"/>
    <w:rsid w:val="00665E61"/>
    <w:rsid w:val="00666716"/>
    <w:rsid w:val="00666A83"/>
    <w:rsid w:val="00666F34"/>
    <w:rsid w:val="006676DC"/>
    <w:rsid w:val="00667723"/>
    <w:rsid w:val="00667904"/>
    <w:rsid w:val="00667C1B"/>
    <w:rsid w:val="0067009E"/>
    <w:rsid w:val="00670471"/>
    <w:rsid w:val="006707BF"/>
    <w:rsid w:val="00670A25"/>
    <w:rsid w:val="0067101F"/>
    <w:rsid w:val="00671AC5"/>
    <w:rsid w:val="00671B36"/>
    <w:rsid w:val="006727BC"/>
    <w:rsid w:val="00672F62"/>
    <w:rsid w:val="00673412"/>
    <w:rsid w:val="00673EFB"/>
    <w:rsid w:val="00674470"/>
    <w:rsid w:val="0067453D"/>
    <w:rsid w:val="0067459B"/>
    <w:rsid w:val="00674B93"/>
    <w:rsid w:val="00674CA7"/>
    <w:rsid w:val="00674E42"/>
    <w:rsid w:val="00675E55"/>
    <w:rsid w:val="006761F1"/>
    <w:rsid w:val="00677363"/>
    <w:rsid w:val="00677D78"/>
    <w:rsid w:val="006803BF"/>
    <w:rsid w:val="006805E4"/>
    <w:rsid w:val="00680DD8"/>
    <w:rsid w:val="006815E5"/>
    <w:rsid w:val="00681DDA"/>
    <w:rsid w:val="00682112"/>
    <w:rsid w:val="00682825"/>
    <w:rsid w:val="00682E9E"/>
    <w:rsid w:val="00682F51"/>
    <w:rsid w:val="00682F87"/>
    <w:rsid w:val="0068354F"/>
    <w:rsid w:val="0068419C"/>
    <w:rsid w:val="006844A5"/>
    <w:rsid w:val="0068492C"/>
    <w:rsid w:val="00684F75"/>
    <w:rsid w:val="00685302"/>
    <w:rsid w:val="00685716"/>
    <w:rsid w:val="0068572B"/>
    <w:rsid w:val="0068593D"/>
    <w:rsid w:val="006859F1"/>
    <w:rsid w:val="00685BB2"/>
    <w:rsid w:val="00685C3B"/>
    <w:rsid w:val="00685D5A"/>
    <w:rsid w:val="00685F11"/>
    <w:rsid w:val="00686163"/>
    <w:rsid w:val="00686957"/>
    <w:rsid w:val="00686DC9"/>
    <w:rsid w:val="006872BA"/>
    <w:rsid w:val="00687B58"/>
    <w:rsid w:val="00687E54"/>
    <w:rsid w:val="00690234"/>
    <w:rsid w:val="00690481"/>
    <w:rsid w:val="00690B87"/>
    <w:rsid w:val="00690D46"/>
    <w:rsid w:val="006913CF"/>
    <w:rsid w:val="00691543"/>
    <w:rsid w:val="00691632"/>
    <w:rsid w:val="00691648"/>
    <w:rsid w:val="0069177D"/>
    <w:rsid w:val="006917D7"/>
    <w:rsid w:val="00691B07"/>
    <w:rsid w:val="00691C50"/>
    <w:rsid w:val="00691CA9"/>
    <w:rsid w:val="00691E28"/>
    <w:rsid w:val="006920DD"/>
    <w:rsid w:val="006921D1"/>
    <w:rsid w:val="006924C5"/>
    <w:rsid w:val="0069268F"/>
    <w:rsid w:val="00692BC6"/>
    <w:rsid w:val="00692C5D"/>
    <w:rsid w:val="00693028"/>
    <w:rsid w:val="00693476"/>
    <w:rsid w:val="0069404D"/>
    <w:rsid w:val="006940CB"/>
    <w:rsid w:val="006941C5"/>
    <w:rsid w:val="006942AF"/>
    <w:rsid w:val="006946A0"/>
    <w:rsid w:val="00694891"/>
    <w:rsid w:val="006948BF"/>
    <w:rsid w:val="006948FF"/>
    <w:rsid w:val="00694E70"/>
    <w:rsid w:val="00694EB9"/>
    <w:rsid w:val="00694F44"/>
    <w:rsid w:val="00695042"/>
    <w:rsid w:val="006954F5"/>
    <w:rsid w:val="006956CD"/>
    <w:rsid w:val="00695846"/>
    <w:rsid w:val="00695A5F"/>
    <w:rsid w:val="00695A81"/>
    <w:rsid w:val="00695F47"/>
    <w:rsid w:val="006963E0"/>
    <w:rsid w:val="006966EB"/>
    <w:rsid w:val="00696B22"/>
    <w:rsid w:val="00696FE9"/>
    <w:rsid w:val="00697263"/>
    <w:rsid w:val="0069786F"/>
    <w:rsid w:val="006A0442"/>
    <w:rsid w:val="006A0544"/>
    <w:rsid w:val="006A0902"/>
    <w:rsid w:val="006A0DF2"/>
    <w:rsid w:val="006A0ECB"/>
    <w:rsid w:val="006A0FE3"/>
    <w:rsid w:val="006A1528"/>
    <w:rsid w:val="006A1882"/>
    <w:rsid w:val="006A1EAB"/>
    <w:rsid w:val="006A2506"/>
    <w:rsid w:val="006A2B8D"/>
    <w:rsid w:val="006A3113"/>
    <w:rsid w:val="006A3560"/>
    <w:rsid w:val="006A39FE"/>
    <w:rsid w:val="006A4092"/>
    <w:rsid w:val="006A506D"/>
    <w:rsid w:val="006A55CB"/>
    <w:rsid w:val="006A55E3"/>
    <w:rsid w:val="006A6279"/>
    <w:rsid w:val="006A640C"/>
    <w:rsid w:val="006A645F"/>
    <w:rsid w:val="006A65A8"/>
    <w:rsid w:val="006A6B27"/>
    <w:rsid w:val="006A6D86"/>
    <w:rsid w:val="006A6E12"/>
    <w:rsid w:val="006A78EF"/>
    <w:rsid w:val="006A79B2"/>
    <w:rsid w:val="006A79E8"/>
    <w:rsid w:val="006A7A5D"/>
    <w:rsid w:val="006A7E5F"/>
    <w:rsid w:val="006B0177"/>
    <w:rsid w:val="006B0553"/>
    <w:rsid w:val="006B061B"/>
    <w:rsid w:val="006B070A"/>
    <w:rsid w:val="006B0C75"/>
    <w:rsid w:val="006B1EF3"/>
    <w:rsid w:val="006B2553"/>
    <w:rsid w:val="006B2616"/>
    <w:rsid w:val="006B261B"/>
    <w:rsid w:val="006B2A08"/>
    <w:rsid w:val="006B2B58"/>
    <w:rsid w:val="006B2C90"/>
    <w:rsid w:val="006B32A0"/>
    <w:rsid w:val="006B33FC"/>
    <w:rsid w:val="006B3BF5"/>
    <w:rsid w:val="006B3CAE"/>
    <w:rsid w:val="006B43D3"/>
    <w:rsid w:val="006B445A"/>
    <w:rsid w:val="006B45A5"/>
    <w:rsid w:val="006B45E7"/>
    <w:rsid w:val="006B4BD5"/>
    <w:rsid w:val="006B4F37"/>
    <w:rsid w:val="006B4FBD"/>
    <w:rsid w:val="006B56D1"/>
    <w:rsid w:val="006B5A97"/>
    <w:rsid w:val="006B5BC2"/>
    <w:rsid w:val="006B5DC9"/>
    <w:rsid w:val="006B5E0E"/>
    <w:rsid w:val="006B6AE5"/>
    <w:rsid w:val="006B6DD0"/>
    <w:rsid w:val="006B7E2C"/>
    <w:rsid w:val="006B7E98"/>
    <w:rsid w:val="006B7FBA"/>
    <w:rsid w:val="006C00DC"/>
    <w:rsid w:val="006C0570"/>
    <w:rsid w:val="006C0E4C"/>
    <w:rsid w:val="006C0E92"/>
    <w:rsid w:val="006C102F"/>
    <w:rsid w:val="006C10A3"/>
    <w:rsid w:val="006C1A7B"/>
    <w:rsid w:val="006C2538"/>
    <w:rsid w:val="006C2A8E"/>
    <w:rsid w:val="006C2ECC"/>
    <w:rsid w:val="006C3C19"/>
    <w:rsid w:val="006C4C39"/>
    <w:rsid w:val="006C4C7E"/>
    <w:rsid w:val="006C5194"/>
    <w:rsid w:val="006C5292"/>
    <w:rsid w:val="006C5DFD"/>
    <w:rsid w:val="006C6073"/>
    <w:rsid w:val="006C60B4"/>
    <w:rsid w:val="006C6152"/>
    <w:rsid w:val="006C696E"/>
    <w:rsid w:val="006C6C2B"/>
    <w:rsid w:val="006C7B3E"/>
    <w:rsid w:val="006C7C79"/>
    <w:rsid w:val="006D0504"/>
    <w:rsid w:val="006D05CF"/>
    <w:rsid w:val="006D11FA"/>
    <w:rsid w:val="006D2753"/>
    <w:rsid w:val="006D306C"/>
    <w:rsid w:val="006D3609"/>
    <w:rsid w:val="006D3C7D"/>
    <w:rsid w:val="006D4B15"/>
    <w:rsid w:val="006D4B22"/>
    <w:rsid w:val="006D52F6"/>
    <w:rsid w:val="006D5505"/>
    <w:rsid w:val="006D5D5F"/>
    <w:rsid w:val="006D5DDF"/>
    <w:rsid w:val="006D63B6"/>
    <w:rsid w:val="006D6A1D"/>
    <w:rsid w:val="006D7A6D"/>
    <w:rsid w:val="006D7C43"/>
    <w:rsid w:val="006E0181"/>
    <w:rsid w:val="006E089E"/>
    <w:rsid w:val="006E0C35"/>
    <w:rsid w:val="006E160F"/>
    <w:rsid w:val="006E26F4"/>
    <w:rsid w:val="006E2E60"/>
    <w:rsid w:val="006E3045"/>
    <w:rsid w:val="006E3182"/>
    <w:rsid w:val="006E36F7"/>
    <w:rsid w:val="006E3F7A"/>
    <w:rsid w:val="006E40BC"/>
    <w:rsid w:val="006E5157"/>
    <w:rsid w:val="006E6393"/>
    <w:rsid w:val="006E6B8D"/>
    <w:rsid w:val="006E6EC3"/>
    <w:rsid w:val="006E7843"/>
    <w:rsid w:val="006E7CA7"/>
    <w:rsid w:val="006F0B79"/>
    <w:rsid w:val="006F0D14"/>
    <w:rsid w:val="006F10B3"/>
    <w:rsid w:val="006F10CF"/>
    <w:rsid w:val="006F137E"/>
    <w:rsid w:val="006F16F7"/>
    <w:rsid w:val="006F1D34"/>
    <w:rsid w:val="006F1F63"/>
    <w:rsid w:val="006F2913"/>
    <w:rsid w:val="006F2C7A"/>
    <w:rsid w:val="006F2CCF"/>
    <w:rsid w:val="006F2EDC"/>
    <w:rsid w:val="006F2F0A"/>
    <w:rsid w:val="006F2F30"/>
    <w:rsid w:val="006F306C"/>
    <w:rsid w:val="006F3A51"/>
    <w:rsid w:val="006F47B3"/>
    <w:rsid w:val="006F4A60"/>
    <w:rsid w:val="006F544F"/>
    <w:rsid w:val="006F5A08"/>
    <w:rsid w:val="006F5D75"/>
    <w:rsid w:val="006F5DA1"/>
    <w:rsid w:val="006F60D0"/>
    <w:rsid w:val="006F61A7"/>
    <w:rsid w:val="006F63A5"/>
    <w:rsid w:val="006F6DE1"/>
    <w:rsid w:val="006F6E80"/>
    <w:rsid w:val="006F7015"/>
    <w:rsid w:val="006F716C"/>
    <w:rsid w:val="006F71B7"/>
    <w:rsid w:val="006F785A"/>
    <w:rsid w:val="006F7ED3"/>
    <w:rsid w:val="007013F5"/>
    <w:rsid w:val="0070142B"/>
    <w:rsid w:val="00701620"/>
    <w:rsid w:val="00701621"/>
    <w:rsid w:val="007017CA"/>
    <w:rsid w:val="00701849"/>
    <w:rsid w:val="007019F2"/>
    <w:rsid w:val="00701ACB"/>
    <w:rsid w:val="00701AFC"/>
    <w:rsid w:val="007025B7"/>
    <w:rsid w:val="00702657"/>
    <w:rsid w:val="0070276E"/>
    <w:rsid w:val="0070278E"/>
    <w:rsid w:val="00702C58"/>
    <w:rsid w:val="00702F8F"/>
    <w:rsid w:val="00703485"/>
    <w:rsid w:val="00703BB6"/>
    <w:rsid w:val="00703D80"/>
    <w:rsid w:val="007042A3"/>
    <w:rsid w:val="00704714"/>
    <w:rsid w:val="00704B1E"/>
    <w:rsid w:val="00704CD7"/>
    <w:rsid w:val="00705356"/>
    <w:rsid w:val="0070577F"/>
    <w:rsid w:val="00705C2E"/>
    <w:rsid w:val="00705CA1"/>
    <w:rsid w:val="00705E3E"/>
    <w:rsid w:val="00705E95"/>
    <w:rsid w:val="007060C9"/>
    <w:rsid w:val="0070634C"/>
    <w:rsid w:val="00706466"/>
    <w:rsid w:val="00706AB3"/>
    <w:rsid w:val="00706E41"/>
    <w:rsid w:val="00706EF0"/>
    <w:rsid w:val="00706FBC"/>
    <w:rsid w:val="0070725A"/>
    <w:rsid w:val="007079FA"/>
    <w:rsid w:val="00707B42"/>
    <w:rsid w:val="007106B1"/>
    <w:rsid w:val="007110A3"/>
    <w:rsid w:val="007110C5"/>
    <w:rsid w:val="00711A36"/>
    <w:rsid w:val="00711B1D"/>
    <w:rsid w:val="007120ED"/>
    <w:rsid w:val="0071218B"/>
    <w:rsid w:val="0071229E"/>
    <w:rsid w:val="007125C7"/>
    <w:rsid w:val="007126FC"/>
    <w:rsid w:val="007128DB"/>
    <w:rsid w:val="007129B3"/>
    <w:rsid w:val="00712E0D"/>
    <w:rsid w:val="0071321B"/>
    <w:rsid w:val="007143A8"/>
    <w:rsid w:val="00714881"/>
    <w:rsid w:val="00714B01"/>
    <w:rsid w:val="00714E34"/>
    <w:rsid w:val="0071508B"/>
    <w:rsid w:val="007151A2"/>
    <w:rsid w:val="0071529C"/>
    <w:rsid w:val="0071677A"/>
    <w:rsid w:val="0071679F"/>
    <w:rsid w:val="00716E7F"/>
    <w:rsid w:val="00716EC6"/>
    <w:rsid w:val="007170D5"/>
    <w:rsid w:val="00717277"/>
    <w:rsid w:val="007172AD"/>
    <w:rsid w:val="007172B4"/>
    <w:rsid w:val="00717573"/>
    <w:rsid w:val="00717E3E"/>
    <w:rsid w:val="0072063A"/>
    <w:rsid w:val="00720937"/>
    <w:rsid w:val="00721FE5"/>
    <w:rsid w:val="00722750"/>
    <w:rsid w:val="0072285C"/>
    <w:rsid w:val="007229AD"/>
    <w:rsid w:val="00722B1B"/>
    <w:rsid w:val="007233A7"/>
    <w:rsid w:val="007234AA"/>
    <w:rsid w:val="007238CB"/>
    <w:rsid w:val="00723C78"/>
    <w:rsid w:val="00723EF1"/>
    <w:rsid w:val="0072416F"/>
    <w:rsid w:val="007241F1"/>
    <w:rsid w:val="00724245"/>
    <w:rsid w:val="00724764"/>
    <w:rsid w:val="00724F38"/>
    <w:rsid w:val="00726372"/>
    <w:rsid w:val="00726463"/>
    <w:rsid w:val="007264A9"/>
    <w:rsid w:val="007266D3"/>
    <w:rsid w:val="00726ABF"/>
    <w:rsid w:val="00726E01"/>
    <w:rsid w:val="00726E82"/>
    <w:rsid w:val="00727C94"/>
    <w:rsid w:val="00727DDE"/>
    <w:rsid w:val="00730136"/>
    <w:rsid w:val="00730B99"/>
    <w:rsid w:val="00731645"/>
    <w:rsid w:val="0073165B"/>
    <w:rsid w:val="007318BD"/>
    <w:rsid w:val="00731EAE"/>
    <w:rsid w:val="00732055"/>
    <w:rsid w:val="007321F6"/>
    <w:rsid w:val="0073282C"/>
    <w:rsid w:val="0073285D"/>
    <w:rsid w:val="00732925"/>
    <w:rsid w:val="00732961"/>
    <w:rsid w:val="007332A8"/>
    <w:rsid w:val="0073375D"/>
    <w:rsid w:val="00733E4F"/>
    <w:rsid w:val="00734450"/>
    <w:rsid w:val="00734502"/>
    <w:rsid w:val="00734809"/>
    <w:rsid w:val="00735033"/>
    <w:rsid w:val="00735328"/>
    <w:rsid w:val="007357AC"/>
    <w:rsid w:val="0073583B"/>
    <w:rsid w:val="00736319"/>
    <w:rsid w:val="0073633B"/>
    <w:rsid w:val="007366E3"/>
    <w:rsid w:val="007366F3"/>
    <w:rsid w:val="007366F9"/>
    <w:rsid w:val="0073685B"/>
    <w:rsid w:val="007368CA"/>
    <w:rsid w:val="007370FB"/>
    <w:rsid w:val="00737C79"/>
    <w:rsid w:val="00737DDB"/>
    <w:rsid w:val="007401D0"/>
    <w:rsid w:val="00740A30"/>
    <w:rsid w:val="00741166"/>
    <w:rsid w:val="00741185"/>
    <w:rsid w:val="007428DE"/>
    <w:rsid w:val="007431AA"/>
    <w:rsid w:val="007431C2"/>
    <w:rsid w:val="007436BA"/>
    <w:rsid w:val="00743C45"/>
    <w:rsid w:val="00743D65"/>
    <w:rsid w:val="00744778"/>
    <w:rsid w:val="007449EB"/>
    <w:rsid w:val="007454B2"/>
    <w:rsid w:val="00745772"/>
    <w:rsid w:val="0074665B"/>
    <w:rsid w:val="00746B0C"/>
    <w:rsid w:val="0074717F"/>
    <w:rsid w:val="00747199"/>
    <w:rsid w:val="00747985"/>
    <w:rsid w:val="00747B2C"/>
    <w:rsid w:val="00750DA1"/>
    <w:rsid w:val="00750EBA"/>
    <w:rsid w:val="00751340"/>
    <w:rsid w:val="0075183D"/>
    <w:rsid w:val="00751D1C"/>
    <w:rsid w:val="00751DF4"/>
    <w:rsid w:val="00751E1D"/>
    <w:rsid w:val="00751F92"/>
    <w:rsid w:val="00752142"/>
    <w:rsid w:val="007523F9"/>
    <w:rsid w:val="007528A1"/>
    <w:rsid w:val="00752BA7"/>
    <w:rsid w:val="00752C36"/>
    <w:rsid w:val="00752C6D"/>
    <w:rsid w:val="007531E8"/>
    <w:rsid w:val="00753349"/>
    <w:rsid w:val="007536A0"/>
    <w:rsid w:val="00753EA3"/>
    <w:rsid w:val="00753EDF"/>
    <w:rsid w:val="007546AB"/>
    <w:rsid w:val="007547CC"/>
    <w:rsid w:val="00754CFE"/>
    <w:rsid w:val="00754D49"/>
    <w:rsid w:val="00755033"/>
    <w:rsid w:val="007550B4"/>
    <w:rsid w:val="007556AA"/>
    <w:rsid w:val="00755DFA"/>
    <w:rsid w:val="00755E4F"/>
    <w:rsid w:val="00755E6F"/>
    <w:rsid w:val="0075728C"/>
    <w:rsid w:val="007573E8"/>
    <w:rsid w:val="00757A6B"/>
    <w:rsid w:val="007608FB"/>
    <w:rsid w:val="00760C4E"/>
    <w:rsid w:val="00760D61"/>
    <w:rsid w:val="0076115D"/>
    <w:rsid w:val="00761EFB"/>
    <w:rsid w:val="00761F77"/>
    <w:rsid w:val="007620DA"/>
    <w:rsid w:val="0076248A"/>
    <w:rsid w:val="00762AB4"/>
    <w:rsid w:val="00763559"/>
    <w:rsid w:val="0076371A"/>
    <w:rsid w:val="00764395"/>
    <w:rsid w:val="00764632"/>
    <w:rsid w:val="00764AFF"/>
    <w:rsid w:val="00764D25"/>
    <w:rsid w:val="00764E2B"/>
    <w:rsid w:val="00765246"/>
    <w:rsid w:val="00765B1A"/>
    <w:rsid w:val="00765D1D"/>
    <w:rsid w:val="00765F4F"/>
    <w:rsid w:val="00765F9D"/>
    <w:rsid w:val="0076629C"/>
    <w:rsid w:val="00766748"/>
    <w:rsid w:val="00766C61"/>
    <w:rsid w:val="00767151"/>
    <w:rsid w:val="0076726B"/>
    <w:rsid w:val="00767C97"/>
    <w:rsid w:val="007704A1"/>
    <w:rsid w:val="00770C9F"/>
    <w:rsid w:val="00770F2F"/>
    <w:rsid w:val="0077128C"/>
    <w:rsid w:val="00771458"/>
    <w:rsid w:val="00771933"/>
    <w:rsid w:val="00771B0F"/>
    <w:rsid w:val="00772B62"/>
    <w:rsid w:val="007731D9"/>
    <w:rsid w:val="00773349"/>
    <w:rsid w:val="007733D1"/>
    <w:rsid w:val="00773587"/>
    <w:rsid w:val="007735F3"/>
    <w:rsid w:val="00773EFB"/>
    <w:rsid w:val="0077432A"/>
    <w:rsid w:val="00774DA0"/>
    <w:rsid w:val="00774E00"/>
    <w:rsid w:val="007751AB"/>
    <w:rsid w:val="007754EE"/>
    <w:rsid w:val="00775736"/>
    <w:rsid w:val="00775B40"/>
    <w:rsid w:val="00775C67"/>
    <w:rsid w:val="00775E4A"/>
    <w:rsid w:val="00775F37"/>
    <w:rsid w:val="007760E6"/>
    <w:rsid w:val="007765C3"/>
    <w:rsid w:val="00776838"/>
    <w:rsid w:val="007768DF"/>
    <w:rsid w:val="00776B21"/>
    <w:rsid w:val="00777154"/>
    <w:rsid w:val="007773FA"/>
    <w:rsid w:val="0077795C"/>
    <w:rsid w:val="00777C83"/>
    <w:rsid w:val="00777DD2"/>
    <w:rsid w:val="00780271"/>
    <w:rsid w:val="0078029C"/>
    <w:rsid w:val="00780490"/>
    <w:rsid w:val="00780885"/>
    <w:rsid w:val="007809F0"/>
    <w:rsid w:val="00780C07"/>
    <w:rsid w:val="00780DB3"/>
    <w:rsid w:val="007817A1"/>
    <w:rsid w:val="00782322"/>
    <w:rsid w:val="00782411"/>
    <w:rsid w:val="00782526"/>
    <w:rsid w:val="007826F9"/>
    <w:rsid w:val="0078298B"/>
    <w:rsid w:val="00782B27"/>
    <w:rsid w:val="00783252"/>
    <w:rsid w:val="0078329D"/>
    <w:rsid w:val="00783C81"/>
    <w:rsid w:val="00783EFF"/>
    <w:rsid w:val="007843F2"/>
    <w:rsid w:val="00784638"/>
    <w:rsid w:val="007848AF"/>
    <w:rsid w:val="00784F95"/>
    <w:rsid w:val="0078506B"/>
    <w:rsid w:val="007851BD"/>
    <w:rsid w:val="007854F5"/>
    <w:rsid w:val="00785517"/>
    <w:rsid w:val="0078662D"/>
    <w:rsid w:val="00786F8E"/>
    <w:rsid w:val="007871BC"/>
    <w:rsid w:val="007871DC"/>
    <w:rsid w:val="007873A0"/>
    <w:rsid w:val="00787AC7"/>
    <w:rsid w:val="00787E05"/>
    <w:rsid w:val="00790AB2"/>
    <w:rsid w:val="007914ED"/>
    <w:rsid w:val="00791B73"/>
    <w:rsid w:val="007925D9"/>
    <w:rsid w:val="00792F03"/>
    <w:rsid w:val="00793A94"/>
    <w:rsid w:val="00793B0A"/>
    <w:rsid w:val="00793B91"/>
    <w:rsid w:val="00793D52"/>
    <w:rsid w:val="007946A8"/>
    <w:rsid w:val="00794BAF"/>
    <w:rsid w:val="00795218"/>
    <w:rsid w:val="00796111"/>
    <w:rsid w:val="0079628C"/>
    <w:rsid w:val="00796617"/>
    <w:rsid w:val="00796862"/>
    <w:rsid w:val="00796C07"/>
    <w:rsid w:val="0079759A"/>
    <w:rsid w:val="007975F3"/>
    <w:rsid w:val="007976AF"/>
    <w:rsid w:val="00797BC3"/>
    <w:rsid w:val="00797C48"/>
    <w:rsid w:val="00797F1B"/>
    <w:rsid w:val="007A05AF"/>
    <w:rsid w:val="007A0723"/>
    <w:rsid w:val="007A0A12"/>
    <w:rsid w:val="007A0B86"/>
    <w:rsid w:val="007A0CA7"/>
    <w:rsid w:val="007A0F2B"/>
    <w:rsid w:val="007A1290"/>
    <w:rsid w:val="007A132D"/>
    <w:rsid w:val="007A14C2"/>
    <w:rsid w:val="007A15CF"/>
    <w:rsid w:val="007A1760"/>
    <w:rsid w:val="007A1B07"/>
    <w:rsid w:val="007A1BEC"/>
    <w:rsid w:val="007A23AD"/>
    <w:rsid w:val="007A26C8"/>
    <w:rsid w:val="007A26CE"/>
    <w:rsid w:val="007A3BA6"/>
    <w:rsid w:val="007A44D5"/>
    <w:rsid w:val="007A4854"/>
    <w:rsid w:val="007A4A58"/>
    <w:rsid w:val="007A4EA1"/>
    <w:rsid w:val="007A4F93"/>
    <w:rsid w:val="007A51C3"/>
    <w:rsid w:val="007A550C"/>
    <w:rsid w:val="007A5815"/>
    <w:rsid w:val="007A58CD"/>
    <w:rsid w:val="007A5D01"/>
    <w:rsid w:val="007A6008"/>
    <w:rsid w:val="007A6365"/>
    <w:rsid w:val="007A6A41"/>
    <w:rsid w:val="007A6C31"/>
    <w:rsid w:val="007A7161"/>
    <w:rsid w:val="007A7CC6"/>
    <w:rsid w:val="007A7E90"/>
    <w:rsid w:val="007B010D"/>
    <w:rsid w:val="007B05CE"/>
    <w:rsid w:val="007B0C4A"/>
    <w:rsid w:val="007B0D68"/>
    <w:rsid w:val="007B0DE2"/>
    <w:rsid w:val="007B1DF6"/>
    <w:rsid w:val="007B1FC3"/>
    <w:rsid w:val="007B2295"/>
    <w:rsid w:val="007B251D"/>
    <w:rsid w:val="007B2866"/>
    <w:rsid w:val="007B2AD5"/>
    <w:rsid w:val="007B2E1A"/>
    <w:rsid w:val="007B3417"/>
    <w:rsid w:val="007B38DB"/>
    <w:rsid w:val="007B3E62"/>
    <w:rsid w:val="007B450D"/>
    <w:rsid w:val="007B4F58"/>
    <w:rsid w:val="007B528D"/>
    <w:rsid w:val="007B55B5"/>
    <w:rsid w:val="007B598F"/>
    <w:rsid w:val="007B5FC9"/>
    <w:rsid w:val="007B6789"/>
    <w:rsid w:val="007B7334"/>
    <w:rsid w:val="007B7688"/>
    <w:rsid w:val="007B77D1"/>
    <w:rsid w:val="007B7800"/>
    <w:rsid w:val="007B79F8"/>
    <w:rsid w:val="007B7EBC"/>
    <w:rsid w:val="007C025A"/>
    <w:rsid w:val="007C034F"/>
    <w:rsid w:val="007C04B8"/>
    <w:rsid w:val="007C04F1"/>
    <w:rsid w:val="007C072B"/>
    <w:rsid w:val="007C09F8"/>
    <w:rsid w:val="007C178D"/>
    <w:rsid w:val="007C1CD9"/>
    <w:rsid w:val="007C2516"/>
    <w:rsid w:val="007C2544"/>
    <w:rsid w:val="007C2EFA"/>
    <w:rsid w:val="007C2F81"/>
    <w:rsid w:val="007C361D"/>
    <w:rsid w:val="007C45A0"/>
    <w:rsid w:val="007C45F1"/>
    <w:rsid w:val="007C4B84"/>
    <w:rsid w:val="007C50D2"/>
    <w:rsid w:val="007C51FC"/>
    <w:rsid w:val="007C577B"/>
    <w:rsid w:val="007C5DD8"/>
    <w:rsid w:val="007C6A9A"/>
    <w:rsid w:val="007C6DEC"/>
    <w:rsid w:val="007C70C9"/>
    <w:rsid w:val="007C70E8"/>
    <w:rsid w:val="007C7D2E"/>
    <w:rsid w:val="007D004F"/>
    <w:rsid w:val="007D01C8"/>
    <w:rsid w:val="007D07DE"/>
    <w:rsid w:val="007D0B38"/>
    <w:rsid w:val="007D0BD8"/>
    <w:rsid w:val="007D160D"/>
    <w:rsid w:val="007D195D"/>
    <w:rsid w:val="007D1CAB"/>
    <w:rsid w:val="007D217C"/>
    <w:rsid w:val="007D294B"/>
    <w:rsid w:val="007D34C7"/>
    <w:rsid w:val="007D3C32"/>
    <w:rsid w:val="007D3F21"/>
    <w:rsid w:val="007D3FF8"/>
    <w:rsid w:val="007D4020"/>
    <w:rsid w:val="007D489C"/>
    <w:rsid w:val="007D4922"/>
    <w:rsid w:val="007D4A88"/>
    <w:rsid w:val="007D4BFA"/>
    <w:rsid w:val="007D5440"/>
    <w:rsid w:val="007D58F2"/>
    <w:rsid w:val="007D5AFE"/>
    <w:rsid w:val="007D5C1D"/>
    <w:rsid w:val="007D5C37"/>
    <w:rsid w:val="007D5FB7"/>
    <w:rsid w:val="007D61F6"/>
    <w:rsid w:val="007D6610"/>
    <w:rsid w:val="007D68E0"/>
    <w:rsid w:val="007D7068"/>
    <w:rsid w:val="007D70AB"/>
    <w:rsid w:val="007D7A89"/>
    <w:rsid w:val="007E05DD"/>
    <w:rsid w:val="007E0648"/>
    <w:rsid w:val="007E0D8C"/>
    <w:rsid w:val="007E0D9E"/>
    <w:rsid w:val="007E1047"/>
    <w:rsid w:val="007E1526"/>
    <w:rsid w:val="007E21E2"/>
    <w:rsid w:val="007E2535"/>
    <w:rsid w:val="007E29AF"/>
    <w:rsid w:val="007E329E"/>
    <w:rsid w:val="007E3414"/>
    <w:rsid w:val="007E3452"/>
    <w:rsid w:val="007E3697"/>
    <w:rsid w:val="007E3936"/>
    <w:rsid w:val="007E3958"/>
    <w:rsid w:val="007E3B0F"/>
    <w:rsid w:val="007E4164"/>
    <w:rsid w:val="007E4596"/>
    <w:rsid w:val="007E4C5C"/>
    <w:rsid w:val="007E4DF1"/>
    <w:rsid w:val="007E51AE"/>
    <w:rsid w:val="007E5AD3"/>
    <w:rsid w:val="007E5D7E"/>
    <w:rsid w:val="007E651D"/>
    <w:rsid w:val="007E68F1"/>
    <w:rsid w:val="007E6CC1"/>
    <w:rsid w:val="007E7347"/>
    <w:rsid w:val="007E7565"/>
    <w:rsid w:val="007E7655"/>
    <w:rsid w:val="007E7B13"/>
    <w:rsid w:val="007E7FAF"/>
    <w:rsid w:val="007F07C1"/>
    <w:rsid w:val="007F0D72"/>
    <w:rsid w:val="007F0EA5"/>
    <w:rsid w:val="007F0EFD"/>
    <w:rsid w:val="007F1017"/>
    <w:rsid w:val="007F114E"/>
    <w:rsid w:val="007F150A"/>
    <w:rsid w:val="007F1BE9"/>
    <w:rsid w:val="007F25F2"/>
    <w:rsid w:val="007F3896"/>
    <w:rsid w:val="007F3C4F"/>
    <w:rsid w:val="007F40AE"/>
    <w:rsid w:val="007F4581"/>
    <w:rsid w:val="007F4583"/>
    <w:rsid w:val="007F4A3F"/>
    <w:rsid w:val="007F4A5C"/>
    <w:rsid w:val="007F4A61"/>
    <w:rsid w:val="007F4D06"/>
    <w:rsid w:val="007F4D44"/>
    <w:rsid w:val="007F5361"/>
    <w:rsid w:val="007F5799"/>
    <w:rsid w:val="007F589D"/>
    <w:rsid w:val="007F600E"/>
    <w:rsid w:val="007F612F"/>
    <w:rsid w:val="007F61C2"/>
    <w:rsid w:val="007F6257"/>
    <w:rsid w:val="007F6617"/>
    <w:rsid w:val="007F7754"/>
    <w:rsid w:val="00800156"/>
    <w:rsid w:val="00800BE3"/>
    <w:rsid w:val="00800E8D"/>
    <w:rsid w:val="00800EB4"/>
    <w:rsid w:val="008010E7"/>
    <w:rsid w:val="0080113F"/>
    <w:rsid w:val="0080132F"/>
    <w:rsid w:val="00801E14"/>
    <w:rsid w:val="008023B0"/>
    <w:rsid w:val="008025DA"/>
    <w:rsid w:val="00802690"/>
    <w:rsid w:val="00802BE1"/>
    <w:rsid w:val="00802CDF"/>
    <w:rsid w:val="0080322F"/>
    <w:rsid w:val="008038F8"/>
    <w:rsid w:val="00803A5D"/>
    <w:rsid w:val="00803D7D"/>
    <w:rsid w:val="0080436F"/>
    <w:rsid w:val="0080479A"/>
    <w:rsid w:val="008047BD"/>
    <w:rsid w:val="00804D9F"/>
    <w:rsid w:val="00804F6C"/>
    <w:rsid w:val="00804FF5"/>
    <w:rsid w:val="00805142"/>
    <w:rsid w:val="0080537E"/>
    <w:rsid w:val="00805B82"/>
    <w:rsid w:val="00805E41"/>
    <w:rsid w:val="00806D04"/>
    <w:rsid w:val="00806ED6"/>
    <w:rsid w:val="008075AA"/>
    <w:rsid w:val="00807A8B"/>
    <w:rsid w:val="00810F38"/>
    <w:rsid w:val="008110F4"/>
    <w:rsid w:val="00811383"/>
    <w:rsid w:val="00811784"/>
    <w:rsid w:val="008117E8"/>
    <w:rsid w:val="00812149"/>
    <w:rsid w:val="008122EE"/>
    <w:rsid w:val="00812433"/>
    <w:rsid w:val="00812A5C"/>
    <w:rsid w:val="00812CAC"/>
    <w:rsid w:val="008131BB"/>
    <w:rsid w:val="00813CC1"/>
    <w:rsid w:val="00814715"/>
    <w:rsid w:val="00814E8D"/>
    <w:rsid w:val="008152C2"/>
    <w:rsid w:val="008153A7"/>
    <w:rsid w:val="0081596C"/>
    <w:rsid w:val="00815C90"/>
    <w:rsid w:val="00815F1C"/>
    <w:rsid w:val="00816401"/>
    <w:rsid w:val="008166EF"/>
    <w:rsid w:val="0081678D"/>
    <w:rsid w:val="00817318"/>
    <w:rsid w:val="00817F8E"/>
    <w:rsid w:val="008206FC"/>
    <w:rsid w:val="008211CF"/>
    <w:rsid w:val="00821816"/>
    <w:rsid w:val="008220F1"/>
    <w:rsid w:val="00822206"/>
    <w:rsid w:val="008222C8"/>
    <w:rsid w:val="0082267E"/>
    <w:rsid w:val="008227C9"/>
    <w:rsid w:val="00822833"/>
    <w:rsid w:val="0082312E"/>
    <w:rsid w:val="00823214"/>
    <w:rsid w:val="00824251"/>
    <w:rsid w:val="008248F2"/>
    <w:rsid w:val="008255A0"/>
    <w:rsid w:val="00825751"/>
    <w:rsid w:val="00825B38"/>
    <w:rsid w:val="00825FEA"/>
    <w:rsid w:val="008264EB"/>
    <w:rsid w:val="0082670F"/>
    <w:rsid w:val="00826B58"/>
    <w:rsid w:val="00826CFA"/>
    <w:rsid w:val="00826F21"/>
    <w:rsid w:val="00827AFE"/>
    <w:rsid w:val="00827D0D"/>
    <w:rsid w:val="00827F41"/>
    <w:rsid w:val="00831D65"/>
    <w:rsid w:val="00832156"/>
    <w:rsid w:val="0083244F"/>
    <w:rsid w:val="00832657"/>
    <w:rsid w:val="00832857"/>
    <w:rsid w:val="00833174"/>
    <w:rsid w:val="008332A3"/>
    <w:rsid w:val="008332C2"/>
    <w:rsid w:val="008334DC"/>
    <w:rsid w:val="00833A3D"/>
    <w:rsid w:val="00833B05"/>
    <w:rsid w:val="00833F3E"/>
    <w:rsid w:val="00834372"/>
    <w:rsid w:val="00834972"/>
    <w:rsid w:val="0083556B"/>
    <w:rsid w:val="00835683"/>
    <w:rsid w:val="00835937"/>
    <w:rsid w:val="00835C4B"/>
    <w:rsid w:val="00835F65"/>
    <w:rsid w:val="008361CA"/>
    <w:rsid w:val="00836217"/>
    <w:rsid w:val="008362B4"/>
    <w:rsid w:val="008363AC"/>
    <w:rsid w:val="00836810"/>
    <w:rsid w:val="008368EE"/>
    <w:rsid w:val="00836D54"/>
    <w:rsid w:val="00837FFD"/>
    <w:rsid w:val="00840503"/>
    <w:rsid w:val="00840B91"/>
    <w:rsid w:val="00840CA2"/>
    <w:rsid w:val="00840EAD"/>
    <w:rsid w:val="00841116"/>
    <w:rsid w:val="00841AEC"/>
    <w:rsid w:val="00841C50"/>
    <w:rsid w:val="00842765"/>
    <w:rsid w:val="00842966"/>
    <w:rsid w:val="00842CAF"/>
    <w:rsid w:val="00842D62"/>
    <w:rsid w:val="00843082"/>
    <w:rsid w:val="00843150"/>
    <w:rsid w:val="0084374F"/>
    <w:rsid w:val="00843D62"/>
    <w:rsid w:val="00843E90"/>
    <w:rsid w:val="00844355"/>
    <w:rsid w:val="00845E04"/>
    <w:rsid w:val="008460B2"/>
    <w:rsid w:val="00846144"/>
    <w:rsid w:val="008462F7"/>
    <w:rsid w:val="008466D7"/>
    <w:rsid w:val="00846B70"/>
    <w:rsid w:val="00846DD6"/>
    <w:rsid w:val="00846F07"/>
    <w:rsid w:val="008476A4"/>
    <w:rsid w:val="00847872"/>
    <w:rsid w:val="00847B64"/>
    <w:rsid w:val="00847DF5"/>
    <w:rsid w:val="00847F6E"/>
    <w:rsid w:val="00850128"/>
    <w:rsid w:val="00850268"/>
    <w:rsid w:val="008502DF"/>
    <w:rsid w:val="00850471"/>
    <w:rsid w:val="008504BF"/>
    <w:rsid w:val="00850F59"/>
    <w:rsid w:val="008516A8"/>
    <w:rsid w:val="008518FC"/>
    <w:rsid w:val="00851902"/>
    <w:rsid w:val="008519FC"/>
    <w:rsid w:val="00851A9E"/>
    <w:rsid w:val="00851B52"/>
    <w:rsid w:val="00851E6A"/>
    <w:rsid w:val="00851EA8"/>
    <w:rsid w:val="00852712"/>
    <w:rsid w:val="00852853"/>
    <w:rsid w:val="00852BCB"/>
    <w:rsid w:val="00852EB9"/>
    <w:rsid w:val="0085309D"/>
    <w:rsid w:val="0085322A"/>
    <w:rsid w:val="008532E5"/>
    <w:rsid w:val="00853956"/>
    <w:rsid w:val="00854782"/>
    <w:rsid w:val="00854C53"/>
    <w:rsid w:val="00854FF6"/>
    <w:rsid w:val="0085562C"/>
    <w:rsid w:val="00856743"/>
    <w:rsid w:val="00856897"/>
    <w:rsid w:val="00856A27"/>
    <w:rsid w:val="00856A2C"/>
    <w:rsid w:val="00856E37"/>
    <w:rsid w:val="00856E9A"/>
    <w:rsid w:val="00856F4A"/>
    <w:rsid w:val="00857984"/>
    <w:rsid w:val="00857B6F"/>
    <w:rsid w:val="00857FBA"/>
    <w:rsid w:val="00860038"/>
    <w:rsid w:val="00860319"/>
    <w:rsid w:val="0086059A"/>
    <w:rsid w:val="0086075D"/>
    <w:rsid w:val="00860A87"/>
    <w:rsid w:val="00860A8F"/>
    <w:rsid w:val="00860BD9"/>
    <w:rsid w:val="00860D53"/>
    <w:rsid w:val="008612C6"/>
    <w:rsid w:val="00861355"/>
    <w:rsid w:val="0086145F"/>
    <w:rsid w:val="008614CE"/>
    <w:rsid w:val="00861C14"/>
    <w:rsid w:val="00861CA4"/>
    <w:rsid w:val="00861E74"/>
    <w:rsid w:val="0086223B"/>
    <w:rsid w:val="00862502"/>
    <w:rsid w:val="0086268D"/>
    <w:rsid w:val="008626FA"/>
    <w:rsid w:val="00863129"/>
    <w:rsid w:val="008632CE"/>
    <w:rsid w:val="008637FF"/>
    <w:rsid w:val="00863EB5"/>
    <w:rsid w:val="0086412A"/>
    <w:rsid w:val="0086476E"/>
    <w:rsid w:val="00864BB5"/>
    <w:rsid w:val="00865729"/>
    <w:rsid w:val="00865A72"/>
    <w:rsid w:val="00865C86"/>
    <w:rsid w:val="008660D4"/>
    <w:rsid w:val="0086623C"/>
    <w:rsid w:val="00866913"/>
    <w:rsid w:val="00866FD0"/>
    <w:rsid w:val="008670A9"/>
    <w:rsid w:val="00867188"/>
    <w:rsid w:val="00867887"/>
    <w:rsid w:val="008709C1"/>
    <w:rsid w:val="00870D61"/>
    <w:rsid w:val="0087162C"/>
    <w:rsid w:val="00871FA9"/>
    <w:rsid w:val="00872211"/>
    <w:rsid w:val="00872623"/>
    <w:rsid w:val="008728E9"/>
    <w:rsid w:val="00873112"/>
    <w:rsid w:val="00873222"/>
    <w:rsid w:val="0087389A"/>
    <w:rsid w:val="00873988"/>
    <w:rsid w:val="008739E4"/>
    <w:rsid w:val="008743A4"/>
    <w:rsid w:val="008743EF"/>
    <w:rsid w:val="00874562"/>
    <w:rsid w:val="00875704"/>
    <w:rsid w:val="00875EC3"/>
    <w:rsid w:val="00875F55"/>
    <w:rsid w:val="0087608E"/>
    <w:rsid w:val="008761B7"/>
    <w:rsid w:val="008763D8"/>
    <w:rsid w:val="00876A0E"/>
    <w:rsid w:val="00876D80"/>
    <w:rsid w:val="00877155"/>
    <w:rsid w:val="00877BD1"/>
    <w:rsid w:val="00877BD9"/>
    <w:rsid w:val="00880098"/>
    <w:rsid w:val="00880B01"/>
    <w:rsid w:val="00880F28"/>
    <w:rsid w:val="00880FC9"/>
    <w:rsid w:val="008810C0"/>
    <w:rsid w:val="00881421"/>
    <w:rsid w:val="0088167C"/>
    <w:rsid w:val="008818E4"/>
    <w:rsid w:val="00881C1E"/>
    <w:rsid w:val="00881D15"/>
    <w:rsid w:val="00881E56"/>
    <w:rsid w:val="008820C0"/>
    <w:rsid w:val="00882874"/>
    <w:rsid w:val="00883787"/>
    <w:rsid w:val="008838DC"/>
    <w:rsid w:val="008839BC"/>
    <w:rsid w:val="00883B76"/>
    <w:rsid w:val="008842A7"/>
    <w:rsid w:val="00884898"/>
    <w:rsid w:val="00884D6A"/>
    <w:rsid w:val="00884F46"/>
    <w:rsid w:val="00885523"/>
    <w:rsid w:val="0088596B"/>
    <w:rsid w:val="00885C2F"/>
    <w:rsid w:val="00885D5B"/>
    <w:rsid w:val="008864CA"/>
    <w:rsid w:val="0088680C"/>
    <w:rsid w:val="00886A75"/>
    <w:rsid w:val="00886B52"/>
    <w:rsid w:val="00886BD6"/>
    <w:rsid w:val="00886CD2"/>
    <w:rsid w:val="00886F8F"/>
    <w:rsid w:val="00887633"/>
    <w:rsid w:val="00891788"/>
    <w:rsid w:val="00891957"/>
    <w:rsid w:val="008929AD"/>
    <w:rsid w:val="00892A25"/>
    <w:rsid w:val="00892A36"/>
    <w:rsid w:val="00892F03"/>
    <w:rsid w:val="00893196"/>
    <w:rsid w:val="00893239"/>
    <w:rsid w:val="008943F6"/>
    <w:rsid w:val="00894489"/>
    <w:rsid w:val="0089487E"/>
    <w:rsid w:val="00894DED"/>
    <w:rsid w:val="00894FEB"/>
    <w:rsid w:val="008952F9"/>
    <w:rsid w:val="0089560B"/>
    <w:rsid w:val="00895DA0"/>
    <w:rsid w:val="008963A5"/>
    <w:rsid w:val="0089648B"/>
    <w:rsid w:val="008965D7"/>
    <w:rsid w:val="00896D41"/>
    <w:rsid w:val="00897134"/>
    <w:rsid w:val="0089778C"/>
    <w:rsid w:val="008A04C9"/>
    <w:rsid w:val="008A0879"/>
    <w:rsid w:val="008A1120"/>
    <w:rsid w:val="008A19BC"/>
    <w:rsid w:val="008A1C24"/>
    <w:rsid w:val="008A27C1"/>
    <w:rsid w:val="008A3363"/>
    <w:rsid w:val="008A3371"/>
    <w:rsid w:val="008A3553"/>
    <w:rsid w:val="008A371A"/>
    <w:rsid w:val="008A3C3E"/>
    <w:rsid w:val="008A4716"/>
    <w:rsid w:val="008A4925"/>
    <w:rsid w:val="008A4BC0"/>
    <w:rsid w:val="008A4E3E"/>
    <w:rsid w:val="008A555E"/>
    <w:rsid w:val="008A5C23"/>
    <w:rsid w:val="008A606B"/>
    <w:rsid w:val="008A6253"/>
    <w:rsid w:val="008A6DD3"/>
    <w:rsid w:val="008A7029"/>
    <w:rsid w:val="008A71CB"/>
    <w:rsid w:val="008A7323"/>
    <w:rsid w:val="008A7395"/>
    <w:rsid w:val="008A757C"/>
    <w:rsid w:val="008A779D"/>
    <w:rsid w:val="008A77B5"/>
    <w:rsid w:val="008A795C"/>
    <w:rsid w:val="008A7961"/>
    <w:rsid w:val="008A79DE"/>
    <w:rsid w:val="008A7B49"/>
    <w:rsid w:val="008A7E22"/>
    <w:rsid w:val="008B0016"/>
    <w:rsid w:val="008B00C6"/>
    <w:rsid w:val="008B0193"/>
    <w:rsid w:val="008B0B91"/>
    <w:rsid w:val="008B10A7"/>
    <w:rsid w:val="008B13F0"/>
    <w:rsid w:val="008B174F"/>
    <w:rsid w:val="008B1757"/>
    <w:rsid w:val="008B1795"/>
    <w:rsid w:val="008B17A5"/>
    <w:rsid w:val="008B1E01"/>
    <w:rsid w:val="008B28B3"/>
    <w:rsid w:val="008B2C8A"/>
    <w:rsid w:val="008B2F06"/>
    <w:rsid w:val="008B2F8B"/>
    <w:rsid w:val="008B328E"/>
    <w:rsid w:val="008B39DD"/>
    <w:rsid w:val="008B49F6"/>
    <w:rsid w:val="008B4DD6"/>
    <w:rsid w:val="008B52F0"/>
    <w:rsid w:val="008B5735"/>
    <w:rsid w:val="008B5AB1"/>
    <w:rsid w:val="008B608C"/>
    <w:rsid w:val="008B60C3"/>
    <w:rsid w:val="008B62D8"/>
    <w:rsid w:val="008B6A57"/>
    <w:rsid w:val="008B7CB6"/>
    <w:rsid w:val="008B7D7E"/>
    <w:rsid w:val="008C07B1"/>
    <w:rsid w:val="008C0B28"/>
    <w:rsid w:val="008C0C31"/>
    <w:rsid w:val="008C1044"/>
    <w:rsid w:val="008C19AF"/>
    <w:rsid w:val="008C1CEE"/>
    <w:rsid w:val="008C1F8A"/>
    <w:rsid w:val="008C215D"/>
    <w:rsid w:val="008C22DB"/>
    <w:rsid w:val="008C2367"/>
    <w:rsid w:val="008C3458"/>
    <w:rsid w:val="008C37F0"/>
    <w:rsid w:val="008C38FD"/>
    <w:rsid w:val="008C3CD8"/>
    <w:rsid w:val="008C3DBE"/>
    <w:rsid w:val="008C3EC0"/>
    <w:rsid w:val="008C510E"/>
    <w:rsid w:val="008C514B"/>
    <w:rsid w:val="008C593E"/>
    <w:rsid w:val="008C5C78"/>
    <w:rsid w:val="008C5D6E"/>
    <w:rsid w:val="008C5EB0"/>
    <w:rsid w:val="008C6163"/>
    <w:rsid w:val="008C67C9"/>
    <w:rsid w:val="008C6C70"/>
    <w:rsid w:val="008C6FB7"/>
    <w:rsid w:val="008C7022"/>
    <w:rsid w:val="008C75D3"/>
    <w:rsid w:val="008C7ECB"/>
    <w:rsid w:val="008D01AC"/>
    <w:rsid w:val="008D04A9"/>
    <w:rsid w:val="008D04BD"/>
    <w:rsid w:val="008D0879"/>
    <w:rsid w:val="008D0A68"/>
    <w:rsid w:val="008D0C4B"/>
    <w:rsid w:val="008D1084"/>
    <w:rsid w:val="008D15FA"/>
    <w:rsid w:val="008D17D5"/>
    <w:rsid w:val="008D1942"/>
    <w:rsid w:val="008D1DBA"/>
    <w:rsid w:val="008D297E"/>
    <w:rsid w:val="008D2F5F"/>
    <w:rsid w:val="008D3051"/>
    <w:rsid w:val="008D4755"/>
    <w:rsid w:val="008D4860"/>
    <w:rsid w:val="008D4984"/>
    <w:rsid w:val="008D4C3D"/>
    <w:rsid w:val="008D5620"/>
    <w:rsid w:val="008D5A96"/>
    <w:rsid w:val="008D5CD2"/>
    <w:rsid w:val="008D6289"/>
    <w:rsid w:val="008D6783"/>
    <w:rsid w:val="008D680D"/>
    <w:rsid w:val="008D6E6A"/>
    <w:rsid w:val="008D743C"/>
    <w:rsid w:val="008D794A"/>
    <w:rsid w:val="008D7A0D"/>
    <w:rsid w:val="008D7BF4"/>
    <w:rsid w:val="008E01AB"/>
    <w:rsid w:val="008E03C7"/>
    <w:rsid w:val="008E0403"/>
    <w:rsid w:val="008E0D3C"/>
    <w:rsid w:val="008E0FE4"/>
    <w:rsid w:val="008E121F"/>
    <w:rsid w:val="008E14EB"/>
    <w:rsid w:val="008E1B9E"/>
    <w:rsid w:val="008E1E33"/>
    <w:rsid w:val="008E2A5E"/>
    <w:rsid w:val="008E2A90"/>
    <w:rsid w:val="008E2ECC"/>
    <w:rsid w:val="008E2EE7"/>
    <w:rsid w:val="008E35B7"/>
    <w:rsid w:val="008E4F65"/>
    <w:rsid w:val="008E5065"/>
    <w:rsid w:val="008E5216"/>
    <w:rsid w:val="008E5234"/>
    <w:rsid w:val="008E53BC"/>
    <w:rsid w:val="008E55AB"/>
    <w:rsid w:val="008E55CB"/>
    <w:rsid w:val="008E55F2"/>
    <w:rsid w:val="008E58FA"/>
    <w:rsid w:val="008E5BA4"/>
    <w:rsid w:val="008E5EBF"/>
    <w:rsid w:val="008E615B"/>
    <w:rsid w:val="008E654E"/>
    <w:rsid w:val="008E6740"/>
    <w:rsid w:val="008E6748"/>
    <w:rsid w:val="008E6779"/>
    <w:rsid w:val="008E68BF"/>
    <w:rsid w:val="008E6B93"/>
    <w:rsid w:val="008E7311"/>
    <w:rsid w:val="008E73EC"/>
    <w:rsid w:val="008E7534"/>
    <w:rsid w:val="008E7D3B"/>
    <w:rsid w:val="008E7E3C"/>
    <w:rsid w:val="008E7F64"/>
    <w:rsid w:val="008F0108"/>
    <w:rsid w:val="008F0A18"/>
    <w:rsid w:val="008F0E36"/>
    <w:rsid w:val="008F0E4A"/>
    <w:rsid w:val="008F11E3"/>
    <w:rsid w:val="008F120A"/>
    <w:rsid w:val="008F15D3"/>
    <w:rsid w:val="008F22B2"/>
    <w:rsid w:val="008F22E3"/>
    <w:rsid w:val="008F237E"/>
    <w:rsid w:val="008F2753"/>
    <w:rsid w:val="008F27E0"/>
    <w:rsid w:val="008F28B7"/>
    <w:rsid w:val="008F2962"/>
    <w:rsid w:val="008F2D78"/>
    <w:rsid w:val="008F2DE4"/>
    <w:rsid w:val="008F2EE4"/>
    <w:rsid w:val="008F3204"/>
    <w:rsid w:val="008F3720"/>
    <w:rsid w:val="008F3E1C"/>
    <w:rsid w:val="008F40A8"/>
    <w:rsid w:val="008F48EB"/>
    <w:rsid w:val="008F49DC"/>
    <w:rsid w:val="008F4C50"/>
    <w:rsid w:val="008F4F0B"/>
    <w:rsid w:val="008F5282"/>
    <w:rsid w:val="008F5886"/>
    <w:rsid w:val="008F5908"/>
    <w:rsid w:val="008F60C7"/>
    <w:rsid w:val="008F60F9"/>
    <w:rsid w:val="008F6951"/>
    <w:rsid w:val="008F71E4"/>
    <w:rsid w:val="008F7355"/>
    <w:rsid w:val="008F7CF8"/>
    <w:rsid w:val="008F7D6E"/>
    <w:rsid w:val="008F7DA9"/>
    <w:rsid w:val="008F7FD2"/>
    <w:rsid w:val="00900235"/>
    <w:rsid w:val="009005AE"/>
    <w:rsid w:val="0090066E"/>
    <w:rsid w:val="009007C5"/>
    <w:rsid w:val="0090085C"/>
    <w:rsid w:val="00900B2F"/>
    <w:rsid w:val="00900BF9"/>
    <w:rsid w:val="00900C46"/>
    <w:rsid w:val="00900E8D"/>
    <w:rsid w:val="00901345"/>
    <w:rsid w:val="00901539"/>
    <w:rsid w:val="0090157E"/>
    <w:rsid w:val="009015DC"/>
    <w:rsid w:val="00901CAD"/>
    <w:rsid w:val="00901E19"/>
    <w:rsid w:val="0090266C"/>
    <w:rsid w:val="009031EE"/>
    <w:rsid w:val="009034A1"/>
    <w:rsid w:val="009035D0"/>
    <w:rsid w:val="00903CDB"/>
    <w:rsid w:val="00903E96"/>
    <w:rsid w:val="009041F6"/>
    <w:rsid w:val="00904296"/>
    <w:rsid w:val="0090439B"/>
    <w:rsid w:val="009045AF"/>
    <w:rsid w:val="009045D7"/>
    <w:rsid w:val="009046C4"/>
    <w:rsid w:val="00904721"/>
    <w:rsid w:val="00904919"/>
    <w:rsid w:val="009054E2"/>
    <w:rsid w:val="00905570"/>
    <w:rsid w:val="00905B41"/>
    <w:rsid w:val="00905BAD"/>
    <w:rsid w:val="009062A5"/>
    <w:rsid w:val="0090661A"/>
    <w:rsid w:val="009069CB"/>
    <w:rsid w:val="00907165"/>
    <w:rsid w:val="00907861"/>
    <w:rsid w:val="00907A74"/>
    <w:rsid w:val="00907E20"/>
    <w:rsid w:val="00910D8E"/>
    <w:rsid w:val="00911272"/>
    <w:rsid w:val="009112FF"/>
    <w:rsid w:val="009119A4"/>
    <w:rsid w:val="00911CFE"/>
    <w:rsid w:val="0091264A"/>
    <w:rsid w:val="0091272E"/>
    <w:rsid w:val="00912786"/>
    <w:rsid w:val="0091323E"/>
    <w:rsid w:val="00913513"/>
    <w:rsid w:val="009135D6"/>
    <w:rsid w:val="00913788"/>
    <w:rsid w:val="00913EE2"/>
    <w:rsid w:val="009140CA"/>
    <w:rsid w:val="009143DD"/>
    <w:rsid w:val="00914C77"/>
    <w:rsid w:val="00914F24"/>
    <w:rsid w:val="00915024"/>
    <w:rsid w:val="00915E9C"/>
    <w:rsid w:val="009163B9"/>
    <w:rsid w:val="0091754C"/>
    <w:rsid w:val="009175B6"/>
    <w:rsid w:val="0091762C"/>
    <w:rsid w:val="00917F8A"/>
    <w:rsid w:val="009200DC"/>
    <w:rsid w:val="009209ED"/>
    <w:rsid w:val="00920B06"/>
    <w:rsid w:val="00920F6E"/>
    <w:rsid w:val="0092154E"/>
    <w:rsid w:val="0092165A"/>
    <w:rsid w:val="00921B4F"/>
    <w:rsid w:val="00921C3A"/>
    <w:rsid w:val="00921FB7"/>
    <w:rsid w:val="00922054"/>
    <w:rsid w:val="009223DC"/>
    <w:rsid w:val="00922460"/>
    <w:rsid w:val="00922588"/>
    <w:rsid w:val="009227EF"/>
    <w:rsid w:val="00922C7F"/>
    <w:rsid w:val="00923198"/>
    <w:rsid w:val="009231FC"/>
    <w:rsid w:val="009234E5"/>
    <w:rsid w:val="0092369B"/>
    <w:rsid w:val="00923D67"/>
    <w:rsid w:val="00924AF0"/>
    <w:rsid w:val="00924D76"/>
    <w:rsid w:val="0092515A"/>
    <w:rsid w:val="009251F0"/>
    <w:rsid w:val="00925964"/>
    <w:rsid w:val="00925D3D"/>
    <w:rsid w:val="00926326"/>
    <w:rsid w:val="009263AB"/>
    <w:rsid w:val="009264CB"/>
    <w:rsid w:val="0092659E"/>
    <w:rsid w:val="0092660F"/>
    <w:rsid w:val="009269CF"/>
    <w:rsid w:val="00927016"/>
    <w:rsid w:val="009278BF"/>
    <w:rsid w:val="009278F9"/>
    <w:rsid w:val="00927CE0"/>
    <w:rsid w:val="009301D2"/>
    <w:rsid w:val="0093020F"/>
    <w:rsid w:val="0093085D"/>
    <w:rsid w:val="00930BBE"/>
    <w:rsid w:val="009317E6"/>
    <w:rsid w:val="00931A4F"/>
    <w:rsid w:val="00931D82"/>
    <w:rsid w:val="00931FBC"/>
    <w:rsid w:val="0093200D"/>
    <w:rsid w:val="00933817"/>
    <w:rsid w:val="00933904"/>
    <w:rsid w:val="00933928"/>
    <w:rsid w:val="00933E9C"/>
    <w:rsid w:val="00934E54"/>
    <w:rsid w:val="0093583D"/>
    <w:rsid w:val="00936053"/>
    <w:rsid w:val="00936195"/>
    <w:rsid w:val="0093649B"/>
    <w:rsid w:val="00936639"/>
    <w:rsid w:val="00936B6B"/>
    <w:rsid w:val="00936F67"/>
    <w:rsid w:val="00936FF8"/>
    <w:rsid w:val="00937712"/>
    <w:rsid w:val="009411C4"/>
    <w:rsid w:val="009411DF"/>
    <w:rsid w:val="00941A4B"/>
    <w:rsid w:val="00941CC0"/>
    <w:rsid w:val="00941FBC"/>
    <w:rsid w:val="00942200"/>
    <w:rsid w:val="00942965"/>
    <w:rsid w:val="0094325B"/>
    <w:rsid w:val="009439D3"/>
    <w:rsid w:val="00943D94"/>
    <w:rsid w:val="009445F1"/>
    <w:rsid w:val="009446AC"/>
    <w:rsid w:val="0094476E"/>
    <w:rsid w:val="00944B74"/>
    <w:rsid w:val="00945130"/>
    <w:rsid w:val="00945266"/>
    <w:rsid w:val="00945347"/>
    <w:rsid w:val="009454F7"/>
    <w:rsid w:val="00945519"/>
    <w:rsid w:val="00946264"/>
    <w:rsid w:val="00946322"/>
    <w:rsid w:val="00946798"/>
    <w:rsid w:val="00946BA3"/>
    <w:rsid w:val="00947054"/>
    <w:rsid w:val="00947328"/>
    <w:rsid w:val="009473D1"/>
    <w:rsid w:val="00947A6B"/>
    <w:rsid w:val="00950625"/>
    <w:rsid w:val="009507E0"/>
    <w:rsid w:val="009510A2"/>
    <w:rsid w:val="00951424"/>
    <w:rsid w:val="009518CE"/>
    <w:rsid w:val="009519AA"/>
    <w:rsid w:val="00951C65"/>
    <w:rsid w:val="00951CBD"/>
    <w:rsid w:val="00951DFD"/>
    <w:rsid w:val="00952B40"/>
    <w:rsid w:val="00952CEE"/>
    <w:rsid w:val="00952D87"/>
    <w:rsid w:val="00952DD9"/>
    <w:rsid w:val="00953257"/>
    <w:rsid w:val="009538EF"/>
    <w:rsid w:val="00953D90"/>
    <w:rsid w:val="00953DD7"/>
    <w:rsid w:val="0095430E"/>
    <w:rsid w:val="009543CB"/>
    <w:rsid w:val="009545E0"/>
    <w:rsid w:val="009547A5"/>
    <w:rsid w:val="00955A1D"/>
    <w:rsid w:val="00955D3C"/>
    <w:rsid w:val="00955EFC"/>
    <w:rsid w:val="00956516"/>
    <w:rsid w:val="009567D2"/>
    <w:rsid w:val="009574E1"/>
    <w:rsid w:val="009577E3"/>
    <w:rsid w:val="00960011"/>
    <w:rsid w:val="009606A3"/>
    <w:rsid w:val="00960745"/>
    <w:rsid w:val="0096088E"/>
    <w:rsid w:val="0096096B"/>
    <w:rsid w:val="00960DAC"/>
    <w:rsid w:val="00960DB8"/>
    <w:rsid w:val="009611D5"/>
    <w:rsid w:val="009613AA"/>
    <w:rsid w:val="00961400"/>
    <w:rsid w:val="00961586"/>
    <w:rsid w:val="009616CA"/>
    <w:rsid w:val="00961804"/>
    <w:rsid w:val="00961E72"/>
    <w:rsid w:val="00961F80"/>
    <w:rsid w:val="0096216D"/>
    <w:rsid w:val="0096264A"/>
    <w:rsid w:val="0096264C"/>
    <w:rsid w:val="00962CB9"/>
    <w:rsid w:val="00962F50"/>
    <w:rsid w:val="00962F52"/>
    <w:rsid w:val="009630D5"/>
    <w:rsid w:val="009630F3"/>
    <w:rsid w:val="0096313A"/>
    <w:rsid w:val="00963346"/>
    <w:rsid w:val="009634A4"/>
    <w:rsid w:val="00963967"/>
    <w:rsid w:val="00963AF3"/>
    <w:rsid w:val="00963DA8"/>
    <w:rsid w:val="00963FDA"/>
    <w:rsid w:val="00964312"/>
    <w:rsid w:val="00964590"/>
    <w:rsid w:val="00964596"/>
    <w:rsid w:val="00964B4C"/>
    <w:rsid w:val="00964C88"/>
    <w:rsid w:val="00964E08"/>
    <w:rsid w:val="0096556E"/>
    <w:rsid w:val="009658B6"/>
    <w:rsid w:val="00965B8A"/>
    <w:rsid w:val="00966447"/>
    <w:rsid w:val="00966A58"/>
    <w:rsid w:val="00966A6F"/>
    <w:rsid w:val="00966C73"/>
    <w:rsid w:val="00966F1F"/>
    <w:rsid w:val="009677FE"/>
    <w:rsid w:val="00967F56"/>
    <w:rsid w:val="00970044"/>
    <w:rsid w:val="00970303"/>
    <w:rsid w:val="00970971"/>
    <w:rsid w:val="00971646"/>
    <w:rsid w:val="009717AC"/>
    <w:rsid w:val="0097193D"/>
    <w:rsid w:val="009719E6"/>
    <w:rsid w:val="00971B60"/>
    <w:rsid w:val="00972087"/>
    <w:rsid w:val="0097285C"/>
    <w:rsid w:val="00972EA8"/>
    <w:rsid w:val="00972F0A"/>
    <w:rsid w:val="00973BB0"/>
    <w:rsid w:val="0097440A"/>
    <w:rsid w:val="009744F1"/>
    <w:rsid w:val="00974B41"/>
    <w:rsid w:val="00974DCA"/>
    <w:rsid w:val="00974EA7"/>
    <w:rsid w:val="00974FD2"/>
    <w:rsid w:val="009750AB"/>
    <w:rsid w:val="00975DE9"/>
    <w:rsid w:val="00975EC8"/>
    <w:rsid w:val="009768AB"/>
    <w:rsid w:val="00977C21"/>
    <w:rsid w:val="00977C38"/>
    <w:rsid w:val="00977C6C"/>
    <w:rsid w:val="00977D8A"/>
    <w:rsid w:val="0098006B"/>
    <w:rsid w:val="009806DE"/>
    <w:rsid w:val="00980BCA"/>
    <w:rsid w:val="00981384"/>
    <w:rsid w:val="00981437"/>
    <w:rsid w:val="00982547"/>
    <w:rsid w:val="00982A22"/>
    <w:rsid w:val="00982C56"/>
    <w:rsid w:val="00982D3F"/>
    <w:rsid w:val="0098380D"/>
    <w:rsid w:val="00983DE5"/>
    <w:rsid w:val="00983E57"/>
    <w:rsid w:val="009843B7"/>
    <w:rsid w:val="009845C0"/>
    <w:rsid w:val="009846BA"/>
    <w:rsid w:val="009849B8"/>
    <w:rsid w:val="00984A8A"/>
    <w:rsid w:val="00985571"/>
    <w:rsid w:val="009860B9"/>
    <w:rsid w:val="0098633F"/>
    <w:rsid w:val="009866EE"/>
    <w:rsid w:val="0098675D"/>
    <w:rsid w:val="0098682D"/>
    <w:rsid w:val="00987A14"/>
    <w:rsid w:val="00987DE9"/>
    <w:rsid w:val="00987E7C"/>
    <w:rsid w:val="00990A2F"/>
    <w:rsid w:val="00990E95"/>
    <w:rsid w:val="009914EF"/>
    <w:rsid w:val="00991A03"/>
    <w:rsid w:val="00991A0A"/>
    <w:rsid w:val="00991B02"/>
    <w:rsid w:val="00991D4F"/>
    <w:rsid w:val="00991D81"/>
    <w:rsid w:val="0099248E"/>
    <w:rsid w:val="00992641"/>
    <w:rsid w:val="00992AE2"/>
    <w:rsid w:val="00992DBF"/>
    <w:rsid w:val="00993071"/>
    <w:rsid w:val="00993134"/>
    <w:rsid w:val="0099317B"/>
    <w:rsid w:val="009933E7"/>
    <w:rsid w:val="009937E2"/>
    <w:rsid w:val="009939BA"/>
    <w:rsid w:val="00993DBD"/>
    <w:rsid w:val="0099497F"/>
    <w:rsid w:val="00994F8D"/>
    <w:rsid w:val="0099518B"/>
    <w:rsid w:val="009951BA"/>
    <w:rsid w:val="0099569A"/>
    <w:rsid w:val="00995983"/>
    <w:rsid w:val="00995D42"/>
    <w:rsid w:val="00996207"/>
    <w:rsid w:val="009963EA"/>
    <w:rsid w:val="009969B7"/>
    <w:rsid w:val="00996B1A"/>
    <w:rsid w:val="00996D9C"/>
    <w:rsid w:val="009977D4"/>
    <w:rsid w:val="009A0688"/>
    <w:rsid w:val="009A0980"/>
    <w:rsid w:val="009A0D86"/>
    <w:rsid w:val="009A1331"/>
    <w:rsid w:val="009A163D"/>
    <w:rsid w:val="009A1857"/>
    <w:rsid w:val="009A1D8D"/>
    <w:rsid w:val="009A201F"/>
    <w:rsid w:val="009A25D1"/>
    <w:rsid w:val="009A2909"/>
    <w:rsid w:val="009A35C2"/>
    <w:rsid w:val="009A35DB"/>
    <w:rsid w:val="009A3684"/>
    <w:rsid w:val="009A3A50"/>
    <w:rsid w:val="009A451E"/>
    <w:rsid w:val="009A45A2"/>
    <w:rsid w:val="009A49BC"/>
    <w:rsid w:val="009A53C5"/>
    <w:rsid w:val="009A56DB"/>
    <w:rsid w:val="009A5CA5"/>
    <w:rsid w:val="009A601E"/>
    <w:rsid w:val="009A6027"/>
    <w:rsid w:val="009A64AF"/>
    <w:rsid w:val="009A6999"/>
    <w:rsid w:val="009A6F4F"/>
    <w:rsid w:val="009A7A1D"/>
    <w:rsid w:val="009A7E04"/>
    <w:rsid w:val="009A7E3F"/>
    <w:rsid w:val="009A7F10"/>
    <w:rsid w:val="009B0176"/>
    <w:rsid w:val="009B0476"/>
    <w:rsid w:val="009B05A6"/>
    <w:rsid w:val="009B0CE1"/>
    <w:rsid w:val="009B10C6"/>
    <w:rsid w:val="009B12AC"/>
    <w:rsid w:val="009B15A1"/>
    <w:rsid w:val="009B2939"/>
    <w:rsid w:val="009B2DDE"/>
    <w:rsid w:val="009B2F0A"/>
    <w:rsid w:val="009B3455"/>
    <w:rsid w:val="009B370C"/>
    <w:rsid w:val="009B3DEE"/>
    <w:rsid w:val="009B3E1F"/>
    <w:rsid w:val="009B3E26"/>
    <w:rsid w:val="009B4112"/>
    <w:rsid w:val="009B4AA2"/>
    <w:rsid w:val="009B51EB"/>
    <w:rsid w:val="009B529E"/>
    <w:rsid w:val="009B5937"/>
    <w:rsid w:val="009B5B55"/>
    <w:rsid w:val="009B6054"/>
    <w:rsid w:val="009B6063"/>
    <w:rsid w:val="009B63B6"/>
    <w:rsid w:val="009B7000"/>
    <w:rsid w:val="009B72EC"/>
    <w:rsid w:val="009B7984"/>
    <w:rsid w:val="009C0268"/>
    <w:rsid w:val="009C052B"/>
    <w:rsid w:val="009C073C"/>
    <w:rsid w:val="009C079C"/>
    <w:rsid w:val="009C19CC"/>
    <w:rsid w:val="009C1AE2"/>
    <w:rsid w:val="009C1D20"/>
    <w:rsid w:val="009C1EE6"/>
    <w:rsid w:val="009C2129"/>
    <w:rsid w:val="009C31A7"/>
    <w:rsid w:val="009C31F5"/>
    <w:rsid w:val="009C3924"/>
    <w:rsid w:val="009C3D2E"/>
    <w:rsid w:val="009C3D85"/>
    <w:rsid w:val="009C43AA"/>
    <w:rsid w:val="009C474A"/>
    <w:rsid w:val="009C4E40"/>
    <w:rsid w:val="009C4F33"/>
    <w:rsid w:val="009C510D"/>
    <w:rsid w:val="009C5140"/>
    <w:rsid w:val="009C51DA"/>
    <w:rsid w:val="009C562D"/>
    <w:rsid w:val="009C5938"/>
    <w:rsid w:val="009C5ADC"/>
    <w:rsid w:val="009C5B53"/>
    <w:rsid w:val="009C62D2"/>
    <w:rsid w:val="009C6C26"/>
    <w:rsid w:val="009C6CEA"/>
    <w:rsid w:val="009C6FA9"/>
    <w:rsid w:val="009C753C"/>
    <w:rsid w:val="009C7B85"/>
    <w:rsid w:val="009D00A6"/>
    <w:rsid w:val="009D0593"/>
    <w:rsid w:val="009D0979"/>
    <w:rsid w:val="009D0F9E"/>
    <w:rsid w:val="009D111D"/>
    <w:rsid w:val="009D15C3"/>
    <w:rsid w:val="009D1B79"/>
    <w:rsid w:val="009D2942"/>
    <w:rsid w:val="009D31CB"/>
    <w:rsid w:val="009D352B"/>
    <w:rsid w:val="009D3B7F"/>
    <w:rsid w:val="009D3E5D"/>
    <w:rsid w:val="009D4091"/>
    <w:rsid w:val="009D43E7"/>
    <w:rsid w:val="009D48E1"/>
    <w:rsid w:val="009D4B41"/>
    <w:rsid w:val="009D5806"/>
    <w:rsid w:val="009D5959"/>
    <w:rsid w:val="009D5984"/>
    <w:rsid w:val="009D5A9E"/>
    <w:rsid w:val="009D5B91"/>
    <w:rsid w:val="009D622F"/>
    <w:rsid w:val="009D62C4"/>
    <w:rsid w:val="009D6D13"/>
    <w:rsid w:val="009D6D57"/>
    <w:rsid w:val="009D706F"/>
    <w:rsid w:val="009D7300"/>
    <w:rsid w:val="009D792E"/>
    <w:rsid w:val="009D7CE4"/>
    <w:rsid w:val="009D7DC5"/>
    <w:rsid w:val="009D7EBD"/>
    <w:rsid w:val="009E07D6"/>
    <w:rsid w:val="009E094F"/>
    <w:rsid w:val="009E095B"/>
    <w:rsid w:val="009E0C0C"/>
    <w:rsid w:val="009E0DFE"/>
    <w:rsid w:val="009E0E44"/>
    <w:rsid w:val="009E13C7"/>
    <w:rsid w:val="009E1C79"/>
    <w:rsid w:val="009E2B92"/>
    <w:rsid w:val="009E2D4C"/>
    <w:rsid w:val="009E30E7"/>
    <w:rsid w:val="009E36C5"/>
    <w:rsid w:val="009E37B2"/>
    <w:rsid w:val="009E402B"/>
    <w:rsid w:val="009E4179"/>
    <w:rsid w:val="009E4854"/>
    <w:rsid w:val="009E4A28"/>
    <w:rsid w:val="009E4A80"/>
    <w:rsid w:val="009E4C07"/>
    <w:rsid w:val="009E4D41"/>
    <w:rsid w:val="009E5431"/>
    <w:rsid w:val="009E54FE"/>
    <w:rsid w:val="009E5D43"/>
    <w:rsid w:val="009E5FAE"/>
    <w:rsid w:val="009E642F"/>
    <w:rsid w:val="009E6B66"/>
    <w:rsid w:val="009E6D26"/>
    <w:rsid w:val="009E6DE5"/>
    <w:rsid w:val="009E6DFF"/>
    <w:rsid w:val="009E7D4B"/>
    <w:rsid w:val="009E7E43"/>
    <w:rsid w:val="009F0CC2"/>
    <w:rsid w:val="009F0E1C"/>
    <w:rsid w:val="009F10BC"/>
    <w:rsid w:val="009F1553"/>
    <w:rsid w:val="009F16DD"/>
    <w:rsid w:val="009F3056"/>
    <w:rsid w:val="009F327E"/>
    <w:rsid w:val="009F3477"/>
    <w:rsid w:val="009F44E4"/>
    <w:rsid w:val="009F46CC"/>
    <w:rsid w:val="009F4AE2"/>
    <w:rsid w:val="009F6499"/>
    <w:rsid w:val="009F65FB"/>
    <w:rsid w:val="009F6885"/>
    <w:rsid w:val="009F6EBB"/>
    <w:rsid w:val="009F7022"/>
    <w:rsid w:val="009F736B"/>
    <w:rsid w:val="009F73B9"/>
    <w:rsid w:val="009F78C4"/>
    <w:rsid w:val="009F7962"/>
    <w:rsid w:val="009F7D4C"/>
    <w:rsid w:val="00A00191"/>
    <w:rsid w:val="00A0024F"/>
    <w:rsid w:val="00A00851"/>
    <w:rsid w:val="00A00B12"/>
    <w:rsid w:val="00A00C91"/>
    <w:rsid w:val="00A00F1E"/>
    <w:rsid w:val="00A01184"/>
    <w:rsid w:val="00A012C2"/>
    <w:rsid w:val="00A0262B"/>
    <w:rsid w:val="00A0264E"/>
    <w:rsid w:val="00A026C4"/>
    <w:rsid w:val="00A02D4F"/>
    <w:rsid w:val="00A02DD3"/>
    <w:rsid w:val="00A02F01"/>
    <w:rsid w:val="00A0312C"/>
    <w:rsid w:val="00A034CB"/>
    <w:rsid w:val="00A03CB6"/>
    <w:rsid w:val="00A03D43"/>
    <w:rsid w:val="00A04278"/>
    <w:rsid w:val="00A04380"/>
    <w:rsid w:val="00A04723"/>
    <w:rsid w:val="00A048E1"/>
    <w:rsid w:val="00A05518"/>
    <w:rsid w:val="00A05589"/>
    <w:rsid w:val="00A057E9"/>
    <w:rsid w:val="00A058B1"/>
    <w:rsid w:val="00A05C59"/>
    <w:rsid w:val="00A05D9E"/>
    <w:rsid w:val="00A05DBA"/>
    <w:rsid w:val="00A05DE3"/>
    <w:rsid w:val="00A05E53"/>
    <w:rsid w:val="00A06110"/>
    <w:rsid w:val="00A06854"/>
    <w:rsid w:val="00A06F1B"/>
    <w:rsid w:val="00A07133"/>
    <w:rsid w:val="00A0740A"/>
    <w:rsid w:val="00A07723"/>
    <w:rsid w:val="00A07B00"/>
    <w:rsid w:val="00A07B19"/>
    <w:rsid w:val="00A10069"/>
    <w:rsid w:val="00A10BC9"/>
    <w:rsid w:val="00A10D74"/>
    <w:rsid w:val="00A10DC0"/>
    <w:rsid w:val="00A11CD0"/>
    <w:rsid w:val="00A11F43"/>
    <w:rsid w:val="00A124DA"/>
    <w:rsid w:val="00A1299C"/>
    <w:rsid w:val="00A12E55"/>
    <w:rsid w:val="00A12F17"/>
    <w:rsid w:val="00A12F1E"/>
    <w:rsid w:val="00A12FDC"/>
    <w:rsid w:val="00A133B8"/>
    <w:rsid w:val="00A13948"/>
    <w:rsid w:val="00A13CD6"/>
    <w:rsid w:val="00A13D5E"/>
    <w:rsid w:val="00A14B5D"/>
    <w:rsid w:val="00A15286"/>
    <w:rsid w:val="00A1555B"/>
    <w:rsid w:val="00A155C5"/>
    <w:rsid w:val="00A15ED9"/>
    <w:rsid w:val="00A1632F"/>
    <w:rsid w:val="00A166C1"/>
    <w:rsid w:val="00A1676A"/>
    <w:rsid w:val="00A168B1"/>
    <w:rsid w:val="00A16AD8"/>
    <w:rsid w:val="00A1707F"/>
    <w:rsid w:val="00A17740"/>
    <w:rsid w:val="00A1786F"/>
    <w:rsid w:val="00A17C72"/>
    <w:rsid w:val="00A20561"/>
    <w:rsid w:val="00A20C75"/>
    <w:rsid w:val="00A20C76"/>
    <w:rsid w:val="00A21385"/>
    <w:rsid w:val="00A214C1"/>
    <w:rsid w:val="00A219BC"/>
    <w:rsid w:val="00A21A37"/>
    <w:rsid w:val="00A21AE6"/>
    <w:rsid w:val="00A21B7B"/>
    <w:rsid w:val="00A21CF3"/>
    <w:rsid w:val="00A22BB8"/>
    <w:rsid w:val="00A23696"/>
    <w:rsid w:val="00A23D9A"/>
    <w:rsid w:val="00A2479E"/>
    <w:rsid w:val="00A24837"/>
    <w:rsid w:val="00A2488B"/>
    <w:rsid w:val="00A24D06"/>
    <w:rsid w:val="00A24E3C"/>
    <w:rsid w:val="00A24F30"/>
    <w:rsid w:val="00A254F8"/>
    <w:rsid w:val="00A255F1"/>
    <w:rsid w:val="00A25A09"/>
    <w:rsid w:val="00A25CB6"/>
    <w:rsid w:val="00A26DBD"/>
    <w:rsid w:val="00A27915"/>
    <w:rsid w:val="00A27AEC"/>
    <w:rsid w:val="00A27FC2"/>
    <w:rsid w:val="00A30110"/>
    <w:rsid w:val="00A30665"/>
    <w:rsid w:val="00A3083B"/>
    <w:rsid w:val="00A30D82"/>
    <w:rsid w:val="00A30F12"/>
    <w:rsid w:val="00A319BD"/>
    <w:rsid w:val="00A31F56"/>
    <w:rsid w:val="00A320DB"/>
    <w:rsid w:val="00A32177"/>
    <w:rsid w:val="00A32C95"/>
    <w:rsid w:val="00A33153"/>
    <w:rsid w:val="00A33A31"/>
    <w:rsid w:val="00A33D2F"/>
    <w:rsid w:val="00A34D8A"/>
    <w:rsid w:val="00A34DFE"/>
    <w:rsid w:val="00A34EF7"/>
    <w:rsid w:val="00A34EF8"/>
    <w:rsid w:val="00A3531A"/>
    <w:rsid w:val="00A3535F"/>
    <w:rsid w:val="00A354D2"/>
    <w:rsid w:val="00A35522"/>
    <w:rsid w:val="00A35D16"/>
    <w:rsid w:val="00A35D2B"/>
    <w:rsid w:val="00A36F56"/>
    <w:rsid w:val="00A3703E"/>
    <w:rsid w:val="00A372C7"/>
    <w:rsid w:val="00A372DA"/>
    <w:rsid w:val="00A378EA"/>
    <w:rsid w:val="00A37AA6"/>
    <w:rsid w:val="00A37BBA"/>
    <w:rsid w:val="00A37BC9"/>
    <w:rsid w:val="00A37BCD"/>
    <w:rsid w:val="00A40411"/>
    <w:rsid w:val="00A40497"/>
    <w:rsid w:val="00A404AD"/>
    <w:rsid w:val="00A411DF"/>
    <w:rsid w:val="00A41671"/>
    <w:rsid w:val="00A41747"/>
    <w:rsid w:val="00A4192F"/>
    <w:rsid w:val="00A41DF5"/>
    <w:rsid w:val="00A42142"/>
    <w:rsid w:val="00A42770"/>
    <w:rsid w:val="00A42A2F"/>
    <w:rsid w:val="00A42EA4"/>
    <w:rsid w:val="00A4330C"/>
    <w:rsid w:val="00A4360E"/>
    <w:rsid w:val="00A4367C"/>
    <w:rsid w:val="00A439F4"/>
    <w:rsid w:val="00A43C59"/>
    <w:rsid w:val="00A4462C"/>
    <w:rsid w:val="00A44A05"/>
    <w:rsid w:val="00A44E06"/>
    <w:rsid w:val="00A46132"/>
    <w:rsid w:val="00A46A33"/>
    <w:rsid w:val="00A47B29"/>
    <w:rsid w:val="00A509BC"/>
    <w:rsid w:val="00A50C4C"/>
    <w:rsid w:val="00A50ECD"/>
    <w:rsid w:val="00A5128B"/>
    <w:rsid w:val="00A515A7"/>
    <w:rsid w:val="00A51716"/>
    <w:rsid w:val="00A517A9"/>
    <w:rsid w:val="00A518F3"/>
    <w:rsid w:val="00A51A72"/>
    <w:rsid w:val="00A51D5C"/>
    <w:rsid w:val="00A51F40"/>
    <w:rsid w:val="00A51FAE"/>
    <w:rsid w:val="00A5202A"/>
    <w:rsid w:val="00A52636"/>
    <w:rsid w:val="00A52729"/>
    <w:rsid w:val="00A53181"/>
    <w:rsid w:val="00A535EF"/>
    <w:rsid w:val="00A53675"/>
    <w:rsid w:val="00A54942"/>
    <w:rsid w:val="00A54AA3"/>
    <w:rsid w:val="00A54AD8"/>
    <w:rsid w:val="00A54CE4"/>
    <w:rsid w:val="00A54F59"/>
    <w:rsid w:val="00A552A1"/>
    <w:rsid w:val="00A552CB"/>
    <w:rsid w:val="00A5535B"/>
    <w:rsid w:val="00A55483"/>
    <w:rsid w:val="00A5557C"/>
    <w:rsid w:val="00A5615B"/>
    <w:rsid w:val="00A563E4"/>
    <w:rsid w:val="00A564D7"/>
    <w:rsid w:val="00A5657C"/>
    <w:rsid w:val="00A5689F"/>
    <w:rsid w:val="00A56B6A"/>
    <w:rsid w:val="00A578DC"/>
    <w:rsid w:val="00A57B88"/>
    <w:rsid w:val="00A57C5A"/>
    <w:rsid w:val="00A600FB"/>
    <w:rsid w:val="00A6020D"/>
    <w:rsid w:val="00A60318"/>
    <w:rsid w:val="00A60E38"/>
    <w:rsid w:val="00A61154"/>
    <w:rsid w:val="00A612F1"/>
    <w:rsid w:val="00A61380"/>
    <w:rsid w:val="00A615AB"/>
    <w:rsid w:val="00A61647"/>
    <w:rsid w:val="00A618DC"/>
    <w:rsid w:val="00A61B4B"/>
    <w:rsid w:val="00A624DA"/>
    <w:rsid w:val="00A62C1D"/>
    <w:rsid w:val="00A6453E"/>
    <w:rsid w:val="00A6483F"/>
    <w:rsid w:val="00A648B1"/>
    <w:rsid w:val="00A64CB7"/>
    <w:rsid w:val="00A64E48"/>
    <w:rsid w:val="00A65EA8"/>
    <w:rsid w:val="00A6633F"/>
    <w:rsid w:val="00A66644"/>
    <w:rsid w:val="00A66B03"/>
    <w:rsid w:val="00A66CBB"/>
    <w:rsid w:val="00A66E50"/>
    <w:rsid w:val="00A6725B"/>
    <w:rsid w:val="00A673C2"/>
    <w:rsid w:val="00A67A04"/>
    <w:rsid w:val="00A7025C"/>
    <w:rsid w:val="00A70456"/>
    <w:rsid w:val="00A70605"/>
    <w:rsid w:val="00A70728"/>
    <w:rsid w:val="00A70AC5"/>
    <w:rsid w:val="00A71052"/>
    <w:rsid w:val="00A71075"/>
    <w:rsid w:val="00A711CD"/>
    <w:rsid w:val="00A7163B"/>
    <w:rsid w:val="00A71652"/>
    <w:rsid w:val="00A71721"/>
    <w:rsid w:val="00A71FA0"/>
    <w:rsid w:val="00A7216B"/>
    <w:rsid w:val="00A72916"/>
    <w:rsid w:val="00A72A45"/>
    <w:rsid w:val="00A72CED"/>
    <w:rsid w:val="00A72F11"/>
    <w:rsid w:val="00A72FF6"/>
    <w:rsid w:val="00A73134"/>
    <w:rsid w:val="00A73224"/>
    <w:rsid w:val="00A734FB"/>
    <w:rsid w:val="00A7374E"/>
    <w:rsid w:val="00A73768"/>
    <w:rsid w:val="00A7395A"/>
    <w:rsid w:val="00A73B23"/>
    <w:rsid w:val="00A73D4F"/>
    <w:rsid w:val="00A73E67"/>
    <w:rsid w:val="00A73E92"/>
    <w:rsid w:val="00A74067"/>
    <w:rsid w:val="00A741B8"/>
    <w:rsid w:val="00A7467B"/>
    <w:rsid w:val="00A749BE"/>
    <w:rsid w:val="00A74DD7"/>
    <w:rsid w:val="00A754EB"/>
    <w:rsid w:val="00A75625"/>
    <w:rsid w:val="00A759B6"/>
    <w:rsid w:val="00A75F0C"/>
    <w:rsid w:val="00A76257"/>
    <w:rsid w:val="00A769FB"/>
    <w:rsid w:val="00A76B9B"/>
    <w:rsid w:val="00A7718F"/>
    <w:rsid w:val="00A7777A"/>
    <w:rsid w:val="00A777B2"/>
    <w:rsid w:val="00A806FC"/>
    <w:rsid w:val="00A80DCC"/>
    <w:rsid w:val="00A81142"/>
    <w:rsid w:val="00A8127D"/>
    <w:rsid w:val="00A81653"/>
    <w:rsid w:val="00A81C6F"/>
    <w:rsid w:val="00A81E66"/>
    <w:rsid w:val="00A81F2D"/>
    <w:rsid w:val="00A82800"/>
    <w:rsid w:val="00A82E43"/>
    <w:rsid w:val="00A83A25"/>
    <w:rsid w:val="00A83D77"/>
    <w:rsid w:val="00A83FCD"/>
    <w:rsid w:val="00A83FCE"/>
    <w:rsid w:val="00A844AB"/>
    <w:rsid w:val="00A84958"/>
    <w:rsid w:val="00A84F72"/>
    <w:rsid w:val="00A85392"/>
    <w:rsid w:val="00A85400"/>
    <w:rsid w:val="00A85E46"/>
    <w:rsid w:val="00A86148"/>
    <w:rsid w:val="00A86531"/>
    <w:rsid w:val="00A86C56"/>
    <w:rsid w:val="00A86D80"/>
    <w:rsid w:val="00A86E8B"/>
    <w:rsid w:val="00A87164"/>
    <w:rsid w:val="00A875CA"/>
    <w:rsid w:val="00A87875"/>
    <w:rsid w:val="00A900E2"/>
    <w:rsid w:val="00A901F3"/>
    <w:rsid w:val="00A90551"/>
    <w:rsid w:val="00A90CEA"/>
    <w:rsid w:val="00A911D8"/>
    <w:rsid w:val="00A9182C"/>
    <w:rsid w:val="00A918A2"/>
    <w:rsid w:val="00A9196E"/>
    <w:rsid w:val="00A91D97"/>
    <w:rsid w:val="00A9200F"/>
    <w:rsid w:val="00A92365"/>
    <w:rsid w:val="00A92A5F"/>
    <w:rsid w:val="00A92FA2"/>
    <w:rsid w:val="00A93072"/>
    <w:rsid w:val="00A930D9"/>
    <w:rsid w:val="00A93648"/>
    <w:rsid w:val="00A93953"/>
    <w:rsid w:val="00A93E5A"/>
    <w:rsid w:val="00A944DF"/>
    <w:rsid w:val="00A9460E"/>
    <w:rsid w:val="00A94B7C"/>
    <w:rsid w:val="00A94EA4"/>
    <w:rsid w:val="00A959D8"/>
    <w:rsid w:val="00A95B2F"/>
    <w:rsid w:val="00A96012"/>
    <w:rsid w:val="00A96646"/>
    <w:rsid w:val="00A96E7B"/>
    <w:rsid w:val="00A9700B"/>
    <w:rsid w:val="00A97036"/>
    <w:rsid w:val="00A978ED"/>
    <w:rsid w:val="00A97BFA"/>
    <w:rsid w:val="00AA00B2"/>
    <w:rsid w:val="00AA0212"/>
    <w:rsid w:val="00AA037D"/>
    <w:rsid w:val="00AA0942"/>
    <w:rsid w:val="00AA0F75"/>
    <w:rsid w:val="00AA0FCC"/>
    <w:rsid w:val="00AA113D"/>
    <w:rsid w:val="00AA170A"/>
    <w:rsid w:val="00AA178B"/>
    <w:rsid w:val="00AA1DD3"/>
    <w:rsid w:val="00AA2A49"/>
    <w:rsid w:val="00AA2CD5"/>
    <w:rsid w:val="00AA3672"/>
    <w:rsid w:val="00AA36D8"/>
    <w:rsid w:val="00AA3C58"/>
    <w:rsid w:val="00AA40CF"/>
    <w:rsid w:val="00AA4B33"/>
    <w:rsid w:val="00AA4CCB"/>
    <w:rsid w:val="00AA5C68"/>
    <w:rsid w:val="00AA5EB7"/>
    <w:rsid w:val="00AA609F"/>
    <w:rsid w:val="00AA6228"/>
    <w:rsid w:val="00AA6A02"/>
    <w:rsid w:val="00AA6C7D"/>
    <w:rsid w:val="00AA6CD4"/>
    <w:rsid w:val="00AA6F89"/>
    <w:rsid w:val="00AA71B7"/>
    <w:rsid w:val="00AA78D8"/>
    <w:rsid w:val="00AA7B14"/>
    <w:rsid w:val="00AA7FD6"/>
    <w:rsid w:val="00AB042A"/>
    <w:rsid w:val="00AB05DC"/>
    <w:rsid w:val="00AB1158"/>
    <w:rsid w:val="00AB2504"/>
    <w:rsid w:val="00AB293F"/>
    <w:rsid w:val="00AB2C28"/>
    <w:rsid w:val="00AB2D34"/>
    <w:rsid w:val="00AB2E08"/>
    <w:rsid w:val="00AB2F7B"/>
    <w:rsid w:val="00AB3058"/>
    <w:rsid w:val="00AB3430"/>
    <w:rsid w:val="00AB34AA"/>
    <w:rsid w:val="00AB3623"/>
    <w:rsid w:val="00AB3745"/>
    <w:rsid w:val="00AB3C73"/>
    <w:rsid w:val="00AB428D"/>
    <w:rsid w:val="00AB4850"/>
    <w:rsid w:val="00AB4AD1"/>
    <w:rsid w:val="00AB4C04"/>
    <w:rsid w:val="00AB4D80"/>
    <w:rsid w:val="00AB51C4"/>
    <w:rsid w:val="00AB5887"/>
    <w:rsid w:val="00AB5BA1"/>
    <w:rsid w:val="00AB61A9"/>
    <w:rsid w:val="00AB66E4"/>
    <w:rsid w:val="00AB67B5"/>
    <w:rsid w:val="00AB6C6A"/>
    <w:rsid w:val="00AB6E20"/>
    <w:rsid w:val="00AB7121"/>
    <w:rsid w:val="00AB713B"/>
    <w:rsid w:val="00AB7A80"/>
    <w:rsid w:val="00AB7CFA"/>
    <w:rsid w:val="00AB7D9B"/>
    <w:rsid w:val="00AB7F7E"/>
    <w:rsid w:val="00AB7F80"/>
    <w:rsid w:val="00AC0668"/>
    <w:rsid w:val="00AC0D59"/>
    <w:rsid w:val="00AC0EE6"/>
    <w:rsid w:val="00AC1560"/>
    <w:rsid w:val="00AC1738"/>
    <w:rsid w:val="00AC17C8"/>
    <w:rsid w:val="00AC19E2"/>
    <w:rsid w:val="00AC22B2"/>
    <w:rsid w:val="00AC26BE"/>
    <w:rsid w:val="00AC2D2C"/>
    <w:rsid w:val="00AC326F"/>
    <w:rsid w:val="00AC4351"/>
    <w:rsid w:val="00AC4552"/>
    <w:rsid w:val="00AC4813"/>
    <w:rsid w:val="00AC48D6"/>
    <w:rsid w:val="00AC4C61"/>
    <w:rsid w:val="00AC4E71"/>
    <w:rsid w:val="00AC507F"/>
    <w:rsid w:val="00AC51D0"/>
    <w:rsid w:val="00AC5B48"/>
    <w:rsid w:val="00AC5BEB"/>
    <w:rsid w:val="00AC6106"/>
    <w:rsid w:val="00AC626E"/>
    <w:rsid w:val="00AC705D"/>
    <w:rsid w:val="00AC7142"/>
    <w:rsid w:val="00AC722E"/>
    <w:rsid w:val="00AC75A2"/>
    <w:rsid w:val="00AD0112"/>
    <w:rsid w:val="00AD0283"/>
    <w:rsid w:val="00AD03E8"/>
    <w:rsid w:val="00AD0D15"/>
    <w:rsid w:val="00AD0D63"/>
    <w:rsid w:val="00AD0D73"/>
    <w:rsid w:val="00AD107E"/>
    <w:rsid w:val="00AD1129"/>
    <w:rsid w:val="00AD1888"/>
    <w:rsid w:val="00AD19AE"/>
    <w:rsid w:val="00AD2283"/>
    <w:rsid w:val="00AD22E7"/>
    <w:rsid w:val="00AD268F"/>
    <w:rsid w:val="00AD2CA3"/>
    <w:rsid w:val="00AD39B8"/>
    <w:rsid w:val="00AD3DE1"/>
    <w:rsid w:val="00AD42F0"/>
    <w:rsid w:val="00AD45C1"/>
    <w:rsid w:val="00AD4C44"/>
    <w:rsid w:val="00AD55E7"/>
    <w:rsid w:val="00AD5AB5"/>
    <w:rsid w:val="00AD5E7C"/>
    <w:rsid w:val="00AD6257"/>
    <w:rsid w:val="00AD6502"/>
    <w:rsid w:val="00AD66BE"/>
    <w:rsid w:val="00AD6B32"/>
    <w:rsid w:val="00AD7274"/>
    <w:rsid w:val="00AD7660"/>
    <w:rsid w:val="00AD7D2B"/>
    <w:rsid w:val="00AE002A"/>
    <w:rsid w:val="00AE0033"/>
    <w:rsid w:val="00AE005B"/>
    <w:rsid w:val="00AE02C0"/>
    <w:rsid w:val="00AE045E"/>
    <w:rsid w:val="00AE073B"/>
    <w:rsid w:val="00AE0835"/>
    <w:rsid w:val="00AE09A3"/>
    <w:rsid w:val="00AE09B6"/>
    <w:rsid w:val="00AE0E56"/>
    <w:rsid w:val="00AE10AB"/>
    <w:rsid w:val="00AE14A6"/>
    <w:rsid w:val="00AE158E"/>
    <w:rsid w:val="00AE1CAB"/>
    <w:rsid w:val="00AE1FEF"/>
    <w:rsid w:val="00AE1FFC"/>
    <w:rsid w:val="00AE2CF4"/>
    <w:rsid w:val="00AE2D09"/>
    <w:rsid w:val="00AE3892"/>
    <w:rsid w:val="00AE3F4C"/>
    <w:rsid w:val="00AE43EA"/>
    <w:rsid w:val="00AE444E"/>
    <w:rsid w:val="00AE54F8"/>
    <w:rsid w:val="00AE5C2A"/>
    <w:rsid w:val="00AE6103"/>
    <w:rsid w:val="00AE6214"/>
    <w:rsid w:val="00AE6A96"/>
    <w:rsid w:val="00AE7015"/>
    <w:rsid w:val="00AE7053"/>
    <w:rsid w:val="00AE7292"/>
    <w:rsid w:val="00AE7BE0"/>
    <w:rsid w:val="00AE7BEE"/>
    <w:rsid w:val="00AF0AE8"/>
    <w:rsid w:val="00AF10BC"/>
    <w:rsid w:val="00AF12DA"/>
    <w:rsid w:val="00AF1315"/>
    <w:rsid w:val="00AF19BF"/>
    <w:rsid w:val="00AF1B57"/>
    <w:rsid w:val="00AF1BDC"/>
    <w:rsid w:val="00AF2348"/>
    <w:rsid w:val="00AF2507"/>
    <w:rsid w:val="00AF2523"/>
    <w:rsid w:val="00AF2736"/>
    <w:rsid w:val="00AF282B"/>
    <w:rsid w:val="00AF2BE4"/>
    <w:rsid w:val="00AF2DC3"/>
    <w:rsid w:val="00AF302C"/>
    <w:rsid w:val="00AF34DD"/>
    <w:rsid w:val="00AF3515"/>
    <w:rsid w:val="00AF3D3D"/>
    <w:rsid w:val="00AF4013"/>
    <w:rsid w:val="00AF41FB"/>
    <w:rsid w:val="00AF429A"/>
    <w:rsid w:val="00AF4E0D"/>
    <w:rsid w:val="00AF5673"/>
    <w:rsid w:val="00AF5D72"/>
    <w:rsid w:val="00AF6D92"/>
    <w:rsid w:val="00AF7092"/>
    <w:rsid w:val="00AF74B4"/>
    <w:rsid w:val="00AF77C2"/>
    <w:rsid w:val="00AF7AE0"/>
    <w:rsid w:val="00AF7FA8"/>
    <w:rsid w:val="00B00CE3"/>
    <w:rsid w:val="00B010BB"/>
    <w:rsid w:val="00B0136E"/>
    <w:rsid w:val="00B032FE"/>
    <w:rsid w:val="00B033E5"/>
    <w:rsid w:val="00B03472"/>
    <w:rsid w:val="00B03A63"/>
    <w:rsid w:val="00B04167"/>
    <w:rsid w:val="00B04AF3"/>
    <w:rsid w:val="00B04EB2"/>
    <w:rsid w:val="00B05310"/>
    <w:rsid w:val="00B05947"/>
    <w:rsid w:val="00B05EEF"/>
    <w:rsid w:val="00B062BC"/>
    <w:rsid w:val="00B0686C"/>
    <w:rsid w:val="00B06E6A"/>
    <w:rsid w:val="00B077ED"/>
    <w:rsid w:val="00B07F6B"/>
    <w:rsid w:val="00B101EE"/>
    <w:rsid w:val="00B10BD4"/>
    <w:rsid w:val="00B11893"/>
    <w:rsid w:val="00B118A7"/>
    <w:rsid w:val="00B118E7"/>
    <w:rsid w:val="00B11EAA"/>
    <w:rsid w:val="00B1219E"/>
    <w:rsid w:val="00B138B3"/>
    <w:rsid w:val="00B13F40"/>
    <w:rsid w:val="00B14086"/>
    <w:rsid w:val="00B14383"/>
    <w:rsid w:val="00B15ACF"/>
    <w:rsid w:val="00B1644C"/>
    <w:rsid w:val="00B1681D"/>
    <w:rsid w:val="00B16CD6"/>
    <w:rsid w:val="00B16FB3"/>
    <w:rsid w:val="00B174CD"/>
    <w:rsid w:val="00B17723"/>
    <w:rsid w:val="00B17798"/>
    <w:rsid w:val="00B17902"/>
    <w:rsid w:val="00B2019A"/>
    <w:rsid w:val="00B201A4"/>
    <w:rsid w:val="00B20DDA"/>
    <w:rsid w:val="00B20E16"/>
    <w:rsid w:val="00B20E38"/>
    <w:rsid w:val="00B212D3"/>
    <w:rsid w:val="00B213A6"/>
    <w:rsid w:val="00B214FF"/>
    <w:rsid w:val="00B21919"/>
    <w:rsid w:val="00B21D74"/>
    <w:rsid w:val="00B21EE7"/>
    <w:rsid w:val="00B22104"/>
    <w:rsid w:val="00B2261C"/>
    <w:rsid w:val="00B2269B"/>
    <w:rsid w:val="00B22803"/>
    <w:rsid w:val="00B228C7"/>
    <w:rsid w:val="00B22BDF"/>
    <w:rsid w:val="00B2319C"/>
    <w:rsid w:val="00B231C9"/>
    <w:rsid w:val="00B23CE8"/>
    <w:rsid w:val="00B23F5B"/>
    <w:rsid w:val="00B247C4"/>
    <w:rsid w:val="00B24C68"/>
    <w:rsid w:val="00B24D3F"/>
    <w:rsid w:val="00B24DAD"/>
    <w:rsid w:val="00B24DF6"/>
    <w:rsid w:val="00B25163"/>
    <w:rsid w:val="00B25176"/>
    <w:rsid w:val="00B25678"/>
    <w:rsid w:val="00B256FF"/>
    <w:rsid w:val="00B26061"/>
    <w:rsid w:val="00B26906"/>
    <w:rsid w:val="00B26B3A"/>
    <w:rsid w:val="00B27032"/>
    <w:rsid w:val="00B2723C"/>
    <w:rsid w:val="00B2736A"/>
    <w:rsid w:val="00B277CF"/>
    <w:rsid w:val="00B27A09"/>
    <w:rsid w:val="00B27CC8"/>
    <w:rsid w:val="00B27ECF"/>
    <w:rsid w:val="00B301E5"/>
    <w:rsid w:val="00B307E9"/>
    <w:rsid w:val="00B307FB"/>
    <w:rsid w:val="00B30A3F"/>
    <w:rsid w:val="00B311F3"/>
    <w:rsid w:val="00B3153A"/>
    <w:rsid w:val="00B31DA7"/>
    <w:rsid w:val="00B322CA"/>
    <w:rsid w:val="00B32907"/>
    <w:rsid w:val="00B32D10"/>
    <w:rsid w:val="00B32F0D"/>
    <w:rsid w:val="00B3393B"/>
    <w:rsid w:val="00B33D50"/>
    <w:rsid w:val="00B33F67"/>
    <w:rsid w:val="00B34134"/>
    <w:rsid w:val="00B345AD"/>
    <w:rsid w:val="00B34C4D"/>
    <w:rsid w:val="00B34E31"/>
    <w:rsid w:val="00B34E3B"/>
    <w:rsid w:val="00B34FE2"/>
    <w:rsid w:val="00B35035"/>
    <w:rsid w:val="00B3506E"/>
    <w:rsid w:val="00B3525C"/>
    <w:rsid w:val="00B35664"/>
    <w:rsid w:val="00B357D8"/>
    <w:rsid w:val="00B3607C"/>
    <w:rsid w:val="00B3629F"/>
    <w:rsid w:val="00B365F8"/>
    <w:rsid w:val="00B36683"/>
    <w:rsid w:val="00B36C20"/>
    <w:rsid w:val="00B36ECC"/>
    <w:rsid w:val="00B36F83"/>
    <w:rsid w:val="00B3735E"/>
    <w:rsid w:val="00B37865"/>
    <w:rsid w:val="00B37BD2"/>
    <w:rsid w:val="00B37BFC"/>
    <w:rsid w:val="00B37C3A"/>
    <w:rsid w:val="00B37D7B"/>
    <w:rsid w:val="00B40358"/>
    <w:rsid w:val="00B406C3"/>
    <w:rsid w:val="00B40861"/>
    <w:rsid w:val="00B41524"/>
    <w:rsid w:val="00B41614"/>
    <w:rsid w:val="00B41A56"/>
    <w:rsid w:val="00B41E61"/>
    <w:rsid w:val="00B41F28"/>
    <w:rsid w:val="00B4270E"/>
    <w:rsid w:val="00B42851"/>
    <w:rsid w:val="00B42F80"/>
    <w:rsid w:val="00B4324A"/>
    <w:rsid w:val="00B43330"/>
    <w:rsid w:val="00B435CB"/>
    <w:rsid w:val="00B43858"/>
    <w:rsid w:val="00B4391D"/>
    <w:rsid w:val="00B44518"/>
    <w:rsid w:val="00B44AA8"/>
    <w:rsid w:val="00B44EE4"/>
    <w:rsid w:val="00B45042"/>
    <w:rsid w:val="00B45352"/>
    <w:rsid w:val="00B458DF"/>
    <w:rsid w:val="00B4607E"/>
    <w:rsid w:val="00B46C98"/>
    <w:rsid w:val="00B47153"/>
    <w:rsid w:val="00B472C6"/>
    <w:rsid w:val="00B47407"/>
    <w:rsid w:val="00B478F0"/>
    <w:rsid w:val="00B47BBC"/>
    <w:rsid w:val="00B5016E"/>
    <w:rsid w:val="00B50DB8"/>
    <w:rsid w:val="00B517E6"/>
    <w:rsid w:val="00B52054"/>
    <w:rsid w:val="00B529AF"/>
    <w:rsid w:val="00B52AC1"/>
    <w:rsid w:val="00B535CF"/>
    <w:rsid w:val="00B53654"/>
    <w:rsid w:val="00B53905"/>
    <w:rsid w:val="00B53988"/>
    <w:rsid w:val="00B53FAC"/>
    <w:rsid w:val="00B54220"/>
    <w:rsid w:val="00B545D4"/>
    <w:rsid w:val="00B54916"/>
    <w:rsid w:val="00B54B5B"/>
    <w:rsid w:val="00B54E88"/>
    <w:rsid w:val="00B55142"/>
    <w:rsid w:val="00B553DB"/>
    <w:rsid w:val="00B5562E"/>
    <w:rsid w:val="00B55B45"/>
    <w:rsid w:val="00B5699C"/>
    <w:rsid w:val="00B56B12"/>
    <w:rsid w:val="00B56CEB"/>
    <w:rsid w:val="00B57000"/>
    <w:rsid w:val="00B5707A"/>
    <w:rsid w:val="00B571F9"/>
    <w:rsid w:val="00B6009D"/>
    <w:rsid w:val="00B60639"/>
    <w:rsid w:val="00B60939"/>
    <w:rsid w:val="00B60A81"/>
    <w:rsid w:val="00B60AFD"/>
    <w:rsid w:val="00B60BD4"/>
    <w:rsid w:val="00B61219"/>
    <w:rsid w:val="00B618F2"/>
    <w:rsid w:val="00B61C7C"/>
    <w:rsid w:val="00B6209E"/>
    <w:rsid w:val="00B6221D"/>
    <w:rsid w:val="00B622DE"/>
    <w:rsid w:val="00B62586"/>
    <w:rsid w:val="00B625DF"/>
    <w:rsid w:val="00B62715"/>
    <w:rsid w:val="00B62C5C"/>
    <w:rsid w:val="00B62C77"/>
    <w:rsid w:val="00B62F26"/>
    <w:rsid w:val="00B63B63"/>
    <w:rsid w:val="00B63CE6"/>
    <w:rsid w:val="00B63EDB"/>
    <w:rsid w:val="00B640CD"/>
    <w:rsid w:val="00B640F4"/>
    <w:rsid w:val="00B64EBC"/>
    <w:rsid w:val="00B653B2"/>
    <w:rsid w:val="00B659F5"/>
    <w:rsid w:val="00B665E1"/>
    <w:rsid w:val="00B6671B"/>
    <w:rsid w:val="00B66A52"/>
    <w:rsid w:val="00B66BBB"/>
    <w:rsid w:val="00B66E14"/>
    <w:rsid w:val="00B66E65"/>
    <w:rsid w:val="00B675B8"/>
    <w:rsid w:val="00B67B0D"/>
    <w:rsid w:val="00B70443"/>
    <w:rsid w:val="00B70760"/>
    <w:rsid w:val="00B708E0"/>
    <w:rsid w:val="00B70F34"/>
    <w:rsid w:val="00B712F6"/>
    <w:rsid w:val="00B71466"/>
    <w:rsid w:val="00B71BDD"/>
    <w:rsid w:val="00B71FB9"/>
    <w:rsid w:val="00B724A6"/>
    <w:rsid w:val="00B72E65"/>
    <w:rsid w:val="00B73D5D"/>
    <w:rsid w:val="00B73F34"/>
    <w:rsid w:val="00B76500"/>
    <w:rsid w:val="00B76B3B"/>
    <w:rsid w:val="00B772C8"/>
    <w:rsid w:val="00B7736D"/>
    <w:rsid w:val="00B7757F"/>
    <w:rsid w:val="00B77DFA"/>
    <w:rsid w:val="00B80F18"/>
    <w:rsid w:val="00B8125D"/>
    <w:rsid w:val="00B818A4"/>
    <w:rsid w:val="00B819D7"/>
    <w:rsid w:val="00B823C4"/>
    <w:rsid w:val="00B82689"/>
    <w:rsid w:val="00B8287E"/>
    <w:rsid w:val="00B82E8E"/>
    <w:rsid w:val="00B830C2"/>
    <w:rsid w:val="00B834F1"/>
    <w:rsid w:val="00B8370A"/>
    <w:rsid w:val="00B837B3"/>
    <w:rsid w:val="00B838B1"/>
    <w:rsid w:val="00B83A71"/>
    <w:rsid w:val="00B83E0A"/>
    <w:rsid w:val="00B83F63"/>
    <w:rsid w:val="00B84117"/>
    <w:rsid w:val="00B8419C"/>
    <w:rsid w:val="00B84454"/>
    <w:rsid w:val="00B8562E"/>
    <w:rsid w:val="00B85AA2"/>
    <w:rsid w:val="00B85C21"/>
    <w:rsid w:val="00B85F1C"/>
    <w:rsid w:val="00B861F6"/>
    <w:rsid w:val="00B8649C"/>
    <w:rsid w:val="00B8656B"/>
    <w:rsid w:val="00B86C92"/>
    <w:rsid w:val="00B86D54"/>
    <w:rsid w:val="00B87487"/>
    <w:rsid w:val="00B87535"/>
    <w:rsid w:val="00B87878"/>
    <w:rsid w:val="00B87897"/>
    <w:rsid w:val="00B87937"/>
    <w:rsid w:val="00B87961"/>
    <w:rsid w:val="00B87AD8"/>
    <w:rsid w:val="00B87E09"/>
    <w:rsid w:val="00B87F0A"/>
    <w:rsid w:val="00B87F80"/>
    <w:rsid w:val="00B90484"/>
    <w:rsid w:val="00B90A2F"/>
    <w:rsid w:val="00B90DDE"/>
    <w:rsid w:val="00B91010"/>
    <w:rsid w:val="00B918A6"/>
    <w:rsid w:val="00B91A0D"/>
    <w:rsid w:val="00B924E5"/>
    <w:rsid w:val="00B92D0B"/>
    <w:rsid w:val="00B93CE3"/>
    <w:rsid w:val="00B93D44"/>
    <w:rsid w:val="00B941B7"/>
    <w:rsid w:val="00B945D1"/>
    <w:rsid w:val="00B946E1"/>
    <w:rsid w:val="00B94945"/>
    <w:rsid w:val="00B94C21"/>
    <w:rsid w:val="00B95E2F"/>
    <w:rsid w:val="00B95F53"/>
    <w:rsid w:val="00B96279"/>
    <w:rsid w:val="00B96416"/>
    <w:rsid w:val="00B96C6D"/>
    <w:rsid w:val="00B97200"/>
    <w:rsid w:val="00B974B6"/>
    <w:rsid w:val="00BA0D97"/>
    <w:rsid w:val="00BA26CD"/>
    <w:rsid w:val="00BA2AA5"/>
    <w:rsid w:val="00BA322D"/>
    <w:rsid w:val="00BA337F"/>
    <w:rsid w:val="00BA3C82"/>
    <w:rsid w:val="00BA43B0"/>
    <w:rsid w:val="00BA4FB9"/>
    <w:rsid w:val="00BA5192"/>
    <w:rsid w:val="00BA526D"/>
    <w:rsid w:val="00BA5923"/>
    <w:rsid w:val="00BA59EB"/>
    <w:rsid w:val="00BA5D70"/>
    <w:rsid w:val="00BA6096"/>
    <w:rsid w:val="00BA635B"/>
    <w:rsid w:val="00BA68E7"/>
    <w:rsid w:val="00BA6CD6"/>
    <w:rsid w:val="00BA6D83"/>
    <w:rsid w:val="00BA79A7"/>
    <w:rsid w:val="00BB0403"/>
    <w:rsid w:val="00BB065A"/>
    <w:rsid w:val="00BB06E2"/>
    <w:rsid w:val="00BB0BDD"/>
    <w:rsid w:val="00BB0F6B"/>
    <w:rsid w:val="00BB126E"/>
    <w:rsid w:val="00BB18BD"/>
    <w:rsid w:val="00BB2A73"/>
    <w:rsid w:val="00BB38AF"/>
    <w:rsid w:val="00BB3961"/>
    <w:rsid w:val="00BB3C6E"/>
    <w:rsid w:val="00BB3E8F"/>
    <w:rsid w:val="00BB408A"/>
    <w:rsid w:val="00BB4544"/>
    <w:rsid w:val="00BB455C"/>
    <w:rsid w:val="00BB456F"/>
    <w:rsid w:val="00BB4A5D"/>
    <w:rsid w:val="00BB4ACC"/>
    <w:rsid w:val="00BB5308"/>
    <w:rsid w:val="00BB5426"/>
    <w:rsid w:val="00BB553F"/>
    <w:rsid w:val="00BB55B2"/>
    <w:rsid w:val="00BB60E7"/>
    <w:rsid w:val="00BB61C3"/>
    <w:rsid w:val="00BB6776"/>
    <w:rsid w:val="00BB6CD1"/>
    <w:rsid w:val="00BB6E45"/>
    <w:rsid w:val="00BB6EC8"/>
    <w:rsid w:val="00BB703E"/>
    <w:rsid w:val="00BB7214"/>
    <w:rsid w:val="00BB7405"/>
    <w:rsid w:val="00BB74B8"/>
    <w:rsid w:val="00BB7700"/>
    <w:rsid w:val="00BB7B00"/>
    <w:rsid w:val="00BB7CC7"/>
    <w:rsid w:val="00BB7E42"/>
    <w:rsid w:val="00BC0178"/>
    <w:rsid w:val="00BC0708"/>
    <w:rsid w:val="00BC0B73"/>
    <w:rsid w:val="00BC0D4D"/>
    <w:rsid w:val="00BC0D88"/>
    <w:rsid w:val="00BC11CD"/>
    <w:rsid w:val="00BC1C0F"/>
    <w:rsid w:val="00BC212E"/>
    <w:rsid w:val="00BC23CF"/>
    <w:rsid w:val="00BC2485"/>
    <w:rsid w:val="00BC2BE7"/>
    <w:rsid w:val="00BC2EB3"/>
    <w:rsid w:val="00BC3631"/>
    <w:rsid w:val="00BC368A"/>
    <w:rsid w:val="00BC36D8"/>
    <w:rsid w:val="00BC370B"/>
    <w:rsid w:val="00BC3A7D"/>
    <w:rsid w:val="00BC3EA0"/>
    <w:rsid w:val="00BC4C09"/>
    <w:rsid w:val="00BC54C7"/>
    <w:rsid w:val="00BC5CE8"/>
    <w:rsid w:val="00BC5EA4"/>
    <w:rsid w:val="00BC6465"/>
    <w:rsid w:val="00BC6CF3"/>
    <w:rsid w:val="00BC745D"/>
    <w:rsid w:val="00BC758F"/>
    <w:rsid w:val="00BC798E"/>
    <w:rsid w:val="00BD0C04"/>
    <w:rsid w:val="00BD0EF7"/>
    <w:rsid w:val="00BD1FE0"/>
    <w:rsid w:val="00BD260B"/>
    <w:rsid w:val="00BD26AA"/>
    <w:rsid w:val="00BD2D33"/>
    <w:rsid w:val="00BD2D7A"/>
    <w:rsid w:val="00BD2F51"/>
    <w:rsid w:val="00BD2F95"/>
    <w:rsid w:val="00BD3413"/>
    <w:rsid w:val="00BD355E"/>
    <w:rsid w:val="00BD4255"/>
    <w:rsid w:val="00BD4CC8"/>
    <w:rsid w:val="00BD4CCE"/>
    <w:rsid w:val="00BD4E40"/>
    <w:rsid w:val="00BD640D"/>
    <w:rsid w:val="00BD68A3"/>
    <w:rsid w:val="00BD6938"/>
    <w:rsid w:val="00BD6CF3"/>
    <w:rsid w:val="00BD72F6"/>
    <w:rsid w:val="00BD736B"/>
    <w:rsid w:val="00BD7428"/>
    <w:rsid w:val="00BD75CB"/>
    <w:rsid w:val="00BD75DF"/>
    <w:rsid w:val="00BD777C"/>
    <w:rsid w:val="00BD7B1D"/>
    <w:rsid w:val="00BD7D8D"/>
    <w:rsid w:val="00BE016C"/>
    <w:rsid w:val="00BE0337"/>
    <w:rsid w:val="00BE05E9"/>
    <w:rsid w:val="00BE0744"/>
    <w:rsid w:val="00BE16D4"/>
    <w:rsid w:val="00BE2180"/>
    <w:rsid w:val="00BE21F2"/>
    <w:rsid w:val="00BE2536"/>
    <w:rsid w:val="00BE27E9"/>
    <w:rsid w:val="00BE28DA"/>
    <w:rsid w:val="00BE298D"/>
    <w:rsid w:val="00BE2D39"/>
    <w:rsid w:val="00BE40C6"/>
    <w:rsid w:val="00BE4275"/>
    <w:rsid w:val="00BE4725"/>
    <w:rsid w:val="00BE5561"/>
    <w:rsid w:val="00BE5C7F"/>
    <w:rsid w:val="00BE60D1"/>
    <w:rsid w:val="00BE66AE"/>
    <w:rsid w:val="00BE6752"/>
    <w:rsid w:val="00BE6879"/>
    <w:rsid w:val="00BE6A0D"/>
    <w:rsid w:val="00BE6B3A"/>
    <w:rsid w:val="00BE6C6D"/>
    <w:rsid w:val="00BE6C72"/>
    <w:rsid w:val="00BE6D86"/>
    <w:rsid w:val="00BE6EED"/>
    <w:rsid w:val="00BE736F"/>
    <w:rsid w:val="00BE7998"/>
    <w:rsid w:val="00BE79B5"/>
    <w:rsid w:val="00BE7BE8"/>
    <w:rsid w:val="00BF0069"/>
    <w:rsid w:val="00BF04F9"/>
    <w:rsid w:val="00BF0CA4"/>
    <w:rsid w:val="00BF0F95"/>
    <w:rsid w:val="00BF1063"/>
    <w:rsid w:val="00BF16C4"/>
    <w:rsid w:val="00BF1C07"/>
    <w:rsid w:val="00BF1D1F"/>
    <w:rsid w:val="00BF1D93"/>
    <w:rsid w:val="00BF2063"/>
    <w:rsid w:val="00BF2433"/>
    <w:rsid w:val="00BF2C9F"/>
    <w:rsid w:val="00BF2D89"/>
    <w:rsid w:val="00BF33A7"/>
    <w:rsid w:val="00BF3838"/>
    <w:rsid w:val="00BF4338"/>
    <w:rsid w:val="00BF43BE"/>
    <w:rsid w:val="00BF4BD0"/>
    <w:rsid w:val="00BF4C1C"/>
    <w:rsid w:val="00BF5078"/>
    <w:rsid w:val="00BF594E"/>
    <w:rsid w:val="00BF5BF0"/>
    <w:rsid w:val="00BF61C9"/>
    <w:rsid w:val="00BF66D8"/>
    <w:rsid w:val="00BF6859"/>
    <w:rsid w:val="00BF69A2"/>
    <w:rsid w:val="00BF6BE3"/>
    <w:rsid w:val="00BF6C91"/>
    <w:rsid w:val="00BF6C94"/>
    <w:rsid w:val="00BF7413"/>
    <w:rsid w:val="00BF7C5B"/>
    <w:rsid w:val="00BF7DE8"/>
    <w:rsid w:val="00C002A3"/>
    <w:rsid w:val="00C002CF"/>
    <w:rsid w:val="00C00424"/>
    <w:rsid w:val="00C00D14"/>
    <w:rsid w:val="00C00DDF"/>
    <w:rsid w:val="00C01188"/>
    <w:rsid w:val="00C0191B"/>
    <w:rsid w:val="00C01BA7"/>
    <w:rsid w:val="00C01FD9"/>
    <w:rsid w:val="00C0253B"/>
    <w:rsid w:val="00C028C6"/>
    <w:rsid w:val="00C02989"/>
    <w:rsid w:val="00C02BD1"/>
    <w:rsid w:val="00C02BE1"/>
    <w:rsid w:val="00C02CC1"/>
    <w:rsid w:val="00C02CC8"/>
    <w:rsid w:val="00C02D60"/>
    <w:rsid w:val="00C02D72"/>
    <w:rsid w:val="00C03786"/>
    <w:rsid w:val="00C037A5"/>
    <w:rsid w:val="00C03E9F"/>
    <w:rsid w:val="00C03F1B"/>
    <w:rsid w:val="00C040D3"/>
    <w:rsid w:val="00C041FE"/>
    <w:rsid w:val="00C047E0"/>
    <w:rsid w:val="00C0494D"/>
    <w:rsid w:val="00C04D13"/>
    <w:rsid w:val="00C04F6F"/>
    <w:rsid w:val="00C0536A"/>
    <w:rsid w:val="00C05810"/>
    <w:rsid w:val="00C05A48"/>
    <w:rsid w:val="00C0602C"/>
    <w:rsid w:val="00C06769"/>
    <w:rsid w:val="00C06C42"/>
    <w:rsid w:val="00C06D22"/>
    <w:rsid w:val="00C07002"/>
    <w:rsid w:val="00C072D9"/>
    <w:rsid w:val="00C07408"/>
    <w:rsid w:val="00C075D4"/>
    <w:rsid w:val="00C07B73"/>
    <w:rsid w:val="00C07C18"/>
    <w:rsid w:val="00C07C5D"/>
    <w:rsid w:val="00C07DF9"/>
    <w:rsid w:val="00C104F8"/>
    <w:rsid w:val="00C107B7"/>
    <w:rsid w:val="00C10B14"/>
    <w:rsid w:val="00C11125"/>
    <w:rsid w:val="00C1116F"/>
    <w:rsid w:val="00C113A9"/>
    <w:rsid w:val="00C119F6"/>
    <w:rsid w:val="00C11CD7"/>
    <w:rsid w:val="00C127BA"/>
    <w:rsid w:val="00C12A73"/>
    <w:rsid w:val="00C12BB7"/>
    <w:rsid w:val="00C12C14"/>
    <w:rsid w:val="00C12E2D"/>
    <w:rsid w:val="00C13095"/>
    <w:rsid w:val="00C1310E"/>
    <w:rsid w:val="00C14E3A"/>
    <w:rsid w:val="00C14E43"/>
    <w:rsid w:val="00C152BB"/>
    <w:rsid w:val="00C152C6"/>
    <w:rsid w:val="00C15861"/>
    <w:rsid w:val="00C16826"/>
    <w:rsid w:val="00C1685C"/>
    <w:rsid w:val="00C16F5C"/>
    <w:rsid w:val="00C17050"/>
    <w:rsid w:val="00C17289"/>
    <w:rsid w:val="00C173A5"/>
    <w:rsid w:val="00C17D38"/>
    <w:rsid w:val="00C17DA2"/>
    <w:rsid w:val="00C200AA"/>
    <w:rsid w:val="00C20DE6"/>
    <w:rsid w:val="00C2132E"/>
    <w:rsid w:val="00C214CD"/>
    <w:rsid w:val="00C21764"/>
    <w:rsid w:val="00C219D3"/>
    <w:rsid w:val="00C2241D"/>
    <w:rsid w:val="00C23327"/>
    <w:rsid w:val="00C2367C"/>
    <w:rsid w:val="00C237ED"/>
    <w:rsid w:val="00C23B4D"/>
    <w:rsid w:val="00C23D48"/>
    <w:rsid w:val="00C24181"/>
    <w:rsid w:val="00C2427A"/>
    <w:rsid w:val="00C24429"/>
    <w:rsid w:val="00C245A2"/>
    <w:rsid w:val="00C24632"/>
    <w:rsid w:val="00C24B2D"/>
    <w:rsid w:val="00C24DEC"/>
    <w:rsid w:val="00C25418"/>
    <w:rsid w:val="00C25539"/>
    <w:rsid w:val="00C25618"/>
    <w:rsid w:val="00C259AD"/>
    <w:rsid w:val="00C25B16"/>
    <w:rsid w:val="00C25D9C"/>
    <w:rsid w:val="00C25FF3"/>
    <w:rsid w:val="00C2606E"/>
    <w:rsid w:val="00C2616D"/>
    <w:rsid w:val="00C26462"/>
    <w:rsid w:val="00C26858"/>
    <w:rsid w:val="00C26F0B"/>
    <w:rsid w:val="00C2720F"/>
    <w:rsid w:val="00C274D0"/>
    <w:rsid w:val="00C27600"/>
    <w:rsid w:val="00C2778B"/>
    <w:rsid w:val="00C278A8"/>
    <w:rsid w:val="00C27C6A"/>
    <w:rsid w:val="00C27EF5"/>
    <w:rsid w:val="00C301AC"/>
    <w:rsid w:val="00C3080F"/>
    <w:rsid w:val="00C30A67"/>
    <w:rsid w:val="00C31078"/>
    <w:rsid w:val="00C31116"/>
    <w:rsid w:val="00C31534"/>
    <w:rsid w:val="00C31649"/>
    <w:rsid w:val="00C3181C"/>
    <w:rsid w:val="00C32111"/>
    <w:rsid w:val="00C32262"/>
    <w:rsid w:val="00C32473"/>
    <w:rsid w:val="00C330A6"/>
    <w:rsid w:val="00C33D51"/>
    <w:rsid w:val="00C34142"/>
    <w:rsid w:val="00C34256"/>
    <w:rsid w:val="00C34920"/>
    <w:rsid w:val="00C34A70"/>
    <w:rsid w:val="00C34C71"/>
    <w:rsid w:val="00C35422"/>
    <w:rsid w:val="00C3583B"/>
    <w:rsid w:val="00C36263"/>
    <w:rsid w:val="00C36831"/>
    <w:rsid w:val="00C36BC4"/>
    <w:rsid w:val="00C36D1A"/>
    <w:rsid w:val="00C36DEA"/>
    <w:rsid w:val="00C36F0C"/>
    <w:rsid w:val="00C37373"/>
    <w:rsid w:val="00C37A12"/>
    <w:rsid w:val="00C37AB4"/>
    <w:rsid w:val="00C40385"/>
    <w:rsid w:val="00C408CE"/>
    <w:rsid w:val="00C40933"/>
    <w:rsid w:val="00C40951"/>
    <w:rsid w:val="00C40DA0"/>
    <w:rsid w:val="00C4179B"/>
    <w:rsid w:val="00C41937"/>
    <w:rsid w:val="00C4193F"/>
    <w:rsid w:val="00C419DF"/>
    <w:rsid w:val="00C41ED3"/>
    <w:rsid w:val="00C42428"/>
    <w:rsid w:val="00C42D6F"/>
    <w:rsid w:val="00C43521"/>
    <w:rsid w:val="00C43AA9"/>
    <w:rsid w:val="00C43C75"/>
    <w:rsid w:val="00C442A0"/>
    <w:rsid w:val="00C447C4"/>
    <w:rsid w:val="00C45099"/>
    <w:rsid w:val="00C45792"/>
    <w:rsid w:val="00C45A67"/>
    <w:rsid w:val="00C45F2B"/>
    <w:rsid w:val="00C460BD"/>
    <w:rsid w:val="00C46302"/>
    <w:rsid w:val="00C465FD"/>
    <w:rsid w:val="00C46969"/>
    <w:rsid w:val="00C46B1A"/>
    <w:rsid w:val="00C46DD7"/>
    <w:rsid w:val="00C4709A"/>
    <w:rsid w:val="00C475AA"/>
    <w:rsid w:val="00C476DF"/>
    <w:rsid w:val="00C476F0"/>
    <w:rsid w:val="00C47DC5"/>
    <w:rsid w:val="00C47E0D"/>
    <w:rsid w:val="00C500BC"/>
    <w:rsid w:val="00C50247"/>
    <w:rsid w:val="00C502A5"/>
    <w:rsid w:val="00C5042A"/>
    <w:rsid w:val="00C50511"/>
    <w:rsid w:val="00C50CF5"/>
    <w:rsid w:val="00C5121B"/>
    <w:rsid w:val="00C51578"/>
    <w:rsid w:val="00C515F1"/>
    <w:rsid w:val="00C522E9"/>
    <w:rsid w:val="00C523CD"/>
    <w:rsid w:val="00C53562"/>
    <w:rsid w:val="00C535EB"/>
    <w:rsid w:val="00C53948"/>
    <w:rsid w:val="00C541F0"/>
    <w:rsid w:val="00C5472F"/>
    <w:rsid w:val="00C5498C"/>
    <w:rsid w:val="00C549A5"/>
    <w:rsid w:val="00C55301"/>
    <w:rsid w:val="00C5687B"/>
    <w:rsid w:val="00C56F04"/>
    <w:rsid w:val="00C574C9"/>
    <w:rsid w:val="00C57527"/>
    <w:rsid w:val="00C5760E"/>
    <w:rsid w:val="00C57662"/>
    <w:rsid w:val="00C604B0"/>
    <w:rsid w:val="00C6158F"/>
    <w:rsid w:val="00C61785"/>
    <w:rsid w:val="00C6178E"/>
    <w:rsid w:val="00C6264F"/>
    <w:rsid w:val="00C629A0"/>
    <w:rsid w:val="00C62F12"/>
    <w:rsid w:val="00C63649"/>
    <w:rsid w:val="00C638EF"/>
    <w:rsid w:val="00C63A35"/>
    <w:rsid w:val="00C641BB"/>
    <w:rsid w:val="00C6475E"/>
    <w:rsid w:val="00C647C1"/>
    <w:rsid w:val="00C6489D"/>
    <w:rsid w:val="00C64A07"/>
    <w:rsid w:val="00C6544A"/>
    <w:rsid w:val="00C65576"/>
    <w:rsid w:val="00C65C13"/>
    <w:rsid w:val="00C65EFD"/>
    <w:rsid w:val="00C65FFB"/>
    <w:rsid w:val="00C66100"/>
    <w:rsid w:val="00C66165"/>
    <w:rsid w:val="00C66623"/>
    <w:rsid w:val="00C666DD"/>
    <w:rsid w:val="00C672D7"/>
    <w:rsid w:val="00C6734C"/>
    <w:rsid w:val="00C677E8"/>
    <w:rsid w:val="00C67A49"/>
    <w:rsid w:val="00C67A76"/>
    <w:rsid w:val="00C67E7C"/>
    <w:rsid w:val="00C70388"/>
    <w:rsid w:val="00C70565"/>
    <w:rsid w:val="00C707C4"/>
    <w:rsid w:val="00C7128F"/>
    <w:rsid w:val="00C7151A"/>
    <w:rsid w:val="00C717D3"/>
    <w:rsid w:val="00C71F05"/>
    <w:rsid w:val="00C71F60"/>
    <w:rsid w:val="00C721D7"/>
    <w:rsid w:val="00C72241"/>
    <w:rsid w:val="00C7277A"/>
    <w:rsid w:val="00C7278D"/>
    <w:rsid w:val="00C73017"/>
    <w:rsid w:val="00C73314"/>
    <w:rsid w:val="00C735C0"/>
    <w:rsid w:val="00C746C7"/>
    <w:rsid w:val="00C7478C"/>
    <w:rsid w:val="00C74A0A"/>
    <w:rsid w:val="00C74AFC"/>
    <w:rsid w:val="00C750C8"/>
    <w:rsid w:val="00C7560F"/>
    <w:rsid w:val="00C75AD8"/>
    <w:rsid w:val="00C767FF"/>
    <w:rsid w:val="00C76A1F"/>
    <w:rsid w:val="00C77011"/>
    <w:rsid w:val="00C77852"/>
    <w:rsid w:val="00C7793E"/>
    <w:rsid w:val="00C77D54"/>
    <w:rsid w:val="00C77D8A"/>
    <w:rsid w:val="00C80A0E"/>
    <w:rsid w:val="00C80C59"/>
    <w:rsid w:val="00C8104A"/>
    <w:rsid w:val="00C813A2"/>
    <w:rsid w:val="00C81701"/>
    <w:rsid w:val="00C81749"/>
    <w:rsid w:val="00C81CBC"/>
    <w:rsid w:val="00C81FAD"/>
    <w:rsid w:val="00C8213F"/>
    <w:rsid w:val="00C828BC"/>
    <w:rsid w:val="00C82C15"/>
    <w:rsid w:val="00C83682"/>
    <w:rsid w:val="00C83CA7"/>
    <w:rsid w:val="00C841E9"/>
    <w:rsid w:val="00C845DA"/>
    <w:rsid w:val="00C84751"/>
    <w:rsid w:val="00C8497D"/>
    <w:rsid w:val="00C84AAB"/>
    <w:rsid w:val="00C85033"/>
    <w:rsid w:val="00C8594D"/>
    <w:rsid w:val="00C85A0B"/>
    <w:rsid w:val="00C85E53"/>
    <w:rsid w:val="00C85ED1"/>
    <w:rsid w:val="00C86609"/>
    <w:rsid w:val="00C86735"/>
    <w:rsid w:val="00C86C11"/>
    <w:rsid w:val="00C86D21"/>
    <w:rsid w:val="00C8731B"/>
    <w:rsid w:val="00C8797A"/>
    <w:rsid w:val="00C900B8"/>
    <w:rsid w:val="00C904B5"/>
    <w:rsid w:val="00C905CD"/>
    <w:rsid w:val="00C90C71"/>
    <w:rsid w:val="00C90E02"/>
    <w:rsid w:val="00C911CA"/>
    <w:rsid w:val="00C914AD"/>
    <w:rsid w:val="00C91504"/>
    <w:rsid w:val="00C9154D"/>
    <w:rsid w:val="00C915B6"/>
    <w:rsid w:val="00C915C3"/>
    <w:rsid w:val="00C9193F"/>
    <w:rsid w:val="00C9198F"/>
    <w:rsid w:val="00C92085"/>
    <w:rsid w:val="00C92213"/>
    <w:rsid w:val="00C92623"/>
    <w:rsid w:val="00C92BCA"/>
    <w:rsid w:val="00C92CC8"/>
    <w:rsid w:val="00C931CF"/>
    <w:rsid w:val="00C9373A"/>
    <w:rsid w:val="00C938CF"/>
    <w:rsid w:val="00C93E52"/>
    <w:rsid w:val="00C9427B"/>
    <w:rsid w:val="00C9539A"/>
    <w:rsid w:val="00C95A9B"/>
    <w:rsid w:val="00C95B2C"/>
    <w:rsid w:val="00C95BBD"/>
    <w:rsid w:val="00C9624D"/>
    <w:rsid w:val="00C9660B"/>
    <w:rsid w:val="00C968A3"/>
    <w:rsid w:val="00C96939"/>
    <w:rsid w:val="00C969DA"/>
    <w:rsid w:val="00C96C17"/>
    <w:rsid w:val="00C96EF2"/>
    <w:rsid w:val="00C97B3C"/>
    <w:rsid w:val="00CA010C"/>
    <w:rsid w:val="00CA04A0"/>
    <w:rsid w:val="00CA0727"/>
    <w:rsid w:val="00CA0FCF"/>
    <w:rsid w:val="00CA1065"/>
    <w:rsid w:val="00CA1393"/>
    <w:rsid w:val="00CA155B"/>
    <w:rsid w:val="00CA183A"/>
    <w:rsid w:val="00CA1C69"/>
    <w:rsid w:val="00CA2063"/>
    <w:rsid w:val="00CA23A8"/>
    <w:rsid w:val="00CA2633"/>
    <w:rsid w:val="00CA2A0D"/>
    <w:rsid w:val="00CA2C77"/>
    <w:rsid w:val="00CA2D71"/>
    <w:rsid w:val="00CA2E7F"/>
    <w:rsid w:val="00CA30DB"/>
    <w:rsid w:val="00CA31B0"/>
    <w:rsid w:val="00CA33B0"/>
    <w:rsid w:val="00CA3656"/>
    <w:rsid w:val="00CA3983"/>
    <w:rsid w:val="00CA3A93"/>
    <w:rsid w:val="00CA3EFE"/>
    <w:rsid w:val="00CA444F"/>
    <w:rsid w:val="00CA4F84"/>
    <w:rsid w:val="00CA5245"/>
    <w:rsid w:val="00CA559B"/>
    <w:rsid w:val="00CA585D"/>
    <w:rsid w:val="00CA5F76"/>
    <w:rsid w:val="00CA6EAA"/>
    <w:rsid w:val="00CA6FEA"/>
    <w:rsid w:val="00CA7009"/>
    <w:rsid w:val="00CA71F4"/>
    <w:rsid w:val="00CA7695"/>
    <w:rsid w:val="00CA7B09"/>
    <w:rsid w:val="00CB0161"/>
    <w:rsid w:val="00CB0E49"/>
    <w:rsid w:val="00CB0F6B"/>
    <w:rsid w:val="00CB0FD4"/>
    <w:rsid w:val="00CB1535"/>
    <w:rsid w:val="00CB156A"/>
    <w:rsid w:val="00CB1BCB"/>
    <w:rsid w:val="00CB1D94"/>
    <w:rsid w:val="00CB2511"/>
    <w:rsid w:val="00CB2F2A"/>
    <w:rsid w:val="00CB3813"/>
    <w:rsid w:val="00CB3ADB"/>
    <w:rsid w:val="00CB4872"/>
    <w:rsid w:val="00CB4B29"/>
    <w:rsid w:val="00CB4F74"/>
    <w:rsid w:val="00CB5247"/>
    <w:rsid w:val="00CB5728"/>
    <w:rsid w:val="00CB5969"/>
    <w:rsid w:val="00CB5B1A"/>
    <w:rsid w:val="00CB645E"/>
    <w:rsid w:val="00CB6B22"/>
    <w:rsid w:val="00CB6B2B"/>
    <w:rsid w:val="00CB7CCD"/>
    <w:rsid w:val="00CB7D83"/>
    <w:rsid w:val="00CB7F5F"/>
    <w:rsid w:val="00CC01B6"/>
    <w:rsid w:val="00CC12C5"/>
    <w:rsid w:val="00CC13FF"/>
    <w:rsid w:val="00CC1B39"/>
    <w:rsid w:val="00CC1DB1"/>
    <w:rsid w:val="00CC26BA"/>
    <w:rsid w:val="00CC2E23"/>
    <w:rsid w:val="00CC2F8A"/>
    <w:rsid w:val="00CC3052"/>
    <w:rsid w:val="00CC3613"/>
    <w:rsid w:val="00CC3D92"/>
    <w:rsid w:val="00CC3E95"/>
    <w:rsid w:val="00CC3F96"/>
    <w:rsid w:val="00CC4576"/>
    <w:rsid w:val="00CC4D3F"/>
    <w:rsid w:val="00CC5036"/>
    <w:rsid w:val="00CC568C"/>
    <w:rsid w:val="00CC5C03"/>
    <w:rsid w:val="00CC5FDE"/>
    <w:rsid w:val="00CC61E0"/>
    <w:rsid w:val="00CC6427"/>
    <w:rsid w:val="00CC651B"/>
    <w:rsid w:val="00CC6582"/>
    <w:rsid w:val="00CC6C7C"/>
    <w:rsid w:val="00CC6D41"/>
    <w:rsid w:val="00CC6F3B"/>
    <w:rsid w:val="00CC6FEA"/>
    <w:rsid w:val="00CC759E"/>
    <w:rsid w:val="00CC76D9"/>
    <w:rsid w:val="00CD0708"/>
    <w:rsid w:val="00CD09BF"/>
    <w:rsid w:val="00CD0DB6"/>
    <w:rsid w:val="00CD1D2E"/>
    <w:rsid w:val="00CD250A"/>
    <w:rsid w:val="00CD2A9A"/>
    <w:rsid w:val="00CD320E"/>
    <w:rsid w:val="00CD3B48"/>
    <w:rsid w:val="00CD4F3E"/>
    <w:rsid w:val="00CD53CB"/>
    <w:rsid w:val="00CD563C"/>
    <w:rsid w:val="00CD57EE"/>
    <w:rsid w:val="00CD59A5"/>
    <w:rsid w:val="00CD5ED1"/>
    <w:rsid w:val="00CD6032"/>
    <w:rsid w:val="00CD6910"/>
    <w:rsid w:val="00CD6ADC"/>
    <w:rsid w:val="00CD6F42"/>
    <w:rsid w:val="00CD73FD"/>
    <w:rsid w:val="00CE005F"/>
    <w:rsid w:val="00CE0250"/>
    <w:rsid w:val="00CE0477"/>
    <w:rsid w:val="00CE0CCB"/>
    <w:rsid w:val="00CE15DD"/>
    <w:rsid w:val="00CE1A5A"/>
    <w:rsid w:val="00CE1DDD"/>
    <w:rsid w:val="00CE2108"/>
    <w:rsid w:val="00CE25A2"/>
    <w:rsid w:val="00CE2BDB"/>
    <w:rsid w:val="00CE2DCD"/>
    <w:rsid w:val="00CE3345"/>
    <w:rsid w:val="00CE3514"/>
    <w:rsid w:val="00CE3942"/>
    <w:rsid w:val="00CE3FD1"/>
    <w:rsid w:val="00CE412A"/>
    <w:rsid w:val="00CE41EB"/>
    <w:rsid w:val="00CE439C"/>
    <w:rsid w:val="00CE47FE"/>
    <w:rsid w:val="00CE5B7B"/>
    <w:rsid w:val="00CE6274"/>
    <w:rsid w:val="00CE6E01"/>
    <w:rsid w:val="00CE709A"/>
    <w:rsid w:val="00CE7181"/>
    <w:rsid w:val="00CE7B2C"/>
    <w:rsid w:val="00CE7B5A"/>
    <w:rsid w:val="00CF01FF"/>
    <w:rsid w:val="00CF023F"/>
    <w:rsid w:val="00CF0BA2"/>
    <w:rsid w:val="00CF12F9"/>
    <w:rsid w:val="00CF20DF"/>
    <w:rsid w:val="00CF2363"/>
    <w:rsid w:val="00CF2383"/>
    <w:rsid w:val="00CF2B8D"/>
    <w:rsid w:val="00CF3171"/>
    <w:rsid w:val="00CF345C"/>
    <w:rsid w:val="00CF347A"/>
    <w:rsid w:val="00CF4099"/>
    <w:rsid w:val="00CF40F7"/>
    <w:rsid w:val="00CF43BA"/>
    <w:rsid w:val="00CF4490"/>
    <w:rsid w:val="00CF456B"/>
    <w:rsid w:val="00CF471E"/>
    <w:rsid w:val="00CF4A26"/>
    <w:rsid w:val="00CF4E19"/>
    <w:rsid w:val="00CF52A6"/>
    <w:rsid w:val="00CF5A22"/>
    <w:rsid w:val="00CF62D2"/>
    <w:rsid w:val="00CF69CF"/>
    <w:rsid w:val="00CF6A4A"/>
    <w:rsid w:val="00CF7038"/>
    <w:rsid w:val="00CF7869"/>
    <w:rsid w:val="00CF78F1"/>
    <w:rsid w:val="00CF7B13"/>
    <w:rsid w:val="00CF7F7A"/>
    <w:rsid w:val="00D007D3"/>
    <w:rsid w:val="00D01229"/>
    <w:rsid w:val="00D01301"/>
    <w:rsid w:val="00D01BE1"/>
    <w:rsid w:val="00D01F43"/>
    <w:rsid w:val="00D0262E"/>
    <w:rsid w:val="00D0263D"/>
    <w:rsid w:val="00D02799"/>
    <w:rsid w:val="00D032C2"/>
    <w:rsid w:val="00D034BF"/>
    <w:rsid w:val="00D038C4"/>
    <w:rsid w:val="00D0407F"/>
    <w:rsid w:val="00D0435E"/>
    <w:rsid w:val="00D04EB7"/>
    <w:rsid w:val="00D0510B"/>
    <w:rsid w:val="00D06E5C"/>
    <w:rsid w:val="00D06EDC"/>
    <w:rsid w:val="00D072E3"/>
    <w:rsid w:val="00D07C5C"/>
    <w:rsid w:val="00D07DF4"/>
    <w:rsid w:val="00D07E78"/>
    <w:rsid w:val="00D1009D"/>
    <w:rsid w:val="00D100F1"/>
    <w:rsid w:val="00D10131"/>
    <w:rsid w:val="00D10560"/>
    <w:rsid w:val="00D10567"/>
    <w:rsid w:val="00D106A1"/>
    <w:rsid w:val="00D10AAF"/>
    <w:rsid w:val="00D10DB4"/>
    <w:rsid w:val="00D110BD"/>
    <w:rsid w:val="00D1113C"/>
    <w:rsid w:val="00D12181"/>
    <w:rsid w:val="00D12B0D"/>
    <w:rsid w:val="00D12C60"/>
    <w:rsid w:val="00D13675"/>
    <w:rsid w:val="00D13A03"/>
    <w:rsid w:val="00D13BC8"/>
    <w:rsid w:val="00D13F5C"/>
    <w:rsid w:val="00D141E1"/>
    <w:rsid w:val="00D14238"/>
    <w:rsid w:val="00D14E4E"/>
    <w:rsid w:val="00D14FD0"/>
    <w:rsid w:val="00D14FF1"/>
    <w:rsid w:val="00D15034"/>
    <w:rsid w:val="00D15132"/>
    <w:rsid w:val="00D15F40"/>
    <w:rsid w:val="00D16560"/>
    <w:rsid w:val="00D1688E"/>
    <w:rsid w:val="00D16A1D"/>
    <w:rsid w:val="00D16BD8"/>
    <w:rsid w:val="00D17999"/>
    <w:rsid w:val="00D17D6C"/>
    <w:rsid w:val="00D2074B"/>
    <w:rsid w:val="00D20906"/>
    <w:rsid w:val="00D2118D"/>
    <w:rsid w:val="00D21653"/>
    <w:rsid w:val="00D21951"/>
    <w:rsid w:val="00D21D9F"/>
    <w:rsid w:val="00D22111"/>
    <w:rsid w:val="00D221DB"/>
    <w:rsid w:val="00D22631"/>
    <w:rsid w:val="00D22976"/>
    <w:rsid w:val="00D23180"/>
    <w:rsid w:val="00D2470F"/>
    <w:rsid w:val="00D24794"/>
    <w:rsid w:val="00D248A6"/>
    <w:rsid w:val="00D25256"/>
    <w:rsid w:val="00D25742"/>
    <w:rsid w:val="00D25C28"/>
    <w:rsid w:val="00D261CD"/>
    <w:rsid w:val="00D266B8"/>
    <w:rsid w:val="00D26E0F"/>
    <w:rsid w:val="00D26E33"/>
    <w:rsid w:val="00D2754D"/>
    <w:rsid w:val="00D277DC"/>
    <w:rsid w:val="00D27818"/>
    <w:rsid w:val="00D279AB"/>
    <w:rsid w:val="00D27B27"/>
    <w:rsid w:val="00D3058E"/>
    <w:rsid w:val="00D3062F"/>
    <w:rsid w:val="00D30774"/>
    <w:rsid w:val="00D31357"/>
    <w:rsid w:val="00D31633"/>
    <w:rsid w:val="00D32046"/>
    <w:rsid w:val="00D3242C"/>
    <w:rsid w:val="00D324A4"/>
    <w:rsid w:val="00D325C6"/>
    <w:rsid w:val="00D32F94"/>
    <w:rsid w:val="00D32F9C"/>
    <w:rsid w:val="00D330CE"/>
    <w:rsid w:val="00D3345E"/>
    <w:rsid w:val="00D33BE9"/>
    <w:rsid w:val="00D34841"/>
    <w:rsid w:val="00D34F89"/>
    <w:rsid w:val="00D357FF"/>
    <w:rsid w:val="00D35B6D"/>
    <w:rsid w:val="00D35D3B"/>
    <w:rsid w:val="00D36477"/>
    <w:rsid w:val="00D367C1"/>
    <w:rsid w:val="00D3687F"/>
    <w:rsid w:val="00D36D38"/>
    <w:rsid w:val="00D37362"/>
    <w:rsid w:val="00D3768F"/>
    <w:rsid w:val="00D4001F"/>
    <w:rsid w:val="00D4057D"/>
    <w:rsid w:val="00D40721"/>
    <w:rsid w:val="00D40C10"/>
    <w:rsid w:val="00D41A0C"/>
    <w:rsid w:val="00D424C7"/>
    <w:rsid w:val="00D42668"/>
    <w:rsid w:val="00D4270A"/>
    <w:rsid w:val="00D42E53"/>
    <w:rsid w:val="00D435BE"/>
    <w:rsid w:val="00D4381C"/>
    <w:rsid w:val="00D438E5"/>
    <w:rsid w:val="00D43924"/>
    <w:rsid w:val="00D43B2A"/>
    <w:rsid w:val="00D44803"/>
    <w:rsid w:val="00D44818"/>
    <w:rsid w:val="00D449B1"/>
    <w:rsid w:val="00D449C3"/>
    <w:rsid w:val="00D45082"/>
    <w:rsid w:val="00D45C98"/>
    <w:rsid w:val="00D45EAF"/>
    <w:rsid w:val="00D4683C"/>
    <w:rsid w:val="00D46842"/>
    <w:rsid w:val="00D46A73"/>
    <w:rsid w:val="00D46B6A"/>
    <w:rsid w:val="00D46F06"/>
    <w:rsid w:val="00D4710B"/>
    <w:rsid w:val="00D47575"/>
    <w:rsid w:val="00D47631"/>
    <w:rsid w:val="00D477C4"/>
    <w:rsid w:val="00D47AFF"/>
    <w:rsid w:val="00D47BF1"/>
    <w:rsid w:val="00D5021D"/>
    <w:rsid w:val="00D5024F"/>
    <w:rsid w:val="00D5100D"/>
    <w:rsid w:val="00D51071"/>
    <w:rsid w:val="00D5160E"/>
    <w:rsid w:val="00D516D9"/>
    <w:rsid w:val="00D5172E"/>
    <w:rsid w:val="00D51C7F"/>
    <w:rsid w:val="00D51DC8"/>
    <w:rsid w:val="00D51EB9"/>
    <w:rsid w:val="00D52A23"/>
    <w:rsid w:val="00D52A87"/>
    <w:rsid w:val="00D53418"/>
    <w:rsid w:val="00D534C6"/>
    <w:rsid w:val="00D539F6"/>
    <w:rsid w:val="00D55368"/>
    <w:rsid w:val="00D554AE"/>
    <w:rsid w:val="00D556E2"/>
    <w:rsid w:val="00D55B23"/>
    <w:rsid w:val="00D55C7E"/>
    <w:rsid w:val="00D56864"/>
    <w:rsid w:val="00D56938"/>
    <w:rsid w:val="00D570BA"/>
    <w:rsid w:val="00D57114"/>
    <w:rsid w:val="00D5757B"/>
    <w:rsid w:val="00D60B97"/>
    <w:rsid w:val="00D61711"/>
    <w:rsid w:val="00D618AB"/>
    <w:rsid w:val="00D618E5"/>
    <w:rsid w:val="00D62EF7"/>
    <w:rsid w:val="00D63239"/>
    <w:rsid w:val="00D633C6"/>
    <w:rsid w:val="00D634AB"/>
    <w:rsid w:val="00D63545"/>
    <w:rsid w:val="00D64451"/>
    <w:rsid w:val="00D64711"/>
    <w:rsid w:val="00D649B6"/>
    <w:rsid w:val="00D64B89"/>
    <w:rsid w:val="00D65087"/>
    <w:rsid w:val="00D65C4C"/>
    <w:rsid w:val="00D65C90"/>
    <w:rsid w:val="00D660EE"/>
    <w:rsid w:val="00D667D7"/>
    <w:rsid w:val="00D66FB4"/>
    <w:rsid w:val="00D672CC"/>
    <w:rsid w:val="00D67781"/>
    <w:rsid w:val="00D67AD0"/>
    <w:rsid w:val="00D67E90"/>
    <w:rsid w:val="00D701F6"/>
    <w:rsid w:val="00D7024E"/>
    <w:rsid w:val="00D70419"/>
    <w:rsid w:val="00D70F16"/>
    <w:rsid w:val="00D71693"/>
    <w:rsid w:val="00D717EC"/>
    <w:rsid w:val="00D71A86"/>
    <w:rsid w:val="00D72B20"/>
    <w:rsid w:val="00D735B5"/>
    <w:rsid w:val="00D73789"/>
    <w:rsid w:val="00D737F3"/>
    <w:rsid w:val="00D73B74"/>
    <w:rsid w:val="00D74918"/>
    <w:rsid w:val="00D74C0D"/>
    <w:rsid w:val="00D74D7E"/>
    <w:rsid w:val="00D7504C"/>
    <w:rsid w:val="00D751D3"/>
    <w:rsid w:val="00D752B0"/>
    <w:rsid w:val="00D7579A"/>
    <w:rsid w:val="00D7591F"/>
    <w:rsid w:val="00D75D60"/>
    <w:rsid w:val="00D760F3"/>
    <w:rsid w:val="00D76416"/>
    <w:rsid w:val="00D76503"/>
    <w:rsid w:val="00D7664C"/>
    <w:rsid w:val="00D76A44"/>
    <w:rsid w:val="00D77D15"/>
    <w:rsid w:val="00D802BA"/>
    <w:rsid w:val="00D80C89"/>
    <w:rsid w:val="00D80FD8"/>
    <w:rsid w:val="00D815EE"/>
    <w:rsid w:val="00D815EF"/>
    <w:rsid w:val="00D81BDF"/>
    <w:rsid w:val="00D8228A"/>
    <w:rsid w:val="00D8228B"/>
    <w:rsid w:val="00D82452"/>
    <w:rsid w:val="00D83028"/>
    <w:rsid w:val="00D83E95"/>
    <w:rsid w:val="00D83FDB"/>
    <w:rsid w:val="00D8448E"/>
    <w:rsid w:val="00D84492"/>
    <w:rsid w:val="00D847C4"/>
    <w:rsid w:val="00D84F3B"/>
    <w:rsid w:val="00D85ACD"/>
    <w:rsid w:val="00D85AFF"/>
    <w:rsid w:val="00D85E23"/>
    <w:rsid w:val="00D866DB"/>
    <w:rsid w:val="00D86775"/>
    <w:rsid w:val="00D86D37"/>
    <w:rsid w:val="00D86E9F"/>
    <w:rsid w:val="00D874FB"/>
    <w:rsid w:val="00D879AF"/>
    <w:rsid w:val="00D87DA2"/>
    <w:rsid w:val="00D902FF"/>
    <w:rsid w:val="00D9048E"/>
    <w:rsid w:val="00D90DBD"/>
    <w:rsid w:val="00D915FA"/>
    <w:rsid w:val="00D91923"/>
    <w:rsid w:val="00D92556"/>
    <w:rsid w:val="00D925E1"/>
    <w:rsid w:val="00D926BB"/>
    <w:rsid w:val="00D930A0"/>
    <w:rsid w:val="00D933D3"/>
    <w:rsid w:val="00D9365F"/>
    <w:rsid w:val="00D936CD"/>
    <w:rsid w:val="00D93753"/>
    <w:rsid w:val="00D93B92"/>
    <w:rsid w:val="00D94C4B"/>
    <w:rsid w:val="00D94DDD"/>
    <w:rsid w:val="00D94F05"/>
    <w:rsid w:val="00D9512C"/>
    <w:rsid w:val="00D95420"/>
    <w:rsid w:val="00D956BE"/>
    <w:rsid w:val="00D957F7"/>
    <w:rsid w:val="00D95BDF"/>
    <w:rsid w:val="00D95DA1"/>
    <w:rsid w:val="00D95EE5"/>
    <w:rsid w:val="00D962CC"/>
    <w:rsid w:val="00D96964"/>
    <w:rsid w:val="00D96C74"/>
    <w:rsid w:val="00D97EFA"/>
    <w:rsid w:val="00DA0629"/>
    <w:rsid w:val="00DA085B"/>
    <w:rsid w:val="00DA1037"/>
    <w:rsid w:val="00DA12C6"/>
    <w:rsid w:val="00DA29E8"/>
    <w:rsid w:val="00DA2CCC"/>
    <w:rsid w:val="00DA2F0A"/>
    <w:rsid w:val="00DA3167"/>
    <w:rsid w:val="00DA3263"/>
    <w:rsid w:val="00DA3B4B"/>
    <w:rsid w:val="00DA3C1C"/>
    <w:rsid w:val="00DA3D62"/>
    <w:rsid w:val="00DA3F7D"/>
    <w:rsid w:val="00DA44C1"/>
    <w:rsid w:val="00DA4AF5"/>
    <w:rsid w:val="00DA4B75"/>
    <w:rsid w:val="00DA4CFA"/>
    <w:rsid w:val="00DA4D09"/>
    <w:rsid w:val="00DA4DC3"/>
    <w:rsid w:val="00DA57E6"/>
    <w:rsid w:val="00DA5BAE"/>
    <w:rsid w:val="00DA5C4E"/>
    <w:rsid w:val="00DA5C76"/>
    <w:rsid w:val="00DA5DB4"/>
    <w:rsid w:val="00DA68EA"/>
    <w:rsid w:val="00DA6967"/>
    <w:rsid w:val="00DA709C"/>
    <w:rsid w:val="00DA77A5"/>
    <w:rsid w:val="00DA7CCE"/>
    <w:rsid w:val="00DA7DCE"/>
    <w:rsid w:val="00DB067D"/>
    <w:rsid w:val="00DB0C65"/>
    <w:rsid w:val="00DB1458"/>
    <w:rsid w:val="00DB24DC"/>
    <w:rsid w:val="00DB2FB2"/>
    <w:rsid w:val="00DB338A"/>
    <w:rsid w:val="00DB3433"/>
    <w:rsid w:val="00DB349B"/>
    <w:rsid w:val="00DB34F6"/>
    <w:rsid w:val="00DB35A3"/>
    <w:rsid w:val="00DB400C"/>
    <w:rsid w:val="00DB4168"/>
    <w:rsid w:val="00DB484F"/>
    <w:rsid w:val="00DB4B03"/>
    <w:rsid w:val="00DB4E1B"/>
    <w:rsid w:val="00DB58B2"/>
    <w:rsid w:val="00DB5D7F"/>
    <w:rsid w:val="00DB66AD"/>
    <w:rsid w:val="00DB6778"/>
    <w:rsid w:val="00DB68DB"/>
    <w:rsid w:val="00DB6B36"/>
    <w:rsid w:val="00DB6BCC"/>
    <w:rsid w:val="00DB6FAE"/>
    <w:rsid w:val="00DB715B"/>
    <w:rsid w:val="00DB71F1"/>
    <w:rsid w:val="00DB7922"/>
    <w:rsid w:val="00DC0209"/>
    <w:rsid w:val="00DC04F6"/>
    <w:rsid w:val="00DC07D4"/>
    <w:rsid w:val="00DC140C"/>
    <w:rsid w:val="00DC1D8E"/>
    <w:rsid w:val="00DC1D8F"/>
    <w:rsid w:val="00DC1F0E"/>
    <w:rsid w:val="00DC21D5"/>
    <w:rsid w:val="00DC28CF"/>
    <w:rsid w:val="00DC3452"/>
    <w:rsid w:val="00DC3929"/>
    <w:rsid w:val="00DC3C57"/>
    <w:rsid w:val="00DC40B8"/>
    <w:rsid w:val="00DC4877"/>
    <w:rsid w:val="00DC4B36"/>
    <w:rsid w:val="00DC4EB8"/>
    <w:rsid w:val="00DC54B1"/>
    <w:rsid w:val="00DC5501"/>
    <w:rsid w:val="00DC587E"/>
    <w:rsid w:val="00DC5F18"/>
    <w:rsid w:val="00DC5FBC"/>
    <w:rsid w:val="00DC6056"/>
    <w:rsid w:val="00DC674B"/>
    <w:rsid w:val="00DC6803"/>
    <w:rsid w:val="00DC7314"/>
    <w:rsid w:val="00DC737C"/>
    <w:rsid w:val="00DC75EE"/>
    <w:rsid w:val="00DC7729"/>
    <w:rsid w:val="00DC7C50"/>
    <w:rsid w:val="00DD0229"/>
    <w:rsid w:val="00DD0282"/>
    <w:rsid w:val="00DD0902"/>
    <w:rsid w:val="00DD0B0E"/>
    <w:rsid w:val="00DD0B24"/>
    <w:rsid w:val="00DD0BF5"/>
    <w:rsid w:val="00DD0E18"/>
    <w:rsid w:val="00DD136C"/>
    <w:rsid w:val="00DD1A28"/>
    <w:rsid w:val="00DD1B16"/>
    <w:rsid w:val="00DD22D4"/>
    <w:rsid w:val="00DD2532"/>
    <w:rsid w:val="00DD25C7"/>
    <w:rsid w:val="00DD273C"/>
    <w:rsid w:val="00DD2D4C"/>
    <w:rsid w:val="00DD39F2"/>
    <w:rsid w:val="00DD3D8B"/>
    <w:rsid w:val="00DD3F28"/>
    <w:rsid w:val="00DD4118"/>
    <w:rsid w:val="00DD4179"/>
    <w:rsid w:val="00DD4389"/>
    <w:rsid w:val="00DD4537"/>
    <w:rsid w:val="00DD4E15"/>
    <w:rsid w:val="00DD4E38"/>
    <w:rsid w:val="00DD4E45"/>
    <w:rsid w:val="00DD5583"/>
    <w:rsid w:val="00DD57CE"/>
    <w:rsid w:val="00DD6B9D"/>
    <w:rsid w:val="00DD6C0A"/>
    <w:rsid w:val="00DD79D7"/>
    <w:rsid w:val="00DD7B6C"/>
    <w:rsid w:val="00DD7BD3"/>
    <w:rsid w:val="00DE007C"/>
    <w:rsid w:val="00DE071B"/>
    <w:rsid w:val="00DE0D19"/>
    <w:rsid w:val="00DE119E"/>
    <w:rsid w:val="00DE136E"/>
    <w:rsid w:val="00DE1AB2"/>
    <w:rsid w:val="00DE2341"/>
    <w:rsid w:val="00DE25E7"/>
    <w:rsid w:val="00DE262A"/>
    <w:rsid w:val="00DE2E1B"/>
    <w:rsid w:val="00DE3138"/>
    <w:rsid w:val="00DE37F8"/>
    <w:rsid w:val="00DE3A15"/>
    <w:rsid w:val="00DE3FAC"/>
    <w:rsid w:val="00DE40B3"/>
    <w:rsid w:val="00DE4FCB"/>
    <w:rsid w:val="00DE50AA"/>
    <w:rsid w:val="00DE5868"/>
    <w:rsid w:val="00DE5DE4"/>
    <w:rsid w:val="00DE70F6"/>
    <w:rsid w:val="00DE71DE"/>
    <w:rsid w:val="00DE7832"/>
    <w:rsid w:val="00DF02F4"/>
    <w:rsid w:val="00DF1696"/>
    <w:rsid w:val="00DF18FC"/>
    <w:rsid w:val="00DF1BF0"/>
    <w:rsid w:val="00DF1BFE"/>
    <w:rsid w:val="00DF1CC2"/>
    <w:rsid w:val="00DF1EB7"/>
    <w:rsid w:val="00DF1F2C"/>
    <w:rsid w:val="00DF244A"/>
    <w:rsid w:val="00DF2DD1"/>
    <w:rsid w:val="00DF2F11"/>
    <w:rsid w:val="00DF306E"/>
    <w:rsid w:val="00DF329B"/>
    <w:rsid w:val="00DF3355"/>
    <w:rsid w:val="00DF356C"/>
    <w:rsid w:val="00DF3FE0"/>
    <w:rsid w:val="00DF4060"/>
    <w:rsid w:val="00DF43B8"/>
    <w:rsid w:val="00DF4B91"/>
    <w:rsid w:val="00DF4C0D"/>
    <w:rsid w:val="00DF4CAB"/>
    <w:rsid w:val="00DF5174"/>
    <w:rsid w:val="00DF5193"/>
    <w:rsid w:val="00DF53FC"/>
    <w:rsid w:val="00DF5A22"/>
    <w:rsid w:val="00DF5A67"/>
    <w:rsid w:val="00DF5C5E"/>
    <w:rsid w:val="00DF5C5F"/>
    <w:rsid w:val="00DF5D2B"/>
    <w:rsid w:val="00DF5F5D"/>
    <w:rsid w:val="00DF6648"/>
    <w:rsid w:val="00DF6E36"/>
    <w:rsid w:val="00DF6E98"/>
    <w:rsid w:val="00DF7132"/>
    <w:rsid w:val="00DF71C8"/>
    <w:rsid w:val="00DF730D"/>
    <w:rsid w:val="00DF749C"/>
    <w:rsid w:val="00DF7A68"/>
    <w:rsid w:val="00DF7D78"/>
    <w:rsid w:val="00DF7EDD"/>
    <w:rsid w:val="00E0034E"/>
    <w:rsid w:val="00E00C3A"/>
    <w:rsid w:val="00E00E8E"/>
    <w:rsid w:val="00E01B28"/>
    <w:rsid w:val="00E01F94"/>
    <w:rsid w:val="00E0211B"/>
    <w:rsid w:val="00E02243"/>
    <w:rsid w:val="00E02DE8"/>
    <w:rsid w:val="00E02EA3"/>
    <w:rsid w:val="00E03627"/>
    <w:rsid w:val="00E041AB"/>
    <w:rsid w:val="00E043EC"/>
    <w:rsid w:val="00E044D9"/>
    <w:rsid w:val="00E047A0"/>
    <w:rsid w:val="00E04D68"/>
    <w:rsid w:val="00E054FA"/>
    <w:rsid w:val="00E05630"/>
    <w:rsid w:val="00E05E73"/>
    <w:rsid w:val="00E05F3C"/>
    <w:rsid w:val="00E0619D"/>
    <w:rsid w:val="00E0659E"/>
    <w:rsid w:val="00E06913"/>
    <w:rsid w:val="00E06DBB"/>
    <w:rsid w:val="00E072FD"/>
    <w:rsid w:val="00E10149"/>
    <w:rsid w:val="00E10593"/>
    <w:rsid w:val="00E10ADD"/>
    <w:rsid w:val="00E10F21"/>
    <w:rsid w:val="00E11245"/>
    <w:rsid w:val="00E11481"/>
    <w:rsid w:val="00E115ED"/>
    <w:rsid w:val="00E117B9"/>
    <w:rsid w:val="00E11E65"/>
    <w:rsid w:val="00E123AB"/>
    <w:rsid w:val="00E13083"/>
    <w:rsid w:val="00E13240"/>
    <w:rsid w:val="00E13AE3"/>
    <w:rsid w:val="00E13B2D"/>
    <w:rsid w:val="00E13F89"/>
    <w:rsid w:val="00E142DF"/>
    <w:rsid w:val="00E14473"/>
    <w:rsid w:val="00E149A0"/>
    <w:rsid w:val="00E14A16"/>
    <w:rsid w:val="00E15211"/>
    <w:rsid w:val="00E1528D"/>
    <w:rsid w:val="00E15547"/>
    <w:rsid w:val="00E15772"/>
    <w:rsid w:val="00E15CAD"/>
    <w:rsid w:val="00E15E32"/>
    <w:rsid w:val="00E16372"/>
    <w:rsid w:val="00E167FC"/>
    <w:rsid w:val="00E16BA0"/>
    <w:rsid w:val="00E16CE7"/>
    <w:rsid w:val="00E16D61"/>
    <w:rsid w:val="00E16E60"/>
    <w:rsid w:val="00E16EDB"/>
    <w:rsid w:val="00E17AB4"/>
    <w:rsid w:val="00E20025"/>
    <w:rsid w:val="00E2002E"/>
    <w:rsid w:val="00E20601"/>
    <w:rsid w:val="00E20BA0"/>
    <w:rsid w:val="00E20CDE"/>
    <w:rsid w:val="00E20E4D"/>
    <w:rsid w:val="00E20ED6"/>
    <w:rsid w:val="00E2107B"/>
    <w:rsid w:val="00E21358"/>
    <w:rsid w:val="00E21999"/>
    <w:rsid w:val="00E2249B"/>
    <w:rsid w:val="00E22893"/>
    <w:rsid w:val="00E22A0D"/>
    <w:rsid w:val="00E22FDF"/>
    <w:rsid w:val="00E2310C"/>
    <w:rsid w:val="00E23309"/>
    <w:rsid w:val="00E237EC"/>
    <w:rsid w:val="00E23E4D"/>
    <w:rsid w:val="00E24270"/>
    <w:rsid w:val="00E24473"/>
    <w:rsid w:val="00E24AC0"/>
    <w:rsid w:val="00E257C0"/>
    <w:rsid w:val="00E25A4E"/>
    <w:rsid w:val="00E25C39"/>
    <w:rsid w:val="00E25FEC"/>
    <w:rsid w:val="00E26603"/>
    <w:rsid w:val="00E26903"/>
    <w:rsid w:val="00E26931"/>
    <w:rsid w:val="00E26B71"/>
    <w:rsid w:val="00E26BB8"/>
    <w:rsid w:val="00E26F77"/>
    <w:rsid w:val="00E27247"/>
    <w:rsid w:val="00E2768C"/>
    <w:rsid w:val="00E2771E"/>
    <w:rsid w:val="00E27BB7"/>
    <w:rsid w:val="00E27D0D"/>
    <w:rsid w:val="00E27EA7"/>
    <w:rsid w:val="00E30AFB"/>
    <w:rsid w:val="00E30B35"/>
    <w:rsid w:val="00E31208"/>
    <w:rsid w:val="00E31475"/>
    <w:rsid w:val="00E31C4D"/>
    <w:rsid w:val="00E32566"/>
    <w:rsid w:val="00E32AAE"/>
    <w:rsid w:val="00E32DC8"/>
    <w:rsid w:val="00E32FD4"/>
    <w:rsid w:val="00E337FB"/>
    <w:rsid w:val="00E340BF"/>
    <w:rsid w:val="00E34770"/>
    <w:rsid w:val="00E34948"/>
    <w:rsid w:val="00E34E7E"/>
    <w:rsid w:val="00E350DB"/>
    <w:rsid w:val="00E35849"/>
    <w:rsid w:val="00E35C39"/>
    <w:rsid w:val="00E369EA"/>
    <w:rsid w:val="00E370C4"/>
    <w:rsid w:val="00E370C8"/>
    <w:rsid w:val="00E37569"/>
    <w:rsid w:val="00E375F0"/>
    <w:rsid w:val="00E40468"/>
    <w:rsid w:val="00E40486"/>
    <w:rsid w:val="00E40569"/>
    <w:rsid w:val="00E40A0A"/>
    <w:rsid w:val="00E40A6C"/>
    <w:rsid w:val="00E41006"/>
    <w:rsid w:val="00E413FF"/>
    <w:rsid w:val="00E41932"/>
    <w:rsid w:val="00E41D57"/>
    <w:rsid w:val="00E41E2E"/>
    <w:rsid w:val="00E41E30"/>
    <w:rsid w:val="00E41EBF"/>
    <w:rsid w:val="00E432AF"/>
    <w:rsid w:val="00E43C9C"/>
    <w:rsid w:val="00E43D70"/>
    <w:rsid w:val="00E4493F"/>
    <w:rsid w:val="00E4495F"/>
    <w:rsid w:val="00E44A3D"/>
    <w:rsid w:val="00E44D10"/>
    <w:rsid w:val="00E44FF1"/>
    <w:rsid w:val="00E45455"/>
    <w:rsid w:val="00E459E5"/>
    <w:rsid w:val="00E461F1"/>
    <w:rsid w:val="00E4655F"/>
    <w:rsid w:val="00E466F3"/>
    <w:rsid w:val="00E4671B"/>
    <w:rsid w:val="00E4683F"/>
    <w:rsid w:val="00E46891"/>
    <w:rsid w:val="00E479D8"/>
    <w:rsid w:val="00E47B2C"/>
    <w:rsid w:val="00E501A5"/>
    <w:rsid w:val="00E50716"/>
    <w:rsid w:val="00E51034"/>
    <w:rsid w:val="00E51560"/>
    <w:rsid w:val="00E52579"/>
    <w:rsid w:val="00E528D4"/>
    <w:rsid w:val="00E5377E"/>
    <w:rsid w:val="00E54098"/>
    <w:rsid w:val="00E54175"/>
    <w:rsid w:val="00E54347"/>
    <w:rsid w:val="00E5457B"/>
    <w:rsid w:val="00E546ED"/>
    <w:rsid w:val="00E55424"/>
    <w:rsid w:val="00E55442"/>
    <w:rsid w:val="00E559D0"/>
    <w:rsid w:val="00E55BB5"/>
    <w:rsid w:val="00E560BD"/>
    <w:rsid w:val="00E5613D"/>
    <w:rsid w:val="00E56197"/>
    <w:rsid w:val="00E5626F"/>
    <w:rsid w:val="00E563C1"/>
    <w:rsid w:val="00E56D9B"/>
    <w:rsid w:val="00E579D7"/>
    <w:rsid w:val="00E57B49"/>
    <w:rsid w:val="00E57D15"/>
    <w:rsid w:val="00E57D1A"/>
    <w:rsid w:val="00E60E26"/>
    <w:rsid w:val="00E61794"/>
    <w:rsid w:val="00E619C3"/>
    <w:rsid w:val="00E61B49"/>
    <w:rsid w:val="00E61E85"/>
    <w:rsid w:val="00E61F1A"/>
    <w:rsid w:val="00E623F2"/>
    <w:rsid w:val="00E62548"/>
    <w:rsid w:val="00E62CA1"/>
    <w:rsid w:val="00E62E4A"/>
    <w:rsid w:val="00E6328A"/>
    <w:rsid w:val="00E64409"/>
    <w:rsid w:val="00E648F2"/>
    <w:rsid w:val="00E64F42"/>
    <w:rsid w:val="00E6525E"/>
    <w:rsid w:val="00E6541E"/>
    <w:rsid w:val="00E65614"/>
    <w:rsid w:val="00E65ACB"/>
    <w:rsid w:val="00E65D49"/>
    <w:rsid w:val="00E65E79"/>
    <w:rsid w:val="00E661AD"/>
    <w:rsid w:val="00E6631A"/>
    <w:rsid w:val="00E66331"/>
    <w:rsid w:val="00E6663A"/>
    <w:rsid w:val="00E66A05"/>
    <w:rsid w:val="00E66BA2"/>
    <w:rsid w:val="00E66E28"/>
    <w:rsid w:val="00E67196"/>
    <w:rsid w:val="00E67416"/>
    <w:rsid w:val="00E6790C"/>
    <w:rsid w:val="00E70335"/>
    <w:rsid w:val="00E704B0"/>
    <w:rsid w:val="00E704FC"/>
    <w:rsid w:val="00E712E3"/>
    <w:rsid w:val="00E71541"/>
    <w:rsid w:val="00E718B6"/>
    <w:rsid w:val="00E723BA"/>
    <w:rsid w:val="00E723D1"/>
    <w:rsid w:val="00E72452"/>
    <w:rsid w:val="00E726AA"/>
    <w:rsid w:val="00E72D5C"/>
    <w:rsid w:val="00E73085"/>
    <w:rsid w:val="00E73581"/>
    <w:rsid w:val="00E735A4"/>
    <w:rsid w:val="00E736FA"/>
    <w:rsid w:val="00E73C27"/>
    <w:rsid w:val="00E73D5B"/>
    <w:rsid w:val="00E73ECE"/>
    <w:rsid w:val="00E73F45"/>
    <w:rsid w:val="00E74442"/>
    <w:rsid w:val="00E746AF"/>
    <w:rsid w:val="00E74EF5"/>
    <w:rsid w:val="00E750CF"/>
    <w:rsid w:val="00E75A30"/>
    <w:rsid w:val="00E75ADF"/>
    <w:rsid w:val="00E76053"/>
    <w:rsid w:val="00E76CAD"/>
    <w:rsid w:val="00E77570"/>
    <w:rsid w:val="00E77BF8"/>
    <w:rsid w:val="00E8001A"/>
    <w:rsid w:val="00E80462"/>
    <w:rsid w:val="00E807F9"/>
    <w:rsid w:val="00E80923"/>
    <w:rsid w:val="00E80A86"/>
    <w:rsid w:val="00E80FF6"/>
    <w:rsid w:val="00E81093"/>
    <w:rsid w:val="00E81583"/>
    <w:rsid w:val="00E81980"/>
    <w:rsid w:val="00E81ABC"/>
    <w:rsid w:val="00E823F9"/>
    <w:rsid w:val="00E82663"/>
    <w:rsid w:val="00E8273B"/>
    <w:rsid w:val="00E82959"/>
    <w:rsid w:val="00E82A25"/>
    <w:rsid w:val="00E82D0B"/>
    <w:rsid w:val="00E82E57"/>
    <w:rsid w:val="00E83121"/>
    <w:rsid w:val="00E8330E"/>
    <w:rsid w:val="00E833F7"/>
    <w:rsid w:val="00E83BDF"/>
    <w:rsid w:val="00E83C05"/>
    <w:rsid w:val="00E83C0B"/>
    <w:rsid w:val="00E83E7E"/>
    <w:rsid w:val="00E842C0"/>
    <w:rsid w:val="00E85B0A"/>
    <w:rsid w:val="00E86819"/>
    <w:rsid w:val="00E86E5C"/>
    <w:rsid w:val="00E87A1D"/>
    <w:rsid w:val="00E87A9C"/>
    <w:rsid w:val="00E87FAB"/>
    <w:rsid w:val="00E909C0"/>
    <w:rsid w:val="00E91997"/>
    <w:rsid w:val="00E919E8"/>
    <w:rsid w:val="00E91F99"/>
    <w:rsid w:val="00E920CC"/>
    <w:rsid w:val="00E926A5"/>
    <w:rsid w:val="00E92951"/>
    <w:rsid w:val="00E92AE2"/>
    <w:rsid w:val="00E92C47"/>
    <w:rsid w:val="00E9338E"/>
    <w:rsid w:val="00E9371F"/>
    <w:rsid w:val="00E93842"/>
    <w:rsid w:val="00E938F2"/>
    <w:rsid w:val="00E93CB4"/>
    <w:rsid w:val="00E9422B"/>
    <w:rsid w:val="00E9457E"/>
    <w:rsid w:val="00E950CD"/>
    <w:rsid w:val="00E95105"/>
    <w:rsid w:val="00E96157"/>
    <w:rsid w:val="00E962B7"/>
    <w:rsid w:val="00E964DB"/>
    <w:rsid w:val="00E9650C"/>
    <w:rsid w:val="00E96683"/>
    <w:rsid w:val="00E96C36"/>
    <w:rsid w:val="00E96CE3"/>
    <w:rsid w:val="00E96D27"/>
    <w:rsid w:val="00E97417"/>
    <w:rsid w:val="00E97EE1"/>
    <w:rsid w:val="00EA00A8"/>
    <w:rsid w:val="00EA0737"/>
    <w:rsid w:val="00EA0848"/>
    <w:rsid w:val="00EA1274"/>
    <w:rsid w:val="00EA1448"/>
    <w:rsid w:val="00EA1474"/>
    <w:rsid w:val="00EA17C3"/>
    <w:rsid w:val="00EA17D5"/>
    <w:rsid w:val="00EA188E"/>
    <w:rsid w:val="00EA1DFE"/>
    <w:rsid w:val="00EA2CAA"/>
    <w:rsid w:val="00EA343F"/>
    <w:rsid w:val="00EA3864"/>
    <w:rsid w:val="00EA3C5C"/>
    <w:rsid w:val="00EA4077"/>
    <w:rsid w:val="00EA6031"/>
    <w:rsid w:val="00EA6727"/>
    <w:rsid w:val="00EA6A54"/>
    <w:rsid w:val="00EA6EB4"/>
    <w:rsid w:val="00EA7023"/>
    <w:rsid w:val="00EA73B1"/>
    <w:rsid w:val="00EA7776"/>
    <w:rsid w:val="00EA7C28"/>
    <w:rsid w:val="00EA7F76"/>
    <w:rsid w:val="00EB0273"/>
    <w:rsid w:val="00EB060B"/>
    <w:rsid w:val="00EB07D6"/>
    <w:rsid w:val="00EB0D10"/>
    <w:rsid w:val="00EB0DF6"/>
    <w:rsid w:val="00EB118C"/>
    <w:rsid w:val="00EB12D4"/>
    <w:rsid w:val="00EB15B6"/>
    <w:rsid w:val="00EB16AE"/>
    <w:rsid w:val="00EB1FFA"/>
    <w:rsid w:val="00EB2B61"/>
    <w:rsid w:val="00EB2FDC"/>
    <w:rsid w:val="00EB342B"/>
    <w:rsid w:val="00EB3B9C"/>
    <w:rsid w:val="00EB455C"/>
    <w:rsid w:val="00EB4821"/>
    <w:rsid w:val="00EB4916"/>
    <w:rsid w:val="00EB4DE9"/>
    <w:rsid w:val="00EB596F"/>
    <w:rsid w:val="00EB5EE8"/>
    <w:rsid w:val="00EB5F93"/>
    <w:rsid w:val="00EB64BD"/>
    <w:rsid w:val="00EB7120"/>
    <w:rsid w:val="00EB7412"/>
    <w:rsid w:val="00EB7C18"/>
    <w:rsid w:val="00EC00C9"/>
    <w:rsid w:val="00EC06F1"/>
    <w:rsid w:val="00EC1518"/>
    <w:rsid w:val="00EC251D"/>
    <w:rsid w:val="00EC2649"/>
    <w:rsid w:val="00EC27AB"/>
    <w:rsid w:val="00EC31EA"/>
    <w:rsid w:val="00EC3413"/>
    <w:rsid w:val="00EC3C0E"/>
    <w:rsid w:val="00EC426D"/>
    <w:rsid w:val="00EC4576"/>
    <w:rsid w:val="00EC4717"/>
    <w:rsid w:val="00EC5593"/>
    <w:rsid w:val="00EC5C84"/>
    <w:rsid w:val="00EC6500"/>
    <w:rsid w:val="00EC65B3"/>
    <w:rsid w:val="00EC67E9"/>
    <w:rsid w:val="00EC74D6"/>
    <w:rsid w:val="00EC76DF"/>
    <w:rsid w:val="00ED0B4F"/>
    <w:rsid w:val="00ED0C92"/>
    <w:rsid w:val="00ED0EC7"/>
    <w:rsid w:val="00ED0F3D"/>
    <w:rsid w:val="00ED1084"/>
    <w:rsid w:val="00ED17A1"/>
    <w:rsid w:val="00ED1BD6"/>
    <w:rsid w:val="00ED1EB8"/>
    <w:rsid w:val="00ED2E7F"/>
    <w:rsid w:val="00ED2F17"/>
    <w:rsid w:val="00ED31C1"/>
    <w:rsid w:val="00ED333F"/>
    <w:rsid w:val="00ED375A"/>
    <w:rsid w:val="00ED3F17"/>
    <w:rsid w:val="00ED41ED"/>
    <w:rsid w:val="00ED46AD"/>
    <w:rsid w:val="00ED46B6"/>
    <w:rsid w:val="00ED48FD"/>
    <w:rsid w:val="00ED517B"/>
    <w:rsid w:val="00ED56A1"/>
    <w:rsid w:val="00ED57B2"/>
    <w:rsid w:val="00ED57EA"/>
    <w:rsid w:val="00ED5A02"/>
    <w:rsid w:val="00ED5EC5"/>
    <w:rsid w:val="00ED6E87"/>
    <w:rsid w:val="00ED71CF"/>
    <w:rsid w:val="00ED72CB"/>
    <w:rsid w:val="00ED76C9"/>
    <w:rsid w:val="00ED78EB"/>
    <w:rsid w:val="00ED7A8B"/>
    <w:rsid w:val="00ED7B2E"/>
    <w:rsid w:val="00ED7C15"/>
    <w:rsid w:val="00ED7C5A"/>
    <w:rsid w:val="00EE046A"/>
    <w:rsid w:val="00EE0640"/>
    <w:rsid w:val="00EE07D3"/>
    <w:rsid w:val="00EE1913"/>
    <w:rsid w:val="00EE1C94"/>
    <w:rsid w:val="00EE1DB2"/>
    <w:rsid w:val="00EE22AF"/>
    <w:rsid w:val="00EE31F1"/>
    <w:rsid w:val="00EE363C"/>
    <w:rsid w:val="00EE366F"/>
    <w:rsid w:val="00EE3A47"/>
    <w:rsid w:val="00EE43ED"/>
    <w:rsid w:val="00EE44C0"/>
    <w:rsid w:val="00EE51AC"/>
    <w:rsid w:val="00EE51C8"/>
    <w:rsid w:val="00EE51E1"/>
    <w:rsid w:val="00EE527F"/>
    <w:rsid w:val="00EE560D"/>
    <w:rsid w:val="00EE5898"/>
    <w:rsid w:val="00EE5FCC"/>
    <w:rsid w:val="00EE6274"/>
    <w:rsid w:val="00EE672A"/>
    <w:rsid w:val="00EE6A13"/>
    <w:rsid w:val="00EE6B89"/>
    <w:rsid w:val="00EE7070"/>
    <w:rsid w:val="00EE748E"/>
    <w:rsid w:val="00EE7BDF"/>
    <w:rsid w:val="00EF0011"/>
    <w:rsid w:val="00EF0171"/>
    <w:rsid w:val="00EF0ADC"/>
    <w:rsid w:val="00EF138F"/>
    <w:rsid w:val="00EF1ABD"/>
    <w:rsid w:val="00EF1B25"/>
    <w:rsid w:val="00EF1DDB"/>
    <w:rsid w:val="00EF2198"/>
    <w:rsid w:val="00EF261C"/>
    <w:rsid w:val="00EF26CF"/>
    <w:rsid w:val="00EF2738"/>
    <w:rsid w:val="00EF2AE2"/>
    <w:rsid w:val="00EF2DE1"/>
    <w:rsid w:val="00EF3839"/>
    <w:rsid w:val="00EF3C6A"/>
    <w:rsid w:val="00EF3FF6"/>
    <w:rsid w:val="00EF4060"/>
    <w:rsid w:val="00EF42C2"/>
    <w:rsid w:val="00EF4747"/>
    <w:rsid w:val="00EF49D1"/>
    <w:rsid w:val="00EF4BF8"/>
    <w:rsid w:val="00EF524C"/>
    <w:rsid w:val="00EF584A"/>
    <w:rsid w:val="00EF677F"/>
    <w:rsid w:val="00EF6E06"/>
    <w:rsid w:val="00EF6ECE"/>
    <w:rsid w:val="00EF7309"/>
    <w:rsid w:val="00EF75FA"/>
    <w:rsid w:val="00EF78CC"/>
    <w:rsid w:val="00EF7DC3"/>
    <w:rsid w:val="00F00429"/>
    <w:rsid w:val="00F01205"/>
    <w:rsid w:val="00F021F4"/>
    <w:rsid w:val="00F02253"/>
    <w:rsid w:val="00F022A5"/>
    <w:rsid w:val="00F028F2"/>
    <w:rsid w:val="00F0294B"/>
    <w:rsid w:val="00F02B80"/>
    <w:rsid w:val="00F02EE1"/>
    <w:rsid w:val="00F03363"/>
    <w:rsid w:val="00F03564"/>
    <w:rsid w:val="00F03C2E"/>
    <w:rsid w:val="00F040FF"/>
    <w:rsid w:val="00F043AE"/>
    <w:rsid w:val="00F048F5"/>
    <w:rsid w:val="00F04988"/>
    <w:rsid w:val="00F04A66"/>
    <w:rsid w:val="00F04D3C"/>
    <w:rsid w:val="00F04E4E"/>
    <w:rsid w:val="00F04FA1"/>
    <w:rsid w:val="00F05065"/>
    <w:rsid w:val="00F0516C"/>
    <w:rsid w:val="00F05BAF"/>
    <w:rsid w:val="00F05BEB"/>
    <w:rsid w:val="00F063A3"/>
    <w:rsid w:val="00F067A2"/>
    <w:rsid w:val="00F067F3"/>
    <w:rsid w:val="00F069C0"/>
    <w:rsid w:val="00F06BDF"/>
    <w:rsid w:val="00F07A15"/>
    <w:rsid w:val="00F07E5C"/>
    <w:rsid w:val="00F07F6E"/>
    <w:rsid w:val="00F07FA8"/>
    <w:rsid w:val="00F1010D"/>
    <w:rsid w:val="00F10267"/>
    <w:rsid w:val="00F103F0"/>
    <w:rsid w:val="00F10ACA"/>
    <w:rsid w:val="00F10AED"/>
    <w:rsid w:val="00F10B4D"/>
    <w:rsid w:val="00F10F15"/>
    <w:rsid w:val="00F1112B"/>
    <w:rsid w:val="00F112EF"/>
    <w:rsid w:val="00F11321"/>
    <w:rsid w:val="00F113B0"/>
    <w:rsid w:val="00F116A8"/>
    <w:rsid w:val="00F1263A"/>
    <w:rsid w:val="00F12B28"/>
    <w:rsid w:val="00F12D75"/>
    <w:rsid w:val="00F13245"/>
    <w:rsid w:val="00F1326F"/>
    <w:rsid w:val="00F13BFD"/>
    <w:rsid w:val="00F140A2"/>
    <w:rsid w:val="00F14CF6"/>
    <w:rsid w:val="00F14D37"/>
    <w:rsid w:val="00F150B3"/>
    <w:rsid w:val="00F15767"/>
    <w:rsid w:val="00F1591C"/>
    <w:rsid w:val="00F15965"/>
    <w:rsid w:val="00F166E2"/>
    <w:rsid w:val="00F16FB2"/>
    <w:rsid w:val="00F20227"/>
    <w:rsid w:val="00F204B7"/>
    <w:rsid w:val="00F205E9"/>
    <w:rsid w:val="00F20A16"/>
    <w:rsid w:val="00F215E3"/>
    <w:rsid w:val="00F23088"/>
    <w:rsid w:val="00F23319"/>
    <w:rsid w:val="00F237E4"/>
    <w:rsid w:val="00F23AD1"/>
    <w:rsid w:val="00F23C4E"/>
    <w:rsid w:val="00F24622"/>
    <w:rsid w:val="00F24837"/>
    <w:rsid w:val="00F24A03"/>
    <w:rsid w:val="00F24FB1"/>
    <w:rsid w:val="00F251D9"/>
    <w:rsid w:val="00F2541A"/>
    <w:rsid w:val="00F2575F"/>
    <w:rsid w:val="00F25A03"/>
    <w:rsid w:val="00F26169"/>
    <w:rsid w:val="00F26B54"/>
    <w:rsid w:val="00F27155"/>
    <w:rsid w:val="00F27565"/>
    <w:rsid w:val="00F30696"/>
    <w:rsid w:val="00F30B6E"/>
    <w:rsid w:val="00F30FBA"/>
    <w:rsid w:val="00F310D4"/>
    <w:rsid w:val="00F3162D"/>
    <w:rsid w:val="00F317D3"/>
    <w:rsid w:val="00F3198F"/>
    <w:rsid w:val="00F31D5A"/>
    <w:rsid w:val="00F31F8D"/>
    <w:rsid w:val="00F3241D"/>
    <w:rsid w:val="00F32462"/>
    <w:rsid w:val="00F3292C"/>
    <w:rsid w:val="00F3382D"/>
    <w:rsid w:val="00F33A2A"/>
    <w:rsid w:val="00F33BAB"/>
    <w:rsid w:val="00F33DE9"/>
    <w:rsid w:val="00F33E10"/>
    <w:rsid w:val="00F34693"/>
    <w:rsid w:val="00F34EDF"/>
    <w:rsid w:val="00F35632"/>
    <w:rsid w:val="00F3572F"/>
    <w:rsid w:val="00F35AF3"/>
    <w:rsid w:val="00F35C39"/>
    <w:rsid w:val="00F3619A"/>
    <w:rsid w:val="00F361D4"/>
    <w:rsid w:val="00F3648A"/>
    <w:rsid w:val="00F368E5"/>
    <w:rsid w:val="00F36E7A"/>
    <w:rsid w:val="00F37478"/>
    <w:rsid w:val="00F37A5A"/>
    <w:rsid w:val="00F37A82"/>
    <w:rsid w:val="00F37AA2"/>
    <w:rsid w:val="00F37CBF"/>
    <w:rsid w:val="00F40252"/>
    <w:rsid w:val="00F4033C"/>
    <w:rsid w:val="00F40709"/>
    <w:rsid w:val="00F40AAA"/>
    <w:rsid w:val="00F40AD0"/>
    <w:rsid w:val="00F40B81"/>
    <w:rsid w:val="00F40BA7"/>
    <w:rsid w:val="00F411A3"/>
    <w:rsid w:val="00F4130C"/>
    <w:rsid w:val="00F4140F"/>
    <w:rsid w:val="00F41E29"/>
    <w:rsid w:val="00F42134"/>
    <w:rsid w:val="00F42288"/>
    <w:rsid w:val="00F42566"/>
    <w:rsid w:val="00F42AF7"/>
    <w:rsid w:val="00F42D38"/>
    <w:rsid w:val="00F437D1"/>
    <w:rsid w:val="00F43E77"/>
    <w:rsid w:val="00F44B1A"/>
    <w:rsid w:val="00F45517"/>
    <w:rsid w:val="00F45643"/>
    <w:rsid w:val="00F46404"/>
    <w:rsid w:val="00F465E3"/>
    <w:rsid w:val="00F466B1"/>
    <w:rsid w:val="00F46CB6"/>
    <w:rsid w:val="00F47309"/>
    <w:rsid w:val="00F4762A"/>
    <w:rsid w:val="00F47DE8"/>
    <w:rsid w:val="00F507D1"/>
    <w:rsid w:val="00F507DE"/>
    <w:rsid w:val="00F509AD"/>
    <w:rsid w:val="00F50D6D"/>
    <w:rsid w:val="00F51048"/>
    <w:rsid w:val="00F52027"/>
    <w:rsid w:val="00F52271"/>
    <w:rsid w:val="00F5362B"/>
    <w:rsid w:val="00F53BA0"/>
    <w:rsid w:val="00F53DC9"/>
    <w:rsid w:val="00F5426A"/>
    <w:rsid w:val="00F542C1"/>
    <w:rsid w:val="00F54793"/>
    <w:rsid w:val="00F54B2A"/>
    <w:rsid w:val="00F54C02"/>
    <w:rsid w:val="00F552A4"/>
    <w:rsid w:val="00F5547E"/>
    <w:rsid w:val="00F55A14"/>
    <w:rsid w:val="00F55E73"/>
    <w:rsid w:val="00F55EDA"/>
    <w:rsid w:val="00F56DC1"/>
    <w:rsid w:val="00F56FEA"/>
    <w:rsid w:val="00F5769C"/>
    <w:rsid w:val="00F577D0"/>
    <w:rsid w:val="00F579A5"/>
    <w:rsid w:val="00F57BBA"/>
    <w:rsid w:val="00F57F17"/>
    <w:rsid w:val="00F60092"/>
    <w:rsid w:val="00F60E38"/>
    <w:rsid w:val="00F61B2E"/>
    <w:rsid w:val="00F62049"/>
    <w:rsid w:val="00F621A9"/>
    <w:rsid w:val="00F623E2"/>
    <w:rsid w:val="00F62783"/>
    <w:rsid w:val="00F62806"/>
    <w:rsid w:val="00F62A84"/>
    <w:rsid w:val="00F62DEC"/>
    <w:rsid w:val="00F632C8"/>
    <w:rsid w:val="00F6335A"/>
    <w:rsid w:val="00F63538"/>
    <w:rsid w:val="00F635A5"/>
    <w:rsid w:val="00F63631"/>
    <w:rsid w:val="00F638CA"/>
    <w:rsid w:val="00F63A54"/>
    <w:rsid w:val="00F63C8E"/>
    <w:rsid w:val="00F63DBE"/>
    <w:rsid w:val="00F647C7"/>
    <w:rsid w:val="00F64F68"/>
    <w:rsid w:val="00F651E5"/>
    <w:rsid w:val="00F652B1"/>
    <w:rsid w:val="00F654E2"/>
    <w:rsid w:val="00F6592F"/>
    <w:rsid w:val="00F659A3"/>
    <w:rsid w:val="00F65F4B"/>
    <w:rsid w:val="00F65FBA"/>
    <w:rsid w:val="00F6604F"/>
    <w:rsid w:val="00F66470"/>
    <w:rsid w:val="00F66614"/>
    <w:rsid w:val="00F6687E"/>
    <w:rsid w:val="00F6697F"/>
    <w:rsid w:val="00F66BCD"/>
    <w:rsid w:val="00F67904"/>
    <w:rsid w:val="00F67996"/>
    <w:rsid w:val="00F67C85"/>
    <w:rsid w:val="00F7071C"/>
    <w:rsid w:val="00F70AFB"/>
    <w:rsid w:val="00F70C9D"/>
    <w:rsid w:val="00F70F30"/>
    <w:rsid w:val="00F70F99"/>
    <w:rsid w:val="00F7120E"/>
    <w:rsid w:val="00F71815"/>
    <w:rsid w:val="00F71B18"/>
    <w:rsid w:val="00F71C4D"/>
    <w:rsid w:val="00F720C3"/>
    <w:rsid w:val="00F72264"/>
    <w:rsid w:val="00F7334A"/>
    <w:rsid w:val="00F73793"/>
    <w:rsid w:val="00F73D34"/>
    <w:rsid w:val="00F73F05"/>
    <w:rsid w:val="00F745C5"/>
    <w:rsid w:val="00F74C0B"/>
    <w:rsid w:val="00F74CD9"/>
    <w:rsid w:val="00F74F1A"/>
    <w:rsid w:val="00F7520C"/>
    <w:rsid w:val="00F756CA"/>
    <w:rsid w:val="00F75813"/>
    <w:rsid w:val="00F76592"/>
    <w:rsid w:val="00F76ECC"/>
    <w:rsid w:val="00F77412"/>
    <w:rsid w:val="00F802BE"/>
    <w:rsid w:val="00F8066E"/>
    <w:rsid w:val="00F80768"/>
    <w:rsid w:val="00F8098E"/>
    <w:rsid w:val="00F80A7B"/>
    <w:rsid w:val="00F80E5D"/>
    <w:rsid w:val="00F81439"/>
    <w:rsid w:val="00F814EA"/>
    <w:rsid w:val="00F81B4D"/>
    <w:rsid w:val="00F81F0F"/>
    <w:rsid w:val="00F82442"/>
    <w:rsid w:val="00F828B4"/>
    <w:rsid w:val="00F83CBC"/>
    <w:rsid w:val="00F842CA"/>
    <w:rsid w:val="00F8446B"/>
    <w:rsid w:val="00F846EB"/>
    <w:rsid w:val="00F848DC"/>
    <w:rsid w:val="00F84D24"/>
    <w:rsid w:val="00F851CE"/>
    <w:rsid w:val="00F8558E"/>
    <w:rsid w:val="00F855FD"/>
    <w:rsid w:val="00F85611"/>
    <w:rsid w:val="00F85A4A"/>
    <w:rsid w:val="00F8613C"/>
    <w:rsid w:val="00F86765"/>
    <w:rsid w:val="00F867DD"/>
    <w:rsid w:val="00F8710B"/>
    <w:rsid w:val="00F87162"/>
    <w:rsid w:val="00F87748"/>
    <w:rsid w:val="00F87846"/>
    <w:rsid w:val="00F878AF"/>
    <w:rsid w:val="00F87CA1"/>
    <w:rsid w:val="00F9005F"/>
    <w:rsid w:val="00F90289"/>
    <w:rsid w:val="00F90427"/>
    <w:rsid w:val="00F90C69"/>
    <w:rsid w:val="00F91219"/>
    <w:rsid w:val="00F92132"/>
    <w:rsid w:val="00F93571"/>
    <w:rsid w:val="00F94468"/>
    <w:rsid w:val="00F94767"/>
    <w:rsid w:val="00F94ECB"/>
    <w:rsid w:val="00F95142"/>
    <w:rsid w:val="00F95AE0"/>
    <w:rsid w:val="00F961B1"/>
    <w:rsid w:val="00F962FD"/>
    <w:rsid w:val="00F9660C"/>
    <w:rsid w:val="00F96929"/>
    <w:rsid w:val="00F9692E"/>
    <w:rsid w:val="00F96A77"/>
    <w:rsid w:val="00F97095"/>
    <w:rsid w:val="00F972BB"/>
    <w:rsid w:val="00F976E2"/>
    <w:rsid w:val="00F97A78"/>
    <w:rsid w:val="00F97AF5"/>
    <w:rsid w:val="00F97FEB"/>
    <w:rsid w:val="00FA022E"/>
    <w:rsid w:val="00FA03F2"/>
    <w:rsid w:val="00FA0B20"/>
    <w:rsid w:val="00FA177E"/>
    <w:rsid w:val="00FA22ED"/>
    <w:rsid w:val="00FA2338"/>
    <w:rsid w:val="00FA24B7"/>
    <w:rsid w:val="00FA24E7"/>
    <w:rsid w:val="00FA25DC"/>
    <w:rsid w:val="00FA26DA"/>
    <w:rsid w:val="00FA2A8A"/>
    <w:rsid w:val="00FA2BDC"/>
    <w:rsid w:val="00FA4167"/>
    <w:rsid w:val="00FA4289"/>
    <w:rsid w:val="00FA45ED"/>
    <w:rsid w:val="00FA4759"/>
    <w:rsid w:val="00FA4F69"/>
    <w:rsid w:val="00FA4F70"/>
    <w:rsid w:val="00FA55AA"/>
    <w:rsid w:val="00FA5925"/>
    <w:rsid w:val="00FA5BBC"/>
    <w:rsid w:val="00FA615B"/>
    <w:rsid w:val="00FA6B68"/>
    <w:rsid w:val="00FA6C20"/>
    <w:rsid w:val="00FA70D7"/>
    <w:rsid w:val="00FA7690"/>
    <w:rsid w:val="00FA7952"/>
    <w:rsid w:val="00FA7FB7"/>
    <w:rsid w:val="00FB0D96"/>
    <w:rsid w:val="00FB0E76"/>
    <w:rsid w:val="00FB1F52"/>
    <w:rsid w:val="00FB2C33"/>
    <w:rsid w:val="00FB2FCB"/>
    <w:rsid w:val="00FB33E1"/>
    <w:rsid w:val="00FB3790"/>
    <w:rsid w:val="00FB3BBE"/>
    <w:rsid w:val="00FB4BD4"/>
    <w:rsid w:val="00FB5597"/>
    <w:rsid w:val="00FB5A3D"/>
    <w:rsid w:val="00FB5B65"/>
    <w:rsid w:val="00FB6105"/>
    <w:rsid w:val="00FB6CC5"/>
    <w:rsid w:val="00FB6E51"/>
    <w:rsid w:val="00FB711D"/>
    <w:rsid w:val="00FC059A"/>
    <w:rsid w:val="00FC0831"/>
    <w:rsid w:val="00FC0E91"/>
    <w:rsid w:val="00FC1074"/>
    <w:rsid w:val="00FC1779"/>
    <w:rsid w:val="00FC1884"/>
    <w:rsid w:val="00FC1F12"/>
    <w:rsid w:val="00FC25A4"/>
    <w:rsid w:val="00FC2666"/>
    <w:rsid w:val="00FC2DBC"/>
    <w:rsid w:val="00FC361C"/>
    <w:rsid w:val="00FC371D"/>
    <w:rsid w:val="00FC3837"/>
    <w:rsid w:val="00FC3E5D"/>
    <w:rsid w:val="00FC40B6"/>
    <w:rsid w:val="00FC46D0"/>
    <w:rsid w:val="00FC4C0A"/>
    <w:rsid w:val="00FC513E"/>
    <w:rsid w:val="00FC51C2"/>
    <w:rsid w:val="00FC5F0B"/>
    <w:rsid w:val="00FC5FD1"/>
    <w:rsid w:val="00FC6016"/>
    <w:rsid w:val="00FC64FD"/>
    <w:rsid w:val="00FC68EE"/>
    <w:rsid w:val="00FC6F57"/>
    <w:rsid w:val="00FC71B5"/>
    <w:rsid w:val="00FC780E"/>
    <w:rsid w:val="00FC7E8E"/>
    <w:rsid w:val="00FC7FF9"/>
    <w:rsid w:val="00FD00BB"/>
    <w:rsid w:val="00FD00D5"/>
    <w:rsid w:val="00FD06B3"/>
    <w:rsid w:val="00FD09BD"/>
    <w:rsid w:val="00FD0B55"/>
    <w:rsid w:val="00FD1389"/>
    <w:rsid w:val="00FD1412"/>
    <w:rsid w:val="00FD1891"/>
    <w:rsid w:val="00FD2100"/>
    <w:rsid w:val="00FD222B"/>
    <w:rsid w:val="00FD2705"/>
    <w:rsid w:val="00FD2AB5"/>
    <w:rsid w:val="00FD319B"/>
    <w:rsid w:val="00FD3663"/>
    <w:rsid w:val="00FD37F8"/>
    <w:rsid w:val="00FD3828"/>
    <w:rsid w:val="00FD3E31"/>
    <w:rsid w:val="00FD3E8B"/>
    <w:rsid w:val="00FD4299"/>
    <w:rsid w:val="00FD436C"/>
    <w:rsid w:val="00FD446D"/>
    <w:rsid w:val="00FD468E"/>
    <w:rsid w:val="00FD4A08"/>
    <w:rsid w:val="00FD5ACC"/>
    <w:rsid w:val="00FD6090"/>
    <w:rsid w:val="00FD6394"/>
    <w:rsid w:val="00FD6469"/>
    <w:rsid w:val="00FD65DD"/>
    <w:rsid w:val="00FD6A72"/>
    <w:rsid w:val="00FD6B0E"/>
    <w:rsid w:val="00FD6D7A"/>
    <w:rsid w:val="00FD6ED5"/>
    <w:rsid w:val="00FD6EE2"/>
    <w:rsid w:val="00FE00AB"/>
    <w:rsid w:val="00FE02D4"/>
    <w:rsid w:val="00FE0921"/>
    <w:rsid w:val="00FE0B15"/>
    <w:rsid w:val="00FE0C5C"/>
    <w:rsid w:val="00FE0E6C"/>
    <w:rsid w:val="00FE1540"/>
    <w:rsid w:val="00FE178B"/>
    <w:rsid w:val="00FE1C21"/>
    <w:rsid w:val="00FE1EEA"/>
    <w:rsid w:val="00FE231E"/>
    <w:rsid w:val="00FE2604"/>
    <w:rsid w:val="00FE265C"/>
    <w:rsid w:val="00FE2BEF"/>
    <w:rsid w:val="00FE3127"/>
    <w:rsid w:val="00FE33A5"/>
    <w:rsid w:val="00FE38C2"/>
    <w:rsid w:val="00FE3C32"/>
    <w:rsid w:val="00FE40DE"/>
    <w:rsid w:val="00FE4B85"/>
    <w:rsid w:val="00FE5006"/>
    <w:rsid w:val="00FE5332"/>
    <w:rsid w:val="00FE5FAF"/>
    <w:rsid w:val="00FE62D1"/>
    <w:rsid w:val="00FE70C3"/>
    <w:rsid w:val="00FE74C5"/>
    <w:rsid w:val="00FE75D4"/>
    <w:rsid w:val="00FE76F7"/>
    <w:rsid w:val="00FE7D2E"/>
    <w:rsid w:val="00FF1491"/>
    <w:rsid w:val="00FF220F"/>
    <w:rsid w:val="00FF23FA"/>
    <w:rsid w:val="00FF2414"/>
    <w:rsid w:val="00FF2A07"/>
    <w:rsid w:val="00FF2EA0"/>
    <w:rsid w:val="00FF362C"/>
    <w:rsid w:val="00FF3A2C"/>
    <w:rsid w:val="00FF3C50"/>
    <w:rsid w:val="00FF3CAB"/>
    <w:rsid w:val="00FF3DCF"/>
    <w:rsid w:val="00FF405C"/>
    <w:rsid w:val="00FF41CE"/>
    <w:rsid w:val="00FF4546"/>
    <w:rsid w:val="00FF4916"/>
    <w:rsid w:val="00FF492C"/>
    <w:rsid w:val="00FF4A21"/>
    <w:rsid w:val="00FF4A46"/>
    <w:rsid w:val="00FF4CF1"/>
    <w:rsid w:val="00FF5AA3"/>
    <w:rsid w:val="00FF5AD8"/>
    <w:rsid w:val="00FF6236"/>
    <w:rsid w:val="00FF6904"/>
    <w:rsid w:val="00FF6A13"/>
    <w:rsid w:val="00FF6F33"/>
    <w:rsid w:val="00FF7219"/>
    <w:rsid w:val="00FF75A0"/>
    <w:rsid w:val="00FF764C"/>
    <w:rsid w:val="00FF7E1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B2D"/>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Char"/>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3"/>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EndnoteText">
    <w:name w:val="endnote text"/>
    <w:basedOn w:val="Normal"/>
    <w:link w:val="EndnoteTextChar"/>
    <w:semiHidden/>
    <w:unhideWhenUsed/>
    <w:rsid w:val="00E95105"/>
    <w:rPr>
      <w:sz w:val="20"/>
      <w:szCs w:val="20"/>
    </w:rPr>
  </w:style>
  <w:style w:type="character" w:customStyle="1" w:styleId="EndnoteTextChar">
    <w:name w:val="Endnote Text Char"/>
    <w:basedOn w:val="DefaultParagraphFont"/>
    <w:link w:val="EndnoteText"/>
    <w:semiHidden/>
    <w:rsid w:val="00E95105"/>
    <w:rPr>
      <w:rFonts w:ascii="Calibri" w:hAnsi="Calibri" w:cs="Arial"/>
      <w:snapToGrid w:val="0"/>
      <w:lang w:eastAsia="en-US"/>
    </w:rPr>
  </w:style>
  <w:style w:type="character" w:styleId="EndnoteReference">
    <w:name w:val="endnote reference"/>
    <w:basedOn w:val="DefaultParagraphFont"/>
    <w:semiHidden/>
    <w:unhideWhenUsed/>
    <w:rsid w:val="00E95105"/>
    <w:rPr>
      <w:vertAlign w:val="superscript"/>
    </w:rPr>
  </w:style>
  <w:style w:type="paragraph" w:customStyle="1" w:styleId="TableText0">
    <w:name w:val="Table Text"/>
    <w:basedOn w:val="Normal"/>
    <w:link w:val="TableTextChar0"/>
    <w:qFormat/>
    <w:rsid w:val="00C62F12"/>
    <w:pPr>
      <w:widowControl/>
      <w:spacing w:before="40" w:after="60"/>
      <w:jc w:val="left"/>
    </w:pPr>
    <w:rPr>
      <w:rFonts w:ascii="Arial" w:hAnsi="Arial" w:cs="Times New Roman"/>
      <w:snapToGrid/>
      <w:color w:val="000000"/>
      <w:sz w:val="20"/>
      <w:szCs w:val="18"/>
    </w:rPr>
  </w:style>
  <w:style w:type="character" w:customStyle="1" w:styleId="TableTextChar0">
    <w:name w:val="Table Text Char"/>
    <w:link w:val="TableText0"/>
    <w:rsid w:val="00C62F12"/>
    <w:rPr>
      <w:rFonts w:ascii="Arial" w:hAnsi="Arial"/>
      <w:color w:val="000000"/>
      <w:szCs w:val="18"/>
      <w:lang w:eastAsia="en-US"/>
    </w:rPr>
  </w:style>
  <w:style w:type="paragraph" w:styleId="FootnoteText">
    <w:name w:val="footnote text"/>
    <w:basedOn w:val="Normal"/>
    <w:link w:val="FootnoteTextChar"/>
    <w:uiPriority w:val="99"/>
    <w:semiHidden/>
    <w:unhideWhenUsed/>
    <w:rsid w:val="00D43924"/>
    <w:rPr>
      <w:sz w:val="20"/>
      <w:szCs w:val="20"/>
    </w:rPr>
  </w:style>
  <w:style w:type="character" w:customStyle="1" w:styleId="FootnoteTextChar">
    <w:name w:val="Footnote Text Char"/>
    <w:basedOn w:val="DefaultParagraphFont"/>
    <w:link w:val="FootnoteText"/>
    <w:uiPriority w:val="99"/>
    <w:semiHidden/>
    <w:rsid w:val="00D43924"/>
    <w:rPr>
      <w:rFonts w:ascii="Calibri" w:hAnsi="Calibri" w:cs="Arial"/>
      <w:snapToGrid w:val="0"/>
      <w:lang w:eastAsia="en-US"/>
    </w:rPr>
  </w:style>
  <w:style w:type="character" w:styleId="FootnoteReference">
    <w:name w:val="footnote reference"/>
    <w:basedOn w:val="DefaultParagraphFont"/>
    <w:semiHidden/>
    <w:unhideWhenUsed/>
    <w:rsid w:val="00D43924"/>
    <w:rPr>
      <w:vertAlign w:val="superscript"/>
    </w:rPr>
  </w:style>
  <w:style w:type="paragraph" w:customStyle="1" w:styleId="TableNotes">
    <w:name w:val="Table Notes"/>
    <w:basedOn w:val="Normal"/>
    <w:next w:val="Normal"/>
    <w:link w:val="TableNotesChar"/>
    <w:qFormat/>
    <w:rsid w:val="00857FBA"/>
    <w:pPr>
      <w:keepLines/>
      <w:widowControl/>
      <w:spacing w:after="160"/>
      <w:contextualSpacing/>
    </w:pPr>
    <w:rPr>
      <w:rFonts w:ascii="Arial" w:hAnsi="Arial" w:cs="Times New Roman"/>
      <w:snapToGrid/>
      <w:sz w:val="16"/>
      <w:szCs w:val="16"/>
      <w:lang w:eastAsia="en-AU"/>
    </w:rPr>
  </w:style>
  <w:style w:type="character" w:customStyle="1" w:styleId="TableNotesChar">
    <w:name w:val="Table Notes Char"/>
    <w:link w:val="TableNotes"/>
    <w:rsid w:val="00857FBA"/>
    <w:rPr>
      <w:rFonts w:ascii="Arial" w:hAnsi="Arial"/>
      <w:sz w:val="16"/>
      <w:szCs w:val="16"/>
    </w:rPr>
  </w:style>
  <w:style w:type="character" w:customStyle="1" w:styleId="st">
    <w:name w:val="st"/>
    <w:basedOn w:val="DefaultParagraphFont"/>
    <w:rsid w:val="00FC68EE"/>
  </w:style>
  <w:style w:type="character" w:styleId="Emphasis">
    <w:name w:val="Emphasis"/>
    <w:basedOn w:val="DefaultParagraphFont"/>
    <w:uiPriority w:val="20"/>
    <w:qFormat/>
    <w:rsid w:val="00FC68EE"/>
    <w:rPr>
      <w:i/>
      <w:iCs/>
    </w:rPr>
  </w:style>
  <w:style w:type="paragraph" w:customStyle="1" w:styleId="Tablenotes1">
    <w:name w:val="Table notes"/>
    <w:basedOn w:val="Normal"/>
    <w:link w:val="TablenotesChar0"/>
    <w:qFormat/>
    <w:rsid w:val="009C562D"/>
    <w:pPr>
      <w:widowControl/>
      <w:spacing w:after="160"/>
      <w:jc w:val="left"/>
    </w:pPr>
    <w:rPr>
      <w:rFonts w:ascii="Arial" w:hAnsi="Arial" w:cs="Times New Roman"/>
      <w:snapToGrid/>
      <w:sz w:val="16"/>
      <w:szCs w:val="20"/>
    </w:rPr>
  </w:style>
  <w:style w:type="character" w:customStyle="1" w:styleId="TablenotesChar0">
    <w:name w:val="Table notes Char"/>
    <w:basedOn w:val="DefaultParagraphFont"/>
    <w:link w:val="Tablenotes1"/>
    <w:rsid w:val="009C562D"/>
    <w:rPr>
      <w:rFonts w:ascii="Arial" w:hAnsi="Arial"/>
      <w:sz w:val="16"/>
      <w:lang w:eastAsia="en-US"/>
    </w:rPr>
  </w:style>
  <w:style w:type="table" w:customStyle="1" w:styleId="TableGridbeth13">
    <w:name w:val="Table Gridbeth13"/>
    <w:basedOn w:val="TableNormal"/>
    <w:next w:val="TableGrid"/>
    <w:rsid w:val="00EE046A"/>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7">
    <w:name w:val="Table Gridbeth7"/>
    <w:basedOn w:val="TableNormal"/>
    <w:next w:val="TableGrid"/>
    <w:uiPriority w:val="59"/>
    <w:rsid w:val="001F294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beth5">
    <w:name w:val="Table Gridbeth5"/>
    <w:basedOn w:val="TableNormal"/>
    <w:next w:val="TableGrid"/>
    <w:uiPriority w:val="39"/>
    <w:rsid w:val="001F294C"/>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10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D6C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61154"/>
  </w:style>
  <w:style w:type="paragraph" w:customStyle="1" w:styleId="EndNoteBibliographyTitle">
    <w:name w:val="EndNote Bibliography Title"/>
    <w:basedOn w:val="Normal"/>
    <w:link w:val="EndNoteBibliographyTitleChar"/>
    <w:rsid w:val="00CA30DB"/>
    <w:pPr>
      <w:jc w:val="center"/>
    </w:pPr>
    <w:rPr>
      <w:rFonts w:ascii="Arial Narrow" w:hAnsi="Arial Narrow"/>
      <w:noProof/>
      <w:sz w:val="18"/>
      <w:lang w:val="en-US"/>
    </w:rPr>
  </w:style>
  <w:style w:type="character" w:customStyle="1" w:styleId="EndNoteBibliographyTitleChar">
    <w:name w:val="EndNote Bibliography Title Char"/>
    <w:basedOn w:val="DefaultParagraphFont"/>
    <w:link w:val="EndNoteBibliographyTitle"/>
    <w:rsid w:val="00CA30DB"/>
    <w:rPr>
      <w:rFonts w:ascii="Arial Narrow" w:hAnsi="Arial Narrow" w:cs="Arial"/>
      <w:noProof/>
      <w:snapToGrid w:val="0"/>
      <w:sz w:val="18"/>
      <w:szCs w:val="22"/>
      <w:lang w:val="en-US" w:eastAsia="en-US"/>
    </w:rPr>
  </w:style>
  <w:style w:type="paragraph" w:customStyle="1" w:styleId="EndNoteBibliography">
    <w:name w:val="EndNote Bibliography"/>
    <w:basedOn w:val="Normal"/>
    <w:link w:val="EndNoteBibliographyChar"/>
    <w:rsid w:val="00CA30DB"/>
    <w:rPr>
      <w:rFonts w:ascii="Arial Narrow" w:hAnsi="Arial Narrow"/>
      <w:noProof/>
      <w:sz w:val="18"/>
      <w:lang w:val="en-US"/>
    </w:rPr>
  </w:style>
  <w:style w:type="character" w:customStyle="1" w:styleId="EndNoteBibliographyChar">
    <w:name w:val="EndNote Bibliography Char"/>
    <w:basedOn w:val="DefaultParagraphFont"/>
    <w:link w:val="EndNoteBibliography"/>
    <w:rsid w:val="00CA30DB"/>
    <w:rPr>
      <w:rFonts w:ascii="Arial Narrow" w:hAnsi="Arial Narrow" w:cs="Arial"/>
      <w:noProof/>
      <w:snapToGrid w:val="0"/>
      <w:sz w:val="18"/>
      <w:szCs w:val="22"/>
      <w:lang w:val="en-US" w:eastAsia="en-US"/>
    </w:rPr>
  </w:style>
  <w:style w:type="paragraph" w:customStyle="1" w:styleId="Default">
    <w:name w:val="Default"/>
    <w:rsid w:val="00E563C1"/>
    <w:pPr>
      <w:autoSpaceDE w:val="0"/>
      <w:autoSpaceDN w:val="0"/>
      <w:adjustRightInd w:val="0"/>
    </w:pPr>
    <w:rPr>
      <w:color w:val="000000"/>
      <w:sz w:val="24"/>
      <w:szCs w:val="24"/>
    </w:rPr>
  </w:style>
  <w:style w:type="character" w:customStyle="1" w:styleId="Heading1Char">
    <w:name w:val="Heading 1 Char"/>
    <w:basedOn w:val="DefaultParagraphFont"/>
    <w:link w:val="Heading1"/>
    <w:rsid w:val="00EF3C6A"/>
    <w:rPr>
      <w:rFonts w:ascii="Calibri" w:hAnsi="Calibri" w:cs="Arial"/>
      <w:b/>
      <w:caps/>
      <w:snapToGrid w:val="0"/>
      <w:sz w:val="32"/>
      <w:szCs w:val="22"/>
      <w:lang w:eastAsia="en-US"/>
    </w:rPr>
  </w:style>
  <w:style w:type="character" w:styleId="PlaceholderText">
    <w:name w:val="Placeholder Text"/>
    <w:basedOn w:val="DefaultParagraphFont"/>
    <w:uiPriority w:val="99"/>
    <w:semiHidden/>
    <w:rsid w:val="00AE0033"/>
    <w:rPr>
      <w:color w:val="808080"/>
    </w:rPr>
  </w:style>
  <w:style w:type="paragraph" w:styleId="ListBullet3">
    <w:name w:val="List Bullet 3"/>
    <w:basedOn w:val="Normal"/>
    <w:uiPriority w:val="99"/>
    <w:semiHidden/>
    <w:unhideWhenUsed/>
    <w:rsid w:val="00C002A3"/>
    <w:pPr>
      <w:widowControl/>
      <w:numPr>
        <w:numId w:val="24"/>
      </w:numPr>
      <w:spacing w:after="200" w:line="276" w:lineRule="auto"/>
      <w:contextualSpacing/>
      <w:jc w:val="left"/>
    </w:pPr>
    <w:rPr>
      <w:rFonts w:ascii="Times New Roman" w:eastAsiaTheme="minorHAnsi" w:hAnsi="Times New Roman" w:cstheme="minorBidi"/>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65451">
      <w:bodyDiv w:val="1"/>
      <w:marLeft w:val="0"/>
      <w:marRight w:val="0"/>
      <w:marTop w:val="0"/>
      <w:marBottom w:val="0"/>
      <w:divBdr>
        <w:top w:val="none" w:sz="0" w:space="0" w:color="auto"/>
        <w:left w:val="none" w:sz="0" w:space="0" w:color="auto"/>
        <w:bottom w:val="none" w:sz="0" w:space="0" w:color="auto"/>
        <w:right w:val="none" w:sz="0" w:space="0" w:color="auto"/>
      </w:divBdr>
    </w:div>
    <w:div w:id="249899968">
      <w:bodyDiv w:val="1"/>
      <w:marLeft w:val="0"/>
      <w:marRight w:val="0"/>
      <w:marTop w:val="0"/>
      <w:marBottom w:val="0"/>
      <w:divBdr>
        <w:top w:val="none" w:sz="0" w:space="0" w:color="auto"/>
        <w:left w:val="none" w:sz="0" w:space="0" w:color="auto"/>
        <w:bottom w:val="none" w:sz="0" w:space="0" w:color="auto"/>
        <w:right w:val="none" w:sz="0" w:space="0" w:color="auto"/>
      </w:divBdr>
    </w:div>
    <w:div w:id="361900735">
      <w:bodyDiv w:val="1"/>
      <w:marLeft w:val="0"/>
      <w:marRight w:val="0"/>
      <w:marTop w:val="0"/>
      <w:marBottom w:val="0"/>
      <w:divBdr>
        <w:top w:val="none" w:sz="0" w:space="0" w:color="auto"/>
        <w:left w:val="none" w:sz="0" w:space="0" w:color="auto"/>
        <w:bottom w:val="none" w:sz="0" w:space="0" w:color="auto"/>
        <w:right w:val="none" w:sz="0" w:space="0" w:color="auto"/>
      </w:divBdr>
    </w:div>
    <w:div w:id="439419380">
      <w:bodyDiv w:val="1"/>
      <w:marLeft w:val="0"/>
      <w:marRight w:val="0"/>
      <w:marTop w:val="0"/>
      <w:marBottom w:val="0"/>
      <w:divBdr>
        <w:top w:val="none" w:sz="0" w:space="0" w:color="auto"/>
        <w:left w:val="none" w:sz="0" w:space="0" w:color="auto"/>
        <w:bottom w:val="none" w:sz="0" w:space="0" w:color="auto"/>
        <w:right w:val="none" w:sz="0" w:space="0" w:color="auto"/>
      </w:divBdr>
    </w:div>
    <w:div w:id="700012081">
      <w:bodyDiv w:val="1"/>
      <w:marLeft w:val="0"/>
      <w:marRight w:val="0"/>
      <w:marTop w:val="0"/>
      <w:marBottom w:val="0"/>
      <w:divBdr>
        <w:top w:val="none" w:sz="0" w:space="0" w:color="auto"/>
        <w:left w:val="none" w:sz="0" w:space="0" w:color="auto"/>
        <w:bottom w:val="none" w:sz="0" w:space="0" w:color="auto"/>
        <w:right w:val="none" w:sz="0" w:space="0" w:color="auto"/>
      </w:divBdr>
    </w:div>
    <w:div w:id="786194056">
      <w:bodyDiv w:val="1"/>
      <w:marLeft w:val="0"/>
      <w:marRight w:val="0"/>
      <w:marTop w:val="0"/>
      <w:marBottom w:val="0"/>
      <w:divBdr>
        <w:top w:val="none" w:sz="0" w:space="0" w:color="auto"/>
        <w:left w:val="none" w:sz="0" w:space="0" w:color="auto"/>
        <w:bottom w:val="none" w:sz="0" w:space="0" w:color="auto"/>
        <w:right w:val="none" w:sz="0" w:space="0" w:color="auto"/>
      </w:divBdr>
    </w:div>
    <w:div w:id="1047798664">
      <w:bodyDiv w:val="1"/>
      <w:marLeft w:val="0"/>
      <w:marRight w:val="0"/>
      <w:marTop w:val="0"/>
      <w:marBottom w:val="0"/>
      <w:divBdr>
        <w:top w:val="none" w:sz="0" w:space="0" w:color="auto"/>
        <w:left w:val="none" w:sz="0" w:space="0" w:color="auto"/>
        <w:bottom w:val="none" w:sz="0" w:space="0" w:color="auto"/>
        <w:right w:val="none" w:sz="0" w:space="0" w:color="auto"/>
      </w:divBdr>
    </w:div>
    <w:div w:id="1100563371">
      <w:bodyDiv w:val="1"/>
      <w:marLeft w:val="0"/>
      <w:marRight w:val="0"/>
      <w:marTop w:val="0"/>
      <w:marBottom w:val="0"/>
      <w:divBdr>
        <w:top w:val="none" w:sz="0" w:space="0" w:color="auto"/>
        <w:left w:val="none" w:sz="0" w:space="0" w:color="auto"/>
        <w:bottom w:val="none" w:sz="0" w:space="0" w:color="auto"/>
        <w:right w:val="none" w:sz="0" w:space="0" w:color="auto"/>
      </w:divBdr>
    </w:div>
    <w:div w:id="1258639750">
      <w:bodyDiv w:val="1"/>
      <w:marLeft w:val="0"/>
      <w:marRight w:val="0"/>
      <w:marTop w:val="0"/>
      <w:marBottom w:val="0"/>
      <w:divBdr>
        <w:top w:val="none" w:sz="0" w:space="0" w:color="auto"/>
        <w:left w:val="none" w:sz="0" w:space="0" w:color="auto"/>
        <w:bottom w:val="none" w:sz="0" w:space="0" w:color="auto"/>
        <w:right w:val="none" w:sz="0" w:space="0" w:color="auto"/>
      </w:divBdr>
    </w:div>
    <w:div w:id="1315641685">
      <w:bodyDiv w:val="1"/>
      <w:marLeft w:val="0"/>
      <w:marRight w:val="0"/>
      <w:marTop w:val="0"/>
      <w:marBottom w:val="0"/>
      <w:divBdr>
        <w:top w:val="none" w:sz="0" w:space="0" w:color="auto"/>
        <w:left w:val="none" w:sz="0" w:space="0" w:color="auto"/>
        <w:bottom w:val="none" w:sz="0" w:space="0" w:color="auto"/>
        <w:right w:val="none" w:sz="0" w:space="0" w:color="auto"/>
      </w:divBdr>
      <w:divsChild>
        <w:div w:id="214194787">
          <w:marLeft w:val="1166"/>
          <w:marRight w:val="0"/>
          <w:marTop w:val="77"/>
          <w:marBottom w:val="0"/>
          <w:divBdr>
            <w:top w:val="none" w:sz="0" w:space="0" w:color="auto"/>
            <w:left w:val="none" w:sz="0" w:space="0" w:color="auto"/>
            <w:bottom w:val="none" w:sz="0" w:space="0" w:color="auto"/>
            <w:right w:val="none" w:sz="0" w:space="0" w:color="auto"/>
          </w:divBdr>
        </w:div>
        <w:div w:id="60182518">
          <w:marLeft w:val="547"/>
          <w:marRight w:val="0"/>
          <w:marTop w:val="96"/>
          <w:marBottom w:val="0"/>
          <w:divBdr>
            <w:top w:val="none" w:sz="0" w:space="0" w:color="auto"/>
            <w:left w:val="none" w:sz="0" w:space="0" w:color="auto"/>
            <w:bottom w:val="none" w:sz="0" w:space="0" w:color="auto"/>
            <w:right w:val="none" w:sz="0" w:space="0" w:color="auto"/>
          </w:divBdr>
        </w:div>
        <w:div w:id="1478567775">
          <w:marLeft w:val="547"/>
          <w:marRight w:val="0"/>
          <w:marTop w:val="96"/>
          <w:marBottom w:val="0"/>
          <w:divBdr>
            <w:top w:val="none" w:sz="0" w:space="0" w:color="auto"/>
            <w:left w:val="none" w:sz="0" w:space="0" w:color="auto"/>
            <w:bottom w:val="none" w:sz="0" w:space="0" w:color="auto"/>
            <w:right w:val="none" w:sz="0" w:space="0" w:color="auto"/>
          </w:divBdr>
        </w:div>
        <w:div w:id="1929579706">
          <w:marLeft w:val="547"/>
          <w:marRight w:val="0"/>
          <w:marTop w:val="96"/>
          <w:marBottom w:val="0"/>
          <w:divBdr>
            <w:top w:val="none" w:sz="0" w:space="0" w:color="auto"/>
            <w:left w:val="none" w:sz="0" w:space="0" w:color="auto"/>
            <w:bottom w:val="none" w:sz="0" w:space="0" w:color="auto"/>
            <w:right w:val="none" w:sz="0" w:space="0" w:color="auto"/>
          </w:divBdr>
        </w:div>
      </w:divsChild>
    </w:div>
    <w:div w:id="1384409908">
      <w:bodyDiv w:val="1"/>
      <w:marLeft w:val="0"/>
      <w:marRight w:val="0"/>
      <w:marTop w:val="0"/>
      <w:marBottom w:val="0"/>
      <w:divBdr>
        <w:top w:val="none" w:sz="0" w:space="0" w:color="auto"/>
        <w:left w:val="none" w:sz="0" w:space="0" w:color="auto"/>
        <w:bottom w:val="none" w:sz="0" w:space="0" w:color="auto"/>
        <w:right w:val="none" w:sz="0" w:space="0" w:color="auto"/>
      </w:divBdr>
    </w:div>
    <w:div w:id="1609923633">
      <w:bodyDiv w:val="1"/>
      <w:marLeft w:val="0"/>
      <w:marRight w:val="0"/>
      <w:marTop w:val="0"/>
      <w:marBottom w:val="0"/>
      <w:divBdr>
        <w:top w:val="none" w:sz="0" w:space="0" w:color="auto"/>
        <w:left w:val="none" w:sz="0" w:space="0" w:color="auto"/>
        <w:bottom w:val="none" w:sz="0" w:space="0" w:color="auto"/>
        <w:right w:val="none" w:sz="0" w:space="0" w:color="auto"/>
      </w:divBdr>
    </w:div>
    <w:div w:id="1775856259">
      <w:bodyDiv w:val="1"/>
      <w:marLeft w:val="0"/>
      <w:marRight w:val="0"/>
      <w:marTop w:val="0"/>
      <w:marBottom w:val="0"/>
      <w:divBdr>
        <w:top w:val="none" w:sz="0" w:space="0" w:color="auto"/>
        <w:left w:val="none" w:sz="0" w:space="0" w:color="auto"/>
        <w:bottom w:val="none" w:sz="0" w:space="0" w:color="auto"/>
        <w:right w:val="none" w:sz="0" w:space="0" w:color="auto"/>
      </w:divBdr>
    </w:div>
    <w:div w:id="2040277361">
      <w:bodyDiv w:val="1"/>
      <w:marLeft w:val="0"/>
      <w:marRight w:val="0"/>
      <w:marTop w:val="0"/>
      <w:marBottom w:val="0"/>
      <w:divBdr>
        <w:top w:val="none" w:sz="0" w:space="0" w:color="auto"/>
        <w:left w:val="none" w:sz="0" w:space="0" w:color="auto"/>
        <w:bottom w:val="none" w:sz="0" w:space="0" w:color="auto"/>
        <w:right w:val="none" w:sz="0" w:space="0" w:color="auto"/>
      </w:divBdr>
    </w:div>
    <w:div w:id="205836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3.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nice.org.uk/guidance/ta169/documents/sunitinib-for-the-firstline-treatment-of-advanced-andor-metastatic-renal-cell-carcinoma-final-appraisal-determination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566B7-6972-46EE-BFE5-E9F6A90A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14054</Words>
  <Characters>80967</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2019-02-25T22:59:00Z</dcterms:created>
  <dcterms:modified xsi:type="dcterms:W3CDTF">2019-03-01T02:39:00Z</dcterms:modified>
</cp:coreProperties>
</file>