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573" w:rsidRPr="007D2B92" w:rsidRDefault="00835398" w:rsidP="00900642">
      <w:pPr>
        <w:pStyle w:val="BodyText"/>
        <w:ind w:left="992" w:hanging="992"/>
        <w:rPr>
          <w:b/>
          <w:sz w:val="36"/>
          <w:szCs w:val="36"/>
        </w:rPr>
      </w:pPr>
      <w:r w:rsidRPr="007D2B92">
        <w:rPr>
          <w:b/>
          <w:sz w:val="36"/>
          <w:szCs w:val="36"/>
        </w:rPr>
        <w:t>5.09</w:t>
      </w:r>
      <w:r w:rsidR="009B5573" w:rsidRPr="007D2B92">
        <w:rPr>
          <w:b/>
          <w:sz w:val="36"/>
          <w:szCs w:val="36"/>
        </w:rPr>
        <w:t xml:space="preserve"> </w:t>
      </w:r>
      <w:r w:rsidR="00900642" w:rsidRPr="007D2B92">
        <w:rPr>
          <w:b/>
          <w:sz w:val="36"/>
          <w:szCs w:val="36"/>
        </w:rPr>
        <w:tab/>
      </w:r>
      <w:r w:rsidR="009B5573" w:rsidRPr="007D2B92">
        <w:rPr>
          <w:b/>
          <w:sz w:val="36"/>
          <w:szCs w:val="36"/>
        </w:rPr>
        <w:t>MENINGOCOCCAL (GROUP</w:t>
      </w:r>
      <w:r w:rsidR="00456C27" w:rsidRPr="007D2B92">
        <w:rPr>
          <w:b/>
          <w:sz w:val="36"/>
          <w:szCs w:val="36"/>
        </w:rPr>
        <w:t>S</w:t>
      </w:r>
      <w:r w:rsidR="009B5573" w:rsidRPr="007D2B92">
        <w:rPr>
          <w:b/>
          <w:sz w:val="36"/>
          <w:szCs w:val="36"/>
        </w:rPr>
        <w:t xml:space="preserve"> A,</w:t>
      </w:r>
      <w:r w:rsidRPr="007D2B92">
        <w:rPr>
          <w:b/>
          <w:sz w:val="36"/>
          <w:szCs w:val="36"/>
        </w:rPr>
        <w:t xml:space="preserve"> </w:t>
      </w:r>
      <w:r w:rsidR="009B5573" w:rsidRPr="007D2B92">
        <w:rPr>
          <w:b/>
          <w:sz w:val="36"/>
          <w:szCs w:val="36"/>
        </w:rPr>
        <w:t>C,</w:t>
      </w:r>
      <w:r w:rsidRPr="007D2B92">
        <w:rPr>
          <w:b/>
          <w:sz w:val="36"/>
          <w:szCs w:val="36"/>
        </w:rPr>
        <w:t xml:space="preserve"> </w:t>
      </w:r>
      <w:r w:rsidR="009B5573" w:rsidRPr="007D2B92">
        <w:rPr>
          <w:b/>
          <w:sz w:val="36"/>
          <w:szCs w:val="36"/>
        </w:rPr>
        <w:t>W-135 and Y) OLIGOSACCHARIDE CRM 197 CONJUGATE VACCINE</w:t>
      </w:r>
    </w:p>
    <w:p w:rsidR="00900642" w:rsidRPr="007D2B92" w:rsidRDefault="009B5573" w:rsidP="00900642">
      <w:pPr>
        <w:pStyle w:val="BodyText"/>
        <w:ind w:left="720" w:firstLine="272"/>
        <w:rPr>
          <w:b/>
          <w:sz w:val="36"/>
          <w:szCs w:val="36"/>
        </w:rPr>
      </w:pPr>
      <w:r w:rsidRPr="007D2B92">
        <w:rPr>
          <w:b/>
          <w:sz w:val="36"/>
          <w:szCs w:val="36"/>
        </w:rPr>
        <w:t xml:space="preserve">Pre-filled syringe, 0.5mL, </w:t>
      </w:r>
    </w:p>
    <w:p w:rsidR="00900642" w:rsidRPr="007D2B92" w:rsidRDefault="009B5573" w:rsidP="00900642">
      <w:pPr>
        <w:pStyle w:val="BodyText"/>
        <w:ind w:left="720" w:firstLine="272"/>
        <w:rPr>
          <w:b/>
          <w:sz w:val="36"/>
          <w:szCs w:val="36"/>
        </w:rPr>
      </w:pPr>
      <w:proofErr w:type="spellStart"/>
      <w:r w:rsidRPr="007D2B92">
        <w:rPr>
          <w:b/>
          <w:sz w:val="36"/>
          <w:szCs w:val="36"/>
        </w:rPr>
        <w:t>Menveo</w:t>
      </w:r>
      <w:proofErr w:type="spellEnd"/>
      <w:r w:rsidRPr="007D2B92">
        <w:rPr>
          <w:b/>
          <w:sz w:val="36"/>
          <w:szCs w:val="36"/>
          <w:vertAlign w:val="superscript"/>
        </w:rPr>
        <w:t>®</w:t>
      </w:r>
      <w:r w:rsidRPr="007D2B92">
        <w:rPr>
          <w:b/>
          <w:sz w:val="36"/>
          <w:szCs w:val="36"/>
        </w:rPr>
        <w:t xml:space="preserve">, </w:t>
      </w:r>
    </w:p>
    <w:p w:rsidR="00433044" w:rsidRPr="007D2B92" w:rsidRDefault="00E47214" w:rsidP="00900642">
      <w:pPr>
        <w:pStyle w:val="BodyText"/>
        <w:ind w:left="720" w:firstLine="272"/>
        <w:rPr>
          <w:b/>
          <w:sz w:val="36"/>
          <w:szCs w:val="36"/>
        </w:rPr>
      </w:pPr>
      <w:r w:rsidRPr="007D2B92">
        <w:rPr>
          <w:b/>
          <w:sz w:val="36"/>
          <w:szCs w:val="36"/>
        </w:rPr>
        <w:t>GlaxoSmithKline Australia Pty Ltd</w:t>
      </w:r>
    </w:p>
    <w:p w:rsidR="00B50DB8" w:rsidRPr="007D2B92" w:rsidRDefault="00B50DB8" w:rsidP="00AC4F30">
      <w:pPr>
        <w:pStyle w:val="PBACHeading1"/>
        <w:numPr>
          <w:ilvl w:val="0"/>
          <w:numId w:val="1"/>
        </w:numPr>
        <w:spacing w:before="240" w:after="120"/>
        <w:outlineLvl w:val="0"/>
      </w:pPr>
      <w:bookmarkStart w:id="0" w:name="_Toc515358798"/>
      <w:r w:rsidRPr="007D2B92">
        <w:t>Purpose of Application</w:t>
      </w:r>
      <w:bookmarkEnd w:id="0"/>
    </w:p>
    <w:p w:rsidR="00772057" w:rsidRPr="007D2B92" w:rsidRDefault="00772057" w:rsidP="007D4B83">
      <w:pPr>
        <w:pStyle w:val="ListParagraph"/>
        <w:widowControl/>
        <w:numPr>
          <w:ilvl w:val="1"/>
          <w:numId w:val="1"/>
        </w:numPr>
        <w:spacing w:after="120"/>
      </w:pPr>
      <w:r w:rsidRPr="007D2B92">
        <w:t xml:space="preserve">NIP listing for a meningococcal serogroup A, C, W-135 and Y oligosaccharides conjugated individually to Corynebacterium </w:t>
      </w:r>
      <w:proofErr w:type="spellStart"/>
      <w:r w:rsidRPr="007D2B92">
        <w:t>diphtheriae</w:t>
      </w:r>
      <w:proofErr w:type="spellEnd"/>
      <w:r w:rsidRPr="007D2B92">
        <w:t xml:space="preserve"> CRM197 protein (</w:t>
      </w:r>
      <w:proofErr w:type="spellStart"/>
      <w:r w:rsidRPr="007D2B92">
        <w:t>MenACWY</w:t>
      </w:r>
      <w:proofErr w:type="spellEnd"/>
      <w:r w:rsidR="00D36133" w:rsidRPr="007D2B92">
        <w:noBreakHyphen/>
      </w:r>
      <w:r w:rsidRPr="007D2B92">
        <w:t xml:space="preserve">CRM) vaccine for the prevention of </w:t>
      </w:r>
      <w:r w:rsidR="00716E89" w:rsidRPr="007D2B92">
        <w:t>invasive meningococcal disease (</w:t>
      </w:r>
      <w:r w:rsidRPr="007D2B92">
        <w:t>IMD</w:t>
      </w:r>
      <w:r w:rsidR="00716E89" w:rsidRPr="007D2B92">
        <w:t>)</w:t>
      </w:r>
      <w:r w:rsidRPr="007D2B92">
        <w:t xml:space="preserve"> caused by Neisseria </w:t>
      </w:r>
      <w:proofErr w:type="spellStart"/>
      <w:r w:rsidRPr="007D2B92">
        <w:t>meningitidis</w:t>
      </w:r>
      <w:proofErr w:type="spellEnd"/>
      <w:r w:rsidRPr="007D2B92">
        <w:t xml:space="preserve"> serogroups A, C, W</w:t>
      </w:r>
      <w:r w:rsidRPr="007D2B92">
        <w:rPr>
          <w:vertAlign w:val="subscript"/>
        </w:rPr>
        <w:t>135</w:t>
      </w:r>
      <w:r w:rsidRPr="007D2B92">
        <w:t>, and Y (</w:t>
      </w:r>
      <w:proofErr w:type="spellStart"/>
      <w:r w:rsidRPr="007D2B92">
        <w:t>MenA</w:t>
      </w:r>
      <w:proofErr w:type="spellEnd"/>
      <w:r w:rsidRPr="007D2B92">
        <w:t xml:space="preserve">, </w:t>
      </w:r>
      <w:proofErr w:type="spellStart"/>
      <w:r w:rsidRPr="007D2B92">
        <w:t>MenC</w:t>
      </w:r>
      <w:proofErr w:type="spellEnd"/>
      <w:r w:rsidRPr="007D2B92">
        <w:t>, MenW</w:t>
      </w:r>
      <w:r w:rsidRPr="007D2B92">
        <w:rPr>
          <w:vertAlign w:val="subscript"/>
        </w:rPr>
        <w:t>135</w:t>
      </w:r>
      <w:r w:rsidRPr="007D2B92">
        <w:t xml:space="preserve"> and </w:t>
      </w:r>
      <w:proofErr w:type="spellStart"/>
      <w:r w:rsidRPr="007D2B92">
        <w:t>MenY</w:t>
      </w:r>
      <w:proofErr w:type="spellEnd"/>
      <w:r w:rsidRPr="007D2B92">
        <w:t>, respective</w:t>
      </w:r>
      <w:r w:rsidR="00CD544A" w:rsidRPr="007D2B92">
        <w:t>ly) in adolescents. The PBAC had</w:t>
      </w:r>
      <w:r w:rsidRPr="007D2B92">
        <w:t xml:space="preserve"> not previously considered this vaccine.</w:t>
      </w:r>
    </w:p>
    <w:p w:rsidR="00772057" w:rsidRPr="007D2B92" w:rsidRDefault="00772057" w:rsidP="00E94413">
      <w:pPr>
        <w:keepNext/>
      </w:pPr>
      <w:r w:rsidRPr="007D2B92">
        <w:rPr>
          <w:rStyle w:val="CommentReference"/>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8086"/>
      </w:tblGrid>
      <w:tr w:rsidR="00772057" w:rsidRPr="007D2B92" w:rsidTr="009412DB">
        <w:trPr>
          <w:tblHeader/>
        </w:trPr>
        <w:tc>
          <w:tcPr>
            <w:tcW w:w="626" w:type="pct"/>
            <w:vAlign w:val="center"/>
          </w:tcPr>
          <w:p w:rsidR="00772057" w:rsidRPr="007D2B92" w:rsidRDefault="00772057" w:rsidP="00E94413">
            <w:pPr>
              <w:pStyle w:val="Tabletext"/>
              <w:keepNext/>
              <w:rPr>
                <w:b/>
              </w:rPr>
            </w:pPr>
            <w:r w:rsidRPr="007D2B92">
              <w:rPr>
                <w:b/>
              </w:rPr>
              <w:t>Component</w:t>
            </w:r>
          </w:p>
        </w:tc>
        <w:tc>
          <w:tcPr>
            <w:tcW w:w="4374" w:type="pct"/>
            <w:vAlign w:val="center"/>
          </w:tcPr>
          <w:p w:rsidR="00772057" w:rsidRPr="007D2B92" w:rsidRDefault="00772057" w:rsidP="00E94413">
            <w:pPr>
              <w:pStyle w:val="Tabletext"/>
              <w:keepNext/>
              <w:jc w:val="center"/>
              <w:rPr>
                <w:b/>
              </w:rPr>
            </w:pPr>
            <w:r w:rsidRPr="007D2B92">
              <w:rPr>
                <w:b/>
              </w:rPr>
              <w:t>Description</w:t>
            </w:r>
          </w:p>
        </w:tc>
      </w:tr>
      <w:tr w:rsidR="00772057" w:rsidRPr="007D2B92" w:rsidTr="009412DB">
        <w:tc>
          <w:tcPr>
            <w:tcW w:w="626" w:type="pct"/>
            <w:vAlign w:val="center"/>
          </w:tcPr>
          <w:p w:rsidR="00772057" w:rsidRPr="007D2B92" w:rsidRDefault="00772057" w:rsidP="00E94413">
            <w:pPr>
              <w:pStyle w:val="Tabletext"/>
              <w:keepNext/>
            </w:pPr>
            <w:r w:rsidRPr="007D2B92">
              <w:t>Population</w:t>
            </w:r>
          </w:p>
        </w:tc>
        <w:tc>
          <w:tcPr>
            <w:tcW w:w="4374" w:type="pct"/>
            <w:vAlign w:val="center"/>
          </w:tcPr>
          <w:p w:rsidR="00772057" w:rsidRPr="007D2B92" w:rsidRDefault="00772057" w:rsidP="00E94413">
            <w:pPr>
              <w:pStyle w:val="Tabletext"/>
              <w:keepNext/>
            </w:pPr>
            <w:r w:rsidRPr="007D2B92">
              <w:t>Adolescents aged approximately 15 years of age (Year 9 or 10 students), with a catch-up program for adolescents/ young adults aged up to and including 19 years.</w:t>
            </w:r>
          </w:p>
        </w:tc>
      </w:tr>
      <w:tr w:rsidR="00772057" w:rsidRPr="007D2B92" w:rsidTr="009412DB">
        <w:tc>
          <w:tcPr>
            <w:tcW w:w="626" w:type="pct"/>
            <w:vAlign w:val="center"/>
          </w:tcPr>
          <w:p w:rsidR="00772057" w:rsidRPr="007D2B92" w:rsidRDefault="00772057" w:rsidP="00CC6BB6">
            <w:pPr>
              <w:pStyle w:val="Tabletext"/>
            </w:pPr>
            <w:r w:rsidRPr="007D2B92">
              <w:t>Intervention</w:t>
            </w:r>
          </w:p>
        </w:tc>
        <w:tc>
          <w:tcPr>
            <w:tcW w:w="4374" w:type="pct"/>
            <w:vAlign w:val="center"/>
          </w:tcPr>
          <w:p w:rsidR="00772057" w:rsidRPr="007D2B92" w:rsidRDefault="00772057" w:rsidP="00164319">
            <w:pPr>
              <w:pStyle w:val="Tabletext"/>
            </w:pPr>
            <w:r w:rsidRPr="007D2B92">
              <w:t xml:space="preserve">A single dose of </w:t>
            </w:r>
            <w:r w:rsidR="00E94413" w:rsidRPr="007D2B92">
              <w:t xml:space="preserve">the </w:t>
            </w:r>
            <w:proofErr w:type="spellStart"/>
            <w:r w:rsidR="00164319" w:rsidRPr="007D2B92">
              <w:t>MenACWY</w:t>
            </w:r>
            <w:proofErr w:type="spellEnd"/>
            <w:r w:rsidR="00164319" w:rsidRPr="007D2B92">
              <w:t>-CRM</w:t>
            </w:r>
            <w:r w:rsidR="00E94413" w:rsidRPr="007D2B92">
              <w:t xml:space="preserve"> vaccine (</w:t>
            </w:r>
            <w:proofErr w:type="spellStart"/>
            <w:r w:rsidR="00E94413" w:rsidRPr="007D2B92">
              <w:t>Menveo</w:t>
            </w:r>
            <w:proofErr w:type="spellEnd"/>
            <w:r w:rsidR="00880E00" w:rsidRPr="007D2B92">
              <w:t>®</w:t>
            </w:r>
            <w:r w:rsidR="00E94413" w:rsidRPr="007D2B92">
              <w:t>)</w:t>
            </w:r>
            <w:r w:rsidRPr="007D2B92">
              <w:t>.</w:t>
            </w:r>
            <w:r w:rsidR="00164319" w:rsidRPr="007D2B92">
              <w:t xml:space="preserve"> </w:t>
            </w:r>
            <w:r w:rsidRPr="007D2B92">
              <w:t>An extra dose of vaccine in adolescents with medical conditions that increase the risk of IMD is recommended.</w:t>
            </w:r>
          </w:p>
        </w:tc>
      </w:tr>
      <w:tr w:rsidR="00772057" w:rsidRPr="007D2B92" w:rsidTr="009412DB">
        <w:tc>
          <w:tcPr>
            <w:tcW w:w="626" w:type="pct"/>
            <w:vAlign w:val="center"/>
          </w:tcPr>
          <w:p w:rsidR="00772057" w:rsidRPr="007D2B92" w:rsidRDefault="00772057" w:rsidP="00CC6BB6">
            <w:pPr>
              <w:pStyle w:val="Tabletext"/>
            </w:pPr>
            <w:r w:rsidRPr="007D2B92">
              <w:t>Comparator</w:t>
            </w:r>
          </w:p>
        </w:tc>
        <w:tc>
          <w:tcPr>
            <w:tcW w:w="4374" w:type="pct"/>
            <w:vAlign w:val="center"/>
          </w:tcPr>
          <w:p w:rsidR="00772057" w:rsidRPr="007D2B92" w:rsidRDefault="00654C76" w:rsidP="00110797">
            <w:pPr>
              <w:pStyle w:val="Tabletext"/>
              <w:rPr>
                <w:i/>
              </w:rPr>
            </w:pPr>
            <w:r w:rsidRPr="007D2B92">
              <w:t>No main comparator specified.</w:t>
            </w:r>
            <w:r w:rsidR="00110797" w:rsidRPr="007D2B92">
              <w:t xml:space="preserve"> </w:t>
            </w:r>
            <w:r w:rsidR="00E94413" w:rsidRPr="007D2B92">
              <w:t xml:space="preserve">The </w:t>
            </w:r>
            <w:proofErr w:type="spellStart"/>
            <w:r w:rsidR="00772057" w:rsidRPr="007D2B92">
              <w:t>MenACWY</w:t>
            </w:r>
            <w:proofErr w:type="spellEnd"/>
            <w:r w:rsidR="00772057" w:rsidRPr="007D2B92">
              <w:t>-TT (</w:t>
            </w:r>
            <w:proofErr w:type="spellStart"/>
            <w:r w:rsidR="00772057" w:rsidRPr="007D2B92">
              <w:t>Nimenrix</w:t>
            </w:r>
            <w:proofErr w:type="spellEnd"/>
            <w:r w:rsidR="00880E00" w:rsidRPr="007D2B92">
              <w:t>®</w:t>
            </w:r>
            <w:r w:rsidR="00772057" w:rsidRPr="007D2B92">
              <w:t xml:space="preserve">) </w:t>
            </w:r>
            <w:r w:rsidR="00110797" w:rsidRPr="007D2B92">
              <w:t xml:space="preserve">and </w:t>
            </w:r>
            <w:proofErr w:type="spellStart"/>
            <w:r w:rsidR="00772057" w:rsidRPr="007D2B92">
              <w:t>MenACWY</w:t>
            </w:r>
            <w:proofErr w:type="spellEnd"/>
            <w:r w:rsidR="00772057" w:rsidRPr="007D2B92">
              <w:t>-DT (</w:t>
            </w:r>
            <w:proofErr w:type="spellStart"/>
            <w:r w:rsidR="00772057" w:rsidRPr="007D2B92">
              <w:t>Menactra</w:t>
            </w:r>
            <w:proofErr w:type="spellEnd"/>
            <w:r w:rsidR="00880E00" w:rsidRPr="007D2B92">
              <w:t>®</w:t>
            </w:r>
            <w:r w:rsidR="00772057" w:rsidRPr="007D2B92">
              <w:t xml:space="preserve">) </w:t>
            </w:r>
            <w:r w:rsidR="00E94413" w:rsidRPr="007D2B92">
              <w:t xml:space="preserve">vaccines </w:t>
            </w:r>
            <w:r w:rsidR="00772057" w:rsidRPr="007D2B92">
              <w:t>as near market comparator</w:t>
            </w:r>
            <w:r w:rsidR="00110797" w:rsidRPr="007D2B92">
              <w:t>s</w:t>
            </w:r>
            <w:r w:rsidR="00772057" w:rsidRPr="007D2B92">
              <w:t>.</w:t>
            </w:r>
            <w:r w:rsidR="00632D2B" w:rsidRPr="007D2B92">
              <w:t xml:space="preserve"> The PSCR noted the main comparator in the submission was ‘no vaccine’</w:t>
            </w:r>
            <w:r w:rsidR="00E032BA" w:rsidRPr="007D2B92">
              <w:t xml:space="preserve"> or placebo</w:t>
            </w:r>
            <w:r w:rsidR="00632D2B" w:rsidRPr="007D2B92">
              <w:t>.</w:t>
            </w:r>
          </w:p>
        </w:tc>
      </w:tr>
      <w:tr w:rsidR="00772057" w:rsidRPr="007D2B92" w:rsidTr="009412DB">
        <w:tc>
          <w:tcPr>
            <w:tcW w:w="626" w:type="pct"/>
            <w:vAlign w:val="center"/>
          </w:tcPr>
          <w:p w:rsidR="00772057" w:rsidRPr="007D2B92" w:rsidRDefault="00772057" w:rsidP="00CC6BB6">
            <w:pPr>
              <w:pStyle w:val="Tabletext"/>
            </w:pPr>
            <w:r w:rsidRPr="007D2B92">
              <w:t>Outcomes</w:t>
            </w:r>
          </w:p>
        </w:tc>
        <w:tc>
          <w:tcPr>
            <w:tcW w:w="4374" w:type="pct"/>
            <w:vAlign w:val="center"/>
          </w:tcPr>
          <w:p w:rsidR="00772057" w:rsidRPr="007D2B92" w:rsidRDefault="00110797" w:rsidP="00110797">
            <w:pPr>
              <w:pStyle w:val="Tabletext"/>
            </w:pPr>
            <w:proofErr w:type="spellStart"/>
            <w:r w:rsidRPr="007D2B92">
              <w:t>Seroresponse</w:t>
            </w:r>
            <w:proofErr w:type="spellEnd"/>
            <w:r w:rsidRPr="007D2B92">
              <w:t xml:space="preserve">, </w:t>
            </w:r>
            <w:proofErr w:type="spellStart"/>
            <w:r w:rsidRPr="007D2B92">
              <w:t>hSBA</w:t>
            </w:r>
            <w:proofErr w:type="spellEnd"/>
            <w:r w:rsidRPr="007D2B92">
              <w:t xml:space="preserve"> titres, GMTs, </w:t>
            </w:r>
            <w:r w:rsidR="00772057" w:rsidRPr="007D2B92">
              <w:t>reactivity and adverse events</w:t>
            </w:r>
          </w:p>
        </w:tc>
      </w:tr>
      <w:tr w:rsidR="00772057" w:rsidRPr="007D2B92" w:rsidTr="009412DB">
        <w:tc>
          <w:tcPr>
            <w:tcW w:w="626" w:type="pct"/>
            <w:vAlign w:val="center"/>
          </w:tcPr>
          <w:p w:rsidR="00772057" w:rsidRPr="007D2B92" w:rsidRDefault="00772057" w:rsidP="00CC6BB6">
            <w:pPr>
              <w:pStyle w:val="Tabletext"/>
            </w:pPr>
            <w:r w:rsidRPr="007D2B92">
              <w:t>Clinical claim</w:t>
            </w:r>
          </w:p>
        </w:tc>
        <w:tc>
          <w:tcPr>
            <w:tcW w:w="4374" w:type="pct"/>
            <w:vAlign w:val="center"/>
          </w:tcPr>
          <w:p w:rsidR="00772057" w:rsidRPr="007D2B92" w:rsidRDefault="008F5A18" w:rsidP="007D4B83">
            <w:pPr>
              <w:pStyle w:val="Tabletext"/>
              <w:numPr>
                <w:ilvl w:val="0"/>
                <w:numId w:val="4"/>
              </w:numPr>
              <w:ind w:left="346"/>
            </w:pPr>
            <w:proofErr w:type="spellStart"/>
            <w:r w:rsidRPr="007D2B92">
              <w:t>MenACWY</w:t>
            </w:r>
            <w:proofErr w:type="spellEnd"/>
            <w:r w:rsidRPr="007D2B92">
              <w:t xml:space="preserve">-CRM </w:t>
            </w:r>
            <w:r w:rsidR="00772057" w:rsidRPr="007D2B92">
              <w:t xml:space="preserve">is immunogenic in the adolescent age group (average age 15 years) against the four N. </w:t>
            </w:r>
            <w:proofErr w:type="spellStart"/>
            <w:r w:rsidR="00772057" w:rsidRPr="007D2B92">
              <w:t>meningitidis</w:t>
            </w:r>
            <w:proofErr w:type="spellEnd"/>
            <w:r w:rsidR="00772057" w:rsidRPr="007D2B92">
              <w:t xml:space="preserve"> serogroups A, C, W and Y</w:t>
            </w:r>
          </w:p>
          <w:p w:rsidR="00772057" w:rsidRPr="007D2B92" w:rsidRDefault="008F5A18" w:rsidP="007D4B83">
            <w:pPr>
              <w:pStyle w:val="Tabletext"/>
              <w:numPr>
                <w:ilvl w:val="0"/>
                <w:numId w:val="4"/>
              </w:numPr>
              <w:ind w:left="346"/>
            </w:pPr>
            <w:proofErr w:type="spellStart"/>
            <w:r w:rsidRPr="007D2B92">
              <w:t>MenACWY</w:t>
            </w:r>
            <w:proofErr w:type="spellEnd"/>
            <w:r w:rsidRPr="007D2B92">
              <w:t xml:space="preserve">-CRM </w:t>
            </w:r>
            <w:r w:rsidR="00772057" w:rsidRPr="007D2B92">
              <w:t>may be co-administered with routine vaccinations given to adolescents within the NIP</w:t>
            </w:r>
          </w:p>
          <w:p w:rsidR="00772057" w:rsidRPr="007D2B92" w:rsidRDefault="00772057" w:rsidP="007D4B83">
            <w:pPr>
              <w:pStyle w:val="Tabletext"/>
              <w:numPr>
                <w:ilvl w:val="0"/>
                <w:numId w:val="4"/>
              </w:numPr>
              <w:ind w:left="346"/>
            </w:pPr>
            <w:r w:rsidRPr="007D2B92">
              <w:t xml:space="preserve">Adolescent subjects vaccinated with a single dose of </w:t>
            </w:r>
            <w:proofErr w:type="spellStart"/>
            <w:r w:rsidR="008F5A18" w:rsidRPr="007D2B92">
              <w:t>MenACWY</w:t>
            </w:r>
            <w:proofErr w:type="spellEnd"/>
            <w:r w:rsidR="008F5A18" w:rsidRPr="007D2B92">
              <w:t xml:space="preserve">-CRM </w:t>
            </w:r>
            <w:r w:rsidRPr="007D2B92">
              <w:t>demonstrated a sustained immune response up to 5 years post vaccination</w:t>
            </w:r>
          </w:p>
          <w:p w:rsidR="00772057" w:rsidRPr="007D2B92" w:rsidRDefault="00772057" w:rsidP="007D4B83">
            <w:pPr>
              <w:pStyle w:val="Tabletext"/>
              <w:numPr>
                <w:ilvl w:val="0"/>
                <w:numId w:val="4"/>
              </w:numPr>
              <w:ind w:left="346"/>
            </w:pPr>
            <w:r w:rsidRPr="007D2B92">
              <w:t xml:space="preserve">There is no evidence of a difference in the immunogenicity or safety of </w:t>
            </w:r>
            <w:proofErr w:type="spellStart"/>
            <w:r w:rsidR="008F5A18" w:rsidRPr="007D2B92">
              <w:t>MenACWY</w:t>
            </w:r>
            <w:proofErr w:type="spellEnd"/>
            <w:r w:rsidR="008F5A18" w:rsidRPr="007D2B92">
              <w:t xml:space="preserve">-CRM </w:t>
            </w:r>
            <w:r w:rsidRPr="007D2B92">
              <w:t xml:space="preserve">and </w:t>
            </w:r>
            <w:proofErr w:type="spellStart"/>
            <w:r w:rsidR="008F5A18" w:rsidRPr="007D2B92">
              <w:t>MenACWY</w:t>
            </w:r>
            <w:proofErr w:type="spellEnd"/>
            <w:r w:rsidR="008F5A18" w:rsidRPr="007D2B92">
              <w:t>-TT</w:t>
            </w:r>
          </w:p>
          <w:p w:rsidR="00772057" w:rsidRPr="007D2B92" w:rsidRDefault="008F5A18" w:rsidP="007D4B83">
            <w:pPr>
              <w:pStyle w:val="Tabletext"/>
              <w:numPr>
                <w:ilvl w:val="0"/>
                <w:numId w:val="4"/>
              </w:numPr>
              <w:ind w:left="346"/>
            </w:pPr>
            <w:proofErr w:type="spellStart"/>
            <w:r w:rsidRPr="007D2B92">
              <w:t>MenACWY</w:t>
            </w:r>
            <w:proofErr w:type="spellEnd"/>
            <w:r w:rsidRPr="007D2B92">
              <w:t xml:space="preserve">-CRM </w:t>
            </w:r>
            <w:r w:rsidR="00772057" w:rsidRPr="007D2B92">
              <w:t>is well tolerated, with an acceptable safety profile</w:t>
            </w:r>
          </w:p>
        </w:tc>
      </w:tr>
    </w:tbl>
    <w:p w:rsidR="00904246" w:rsidRPr="007D2B92" w:rsidRDefault="00904246" w:rsidP="00904246">
      <w:pPr>
        <w:pStyle w:val="CaptionFootnote"/>
        <w:rPr>
          <w:rFonts w:ascii="Arial Narrow" w:hAnsi="Arial Narrow"/>
          <w:sz w:val="18"/>
          <w:szCs w:val="18"/>
        </w:rPr>
      </w:pPr>
      <w:proofErr w:type="spellStart"/>
      <w:proofErr w:type="gramStart"/>
      <w:r w:rsidRPr="007D2B92">
        <w:rPr>
          <w:rFonts w:ascii="Arial Narrow" w:hAnsi="Arial Narrow"/>
          <w:sz w:val="18"/>
          <w:szCs w:val="18"/>
        </w:rPr>
        <w:t>hSBA</w:t>
      </w:r>
      <w:proofErr w:type="spellEnd"/>
      <w:proofErr w:type="gramEnd"/>
      <w:r w:rsidRPr="007D2B92">
        <w:rPr>
          <w:rFonts w:ascii="Arial Narrow" w:hAnsi="Arial Narrow"/>
          <w:sz w:val="18"/>
          <w:szCs w:val="18"/>
        </w:rPr>
        <w:t xml:space="preserve">: human serum </w:t>
      </w:r>
      <w:r w:rsidR="00AB0CBE" w:rsidRPr="007D2B92">
        <w:rPr>
          <w:rFonts w:ascii="Arial Narrow" w:hAnsi="Arial Narrow"/>
          <w:sz w:val="18"/>
          <w:szCs w:val="18"/>
        </w:rPr>
        <w:t>bactericidal</w:t>
      </w:r>
      <w:r w:rsidRPr="007D2B92">
        <w:rPr>
          <w:rFonts w:ascii="Arial Narrow" w:hAnsi="Arial Narrow"/>
          <w:sz w:val="18"/>
          <w:szCs w:val="18"/>
        </w:rPr>
        <w:t xml:space="preserve"> assay; IMD: invasive meningococcal disease; GMT: Geometric mean </w:t>
      </w:r>
      <w:proofErr w:type="spellStart"/>
      <w:r w:rsidRPr="007D2B92">
        <w:rPr>
          <w:rFonts w:ascii="Arial Narrow" w:hAnsi="Arial Narrow"/>
          <w:sz w:val="18"/>
          <w:szCs w:val="18"/>
        </w:rPr>
        <w:t>titers</w:t>
      </w:r>
      <w:proofErr w:type="spellEnd"/>
      <w:r w:rsidRPr="007D2B92">
        <w:rPr>
          <w:rFonts w:ascii="Arial Narrow" w:hAnsi="Arial Narrow"/>
          <w:sz w:val="18"/>
          <w:szCs w:val="18"/>
        </w:rPr>
        <w:t xml:space="preserve">; </w:t>
      </w:r>
      <w:proofErr w:type="spellStart"/>
      <w:r w:rsidRPr="007D2B92">
        <w:rPr>
          <w:rFonts w:ascii="Arial Narrow" w:hAnsi="Arial Narrow"/>
          <w:sz w:val="18"/>
          <w:szCs w:val="18"/>
        </w:rPr>
        <w:t>MenACWY</w:t>
      </w:r>
      <w:proofErr w:type="spellEnd"/>
      <w:r w:rsidRPr="007D2B92">
        <w:rPr>
          <w:rFonts w:ascii="Arial Narrow" w:hAnsi="Arial Narrow"/>
          <w:sz w:val="18"/>
          <w:szCs w:val="18"/>
        </w:rPr>
        <w:t xml:space="preserve">-CRM: Meningococcal Oligosaccharide CRM197 Conjugate Vaccine; </w:t>
      </w:r>
      <w:proofErr w:type="spellStart"/>
      <w:r w:rsidRPr="007D2B92">
        <w:rPr>
          <w:rFonts w:ascii="Arial Narrow" w:hAnsi="Arial Narrow"/>
          <w:sz w:val="18"/>
          <w:szCs w:val="18"/>
        </w:rPr>
        <w:t>MenACWY</w:t>
      </w:r>
      <w:proofErr w:type="spellEnd"/>
      <w:r w:rsidRPr="007D2B92">
        <w:rPr>
          <w:rFonts w:ascii="Arial Narrow" w:hAnsi="Arial Narrow"/>
          <w:sz w:val="18"/>
          <w:szCs w:val="18"/>
        </w:rPr>
        <w:t xml:space="preserve">-TT: Meningococcal polysaccharide tetanus toxoid conjugate vaccine; </w:t>
      </w:r>
      <w:proofErr w:type="spellStart"/>
      <w:r w:rsidRPr="007D2B92">
        <w:rPr>
          <w:rFonts w:ascii="Arial Narrow" w:hAnsi="Arial Narrow"/>
          <w:sz w:val="18"/>
          <w:szCs w:val="18"/>
        </w:rPr>
        <w:t>MenACWY</w:t>
      </w:r>
      <w:proofErr w:type="spellEnd"/>
      <w:r w:rsidRPr="007D2B92">
        <w:rPr>
          <w:rFonts w:ascii="Arial Narrow" w:hAnsi="Arial Narrow"/>
          <w:sz w:val="18"/>
          <w:szCs w:val="18"/>
        </w:rPr>
        <w:t>-DT: Meningococcal polysaccharide diphtheria toxoid conjugate vaccine</w:t>
      </w:r>
      <w:r w:rsidR="00C8099C">
        <w:rPr>
          <w:rFonts w:ascii="Arial Narrow" w:hAnsi="Arial Narrow"/>
          <w:sz w:val="18"/>
          <w:szCs w:val="18"/>
        </w:rPr>
        <w:t>; PSCR: Pre Sub-Committee response</w:t>
      </w:r>
    </w:p>
    <w:p w:rsidR="00772057" w:rsidRPr="007D2B92" w:rsidRDefault="00772057" w:rsidP="00772057">
      <w:pPr>
        <w:pStyle w:val="TableFooter"/>
      </w:pPr>
      <w:r w:rsidRPr="007D2B92">
        <w:t>Source: Compiled during the evaluation</w:t>
      </w:r>
    </w:p>
    <w:p w:rsidR="00ED236B" w:rsidRPr="007D2B92" w:rsidRDefault="00ED236B" w:rsidP="00ED236B">
      <w:pPr>
        <w:widowControl/>
        <w:spacing w:after="120"/>
        <w:rPr>
          <w:i/>
        </w:rPr>
      </w:pPr>
      <w:r w:rsidRPr="007D2B92">
        <w:rPr>
          <w:i/>
        </w:rPr>
        <w:t>For more detail on PBAC’s view, see section 7 PBAC outcome.</w:t>
      </w:r>
    </w:p>
    <w:p w:rsidR="00B60939" w:rsidRPr="007D2B92" w:rsidRDefault="00B50DB8" w:rsidP="00AC4F30">
      <w:pPr>
        <w:pStyle w:val="PBACHeading1"/>
        <w:numPr>
          <w:ilvl w:val="0"/>
          <w:numId w:val="1"/>
        </w:numPr>
        <w:spacing w:before="240" w:after="120"/>
        <w:outlineLvl w:val="0"/>
      </w:pPr>
      <w:bookmarkStart w:id="1" w:name="_Toc515358799"/>
      <w:r w:rsidRPr="007D2B92">
        <w:t>Requested listing</w:t>
      </w:r>
      <w:bookmarkEnd w:id="1"/>
    </w:p>
    <w:p w:rsidR="002B62A4" w:rsidRPr="007D2B92" w:rsidRDefault="0035296E" w:rsidP="00CD544A">
      <w:pPr>
        <w:pStyle w:val="ListParagraph"/>
        <w:widowControl/>
        <w:numPr>
          <w:ilvl w:val="1"/>
          <w:numId w:val="1"/>
        </w:numPr>
        <w:spacing w:after="120"/>
        <w:rPr>
          <w:rStyle w:val="CommentReference"/>
          <w:rFonts w:ascii="Calibri" w:hAnsi="Calibri"/>
          <w:b w:val="0"/>
          <w:sz w:val="24"/>
          <w:szCs w:val="22"/>
        </w:rPr>
      </w:pPr>
      <w:r w:rsidRPr="007D2B92">
        <w:t>Suggestions and additions proposed to the requested listing are added in italics and suggested deletions are crossed out with strikethrough.</w:t>
      </w:r>
    </w:p>
    <w:p w:rsidR="002B62A4" w:rsidRPr="007D2B92" w:rsidRDefault="002B62A4" w:rsidP="002B62A4">
      <w:pPr>
        <w:keepNext/>
        <w:rPr>
          <w:rStyle w:val="CommentReference"/>
        </w:rPr>
      </w:pPr>
      <w:r w:rsidRPr="007D2B92">
        <w:rPr>
          <w:rStyle w:val="CommentReference"/>
        </w:rPr>
        <w:lastRenderedPageBreak/>
        <w:t xml:space="preserve">Table </w:t>
      </w:r>
      <w:r w:rsidR="00076050" w:rsidRPr="007D2B92">
        <w:rPr>
          <w:rStyle w:val="CommentReference"/>
        </w:rPr>
        <w:t>2</w:t>
      </w:r>
      <w:r w:rsidRPr="007D2B92">
        <w:rPr>
          <w:rStyle w:val="CommentReference"/>
        </w:rPr>
        <w:t>: Essential elements of the requested listing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01"/>
        <w:gridCol w:w="996"/>
        <w:gridCol w:w="996"/>
        <w:gridCol w:w="849"/>
        <w:gridCol w:w="1810"/>
        <w:gridCol w:w="1791"/>
      </w:tblGrid>
      <w:tr w:rsidR="002B62A4" w:rsidRPr="007D2B92" w:rsidTr="00AF00DF">
        <w:tc>
          <w:tcPr>
            <w:tcW w:w="1515" w:type="pct"/>
          </w:tcPr>
          <w:p w:rsidR="002B62A4" w:rsidRPr="007D2B92" w:rsidRDefault="002B62A4" w:rsidP="00CC6BB6">
            <w:pPr>
              <w:pStyle w:val="Tabletext"/>
              <w:keepNext/>
              <w:rPr>
                <w:b/>
                <w:bCs/>
              </w:rPr>
            </w:pPr>
            <w:r w:rsidRPr="007D2B92">
              <w:rPr>
                <w:b/>
              </w:rPr>
              <w:t>Name, restriction, manner of administration, form</w:t>
            </w:r>
          </w:p>
        </w:tc>
        <w:tc>
          <w:tcPr>
            <w:tcW w:w="539" w:type="pct"/>
            <w:vAlign w:val="center"/>
          </w:tcPr>
          <w:p w:rsidR="002B62A4" w:rsidRPr="007D2B92" w:rsidRDefault="002B62A4" w:rsidP="00CC6BB6">
            <w:pPr>
              <w:pStyle w:val="Tabletext"/>
              <w:keepNext/>
              <w:jc w:val="center"/>
              <w:rPr>
                <w:b/>
                <w:bCs/>
              </w:rPr>
            </w:pPr>
            <w:r w:rsidRPr="007D2B92">
              <w:rPr>
                <w:b/>
              </w:rPr>
              <w:t>Maximum quantity (packs)</w:t>
            </w:r>
          </w:p>
        </w:tc>
        <w:tc>
          <w:tcPr>
            <w:tcW w:w="539" w:type="pct"/>
            <w:vAlign w:val="center"/>
          </w:tcPr>
          <w:p w:rsidR="002B62A4" w:rsidRPr="007D2B92" w:rsidRDefault="002B62A4" w:rsidP="00CC6BB6">
            <w:pPr>
              <w:pStyle w:val="Tabletext"/>
              <w:keepNext/>
              <w:jc w:val="center"/>
              <w:rPr>
                <w:b/>
                <w:bCs/>
              </w:rPr>
            </w:pPr>
            <w:r w:rsidRPr="007D2B92">
              <w:rPr>
                <w:b/>
              </w:rPr>
              <w:t>Maximum quantity (units)</w:t>
            </w:r>
          </w:p>
        </w:tc>
        <w:tc>
          <w:tcPr>
            <w:tcW w:w="459" w:type="pct"/>
            <w:vAlign w:val="center"/>
          </w:tcPr>
          <w:p w:rsidR="002B62A4" w:rsidRPr="007D2B92" w:rsidRDefault="002B62A4" w:rsidP="00CC6BB6">
            <w:pPr>
              <w:pStyle w:val="Tabletext"/>
              <w:keepNext/>
              <w:jc w:val="center"/>
              <w:rPr>
                <w:b/>
                <w:bCs/>
              </w:rPr>
            </w:pPr>
            <w:r w:rsidRPr="007D2B92">
              <w:rPr>
                <w:b/>
              </w:rPr>
              <w:t>No. of repeats</w:t>
            </w:r>
          </w:p>
        </w:tc>
        <w:tc>
          <w:tcPr>
            <w:tcW w:w="979" w:type="pct"/>
            <w:vAlign w:val="center"/>
          </w:tcPr>
          <w:p w:rsidR="002B62A4" w:rsidRPr="007D2B92" w:rsidRDefault="002B62A4" w:rsidP="00CC6BB6">
            <w:pPr>
              <w:pStyle w:val="Tabletext"/>
              <w:keepNext/>
              <w:jc w:val="center"/>
              <w:rPr>
                <w:b/>
                <w:bCs/>
              </w:rPr>
            </w:pPr>
            <w:r w:rsidRPr="007D2B92">
              <w:rPr>
                <w:b/>
              </w:rPr>
              <w:t>Proposed approved ex-manufacturing price</w:t>
            </w:r>
          </w:p>
        </w:tc>
        <w:tc>
          <w:tcPr>
            <w:tcW w:w="970" w:type="pct"/>
            <w:vAlign w:val="center"/>
          </w:tcPr>
          <w:p w:rsidR="002B62A4" w:rsidRPr="007D2B92" w:rsidRDefault="002B62A4" w:rsidP="00CC6BB6">
            <w:pPr>
              <w:pStyle w:val="Tabletext"/>
              <w:keepNext/>
              <w:jc w:val="center"/>
              <w:rPr>
                <w:b/>
                <w:bCs/>
              </w:rPr>
            </w:pPr>
            <w:r w:rsidRPr="007D2B92">
              <w:rPr>
                <w:b/>
              </w:rPr>
              <w:t>Proprietary name and manufacturer</w:t>
            </w:r>
          </w:p>
        </w:tc>
      </w:tr>
      <w:tr w:rsidR="002B62A4" w:rsidRPr="007D2B92" w:rsidTr="00AF00DF">
        <w:tc>
          <w:tcPr>
            <w:tcW w:w="1515" w:type="pct"/>
          </w:tcPr>
          <w:p w:rsidR="00214A94" w:rsidRPr="007D2B92" w:rsidRDefault="00214A94" w:rsidP="00214A94">
            <w:pPr>
              <w:pStyle w:val="Tabletext"/>
              <w:keepNext/>
            </w:pPr>
            <w:r w:rsidRPr="007D2B92">
              <w:t xml:space="preserve">Meningococcal (Groups A, C, W-135 and Y) Oligosaccharide CRM197 Conjugate Vaccine powder and solvent for solution for injection </w:t>
            </w:r>
          </w:p>
          <w:p w:rsidR="002B62A4" w:rsidRPr="007D2B92" w:rsidRDefault="002B62A4" w:rsidP="00CC6BB6">
            <w:pPr>
              <w:pStyle w:val="Tabletext"/>
              <w:keepNext/>
              <w:rPr>
                <w:b/>
                <w:bCs/>
              </w:rPr>
            </w:pPr>
            <w:r w:rsidRPr="007D2B92">
              <w:t>Pre-filled syringe, 0.5mL</w:t>
            </w:r>
          </w:p>
        </w:tc>
        <w:tc>
          <w:tcPr>
            <w:tcW w:w="539" w:type="pct"/>
            <w:vAlign w:val="center"/>
          </w:tcPr>
          <w:p w:rsidR="002B62A4" w:rsidRPr="007D2B92" w:rsidRDefault="002B62A4" w:rsidP="00CC6BB6">
            <w:pPr>
              <w:pStyle w:val="Tabletext"/>
              <w:keepNext/>
              <w:jc w:val="center"/>
              <w:rPr>
                <w:rFonts w:ascii="Times" w:hAnsi="Times"/>
              </w:rPr>
            </w:pPr>
            <w:r w:rsidRPr="007D2B92">
              <w:t>1</w:t>
            </w:r>
          </w:p>
        </w:tc>
        <w:tc>
          <w:tcPr>
            <w:tcW w:w="539" w:type="pct"/>
            <w:vAlign w:val="center"/>
          </w:tcPr>
          <w:p w:rsidR="002B62A4" w:rsidRPr="007D2B92" w:rsidRDefault="002B62A4" w:rsidP="00CC6BB6">
            <w:pPr>
              <w:pStyle w:val="Tabletext"/>
              <w:keepNext/>
              <w:jc w:val="center"/>
              <w:rPr>
                <w:rFonts w:ascii="Times" w:hAnsi="Times"/>
              </w:rPr>
            </w:pPr>
            <w:r w:rsidRPr="007D2B92">
              <w:t>1</w:t>
            </w:r>
          </w:p>
        </w:tc>
        <w:tc>
          <w:tcPr>
            <w:tcW w:w="459" w:type="pct"/>
            <w:shd w:val="clear" w:color="auto" w:fill="auto"/>
            <w:vAlign w:val="center"/>
          </w:tcPr>
          <w:p w:rsidR="002B62A4" w:rsidRPr="007D2B92" w:rsidRDefault="00214A94" w:rsidP="00CC6BB6">
            <w:pPr>
              <w:pStyle w:val="Tabletext"/>
              <w:keepNext/>
              <w:jc w:val="center"/>
              <w:rPr>
                <w:rFonts w:ascii="Times" w:hAnsi="Times"/>
              </w:rPr>
            </w:pPr>
            <w:r w:rsidRPr="007D2B92">
              <w:t>0</w:t>
            </w:r>
          </w:p>
        </w:tc>
        <w:tc>
          <w:tcPr>
            <w:tcW w:w="979" w:type="pct"/>
            <w:vAlign w:val="center"/>
          </w:tcPr>
          <w:p w:rsidR="002B62A4" w:rsidRPr="007D2B92" w:rsidRDefault="002B62A4" w:rsidP="00CC6BB6">
            <w:pPr>
              <w:pStyle w:val="Tabletext"/>
              <w:keepNext/>
              <w:jc w:val="center"/>
              <w:rPr>
                <w:rFonts w:ascii="Times" w:hAnsi="Times"/>
              </w:rPr>
            </w:pPr>
            <w:r w:rsidRPr="007D2B92">
              <w:t>$</w:t>
            </w:r>
            <w:r w:rsidR="00346D40">
              <w:rPr>
                <w:noProof/>
                <w:color w:val="000000"/>
                <w:highlight w:val="black"/>
              </w:rPr>
              <w:t>''''''''''''</w:t>
            </w:r>
          </w:p>
        </w:tc>
        <w:tc>
          <w:tcPr>
            <w:tcW w:w="970" w:type="pct"/>
            <w:vAlign w:val="center"/>
          </w:tcPr>
          <w:p w:rsidR="002B62A4" w:rsidRPr="007D2B92" w:rsidRDefault="002B62A4" w:rsidP="00CC6BB6">
            <w:pPr>
              <w:pStyle w:val="Tabletext"/>
              <w:keepNext/>
              <w:jc w:val="center"/>
              <w:rPr>
                <w:rFonts w:ascii="Times" w:hAnsi="Times"/>
              </w:rPr>
            </w:pPr>
            <w:proofErr w:type="spellStart"/>
            <w:r w:rsidRPr="007D2B92">
              <w:t>Menveo</w:t>
            </w:r>
            <w:proofErr w:type="spellEnd"/>
            <w:r w:rsidRPr="007D2B92">
              <w:t>, GlaxoSmithKline Australia Pty Ltd</w:t>
            </w:r>
          </w:p>
        </w:tc>
      </w:tr>
      <w:tr w:rsidR="002B62A4" w:rsidRPr="007D2B92" w:rsidTr="00CC6BB6">
        <w:tc>
          <w:tcPr>
            <w:tcW w:w="5000" w:type="pct"/>
            <w:gridSpan w:val="6"/>
          </w:tcPr>
          <w:p w:rsidR="00214A94" w:rsidRPr="007D2B92" w:rsidRDefault="00214A94" w:rsidP="00214A94">
            <w:pPr>
              <w:pStyle w:val="Tabletext"/>
            </w:pPr>
            <w:r w:rsidRPr="007D2B92">
              <w:t>Category/Program – NIP</w:t>
            </w:r>
          </w:p>
          <w:p w:rsidR="00214A94" w:rsidRPr="007D2B92" w:rsidRDefault="00214A94" w:rsidP="00CC6BB6">
            <w:pPr>
              <w:pStyle w:val="Tabletext"/>
            </w:pPr>
          </w:p>
          <w:p w:rsidR="002B62A4" w:rsidRPr="007D2B92" w:rsidRDefault="00214A94" w:rsidP="00CC6BB6">
            <w:pPr>
              <w:pStyle w:val="Tabletext"/>
            </w:pPr>
            <w:r w:rsidRPr="007D2B92">
              <w:t>Routine</w:t>
            </w:r>
            <w:r w:rsidR="002B62A4" w:rsidRPr="007D2B92">
              <w:t xml:space="preserve"> </w:t>
            </w:r>
            <w:r w:rsidRPr="007D2B92">
              <w:t>NIP indication</w:t>
            </w:r>
            <w:r w:rsidR="002B62A4" w:rsidRPr="007D2B92">
              <w:t xml:space="preserve">: </w:t>
            </w:r>
          </w:p>
          <w:p w:rsidR="002B62A4" w:rsidRPr="007D2B92" w:rsidRDefault="002B62A4" w:rsidP="00CC6BB6">
            <w:pPr>
              <w:pStyle w:val="Tabletext"/>
            </w:pPr>
            <w:r w:rsidRPr="007D2B92">
              <w:t>•</w:t>
            </w:r>
            <w:r w:rsidRPr="007D2B92">
              <w:tab/>
              <w:t xml:space="preserve">A single dose of </w:t>
            </w:r>
            <w:proofErr w:type="spellStart"/>
            <w:r w:rsidRPr="007D2B92">
              <w:t>Menveo</w:t>
            </w:r>
            <w:proofErr w:type="spellEnd"/>
            <w:r w:rsidRPr="007D2B92">
              <w:t xml:space="preserve"> (</w:t>
            </w:r>
            <w:proofErr w:type="spellStart"/>
            <w:r w:rsidRPr="007D2B92">
              <w:t>MenACWY</w:t>
            </w:r>
            <w:proofErr w:type="spellEnd"/>
            <w:r w:rsidRPr="007D2B92">
              <w:t xml:space="preserve">-CRM) for adolescents aged </w:t>
            </w:r>
            <w:r w:rsidR="00214A94" w:rsidRPr="007D2B92">
              <w:rPr>
                <w:i/>
              </w:rPr>
              <w:t>14 to 16</w:t>
            </w:r>
            <w:r w:rsidR="00214A94" w:rsidRPr="007D2B92">
              <w:t xml:space="preserve"> </w:t>
            </w:r>
            <w:r w:rsidRPr="007D2B92">
              <w:rPr>
                <w:strike/>
              </w:rPr>
              <w:t>approximately 15</w:t>
            </w:r>
            <w:r w:rsidRPr="007D2B92">
              <w:t xml:space="preserve"> years old </w:t>
            </w:r>
            <w:r w:rsidR="00C608E7" w:rsidRPr="007D2B92">
              <w:t>(</w:t>
            </w:r>
            <w:r w:rsidRPr="007D2B92">
              <w:t>administer</w:t>
            </w:r>
            <w:r w:rsidR="00214A94" w:rsidRPr="007D2B92">
              <w:t>ed via a school-based program *</w:t>
            </w:r>
            <w:r w:rsidR="00C608E7" w:rsidRPr="007D2B92">
              <w:t xml:space="preserve"> OR</w:t>
            </w:r>
          </w:p>
          <w:p w:rsidR="002B62A4" w:rsidRPr="007D2B92" w:rsidRDefault="002B62A4" w:rsidP="00CC6BB6">
            <w:pPr>
              <w:pStyle w:val="Tabletext"/>
            </w:pPr>
            <w:r w:rsidRPr="007D2B92">
              <w:t>•</w:t>
            </w:r>
            <w:r w:rsidRPr="007D2B92">
              <w:tab/>
              <w:t xml:space="preserve">A single dose of </w:t>
            </w:r>
            <w:proofErr w:type="spellStart"/>
            <w:r w:rsidRPr="007D2B92">
              <w:t>Menveo</w:t>
            </w:r>
            <w:proofErr w:type="spellEnd"/>
            <w:r w:rsidRPr="007D2B92">
              <w:t xml:space="preserve"> (</w:t>
            </w:r>
            <w:proofErr w:type="spellStart"/>
            <w:r w:rsidRPr="007D2B92">
              <w:t>MenACWY</w:t>
            </w:r>
            <w:proofErr w:type="spellEnd"/>
            <w:r w:rsidRPr="007D2B92">
              <w:t>-CRM) for adolescents aged up to 19 years administered via a school</w:t>
            </w:r>
            <w:r w:rsidR="00877E89" w:rsidRPr="007D2B92">
              <w:noBreakHyphen/>
            </w:r>
            <w:r w:rsidRPr="007D2B92">
              <w:t>based catch-up program or accessed via the GP</w:t>
            </w:r>
            <w:r w:rsidR="00214A94" w:rsidRPr="007D2B92">
              <w:t xml:space="preserve"> </w:t>
            </w:r>
            <w:r w:rsidR="00214A94" w:rsidRPr="007D2B92">
              <w:rPr>
                <w:i/>
              </w:rPr>
              <w:t>(school-leavers)</w:t>
            </w:r>
            <w:r w:rsidRPr="007D2B92">
              <w:t>.</w:t>
            </w:r>
            <w:r w:rsidR="00214A94" w:rsidRPr="007D2B92">
              <w:t>**</w:t>
            </w:r>
          </w:p>
          <w:p w:rsidR="002B62A4" w:rsidRPr="007D2B92" w:rsidRDefault="002B62A4" w:rsidP="00CC6BB6">
            <w:pPr>
              <w:pStyle w:val="Tabletext"/>
              <w:rPr>
                <w:b/>
              </w:rPr>
            </w:pPr>
          </w:p>
          <w:p w:rsidR="00214A94" w:rsidRPr="007D2B92" w:rsidRDefault="00214A94" w:rsidP="00CC6BB6">
            <w:pPr>
              <w:pStyle w:val="Tabletext"/>
            </w:pPr>
            <w:r w:rsidRPr="007D2B92">
              <w:t>At high risk of developing IMD NIP indication:</w:t>
            </w:r>
          </w:p>
          <w:p w:rsidR="00214A94" w:rsidRPr="007D2B92" w:rsidRDefault="00214A94" w:rsidP="00214A94">
            <w:pPr>
              <w:pStyle w:val="Tabletext"/>
            </w:pPr>
            <w:r w:rsidRPr="007D2B92">
              <w:t>•</w:t>
            </w:r>
            <w:r w:rsidRPr="007D2B92">
              <w:tab/>
              <w:t xml:space="preserve">Two doses of </w:t>
            </w:r>
            <w:proofErr w:type="spellStart"/>
            <w:r w:rsidRPr="007D2B92">
              <w:t>Menveo</w:t>
            </w:r>
            <w:proofErr w:type="spellEnd"/>
            <w:r w:rsidRPr="007D2B92">
              <w:t xml:space="preserve"> (</w:t>
            </w:r>
            <w:proofErr w:type="spellStart"/>
            <w:r w:rsidRPr="007D2B92">
              <w:t>MenACWY</w:t>
            </w:r>
            <w:proofErr w:type="spellEnd"/>
            <w:r w:rsidRPr="007D2B92">
              <w:t xml:space="preserve">-CRM) for adolescents aged </w:t>
            </w:r>
            <w:r w:rsidRPr="007D2B92">
              <w:rPr>
                <w:i/>
              </w:rPr>
              <w:t>14 to 16</w:t>
            </w:r>
            <w:r w:rsidRPr="007D2B92">
              <w:t xml:space="preserve"> </w:t>
            </w:r>
            <w:r w:rsidRPr="007D2B92">
              <w:rPr>
                <w:strike/>
              </w:rPr>
              <w:t>approximately 15</w:t>
            </w:r>
            <w:r w:rsidRPr="007D2B92">
              <w:t xml:space="preserve"> years old </w:t>
            </w:r>
            <w:r w:rsidR="00C608E7" w:rsidRPr="007D2B92">
              <w:t xml:space="preserve">(Year </w:t>
            </w:r>
            <w:r w:rsidR="00C608E7" w:rsidRPr="007D2B92">
              <w:rPr>
                <w:strike/>
              </w:rPr>
              <w:t xml:space="preserve">9 or </w:t>
            </w:r>
            <w:r w:rsidR="00C608E7" w:rsidRPr="007D2B92">
              <w:t xml:space="preserve">10 students) </w:t>
            </w:r>
            <w:r w:rsidRPr="007D2B92">
              <w:t xml:space="preserve">administered </w:t>
            </w:r>
            <w:r w:rsidR="00C608E7" w:rsidRPr="007D2B92">
              <w:t>via a school-based program * OR</w:t>
            </w:r>
          </w:p>
          <w:p w:rsidR="00214A94" w:rsidRPr="007D2B92" w:rsidRDefault="00214A94" w:rsidP="00214A94">
            <w:pPr>
              <w:pStyle w:val="Tabletext"/>
            </w:pPr>
            <w:r w:rsidRPr="007D2B92">
              <w:t>•</w:t>
            </w:r>
            <w:r w:rsidRPr="007D2B92">
              <w:tab/>
              <w:t xml:space="preserve">Two doses of </w:t>
            </w:r>
            <w:proofErr w:type="spellStart"/>
            <w:r w:rsidRPr="007D2B92">
              <w:t>Menveo</w:t>
            </w:r>
            <w:proofErr w:type="spellEnd"/>
            <w:r w:rsidRPr="007D2B92">
              <w:t xml:space="preserve"> (</w:t>
            </w:r>
            <w:proofErr w:type="spellStart"/>
            <w:r w:rsidRPr="007D2B92">
              <w:t>MenACWY</w:t>
            </w:r>
            <w:proofErr w:type="spellEnd"/>
            <w:r w:rsidRPr="007D2B92">
              <w:t xml:space="preserve">-CRM) for adolescents aged up to 19 years administered via a school-based catch-up program or accessed via the GP </w:t>
            </w:r>
            <w:r w:rsidRPr="007D2B92">
              <w:rPr>
                <w:i/>
              </w:rPr>
              <w:t>(school-leavers)</w:t>
            </w:r>
            <w:r w:rsidRPr="007D2B92">
              <w:t>.**</w:t>
            </w:r>
          </w:p>
          <w:p w:rsidR="00214A94" w:rsidRPr="007D2B92" w:rsidRDefault="00214A94" w:rsidP="00CC6BB6">
            <w:pPr>
              <w:pStyle w:val="Tabletext"/>
            </w:pPr>
          </w:p>
          <w:p w:rsidR="00C608E7" w:rsidRPr="007D2B92" w:rsidRDefault="00C608E7" w:rsidP="00C608E7">
            <w:pPr>
              <w:pStyle w:val="Tabletext"/>
              <w:ind w:left="388" w:hanging="388"/>
            </w:pPr>
            <w:r w:rsidRPr="007D2B92">
              <w:t xml:space="preserve">* For all adolescents in </w:t>
            </w:r>
            <w:r w:rsidRPr="007D2B92">
              <w:rPr>
                <w:strike/>
              </w:rPr>
              <w:t>year 9 or</w:t>
            </w:r>
            <w:r w:rsidRPr="007D2B92">
              <w:t xml:space="preserve"> year 10.</w:t>
            </w:r>
          </w:p>
          <w:p w:rsidR="002B62A4" w:rsidRPr="007D2B92" w:rsidRDefault="00C608E7" w:rsidP="00C608E7">
            <w:pPr>
              <w:pStyle w:val="Tabletext"/>
              <w:rPr>
                <w:i/>
              </w:rPr>
            </w:pPr>
            <w:r w:rsidRPr="007D2B92">
              <w:t xml:space="preserve">** For all adolescents </w:t>
            </w:r>
            <w:r w:rsidRPr="007D2B92">
              <w:rPr>
                <w:i/>
              </w:rPr>
              <w:t>in year 11 and 12 (or school-leavers)</w:t>
            </w:r>
            <w:r w:rsidRPr="007D2B92">
              <w:rPr>
                <w:strike/>
              </w:rPr>
              <w:t xml:space="preserve"> (16-19 years old)</w:t>
            </w:r>
            <w:r w:rsidRPr="007D2B92">
              <w:t xml:space="preserve"> who did not receive the vaccination </w:t>
            </w:r>
            <w:r w:rsidRPr="007D2B92">
              <w:rPr>
                <w:strike/>
              </w:rPr>
              <w:t>through the routine vaccination</w:t>
            </w:r>
            <w:r w:rsidRPr="007D2B92">
              <w:t xml:space="preserve"> </w:t>
            </w:r>
            <w:r w:rsidRPr="007D2B92">
              <w:rPr>
                <w:i/>
              </w:rPr>
              <w:t>in year 10.</w:t>
            </w:r>
          </w:p>
        </w:tc>
      </w:tr>
    </w:tbl>
    <w:p w:rsidR="002B62A4" w:rsidRPr="007D2B92" w:rsidRDefault="002B62A4" w:rsidP="002B62A4">
      <w:pPr>
        <w:pStyle w:val="TableFooter"/>
        <w:rPr>
          <w:i/>
        </w:rPr>
      </w:pPr>
      <w:r w:rsidRPr="007D2B92">
        <w:rPr>
          <w:i/>
        </w:rPr>
        <w:t xml:space="preserve">Source: compiled during the evaluation based on section 1.4, p32 of the submission. </w:t>
      </w:r>
    </w:p>
    <w:p w:rsidR="002B62A4" w:rsidRPr="007D2B92" w:rsidRDefault="002B62A4" w:rsidP="004B1CB4"/>
    <w:p w:rsidR="003B64FD" w:rsidRPr="007D2B92" w:rsidRDefault="00214A94" w:rsidP="00E871D5">
      <w:pPr>
        <w:pStyle w:val="ListParagraph"/>
        <w:numPr>
          <w:ilvl w:val="1"/>
          <w:numId w:val="1"/>
        </w:numPr>
        <w:spacing w:after="120"/>
      </w:pPr>
      <w:r w:rsidRPr="007D2B92">
        <w:t xml:space="preserve">The submission requested two NIP </w:t>
      </w:r>
      <w:r w:rsidR="00EF54DD" w:rsidRPr="007D2B92">
        <w:t>doses</w:t>
      </w:r>
      <w:r w:rsidRPr="007D2B92">
        <w:t xml:space="preserve"> – one for routine vaccination</w:t>
      </w:r>
      <w:r w:rsidR="00721469" w:rsidRPr="007D2B92">
        <w:t xml:space="preserve"> of the proposed population</w:t>
      </w:r>
      <w:r w:rsidRPr="007D2B92">
        <w:t xml:space="preserve">, and </w:t>
      </w:r>
      <w:r w:rsidR="00721469" w:rsidRPr="007D2B92">
        <w:t>an additional</w:t>
      </w:r>
      <w:r w:rsidRPr="007D2B92">
        <w:t xml:space="preserve"> dose for adolescents </w:t>
      </w:r>
      <w:r w:rsidR="00F64399" w:rsidRPr="007D2B92">
        <w:t>with medical conditions that increase the risk</w:t>
      </w:r>
      <w:r w:rsidR="00F64399" w:rsidRPr="007D2B92" w:rsidDel="00F64399">
        <w:t xml:space="preserve"> </w:t>
      </w:r>
      <w:r w:rsidRPr="007D2B92">
        <w:t>of developing IMD</w:t>
      </w:r>
      <w:r w:rsidR="00853484" w:rsidRPr="007D2B92">
        <w:t>, as defined i</w:t>
      </w:r>
      <w:r w:rsidR="002E03C8" w:rsidRPr="007D2B92">
        <w:t>n the Australian Immunisation H</w:t>
      </w:r>
      <w:r w:rsidR="00853484" w:rsidRPr="007D2B92">
        <w:t>andbook (Part 4.10.7, List 4.10.1)</w:t>
      </w:r>
      <w:r w:rsidRPr="007D2B92">
        <w:t>.</w:t>
      </w:r>
      <w:r w:rsidR="00037057" w:rsidRPr="007D2B92">
        <w:t xml:space="preserve"> This differed from the </w:t>
      </w:r>
      <w:r w:rsidR="00325E66" w:rsidRPr="007D2B92">
        <w:t xml:space="preserve">PBAC’s </w:t>
      </w:r>
      <w:r w:rsidR="00037057" w:rsidRPr="007D2B92">
        <w:t xml:space="preserve">recommended NIP listing for </w:t>
      </w:r>
      <w:r w:rsidR="00325E66" w:rsidRPr="007D2B92">
        <w:t xml:space="preserve">the </w:t>
      </w:r>
      <w:r w:rsidR="00325E66" w:rsidRPr="007D2B92">
        <w:rPr>
          <w:rFonts w:asciiTheme="minorHAnsi" w:hAnsiTheme="minorHAnsi" w:cstheme="minorHAnsi"/>
          <w:bCs/>
          <w:szCs w:val="24"/>
        </w:rPr>
        <w:t>meningococcal polysaccharide serogroups A, C, W135 and Y tetanus toxoid conjugate</w:t>
      </w:r>
      <w:r w:rsidR="00325E66" w:rsidRPr="007D2B92">
        <w:t xml:space="preserve"> vaccine (</w:t>
      </w:r>
      <w:proofErr w:type="spellStart"/>
      <w:r w:rsidR="00325E66" w:rsidRPr="007D2B92">
        <w:t>MenACWY</w:t>
      </w:r>
      <w:proofErr w:type="spellEnd"/>
      <w:r w:rsidR="00325E66" w:rsidRPr="007D2B92">
        <w:t xml:space="preserve">-TT, </w:t>
      </w:r>
      <w:proofErr w:type="spellStart"/>
      <w:r w:rsidR="00325E66" w:rsidRPr="007D2B92">
        <w:t>Nimenrix</w:t>
      </w:r>
      <w:proofErr w:type="spellEnd"/>
      <w:r w:rsidR="00325E66" w:rsidRPr="007D2B92">
        <w:t xml:space="preserve">®) </w:t>
      </w:r>
      <w:r w:rsidR="00037057" w:rsidRPr="007D2B92">
        <w:t>which did not include a</w:t>
      </w:r>
      <w:r w:rsidR="002E03C8" w:rsidRPr="007D2B92">
        <w:t xml:space="preserve"> request for an</w:t>
      </w:r>
      <w:r w:rsidR="00037057" w:rsidRPr="007D2B92">
        <w:t xml:space="preserve"> additional dose</w:t>
      </w:r>
      <w:r w:rsidR="002E03C8" w:rsidRPr="007D2B92">
        <w:t xml:space="preserve"> for the at-r</w:t>
      </w:r>
      <w:r w:rsidR="00C554E3">
        <w:t>i</w:t>
      </w:r>
      <w:r w:rsidR="002E03C8" w:rsidRPr="007D2B92">
        <w:t>sk population</w:t>
      </w:r>
      <w:r w:rsidR="00037057" w:rsidRPr="007D2B92">
        <w:t>.</w:t>
      </w:r>
      <w:r w:rsidR="00037057" w:rsidRPr="007D2B92" w:rsidDel="00037057">
        <w:t xml:space="preserve"> </w:t>
      </w:r>
      <w:r w:rsidR="00AB0CBE" w:rsidRPr="007D2B92">
        <w:t>The</w:t>
      </w:r>
      <w:r w:rsidR="004B483A" w:rsidRPr="007D2B92">
        <w:t xml:space="preserve"> ESC noted that although there was no proposed duration between </w:t>
      </w:r>
      <w:r w:rsidR="00E032BA" w:rsidRPr="007D2B92">
        <w:t xml:space="preserve">the two </w:t>
      </w:r>
      <w:r w:rsidR="004B483A" w:rsidRPr="007D2B92">
        <w:t xml:space="preserve">doses for the at-risk population, the Australian Immunisation Handbook (Table 4.10.2) recommends that the second dose of </w:t>
      </w:r>
      <w:proofErr w:type="spellStart"/>
      <w:r w:rsidR="004B483A" w:rsidRPr="007D2B92">
        <w:t>MenACWY</w:t>
      </w:r>
      <w:proofErr w:type="spellEnd"/>
      <w:r w:rsidR="004B483A" w:rsidRPr="007D2B92">
        <w:t xml:space="preserve"> vaccine be given at an interval of 8 weeks for those aged over 7 years.</w:t>
      </w:r>
      <w:r w:rsidR="004B483A" w:rsidRPr="007D2B92">
        <w:rPr>
          <w:rStyle w:val="FootnoteReference"/>
        </w:rPr>
        <w:footnoteReference w:id="1"/>
      </w:r>
      <w:r w:rsidR="004B483A" w:rsidRPr="007D2B92">
        <w:t xml:space="preserve"> </w:t>
      </w:r>
      <w:r w:rsidR="002E7011" w:rsidRPr="007D2B92">
        <w:t xml:space="preserve">The Australian Immunisation Handbook also recommends that the at-risk patient population receive a booster dose every 5 years after the previous dose of </w:t>
      </w:r>
      <w:proofErr w:type="spellStart"/>
      <w:r w:rsidR="002E7011" w:rsidRPr="007D2B92">
        <w:t>MenACWY</w:t>
      </w:r>
      <w:proofErr w:type="spellEnd"/>
      <w:r w:rsidR="002E7011" w:rsidRPr="007D2B92">
        <w:t>. The submission did not include a request for these booster doses.</w:t>
      </w:r>
    </w:p>
    <w:p w:rsidR="002B62A4" w:rsidRPr="007D2B92" w:rsidRDefault="002B62A4" w:rsidP="003B64FD">
      <w:pPr>
        <w:pStyle w:val="ListParagraph"/>
        <w:widowControl/>
        <w:numPr>
          <w:ilvl w:val="1"/>
          <w:numId w:val="1"/>
        </w:numPr>
        <w:spacing w:after="120"/>
      </w:pPr>
      <w:r w:rsidRPr="007D2B92">
        <w:t>The submission proposed an ex-manufacturer price of $</w:t>
      </w:r>
      <w:r w:rsidR="00346D40">
        <w:rPr>
          <w:noProof/>
          <w:color w:val="000000"/>
          <w:highlight w:val="black"/>
        </w:rPr>
        <w:t>'''''''''''</w:t>
      </w:r>
      <w:r w:rsidR="0069397B" w:rsidRPr="007D2B92">
        <w:t xml:space="preserve"> per dose of </w:t>
      </w:r>
      <w:proofErr w:type="spellStart"/>
      <w:r w:rsidR="0069397B" w:rsidRPr="007D2B92">
        <w:t>MenACWY</w:t>
      </w:r>
      <w:proofErr w:type="spellEnd"/>
      <w:r w:rsidR="0069397B" w:rsidRPr="007D2B92">
        <w:t>-CRM</w:t>
      </w:r>
      <w:r w:rsidR="008C38E6" w:rsidRPr="007D2B92">
        <w:t>,</w:t>
      </w:r>
      <w:r w:rsidRPr="007D2B92">
        <w:t xml:space="preserve"> </w:t>
      </w:r>
      <w:r w:rsidR="001068CC" w:rsidRPr="007D2B92">
        <w:t>based on</w:t>
      </w:r>
      <w:r w:rsidRPr="007D2B92">
        <w:t xml:space="preserve"> the </w:t>
      </w:r>
      <w:r w:rsidR="008B6564" w:rsidRPr="007D2B92">
        <w:t xml:space="preserve">nationally negotiated price for the </w:t>
      </w:r>
      <w:proofErr w:type="spellStart"/>
      <w:r w:rsidRPr="007D2B92">
        <w:t>MenC</w:t>
      </w:r>
      <w:proofErr w:type="spellEnd"/>
      <w:r w:rsidRPr="007D2B92">
        <w:t xml:space="preserve"> component of </w:t>
      </w:r>
      <w:r w:rsidR="00C52649" w:rsidRPr="007D2B92">
        <w:t>Hib-</w:t>
      </w:r>
      <w:proofErr w:type="spellStart"/>
      <w:r w:rsidR="00C52649" w:rsidRPr="007D2B92">
        <w:t>MenC</w:t>
      </w:r>
      <w:proofErr w:type="spellEnd"/>
      <w:r w:rsidR="00C52649" w:rsidRPr="007D2B92">
        <w:t xml:space="preserve"> conjugate vaccine</w:t>
      </w:r>
      <w:r w:rsidR="00882635" w:rsidRPr="007D2B92">
        <w:t xml:space="preserve"> which is NIP listed for use in infants</w:t>
      </w:r>
      <w:r w:rsidR="00C52649" w:rsidRPr="007D2B92">
        <w:t>.</w:t>
      </w:r>
      <w:r w:rsidR="003B64FD" w:rsidRPr="007D2B92">
        <w:t xml:space="preserve"> </w:t>
      </w:r>
    </w:p>
    <w:p w:rsidR="00E66A3E" w:rsidRPr="007D2B92" w:rsidRDefault="00427ABE" w:rsidP="007D4B83">
      <w:pPr>
        <w:pStyle w:val="ListParagraph"/>
        <w:numPr>
          <w:ilvl w:val="1"/>
          <w:numId w:val="1"/>
        </w:numPr>
        <w:spacing w:after="120"/>
      </w:pPr>
      <w:r w:rsidRPr="007D2B92">
        <w:lastRenderedPageBreak/>
        <w:t>The submission estimated the cost of the catch-up program for Year 1 (2019) only, suggesting that the catch-up program is a short-term, non-ongoing program. Specifically, t</w:t>
      </w:r>
      <w:r w:rsidR="006D14BD" w:rsidRPr="007D2B92">
        <w:t xml:space="preserve">he submission stated that “The Australian population aged 16-19 years is only included for the first forecast year, as this represents patients in a catch-up program and is not an ongoing eligible population. Although there may be a degree of uncertainty as to whether all adolescents eligible for a catch-up vaccination will be vaccinated in the first year of listing, this calculation nevertheless represents the total eligible population for a catch-up dose”. </w:t>
      </w:r>
    </w:p>
    <w:p w:rsidR="009835BA" w:rsidRPr="007D2B92" w:rsidRDefault="009835BA" w:rsidP="009835BA">
      <w:pPr>
        <w:pStyle w:val="PBACHeading1"/>
        <w:rPr>
          <w:b w:val="0"/>
          <w:i/>
          <w:sz w:val="24"/>
          <w:szCs w:val="24"/>
        </w:rPr>
      </w:pPr>
      <w:r w:rsidRPr="007D2B92">
        <w:rPr>
          <w:b w:val="0"/>
          <w:i/>
          <w:sz w:val="24"/>
          <w:szCs w:val="24"/>
        </w:rPr>
        <w:t>For more detail on PBAC’s view, see section 7 PBAC outcome.</w:t>
      </w:r>
    </w:p>
    <w:p w:rsidR="004C2B33" w:rsidRPr="007D2B92" w:rsidRDefault="00B50DB8" w:rsidP="00AC4F30">
      <w:pPr>
        <w:pStyle w:val="PBACHeading1"/>
        <w:numPr>
          <w:ilvl w:val="0"/>
          <w:numId w:val="1"/>
        </w:numPr>
        <w:spacing w:before="240" w:after="120"/>
        <w:outlineLvl w:val="0"/>
      </w:pPr>
      <w:bookmarkStart w:id="2" w:name="_Toc515358800"/>
      <w:r w:rsidRPr="007D2B92">
        <w:t>Background</w:t>
      </w:r>
      <w:bookmarkEnd w:id="2"/>
    </w:p>
    <w:p w:rsidR="00B60939" w:rsidRPr="007D2B92" w:rsidRDefault="00591957" w:rsidP="00ED236B">
      <w:pPr>
        <w:pStyle w:val="Heading2"/>
        <w:spacing w:after="120"/>
        <w:rPr>
          <w:i w:val="0"/>
        </w:rPr>
      </w:pPr>
      <w:r w:rsidRPr="007D2B92">
        <w:rPr>
          <w:i w:val="0"/>
        </w:rPr>
        <w:t>Registration status</w:t>
      </w:r>
    </w:p>
    <w:p w:rsidR="00CF5D48" w:rsidRPr="007D2B92" w:rsidRDefault="00CF5D48" w:rsidP="007D4B83">
      <w:pPr>
        <w:pStyle w:val="ListParagraph"/>
        <w:widowControl/>
        <w:numPr>
          <w:ilvl w:val="1"/>
          <w:numId w:val="1"/>
        </w:numPr>
        <w:spacing w:after="120"/>
      </w:pPr>
      <w:r w:rsidRPr="007D2B92">
        <w:t xml:space="preserve">The </w:t>
      </w:r>
      <w:proofErr w:type="spellStart"/>
      <w:r w:rsidRPr="007D2B92">
        <w:t>MenACWY</w:t>
      </w:r>
      <w:proofErr w:type="spellEnd"/>
      <w:r w:rsidRPr="007D2B92">
        <w:t>-CRM vaccine was registered</w:t>
      </w:r>
      <w:r w:rsidR="00DA31EC" w:rsidRPr="007D2B92">
        <w:t xml:space="preserve"> on the ARTG on 20 May 2010 for: </w:t>
      </w:r>
      <w:r w:rsidRPr="007D2B92">
        <w:t xml:space="preserve">active immunisation of infants and children (from 2 months of age), adolescents and adults to prevent invasive disease caused by Neisseria </w:t>
      </w:r>
      <w:proofErr w:type="spellStart"/>
      <w:r w:rsidRPr="007D2B92">
        <w:t>meningitidis</w:t>
      </w:r>
      <w:proofErr w:type="spellEnd"/>
      <w:r w:rsidRPr="007D2B92">
        <w:t xml:space="preserve"> serogroups A, C, W</w:t>
      </w:r>
      <w:r w:rsidR="00654C76" w:rsidRPr="007D2B92">
        <w:t>-</w:t>
      </w:r>
      <w:r w:rsidRPr="007D2B92">
        <w:t>135 and Y.</w:t>
      </w:r>
    </w:p>
    <w:p w:rsidR="0078423F" w:rsidRPr="007D2B92" w:rsidRDefault="0078423F" w:rsidP="00ED236B">
      <w:pPr>
        <w:pStyle w:val="Heading2"/>
        <w:spacing w:after="120"/>
        <w:rPr>
          <w:i w:val="0"/>
        </w:rPr>
      </w:pPr>
      <w:r w:rsidRPr="007D2B92">
        <w:rPr>
          <w:i w:val="0"/>
        </w:rPr>
        <w:t>Previous PBAC consideration</w:t>
      </w:r>
    </w:p>
    <w:p w:rsidR="00445659" w:rsidRPr="007D2B92" w:rsidRDefault="00740248" w:rsidP="007D4B83">
      <w:pPr>
        <w:pStyle w:val="ListParagraph"/>
        <w:widowControl/>
        <w:numPr>
          <w:ilvl w:val="1"/>
          <w:numId w:val="1"/>
        </w:numPr>
        <w:spacing w:after="120"/>
      </w:pPr>
      <w:r w:rsidRPr="007D2B92">
        <w:t>The PBAC had</w:t>
      </w:r>
      <w:r w:rsidR="00445659" w:rsidRPr="007D2B92">
        <w:t xml:space="preserve"> not previously considered the </w:t>
      </w:r>
      <w:proofErr w:type="spellStart"/>
      <w:r w:rsidR="00445659" w:rsidRPr="007D2B92">
        <w:t>MenACWY</w:t>
      </w:r>
      <w:proofErr w:type="spellEnd"/>
      <w:r w:rsidR="00445659" w:rsidRPr="007D2B92">
        <w:t>-CRM vaccine.</w:t>
      </w:r>
    </w:p>
    <w:p w:rsidR="00325E66" w:rsidRPr="007D2B92" w:rsidRDefault="00325E66" w:rsidP="00325E66">
      <w:pPr>
        <w:pStyle w:val="ListParagraph"/>
        <w:widowControl/>
        <w:numPr>
          <w:ilvl w:val="1"/>
          <w:numId w:val="1"/>
        </w:numPr>
        <w:spacing w:after="120"/>
      </w:pPr>
      <w:r w:rsidRPr="007D2B92">
        <w:t xml:space="preserve">The PBAC recommended listing </w:t>
      </w:r>
      <w:proofErr w:type="spellStart"/>
      <w:r w:rsidRPr="007D2B92">
        <w:t>MenACWY</w:t>
      </w:r>
      <w:proofErr w:type="spellEnd"/>
      <w:r w:rsidRPr="007D2B92">
        <w:t>-TT (</w:t>
      </w:r>
      <w:proofErr w:type="spellStart"/>
      <w:r w:rsidRPr="007D2B92">
        <w:t>Nimenrix</w:t>
      </w:r>
      <w:proofErr w:type="spellEnd"/>
      <w:r w:rsidRPr="007D2B92">
        <w:t>®) on the NIP for adolescents in March 2018.</w:t>
      </w:r>
      <w:r w:rsidRPr="007D2B92">
        <w:rPr>
          <w:rStyle w:val="FootnoteReference"/>
        </w:rPr>
        <w:footnoteReference w:id="2"/>
      </w:r>
      <w:r w:rsidRPr="007D2B92">
        <w:t xml:space="preserve"> The PBAC</w:t>
      </w:r>
      <w:r w:rsidRPr="007D2B92">
        <w:rPr>
          <w:i/>
        </w:rPr>
        <w:t xml:space="preserve"> </w:t>
      </w:r>
      <w:r w:rsidRPr="007D2B92">
        <w:t xml:space="preserve">also recommended </w:t>
      </w:r>
      <w:proofErr w:type="spellStart"/>
      <w:r w:rsidRPr="007D2B92">
        <w:t>MenACWY</w:t>
      </w:r>
      <w:proofErr w:type="spellEnd"/>
      <w:r w:rsidRPr="007D2B92">
        <w:t>-TT for listing on the NIP for infants in January 2018</w:t>
      </w:r>
      <w:r w:rsidR="008173AE" w:rsidRPr="007D2B92">
        <w:rPr>
          <w:rStyle w:val="FootnoteReference"/>
        </w:rPr>
        <w:footnoteReference w:id="3"/>
      </w:r>
      <w:r w:rsidRPr="007D2B92">
        <w:t>.</w:t>
      </w:r>
    </w:p>
    <w:p w:rsidR="00B50DB8" w:rsidRPr="007D2B92" w:rsidRDefault="00203181" w:rsidP="00AC4F30">
      <w:pPr>
        <w:pStyle w:val="PBACHeading1"/>
        <w:keepNext/>
        <w:numPr>
          <w:ilvl w:val="0"/>
          <w:numId w:val="1"/>
        </w:numPr>
        <w:spacing w:before="240" w:after="120"/>
        <w:outlineLvl w:val="0"/>
      </w:pPr>
      <w:bookmarkStart w:id="3" w:name="_Toc515358801"/>
      <w:r w:rsidRPr="007D2B92">
        <w:t xml:space="preserve">Population and </w:t>
      </w:r>
      <w:r w:rsidR="008E0D3C" w:rsidRPr="007D2B92">
        <w:t>d</w:t>
      </w:r>
      <w:r w:rsidRPr="007D2B92">
        <w:t>isease</w:t>
      </w:r>
      <w:bookmarkEnd w:id="3"/>
    </w:p>
    <w:p w:rsidR="0037426E" w:rsidRPr="007D2B92" w:rsidRDefault="0037426E" w:rsidP="00253A1D">
      <w:pPr>
        <w:pStyle w:val="ListParagraph"/>
        <w:widowControl/>
        <w:numPr>
          <w:ilvl w:val="1"/>
          <w:numId w:val="1"/>
        </w:numPr>
        <w:spacing w:after="120"/>
      </w:pPr>
      <w:r w:rsidRPr="007D2B92">
        <w:rPr>
          <w:szCs w:val="24"/>
        </w:rPr>
        <w:t xml:space="preserve">IMD is a rare disease caused by the bacterium Neisseria </w:t>
      </w:r>
      <w:proofErr w:type="spellStart"/>
      <w:r w:rsidRPr="007D2B92">
        <w:rPr>
          <w:szCs w:val="24"/>
        </w:rPr>
        <w:t>meningitidis</w:t>
      </w:r>
      <w:proofErr w:type="spellEnd"/>
      <w:r w:rsidRPr="007D2B92">
        <w:rPr>
          <w:szCs w:val="24"/>
        </w:rPr>
        <w:t>. IMD can also cause meningitis and septicaemia. Meningococcal disease can progress rapidly to serious disease and have a high mortality rate (5</w:t>
      </w:r>
      <w:r w:rsidR="008C38E6" w:rsidRPr="007D2B92">
        <w:rPr>
          <w:szCs w:val="24"/>
        </w:rPr>
        <w:t>-</w:t>
      </w:r>
      <w:r w:rsidRPr="007D2B92">
        <w:rPr>
          <w:szCs w:val="24"/>
        </w:rPr>
        <w:t>10%), despite appropriate antibiotic therapy. About 10</w:t>
      </w:r>
      <w:r w:rsidR="00BA1114" w:rsidRPr="007D2B92">
        <w:rPr>
          <w:szCs w:val="24"/>
        </w:rPr>
        <w:t>-</w:t>
      </w:r>
      <w:r w:rsidRPr="007D2B92">
        <w:rPr>
          <w:szCs w:val="24"/>
        </w:rPr>
        <w:t xml:space="preserve">30% of meningococcal disease </w:t>
      </w:r>
      <w:r w:rsidR="008C38E6" w:rsidRPr="007D2B92">
        <w:rPr>
          <w:szCs w:val="24"/>
        </w:rPr>
        <w:t xml:space="preserve">survivors </w:t>
      </w:r>
      <w:r w:rsidRPr="007D2B92">
        <w:rPr>
          <w:szCs w:val="24"/>
        </w:rPr>
        <w:t>have permanent sequelae</w:t>
      </w:r>
      <w:r w:rsidR="00253A1D" w:rsidRPr="007D2B92">
        <w:rPr>
          <w:szCs w:val="24"/>
        </w:rPr>
        <w:t>, including limb deformity, skin scarring, deafness and neurologic deficits</w:t>
      </w:r>
      <w:r w:rsidR="00B21B0E" w:rsidRPr="007D2B92">
        <w:rPr>
          <w:rStyle w:val="FootnoteReference"/>
          <w:szCs w:val="24"/>
        </w:rPr>
        <w:footnoteReference w:id="4"/>
      </w:r>
      <w:r w:rsidRPr="007D2B92">
        <w:rPr>
          <w:szCs w:val="24"/>
        </w:rPr>
        <w:t xml:space="preserve">. </w:t>
      </w:r>
      <w:r w:rsidR="00BA1114" w:rsidRPr="007D2B92">
        <w:rPr>
          <w:szCs w:val="24"/>
        </w:rPr>
        <w:lastRenderedPageBreak/>
        <w:t xml:space="preserve">Across age groups, </w:t>
      </w:r>
      <w:r w:rsidR="00C554E3" w:rsidRPr="007D2B92">
        <w:rPr>
          <w:szCs w:val="24"/>
        </w:rPr>
        <w:t>incidence</w:t>
      </w:r>
      <w:r w:rsidR="00BA1114" w:rsidRPr="007D2B92">
        <w:rPr>
          <w:szCs w:val="24"/>
        </w:rPr>
        <w:t xml:space="preserve"> </w:t>
      </w:r>
      <w:r w:rsidRPr="007D2B92">
        <w:rPr>
          <w:szCs w:val="24"/>
        </w:rPr>
        <w:t>peaks for infants and adolescents.</w:t>
      </w:r>
      <w:r w:rsidRPr="007D2B92">
        <w:t xml:space="preserve"> </w:t>
      </w:r>
      <w:r w:rsidRPr="007D2B92">
        <w:rPr>
          <w:szCs w:val="24"/>
        </w:rPr>
        <w:t>The case fatality rate for all cases of IMD is around 4.7%, however may be higher for MenW</w:t>
      </w:r>
      <w:r w:rsidRPr="007D2B92">
        <w:rPr>
          <w:szCs w:val="24"/>
          <w:vertAlign w:val="subscript"/>
        </w:rPr>
        <w:t>135</w:t>
      </w:r>
      <w:r w:rsidRPr="007D2B92">
        <w:rPr>
          <w:szCs w:val="24"/>
        </w:rPr>
        <w:t>.</w:t>
      </w:r>
      <w:r w:rsidRPr="007D2B92">
        <w:rPr>
          <w:rStyle w:val="FootnoteReference"/>
          <w:rFonts w:eastAsiaTheme="minorHAnsi"/>
          <w:szCs w:val="24"/>
        </w:rPr>
        <w:footnoteReference w:id="5"/>
      </w:r>
    </w:p>
    <w:p w:rsidR="0037426E" w:rsidRPr="007D2B92" w:rsidRDefault="0037426E" w:rsidP="007D4B83">
      <w:pPr>
        <w:pStyle w:val="ListParagraph"/>
        <w:widowControl/>
        <w:numPr>
          <w:ilvl w:val="1"/>
          <w:numId w:val="1"/>
        </w:numPr>
        <w:spacing w:after="120"/>
      </w:pPr>
      <w:r w:rsidRPr="007D2B92">
        <w:t xml:space="preserve">There has been an increase in the number of cases caused by </w:t>
      </w:r>
      <w:proofErr w:type="spellStart"/>
      <w:r w:rsidRPr="007D2B92">
        <w:t>MenW</w:t>
      </w:r>
      <w:proofErr w:type="spellEnd"/>
      <w:r w:rsidRPr="007D2B92">
        <w:t xml:space="preserve"> and </w:t>
      </w:r>
      <w:proofErr w:type="spellStart"/>
      <w:r w:rsidRPr="007D2B92">
        <w:t>MenY</w:t>
      </w:r>
      <w:proofErr w:type="spellEnd"/>
      <w:r w:rsidRPr="007D2B92">
        <w:t xml:space="preserve"> in recent years (see Figure 1).</w:t>
      </w:r>
      <w:r w:rsidR="007778B1" w:rsidRPr="007D2B92">
        <w:t xml:space="preserve"> The ESC noted the increase in total incidence of </w:t>
      </w:r>
      <w:r w:rsidR="00BC5064" w:rsidRPr="007D2B92">
        <w:t>m</w:t>
      </w:r>
      <w:r w:rsidR="007778B1" w:rsidRPr="007D2B92">
        <w:t xml:space="preserve">eningococcal disease is driven by the increase in Y and W strains (as well as serogroup B), and noted the high case fatality rate associated with W strain (ATAGI Pre-submission advice, P6). The ESC noted that a decrease in incidence of </w:t>
      </w:r>
      <w:r w:rsidR="00BC5064" w:rsidRPr="007D2B92">
        <w:t xml:space="preserve">C strain </w:t>
      </w:r>
      <w:r w:rsidR="007778B1" w:rsidRPr="007D2B92">
        <w:t xml:space="preserve">was seen after introduction of the </w:t>
      </w:r>
      <w:r w:rsidR="00BC5064" w:rsidRPr="007D2B92">
        <w:t xml:space="preserve">meningococcal C </w:t>
      </w:r>
      <w:r w:rsidR="007778B1" w:rsidRPr="007D2B92">
        <w:t>vaccine</w:t>
      </w:r>
      <w:r w:rsidR="00BC5064" w:rsidRPr="007D2B92">
        <w:t>.</w:t>
      </w:r>
      <w:r w:rsidR="007778B1" w:rsidRPr="007D2B92">
        <w:t xml:space="preserve"> </w:t>
      </w:r>
      <w:r w:rsidR="00BC5064" w:rsidRPr="007D2B92">
        <w:t>H</w:t>
      </w:r>
      <w:r w:rsidR="007778B1" w:rsidRPr="007D2B92">
        <w:t xml:space="preserve">owever, a range of factors remain unknown with regard to predicting efficacy for </w:t>
      </w:r>
      <w:proofErr w:type="spellStart"/>
      <w:r w:rsidR="007778B1" w:rsidRPr="007D2B92">
        <w:t>MenACWY</w:t>
      </w:r>
      <w:proofErr w:type="spellEnd"/>
      <w:r w:rsidR="007778B1" w:rsidRPr="007D2B92">
        <w:t>-CRM, including the unpredictability of the natural history of meningococcal disease.</w:t>
      </w:r>
    </w:p>
    <w:p w:rsidR="0037426E" w:rsidRPr="007D2B92" w:rsidRDefault="0037426E" w:rsidP="00C52649">
      <w:pPr>
        <w:keepNext/>
        <w:rPr>
          <w:rStyle w:val="CommentReference"/>
        </w:rPr>
      </w:pPr>
      <w:r w:rsidRPr="007D2B92">
        <w:rPr>
          <w:rStyle w:val="CommentReference"/>
        </w:rPr>
        <w:t>Figure 1: Notifications and rates of IMD in Australia (2015 - 2017)*, by serogroup</w:t>
      </w:r>
    </w:p>
    <w:p w:rsidR="0037426E" w:rsidRPr="007D2B92" w:rsidRDefault="0037426E" w:rsidP="00F826B0">
      <w:r w:rsidRPr="007D2B92">
        <w:rPr>
          <w:noProof/>
          <w:lang w:eastAsia="en-AU"/>
        </w:rPr>
        <w:drawing>
          <wp:inline distT="0" distB="0" distL="0" distR="0" wp14:anchorId="1C3DFE27" wp14:editId="114BE3EE">
            <wp:extent cx="5732145" cy="3415086"/>
            <wp:effectExtent l="0" t="0" r="1905" b="0"/>
            <wp:docPr id="3" name="Picture 3" title="Figure 1: Notifications and rates of IMD in Australia (2015 - 2017)*, by sero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3415086"/>
                    </a:xfrm>
                    <a:prstGeom prst="rect">
                      <a:avLst/>
                    </a:prstGeom>
                    <a:noFill/>
                    <a:ln>
                      <a:noFill/>
                    </a:ln>
                  </pic:spPr>
                </pic:pic>
              </a:graphicData>
            </a:graphic>
          </wp:inline>
        </w:drawing>
      </w:r>
    </w:p>
    <w:p w:rsidR="0037426E" w:rsidRPr="007D2B92" w:rsidRDefault="0037426E" w:rsidP="00F826B0">
      <w:pPr>
        <w:rPr>
          <w:rFonts w:ascii="Arial Narrow" w:hAnsi="Arial Narrow"/>
          <w:sz w:val="18"/>
          <w:szCs w:val="18"/>
        </w:rPr>
      </w:pPr>
      <w:r w:rsidRPr="007D2B92">
        <w:rPr>
          <w:rFonts w:ascii="Arial Narrow" w:hAnsi="Arial Narrow"/>
          <w:sz w:val="18"/>
          <w:szCs w:val="18"/>
        </w:rPr>
        <w:t>*Data shown is for cases with a diagnosis date from 1 January 2015 onwards, as of 14 December 2017. Rates for Q4 2017 have not been adjusted for the incomplete observation period of Q4.</w:t>
      </w:r>
    </w:p>
    <w:p w:rsidR="0037426E" w:rsidRPr="007D2B92" w:rsidRDefault="0037426E" w:rsidP="00F826B0">
      <w:pPr>
        <w:rPr>
          <w:rFonts w:ascii="Arial Narrow" w:hAnsi="Arial Narrow"/>
          <w:sz w:val="18"/>
          <w:szCs w:val="18"/>
        </w:rPr>
      </w:pPr>
      <w:r w:rsidRPr="007D2B92">
        <w:rPr>
          <w:rFonts w:ascii="Arial Narrow" w:hAnsi="Arial Narrow"/>
          <w:sz w:val="18"/>
          <w:szCs w:val="18"/>
        </w:rPr>
        <w:t>Source: Figure 2, p5 of ATAGI pre-submission advice.</w:t>
      </w:r>
    </w:p>
    <w:p w:rsidR="00FD1423" w:rsidRPr="007D2B92" w:rsidRDefault="00FD1423" w:rsidP="00F826B0">
      <w:pPr>
        <w:rPr>
          <w:rFonts w:ascii="Arial Narrow" w:hAnsi="Arial Narrow"/>
          <w:sz w:val="18"/>
          <w:szCs w:val="18"/>
        </w:rPr>
      </w:pPr>
    </w:p>
    <w:p w:rsidR="00D40BB2" w:rsidRPr="007D2B92" w:rsidRDefault="00FD1423" w:rsidP="00D40BB2">
      <w:pPr>
        <w:pStyle w:val="ListParagraph"/>
        <w:numPr>
          <w:ilvl w:val="1"/>
          <w:numId w:val="1"/>
        </w:numPr>
        <w:spacing w:after="120"/>
        <w:rPr>
          <w:szCs w:val="24"/>
        </w:rPr>
      </w:pPr>
      <w:r w:rsidRPr="007D2B92">
        <w:t xml:space="preserve">There were 379 </w:t>
      </w:r>
      <w:r w:rsidR="00BC5064" w:rsidRPr="007D2B92">
        <w:t xml:space="preserve">notified </w:t>
      </w:r>
      <w:r w:rsidRPr="007D2B92">
        <w:t>cases of IMD in Australia in 2017</w:t>
      </w:r>
      <w:r w:rsidR="00C52649" w:rsidRPr="007D2B92">
        <w:t>,</w:t>
      </w:r>
      <w:r w:rsidRPr="007D2B92">
        <w:t xml:space="preserve"> of which 87 cases of IMD </w:t>
      </w:r>
      <w:r w:rsidR="00BC5064" w:rsidRPr="007D2B92">
        <w:t xml:space="preserve">were </w:t>
      </w:r>
      <w:r w:rsidRPr="007D2B92">
        <w:t xml:space="preserve">caused by </w:t>
      </w:r>
      <w:proofErr w:type="spellStart"/>
      <w:r w:rsidRPr="007D2B92">
        <w:t>MenACWY</w:t>
      </w:r>
      <w:proofErr w:type="spellEnd"/>
      <w:r w:rsidRPr="007D2B92">
        <w:t xml:space="preserve"> </w:t>
      </w:r>
      <w:r w:rsidR="00BC5064" w:rsidRPr="007D2B92">
        <w:t xml:space="preserve">and were </w:t>
      </w:r>
      <w:r w:rsidRPr="007D2B92">
        <w:t xml:space="preserve">in infants (0-4 years old), and 41 cases of IMD </w:t>
      </w:r>
      <w:r w:rsidR="00BC5064" w:rsidRPr="007D2B92">
        <w:t xml:space="preserve">were </w:t>
      </w:r>
      <w:r w:rsidRPr="007D2B92">
        <w:t xml:space="preserve">caused by </w:t>
      </w:r>
      <w:proofErr w:type="spellStart"/>
      <w:r w:rsidRPr="007D2B92">
        <w:t>MenACWY</w:t>
      </w:r>
      <w:proofErr w:type="spellEnd"/>
      <w:r w:rsidRPr="007D2B92">
        <w:t xml:space="preserve"> </w:t>
      </w:r>
      <w:r w:rsidR="00BC5064" w:rsidRPr="007D2B92">
        <w:t xml:space="preserve">and were </w:t>
      </w:r>
      <w:r w:rsidRPr="007D2B92">
        <w:t>in adolescents (15</w:t>
      </w:r>
      <w:r w:rsidR="00C52649" w:rsidRPr="007D2B92">
        <w:noBreakHyphen/>
        <w:t>19 years old) (National Notifiable Diseases Surveillance System, NNDSS).</w:t>
      </w:r>
      <w:r w:rsidR="00C52649" w:rsidRPr="007D2B92">
        <w:rPr>
          <w:rStyle w:val="FootnoteReference"/>
          <w:rFonts w:eastAsiaTheme="minorHAnsi"/>
        </w:rPr>
        <w:footnoteReference w:id="6"/>
      </w:r>
      <w:r w:rsidR="006A2A5E" w:rsidRPr="007D2B92">
        <w:rPr>
          <w:i/>
        </w:rPr>
        <w:t xml:space="preserve"> </w:t>
      </w:r>
      <w:r w:rsidR="00D40BB2" w:rsidRPr="007D2B92">
        <w:t xml:space="preserve">The ESC noted ATAGI’s </w:t>
      </w:r>
      <w:proofErr w:type="gramStart"/>
      <w:r w:rsidR="00D40BB2" w:rsidRPr="007D2B92">
        <w:t>advice  that</w:t>
      </w:r>
      <w:proofErr w:type="gramEnd"/>
      <w:r w:rsidR="00D40BB2" w:rsidRPr="007D2B92">
        <w:t xml:space="preserve"> a key population group that would most benefit </w:t>
      </w:r>
      <w:r w:rsidR="00D40BB2" w:rsidRPr="007D2B92">
        <w:lastRenderedPageBreak/>
        <w:t xml:space="preserve">from a </w:t>
      </w:r>
      <w:proofErr w:type="spellStart"/>
      <w:r w:rsidR="00D40BB2" w:rsidRPr="007D2B92">
        <w:t>MenACWY</w:t>
      </w:r>
      <w:proofErr w:type="spellEnd"/>
      <w:r w:rsidR="00D40BB2" w:rsidRPr="007D2B92">
        <w:t xml:space="preserve"> vaccine was adolescents aged approximately 14 to 19 years old.</w:t>
      </w:r>
    </w:p>
    <w:p w:rsidR="00815DCB" w:rsidRPr="007D2B92" w:rsidRDefault="0003791E" w:rsidP="00815DCB">
      <w:pPr>
        <w:pStyle w:val="ListParagraph"/>
        <w:widowControl/>
        <w:numPr>
          <w:ilvl w:val="1"/>
          <w:numId w:val="1"/>
        </w:numPr>
        <w:spacing w:after="120"/>
        <w:rPr>
          <w:szCs w:val="24"/>
        </w:rPr>
      </w:pPr>
      <w:r w:rsidRPr="007D2B92">
        <w:t>Currently there are several State-based meningococcal programs for the provision of meningococcal serogroups A, C, W</w:t>
      </w:r>
      <w:r w:rsidRPr="007D2B92">
        <w:rPr>
          <w:vertAlign w:val="subscript"/>
        </w:rPr>
        <w:t>135</w:t>
      </w:r>
      <w:r w:rsidRPr="007D2B92">
        <w:t xml:space="preserve"> and Y (</w:t>
      </w:r>
      <w:proofErr w:type="spellStart"/>
      <w:r w:rsidRPr="007D2B92">
        <w:t>MenACWY</w:t>
      </w:r>
      <w:proofErr w:type="spellEnd"/>
      <w:r w:rsidRPr="007D2B92">
        <w:t xml:space="preserve">) vaccines, including </w:t>
      </w:r>
      <w:proofErr w:type="spellStart"/>
      <w:r w:rsidRPr="007D2B92">
        <w:t>MenACWY</w:t>
      </w:r>
      <w:proofErr w:type="spellEnd"/>
      <w:r w:rsidRPr="007D2B92">
        <w:t xml:space="preserve">-CRM, </w:t>
      </w:r>
      <w:proofErr w:type="spellStart"/>
      <w:r w:rsidRPr="007D2B92">
        <w:t>MenACWY</w:t>
      </w:r>
      <w:proofErr w:type="spellEnd"/>
      <w:r w:rsidRPr="007D2B92">
        <w:t>-TT and meningococcal polysaccharide diphtheria toxoid conjugate (</w:t>
      </w:r>
      <w:proofErr w:type="spellStart"/>
      <w:r w:rsidRPr="007D2B92">
        <w:t>MenACWY</w:t>
      </w:r>
      <w:proofErr w:type="spellEnd"/>
      <w:r w:rsidRPr="007D2B92">
        <w:t>-DT) vaccine (</w:t>
      </w:r>
      <w:proofErr w:type="spellStart"/>
      <w:r w:rsidRPr="007D2B92">
        <w:t>Menactra</w:t>
      </w:r>
      <w:proofErr w:type="spellEnd"/>
      <w:r w:rsidRPr="007D2B92">
        <w:t xml:space="preserve">®), to varied patient groups. </w:t>
      </w:r>
      <w:r w:rsidR="00815DCB" w:rsidRPr="007D2B92">
        <w:rPr>
          <w:szCs w:val="24"/>
        </w:rPr>
        <w:t xml:space="preserve">The </w:t>
      </w:r>
      <w:r w:rsidR="00C8099C">
        <w:rPr>
          <w:szCs w:val="24"/>
        </w:rPr>
        <w:t>Pre-Sub-Committee Response (</w:t>
      </w:r>
      <w:r w:rsidR="00815DCB" w:rsidRPr="007D2B92">
        <w:rPr>
          <w:szCs w:val="24"/>
        </w:rPr>
        <w:t>PSCR</w:t>
      </w:r>
      <w:r w:rsidR="00C8099C">
        <w:rPr>
          <w:szCs w:val="24"/>
        </w:rPr>
        <w:t>)</w:t>
      </w:r>
      <w:r w:rsidR="00815DCB" w:rsidRPr="007D2B92">
        <w:rPr>
          <w:szCs w:val="24"/>
        </w:rPr>
        <w:t xml:space="preserve"> noted the 2017 IMD notification rates due to meningococcal W exceeded the 2016 rates in all age groups except the 15-19 and 25-44 year groups, and suggested this may be due to the State-based adolescent </w:t>
      </w:r>
      <w:proofErr w:type="spellStart"/>
      <w:r w:rsidR="00815DCB" w:rsidRPr="007D2B92">
        <w:rPr>
          <w:szCs w:val="24"/>
        </w:rPr>
        <w:t>MenACWY</w:t>
      </w:r>
      <w:proofErr w:type="spellEnd"/>
      <w:r w:rsidR="00815DCB" w:rsidRPr="007D2B92">
        <w:rPr>
          <w:szCs w:val="24"/>
        </w:rPr>
        <w:t xml:space="preserve"> vaccination programs. The ESC considered that the variation in rates may be due to the State-based vaccination programs, but the data supporting this is currently very limited.</w:t>
      </w:r>
    </w:p>
    <w:p w:rsidR="0003791E" w:rsidRPr="007D2B92" w:rsidRDefault="0003791E" w:rsidP="0003791E">
      <w:pPr>
        <w:pStyle w:val="ListParagraph"/>
        <w:numPr>
          <w:ilvl w:val="1"/>
          <w:numId w:val="1"/>
        </w:numPr>
        <w:spacing w:after="120"/>
      </w:pPr>
      <w:r w:rsidRPr="007D2B92">
        <w:t xml:space="preserve">The </w:t>
      </w:r>
      <w:r w:rsidR="00815DCB" w:rsidRPr="007D2B92">
        <w:t>PSCR</w:t>
      </w:r>
      <w:r w:rsidRPr="007D2B92">
        <w:t xml:space="preserve"> and Pre-PBAC Response acknowledged </w:t>
      </w:r>
      <w:r w:rsidR="00815DCB" w:rsidRPr="007D2B92">
        <w:t>the State-based</w:t>
      </w:r>
      <w:r w:rsidRPr="007D2B92">
        <w:t xml:space="preserve"> programs may cease with a NIP listing, and claimed that the availability of two </w:t>
      </w:r>
      <w:proofErr w:type="spellStart"/>
      <w:r w:rsidRPr="007D2B92">
        <w:t>MenACWY</w:t>
      </w:r>
      <w:proofErr w:type="spellEnd"/>
      <w:r w:rsidRPr="007D2B92">
        <w:t xml:space="preserve"> vaccines through the NIP would improve surety of supply. The ESC noted the value of having more than one vaccine available for NIP listing on the designated vaccines list. The ESC noted that </w:t>
      </w:r>
      <w:proofErr w:type="spellStart"/>
      <w:r w:rsidRPr="007D2B92">
        <w:t>MenACWY</w:t>
      </w:r>
      <w:proofErr w:type="spellEnd"/>
      <w:r w:rsidRPr="007D2B92">
        <w:t xml:space="preserve"> vaccination is also well established for use in the private market. </w:t>
      </w:r>
    </w:p>
    <w:p w:rsidR="00EE6DB4" w:rsidRDefault="009835BA" w:rsidP="00ED236B">
      <w:pPr>
        <w:widowControl/>
        <w:rPr>
          <w:i/>
        </w:rPr>
      </w:pPr>
      <w:r w:rsidRPr="007D2B92">
        <w:rPr>
          <w:i/>
        </w:rPr>
        <w:t>For more detail on PBAC’s vi</w:t>
      </w:r>
      <w:bookmarkStart w:id="4" w:name="_Toc515358802"/>
      <w:r w:rsidR="000A0DB7" w:rsidRPr="007D2B92">
        <w:rPr>
          <w:i/>
        </w:rPr>
        <w:t>ew, see section 7 PBAC outcome.</w:t>
      </w:r>
    </w:p>
    <w:p w:rsidR="00B50DB8" w:rsidRPr="007D2B92" w:rsidRDefault="00B50DB8" w:rsidP="00AC4F30">
      <w:pPr>
        <w:pStyle w:val="PBACHeading1"/>
        <w:numPr>
          <w:ilvl w:val="0"/>
          <w:numId w:val="1"/>
        </w:numPr>
        <w:spacing w:before="240" w:after="120"/>
        <w:outlineLvl w:val="0"/>
      </w:pPr>
      <w:r w:rsidRPr="007D2B92">
        <w:t>Comparator</w:t>
      </w:r>
      <w:bookmarkEnd w:id="4"/>
    </w:p>
    <w:p w:rsidR="0060048A" w:rsidRPr="007D2B92" w:rsidRDefault="00222D2B" w:rsidP="00F95FA3">
      <w:pPr>
        <w:pStyle w:val="ListParagraph"/>
        <w:widowControl/>
        <w:numPr>
          <w:ilvl w:val="1"/>
          <w:numId w:val="1"/>
        </w:numPr>
        <w:spacing w:after="120"/>
      </w:pPr>
      <w:r w:rsidRPr="007D2B92">
        <w:t xml:space="preserve">The submission did not nominate a main comparator. The submission nominated </w:t>
      </w:r>
      <w:proofErr w:type="spellStart"/>
      <w:r w:rsidRPr="007D2B92">
        <w:t>MenACWY</w:t>
      </w:r>
      <w:proofErr w:type="spellEnd"/>
      <w:r w:rsidRPr="007D2B92">
        <w:t xml:space="preserve">-TT as a near-market comparator given that a PBAC submission for the </w:t>
      </w:r>
      <w:proofErr w:type="spellStart"/>
      <w:r w:rsidRPr="007D2B92">
        <w:t>MenACWY</w:t>
      </w:r>
      <w:proofErr w:type="spellEnd"/>
      <w:r w:rsidRPr="007D2B92">
        <w:t xml:space="preserve">-TT vaccine for immunisation of adolescents in Year 10 and a catch-up program via school or GP was considered for listing on the NIP in March 2018. </w:t>
      </w:r>
      <w:r w:rsidR="00DF55D1" w:rsidRPr="007D2B92">
        <w:t>The ESC considered ‘no vaccine’</w:t>
      </w:r>
      <w:r w:rsidR="00427ABE" w:rsidRPr="007D2B92">
        <w:t xml:space="preserve"> (placebo)</w:t>
      </w:r>
      <w:r w:rsidR="00DF55D1" w:rsidRPr="007D2B92">
        <w:t xml:space="preserve"> to be </w:t>
      </w:r>
      <w:r w:rsidR="007778B1" w:rsidRPr="007D2B92">
        <w:t xml:space="preserve">an </w:t>
      </w:r>
      <w:r w:rsidR="00DF55D1" w:rsidRPr="007D2B92">
        <w:t>appropriate comparator</w:t>
      </w:r>
      <w:r w:rsidR="007778B1" w:rsidRPr="007D2B92">
        <w:t xml:space="preserve"> and </w:t>
      </w:r>
      <w:proofErr w:type="spellStart"/>
      <w:r w:rsidR="007778B1" w:rsidRPr="007D2B92">
        <w:t>MenACW</w:t>
      </w:r>
      <w:r w:rsidR="00396548" w:rsidRPr="007D2B92">
        <w:t>Y</w:t>
      </w:r>
      <w:proofErr w:type="spellEnd"/>
      <w:r w:rsidR="007778B1" w:rsidRPr="007D2B92">
        <w:t>-TT to be an appropriate near market comparator</w:t>
      </w:r>
      <w:r w:rsidR="00396548" w:rsidRPr="007D2B92">
        <w:t xml:space="preserve">, noting </w:t>
      </w:r>
      <w:proofErr w:type="spellStart"/>
      <w:r w:rsidR="00396548" w:rsidRPr="007D2B92">
        <w:t>MenACWY</w:t>
      </w:r>
      <w:proofErr w:type="spellEnd"/>
      <w:r w:rsidR="00396548" w:rsidRPr="007D2B92">
        <w:t>-TT was recommended for inclusion on the NIP at the March 2018 PBAC meeting</w:t>
      </w:r>
      <w:r w:rsidR="00DF55D1" w:rsidRPr="007D2B92">
        <w:t>.</w:t>
      </w:r>
      <w:r w:rsidR="00F95FA3" w:rsidRPr="007D2B92" w:rsidDel="00F95FA3">
        <w:t xml:space="preserve"> </w:t>
      </w:r>
    </w:p>
    <w:p w:rsidR="00B60939" w:rsidRPr="007D2B92" w:rsidRDefault="00371040" w:rsidP="007D4B83">
      <w:pPr>
        <w:pStyle w:val="ListParagraph"/>
        <w:widowControl/>
        <w:numPr>
          <w:ilvl w:val="1"/>
          <w:numId w:val="1"/>
        </w:numPr>
        <w:spacing w:after="120"/>
      </w:pPr>
      <w:r w:rsidRPr="007D2B92">
        <w:t xml:space="preserve">The submission also considered the </w:t>
      </w:r>
      <w:proofErr w:type="spellStart"/>
      <w:r w:rsidRPr="007D2B92">
        <w:t>MenACWY</w:t>
      </w:r>
      <w:proofErr w:type="spellEnd"/>
      <w:r w:rsidRPr="007D2B92">
        <w:t xml:space="preserve">-DT </w:t>
      </w:r>
      <w:r w:rsidR="00A86EC3" w:rsidRPr="007D2B92">
        <w:t xml:space="preserve">vaccine </w:t>
      </w:r>
      <w:r w:rsidRPr="007D2B92">
        <w:t>(</w:t>
      </w:r>
      <w:proofErr w:type="spellStart"/>
      <w:r w:rsidRPr="007D2B92">
        <w:t>Menactra</w:t>
      </w:r>
      <w:proofErr w:type="spellEnd"/>
      <w:r w:rsidR="004C5966" w:rsidRPr="007D2B92">
        <w:t>®</w:t>
      </w:r>
      <w:r w:rsidRPr="007D2B92">
        <w:t xml:space="preserve">) as </w:t>
      </w:r>
      <w:r w:rsidR="00396548" w:rsidRPr="007D2B92">
        <w:t xml:space="preserve">a </w:t>
      </w:r>
      <w:r w:rsidRPr="007D2B92">
        <w:t>second near</w:t>
      </w:r>
      <w:r w:rsidR="004C5966" w:rsidRPr="007D2B92">
        <w:t>-</w:t>
      </w:r>
      <w:r w:rsidRPr="007D2B92">
        <w:t xml:space="preserve">market comparator </w:t>
      </w:r>
      <w:r w:rsidR="0018063A" w:rsidRPr="007D2B92">
        <w:t xml:space="preserve">given it is </w:t>
      </w:r>
      <w:r w:rsidRPr="007D2B92">
        <w:t xml:space="preserve">supplied in the </w:t>
      </w:r>
      <w:r w:rsidR="00904246" w:rsidRPr="007D2B92">
        <w:t>S</w:t>
      </w:r>
      <w:r w:rsidRPr="007D2B92">
        <w:t>tate</w:t>
      </w:r>
      <w:r w:rsidRPr="007D2B92">
        <w:noBreakHyphen/>
      </w:r>
      <w:r w:rsidR="00654C76" w:rsidRPr="007D2B92">
        <w:t xml:space="preserve">based programs. </w:t>
      </w:r>
      <w:r w:rsidR="00E94413" w:rsidRPr="007D2B92">
        <w:t xml:space="preserve">The </w:t>
      </w:r>
      <w:proofErr w:type="spellStart"/>
      <w:r w:rsidRPr="007D2B92">
        <w:t>MenACWY</w:t>
      </w:r>
      <w:proofErr w:type="spellEnd"/>
      <w:r w:rsidRPr="007D2B92">
        <w:t xml:space="preserve">-DT </w:t>
      </w:r>
      <w:r w:rsidR="00E94413" w:rsidRPr="007D2B92">
        <w:t xml:space="preserve">vaccine </w:t>
      </w:r>
      <w:r w:rsidRPr="007D2B92">
        <w:t>is not listed on the NIP</w:t>
      </w:r>
      <w:r w:rsidR="00CD544A" w:rsidRPr="007D2B92">
        <w:t>. The PBAC had</w:t>
      </w:r>
      <w:r w:rsidR="001F0999" w:rsidRPr="007D2B92">
        <w:t xml:space="preserve"> not previously considered a submission for</w:t>
      </w:r>
      <w:r w:rsidR="00A83568" w:rsidRPr="007D2B92">
        <w:t xml:space="preserve"> </w:t>
      </w:r>
      <w:r w:rsidR="001F0999" w:rsidRPr="007D2B92">
        <w:t xml:space="preserve">NIP listing </w:t>
      </w:r>
      <w:r w:rsidR="00A83568" w:rsidRPr="007D2B92">
        <w:t xml:space="preserve">of </w:t>
      </w:r>
      <w:r w:rsidR="001F0999" w:rsidRPr="007D2B92">
        <w:t xml:space="preserve">this vaccine </w:t>
      </w:r>
      <w:r w:rsidR="00A83568" w:rsidRPr="007D2B92">
        <w:t xml:space="preserve">and </w:t>
      </w:r>
      <w:r w:rsidR="001F0999" w:rsidRPr="007D2B92">
        <w:t xml:space="preserve">it </w:t>
      </w:r>
      <w:r w:rsidR="004C5966" w:rsidRPr="007D2B92">
        <w:t>wa</w:t>
      </w:r>
      <w:r w:rsidR="001F0999" w:rsidRPr="007D2B92">
        <w:t>s not on the agenda for the July 2018 PBAC meeting</w:t>
      </w:r>
      <w:r w:rsidRPr="007D2B92">
        <w:t>.</w:t>
      </w:r>
    </w:p>
    <w:p w:rsidR="009835BA" w:rsidRPr="007D2B92" w:rsidRDefault="009835BA" w:rsidP="009835BA">
      <w:pPr>
        <w:widowControl/>
        <w:spacing w:after="120"/>
        <w:rPr>
          <w:i/>
        </w:rPr>
      </w:pPr>
      <w:r w:rsidRPr="007D2B92">
        <w:rPr>
          <w:i/>
        </w:rPr>
        <w:t>For more detail on PBAC’s view, see section 7 PBAC outcome.</w:t>
      </w:r>
    </w:p>
    <w:p w:rsidR="00B50DB8" w:rsidRPr="007D2B92" w:rsidRDefault="00BD6CF3" w:rsidP="00AC4F30">
      <w:pPr>
        <w:pStyle w:val="PBACHeading1"/>
        <w:numPr>
          <w:ilvl w:val="0"/>
          <w:numId w:val="1"/>
        </w:numPr>
        <w:spacing w:before="240" w:after="120"/>
        <w:outlineLvl w:val="0"/>
      </w:pPr>
      <w:bookmarkStart w:id="5" w:name="_Toc515358803"/>
      <w:r w:rsidRPr="007D2B92">
        <w:t>C</w:t>
      </w:r>
      <w:r w:rsidR="00B50DB8" w:rsidRPr="007D2B92">
        <w:t>onsideration of the evidence</w:t>
      </w:r>
      <w:bookmarkEnd w:id="5"/>
    </w:p>
    <w:p w:rsidR="00D755B5" w:rsidRPr="007D2B92" w:rsidRDefault="00D755B5" w:rsidP="00ED236B">
      <w:pPr>
        <w:pStyle w:val="Heading2"/>
        <w:spacing w:after="120"/>
        <w:rPr>
          <w:i w:val="0"/>
        </w:rPr>
      </w:pPr>
      <w:r w:rsidRPr="007D2B92">
        <w:rPr>
          <w:i w:val="0"/>
        </w:rPr>
        <w:t>Sponsor hearing</w:t>
      </w:r>
    </w:p>
    <w:p w:rsidR="00833757" w:rsidRDefault="00D755B5" w:rsidP="00ED236B">
      <w:pPr>
        <w:pStyle w:val="ListParagraph"/>
        <w:widowControl/>
        <w:numPr>
          <w:ilvl w:val="1"/>
          <w:numId w:val="1"/>
        </w:numPr>
        <w:spacing w:after="0"/>
        <w:rPr>
          <w:rFonts w:cs="Calibri"/>
          <w:snapToGrid/>
          <w:szCs w:val="24"/>
          <w:lang w:eastAsia="en-AU"/>
        </w:rPr>
      </w:pPr>
      <w:r w:rsidRPr="007D2B92">
        <w:rPr>
          <w:rFonts w:cs="Calibri"/>
          <w:snapToGrid/>
          <w:szCs w:val="24"/>
          <w:lang w:eastAsia="en-AU"/>
        </w:rPr>
        <w:t>Th</w:t>
      </w:r>
      <w:r w:rsidR="00833757" w:rsidRPr="007D2B92">
        <w:rPr>
          <w:rFonts w:cs="Calibri"/>
          <w:snapToGrid/>
          <w:szCs w:val="24"/>
          <w:lang w:eastAsia="en-AU"/>
        </w:rPr>
        <w:t>ere was no hearing for this item</w:t>
      </w:r>
      <w:r w:rsidRPr="007D2B92">
        <w:rPr>
          <w:rFonts w:cs="Calibri"/>
          <w:snapToGrid/>
          <w:szCs w:val="24"/>
          <w:lang w:eastAsia="en-AU"/>
        </w:rPr>
        <w:t>.</w:t>
      </w:r>
    </w:p>
    <w:p w:rsidR="00ED236B" w:rsidRPr="00ED236B" w:rsidRDefault="00ED236B" w:rsidP="00ED236B">
      <w:pPr>
        <w:widowControl/>
        <w:rPr>
          <w:rFonts w:cs="Calibri"/>
          <w:snapToGrid/>
          <w:szCs w:val="24"/>
          <w:lang w:eastAsia="en-AU"/>
        </w:rPr>
      </w:pPr>
    </w:p>
    <w:p w:rsidR="00EB2429" w:rsidRDefault="00EB2429">
      <w:pPr>
        <w:widowControl/>
        <w:jc w:val="left"/>
        <w:rPr>
          <w:b/>
          <w:sz w:val="28"/>
        </w:rPr>
      </w:pPr>
      <w:r>
        <w:rPr>
          <w:i/>
        </w:rPr>
        <w:br w:type="page"/>
      </w:r>
    </w:p>
    <w:p w:rsidR="00D755B5" w:rsidRPr="007D2B92" w:rsidRDefault="00D755B5" w:rsidP="00ED236B">
      <w:pPr>
        <w:pStyle w:val="Heading2"/>
        <w:spacing w:after="120"/>
        <w:rPr>
          <w:i w:val="0"/>
        </w:rPr>
      </w:pPr>
      <w:r w:rsidRPr="007D2B92">
        <w:rPr>
          <w:i w:val="0"/>
        </w:rPr>
        <w:lastRenderedPageBreak/>
        <w:t>Consumer comments</w:t>
      </w:r>
    </w:p>
    <w:p w:rsidR="00ED236B" w:rsidRDefault="00D755B5" w:rsidP="00ED236B">
      <w:pPr>
        <w:pStyle w:val="ListParagraph"/>
        <w:widowControl/>
        <w:numPr>
          <w:ilvl w:val="1"/>
          <w:numId w:val="1"/>
        </w:numPr>
        <w:spacing w:after="0"/>
        <w:rPr>
          <w:rFonts w:cs="Calibri"/>
          <w:snapToGrid/>
          <w:szCs w:val="24"/>
          <w:lang w:eastAsia="en-AU"/>
        </w:rPr>
      </w:pPr>
      <w:r w:rsidRPr="007D2B92">
        <w:rPr>
          <w:rFonts w:cs="Calibri"/>
          <w:snapToGrid/>
          <w:szCs w:val="24"/>
          <w:lang w:eastAsia="en-AU"/>
        </w:rPr>
        <w:t>The PBAC noted and welcom</w:t>
      </w:r>
      <w:r w:rsidR="00A571FD" w:rsidRPr="007D2B92">
        <w:rPr>
          <w:rFonts w:cs="Calibri"/>
          <w:snapToGrid/>
          <w:szCs w:val="24"/>
          <w:lang w:eastAsia="en-AU"/>
        </w:rPr>
        <w:t xml:space="preserve">ed the input from </w:t>
      </w:r>
      <w:r w:rsidR="00C965EC" w:rsidRPr="007D2B92">
        <w:rPr>
          <w:rFonts w:cs="Calibri"/>
          <w:snapToGrid/>
          <w:szCs w:val="24"/>
          <w:lang w:eastAsia="en-AU"/>
        </w:rPr>
        <w:t xml:space="preserve">an </w:t>
      </w:r>
      <w:r w:rsidR="00A571FD" w:rsidRPr="007D2B92">
        <w:rPr>
          <w:rFonts w:cs="Calibri"/>
          <w:snapToGrid/>
          <w:szCs w:val="24"/>
          <w:lang w:eastAsia="en-AU"/>
        </w:rPr>
        <w:t xml:space="preserve">individual (1) </w:t>
      </w:r>
      <w:r w:rsidRPr="007D2B92">
        <w:rPr>
          <w:rFonts w:cs="Calibri"/>
          <w:snapToGrid/>
          <w:szCs w:val="24"/>
          <w:lang w:eastAsia="en-AU"/>
        </w:rPr>
        <w:t xml:space="preserve">and </w:t>
      </w:r>
      <w:r w:rsidR="00ED236B">
        <w:rPr>
          <w:rFonts w:cs="Calibri"/>
          <w:snapToGrid/>
          <w:szCs w:val="24"/>
          <w:lang w:eastAsia="en-AU"/>
        </w:rPr>
        <w:t xml:space="preserve">an </w:t>
      </w:r>
      <w:r w:rsidRPr="007D2B92">
        <w:rPr>
          <w:rFonts w:cs="Calibri"/>
          <w:snapToGrid/>
          <w:szCs w:val="24"/>
          <w:lang w:eastAsia="en-AU"/>
        </w:rPr>
        <w:t>organisation</w:t>
      </w:r>
      <w:r w:rsidR="006C4187" w:rsidRPr="007D2B92">
        <w:rPr>
          <w:rFonts w:cs="Calibri"/>
          <w:snapToGrid/>
          <w:szCs w:val="24"/>
          <w:lang w:eastAsia="en-AU"/>
        </w:rPr>
        <w:t xml:space="preserve"> </w:t>
      </w:r>
      <w:r w:rsidRPr="007D2B92">
        <w:rPr>
          <w:rFonts w:cs="Calibri"/>
          <w:snapToGrid/>
          <w:szCs w:val="24"/>
          <w:lang w:eastAsia="en-AU"/>
        </w:rPr>
        <w:t>(1)</w:t>
      </w:r>
      <w:r w:rsidR="00890BFF" w:rsidRPr="007D2B92">
        <w:rPr>
          <w:rFonts w:cs="Calibri"/>
          <w:snapToGrid/>
          <w:szCs w:val="24"/>
          <w:lang w:eastAsia="en-AU"/>
        </w:rPr>
        <w:t>,</w:t>
      </w:r>
      <w:r w:rsidRPr="007D2B92">
        <w:rPr>
          <w:rFonts w:cs="Calibri"/>
          <w:snapToGrid/>
          <w:szCs w:val="24"/>
          <w:lang w:eastAsia="en-AU"/>
        </w:rPr>
        <w:t xml:space="preserve"> </w:t>
      </w:r>
      <w:r w:rsidR="00890BFF" w:rsidRPr="007D2B92">
        <w:rPr>
          <w:rFonts w:cs="Calibri"/>
          <w:snapToGrid/>
          <w:szCs w:val="24"/>
          <w:lang w:eastAsia="en-AU"/>
        </w:rPr>
        <w:t xml:space="preserve">Meningitis Centre Australia, </w:t>
      </w:r>
      <w:r w:rsidRPr="007D2B92">
        <w:rPr>
          <w:rFonts w:cs="Calibri"/>
          <w:snapToGrid/>
          <w:szCs w:val="24"/>
          <w:lang w:eastAsia="en-AU"/>
        </w:rPr>
        <w:t xml:space="preserve">via the Consumer Comments facility on the PBS website.  </w:t>
      </w:r>
      <w:r w:rsidR="006C4187" w:rsidRPr="007D2B92">
        <w:rPr>
          <w:rFonts w:cs="Calibri"/>
          <w:snapToGrid/>
          <w:szCs w:val="24"/>
          <w:lang w:eastAsia="en-AU"/>
        </w:rPr>
        <w:t xml:space="preserve">The comments noted the </w:t>
      </w:r>
      <w:r w:rsidR="006767DE" w:rsidRPr="007D2B92">
        <w:rPr>
          <w:rFonts w:cs="Calibri"/>
          <w:snapToGrid/>
          <w:szCs w:val="24"/>
          <w:lang w:eastAsia="en-AU"/>
        </w:rPr>
        <w:t xml:space="preserve">increase in </w:t>
      </w:r>
      <w:r w:rsidR="006C4187" w:rsidRPr="007D2B92">
        <w:rPr>
          <w:rFonts w:cs="Calibri"/>
          <w:snapToGrid/>
          <w:szCs w:val="24"/>
          <w:lang w:eastAsia="en-AU"/>
        </w:rPr>
        <w:t xml:space="preserve">prevalence of the </w:t>
      </w:r>
      <w:r w:rsidR="006767DE" w:rsidRPr="007D2B92">
        <w:rPr>
          <w:rFonts w:cs="Calibri"/>
          <w:snapToGrid/>
          <w:szCs w:val="24"/>
          <w:lang w:eastAsia="en-AU"/>
        </w:rPr>
        <w:t xml:space="preserve">W and Y </w:t>
      </w:r>
      <w:r w:rsidR="006C4187" w:rsidRPr="007D2B92">
        <w:rPr>
          <w:rFonts w:cs="Calibri"/>
          <w:snapToGrid/>
          <w:szCs w:val="24"/>
          <w:lang w:eastAsia="en-AU"/>
        </w:rPr>
        <w:t xml:space="preserve">strains </w:t>
      </w:r>
      <w:r w:rsidR="006767DE" w:rsidRPr="007D2B92">
        <w:rPr>
          <w:rFonts w:cs="Calibri"/>
          <w:snapToGrid/>
          <w:szCs w:val="24"/>
          <w:lang w:eastAsia="en-AU"/>
        </w:rPr>
        <w:t xml:space="preserve">of </w:t>
      </w:r>
      <w:r w:rsidR="00C554E3" w:rsidRPr="007D2B92">
        <w:rPr>
          <w:rFonts w:cs="Calibri"/>
          <w:snapToGrid/>
          <w:szCs w:val="24"/>
          <w:lang w:eastAsia="en-AU"/>
        </w:rPr>
        <w:t>meningococcal</w:t>
      </w:r>
      <w:r w:rsidR="00E11F80" w:rsidRPr="007D2B92">
        <w:rPr>
          <w:rFonts w:cs="Calibri"/>
          <w:snapToGrid/>
          <w:szCs w:val="24"/>
          <w:lang w:eastAsia="en-AU"/>
        </w:rPr>
        <w:t xml:space="preserve"> disease</w:t>
      </w:r>
      <w:r w:rsidR="00F632B6" w:rsidRPr="007D2B92">
        <w:rPr>
          <w:rFonts w:cs="Calibri"/>
          <w:snapToGrid/>
          <w:szCs w:val="24"/>
          <w:lang w:eastAsia="en-AU"/>
        </w:rPr>
        <w:t>,</w:t>
      </w:r>
      <w:r w:rsidR="006C4187" w:rsidRPr="007D2B92">
        <w:rPr>
          <w:rFonts w:cs="Calibri"/>
          <w:snapToGrid/>
          <w:szCs w:val="24"/>
          <w:lang w:eastAsia="en-AU"/>
        </w:rPr>
        <w:t xml:space="preserve"> the </w:t>
      </w:r>
      <w:r w:rsidR="00E11F80" w:rsidRPr="007D2B92">
        <w:rPr>
          <w:rFonts w:cs="Calibri"/>
          <w:snapToGrid/>
          <w:szCs w:val="24"/>
          <w:lang w:eastAsia="en-AU"/>
        </w:rPr>
        <w:t xml:space="preserve">varying expense and availability of </w:t>
      </w:r>
      <w:proofErr w:type="spellStart"/>
      <w:r w:rsidR="00E11F80" w:rsidRPr="007D2B92">
        <w:rPr>
          <w:rFonts w:cs="Calibri"/>
          <w:snapToGrid/>
          <w:szCs w:val="24"/>
          <w:lang w:eastAsia="en-AU"/>
        </w:rPr>
        <w:t>MenACWY</w:t>
      </w:r>
      <w:proofErr w:type="spellEnd"/>
      <w:r w:rsidR="00E11F80" w:rsidRPr="007D2B92">
        <w:rPr>
          <w:rFonts w:cs="Calibri"/>
          <w:snapToGrid/>
          <w:szCs w:val="24"/>
          <w:lang w:eastAsia="en-AU"/>
        </w:rPr>
        <w:t xml:space="preserve"> vaccination </w:t>
      </w:r>
      <w:r w:rsidR="006C4187" w:rsidRPr="007D2B92">
        <w:rPr>
          <w:rFonts w:cs="Calibri"/>
          <w:snapToGrid/>
          <w:szCs w:val="24"/>
          <w:lang w:eastAsia="en-AU"/>
        </w:rPr>
        <w:t>on the private market</w:t>
      </w:r>
      <w:r w:rsidR="00E11F80" w:rsidRPr="007D2B92">
        <w:rPr>
          <w:rFonts w:cs="Calibri"/>
          <w:snapToGrid/>
          <w:szCs w:val="24"/>
          <w:lang w:eastAsia="en-AU"/>
        </w:rPr>
        <w:t xml:space="preserve"> </w:t>
      </w:r>
      <w:r w:rsidR="00C554E3" w:rsidRPr="007D2B92">
        <w:rPr>
          <w:rFonts w:cs="Calibri"/>
          <w:snapToGrid/>
          <w:szCs w:val="24"/>
          <w:lang w:eastAsia="en-AU"/>
        </w:rPr>
        <w:t>and the</w:t>
      </w:r>
      <w:r w:rsidR="00F632B6" w:rsidRPr="007D2B92">
        <w:rPr>
          <w:rFonts w:cs="Calibri"/>
          <w:snapToGrid/>
          <w:szCs w:val="24"/>
          <w:lang w:eastAsia="en-AU"/>
        </w:rPr>
        <w:t xml:space="preserve"> benefit of preventing death and disability </w:t>
      </w:r>
      <w:r w:rsidR="00E11F80" w:rsidRPr="007D2B92">
        <w:rPr>
          <w:rFonts w:cs="Calibri"/>
          <w:snapToGrid/>
          <w:szCs w:val="24"/>
          <w:lang w:eastAsia="en-AU"/>
        </w:rPr>
        <w:t>resulting from</w:t>
      </w:r>
      <w:r w:rsidR="00F632B6" w:rsidRPr="007D2B92">
        <w:rPr>
          <w:rFonts w:cs="Calibri"/>
          <w:snapToGrid/>
          <w:szCs w:val="24"/>
          <w:lang w:eastAsia="en-AU"/>
        </w:rPr>
        <w:t xml:space="preserve"> meningococcal disease.</w:t>
      </w:r>
    </w:p>
    <w:p w:rsidR="00ED236B" w:rsidRPr="00ED236B" w:rsidRDefault="00ED236B" w:rsidP="00ED236B">
      <w:pPr>
        <w:pStyle w:val="ListParagraph"/>
        <w:widowControl/>
        <w:spacing w:after="0"/>
        <w:rPr>
          <w:rFonts w:cs="Calibri"/>
          <w:snapToGrid/>
          <w:szCs w:val="24"/>
          <w:lang w:eastAsia="en-AU"/>
        </w:rPr>
      </w:pPr>
    </w:p>
    <w:p w:rsidR="00B60939" w:rsidRPr="007D2B92" w:rsidRDefault="00B60939" w:rsidP="00ED236B">
      <w:pPr>
        <w:pStyle w:val="Heading2"/>
        <w:spacing w:after="120"/>
        <w:rPr>
          <w:i w:val="0"/>
        </w:rPr>
      </w:pPr>
      <w:bookmarkStart w:id="6" w:name="_Toc515358804"/>
      <w:r w:rsidRPr="007D2B92">
        <w:rPr>
          <w:i w:val="0"/>
        </w:rPr>
        <w:t>Clinical trials</w:t>
      </w:r>
      <w:bookmarkEnd w:id="6"/>
    </w:p>
    <w:p w:rsidR="005766D9" w:rsidRPr="007D2B92" w:rsidRDefault="00AB0ED3" w:rsidP="004E2FE6">
      <w:pPr>
        <w:pStyle w:val="ListParagraph"/>
        <w:widowControl/>
        <w:numPr>
          <w:ilvl w:val="1"/>
          <w:numId w:val="1"/>
        </w:numPr>
        <w:spacing w:after="120"/>
      </w:pPr>
      <w:r w:rsidRPr="007D2B92">
        <w:rPr>
          <w:rFonts w:cs="Calibri"/>
          <w:snapToGrid/>
          <w:szCs w:val="24"/>
          <w:lang w:eastAsia="en-AU"/>
        </w:rPr>
        <w:t xml:space="preserve">The submission was based on four key RCTs, comparing </w:t>
      </w:r>
      <w:r w:rsidR="00725CC0" w:rsidRPr="007D2B92">
        <w:rPr>
          <w:rFonts w:cs="Calibri"/>
          <w:snapToGrid/>
          <w:szCs w:val="24"/>
          <w:lang w:eastAsia="en-AU"/>
        </w:rPr>
        <w:t xml:space="preserve">the </w:t>
      </w:r>
      <w:proofErr w:type="spellStart"/>
      <w:r w:rsidRPr="007D2B92">
        <w:rPr>
          <w:rFonts w:cs="Calibri"/>
          <w:snapToGrid/>
          <w:szCs w:val="24"/>
          <w:lang w:eastAsia="en-AU"/>
        </w:rPr>
        <w:t>MenACWY</w:t>
      </w:r>
      <w:proofErr w:type="spellEnd"/>
      <w:r w:rsidRPr="007D2B92">
        <w:rPr>
          <w:rFonts w:cs="Calibri"/>
          <w:snapToGrid/>
          <w:szCs w:val="24"/>
          <w:lang w:eastAsia="en-AU"/>
        </w:rPr>
        <w:t>-CRM (</w:t>
      </w:r>
      <w:proofErr w:type="spellStart"/>
      <w:r w:rsidRPr="007D2B92">
        <w:rPr>
          <w:rFonts w:cs="Calibri"/>
          <w:snapToGrid/>
          <w:szCs w:val="24"/>
          <w:lang w:eastAsia="en-AU"/>
        </w:rPr>
        <w:t>Menveo</w:t>
      </w:r>
      <w:proofErr w:type="spellEnd"/>
      <w:r w:rsidRPr="007D2B92">
        <w:rPr>
          <w:rFonts w:cs="Calibri"/>
          <w:snapToGrid/>
          <w:szCs w:val="24"/>
          <w:lang w:eastAsia="en-AU"/>
        </w:rPr>
        <w:t xml:space="preserve">) </w:t>
      </w:r>
      <w:r w:rsidR="00725CC0" w:rsidRPr="007D2B92">
        <w:rPr>
          <w:rFonts w:cs="Calibri"/>
          <w:snapToGrid/>
          <w:szCs w:val="24"/>
          <w:lang w:eastAsia="en-AU"/>
        </w:rPr>
        <w:t xml:space="preserve">vaccine </w:t>
      </w:r>
      <w:r w:rsidRPr="007D2B92">
        <w:rPr>
          <w:rFonts w:cs="Calibri"/>
          <w:snapToGrid/>
          <w:szCs w:val="24"/>
          <w:lang w:eastAsia="en-AU"/>
        </w:rPr>
        <w:t>to either placebo or a comparator meningococcal vaccine. The four key RCTs compared:</w:t>
      </w:r>
    </w:p>
    <w:p w:rsidR="00C74C9A" w:rsidRPr="007D2B92" w:rsidRDefault="00C74C9A" w:rsidP="00DA48AD">
      <w:pPr>
        <w:pStyle w:val="ListParagraph"/>
        <w:numPr>
          <w:ilvl w:val="0"/>
          <w:numId w:val="9"/>
        </w:numPr>
        <w:spacing w:after="120"/>
        <w:ind w:hanging="371"/>
      </w:pPr>
      <w:proofErr w:type="spellStart"/>
      <w:r w:rsidRPr="007D2B92">
        <w:t>Ishola</w:t>
      </w:r>
      <w:proofErr w:type="spellEnd"/>
      <w:r w:rsidRPr="007D2B92">
        <w:t xml:space="preserve"> 2015: </w:t>
      </w:r>
      <w:proofErr w:type="spellStart"/>
      <w:r w:rsidRPr="007D2B92">
        <w:t>MenACWY</w:t>
      </w:r>
      <w:proofErr w:type="spellEnd"/>
      <w:r w:rsidRPr="007D2B92">
        <w:t>-CRM (</w:t>
      </w:r>
      <w:proofErr w:type="spellStart"/>
      <w:r w:rsidRPr="007D2B92">
        <w:t>Menveo</w:t>
      </w:r>
      <w:proofErr w:type="spellEnd"/>
      <w:r w:rsidRPr="007D2B92">
        <w:t xml:space="preserve">) to </w:t>
      </w:r>
      <w:proofErr w:type="spellStart"/>
      <w:r w:rsidRPr="007D2B92">
        <w:t>MenACWY</w:t>
      </w:r>
      <w:proofErr w:type="spellEnd"/>
      <w:r w:rsidRPr="007D2B92">
        <w:t>-TT (</w:t>
      </w:r>
      <w:proofErr w:type="spellStart"/>
      <w:r w:rsidRPr="007D2B92">
        <w:t>Nimenrix</w:t>
      </w:r>
      <w:proofErr w:type="spellEnd"/>
      <w:r w:rsidRPr="007D2B92">
        <w:t>) (N=93)</w:t>
      </w:r>
      <w:r w:rsidR="00FF601C" w:rsidRPr="007D2B92">
        <w:t xml:space="preserve"> </w:t>
      </w:r>
    </w:p>
    <w:p w:rsidR="00C74C9A" w:rsidRPr="007D2B92" w:rsidRDefault="00C74C9A" w:rsidP="00DA48AD">
      <w:pPr>
        <w:pStyle w:val="ListParagraph"/>
        <w:numPr>
          <w:ilvl w:val="0"/>
          <w:numId w:val="9"/>
        </w:numPr>
        <w:spacing w:after="120"/>
        <w:ind w:hanging="371"/>
      </w:pPr>
      <w:r w:rsidRPr="007D2B92">
        <w:t xml:space="preserve">V59P13: </w:t>
      </w:r>
      <w:proofErr w:type="spellStart"/>
      <w:r w:rsidRPr="007D2B92">
        <w:t>MenACWY</w:t>
      </w:r>
      <w:proofErr w:type="spellEnd"/>
      <w:r w:rsidRPr="007D2B92">
        <w:t>-CRM (</w:t>
      </w:r>
      <w:proofErr w:type="spellStart"/>
      <w:r w:rsidRPr="007D2B92">
        <w:t>Menveo</w:t>
      </w:r>
      <w:proofErr w:type="spellEnd"/>
      <w:r w:rsidRPr="007D2B92">
        <w:t xml:space="preserve">) to </w:t>
      </w:r>
      <w:proofErr w:type="spellStart"/>
      <w:r w:rsidRPr="007D2B92">
        <w:t>MenACWY</w:t>
      </w:r>
      <w:proofErr w:type="spellEnd"/>
      <w:r w:rsidRPr="007D2B92">
        <w:t>-DT (</w:t>
      </w:r>
      <w:proofErr w:type="spellStart"/>
      <w:r w:rsidRPr="007D2B92">
        <w:t>Menactra</w:t>
      </w:r>
      <w:proofErr w:type="spellEnd"/>
      <w:r w:rsidRPr="007D2B92">
        <w:t>) (N=2180)</w:t>
      </w:r>
    </w:p>
    <w:p w:rsidR="00C74C9A" w:rsidRPr="007D2B92" w:rsidRDefault="00C74C9A" w:rsidP="00DA48AD">
      <w:pPr>
        <w:pStyle w:val="ListParagraph"/>
        <w:numPr>
          <w:ilvl w:val="0"/>
          <w:numId w:val="9"/>
        </w:numPr>
        <w:spacing w:after="120"/>
        <w:ind w:hanging="371"/>
      </w:pPr>
      <w:r w:rsidRPr="007D2B92">
        <w:t xml:space="preserve">V59P6: </w:t>
      </w:r>
      <w:proofErr w:type="spellStart"/>
      <w:r w:rsidRPr="007D2B92">
        <w:t>MenACWY</w:t>
      </w:r>
      <w:proofErr w:type="spellEnd"/>
      <w:r w:rsidRPr="007D2B92">
        <w:t>-CRM (</w:t>
      </w:r>
      <w:proofErr w:type="spellStart"/>
      <w:r w:rsidRPr="007D2B92">
        <w:t>Menveo</w:t>
      </w:r>
      <w:proofErr w:type="spellEnd"/>
      <w:r w:rsidRPr="007D2B92">
        <w:t xml:space="preserve">) to </w:t>
      </w:r>
      <w:proofErr w:type="spellStart"/>
      <w:r w:rsidRPr="007D2B92">
        <w:t>MenACWY</w:t>
      </w:r>
      <w:proofErr w:type="spellEnd"/>
      <w:r w:rsidRPr="007D2B92">
        <w:t xml:space="preserve"> (</w:t>
      </w:r>
      <w:proofErr w:type="spellStart"/>
      <w:r w:rsidRPr="007D2B92">
        <w:t>Menomune</w:t>
      </w:r>
      <w:proofErr w:type="spellEnd"/>
      <w:r w:rsidRPr="007D2B92">
        <w:t>) (N=524)</w:t>
      </w:r>
    </w:p>
    <w:p w:rsidR="00C74C9A" w:rsidRPr="007D2B92" w:rsidRDefault="00C74C9A" w:rsidP="00DA48AD">
      <w:pPr>
        <w:pStyle w:val="ListParagraph"/>
        <w:numPr>
          <w:ilvl w:val="0"/>
          <w:numId w:val="9"/>
        </w:numPr>
        <w:spacing w:after="120"/>
        <w:ind w:hanging="371"/>
      </w:pPr>
      <w:r w:rsidRPr="007D2B92">
        <w:t xml:space="preserve">V59_39d: </w:t>
      </w:r>
      <w:proofErr w:type="spellStart"/>
      <w:r w:rsidRPr="007D2B92">
        <w:t>MenACWY</w:t>
      </w:r>
      <w:proofErr w:type="spellEnd"/>
      <w:r w:rsidRPr="007D2B92">
        <w:t>-CRM (</w:t>
      </w:r>
      <w:proofErr w:type="spellStart"/>
      <w:r w:rsidRPr="007D2B92">
        <w:t>Menveo</w:t>
      </w:r>
      <w:proofErr w:type="spellEnd"/>
      <w:r w:rsidRPr="007D2B92">
        <w:t>) to placebo (N=450)</w:t>
      </w:r>
    </w:p>
    <w:p w:rsidR="00FA6F49" w:rsidRPr="007D2B92" w:rsidRDefault="00FA6F49" w:rsidP="004E2FE6">
      <w:pPr>
        <w:pStyle w:val="ListParagraph"/>
        <w:widowControl/>
        <w:numPr>
          <w:ilvl w:val="1"/>
          <w:numId w:val="1"/>
        </w:numPr>
        <w:spacing w:after="120"/>
      </w:pPr>
      <w:r w:rsidRPr="007D2B92">
        <w:t>Three of the clinical trials presented also had subsequent persistence extensions.</w:t>
      </w:r>
    </w:p>
    <w:p w:rsidR="00C74C9A" w:rsidRPr="007D2B92" w:rsidRDefault="00C74C9A" w:rsidP="004E2FE6">
      <w:pPr>
        <w:pStyle w:val="ListParagraph"/>
        <w:widowControl/>
        <w:numPr>
          <w:ilvl w:val="1"/>
          <w:numId w:val="1"/>
        </w:numPr>
        <w:spacing w:after="120"/>
      </w:pPr>
      <w:r w:rsidRPr="007D2B92">
        <w:t>Five supplementary RCTs and four open-label studies were also presented to support claims of efficacy with concomitant vaccines or claims regarding safety.</w:t>
      </w:r>
    </w:p>
    <w:p w:rsidR="00AF00DF" w:rsidRPr="007D2B92" w:rsidRDefault="00AB0ED3" w:rsidP="004E2FE6">
      <w:pPr>
        <w:pStyle w:val="ListParagraph"/>
        <w:widowControl/>
        <w:numPr>
          <w:ilvl w:val="1"/>
          <w:numId w:val="1"/>
        </w:numPr>
        <w:spacing w:after="120"/>
      </w:pPr>
      <w:r w:rsidRPr="007D2B92">
        <w:t>T</w:t>
      </w:r>
      <w:r w:rsidR="00FA6F49" w:rsidRPr="007D2B92">
        <w:t>he submission also presented a naïve</w:t>
      </w:r>
      <w:r w:rsidRPr="007D2B92">
        <w:t xml:space="preserve"> indirect comparison of </w:t>
      </w:r>
      <w:r w:rsidR="00FA6F49" w:rsidRPr="007D2B92">
        <w:t xml:space="preserve">the </w:t>
      </w:r>
      <w:proofErr w:type="spellStart"/>
      <w:r w:rsidR="00725CC0" w:rsidRPr="007D2B92">
        <w:t>MenACWY</w:t>
      </w:r>
      <w:proofErr w:type="spellEnd"/>
      <w:r w:rsidR="00725CC0" w:rsidRPr="007D2B92">
        <w:t xml:space="preserve">-CRM </w:t>
      </w:r>
      <w:r w:rsidR="00FA6F49" w:rsidRPr="007D2B92">
        <w:t xml:space="preserve">vaccine </w:t>
      </w:r>
      <w:r w:rsidR="00725CC0" w:rsidRPr="007D2B92">
        <w:t>(</w:t>
      </w:r>
      <w:proofErr w:type="spellStart"/>
      <w:r w:rsidR="00725CC0" w:rsidRPr="007D2B92">
        <w:t>Menveo</w:t>
      </w:r>
      <w:proofErr w:type="spellEnd"/>
      <w:r w:rsidR="00725CC0" w:rsidRPr="007D2B92">
        <w:t xml:space="preserve">) to </w:t>
      </w:r>
      <w:r w:rsidR="00FA6F49" w:rsidRPr="007D2B92">
        <w:t xml:space="preserve">the </w:t>
      </w:r>
      <w:proofErr w:type="spellStart"/>
      <w:r w:rsidR="00725CC0" w:rsidRPr="007D2B92">
        <w:t>MenACWY</w:t>
      </w:r>
      <w:proofErr w:type="spellEnd"/>
      <w:r w:rsidR="00725CC0" w:rsidRPr="007D2B92">
        <w:t xml:space="preserve">-TT </w:t>
      </w:r>
      <w:r w:rsidR="00FA6F49" w:rsidRPr="007D2B92">
        <w:t xml:space="preserve">vaccine </w:t>
      </w:r>
      <w:r w:rsidR="00725CC0" w:rsidRPr="007D2B92">
        <w:t>(</w:t>
      </w:r>
      <w:proofErr w:type="spellStart"/>
      <w:r w:rsidR="00725CC0" w:rsidRPr="007D2B92">
        <w:t>Nimenrix</w:t>
      </w:r>
      <w:proofErr w:type="spellEnd"/>
      <w:r w:rsidR="00725CC0" w:rsidRPr="007D2B92">
        <w:t xml:space="preserve">) using </w:t>
      </w:r>
      <w:r w:rsidR="00FA6F49" w:rsidRPr="007D2B92">
        <w:t xml:space="preserve">the </w:t>
      </w:r>
      <w:proofErr w:type="spellStart"/>
      <w:r w:rsidR="00725CC0" w:rsidRPr="007D2B92">
        <w:t>MenACWY</w:t>
      </w:r>
      <w:proofErr w:type="spellEnd"/>
      <w:r w:rsidR="00725CC0" w:rsidRPr="007D2B92">
        <w:t xml:space="preserve">-DT </w:t>
      </w:r>
      <w:r w:rsidR="00FA6F49" w:rsidRPr="007D2B92">
        <w:t xml:space="preserve">vaccine </w:t>
      </w:r>
      <w:r w:rsidR="00725CC0" w:rsidRPr="007D2B92">
        <w:t>(</w:t>
      </w:r>
      <w:proofErr w:type="spellStart"/>
      <w:r w:rsidR="00725CC0" w:rsidRPr="007D2B92">
        <w:t>Mena</w:t>
      </w:r>
      <w:r w:rsidR="00FA6F49" w:rsidRPr="007D2B92">
        <w:t>ctra</w:t>
      </w:r>
      <w:proofErr w:type="spellEnd"/>
      <w:r w:rsidR="00FA6F49" w:rsidRPr="007D2B92">
        <w:t>) as the common comparator, based on the following trials:</w:t>
      </w:r>
    </w:p>
    <w:p w:rsidR="00FA6F49" w:rsidRPr="007D2B92" w:rsidRDefault="00FA6F49" w:rsidP="00DA48AD">
      <w:pPr>
        <w:pStyle w:val="ListParagraph"/>
        <w:numPr>
          <w:ilvl w:val="0"/>
          <w:numId w:val="9"/>
        </w:numPr>
        <w:spacing w:after="120"/>
        <w:ind w:hanging="371"/>
      </w:pPr>
      <w:r w:rsidRPr="007D2B92">
        <w:t xml:space="preserve">V59P13: Compared the </w:t>
      </w:r>
      <w:proofErr w:type="spellStart"/>
      <w:r w:rsidRPr="007D2B92">
        <w:t>MenACWY</w:t>
      </w:r>
      <w:proofErr w:type="spellEnd"/>
      <w:r w:rsidRPr="007D2B92">
        <w:t xml:space="preserve">-CRM vaccine to the </w:t>
      </w:r>
      <w:proofErr w:type="spellStart"/>
      <w:r w:rsidRPr="007D2B92">
        <w:t>MenACWY</w:t>
      </w:r>
      <w:proofErr w:type="spellEnd"/>
      <w:r w:rsidRPr="007D2B92">
        <w:t>-DT vaccine (</w:t>
      </w:r>
      <w:r w:rsidR="000249EF" w:rsidRPr="007D2B92">
        <w:t>N=2,180 and 1,359)</w:t>
      </w:r>
    </w:p>
    <w:p w:rsidR="00FA6F49" w:rsidRPr="007D2B92" w:rsidRDefault="00FA6F49" w:rsidP="00DA48AD">
      <w:pPr>
        <w:pStyle w:val="ListParagraph"/>
        <w:numPr>
          <w:ilvl w:val="0"/>
          <w:numId w:val="9"/>
        </w:numPr>
        <w:spacing w:after="120"/>
        <w:ind w:hanging="371"/>
      </w:pPr>
      <w:r w:rsidRPr="007D2B92">
        <w:t xml:space="preserve">MenACWY-TT-071: Compared the </w:t>
      </w:r>
      <w:proofErr w:type="spellStart"/>
      <w:r w:rsidRPr="007D2B92">
        <w:t>MenACWY</w:t>
      </w:r>
      <w:proofErr w:type="spellEnd"/>
      <w:r w:rsidRPr="007D2B92">
        <w:t xml:space="preserve">-TT vaccine to the </w:t>
      </w:r>
      <w:proofErr w:type="spellStart"/>
      <w:r w:rsidRPr="007D2B92">
        <w:t>MenACWY</w:t>
      </w:r>
      <w:proofErr w:type="spellEnd"/>
      <w:r w:rsidRPr="007D2B92">
        <w:noBreakHyphen/>
        <w:t xml:space="preserve">DT vaccine </w:t>
      </w:r>
      <w:r w:rsidR="000249EF" w:rsidRPr="007D2B92">
        <w:t>(N=1,016)</w:t>
      </w:r>
    </w:p>
    <w:p w:rsidR="00FA6F49" w:rsidRPr="007D2B92" w:rsidRDefault="00FA6F49" w:rsidP="00DA48AD">
      <w:pPr>
        <w:pStyle w:val="ListParagraph"/>
        <w:numPr>
          <w:ilvl w:val="0"/>
          <w:numId w:val="9"/>
        </w:numPr>
        <w:spacing w:after="120"/>
        <w:ind w:hanging="371"/>
      </w:pPr>
      <w:r w:rsidRPr="007D2B92">
        <w:t xml:space="preserve">MenACWY-TT-052: Compared the </w:t>
      </w:r>
      <w:proofErr w:type="spellStart"/>
      <w:r w:rsidRPr="007D2B92">
        <w:t>MenACWY</w:t>
      </w:r>
      <w:proofErr w:type="spellEnd"/>
      <w:r w:rsidRPr="007D2B92">
        <w:t xml:space="preserve">-TT vaccine to the </w:t>
      </w:r>
      <w:proofErr w:type="spellStart"/>
      <w:r w:rsidRPr="007D2B92">
        <w:t>MenACWY</w:t>
      </w:r>
      <w:proofErr w:type="spellEnd"/>
      <w:r w:rsidRPr="007D2B92">
        <w:noBreakHyphen/>
        <w:t>DT vaccine (N=872)</w:t>
      </w:r>
    </w:p>
    <w:p w:rsidR="00862502" w:rsidRPr="007D2B92" w:rsidRDefault="00A73134" w:rsidP="004E2FE6">
      <w:pPr>
        <w:pStyle w:val="ListParagraph"/>
        <w:widowControl/>
        <w:numPr>
          <w:ilvl w:val="1"/>
          <w:numId w:val="1"/>
        </w:numPr>
        <w:spacing w:after="120"/>
      </w:pPr>
      <w:r w:rsidRPr="007D2B92">
        <w:rPr>
          <w:rFonts w:cs="Calibri"/>
          <w:snapToGrid/>
          <w:szCs w:val="24"/>
          <w:lang w:eastAsia="en-AU"/>
        </w:rPr>
        <w:t xml:space="preserve">Details of the trials presented in the submission are provided in </w:t>
      </w:r>
      <w:r w:rsidR="0018063A" w:rsidRPr="007D2B92">
        <w:rPr>
          <w:rFonts w:cs="Calibri"/>
          <w:snapToGrid/>
          <w:szCs w:val="24"/>
          <w:lang w:eastAsia="en-AU"/>
        </w:rPr>
        <w:t>Table 3.</w:t>
      </w:r>
    </w:p>
    <w:p w:rsidR="00EB2429" w:rsidRDefault="00EB2429">
      <w:pPr>
        <w:widowControl/>
        <w:jc w:val="left"/>
        <w:rPr>
          <w:rStyle w:val="CommentReference"/>
        </w:rPr>
      </w:pPr>
      <w:r>
        <w:rPr>
          <w:rStyle w:val="CommentReference"/>
        </w:rPr>
        <w:br w:type="page"/>
      </w:r>
    </w:p>
    <w:p w:rsidR="008E0D3C" w:rsidRPr="007D2B92" w:rsidRDefault="008E0D3C" w:rsidP="00FA6F49">
      <w:pPr>
        <w:keepNext/>
        <w:rPr>
          <w:rStyle w:val="CommentReference"/>
        </w:rPr>
      </w:pPr>
      <w:r w:rsidRPr="007D2B92">
        <w:rPr>
          <w:rStyle w:val="CommentReference"/>
        </w:rPr>
        <w:lastRenderedPageBreak/>
        <w:t xml:space="preserve">Table </w:t>
      </w:r>
      <w:r w:rsidR="00AF00DF" w:rsidRPr="007D2B92">
        <w:rPr>
          <w:rStyle w:val="CommentReference"/>
        </w:rPr>
        <w:t>3</w:t>
      </w:r>
      <w:r w:rsidRPr="007D2B92">
        <w:rPr>
          <w:rStyle w:val="CommentReference"/>
        </w:rPr>
        <w:t>:</w:t>
      </w:r>
      <w:r w:rsidR="00E94413" w:rsidRPr="007D2B92">
        <w:rPr>
          <w:rStyle w:val="CommentReference"/>
        </w:rPr>
        <w:t xml:space="preserve"> </w:t>
      </w:r>
      <w:r w:rsidRPr="007D2B92">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725CC0" w:rsidRPr="007D2B92" w:rsidTr="00FE6A3E">
        <w:trPr>
          <w:tblHeader/>
        </w:trPr>
        <w:tc>
          <w:tcPr>
            <w:tcW w:w="796" w:type="pct"/>
            <w:vAlign w:val="center"/>
          </w:tcPr>
          <w:p w:rsidR="00725CC0" w:rsidRPr="007D2B92" w:rsidRDefault="00725CC0" w:rsidP="00FA6F49">
            <w:pPr>
              <w:pStyle w:val="Tabletext"/>
              <w:keepNext/>
              <w:rPr>
                <w:b/>
              </w:rPr>
            </w:pPr>
            <w:r w:rsidRPr="007D2B92">
              <w:rPr>
                <w:b/>
              </w:rPr>
              <w:t>Trial ID</w:t>
            </w:r>
          </w:p>
        </w:tc>
        <w:tc>
          <w:tcPr>
            <w:tcW w:w="3027" w:type="pct"/>
            <w:vAlign w:val="center"/>
          </w:tcPr>
          <w:p w:rsidR="00725CC0" w:rsidRPr="007D2B92" w:rsidRDefault="00725CC0" w:rsidP="00FA6F49">
            <w:pPr>
              <w:pStyle w:val="Tabletext"/>
              <w:keepNext/>
              <w:jc w:val="center"/>
              <w:rPr>
                <w:b/>
              </w:rPr>
            </w:pPr>
            <w:r w:rsidRPr="007D2B92">
              <w:rPr>
                <w:b/>
              </w:rPr>
              <w:t>Protocol title/ Publication title</w:t>
            </w:r>
          </w:p>
        </w:tc>
        <w:tc>
          <w:tcPr>
            <w:tcW w:w="1177" w:type="pct"/>
            <w:vAlign w:val="center"/>
          </w:tcPr>
          <w:p w:rsidR="00725CC0" w:rsidRPr="007D2B92" w:rsidRDefault="00725CC0" w:rsidP="00FA6F49">
            <w:pPr>
              <w:pStyle w:val="Tabletext"/>
              <w:keepNext/>
              <w:jc w:val="center"/>
              <w:rPr>
                <w:b/>
              </w:rPr>
            </w:pPr>
            <w:r w:rsidRPr="007D2B92">
              <w:rPr>
                <w:b/>
              </w:rPr>
              <w:t>Publication citation</w:t>
            </w:r>
          </w:p>
        </w:tc>
      </w:tr>
      <w:tr w:rsidR="00725CC0" w:rsidRPr="007D2B92" w:rsidTr="00FE6A3E">
        <w:tc>
          <w:tcPr>
            <w:tcW w:w="5000" w:type="pct"/>
            <w:gridSpan w:val="3"/>
            <w:vAlign w:val="center"/>
          </w:tcPr>
          <w:p w:rsidR="00725CC0" w:rsidRPr="007D2B92" w:rsidRDefault="00725CC0" w:rsidP="00FA6F49">
            <w:pPr>
              <w:pStyle w:val="Tabletext"/>
              <w:keepNext/>
              <w:rPr>
                <w:szCs w:val="18"/>
                <w:lang w:eastAsia="en-AU"/>
              </w:rPr>
            </w:pPr>
            <w:proofErr w:type="spellStart"/>
            <w:r w:rsidRPr="007D2B92">
              <w:rPr>
                <w:szCs w:val="18"/>
                <w:lang w:eastAsia="en-AU"/>
              </w:rPr>
              <w:t>Menveo</w:t>
            </w:r>
            <w:proofErr w:type="spellEnd"/>
            <w:r w:rsidRPr="007D2B92">
              <w:rPr>
                <w:szCs w:val="18"/>
                <w:lang w:eastAsia="en-AU"/>
              </w:rPr>
              <w:t xml:space="preserve"> Comparative trials</w:t>
            </w:r>
          </w:p>
        </w:tc>
      </w:tr>
      <w:tr w:rsidR="00725CC0" w:rsidRPr="007D2B92" w:rsidTr="00FE6A3E">
        <w:tc>
          <w:tcPr>
            <w:tcW w:w="796" w:type="pct"/>
            <w:vMerge w:val="restart"/>
            <w:vAlign w:val="center"/>
          </w:tcPr>
          <w:p w:rsidR="00725CC0" w:rsidRPr="007D2B92" w:rsidRDefault="00725CC0" w:rsidP="00FA6F49">
            <w:pPr>
              <w:pStyle w:val="Tabletext"/>
              <w:keepNext/>
            </w:pPr>
            <w:r w:rsidRPr="007D2B92">
              <w:t>V59_39d</w:t>
            </w:r>
          </w:p>
        </w:tc>
        <w:tc>
          <w:tcPr>
            <w:tcW w:w="3027" w:type="pct"/>
            <w:tcBorders>
              <w:top w:val="nil"/>
              <w:bottom w:val="nil"/>
            </w:tcBorders>
            <w:vAlign w:val="center"/>
          </w:tcPr>
          <w:p w:rsidR="00725CC0" w:rsidRPr="007D2B92" w:rsidRDefault="00725CC0" w:rsidP="00FA6F49">
            <w:pPr>
              <w:pStyle w:val="Tabletext"/>
              <w:keepNext/>
              <w:rPr>
                <w:szCs w:val="18"/>
                <w:lang w:eastAsia="en-AU"/>
              </w:rPr>
            </w:pPr>
            <w:r w:rsidRPr="007D2B92">
              <w:rPr>
                <w:szCs w:val="18"/>
                <w:lang w:eastAsia="en-AU"/>
              </w:rPr>
              <w:t>A phase 3, multi-</w:t>
            </w:r>
            <w:proofErr w:type="spellStart"/>
            <w:r w:rsidRPr="007D2B92">
              <w:rPr>
                <w:szCs w:val="18"/>
                <w:lang w:eastAsia="en-AU"/>
              </w:rPr>
              <w:t>center</w:t>
            </w:r>
            <w:proofErr w:type="spellEnd"/>
            <w:r w:rsidRPr="007D2B92">
              <w:rPr>
                <w:szCs w:val="18"/>
                <w:lang w:eastAsia="en-AU"/>
              </w:rPr>
              <w:t>, observer-blind, placebo controlled, randomized study to evaluate the immunogenicity and safety of Novartis Meningococcal ACWY conjugate vaccine in healthy subjects from 11 to 55 years of age in Korea</w:t>
            </w:r>
          </w:p>
        </w:tc>
        <w:tc>
          <w:tcPr>
            <w:tcW w:w="1177" w:type="pct"/>
            <w:tcBorders>
              <w:top w:val="nil"/>
              <w:bottom w:val="nil"/>
            </w:tcBorders>
            <w:vAlign w:val="center"/>
          </w:tcPr>
          <w:p w:rsidR="00725CC0" w:rsidRPr="007D2B92" w:rsidRDefault="00725CC0" w:rsidP="00FA6F49">
            <w:pPr>
              <w:pStyle w:val="Tabletext"/>
              <w:keepNext/>
              <w:rPr>
                <w:szCs w:val="18"/>
                <w:lang w:eastAsia="en-AU"/>
              </w:rPr>
            </w:pPr>
            <w:r w:rsidRPr="007D2B92">
              <w:rPr>
                <w:szCs w:val="18"/>
                <w:lang w:eastAsia="en-AU"/>
              </w:rPr>
              <w:t>October 2011</w:t>
            </w:r>
          </w:p>
        </w:tc>
      </w:tr>
      <w:tr w:rsidR="00725CC0" w:rsidRPr="007D2B92" w:rsidTr="00FE6A3E">
        <w:tc>
          <w:tcPr>
            <w:tcW w:w="796" w:type="pct"/>
            <w:vMerge/>
            <w:tcBorders>
              <w:bottom w:val="nil"/>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lang w:eastAsia="en-AU"/>
              </w:rPr>
            </w:pPr>
            <w:r w:rsidRPr="007D2B92">
              <w:rPr>
                <w:szCs w:val="18"/>
                <w:lang w:eastAsia="en-AU"/>
              </w:rPr>
              <w:t xml:space="preserve">Lee HJ, Chung MH, Kim WJ, et al. Immunogenicity and safety of a novel </w:t>
            </w:r>
            <w:proofErr w:type="spellStart"/>
            <w:r w:rsidRPr="007D2B92">
              <w:rPr>
                <w:szCs w:val="18"/>
                <w:lang w:eastAsia="en-AU"/>
              </w:rPr>
              <w:t>quadrivalent</w:t>
            </w:r>
            <w:proofErr w:type="spellEnd"/>
            <w:r w:rsidRPr="007D2B92">
              <w:rPr>
                <w:szCs w:val="18"/>
                <w:lang w:eastAsia="en-AU"/>
              </w:rPr>
              <w:t xml:space="preserve"> meningococcal conjugate vaccine (</w:t>
            </w:r>
            <w:proofErr w:type="spellStart"/>
            <w:r w:rsidRPr="007D2B92">
              <w:rPr>
                <w:szCs w:val="18"/>
                <w:lang w:eastAsia="en-AU"/>
              </w:rPr>
              <w:t>MenACWY</w:t>
            </w:r>
            <w:proofErr w:type="spellEnd"/>
            <w:r w:rsidRPr="007D2B92">
              <w:rPr>
                <w:szCs w:val="18"/>
                <w:lang w:eastAsia="en-AU"/>
              </w:rPr>
              <w:t xml:space="preserve">-CRM) in healthy Korean adolescents and adults. </w:t>
            </w:r>
          </w:p>
        </w:tc>
        <w:tc>
          <w:tcPr>
            <w:tcW w:w="1177" w:type="pct"/>
            <w:tcBorders>
              <w:top w:val="nil"/>
              <w:bottom w:val="single" w:sz="4" w:space="0" w:color="auto"/>
            </w:tcBorders>
            <w:vAlign w:val="center"/>
          </w:tcPr>
          <w:p w:rsidR="00725CC0" w:rsidRPr="007D2B92" w:rsidRDefault="00725CC0" w:rsidP="00FE6A3E">
            <w:pPr>
              <w:pStyle w:val="Tabletext"/>
              <w:rPr>
                <w:szCs w:val="18"/>
                <w:lang w:eastAsia="en-AU"/>
              </w:rPr>
            </w:pPr>
            <w:proofErr w:type="spellStart"/>
            <w:r w:rsidRPr="007D2B92">
              <w:rPr>
                <w:szCs w:val="18"/>
                <w:lang w:eastAsia="en-AU"/>
              </w:rPr>
              <w:t>Int</w:t>
            </w:r>
            <w:proofErr w:type="spellEnd"/>
            <w:r w:rsidRPr="007D2B92">
              <w:rPr>
                <w:szCs w:val="18"/>
                <w:lang w:eastAsia="en-AU"/>
              </w:rPr>
              <w:t xml:space="preserve"> J Infect Dis 2014;28:204-10</w:t>
            </w:r>
          </w:p>
        </w:tc>
      </w:tr>
      <w:tr w:rsidR="00725CC0" w:rsidRPr="007D2B92" w:rsidTr="00FE6A3E">
        <w:tc>
          <w:tcPr>
            <w:tcW w:w="796" w:type="pct"/>
            <w:vMerge w:val="restart"/>
            <w:vAlign w:val="center"/>
          </w:tcPr>
          <w:p w:rsidR="00725CC0" w:rsidRPr="007D2B92" w:rsidRDefault="00725CC0" w:rsidP="00FE6A3E">
            <w:pPr>
              <w:pStyle w:val="Tabletext"/>
              <w:rPr>
                <w:rFonts w:ascii="Times" w:hAnsi="Times"/>
              </w:rPr>
            </w:pPr>
            <w:r w:rsidRPr="007D2B92">
              <w:t>V59P13</w:t>
            </w:r>
          </w:p>
        </w:tc>
        <w:tc>
          <w:tcPr>
            <w:tcW w:w="3027" w:type="pct"/>
            <w:tcBorders>
              <w:bottom w:val="nil"/>
            </w:tcBorders>
            <w:vAlign w:val="center"/>
          </w:tcPr>
          <w:p w:rsidR="00725CC0" w:rsidRPr="007D2B92" w:rsidRDefault="00725CC0" w:rsidP="00FE6A3E">
            <w:pPr>
              <w:pStyle w:val="Tabletext"/>
              <w:rPr>
                <w:szCs w:val="18"/>
                <w:lang w:eastAsia="en-AU"/>
              </w:rPr>
            </w:pPr>
            <w:r w:rsidRPr="007D2B92">
              <w:rPr>
                <w:szCs w:val="18"/>
                <w:lang w:eastAsia="en-AU"/>
              </w:rPr>
              <w:t>A Phase 3, Randomized, Observer-blind, Controlled, Multi-</w:t>
            </w:r>
            <w:proofErr w:type="spellStart"/>
            <w:r w:rsidRPr="007D2B92">
              <w:rPr>
                <w:szCs w:val="18"/>
                <w:lang w:eastAsia="en-AU"/>
              </w:rPr>
              <w:t>Center</w:t>
            </w:r>
            <w:proofErr w:type="spellEnd"/>
            <w:r w:rsidRPr="007D2B92">
              <w:rPr>
                <w:szCs w:val="18"/>
                <w:lang w:eastAsia="en-AU"/>
              </w:rPr>
              <w:t xml:space="preserve"> Study to Evaluate the Lot to Lot Consistency of Novartis Meningococcal ACWY</w:t>
            </w:r>
            <w:r w:rsidR="004D4C3E" w:rsidRPr="007D2B92">
              <w:rPr>
                <w:szCs w:val="18"/>
                <w:lang w:eastAsia="en-AU"/>
              </w:rPr>
              <w:t xml:space="preserve"> </w:t>
            </w:r>
            <w:r w:rsidRPr="007D2B92">
              <w:rPr>
                <w:szCs w:val="18"/>
                <w:lang w:eastAsia="en-AU"/>
              </w:rPr>
              <w:t>Conjugate Vaccine when One Dose is Administered to Healthy Adolescents 11-18 Years of Age and to Compare the Safety and Immunogenicity of Novartis Meningococcal ACWY Conjugate Vaccine with that of Licensed Meningococcal ACWY Conjugate Vaccine (</w:t>
            </w:r>
            <w:proofErr w:type="spellStart"/>
            <w:r w:rsidRPr="007D2B92">
              <w:rPr>
                <w:szCs w:val="18"/>
                <w:lang w:eastAsia="en-AU"/>
              </w:rPr>
              <w:t>Menactra</w:t>
            </w:r>
            <w:proofErr w:type="spellEnd"/>
            <w:r w:rsidRPr="007D2B92">
              <w:rPr>
                <w:szCs w:val="18"/>
                <w:lang w:eastAsia="en-AU"/>
              </w:rPr>
              <w:t>™) when One Dose is Administered to Healthy Subjects 11-55 Years of Age.</w:t>
            </w:r>
          </w:p>
        </w:tc>
        <w:tc>
          <w:tcPr>
            <w:tcW w:w="1177" w:type="pct"/>
            <w:tcBorders>
              <w:bottom w:val="nil"/>
            </w:tcBorders>
            <w:vAlign w:val="center"/>
          </w:tcPr>
          <w:p w:rsidR="00725CC0" w:rsidRPr="007D2B92" w:rsidRDefault="00725CC0" w:rsidP="00FE6A3E">
            <w:pPr>
              <w:pStyle w:val="Tabletext"/>
              <w:rPr>
                <w:szCs w:val="18"/>
                <w:lang w:eastAsia="en-AU"/>
              </w:rPr>
            </w:pPr>
            <w:r w:rsidRPr="007D2B92">
              <w:rPr>
                <w:szCs w:val="18"/>
                <w:lang w:eastAsia="en-AU"/>
              </w:rPr>
              <w:t>April 2008</w:t>
            </w:r>
          </w:p>
        </w:tc>
      </w:tr>
      <w:tr w:rsidR="00725CC0" w:rsidRPr="007D2B92" w:rsidTr="00FE6A3E">
        <w:tc>
          <w:tcPr>
            <w:tcW w:w="796" w:type="pct"/>
            <w:vMerge/>
            <w:vAlign w:val="center"/>
          </w:tcPr>
          <w:p w:rsidR="00725CC0" w:rsidRPr="007D2B92" w:rsidRDefault="00725CC0" w:rsidP="00FE6A3E">
            <w:pPr>
              <w:pStyle w:val="Tabletext"/>
              <w:rPr>
                <w:rFonts w:ascii="Times" w:hAnsi="Times"/>
              </w:rPr>
            </w:pPr>
          </w:p>
        </w:tc>
        <w:tc>
          <w:tcPr>
            <w:tcW w:w="3027" w:type="pct"/>
            <w:tcBorders>
              <w:top w:val="nil"/>
              <w:bottom w:val="nil"/>
            </w:tcBorders>
            <w:vAlign w:val="center"/>
          </w:tcPr>
          <w:p w:rsidR="00725CC0" w:rsidRPr="007D2B92" w:rsidRDefault="00725CC0" w:rsidP="0018063A">
            <w:pPr>
              <w:pStyle w:val="Tabletext"/>
              <w:rPr>
                <w:szCs w:val="18"/>
                <w:lang w:eastAsia="en-AU"/>
              </w:rPr>
            </w:pPr>
            <w:r w:rsidRPr="007D2B92">
              <w:rPr>
                <w:szCs w:val="18"/>
                <w:lang w:eastAsia="en-AU"/>
              </w:rPr>
              <w:t>Addendum to A Phase 3, Randomized, Observer-blind, Controlled, Multi-</w:t>
            </w:r>
            <w:proofErr w:type="spellStart"/>
            <w:r w:rsidRPr="007D2B92">
              <w:rPr>
                <w:szCs w:val="18"/>
                <w:lang w:eastAsia="en-AU"/>
              </w:rPr>
              <w:t>Center</w:t>
            </w:r>
            <w:proofErr w:type="spellEnd"/>
            <w:r w:rsidRPr="007D2B92">
              <w:rPr>
                <w:szCs w:val="18"/>
                <w:lang w:eastAsia="en-AU"/>
              </w:rPr>
              <w:t xml:space="preserve"> Study to Evaluate the Lot to Lot Consistency of Novartis Meningococcal ACWY Conjugate Vaccine when One Dose is Administered to Healthy Adolescents 11-18 Years of Age and to Compare the Safety and Immunogenicity of Novartis Meningococcal ACWY Conjugate Vaccine with that of Licensed Meningococcal ACWY Conjugate Vaccine (</w:t>
            </w:r>
            <w:proofErr w:type="spellStart"/>
            <w:r w:rsidRPr="007D2B92">
              <w:rPr>
                <w:szCs w:val="18"/>
                <w:lang w:eastAsia="en-AU"/>
              </w:rPr>
              <w:t>Menactra</w:t>
            </w:r>
            <w:proofErr w:type="spellEnd"/>
            <w:r w:rsidRPr="007D2B92">
              <w:rPr>
                <w:szCs w:val="18"/>
                <w:lang w:eastAsia="en-AU"/>
              </w:rPr>
              <w:t>™) when One Dose is Administered to Healthy Subjects 11-55 Years of Age.</w:t>
            </w:r>
          </w:p>
        </w:tc>
        <w:tc>
          <w:tcPr>
            <w:tcW w:w="1177" w:type="pct"/>
            <w:tcBorders>
              <w:top w:val="nil"/>
              <w:bottom w:val="nil"/>
            </w:tcBorders>
            <w:vAlign w:val="center"/>
          </w:tcPr>
          <w:p w:rsidR="00725CC0" w:rsidRPr="007D2B92" w:rsidRDefault="00725CC0" w:rsidP="00FE6A3E">
            <w:pPr>
              <w:pStyle w:val="Tabletext"/>
              <w:rPr>
                <w:szCs w:val="18"/>
                <w:lang w:eastAsia="en-AU"/>
              </w:rPr>
            </w:pPr>
            <w:r w:rsidRPr="007D2B92">
              <w:rPr>
                <w:szCs w:val="18"/>
                <w:lang w:eastAsia="en-AU"/>
              </w:rPr>
              <w:t>December 2008</w:t>
            </w:r>
          </w:p>
        </w:tc>
      </w:tr>
      <w:tr w:rsidR="00725CC0" w:rsidRPr="007D2B92" w:rsidTr="00FE6A3E">
        <w:tc>
          <w:tcPr>
            <w:tcW w:w="796" w:type="pct"/>
            <w:vMerge/>
            <w:vAlign w:val="center"/>
          </w:tcPr>
          <w:p w:rsidR="00725CC0" w:rsidRPr="007D2B92" w:rsidRDefault="00725CC0" w:rsidP="00FE6A3E">
            <w:pPr>
              <w:pStyle w:val="Tabletext"/>
              <w:rPr>
                <w:rFonts w:ascii="Times" w:hAnsi="Times"/>
              </w:rPr>
            </w:pPr>
          </w:p>
        </w:tc>
        <w:tc>
          <w:tcPr>
            <w:tcW w:w="3027" w:type="pct"/>
            <w:tcBorders>
              <w:top w:val="nil"/>
              <w:bottom w:val="nil"/>
            </w:tcBorders>
            <w:vAlign w:val="center"/>
          </w:tcPr>
          <w:p w:rsidR="00725CC0" w:rsidRPr="007D2B92" w:rsidRDefault="00725CC0" w:rsidP="0018063A">
            <w:pPr>
              <w:pStyle w:val="Tabletext"/>
              <w:rPr>
                <w:szCs w:val="18"/>
                <w:lang w:eastAsia="en-AU"/>
              </w:rPr>
            </w:pPr>
            <w:r w:rsidRPr="007D2B92">
              <w:rPr>
                <w:szCs w:val="18"/>
                <w:lang w:eastAsia="en-AU"/>
              </w:rPr>
              <w:t>Addendum to A Phase 3, Randomized, Observer-blind, Controlled, Multi-</w:t>
            </w:r>
            <w:proofErr w:type="spellStart"/>
            <w:r w:rsidRPr="007D2B92">
              <w:rPr>
                <w:szCs w:val="18"/>
                <w:lang w:eastAsia="en-AU"/>
              </w:rPr>
              <w:t>Center</w:t>
            </w:r>
            <w:proofErr w:type="spellEnd"/>
            <w:r w:rsidRPr="007D2B92">
              <w:rPr>
                <w:szCs w:val="18"/>
                <w:lang w:eastAsia="en-AU"/>
              </w:rPr>
              <w:t xml:space="preserve"> Study to Evaluate the Lot to Lot Consistency of Novartis Meningococcal ACWY Conjugate Vaccine when One Dose is Administered to Healthy Adolescents 11-18 Years of Age and to Compare the Safety and Immunogenicity of Novartis Meningococcal ACWY Conjugate Vaccine with that of Licensed Meningococcal ACWY Conjugate Vaccine (</w:t>
            </w:r>
            <w:proofErr w:type="spellStart"/>
            <w:r w:rsidRPr="007D2B92">
              <w:rPr>
                <w:szCs w:val="18"/>
                <w:lang w:eastAsia="en-AU"/>
              </w:rPr>
              <w:t>Menactra</w:t>
            </w:r>
            <w:proofErr w:type="spellEnd"/>
            <w:r w:rsidRPr="007D2B92">
              <w:rPr>
                <w:szCs w:val="18"/>
                <w:lang w:eastAsia="en-AU"/>
              </w:rPr>
              <w:t>™) when One Dose is Administered to Healthy Subjects 11-55 Years of Age.</w:t>
            </w:r>
          </w:p>
        </w:tc>
        <w:tc>
          <w:tcPr>
            <w:tcW w:w="1177" w:type="pct"/>
            <w:tcBorders>
              <w:top w:val="nil"/>
              <w:bottom w:val="nil"/>
            </w:tcBorders>
            <w:vAlign w:val="center"/>
          </w:tcPr>
          <w:p w:rsidR="00725CC0" w:rsidRPr="007D2B92" w:rsidRDefault="00725CC0" w:rsidP="00FE6A3E">
            <w:pPr>
              <w:pStyle w:val="Tabletext"/>
              <w:rPr>
                <w:szCs w:val="18"/>
                <w:lang w:eastAsia="en-AU"/>
              </w:rPr>
            </w:pPr>
            <w:r w:rsidRPr="007D2B92">
              <w:rPr>
                <w:szCs w:val="18"/>
                <w:lang w:eastAsia="en-AU"/>
              </w:rPr>
              <w:t>August 2011</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Jackson L.A, Baxter R, Reisinger K. Phase III comparison of an investigational </w:t>
            </w:r>
            <w:proofErr w:type="spellStart"/>
            <w:r w:rsidRPr="007D2B92">
              <w:rPr>
                <w:szCs w:val="18"/>
              </w:rPr>
              <w:t>quadrivalent</w:t>
            </w:r>
            <w:proofErr w:type="spellEnd"/>
            <w:r w:rsidRPr="007D2B92">
              <w:rPr>
                <w:szCs w:val="18"/>
              </w:rPr>
              <w:t xml:space="preserve"> meningococcal conjugate vaccine with the licensed meningococcal ACWY conjugate vaccine in adolescents. </w:t>
            </w:r>
          </w:p>
        </w:tc>
        <w:tc>
          <w:tcPr>
            <w:tcW w:w="1177" w:type="pct"/>
            <w:tcBorders>
              <w:top w:val="nil"/>
              <w:bottom w:val="single" w:sz="4" w:space="0" w:color="auto"/>
            </w:tcBorders>
            <w:vAlign w:val="center"/>
          </w:tcPr>
          <w:p w:rsidR="00725CC0" w:rsidRPr="007D2B92" w:rsidRDefault="00725CC0" w:rsidP="00FE6A3E">
            <w:pPr>
              <w:pStyle w:val="Tabletext"/>
              <w:rPr>
                <w:i/>
              </w:rPr>
            </w:pPr>
            <w:r w:rsidRPr="007D2B92">
              <w:rPr>
                <w:szCs w:val="18"/>
              </w:rPr>
              <w:t>Clinical Infectious Diseases. 49 (1) (pp e1-e10), 2009.</w:t>
            </w:r>
          </w:p>
        </w:tc>
      </w:tr>
      <w:tr w:rsidR="00725CC0" w:rsidRPr="007D2B92" w:rsidTr="00FE6A3E">
        <w:trPr>
          <w:trHeight w:val="81"/>
        </w:trPr>
        <w:tc>
          <w:tcPr>
            <w:tcW w:w="796" w:type="pct"/>
            <w:vMerge w:val="restart"/>
            <w:tcBorders>
              <w:top w:val="single" w:sz="4" w:space="0" w:color="auto"/>
            </w:tcBorders>
            <w:vAlign w:val="center"/>
          </w:tcPr>
          <w:p w:rsidR="00725CC0" w:rsidRPr="007D2B92" w:rsidRDefault="00725CC0" w:rsidP="00FE6A3E">
            <w:pPr>
              <w:pStyle w:val="Tabletext"/>
            </w:pPr>
            <w:r w:rsidRPr="007D2B92">
              <w:t>V59P13E1</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An Open-Label, Multi-</w:t>
            </w:r>
            <w:proofErr w:type="spellStart"/>
            <w:r w:rsidRPr="007D2B92">
              <w:rPr>
                <w:szCs w:val="18"/>
              </w:rPr>
              <w:t>Center</w:t>
            </w:r>
            <w:proofErr w:type="spellEnd"/>
            <w:r w:rsidRPr="007D2B92">
              <w:rPr>
                <w:szCs w:val="18"/>
              </w:rPr>
              <w:t xml:space="preserve"> Study to Evaluate the Persistence Of Antibody Responses Among Adolescents Who Previously Received </w:t>
            </w:r>
            <w:proofErr w:type="spellStart"/>
            <w:r w:rsidRPr="007D2B92">
              <w:rPr>
                <w:szCs w:val="18"/>
              </w:rPr>
              <w:t>MenACWY</w:t>
            </w:r>
            <w:proofErr w:type="spellEnd"/>
            <w:r w:rsidRPr="007D2B92">
              <w:rPr>
                <w:szCs w:val="18"/>
              </w:rPr>
              <w:t xml:space="preserve">-CRM Conjugate Vaccine or </w:t>
            </w:r>
            <w:proofErr w:type="spellStart"/>
            <w:r w:rsidRPr="007D2B92">
              <w:rPr>
                <w:szCs w:val="18"/>
              </w:rPr>
              <w:t>Menactra</w:t>
            </w:r>
            <w:proofErr w:type="spellEnd"/>
            <w:r w:rsidRPr="007D2B92">
              <w:rPr>
                <w:szCs w:val="18"/>
              </w:rPr>
              <w:t>®</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July 2013</w:t>
            </w:r>
          </w:p>
        </w:tc>
      </w:tr>
      <w:tr w:rsidR="00725CC0" w:rsidRPr="007D2B92" w:rsidTr="00FE6A3E">
        <w:trPr>
          <w:trHeight w:val="81"/>
        </w:trPr>
        <w:tc>
          <w:tcPr>
            <w:tcW w:w="796" w:type="pct"/>
            <w:vMerge/>
            <w:vAlign w:val="center"/>
          </w:tcPr>
          <w:p w:rsidR="00725CC0" w:rsidRPr="007D2B92" w:rsidRDefault="00725CC0" w:rsidP="00FE6A3E">
            <w:pPr>
              <w:pStyle w:val="Tabletext"/>
            </w:pPr>
          </w:p>
        </w:tc>
        <w:tc>
          <w:tcPr>
            <w:tcW w:w="3027" w:type="pct"/>
            <w:tcBorders>
              <w:top w:val="nil"/>
              <w:bottom w:val="nil"/>
            </w:tcBorders>
          </w:tcPr>
          <w:p w:rsidR="00725CC0" w:rsidRPr="007D2B92" w:rsidRDefault="00725CC0" w:rsidP="00FE6A3E">
            <w:pPr>
              <w:pStyle w:val="Tabletext"/>
              <w:rPr>
                <w:szCs w:val="18"/>
                <w:lang w:eastAsia="en-AU"/>
              </w:rPr>
            </w:pPr>
            <w:r w:rsidRPr="007D2B92">
              <w:rPr>
                <w:szCs w:val="18"/>
                <w:lang w:eastAsia="en-AU"/>
              </w:rPr>
              <w:t xml:space="preserve">Baxter R, Reisinger K, Block SL, et al. Antibody persistence after primary and booster doses of a </w:t>
            </w:r>
            <w:proofErr w:type="spellStart"/>
            <w:r w:rsidRPr="007D2B92">
              <w:rPr>
                <w:szCs w:val="18"/>
                <w:lang w:eastAsia="en-AU"/>
              </w:rPr>
              <w:t>quadrivalent</w:t>
            </w:r>
            <w:proofErr w:type="spellEnd"/>
            <w:r w:rsidRPr="007D2B92">
              <w:rPr>
                <w:szCs w:val="18"/>
                <w:lang w:eastAsia="en-AU"/>
              </w:rPr>
              <w:t xml:space="preserve"> meningococcal conjugate vaccine in adolescents. </w:t>
            </w:r>
          </w:p>
        </w:tc>
        <w:tc>
          <w:tcPr>
            <w:tcW w:w="1177" w:type="pct"/>
            <w:tcBorders>
              <w:top w:val="nil"/>
              <w:bottom w:val="nil"/>
            </w:tcBorders>
            <w:vAlign w:val="center"/>
          </w:tcPr>
          <w:p w:rsidR="00725CC0" w:rsidRPr="007D2B92" w:rsidRDefault="00725CC0" w:rsidP="00FE6A3E">
            <w:pPr>
              <w:pStyle w:val="Tabletext"/>
              <w:rPr>
                <w:szCs w:val="18"/>
              </w:rPr>
            </w:pPr>
            <w:proofErr w:type="spellStart"/>
            <w:r w:rsidRPr="007D2B92">
              <w:rPr>
                <w:szCs w:val="18"/>
                <w:lang w:eastAsia="en-AU"/>
              </w:rPr>
              <w:t>Pediatr</w:t>
            </w:r>
            <w:proofErr w:type="spellEnd"/>
            <w:r w:rsidRPr="007D2B92">
              <w:rPr>
                <w:szCs w:val="18"/>
                <w:lang w:eastAsia="en-AU"/>
              </w:rPr>
              <w:t xml:space="preserve"> Infect Dis J. 2014</w:t>
            </w:r>
            <w:proofErr w:type="gramStart"/>
            <w:r w:rsidRPr="007D2B92">
              <w:rPr>
                <w:szCs w:val="18"/>
                <w:lang w:eastAsia="en-AU"/>
              </w:rPr>
              <w:t>;33</w:t>
            </w:r>
            <w:proofErr w:type="gramEnd"/>
            <w:r w:rsidRPr="007D2B92">
              <w:rPr>
                <w:szCs w:val="18"/>
                <w:lang w:eastAsia="en-AU"/>
              </w:rPr>
              <w:t>(11):1169-1176.</w:t>
            </w:r>
          </w:p>
        </w:tc>
      </w:tr>
      <w:tr w:rsidR="00725CC0" w:rsidRPr="007D2B92" w:rsidTr="00FE6A3E">
        <w:trPr>
          <w:trHeight w:val="81"/>
        </w:trPr>
        <w:tc>
          <w:tcPr>
            <w:tcW w:w="796" w:type="pct"/>
            <w:vMerge/>
            <w:vAlign w:val="center"/>
          </w:tcPr>
          <w:p w:rsidR="00725CC0" w:rsidRPr="007D2B92" w:rsidRDefault="00725CC0" w:rsidP="00FE6A3E">
            <w:pPr>
              <w:pStyle w:val="Tabletext"/>
            </w:pPr>
          </w:p>
        </w:tc>
        <w:tc>
          <w:tcPr>
            <w:tcW w:w="3027" w:type="pct"/>
            <w:tcBorders>
              <w:top w:val="nil"/>
              <w:bottom w:val="nil"/>
            </w:tcBorders>
          </w:tcPr>
          <w:p w:rsidR="00725CC0" w:rsidRPr="007D2B92" w:rsidRDefault="00725CC0" w:rsidP="00FE6A3E">
            <w:pPr>
              <w:pStyle w:val="Tabletext"/>
              <w:rPr>
                <w:szCs w:val="18"/>
                <w:lang w:eastAsia="en-AU"/>
              </w:rPr>
            </w:pPr>
            <w:r w:rsidRPr="007D2B92">
              <w:rPr>
                <w:szCs w:val="18"/>
                <w:lang w:eastAsia="en-AU"/>
              </w:rPr>
              <w:t xml:space="preserve">Baxter R, Reisinger K, Block SL. Antibody persistence and booster response of a </w:t>
            </w:r>
            <w:proofErr w:type="spellStart"/>
            <w:r w:rsidRPr="007D2B92">
              <w:rPr>
                <w:szCs w:val="18"/>
                <w:lang w:eastAsia="en-AU"/>
              </w:rPr>
              <w:t>quadrivalent</w:t>
            </w:r>
            <w:proofErr w:type="spellEnd"/>
            <w:r w:rsidRPr="007D2B92">
              <w:rPr>
                <w:szCs w:val="18"/>
                <w:lang w:eastAsia="en-AU"/>
              </w:rPr>
              <w:t xml:space="preserve"> meningococcal conjugate vaccine in adolescents. </w:t>
            </w:r>
          </w:p>
        </w:tc>
        <w:tc>
          <w:tcPr>
            <w:tcW w:w="1177" w:type="pct"/>
            <w:tcBorders>
              <w:top w:val="nil"/>
              <w:bottom w:val="nil"/>
            </w:tcBorders>
            <w:vAlign w:val="center"/>
          </w:tcPr>
          <w:p w:rsidR="00725CC0" w:rsidRPr="007D2B92" w:rsidRDefault="00725CC0" w:rsidP="00FE6A3E">
            <w:pPr>
              <w:pStyle w:val="Tabletext"/>
              <w:rPr>
                <w:szCs w:val="18"/>
              </w:rPr>
            </w:pPr>
            <w:r w:rsidRPr="007D2B92">
              <w:rPr>
                <w:szCs w:val="18"/>
                <w:lang w:eastAsia="en-AU"/>
              </w:rPr>
              <w:t xml:space="preserve">Journal of </w:t>
            </w:r>
            <w:proofErr w:type="spellStart"/>
            <w:r w:rsidRPr="007D2B92">
              <w:rPr>
                <w:szCs w:val="18"/>
                <w:lang w:eastAsia="en-AU"/>
              </w:rPr>
              <w:t>Pediatrics</w:t>
            </w:r>
            <w:proofErr w:type="spellEnd"/>
            <w:r w:rsidRPr="007D2B92">
              <w:rPr>
                <w:szCs w:val="18"/>
                <w:lang w:eastAsia="en-AU"/>
              </w:rPr>
              <w:t>. 2014;164(6):1409-15</w:t>
            </w:r>
          </w:p>
        </w:tc>
      </w:tr>
      <w:tr w:rsidR="00725CC0" w:rsidRPr="007D2B92" w:rsidTr="00F0313D">
        <w:trPr>
          <w:trHeight w:val="81"/>
        </w:trPr>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tcPr>
          <w:p w:rsidR="00725CC0" w:rsidRPr="007D2B92" w:rsidRDefault="00725CC0" w:rsidP="00FE6A3E">
            <w:pPr>
              <w:pStyle w:val="Tabletext"/>
              <w:rPr>
                <w:szCs w:val="18"/>
                <w:lang w:eastAsia="en-AU"/>
              </w:rPr>
            </w:pPr>
            <w:r w:rsidRPr="007D2B92">
              <w:rPr>
                <w:szCs w:val="18"/>
                <w:lang w:eastAsia="en-AU"/>
              </w:rPr>
              <w:t xml:space="preserve">Gill C.J, Baxter R, </w:t>
            </w:r>
            <w:proofErr w:type="spellStart"/>
            <w:proofErr w:type="gramStart"/>
            <w:r w:rsidRPr="007D2B92">
              <w:rPr>
                <w:szCs w:val="18"/>
                <w:lang w:eastAsia="en-AU"/>
              </w:rPr>
              <w:t>Anemona</w:t>
            </w:r>
            <w:proofErr w:type="spellEnd"/>
            <w:proofErr w:type="gramEnd"/>
            <w:r w:rsidRPr="007D2B92">
              <w:rPr>
                <w:szCs w:val="18"/>
                <w:lang w:eastAsia="en-AU"/>
              </w:rPr>
              <w:t xml:space="preserve"> A et al.</w:t>
            </w:r>
            <w:r w:rsidR="004D4C3E" w:rsidRPr="007D2B92">
              <w:rPr>
                <w:szCs w:val="18"/>
                <w:lang w:eastAsia="en-AU"/>
              </w:rPr>
              <w:t xml:space="preserve"> </w:t>
            </w:r>
            <w:r w:rsidRPr="007D2B92">
              <w:rPr>
                <w:szCs w:val="18"/>
                <w:lang w:eastAsia="en-AU"/>
              </w:rPr>
              <w:t>Persistence of immune responses after a single dose of Novartis meningococcal serogroup A, C, W-135 and Y CRM-197 conjugate vaccine (</w:t>
            </w:r>
            <w:proofErr w:type="spellStart"/>
            <w:r w:rsidRPr="007D2B92">
              <w:rPr>
                <w:szCs w:val="18"/>
                <w:lang w:eastAsia="en-AU"/>
              </w:rPr>
              <w:t>Menveo</w:t>
            </w:r>
            <w:proofErr w:type="spellEnd"/>
            <w:r w:rsidRPr="007D2B92">
              <w:rPr>
                <w:szCs w:val="18"/>
                <w:lang w:eastAsia="en-AU"/>
              </w:rPr>
              <w:t xml:space="preserve">) or </w:t>
            </w:r>
            <w:proofErr w:type="spellStart"/>
            <w:r w:rsidRPr="007D2B92">
              <w:rPr>
                <w:szCs w:val="18"/>
                <w:lang w:eastAsia="en-AU"/>
              </w:rPr>
              <w:t>Menactra</w:t>
            </w:r>
            <w:proofErr w:type="spellEnd"/>
            <w:r w:rsidRPr="007D2B92">
              <w:rPr>
                <w:szCs w:val="18"/>
                <w:lang w:eastAsia="en-AU"/>
              </w:rPr>
              <w:t xml:space="preserve"> among healthy adolescents.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lang w:eastAsia="en-AU"/>
              </w:rPr>
              <w:t>Human Vaccines. 2010;6(11): 881-887</w:t>
            </w:r>
          </w:p>
        </w:tc>
      </w:tr>
      <w:tr w:rsidR="00725CC0" w:rsidRPr="007D2B92" w:rsidTr="00F0313D">
        <w:tc>
          <w:tcPr>
            <w:tcW w:w="796" w:type="pct"/>
            <w:vMerge w:val="restart"/>
            <w:tcBorders>
              <w:top w:val="single" w:sz="4" w:space="0" w:color="auto"/>
            </w:tcBorders>
            <w:vAlign w:val="center"/>
          </w:tcPr>
          <w:p w:rsidR="00725CC0" w:rsidRPr="007D2B92" w:rsidRDefault="00725CC0" w:rsidP="00FE6A3E">
            <w:pPr>
              <w:pStyle w:val="Tabletext"/>
            </w:pPr>
          </w:p>
          <w:p w:rsidR="00725CC0" w:rsidRPr="007D2B92" w:rsidRDefault="00725CC0" w:rsidP="00FE6A3E">
            <w:pPr>
              <w:pStyle w:val="Tabletext"/>
            </w:pPr>
            <w:r w:rsidRPr="007D2B92">
              <w:t>V59P6</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A Phase 2, Randomized, Single-blind, Controlled, </w:t>
            </w:r>
            <w:proofErr w:type="spellStart"/>
            <w:r w:rsidRPr="007D2B92">
              <w:rPr>
                <w:szCs w:val="18"/>
              </w:rPr>
              <w:t>Multicenter</w:t>
            </w:r>
            <w:proofErr w:type="spellEnd"/>
            <w:r w:rsidRPr="007D2B92">
              <w:rPr>
                <w:szCs w:val="18"/>
              </w:rPr>
              <w:t xml:space="preserve"> Study to Compare the Safety and Immune Response of One Dose of Chiron Meningococcal ACWY Conjugate Vaccine With or Without </w:t>
            </w:r>
            <w:proofErr w:type="spellStart"/>
            <w:r w:rsidRPr="007D2B92">
              <w:rPr>
                <w:szCs w:val="18"/>
              </w:rPr>
              <w:t>Aluminum</w:t>
            </w:r>
            <w:proofErr w:type="spellEnd"/>
            <w:r w:rsidRPr="007D2B92">
              <w:rPr>
                <w:szCs w:val="18"/>
              </w:rPr>
              <w:t xml:space="preserve"> Phosphate Adjuvant With the Safety and Immune Response of One Dose of Licensed Meningococcal ACWY Polysaccharide Vaccine (</w:t>
            </w:r>
            <w:proofErr w:type="spellStart"/>
            <w:r w:rsidRPr="007D2B92">
              <w:rPr>
                <w:szCs w:val="18"/>
              </w:rPr>
              <w:t>Menomune</w:t>
            </w:r>
            <w:proofErr w:type="spellEnd"/>
            <w:r w:rsidRPr="007D2B92">
              <w:rPr>
                <w:szCs w:val="18"/>
              </w:rPr>
              <w:t>®) Administered to Healthy Adolescents 11 to 17 Years of Age.</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March 2008</w:t>
            </w:r>
          </w:p>
        </w:tc>
      </w:tr>
      <w:tr w:rsidR="00725CC0" w:rsidRPr="007D2B92" w:rsidTr="00F0313D">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Jackson LA, Jacobson RM, Reisinger KS et al. A randomized trial to determine the tolerability and immunogenicity of a </w:t>
            </w:r>
            <w:proofErr w:type="spellStart"/>
            <w:r w:rsidRPr="007D2B92">
              <w:rPr>
                <w:szCs w:val="18"/>
              </w:rPr>
              <w:t>quadrivalent</w:t>
            </w:r>
            <w:proofErr w:type="spellEnd"/>
            <w:r w:rsidRPr="007D2B92">
              <w:rPr>
                <w:szCs w:val="18"/>
              </w:rPr>
              <w:t xml:space="preserve"> meningococcal </w:t>
            </w:r>
            <w:proofErr w:type="spellStart"/>
            <w:r w:rsidRPr="007D2B92">
              <w:rPr>
                <w:szCs w:val="18"/>
              </w:rPr>
              <w:t>glycoconjugate</w:t>
            </w:r>
            <w:proofErr w:type="spellEnd"/>
            <w:r w:rsidRPr="007D2B92">
              <w:rPr>
                <w:szCs w:val="18"/>
              </w:rPr>
              <w:t xml:space="preserve"> vaccine in healthy adolescents. </w:t>
            </w:r>
          </w:p>
        </w:tc>
        <w:tc>
          <w:tcPr>
            <w:tcW w:w="1177" w:type="pct"/>
            <w:tcBorders>
              <w:top w:val="single" w:sz="4" w:space="0" w:color="auto"/>
              <w:bottom w:val="single" w:sz="4" w:space="0" w:color="auto"/>
            </w:tcBorders>
            <w:vAlign w:val="center"/>
          </w:tcPr>
          <w:p w:rsidR="00725CC0" w:rsidRPr="007D2B92" w:rsidRDefault="00725CC0" w:rsidP="00FE6A3E">
            <w:pPr>
              <w:pStyle w:val="Tabletext"/>
            </w:pPr>
            <w:proofErr w:type="spellStart"/>
            <w:r w:rsidRPr="007D2B92">
              <w:rPr>
                <w:szCs w:val="18"/>
              </w:rPr>
              <w:t>Pediatric</w:t>
            </w:r>
            <w:proofErr w:type="spellEnd"/>
            <w:r w:rsidRPr="007D2B92">
              <w:rPr>
                <w:szCs w:val="18"/>
              </w:rPr>
              <w:t xml:space="preserve"> Infectious Disease Journal. 28 (2) (pp 86-91), 2009.</w:t>
            </w:r>
          </w:p>
        </w:tc>
      </w:tr>
      <w:tr w:rsidR="00725CC0" w:rsidRPr="007D2B92" w:rsidTr="00FE6A3E">
        <w:tc>
          <w:tcPr>
            <w:tcW w:w="796" w:type="pct"/>
            <w:vMerge w:val="restart"/>
            <w:vAlign w:val="center"/>
          </w:tcPr>
          <w:p w:rsidR="00725CC0" w:rsidRPr="007D2B92" w:rsidRDefault="00725CC0" w:rsidP="00FE6A3E">
            <w:pPr>
              <w:pStyle w:val="Tabletext"/>
            </w:pPr>
            <w:r w:rsidRPr="007D2B92">
              <w:t>V59P6E1</w:t>
            </w: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Phase 2b, Open-Label, Multi-</w:t>
            </w:r>
            <w:proofErr w:type="spellStart"/>
            <w:r w:rsidRPr="007D2B92">
              <w:rPr>
                <w:szCs w:val="18"/>
              </w:rPr>
              <w:t>Center</w:t>
            </w:r>
            <w:proofErr w:type="spellEnd"/>
            <w:r w:rsidRPr="007D2B92">
              <w:rPr>
                <w:szCs w:val="18"/>
              </w:rPr>
              <w:t xml:space="preserve"> Study to Evaluate the Persistence of Antibody Response and to Assess the Immune Response to a Booster Dose of </w:t>
            </w:r>
            <w:proofErr w:type="spellStart"/>
            <w:r w:rsidRPr="007D2B92">
              <w:rPr>
                <w:szCs w:val="18"/>
              </w:rPr>
              <w:t>MenACWY</w:t>
            </w:r>
            <w:proofErr w:type="spellEnd"/>
            <w:r w:rsidRPr="007D2B92">
              <w:rPr>
                <w:szCs w:val="18"/>
              </w:rPr>
              <w:t xml:space="preserve"> Conjugate Vaccine in Subjects Previously Vaccinated as Adolescents with Either </w:t>
            </w:r>
            <w:proofErr w:type="spellStart"/>
            <w:r w:rsidRPr="007D2B92">
              <w:rPr>
                <w:szCs w:val="18"/>
              </w:rPr>
              <w:t>MenACWY</w:t>
            </w:r>
            <w:proofErr w:type="spellEnd"/>
            <w:r w:rsidRPr="007D2B92">
              <w:rPr>
                <w:szCs w:val="18"/>
              </w:rPr>
              <w:t xml:space="preserve"> Conjugate Vaccine or </w:t>
            </w:r>
            <w:proofErr w:type="spellStart"/>
            <w:r w:rsidRPr="007D2B92">
              <w:rPr>
                <w:szCs w:val="18"/>
              </w:rPr>
              <w:t>Menomune</w:t>
            </w:r>
            <w:proofErr w:type="spellEnd"/>
            <w:r w:rsidRPr="007D2B92">
              <w:rPr>
                <w:szCs w:val="18"/>
              </w:rPr>
              <w:t>®</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June 2011</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Jacobson RM, Jackson LA, Reisinger K, </w:t>
            </w:r>
            <w:proofErr w:type="spellStart"/>
            <w:r w:rsidRPr="007D2B92">
              <w:rPr>
                <w:szCs w:val="18"/>
              </w:rPr>
              <w:t>Izu</w:t>
            </w:r>
            <w:proofErr w:type="spellEnd"/>
            <w:r w:rsidRPr="007D2B92">
              <w:rPr>
                <w:szCs w:val="18"/>
              </w:rPr>
              <w:t xml:space="preserve"> A, </w:t>
            </w:r>
            <w:proofErr w:type="spellStart"/>
            <w:r w:rsidRPr="007D2B92">
              <w:rPr>
                <w:szCs w:val="18"/>
              </w:rPr>
              <w:t>Odrljin</w:t>
            </w:r>
            <w:proofErr w:type="spellEnd"/>
            <w:r w:rsidRPr="007D2B92">
              <w:rPr>
                <w:szCs w:val="18"/>
              </w:rPr>
              <w:t xml:space="preserve"> T, Dull PM. Antibody persistence and response to a booster dose of a </w:t>
            </w:r>
            <w:proofErr w:type="spellStart"/>
            <w:r w:rsidRPr="007D2B92">
              <w:rPr>
                <w:szCs w:val="18"/>
              </w:rPr>
              <w:t>quadrivalent</w:t>
            </w:r>
            <w:proofErr w:type="spellEnd"/>
            <w:r w:rsidRPr="007D2B92">
              <w:rPr>
                <w:szCs w:val="18"/>
              </w:rPr>
              <w:t xml:space="preserve"> conjugate vaccine for meningococcal disease in adolescents. </w:t>
            </w:r>
          </w:p>
        </w:tc>
        <w:tc>
          <w:tcPr>
            <w:tcW w:w="1177" w:type="pct"/>
            <w:tcBorders>
              <w:top w:val="nil"/>
              <w:bottom w:val="single" w:sz="4" w:space="0" w:color="auto"/>
            </w:tcBorders>
            <w:vAlign w:val="center"/>
          </w:tcPr>
          <w:p w:rsidR="00725CC0" w:rsidRPr="007D2B92" w:rsidRDefault="00725CC0" w:rsidP="00FE6A3E">
            <w:pPr>
              <w:pStyle w:val="Tabletext"/>
              <w:rPr>
                <w:szCs w:val="18"/>
              </w:rPr>
            </w:pPr>
            <w:proofErr w:type="spellStart"/>
            <w:r w:rsidRPr="007D2B92">
              <w:rPr>
                <w:szCs w:val="18"/>
              </w:rPr>
              <w:t>Pediatr</w:t>
            </w:r>
            <w:proofErr w:type="spellEnd"/>
            <w:r w:rsidRPr="007D2B92">
              <w:rPr>
                <w:szCs w:val="18"/>
              </w:rPr>
              <w:t xml:space="preserve"> Infect Dis J. 2013</w:t>
            </w:r>
            <w:proofErr w:type="gramStart"/>
            <w:r w:rsidRPr="007D2B92">
              <w:rPr>
                <w:szCs w:val="18"/>
              </w:rPr>
              <w:t>;32</w:t>
            </w:r>
            <w:proofErr w:type="gramEnd"/>
            <w:r w:rsidRPr="007D2B92">
              <w:rPr>
                <w:szCs w:val="18"/>
              </w:rPr>
              <w:t>(4):e170-e177.</w:t>
            </w:r>
          </w:p>
        </w:tc>
      </w:tr>
      <w:tr w:rsidR="00725CC0" w:rsidRPr="007D2B92" w:rsidTr="00FE6A3E">
        <w:tc>
          <w:tcPr>
            <w:tcW w:w="796" w:type="pct"/>
            <w:tcBorders>
              <w:top w:val="single" w:sz="4" w:space="0" w:color="auto"/>
              <w:bottom w:val="single" w:sz="4" w:space="0" w:color="auto"/>
            </w:tcBorders>
            <w:vAlign w:val="center"/>
          </w:tcPr>
          <w:p w:rsidR="00725CC0" w:rsidRPr="007D2B92" w:rsidRDefault="00725CC0" w:rsidP="00FE6A3E">
            <w:pPr>
              <w:pStyle w:val="Tabletext"/>
            </w:pPr>
            <w:proofErr w:type="spellStart"/>
            <w:r w:rsidRPr="007D2B92">
              <w:t>Ishola</w:t>
            </w:r>
            <w:proofErr w:type="spellEnd"/>
            <w:r w:rsidRPr="007D2B92">
              <w:t xml:space="preserve"> 2015</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Ishola</w:t>
            </w:r>
            <w:proofErr w:type="spellEnd"/>
            <w:r w:rsidRPr="007D2B92">
              <w:rPr>
                <w:szCs w:val="18"/>
              </w:rPr>
              <w:t xml:space="preserve"> D, Andrews N, </w:t>
            </w:r>
            <w:proofErr w:type="spellStart"/>
            <w:r w:rsidRPr="007D2B92">
              <w:rPr>
                <w:szCs w:val="18"/>
              </w:rPr>
              <w:t>Waight</w:t>
            </w:r>
            <w:proofErr w:type="spellEnd"/>
            <w:r w:rsidRPr="007D2B92">
              <w:rPr>
                <w:szCs w:val="18"/>
              </w:rPr>
              <w:t xml:space="preserve"> P. Randomized Trial to Compare the Immunogenicity and Safety of a CRM or TT Conjugated </w:t>
            </w:r>
            <w:proofErr w:type="spellStart"/>
            <w:r w:rsidRPr="007D2B92">
              <w:rPr>
                <w:szCs w:val="18"/>
              </w:rPr>
              <w:t>Quadrivalent</w:t>
            </w:r>
            <w:proofErr w:type="spellEnd"/>
            <w:r w:rsidRPr="007D2B92">
              <w:rPr>
                <w:szCs w:val="18"/>
              </w:rPr>
              <w:t xml:space="preserve"> Meningococcal Vaccine in Teenagers who Received a CRM or TT Conjugated Serogroup C Vaccine at Preschool Age.</w:t>
            </w:r>
          </w:p>
        </w:tc>
        <w:tc>
          <w:tcPr>
            <w:tcW w:w="1177" w:type="pct"/>
            <w:tcBorders>
              <w:top w:val="single" w:sz="4" w:space="0" w:color="auto"/>
              <w:bottom w:val="single" w:sz="4" w:space="0" w:color="auto"/>
            </w:tcBorders>
            <w:vAlign w:val="center"/>
          </w:tcPr>
          <w:p w:rsidR="00725CC0" w:rsidRPr="007D2B92" w:rsidRDefault="00725CC0" w:rsidP="00FE6A3E">
            <w:pPr>
              <w:pStyle w:val="Tabletext"/>
              <w:rPr>
                <w:i/>
                <w:szCs w:val="18"/>
              </w:rPr>
            </w:pPr>
            <w:proofErr w:type="spellStart"/>
            <w:r w:rsidRPr="007D2B92">
              <w:rPr>
                <w:szCs w:val="18"/>
              </w:rPr>
              <w:t>Pediatr</w:t>
            </w:r>
            <w:proofErr w:type="spellEnd"/>
            <w:r w:rsidRPr="007D2B92">
              <w:rPr>
                <w:szCs w:val="18"/>
              </w:rPr>
              <w:t xml:space="preserve"> Infect Dis J 2015;34:865–874</w:t>
            </w:r>
          </w:p>
        </w:tc>
      </w:tr>
      <w:tr w:rsidR="00725CC0" w:rsidRPr="007D2B92" w:rsidTr="00FE6A3E">
        <w:tc>
          <w:tcPr>
            <w:tcW w:w="3823" w:type="pct"/>
            <w:gridSpan w:val="2"/>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Menveo</w:t>
            </w:r>
            <w:proofErr w:type="spellEnd"/>
            <w:r w:rsidRPr="007D2B92">
              <w:rPr>
                <w:szCs w:val="18"/>
              </w:rPr>
              <w:t xml:space="preserve"> comparative trials in which a single arm was analysed</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V102-02</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Phase 2, Observer Blinded, Controlled, Randomized Multi-</w:t>
            </w:r>
            <w:proofErr w:type="spellStart"/>
            <w:r w:rsidRPr="007D2B92">
              <w:rPr>
                <w:szCs w:val="18"/>
              </w:rPr>
              <w:t>Center</w:t>
            </w:r>
            <w:proofErr w:type="spellEnd"/>
            <w:r w:rsidRPr="007D2B92">
              <w:rPr>
                <w:szCs w:val="18"/>
              </w:rPr>
              <w:t xml:space="preserve"> Study in Adolescents, to Evaluate Safety, Tolerability and Immunogenicity of Four Different </w:t>
            </w:r>
            <w:proofErr w:type="spellStart"/>
            <w:r w:rsidRPr="007D2B92">
              <w:rPr>
                <w:szCs w:val="18"/>
              </w:rPr>
              <w:t>rMenB</w:t>
            </w:r>
            <w:proofErr w:type="spellEnd"/>
            <w:r w:rsidRPr="007D2B92">
              <w:rPr>
                <w:szCs w:val="18"/>
              </w:rPr>
              <w:t xml:space="preserve"> plus </w:t>
            </w:r>
            <w:proofErr w:type="spellStart"/>
            <w:r w:rsidRPr="007D2B92">
              <w:rPr>
                <w:szCs w:val="18"/>
              </w:rPr>
              <w:t>MenACWY</w:t>
            </w:r>
            <w:proofErr w:type="spellEnd"/>
            <w:r w:rsidRPr="007D2B92">
              <w:rPr>
                <w:szCs w:val="18"/>
              </w:rPr>
              <w:t xml:space="preserve"> Formulations.</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March 2013</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proofErr w:type="spellStart"/>
            <w:r w:rsidRPr="007D2B92">
              <w:rPr>
                <w:szCs w:val="18"/>
              </w:rPr>
              <w:t>Saez-Llorens</w:t>
            </w:r>
            <w:proofErr w:type="spellEnd"/>
            <w:r w:rsidRPr="007D2B92">
              <w:rPr>
                <w:szCs w:val="18"/>
              </w:rPr>
              <w:t xml:space="preserve"> X, </w:t>
            </w:r>
            <w:proofErr w:type="spellStart"/>
            <w:r w:rsidRPr="007D2B92">
              <w:rPr>
                <w:szCs w:val="18"/>
              </w:rPr>
              <w:t>Vaca</w:t>
            </w:r>
            <w:proofErr w:type="spellEnd"/>
            <w:r w:rsidRPr="007D2B92">
              <w:rPr>
                <w:szCs w:val="18"/>
              </w:rPr>
              <w:t xml:space="preserve"> D.C.A, </w:t>
            </w:r>
            <w:proofErr w:type="spellStart"/>
            <w:r w:rsidRPr="007D2B92">
              <w:rPr>
                <w:szCs w:val="18"/>
              </w:rPr>
              <w:t>Abarca</w:t>
            </w:r>
            <w:proofErr w:type="spellEnd"/>
            <w:r w:rsidRPr="007D2B92">
              <w:rPr>
                <w:szCs w:val="18"/>
              </w:rPr>
              <w:t xml:space="preserve"> K. Immunogenicity and safety of investigational vaccine formulations against meningococcal serogroups A, B, C, W, and Y in healthy adolescents.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Human Vaccines and </w:t>
            </w:r>
            <w:proofErr w:type="spellStart"/>
            <w:r w:rsidRPr="007D2B92">
              <w:rPr>
                <w:szCs w:val="18"/>
              </w:rPr>
              <w:t>Immunotherapeutics</w:t>
            </w:r>
            <w:proofErr w:type="spellEnd"/>
            <w:r w:rsidRPr="007D2B92">
              <w:rPr>
                <w:szCs w:val="18"/>
              </w:rPr>
              <w:t>. 11 (6) (pp 1507-1517), 2015.</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V102-03</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Phase 2, Observer Blinded, Controlled, Randomized Multi-</w:t>
            </w:r>
            <w:proofErr w:type="spellStart"/>
            <w:r w:rsidRPr="007D2B92">
              <w:rPr>
                <w:szCs w:val="18"/>
              </w:rPr>
              <w:t>Center</w:t>
            </w:r>
            <w:proofErr w:type="spellEnd"/>
            <w:r w:rsidRPr="007D2B92">
              <w:rPr>
                <w:szCs w:val="18"/>
              </w:rPr>
              <w:t xml:space="preserve"> Study in Adolescents and Young Adults to Evaluate Safety and Immunogenicity of Two Different </w:t>
            </w:r>
            <w:proofErr w:type="spellStart"/>
            <w:r w:rsidRPr="007D2B92">
              <w:rPr>
                <w:szCs w:val="18"/>
              </w:rPr>
              <w:t>rMenB</w:t>
            </w:r>
            <w:proofErr w:type="spellEnd"/>
            <w:r w:rsidRPr="007D2B92">
              <w:rPr>
                <w:szCs w:val="18"/>
              </w:rPr>
              <w:t xml:space="preserve"> with OMV + </w:t>
            </w:r>
            <w:proofErr w:type="spellStart"/>
            <w:r w:rsidRPr="007D2B92">
              <w:rPr>
                <w:szCs w:val="18"/>
              </w:rPr>
              <w:t>MenACWY</w:t>
            </w:r>
            <w:proofErr w:type="spellEnd"/>
            <w:r w:rsidRPr="007D2B92">
              <w:rPr>
                <w:szCs w:val="18"/>
              </w:rPr>
              <w:t xml:space="preserve"> Combination Vaccination Formulations.</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December 2013</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Block S.L, </w:t>
            </w:r>
            <w:proofErr w:type="spellStart"/>
            <w:r w:rsidRPr="007D2B92">
              <w:rPr>
                <w:szCs w:val="18"/>
              </w:rPr>
              <w:t>Szenborn</w:t>
            </w:r>
            <w:proofErr w:type="spellEnd"/>
            <w:r w:rsidRPr="007D2B92">
              <w:rPr>
                <w:szCs w:val="18"/>
              </w:rPr>
              <w:t xml:space="preserve"> L, Daly W. A comparative evaluation of two investigational meningococcal ABCWY vaccine formulations: Results of a phase 2 randomized, controlled trial.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Vaccine 33 (2015) 2500–2510</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V59P20E1</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A Phase IV, Open-Label, Controlled, Multi-</w:t>
            </w:r>
            <w:proofErr w:type="spellStart"/>
            <w:r w:rsidRPr="007D2B92">
              <w:rPr>
                <w:szCs w:val="18"/>
              </w:rPr>
              <w:t>Center</w:t>
            </w:r>
            <w:proofErr w:type="spellEnd"/>
            <w:r w:rsidRPr="007D2B92">
              <w:rPr>
                <w:szCs w:val="18"/>
              </w:rPr>
              <w:t xml:space="preserve"> Study To Evaluate The 5-Year Antibody Persistence Among Children Who Previously Received Novartis </w:t>
            </w:r>
            <w:proofErr w:type="spellStart"/>
            <w:r w:rsidRPr="007D2B92">
              <w:rPr>
                <w:szCs w:val="18"/>
              </w:rPr>
              <w:t>MenACWY</w:t>
            </w:r>
            <w:proofErr w:type="spellEnd"/>
            <w:r w:rsidRPr="007D2B92">
              <w:rPr>
                <w:szCs w:val="18"/>
              </w:rPr>
              <w:t xml:space="preserve"> Conjugate Vaccine At 2 To 10 Years Of Age And To Assess The Immune Response To A Single Dose Of Novartis </w:t>
            </w:r>
            <w:proofErr w:type="spellStart"/>
            <w:r w:rsidRPr="007D2B92">
              <w:rPr>
                <w:szCs w:val="18"/>
              </w:rPr>
              <w:t>MenACWY</w:t>
            </w:r>
            <w:proofErr w:type="spellEnd"/>
            <w:r w:rsidRPr="007D2B92">
              <w:rPr>
                <w:szCs w:val="18"/>
              </w:rPr>
              <w:t xml:space="preserve"> Conjugate Vaccine</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June 2014</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Block SL, Christensen S, </w:t>
            </w:r>
            <w:proofErr w:type="spellStart"/>
            <w:r w:rsidRPr="007D2B92">
              <w:rPr>
                <w:szCs w:val="18"/>
              </w:rPr>
              <w:t>Verma</w:t>
            </w:r>
            <w:proofErr w:type="spellEnd"/>
            <w:r w:rsidRPr="007D2B92">
              <w:rPr>
                <w:szCs w:val="18"/>
              </w:rPr>
              <w:t xml:space="preserve"> B, et al. Antibody persistence 5 years after vaccination at 2 to 10 years of age with </w:t>
            </w:r>
            <w:proofErr w:type="spellStart"/>
            <w:r w:rsidRPr="007D2B92">
              <w:rPr>
                <w:szCs w:val="18"/>
              </w:rPr>
              <w:t>Quadrivalent</w:t>
            </w:r>
            <w:proofErr w:type="spellEnd"/>
            <w:r w:rsidRPr="007D2B92">
              <w:rPr>
                <w:szCs w:val="18"/>
              </w:rPr>
              <w:t xml:space="preserve"> </w:t>
            </w:r>
            <w:proofErr w:type="spellStart"/>
            <w:r w:rsidRPr="007D2B92">
              <w:rPr>
                <w:szCs w:val="18"/>
              </w:rPr>
              <w:t>MenACWY</w:t>
            </w:r>
            <w:proofErr w:type="spellEnd"/>
            <w:r w:rsidRPr="007D2B92">
              <w:rPr>
                <w:szCs w:val="18"/>
              </w:rPr>
              <w:t xml:space="preserve">-CRM </w:t>
            </w:r>
            <w:proofErr w:type="gramStart"/>
            <w:r w:rsidRPr="007D2B92">
              <w:rPr>
                <w:szCs w:val="18"/>
              </w:rPr>
              <w:t>conjugate</w:t>
            </w:r>
            <w:proofErr w:type="gramEnd"/>
            <w:r w:rsidRPr="007D2B92">
              <w:rPr>
                <w:szCs w:val="18"/>
              </w:rPr>
              <w:t xml:space="preserve"> vaccine, and responses to a booster vaccination.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Vaccine 2015</w:t>
            </w:r>
            <w:proofErr w:type="gramStart"/>
            <w:r w:rsidRPr="007D2B92">
              <w:rPr>
                <w:szCs w:val="18"/>
              </w:rPr>
              <w:t>;33:2175</w:t>
            </w:r>
            <w:proofErr w:type="gramEnd"/>
            <w:r w:rsidRPr="007D2B92">
              <w:rPr>
                <w:szCs w:val="18"/>
              </w:rPr>
              <w:t>-82.</w:t>
            </w:r>
          </w:p>
        </w:tc>
      </w:tr>
      <w:tr w:rsidR="00725CC0" w:rsidRPr="007D2B92" w:rsidTr="00FE6A3E">
        <w:tc>
          <w:tcPr>
            <w:tcW w:w="5000" w:type="pct"/>
            <w:gridSpan w:val="3"/>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Menveo</w:t>
            </w:r>
            <w:proofErr w:type="spellEnd"/>
            <w:r w:rsidRPr="007D2B92">
              <w:rPr>
                <w:szCs w:val="18"/>
              </w:rPr>
              <w:t xml:space="preserve"> Single Arm Trials</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V59_43d</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A phase 3, multi-</w:t>
            </w:r>
            <w:proofErr w:type="spellStart"/>
            <w:r w:rsidRPr="007D2B92">
              <w:rPr>
                <w:szCs w:val="18"/>
              </w:rPr>
              <w:t>center</w:t>
            </w:r>
            <w:proofErr w:type="spellEnd"/>
            <w:r w:rsidRPr="007D2B92">
              <w:rPr>
                <w:szCs w:val="18"/>
              </w:rPr>
              <w:t>, open-label study to evaluate immunogenicity and safety of Novartis Meningococcal ACWY conjugate vaccine (</w:t>
            </w:r>
            <w:proofErr w:type="spellStart"/>
            <w:r w:rsidRPr="007D2B92">
              <w:rPr>
                <w:szCs w:val="18"/>
              </w:rPr>
              <w:t>MenACWY</w:t>
            </w:r>
            <w:proofErr w:type="spellEnd"/>
            <w:r w:rsidRPr="007D2B92">
              <w:rPr>
                <w:szCs w:val="18"/>
              </w:rPr>
              <w:t>-CRM) in healthy subjects from 2 to 75 years of age in India.</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November 2014</w:t>
            </w:r>
          </w:p>
        </w:tc>
      </w:tr>
      <w:tr w:rsidR="00725CC0" w:rsidRPr="007D2B92" w:rsidTr="00FE6A3E">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Lalwani</w:t>
            </w:r>
            <w:proofErr w:type="spellEnd"/>
            <w:r w:rsidRPr="007D2B92">
              <w:rPr>
                <w:szCs w:val="18"/>
              </w:rPr>
              <w:t xml:space="preserve"> S, </w:t>
            </w:r>
            <w:proofErr w:type="spellStart"/>
            <w:r w:rsidRPr="007D2B92">
              <w:rPr>
                <w:szCs w:val="18"/>
              </w:rPr>
              <w:t>Agarkhedkar</w:t>
            </w:r>
            <w:proofErr w:type="spellEnd"/>
            <w:r w:rsidRPr="007D2B92">
              <w:rPr>
                <w:szCs w:val="18"/>
              </w:rPr>
              <w:t xml:space="preserve"> S, </w:t>
            </w:r>
            <w:proofErr w:type="spellStart"/>
            <w:r w:rsidRPr="007D2B92">
              <w:rPr>
                <w:szCs w:val="18"/>
              </w:rPr>
              <w:t>Gogtay</w:t>
            </w:r>
            <w:proofErr w:type="spellEnd"/>
            <w:r w:rsidRPr="007D2B92">
              <w:rPr>
                <w:szCs w:val="18"/>
              </w:rPr>
              <w:t xml:space="preserve"> N, et al. Safety and immunogenicity of an investigational meningococcal ACWY conjugate vaccine (</w:t>
            </w:r>
            <w:proofErr w:type="spellStart"/>
            <w:r w:rsidRPr="007D2B92">
              <w:rPr>
                <w:szCs w:val="18"/>
              </w:rPr>
              <w:t>MenACWY</w:t>
            </w:r>
            <w:proofErr w:type="spellEnd"/>
            <w:r w:rsidRPr="007D2B92">
              <w:rPr>
                <w:szCs w:val="18"/>
              </w:rPr>
              <w:t xml:space="preserve">-CRM) in healthy Indian subjects aged 2 to 75 years.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Int</w:t>
            </w:r>
            <w:proofErr w:type="spellEnd"/>
            <w:r w:rsidRPr="007D2B92">
              <w:rPr>
                <w:szCs w:val="18"/>
              </w:rPr>
              <w:t xml:space="preserve"> J Infect Dis 2015</w:t>
            </w:r>
            <w:proofErr w:type="gramStart"/>
            <w:r w:rsidRPr="007D2B92">
              <w:rPr>
                <w:szCs w:val="18"/>
              </w:rPr>
              <w:t>;38:36</w:t>
            </w:r>
            <w:proofErr w:type="gramEnd"/>
            <w:r w:rsidRPr="007D2B92">
              <w:rPr>
                <w:szCs w:val="18"/>
              </w:rPr>
              <w:t>-42.</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V59_49d</w:t>
            </w:r>
          </w:p>
        </w:tc>
        <w:tc>
          <w:tcPr>
            <w:tcW w:w="302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 xml:space="preserve">A phase 3, </w:t>
            </w:r>
            <w:proofErr w:type="spellStart"/>
            <w:r w:rsidRPr="007D2B92">
              <w:rPr>
                <w:szCs w:val="18"/>
              </w:rPr>
              <w:t>multicenter</w:t>
            </w:r>
            <w:proofErr w:type="spellEnd"/>
            <w:r w:rsidRPr="007D2B92">
              <w:rPr>
                <w:szCs w:val="18"/>
              </w:rPr>
              <w:t>, open-label study to evaluate immunogenicity and safety of Novartis Meningococcal ACWY conjugate vaccine (</w:t>
            </w:r>
            <w:proofErr w:type="spellStart"/>
            <w:r w:rsidRPr="007D2B92">
              <w:rPr>
                <w:szCs w:val="18"/>
              </w:rPr>
              <w:t>MenACWY</w:t>
            </w:r>
            <w:proofErr w:type="spellEnd"/>
            <w:r w:rsidRPr="007D2B92">
              <w:rPr>
                <w:szCs w:val="18"/>
              </w:rPr>
              <w:t>-CRM) in healthy subjects from 2 to 18 years in Taiwan.</w:t>
            </w:r>
          </w:p>
        </w:tc>
        <w:tc>
          <w:tcPr>
            <w:tcW w:w="1177" w:type="pct"/>
            <w:tcBorders>
              <w:top w:val="single" w:sz="4" w:space="0" w:color="auto"/>
              <w:bottom w:val="nil"/>
            </w:tcBorders>
            <w:vAlign w:val="center"/>
          </w:tcPr>
          <w:p w:rsidR="00725CC0" w:rsidRPr="007D2B92" w:rsidRDefault="00725CC0" w:rsidP="00FE6A3E">
            <w:pPr>
              <w:pStyle w:val="Tabletext"/>
              <w:rPr>
                <w:szCs w:val="18"/>
              </w:rPr>
            </w:pPr>
            <w:r w:rsidRPr="007D2B92">
              <w:rPr>
                <w:szCs w:val="18"/>
              </w:rPr>
              <w:t>January 2013</w:t>
            </w:r>
          </w:p>
        </w:tc>
      </w:tr>
      <w:tr w:rsidR="00725CC0" w:rsidRPr="007D2B92" w:rsidTr="00F0313D">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 xml:space="preserve">Huang LM, Chiu NC, </w:t>
            </w:r>
            <w:proofErr w:type="spellStart"/>
            <w:r w:rsidRPr="007D2B92">
              <w:rPr>
                <w:szCs w:val="18"/>
              </w:rPr>
              <w:t>Yeh</w:t>
            </w:r>
            <w:proofErr w:type="spellEnd"/>
            <w:r w:rsidRPr="007D2B92">
              <w:rPr>
                <w:szCs w:val="18"/>
              </w:rPr>
              <w:t xml:space="preserve"> SJ, </w:t>
            </w:r>
            <w:proofErr w:type="spellStart"/>
            <w:r w:rsidRPr="007D2B92">
              <w:rPr>
                <w:szCs w:val="18"/>
              </w:rPr>
              <w:t>Bhusal</w:t>
            </w:r>
            <w:proofErr w:type="spellEnd"/>
            <w:r w:rsidRPr="007D2B92">
              <w:rPr>
                <w:szCs w:val="18"/>
              </w:rPr>
              <w:t xml:space="preserve"> C, Arora AK. Immunogenicity and safety of a single dose of a CRM-conjugated meningococcal ACWY vaccine in children and adolescents aged 2-18 years in Taiwan: results of an open label study. </w:t>
            </w:r>
          </w:p>
        </w:tc>
        <w:tc>
          <w:tcPr>
            <w:tcW w:w="1177" w:type="pct"/>
            <w:tcBorders>
              <w:top w:val="nil"/>
              <w:bottom w:val="single" w:sz="4" w:space="0" w:color="auto"/>
            </w:tcBorders>
            <w:vAlign w:val="center"/>
          </w:tcPr>
          <w:p w:rsidR="00725CC0" w:rsidRPr="007D2B92" w:rsidRDefault="00725CC0" w:rsidP="00FE6A3E">
            <w:pPr>
              <w:pStyle w:val="Tabletext"/>
              <w:rPr>
                <w:szCs w:val="18"/>
              </w:rPr>
            </w:pPr>
            <w:r w:rsidRPr="007D2B92">
              <w:rPr>
                <w:szCs w:val="18"/>
              </w:rPr>
              <w:t>Vaccine 2014</w:t>
            </w:r>
            <w:proofErr w:type="gramStart"/>
            <w:r w:rsidRPr="007D2B92">
              <w:rPr>
                <w:szCs w:val="18"/>
              </w:rPr>
              <w:t>;32:5177</w:t>
            </w:r>
            <w:proofErr w:type="gramEnd"/>
            <w:r w:rsidRPr="007D2B92">
              <w:rPr>
                <w:szCs w:val="18"/>
              </w:rPr>
              <w:t>-84.</w:t>
            </w:r>
          </w:p>
        </w:tc>
      </w:tr>
      <w:tr w:rsidR="00725CC0" w:rsidRPr="007D2B92" w:rsidTr="00F0313D">
        <w:tc>
          <w:tcPr>
            <w:tcW w:w="796" w:type="pct"/>
            <w:vMerge w:val="restart"/>
            <w:tcBorders>
              <w:top w:val="single" w:sz="4" w:space="0" w:color="auto"/>
            </w:tcBorders>
            <w:vAlign w:val="center"/>
          </w:tcPr>
          <w:p w:rsidR="00725CC0" w:rsidRPr="007D2B92" w:rsidRDefault="00725CC0" w:rsidP="00FE6A3E">
            <w:pPr>
              <w:pStyle w:val="Tabletext"/>
            </w:pPr>
            <w:r w:rsidRPr="007D2B92">
              <w:t>V59_50d</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A Phase 3, </w:t>
            </w:r>
            <w:proofErr w:type="spellStart"/>
            <w:r w:rsidRPr="007D2B92">
              <w:rPr>
                <w:szCs w:val="18"/>
              </w:rPr>
              <w:t>Multicenter</w:t>
            </w:r>
            <w:proofErr w:type="spellEnd"/>
            <w:r w:rsidRPr="007D2B92">
              <w:rPr>
                <w:szCs w:val="18"/>
              </w:rPr>
              <w:t>, Open-label Study to Evaluate Immunogenicity and Safety of Novartis Meningococcal ACWY Conjugate Vaccine (</w:t>
            </w:r>
            <w:proofErr w:type="spellStart"/>
            <w:r w:rsidRPr="007D2B92">
              <w:rPr>
                <w:szCs w:val="18"/>
              </w:rPr>
              <w:t>MenACWY</w:t>
            </w:r>
            <w:proofErr w:type="spellEnd"/>
            <w:r w:rsidRPr="007D2B92">
              <w:rPr>
                <w:szCs w:val="18"/>
              </w:rPr>
              <w:t>-CRM) in Healthy Children, Adolescents, and Adults in Russia</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September 2013</w:t>
            </w:r>
          </w:p>
        </w:tc>
      </w:tr>
      <w:tr w:rsidR="00725CC0" w:rsidRPr="007D2B92" w:rsidTr="00F0313D">
        <w:tc>
          <w:tcPr>
            <w:tcW w:w="796" w:type="pct"/>
            <w:vMerge/>
            <w:tcBorders>
              <w:bottom w:val="single" w:sz="4" w:space="0" w:color="auto"/>
            </w:tcBorders>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Ilyina</w:t>
            </w:r>
            <w:proofErr w:type="spellEnd"/>
            <w:r w:rsidRPr="007D2B92">
              <w:rPr>
                <w:szCs w:val="18"/>
              </w:rPr>
              <w:t xml:space="preserve"> N, </w:t>
            </w:r>
            <w:proofErr w:type="spellStart"/>
            <w:r w:rsidRPr="007D2B92">
              <w:rPr>
                <w:szCs w:val="18"/>
              </w:rPr>
              <w:t>Kharit</w:t>
            </w:r>
            <w:proofErr w:type="spellEnd"/>
            <w:r w:rsidRPr="007D2B92">
              <w:rPr>
                <w:szCs w:val="18"/>
              </w:rPr>
              <w:t xml:space="preserve"> S, </w:t>
            </w:r>
            <w:proofErr w:type="spellStart"/>
            <w:r w:rsidRPr="007D2B92">
              <w:rPr>
                <w:szCs w:val="18"/>
              </w:rPr>
              <w:t>Namazova</w:t>
            </w:r>
            <w:proofErr w:type="spellEnd"/>
            <w:r w:rsidRPr="007D2B92">
              <w:rPr>
                <w:szCs w:val="18"/>
              </w:rPr>
              <w:t xml:space="preserve">-Baranova L, et al. Safety and immunogenicity of meningococcal ACWY CRM197-conjugate vaccine in children, adolescents and adults in Russia.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Hum </w:t>
            </w:r>
            <w:proofErr w:type="spellStart"/>
            <w:r w:rsidRPr="007D2B92">
              <w:rPr>
                <w:szCs w:val="18"/>
              </w:rPr>
              <w:t>Vaccin</w:t>
            </w:r>
            <w:proofErr w:type="spellEnd"/>
            <w:r w:rsidRPr="007D2B92">
              <w:rPr>
                <w:szCs w:val="18"/>
              </w:rPr>
              <w:t xml:space="preserve"> </w:t>
            </w:r>
            <w:proofErr w:type="spellStart"/>
            <w:r w:rsidRPr="007D2B92">
              <w:rPr>
                <w:szCs w:val="18"/>
              </w:rPr>
              <w:t>Immunother</w:t>
            </w:r>
            <w:proofErr w:type="spellEnd"/>
            <w:r w:rsidRPr="007D2B92">
              <w:rPr>
                <w:szCs w:val="18"/>
              </w:rPr>
              <w:t>. 2014</w:t>
            </w:r>
            <w:proofErr w:type="gramStart"/>
            <w:r w:rsidRPr="007D2B92">
              <w:rPr>
                <w:szCs w:val="18"/>
              </w:rPr>
              <w:t>;10:2471</w:t>
            </w:r>
            <w:proofErr w:type="gramEnd"/>
            <w:r w:rsidRPr="007D2B92">
              <w:rPr>
                <w:szCs w:val="18"/>
              </w:rPr>
              <w:t>-81.</w:t>
            </w:r>
          </w:p>
        </w:tc>
      </w:tr>
      <w:tr w:rsidR="00725CC0" w:rsidRPr="007D2B92" w:rsidTr="00FE6A3E">
        <w:tc>
          <w:tcPr>
            <w:tcW w:w="5000" w:type="pct"/>
            <w:gridSpan w:val="3"/>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Menveo</w:t>
            </w:r>
            <w:proofErr w:type="spellEnd"/>
            <w:r w:rsidRPr="007D2B92">
              <w:rPr>
                <w:szCs w:val="18"/>
              </w:rPr>
              <w:t xml:space="preserve"> with </w:t>
            </w:r>
            <w:proofErr w:type="spellStart"/>
            <w:r w:rsidRPr="007D2B92">
              <w:rPr>
                <w:szCs w:val="18"/>
              </w:rPr>
              <w:t>concominant</w:t>
            </w:r>
            <w:proofErr w:type="spellEnd"/>
            <w:r w:rsidRPr="007D2B92">
              <w:rPr>
                <w:szCs w:val="18"/>
              </w:rPr>
              <w:t xml:space="preserve"> vaccines</w:t>
            </w:r>
          </w:p>
        </w:tc>
      </w:tr>
      <w:tr w:rsidR="00725CC0" w:rsidRPr="007D2B92" w:rsidTr="00FE6A3E">
        <w:tc>
          <w:tcPr>
            <w:tcW w:w="796" w:type="pct"/>
            <w:vMerge w:val="restart"/>
            <w:tcBorders>
              <w:top w:val="single" w:sz="4" w:space="0" w:color="auto"/>
            </w:tcBorders>
            <w:vAlign w:val="center"/>
          </w:tcPr>
          <w:p w:rsidR="00725CC0" w:rsidRPr="007D2B92" w:rsidRDefault="00725CC0" w:rsidP="00FE6A3E">
            <w:pPr>
              <w:pStyle w:val="Tabletext"/>
            </w:pPr>
            <w:r w:rsidRPr="007D2B92">
              <w:t>V59P18</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A Phase 3, Single </w:t>
            </w:r>
            <w:proofErr w:type="spellStart"/>
            <w:r w:rsidRPr="007D2B92">
              <w:rPr>
                <w:szCs w:val="18"/>
              </w:rPr>
              <w:t>Center</w:t>
            </w:r>
            <w:proofErr w:type="spellEnd"/>
            <w:r w:rsidRPr="007D2B92">
              <w:rPr>
                <w:szCs w:val="18"/>
              </w:rPr>
              <w:t xml:space="preserve">, Open-label, Controlled, Randomized Study to Evaluate the Safety and Immunogenicity of Novartis </w:t>
            </w:r>
            <w:proofErr w:type="spellStart"/>
            <w:r w:rsidRPr="007D2B92">
              <w:rPr>
                <w:szCs w:val="18"/>
              </w:rPr>
              <w:t>MenACWY</w:t>
            </w:r>
            <w:proofErr w:type="spellEnd"/>
            <w:r w:rsidRPr="007D2B92">
              <w:rPr>
                <w:szCs w:val="18"/>
              </w:rPr>
              <w:t xml:space="preserve"> vaccine</w:t>
            </w:r>
          </w:p>
          <w:p w:rsidR="00725CC0" w:rsidRPr="007D2B92" w:rsidRDefault="00725CC0" w:rsidP="00FE6A3E">
            <w:pPr>
              <w:pStyle w:val="Tabletext"/>
              <w:rPr>
                <w:szCs w:val="18"/>
              </w:rPr>
            </w:pPr>
            <w:proofErr w:type="gramStart"/>
            <w:r w:rsidRPr="007D2B92">
              <w:rPr>
                <w:szCs w:val="18"/>
              </w:rPr>
              <w:t>administered</w:t>
            </w:r>
            <w:proofErr w:type="gramEnd"/>
            <w:r w:rsidRPr="007D2B92">
              <w:rPr>
                <w:szCs w:val="18"/>
              </w:rPr>
              <w:t xml:space="preserve"> either alone or concomitantly with a Combined Tetanus, Reduced Diphtheria Toxoid, Acellular Pertussis Vaccine (</w:t>
            </w:r>
            <w:proofErr w:type="spellStart"/>
            <w:r w:rsidRPr="007D2B92">
              <w:rPr>
                <w:szCs w:val="18"/>
              </w:rPr>
              <w:t>Tdap</w:t>
            </w:r>
            <w:proofErr w:type="spellEnd"/>
            <w:r w:rsidRPr="007D2B92">
              <w:rPr>
                <w:szCs w:val="18"/>
              </w:rPr>
              <w:t xml:space="preserve">, </w:t>
            </w:r>
            <w:proofErr w:type="spellStart"/>
            <w:r w:rsidRPr="007D2B92">
              <w:rPr>
                <w:szCs w:val="18"/>
              </w:rPr>
              <w:t>Boostrix</w:t>
            </w:r>
            <w:proofErr w:type="spellEnd"/>
            <w:r w:rsidRPr="007D2B92">
              <w:rPr>
                <w:szCs w:val="18"/>
              </w:rPr>
              <w:t xml:space="preserve">®) and </w:t>
            </w:r>
            <w:proofErr w:type="spellStart"/>
            <w:r w:rsidRPr="007D2B92">
              <w:rPr>
                <w:szCs w:val="18"/>
              </w:rPr>
              <w:t>Quadrivalent</w:t>
            </w:r>
            <w:proofErr w:type="spellEnd"/>
            <w:r w:rsidRPr="007D2B92">
              <w:rPr>
                <w:szCs w:val="18"/>
              </w:rPr>
              <w:t xml:space="preserve"> Human Papillomavirus [Types 6, 11, 16, 18] Recombinant Vaccine (Gardasil®) in Healthy Adolescents.</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February 2009</w:t>
            </w:r>
          </w:p>
        </w:tc>
      </w:tr>
      <w:tr w:rsidR="00725CC0" w:rsidRPr="007D2B92" w:rsidTr="00FE6A3E">
        <w:tc>
          <w:tcPr>
            <w:tcW w:w="796" w:type="pct"/>
            <w:vMerge/>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Arguedas</w:t>
            </w:r>
            <w:proofErr w:type="spellEnd"/>
            <w:r w:rsidRPr="007D2B92">
              <w:rPr>
                <w:szCs w:val="18"/>
              </w:rPr>
              <w:t xml:space="preserve"> A, </w:t>
            </w:r>
            <w:proofErr w:type="spellStart"/>
            <w:r w:rsidRPr="007D2B92">
              <w:rPr>
                <w:szCs w:val="18"/>
              </w:rPr>
              <w:t>Soley</w:t>
            </w:r>
            <w:proofErr w:type="spellEnd"/>
            <w:r w:rsidRPr="007D2B92">
              <w:rPr>
                <w:szCs w:val="18"/>
              </w:rPr>
              <w:t xml:space="preserve"> C, </w:t>
            </w:r>
            <w:proofErr w:type="spellStart"/>
            <w:r w:rsidRPr="007D2B92">
              <w:rPr>
                <w:szCs w:val="18"/>
              </w:rPr>
              <w:t>Loaiza</w:t>
            </w:r>
            <w:proofErr w:type="spellEnd"/>
            <w:r w:rsidRPr="007D2B92">
              <w:rPr>
                <w:szCs w:val="18"/>
              </w:rPr>
              <w:t xml:space="preserve"> C, et al. Safety and immunogenicity of one dose of </w:t>
            </w:r>
            <w:proofErr w:type="spellStart"/>
            <w:r w:rsidRPr="007D2B92">
              <w:rPr>
                <w:szCs w:val="18"/>
              </w:rPr>
              <w:t>MenACWY</w:t>
            </w:r>
            <w:proofErr w:type="spellEnd"/>
            <w:r w:rsidRPr="007D2B92">
              <w:rPr>
                <w:szCs w:val="18"/>
              </w:rPr>
              <w:t xml:space="preserve">-CRM, an investigational </w:t>
            </w:r>
            <w:proofErr w:type="spellStart"/>
            <w:r w:rsidRPr="007D2B92">
              <w:rPr>
                <w:szCs w:val="18"/>
              </w:rPr>
              <w:t>quadrivalent</w:t>
            </w:r>
            <w:proofErr w:type="spellEnd"/>
            <w:r w:rsidRPr="007D2B92">
              <w:rPr>
                <w:szCs w:val="18"/>
              </w:rPr>
              <w:t xml:space="preserve"> meningococcal </w:t>
            </w:r>
            <w:proofErr w:type="spellStart"/>
            <w:r w:rsidRPr="007D2B92">
              <w:rPr>
                <w:szCs w:val="18"/>
              </w:rPr>
              <w:t>glycoconjugate</w:t>
            </w:r>
            <w:proofErr w:type="spellEnd"/>
            <w:r w:rsidRPr="007D2B92">
              <w:rPr>
                <w:szCs w:val="18"/>
              </w:rPr>
              <w:t xml:space="preserve"> vaccine, when administered to adolescents concomitantly or sequentially with </w:t>
            </w:r>
            <w:proofErr w:type="spellStart"/>
            <w:r w:rsidRPr="007D2B92">
              <w:rPr>
                <w:szCs w:val="18"/>
              </w:rPr>
              <w:t>Tdap</w:t>
            </w:r>
            <w:proofErr w:type="spellEnd"/>
            <w:r w:rsidRPr="007D2B92">
              <w:rPr>
                <w:szCs w:val="18"/>
              </w:rPr>
              <w:t xml:space="preserve"> and HPV vaccines.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Vaccine. 2010</w:t>
            </w:r>
            <w:proofErr w:type="gramStart"/>
            <w:r w:rsidRPr="007D2B92">
              <w:rPr>
                <w:szCs w:val="18"/>
              </w:rPr>
              <w:t>;28</w:t>
            </w:r>
            <w:proofErr w:type="gramEnd"/>
            <w:r w:rsidRPr="007D2B92">
              <w:rPr>
                <w:szCs w:val="18"/>
              </w:rPr>
              <w:t>(18):3171-3179.</w:t>
            </w:r>
          </w:p>
        </w:tc>
      </w:tr>
      <w:tr w:rsidR="00725CC0" w:rsidRPr="007D2B92" w:rsidTr="00FE6A3E">
        <w:tc>
          <w:tcPr>
            <w:tcW w:w="796" w:type="pct"/>
            <w:vMerge w:val="restart"/>
            <w:vAlign w:val="center"/>
          </w:tcPr>
          <w:p w:rsidR="00725CC0" w:rsidRPr="007D2B92" w:rsidRDefault="00725CC0" w:rsidP="00FE6A3E">
            <w:pPr>
              <w:pStyle w:val="Tabletext"/>
            </w:pPr>
            <w:r w:rsidRPr="007D2B92">
              <w:t>V59P11</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A Phase 3, Multi-</w:t>
            </w:r>
            <w:proofErr w:type="spellStart"/>
            <w:r w:rsidRPr="007D2B92">
              <w:rPr>
                <w:szCs w:val="18"/>
              </w:rPr>
              <w:t>Center</w:t>
            </w:r>
            <w:proofErr w:type="spellEnd"/>
            <w:r w:rsidRPr="007D2B92">
              <w:rPr>
                <w:szCs w:val="18"/>
              </w:rPr>
              <w:t>, Observer Blind, Controlled, Randomized Study to Compare the Immunogenicity and Safety of the Concomitant Administration of a Combined Tetanus, Reduced Diphtheria and Acellular</w:t>
            </w:r>
          </w:p>
          <w:p w:rsidR="00725CC0" w:rsidRPr="007D2B92" w:rsidRDefault="00725CC0" w:rsidP="00FE6A3E">
            <w:pPr>
              <w:pStyle w:val="Tabletext"/>
              <w:rPr>
                <w:szCs w:val="18"/>
              </w:rPr>
            </w:pPr>
            <w:r w:rsidRPr="007D2B92">
              <w:rPr>
                <w:szCs w:val="18"/>
              </w:rPr>
              <w:t>Pertussis (</w:t>
            </w:r>
            <w:proofErr w:type="spellStart"/>
            <w:r w:rsidRPr="007D2B92">
              <w:rPr>
                <w:szCs w:val="18"/>
              </w:rPr>
              <w:t>Tdap</w:t>
            </w:r>
            <w:proofErr w:type="spellEnd"/>
            <w:r w:rsidRPr="007D2B92">
              <w:rPr>
                <w:szCs w:val="18"/>
              </w:rPr>
              <w:t xml:space="preserve">) Vaccine (GSK </w:t>
            </w:r>
            <w:proofErr w:type="spellStart"/>
            <w:r w:rsidRPr="007D2B92">
              <w:rPr>
                <w:szCs w:val="18"/>
              </w:rPr>
              <w:t>Boostrix</w:t>
            </w:r>
            <w:proofErr w:type="spellEnd"/>
            <w:r w:rsidRPr="007D2B92">
              <w:rPr>
                <w:szCs w:val="18"/>
              </w:rPr>
              <w:t>®) and Novartis (formerly Chiron) Meningococcal ACWY Conjugate Vaccine, With Either One Dose of</w:t>
            </w:r>
          </w:p>
          <w:p w:rsidR="00725CC0" w:rsidRPr="007D2B92" w:rsidRDefault="00725CC0" w:rsidP="00FE6A3E">
            <w:pPr>
              <w:pStyle w:val="Tabletext"/>
              <w:rPr>
                <w:szCs w:val="18"/>
              </w:rPr>
            </w:pPr>
            <w:proofErr w:type="spellStart"/>
            <w:r w:rsidRPr="007D2B92">
              <w:rPr>
                <w:szCs w:val="18"/>
              </w:rPr>
              <w:t>Boostrix</w:t>
            </w:r>
            <w:proofErr w:type="spellEnd"/>
            <w:r w:rsidRPr="007D2B92">
              <w:rPr>
                <w:szCs w:val="18"/>
              </w:rPr>
              <w:t>®, or One Dose of Novartis Meningococcal ACWY Conjugate Vaccine in Healthy Subjects Aged 11-25 Years</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December 2007</w:t>
            </w:r>
          </w:p>
        </w:tc>
      </w:tr>
      <w:tr w:rsidR="00725CC0" w:rsidRPr="007D2B92" w:rsidTr="00FE6A3E">
        <w:tc>
          <w:tcPr>
            <w:tcW w:w="796" w:type="pct"/>
            <w:vMerge/>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Gasparini</w:t>
            </w:r>
            <w:proofErr w:type="spellEnd"/>
            <w:r w:rsidRPr="007D2B92">
              <w:rPr>
                <w:szCs w:val="18"/>
              </w:rPr>
              <w:t xml:space="preserve"> R, </w:t>
            </w:r>
            <w:proofErr w:type="spellStart"/>
            <w:r w:rsidRPr="007D2B92">
              <w:rPr>
                <w:szCs w:val="18"/>
              </w:rPr>
              <w:t>Conversano</w:t>
            </w:r>
            <w:proofErr w:type="spellEnd"/>
            <w:r w:rsidRPr="007D2B92">
              <w:rPr>
                <w:szCs w:val="18"/>
              </w:rPr>
              <w:t xml:space="preserve"> M, Bona G, et al. Randomised trial on the safety, tolerability, and immunogenicity of </w:t>
            </w:r>
            <w:proofErr w:type="spellStart"/>
            <w:r w:rsidRPr="007D2B92">
              <w:rPr>
                <w:szCs w:val="18"/>
              </w:rPr>
              <w:t>MenACWY</w:t>
            </w:r>
            <w:proofErr w:type="spellEnd"/>
            <w:r w:rsidRPr="007D2B92">
              <w:rPr>
                <w:szCs w:val="18"/>
              </w:rPr>
              <w:t xml:space="preserve">-CRM, an investigational </w:t>
            </w:r>
            <w:proofErr w:type="spellStart"/>
            <w:r w:rsidRPr="007D2B92">
              <w:rPr>
                <w:szCs w:val="18"/>
              </w:rPr>
              <w:t>quadrivalent</w:t>
            </w:r>
            <w:proofErr w:type="spellEnd"/>
            <w:r w:rsidRPr="007D2B92">
              <w:rPr>
                <w:szCs w:val="18"/>
              </w:rPr>
              <w:t xml:space="preserve"> meningococcal </w:t>
            </w:r>
            <w:proofErr w:type="spellStart"/>
            <w:r w:rsidRPr="007D2B92">
              <w:rPr>
                <w:szCs w:val="18"/>
              </w:rPr>
              <w:t>glycoconjugate</w:t>
            </w:r>
            <w:proofErr w:type="spellEnd"/>
            <w:r w:rsidRPr="007D2B92">
              <w:rPr>
                <w:szCs w:val="18"/>
              </w:rPr>
              <w:t xml:space="preserve"> vaccine, administered concomitantly with a combined tetanus, reduced diphtheria, and acellular pertussis vaccine in adolescents and young adults.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Clin</w:t>
            </w:r>
            <w:proofErr w:type="spellEnd"/>
            <w:r w:rsidRPr="007D2B92">
              <w:rPr>
                <w:szCs w:val="18"/>
              </w:rPr>
              <w:t xml:space="preserve"> Vaccine </w:t>
            </w:r>
            <w:proofErr w:type="spellStart"/>
            <w:r w:rsidRPr="007D2B92">
              <w:rPr>
                <w:szCs w:val="18"/>
              </w:rPr>
              <w:t>Immunol</w:t>
            </w:r>
            <w:proofErr w:type="spellEnd"/>
            <w:r w:rsidRPr="007D2B92">
              <w:rPr>
                <w:szCs w:val="18"/>
              </w:rPr>
              <w:t>. 2010</w:t>
            </w:r>
            <w:proofErr w:type="gramStart"/>
            <w:r w:rsidRPr="007D2B92">
              <w:rPr>
                <w:szCs w:val="18"/>
              </w:rPr>
              <w:t>;17</w:t>
            </w:r>
            <w:proofErr w:type="gramEnd"/>
            <w:r w:rsidRPr="007D2B92">
              <w:rPr>
                <w:szCs w:val="18"/>
              </w:rPr>
              <w:t>(4):537-544.</w:t>
            </w:r>
          </w:p>
        </w:tc>
      </w:tr>
      <w:tr w:rsidR="00725CC0" w:rsidRPr="007D2B92" w:rsidTr="00FE6A3E">
        <w:tc>
          <w:tcPr>
            <w:tcW w:w="796" w:type="pct"/>
            <w:vAlign w:val="center"/>
          </w:tcPr>
          <w:p w:rsidR="00725CC0" w:rsidRPr="007D2B92" w:rsidRDefault="00725CC0" w:rsidP="00FE6A3E">
            <w:pPr>
              <w:pStyle w:val="Tabletext"/>
            </w:pPr>
            <w:r w:rsidRPr="007D2B92">
              <w:t>V59_40</w:t>
            </w: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A Phase 4, Placebo-Controlled, Randomized Study to Evaluate the Immunogenicity and Safety of a Combined Tetanus, Reduced Diphtheria Toxoid, Acellular Pertussis Vaccine (</w:t>
            </w:r>
            <w:proofErr w:type="spellStart"/>
            <w:r w:rsidRPr="007D2B92">
              <w:rPr>
                <w:szCs w:val="18"/>
              </w:rPr>
              <w:t>Tdap</w:t>
            </w:r>
            <w:proofErr w:type="spellEnd"/>
            <w:r w:rsidRPr="007D2B92">
              <w:rPr>
                <w:szCs w:val="18"/>
              </w:rPr>
              <w:t xml:space="preserve">, </w:t>
            </w:r>
            <w:proofErr w:type="spellStart"/>
            <w:r w:rsidRPr="007D2B92">
              <w:rPr>
                <w:szCs w:val="18"/>
              </w:rPr>
              <w:t>Boostrix</w:t>
            </w:r>
            <w:proofErr w:type="spellEnd"/>
            <w:r w:rsidRPr="007D2B92">
              <w:rPr>
                <w:szCs w:val="18"/>
              </w:rPr>
              <w:t xml:space="preserve">®) and </w:t>
            </w:r>
            <w:proofErr w:type="spellStart"/>
            <w:r w:rsidRPr="007D2B92">
              <w:rPr>
                <w:szCs w:val="18"/>
              </w:rPr>
              <w:t>Quadrivalent</w:t>
            </w:r>
            <w:proofErr w:type="spellEnd"/>
            <w:r w:rsidRPr="007D2B92">
              <w:rPr>
                <w:szCs w:val="18"/>
              </w:rPr>
              <w:t xml:space="preserve"> Human Papillomavirus [Types 6, 11, 16, 18] Recombinant Vaccine (Gardasil®) in Healthy Adolescents when Administered with </w:t>
            </w:r>
            <w:proofErr w:type="spellStart"/>
            <w:r w:rsidRPr="007D2B92">
              <w:rPr>
                <w:szCs w:val="18"/>
              </w:rPr>
              <w:t>MenACWY</w:t>
            </w:r>
            <w:proofErr w:type="spellEnd"/>
          </w:p>
          <w:p w:rsidR="00725CC0" w:rsidRPr="007D2B92" w:rsidRDefault="00725CC0" w:rsidP="00FE6A3E">
            <w:pPr>
              <w:pStyle w:val="Tabletext"/>
              <w:rPr>
                <w:szCs w:val="18"/>
              </w:rPr>
            </w:pPr>
            <w:r w:rsidRPr="007D2B92">
              <w:rPr>
                <w:szCs w:val="18"/>
              </w:rPr>
              <w:t>Conjugate Vaccine</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October 2013</w:t>
            </w:r>
          </w:p>
        </w:tc>
      </w:tr>
      <w:tr w:rsidR="00725CC0" w:rsidRPr="007D2B92" w:rsidTr="00FE6A3E">
        <w:tc>
          <w:tcPr>
            <w:tcW w:w="796" w:type="pct"/>
            <w:vAlign w:val="center"/>
          </w:tcPr>
          <w:p w:rsidR="00725CC0" w:rsidRPr="007D2B92" w:rsidRDefault="00725CC0" w:rsidP="00FE6A3E">
            <w:pPr>
              <w:pStyle w:val="Tabletext"/>
            </w:pPr>
          </w:p>
        </w:tc>
        <w:tc>
          <w:tcPr>
            <w:tcW w:w="3027" w:type="pct"/>
            <w:tcBorders>
              <w:top w:val="single" w:sz="4" w:space="0" w:color="auto"/>
              <w:bottom w:val="single" w:sz="4" w:space="0" w:color="auto"/>
            </w:tcBorders>
            <w:vAlign w:val="center"/>
          </w:tcPr>
          <w:p w:rsidR="00725CC0" w:rsidRPr="007D2B92" w:rsidRDefault="00725CC0" w:rsidP="00FE6A3E">
            <w:pPr>
              <w:pStyle w:val="Tabletext"/>
              <w:rPr>
                <w:szCs w:val="18"/>
              </w:rPr>
            </w:pPr>
            <w:proofErr w:type="spellStart"/>
            <w:r w:rsidRPr="007D2B92">
              <w:rPr>
                <w:szCs w:val="18"/>
              </w:rPr>
              <w:t>Gasparini</w:t>
            </w:r>
            <w:proofErr w:type="spellEnd"/>
            <w:r w:rsidRPr="007D2B92">
              <w:rPr>
                <w:szCs w:val="18"/>
              </w:rPr>
              <w:t xml:space="preserve"> R, Johnston W, </w:t>
            </w:r>
            <w:proofErr w:type="spellStart"/>
            <w:r w:rsidRPr="007D2B92">
              <w:rPr>
                <w:szCs w:val="18"/>
              </w:rPr>
              <w:t>Conversano</w:t>
            </w:r>
            <w:proofErr w:type="spellEnd"/>
            <w:r w:rsidRPr="007D2B92">
              <w:rPr>
                <w:szCs w:val="18"/>
              </w:rPr>
              <w:t xml:space="preserve"> M, et al. Immunogenicity and safety of combined tetanus, reduced diphtheria, acellular pertussis vaccine when co-administered with </w:t>
            </w:r>
            <w:proofErr w:type="spellStart"/>
            <w:r w:rsidRPr="007D2B92">
              <w:rPr>
                <w:szCs w:val="18"/>
              </w:rPr>
              <w:t>quadrivalent</w:t>
            </w:r>
            <w:proofErr w:type="spellEnd"/>
            <w:r w:rsidRPr="007D2B92">
              <w:rPr>
                <w:szCs w:val="18"/>
              </w:rPr>
              <w:t xml:space="preserve"> meningococcal conjugate and human papillomavirus vaccines in healthy adolescents. </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rPr>
                <w:szCs w:val="18"/>
              </w:rPr>
              <w:t xml:space="preserve">J Vaccines </w:t>
            </w:r>
            <w:proofErr w:type="spellStart"/>
            <w:r w:rsidRPr="007D2B92">
              <w:rPr>
                <w:szCs w:val="18"/>
              </w:rPr>
              <w:t>Vaccin</w:t>
            </w:r>
            <w:proofErr w:type="spellEnd"/>
            <w:r w:rsidRPr="007D2B92">
              <w:rPr>
                <w:szCs w:val="18"/>
              </w:rPr>
              <w:t>. 2014</w:t>
            </w:r>
            <w:proofErr w:type="gramStart"/>
            <w:r w:rsidRPr="007D2B92">
              <w:rPr>
                <w:szCs w:val="18"/>
              </w:rPr>
              <w:t>;5:231</w:t>
            </w:r>
            <w:proofErr w:type="gramEnd"/>
            <w:r w:rsidRPr="007D2B92">
              <w:rPr>
                <w:szCs w:val="18"/>
              </w:rPr>
              <w:t xml:space="preserve">. </w:t>
            </w:r>
            <w:proofErr w:type="spellStart"/>
            <w:proofErr w:type="gramStart"/>
            <w:r w:rsidRPr="007D2B92">
              <w:rPr>
                <w:szCs w:val="18"/>
              </w:rPr>
              <w:t>doi</w:t>
            </w:r>
            <w:proofErr w:type="spellEnd"/>
            <w:proofErr w:type="gramEnd"/>
            <w:r w:rsidRPr="007D2B92">
              <w:rPr>
                <w:szCs w:val="18"/>
              </w:rPr>
              <w:t>: 10.4172/2157-7560.1000231.</w:t>
            </w:r>
          </w:p>
        </w:tc>
      </w:tr>
      <w:tr w:rsidR="00725CC0" w:rsidRPr="007D2B92" w:rsidTr="00FE6A3E">
        <w:tc>
          <w:tcPr>
            <w:tcW w:w="5000" w:type="pct"/>
            <w:gridSpan w:val="3"/>
            <w:vAlign w:val="center"/>
          </w:tcPr>
          <w:p w:rsidR="00725CC0" w:rsidRPr="007D2B92" w:rsidRDefault="00725CC0" w:rsidP="00FE6A3E">
            <w:pPr>
              <w:pStyle w:val="Tabletext"/>
              <w:rPr>
                <w:szCs w:val="18"/>
              </w:rPr>
            </w:pPr>
            <w:proofErr w:type="spellStart"/>
            <w:r w:rsidRPr="007D2B92">
              <w:t>Menveo</w:t>
            </w:r>
            <w:proofErr w:type="spellEnd"/>
            <w:r w:rsidRPr="007D2B92">
              <w:t xml:space="preserve"> safety</w:t>
            </w:r>
          </w:p>
        </w:tc>
      </w:tr>
      <w:tr w:rsidR="00725CC0" w:rsidRPr="007D2B92" w:rsidTr="00FE6A3E">
        <w:tc>
          <w:tcPr>
            <w:tcW w:w="796" w:type="pct"/>
          </w:tcPr>
          <w:p w:rsidR="00725CC0" w:rsidRPr="007D2B92" w:rsidRDefault="00725CC0" w:rsidP="00FE6A3E">
            <w:pPr>
              <w:pStyle w:val="Tabletext"/>
            </w:pPr>
            <w:r w:rsidRPr="007D2B92">
              <w:t>Holmes AD 2018</w:t>
            </w:r>
          </w:p>
        </w:tc>
        <w:tc>
          <w:tcPr>
            <w:tcW w:w="3027" w:type="pct"/>
          </w:tcPr>
          <w:p w:rsidR="00725CC0" w:rsidRPr="007D2B92" w:rsidRDefault="00725CC0" w:rsidP="00FE6A3E">
            <w:pPr>
              <w:pStyle w:val="Tabletext"/>
            </w:pPr>
            <w:r w:rsidRPr="007D2B92">
              <w:t xml:space="preserve">Holmes A.D, </w:t>
            </w:r>
            <w:proofErr w:type="spellStart"/>
            <w:r w:rsidRPr="007D2B92">
              <w:t>Abbasi</w:t>
            </w:r>
            <w:proofErr w:type="spellEnd"/>
            <w:r w:rsidRPr="007D2B92">
              <w:t xml:space="preserve"> O.Z.</w:t>
            </w:r>
            <w:r w:rsidR="004D4C3E" w:rsidRPr="007D2B92">
              <w:t xml:space="preserve"> </w:t>
            </w:r>
            <w:r w:rsidRPr="007D2B92">
              <w:t>Jacoby J.L.</w:t>
            </w:r>
            <w:r w:rsidR="004D4C3E" w:rsidRPr="007D2B92">
              <w:t xml:space="preserve"> </w:t>
            </w:r>
            <w:r w:rsidRPr="007D2B92">
              <w:t>Systemic lupus</w:t>
            </w:r>
            <w:r w:rsidR="004D4C3E" w:rsidRPr="007D2B92">
              <w:t xml:space="preserve"> </w:t>
            </w:r>
            <w:r w:rsidRPr="007D2B92">
              <w:t>erythematosus following meningococcal vaccination.</w:t>
            </w:r>
          </w:p>
        </w:tc>
        <w:tc>
          <w:tcPr>
            <w:tcW w:w="1177" w:type="pct"/>
            <w:tcBorders>
              <w:top w:val="single" w:sz="4" w:space="0" w:color="auto"/>
              <w:bottom w:val="single" w:sz="4" w:space="0" w:color="auto"/>
            </w:tcBorders>
            <w:vAlign w:val="center"/>
          </w:tcPr>
          <w:p w:rsidR="00725CC0" w:rsidRPr="007D2B92" w:rsidRDefault="00725CC0" w:rsidP="00FE6A3E">
            <w:pPr>
              <w:pStyle w:val="Tabletext"/>
              <w:rPr>
                <w:szCs w:val="18"/>
              </w:rPr>
            </w:pPr>
            <w:r w:rsidRPr="007D2B92">
              <w:t>American Journal of Emergency Medicine. 36 (1) (pp 170.e3-170.e4), 2018.</w:t>
            </w:r>
          </w:p>
        </w:tc>
      </w:tr>
    </w:tbl>
    <w:p w:rsidR="008E0D3C" w:rsidRPr="007D2B92" w:rsidRDefault="00725CC0" w:rsidP="008E0D3C">
      <w:pPr>
        <w:pStyle w:val="TableFooter"/>
        <w:rPr>
          <w:sz w:val="20"/>
        </w:rPr>
      </w:pPr>
      <w:r w:rsidRPr="007D2B92">
        <w:t>Source: Table 2.3, p42-44 of the submission</w:t>
      </w:r>
    </w:p>
    <w:p w:rsidR="00253F61" w:rsidRPr="007D2B92" w:rsidRDefault="00253F61">
      <w:pPr>
        <w:widowControl/>
        <w:jc w:val="left"/>
      </w:pPr>
    </w:p>
    <w:p w:rsidR="007F1017" w:rsidRPr="007D2B92" w:rsidRDefault="0018063A" w:rsidP="007D4B83">
      <w:pPr>
        <w:pStyle w:val="ListParagraph"/>
        <w:widowControl/>
        <w:numPr>
          <w:ilvl w:val="1"/>
          <w:numId w:val="1"/>
        </w:numPr>
        <w:spacing w:after="120"/>
      </w:pPr>
      <w:r w:rsidRPr="007D2B92">
        <w:t>K</w:t>
      </w:r>
      <w:r w:rsidR="008F120A" w:rsidRPr="007D2B92">
        <w:t>ey features of the direct randomised tria</w:t>
      </w:r>
      <w:r w:rsidR="00F024E5" w:rsidRPr="007D2B92">
        <w:t>ls are summarised in T</w:t>
      </w:r>
      <w:r w:rsidR="008F120A" w:rsidRPr="007D2B92">
        <w:t xml:space="preserve">able </w:t>
      </w:r>
      <w:r w:rsidR="00F024E5" w:rsidRPr="007D2B92">
        <w:t>4</w:t>
      </w:r>
      <w:r w:rsidR="008F120A" w:rsidRPr="007D2B92">
        <w:t>.</w:t>
      </w:r>
    </w:p>
    <w:p w:rsidR="00292116" w:rsidRPr="007D2B92" w:rsidRDefault="00606D84" w:rsidP="00292116">
      <w:pPr>
        <w:pStyle w:val="ListParagraph"/>
        <w:numPr>
          <w:ilvl w:val="1"/>
          <w:numId w:val="1"/>
        </w:numPr>
        <w:spacing w:after="120"/>
        <w:rPr>
          <w:rFonts w:cs="Calibri"/>
          <w:snapToGrid/>
          <w:szCs w:val="24"/>
          <w:lang w:eastAsia="en-AU"/>
        </w:rPr>
      </w:pPr>
      <w:r w:rsidRPr="007D2B92">
        <w:rPr>
          <w:rFonts w:cs="Calibri"/>
          <w:snapToGrid/>
          <w:szCs w:val="24"/>
          <w:lang w:eastAsia="en-AU"/>
        </w:rPr>
        <w:t xml:space="preserve">The study by </w:t>
      </w:r>
      <w:proofErr w:type="spellStart"/>
      <w:r w:rsidRPr="007D2B92">
        <w:rPr>
          <w:rFonts w:cs="Calibri"/>
          <w:snapToGrid/>
          <w:szCs w:val="24"/>
          <w:lang w:eastAsia="en-AU"/>
        </w:rPr>
        <w:t>Ishola</w:t>
      </w:r>
      <w:proofErr w:type="spellEnd"/>
      <w:r w:rsidRPr="007D2B92">
        <w:rPr>
          <w:rFonts w:cs="Calibri"/>
          <w:snapToGrid/>
          <w:szCs w:val="24"/>
          <w:lang w:eastAsia="en-AU"/>
        </w:rPr>
        <w:t xml:space="preserve"> 2015 was the only study that compared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to </w:t>
      </w:r>
      <w:proofErr w:type="spellStart"/>
      <w:r w:rsidRPr="007D2B92">
        <w:rPr>
          <w:rFonts w:cs="Calibri"/>
          <w:snapToGrid/>
          <w:szCs w:val="24"/>
          <w:lang w:eastAsia="en-AU"/>
        </w:rPr>
        <w:t>MenACWY</w:t>
      </w:r>
      <w:proofErr w:type="spellEnd"/>
      <w:r w:rsidRPr="007D2B92">
        <w:rPr>
          <w:rFonts w:cs="Calibri"/>
          <w:snapToGrid/>
          <w:szCs w:val="24"/>
          <w:lang w:eastAsia="en-AU"/>
        </w:rPr>
        <w:t xml:space="preserve">-TT. It is unclear whether the study by </w:t>
      </w:r>
      <w:proofErr w:type="spellStart"/>
      <w:r w:rsidRPr="007D2B92">
        <w:rPr>
          <w:rFonts w:cs="Calibri"/>
          <w:snapToGrid/>
          <w:szCs w:val="24"/>
          <w:lang w:eastAsia="en-AU"/>
        </w:rPr>
        <w:t>Ishola</w:t>
      </w:r>
      <w:proofErr w:type="spellEnd"/>
      <w:r w:rsidRPr="007D2B92">
        <w:rPr>
          <w:rFonts w:cs="Calibri"/>
          <w:snapToGrid/>
          <w:szCs w:val="24"/>
          <w:lang w:eastAsia="en-AU"/>
        </w:rPr>
        <w:t xml:space="preserve"> 2015 was blinded. It did not report the proportion achieving </w:t>
      </w:r>
      <w:proofErr w:type="spellStart"/>
      <w:r w:rsidRPr="007D2B92">
        <w:rPr>
          <w:rFonts w:cs="Calibri"/>
          <w:snapToGrid/>
          <w:szCs w:val="24"/>
          <w:lang w:eastAsia="en-AU"/>
        </w:rPr>
        <w:t>seroresponse</w:t>
      </w:r>
      <w:proofErr w:type="spellEnd"/>
      <w:r w:rsidRPr="007D2B92">
        <w:rPr>
          <w:rFonts w:cs="Calibri"/>
          <w:snapToGrid/>
          <w:szCs w:val="24"/>
          <w:lang w:eastAsia="en-AU"/>
        </w:rPr>
        <w:t>. The study was small and not powered to test for non-inferiority between the vaccines.</w:t>
      </w:r>
    </w:p>
    <w:p w:rsidR="00292116" w:rsidRPr="007D2B92" w:rsidRDefault="00292116" w:rsidP="00292116">
      <w:pPr>
        <w:pStyle w:val="PBACHeading1"/>
        <w:rPr>
          <w:snapToGrid/>
          <w:lang w:eastAsia="en-AU"/>
        </w:rPr>
        <w:sectPr w:rsidR="00292116" w:rsidRPr="007D2B92" w:rsidSect="00AF2CD4">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pPr>
    </w:p>
    <w:p w:rsidR="007F1017" w:rsidRPr="007D2B92" w:rsidRDefault="007F1017" w:rsidP="00045017">
      <w:pPr>
        <w:rPr>
          <w:rStyle w:val="CommentReference"/>
        </w:rPr>
      </w:pPr>
      <w:r w:rsidRPr="007D2B92">
        <w:rPr>
          <w:rStyle w:val="CommentReference"/>
        </w:rPr>
        <w:lastRenderedPageBreak/>
        <w:t xml:space="preserve">Table </w:t>
      </w:r>
      <w:r w:rsidR="00AF00DF" w:rsidRPr="007D2B92">
        <w:rPr>
          <w:rStyle w:val="CommentReference"/>
        </w:rPr>
        <w:t>4</w:t>
      </w:r>
      <w:r w:rsidRPr="007D2B92">
        <w:rPr>
          <w:rStyle w:val="CommentReference"/>
        </w:rPr>
        <w:t>: Key features of the included evidence</w:t>
      </w:r>
    </w:p>
    <w:tbl>
      <w:tblPr>
        <w:tblStyle w:val="TableGrid"/>
        <w:tblW w:w="0" w:type="auto"/>
        <w:tblLayout w:type="fixed"/>
        <w:tblLook w:val="04A0" w:firstRow="1" w:lastRow="0" w:firstColumn="1" w:lastColumn="0" w:noHBand="0" w:noVBand="1"/>
        <w:tblCaption w:val="Table 4: Key features of the included evidence"/>
      </w:tblPr>
      <w:tblGrid>
        <w:gridCol w:w="1367"/>
        <w:gridCol w:w="1086"/>
        <w:gridCol w:w="1899"/>
        <w:gridCol w:w="3014"/>
        <w:gridCol w:w="1134"/>
        <w:gridCol w:w="1906"/>
        <w:gridCol w:w="3544"/>
      </w:tblGrid>
      <w:tr w:rsidR="00F024E5" w:rsidRPr="007D2B92" w:rsidTr="00F0313D">
        <w:trPr>
          <w:trHeight w:val="342"/>
          <w:tblHeader/>
        </w:trPr>
        <w:tc>
          <w:tcPr>
            <w:tcW w:w="1367"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Study name</w:t>
            </w:r>
          </w:p>
        </w:tc>
        <w:tc>
          <w:tcPr>
            <w:tcW w:w="1086" w:type="dxa"/>
          </w:tcPr>
          <w:p w:rsidR="00F024E5" w:rsidRPr="007D2B92" w:rsidDel="000D7F08" w:rsidRDefault="00F024E5" w:rsidP="00FE6A3E">
            <w:pPr>
              <w:jc w:val="left"/>
              <w:rPr>
                <w:rFonts w:ascii="Arial Narrow" w:hAnsi="Arial Narrow"/>
                <w:b/>
                <w:sz w:val="20"/>
                <w:szCs w:val="20"/>
              </w:rPr>
            </w:pPr>
            <w:r w:rsidRPr="007D2B92">
              <w:rPr>
                <w:rFonts w:ascii="Arial Narrow" w:hAnsi="Arial Narrow"/>
                <w:b/>
                <w:sz w:val="20"/>
                <w:szCs w:val="20"/>
              </w:rPr>
              <w:t>Study design</w:t>
            </w:r>
          </w:p>
        </w:tc>
        <w:tc>
          <w:tcPr>
            <w:tcW w:w="1899"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Intervention</w:t>
            </w:r>
          </w:p>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(arm of interest)</w:t>
            </w:r>
          </w:p>
        </w:tc>
        <w:tc>
          <w:tcPr>
            <w:tcW w:w="3014"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Comparator</w:t>
            </w:r>
          </w:p>
        </w:tc>
        <w:tc>
          <w:tcPr>
            <w:tcW w:w="1134" w:type="dxa"/>
          </w:tcPr>
          <w:p w:rsidR="00F024E5" w:rsidRPr="007D2B92" w:rsidRDefault="00F024E5" w:rsidP="00357A7D">
            <w:pPr>
              <w:jc w:val="left"/>
              <w:rPr>
                <w:rFonts w:ascii="Arial Narrow" w:hAnsi="Arial Narrow"/>
                <w:b/>
                <w:sz w:val="20"/>
                <w:szCs w:val="20"/>
              </w:rPr>
            </w:pPr>
            <w:r w:rsidRPr="007D2B92">
              <w:rPr>
                <w:rFonts w:ascii="Arial Narrow" w:hAnsi="Arial Narrow"/>
                <w:b/>
                <w:sz w:val="20"/>
                <w:szCs w:val="20"/>
              </w:rPr>
              <w:t>N (</w:t>
            </w:r>
            <w:r w:rsidR="00357A7D" w:rsidRPr="007D2B92">
              <w:rPr>
                <w:rFonts w:ascii="Arial Narrow" w:hAnsi="Arial Narrow"/>
                <w:b/>
                <w:sz w:val="20"/>
                <w:szCs w:val="20"/>
              </w:rPr>
              <w:t>enrolled</w:t>
            </w:r>
            <w:r w:rsidRPr="007D2B92">
              <w:rPr>
                <w:rFonts w:ascii="Arial Narrow" w:hAnsi="Arial Narrow"/>
                <w:b/>
                <w:sz w:val="20"/>
                <w:szCs w:val="20"/>
              </w:rPr>
              <w:t>)</w:t>
            </w:r>
          </w:p>
        </w:tc>
        <w:tc>
          <w:tcPr>
            <w:tcW w:w="1906"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Patient population</w:t>
            </w:r>
          </w:p>
        </w:tc>
        <w:tc>
          <w:tcPr>
            <w:tcW w:w="3544" w:type="dxa"/>
          </w:tcPr>
          <w:p w:rsidR="00F024E5" w:rsidRPr="007D2B92" w:rsidRDefault="00F024E5" w:rsidP="00FE6A3E">
            <w:pPr>
              <w:jc w:val="left"/>
              <w:rPr>
                <w:rFonts w:ascii="Arial Narrow" w:hAnsi="Arial Narrow"/>
                <w:b/>
                <w:sz w:val="20"/>
                <w:szCs w:val="20"/>
              </w:rPr>
            </w:pPr>
            <w:r w:rsidRPr="007D2B92">
              <w:rPr>
                <w:rFonts w:ascii="Arial Narrow" w:hAnsi="Arial Narrow"/>
                <w:b/>
                <w:sz w:val="20"/>
                <w:szCs w:val="20"/>
              </w:rPr>
              <w:t>Outcomes</w:t>
            </w:r>
          </w:p>
        </w:tc>
      </w:tr>
      <w:tr w:rsidR="00675708" w:rsidRPr="007D2B92" w:rsidTr="00F0313D">
        <w:trPr>
          <w:trHeight w:val="70"/>
        </w:trPr>
        <w:tc>
          <w:tcPr>
            <w:tcW w:w="13950" w:type="dxa"/>
            <w:gridSpan w:val="7"/>
          </w:tcPr>
          <w:p w:rsidR="00675708" w:rsidRPr="007D2B92" w:rsidRDefault="00675708" w:rsidP="00012940">
            <w:pPr>
              <w:rPr>
                <w:rFonts w:ascii="Arial Narrow" w:hAnsi="Arial Narrow"/>
                <w:b/>
                <w:sz w:val="20"/>
                <w:szCs w:val="20"/>
              </w:rPr>
            </w:pPr>
            <w:r w:rsidRPr="007D2B92">
              <w:rPr>
                <w:rFonts w:ascii="Arial Narrow" w:hAnsi="Arial Narrow"/>
                <w:b/>
                <w:sz w:val="20"/>
              </w:rPr>
              <w:t>Key comparative trials</w:t>
            </w:r>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Ishola</w:t>
            </w:r>
            <w:proofErr w:type="spellEnd"/>
            <w:r w:rsidRPr="007D2B92">
              <w:rPr>
                <w:rFonts w:ascii="Arial Narrow" w:hAnsi="Arial Narrow"/>
                <w:sz w:val="20"/>
              </w:rPr>
              <w:t xml:space="preserve"> 2015</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Unknown</w:t>
            </w:r>
          </w:p>
        </w:tc>
        <w:tc>
          <w:tcPr>
            <w:tcW w:w="1899"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-TT</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93</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 xml:space="preserve">16-19 years with previous </w:t>
            </w:r>
            <w:proofErr w:type="spellStart"/>
            <w:r w:rsidRPr="007D2B92">
              <w:rPr>
                <w:rFonts w:ascii="Arial Narrow" w:hAnsi="Arial Narrow"/>
                <w:sz w:val="20"/>
              </w:rPr>
              <w:t>MenC</w:t>
            </w:r>
            <w:proofErr w:type="spellEnd"/>
            <w:r w:rsidRPr="007D2B92">
              <w:rPr>
                <w:rFonts w:ascii="Arial Narrow" w:hAnsi="Arial Narrow"/>
                <w:sz w:val="20"/>
              </w:rPr>
              <w:t xml:space="preserve"> vaccination (3-6 years)</w:t>
            </w:r>
          </w:p>
        </w:tc>
        <w:tc>
          <w:tcPr>
            <w:tcW w:w="3544" w:type="dxa"/>
          </w:tcPr>
          <w:p w:rsidR="00357A7D" w:rsidRPr="007D2B92" w:rsidRDefault="00357A7D" w:rsidP="00357A7D">
            <w:pPr>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rSBA</w:t>
            </w:r>
            <w:proofErr w:type="spellEnd"/>
            <w:r w:rsidRPr="007D2B92">
              <w:rPr>
                <w:rFonts w:ascii="Arial Narrow" w:hAnsi="Arial Narrow"/>
                <w:sz w:val="20"/>
                <w:szCs w:val="20"/>
              </w:rPr>
              <w:t xml:space="preserve"> ≥ 1:8 and ≥ 4-fold rises in SBA titre*</w:t>
            </w:r>
          </w:p>
          <w:p w:rsidR="00357A7D" w:rsidRPr="007D2B92" w:rsidRDefault="00357A7D" w:rsidP="00357A7D">
            <w:pPr>
              <w:rPr>
                <w:rFonts w:ascii="Arial Narrow" w:hAnsi="Arial Narrow"/>
                <w:sz w:val="20"/>
                <w:szCs w:val="20"/>
              </w:rPr>
            </w:pPr>
            <w:r w:rsidRPr="007D2B92">
              <w:rPr>
                <w:rFonts w:ascii="Arial Narrow" w:hAnsi="Arial Narrow"/>
                <w:sz w:val="20"/>
                <w:szCs w:val="20"/>
              </w:rPr>
              <w:t>GMTs</w:t>
            </w:r>
          </w:p>
          <w:p w:rsidR="00357A7D" w:rsidRPr="007D2B92" w:rsidRDefault="00357A7D" w:rsidP="00357A7D">
            <w:pPr>
              <w:rPr>
                <w:rFonts w:ascii="Arial Narrow" w:hAnsi="Arial Narrow"/>
                <w:sz w:val="20"/>
                <w:szCs w:val="20"/>
              </w:rPr>
            </w:pPr>
          </w:p>
          <w:p w:rsidR="00357A7D" w:rsidRPr="007D2B92" w:rsidRDefault="00357A7D" w:rsidP="00357A7D">
            <w:pPr>
              <w:jc w:val="left"/>
              <w:rPr>
                <w:rFonts w:ascii="Arial Narrow" w:hAnsi="Arial Narrow"/>
                <w:sz w:val="20"/>
              </w:rPr>
            </w:pPr>
            <w:r w:rsidRPr="007D2B92">
              <w:rPr>
                <w:rFonts w:ascii="Arial Narrow" w:hAnsi="Arial Narrow"/>
                <w:sz w:val="20"/>
                <w:szCs w:val="20"/>
              </w:rPr>
              <w:t xml:space="preserve">*Assumed to be </w:t>
            </w:r>
            <w:proofErr w:type="spellStart"/>
            <w:r w:rsidRPr="007D2B92">
              <w:rPr>
                <w:rFonts w:ascii="Arial Narrow" w:hAnsi="Arial Narrow"/>
                <w:sz w:val="20"/>
                <w:szCs w:val="20"/>
              </w:rPr>
              <w:t>rSBA</w:t>
            </w:r>
            <w:proofErr w:type="spellEnd"/>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V59P13</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OB</w:t>
            </w:r>
          </w:p>
        </w:tc>
        <w:tc>
          <w:tcPr>
            <w:tcW w:w="1899"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-DT</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3539</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11-18 years; and</w:t>
            </w:r>
          </w:p>
          <w:p w:rsidR="00357A7D" w:rsidRPr="007D2B92" w:rsidRDefault="00357A7D" w:rsidP="00357A7D">
            <w:pPr>
              <w:jc w:val="left"/>
              <w:rPr>
                <w:rFonts w:ascii="Arial Narrow" w:hAnsi="Arial Narrow"/>
                <w:sz w:val="20"/>
              </w:rPr>
            </w:pPr>
            <w:r w:rsidRPr="007D2B92">
              <w:rPr>
                <w:rFonts w:ascii="Arial Narrow" w:hAnsi="Arial Narrow"/>
                <w:sz w:val="20"/>
              </w:rPr>
              <w:t>11-55 years</w:t>
            </w:r>
          </w:p>
        </w:tc>
        <w:tc>
          <w:tcPr>
            <w:tcW w:w="3544" w:type="dxa"/>
          </w:tcPr>
          <w:p w:rsidR="00357A7D" w:rsidRPr="007D2B92" w:rsidRDefault="00357A7D" w:rsidP="00357A7D">
            <w:pPr>
              <w:rPr>
                <w:rFonts w:ascii="Arial Narrow" w:hAnsi="Arial Narrow"/>
                <w:sz w:val="20"/>
                <w:szCs w:val="20"/>
              </w:rPr>
            </w:pPr>
            <w:r w:rsidRPr="007D2B92">
              <w:rPr>
                <w:rFonts w:ascii="Arial Narrow" w:hAnsi="Arial Narrow"/>
                <w:sz w:val="20"/>
                <w:szCs w:val="20"/>
              </w:rPr>
              <w:t>%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357A7D" w:rsidRPr="007D2B92" w:rsidRDefault="00357A7D" w:rsidP="00357A7D">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1:4 and 1:8</w:t>
            </w:r>
          </w:p>
          <w:p w:rsidR="00357A7D" w:rsidRPr="007D2B92" w:rsidRDefault="00357A7D" w:rsidP="00357A7D">
            <w:pPr>
              <w:jc w:val="left"/>
              <w:rPr>
                <w:rFonts w:ascii="Arial Narrow" w:hAnsi="Arial Narrow"/>
                <w:sz w:val="20"/>
              </w:rPr>
            </w:pPr>
            <w:r w:rsidRPr="007D2B92">
              <w:rPr>
                <w:rFonts w:ascii="Arial Narrow" w:hAnsi="Arial Narrow"/>
                <w:sz w:val="20"/>
                <w:szCs w:val="20"/>
              </w:rPr>
              <w:t>GMTs</w:t>
            </w:r>
          </w:p>
        </w:tc>
      </w:tr>
      <w:tr w:rsidR="00357A7D" w:rsidRPr="007D2B92" w:rsidTr="00F0313D">
        <w:trPr>
          <w:trHeight w:val="58"/>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V59P6</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SB</w:t>
            </w:r>
          </w:p>
        </w:tc>
        <w:tc>
          <w:tcPr>
            <w:tcW w:w="1899"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 (</w:t>
            </w:r>
            <w:proofErr w:type="spellStart"/>
            <w:r w:rsidRPr="007D2B92">
              <w:rPr>
                <w:rFonts w:ascii="Arial Narrow" w:hAnsi="Arial Narrow"/>
                <w:sz w:val="20"/>
              </w:rPr>
              <w:t>Menomune</w:t>
            </w:r>
            <w:proofErr w:type="spellEnd"/>
            <w:r w:rsidRPr="007D2B92">
              <w:rPr>
                <w:rFonts w:ascii="Arial Narrow" w:hAnsi="Arial Narrow"/>
                <w:sz w:val="20"/>
              </w:rPr>
              <w:t>)</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524</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11-17 years</w:t>
            </w:r>
          </w:p>
        </w:tc>
        <w:tc>
          <w:tcPr>
            <w:tcW w:w="3544" w:type="dxa"/>
          </w:tcPr>
          <w:p w:rsidR="00357A7D" w:rsidRPr="007D2B92" w:rsidRDefault="00357A7D" w:rsidP="00357A7D">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1:4 and 1:8</w:t>
            </w:r>
          </w:p>
          <w:p w:rsidR="00357A7D" w:rsidRPr="007D2B92" w:rsidRDefault="00357A7D" w:rsidP="00357A7D">
            <w:pPr>
              <w:jc w:val="left"/>
              <w:rPr>
                <w:rFonts w:ascii="Arial Narrow" w:hAnsi="Arial Narrow"/>
                <w:sz w:val="20"/>
              </w:rPr>
            </w:pPr>
            <w:r w:rsidRPr="007D2B92">
              <w:rPr>
                <w:rFonts w:ascii="Arial Narrow" w:hAnsi="Arial Narrow"/>
                <w:sz w:val="20"/>
                <w:szCs w:val="20"/>
              </w:rPr>
              <w:t>GMTs</w:t>
            </w:r>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V59_39d</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Unknown</w:t>
            </w:r>
          </w:p>
        </w:tc>
        <w:tc>
          <w:tcPr>
            <w:tcW w:w="1899"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357A7D" w:rsidRPr="007D2B92" w:rsidRDefault="00357A7D" w:rsidP="00357A7D">
            <w:pPr>
              <w:jc w:val="left"/>
              <w:rPr>
                <w:rFonts w:ascii="Arial Narrow" w:hAnsi="Arial Narrow"/>
                <w:sz w:val="20"/>
              </w:rPr>
            </w:pPr>
            <w:r w:rsidRPr="007D2B92">
              <w:rPr>
                <w:rFonts w:ascii="Arial Narrow" w:hAnsi="Arial Narrow"/>
                <w:sz w:val="20"/>
              </w:rPr>
              <w:t>Placebo</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450</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11-55 years (Korean)</w:t>
            </w:r>
          </w:p>
        </w:tc>
        <w:tc>
          <w:tcPr>
            <w:tcW w:w="3544" w:type="dxa"/>
          </w:tcPr>
          <w:p w:rsidR="00357A7D" w:rsidRPr="007D2B92" w:rsidRDefault="00357A7D" w:rsidP="00357A7D">
            <w:pPr>
              <w:rPr>
                <w:rFonts w:ascii="Arial Narrow" w:hAnsi="Arial Narrow"/>
                <w:sz w:val="20"/>
                <w:szCs w:val="20"/>
              </w:rPr>
            </w:pPr>
            <w:r w:rsidRPr="007D2B92">
              <w:rPr>
                <w:rFonts w:ascii="Arial Narrow" w:hAnsi="Arial Narrow"/>
                <w:sz w:val="20"/>
                <w:szCs w:val="20"/>
              </w:rPr>
              <w:t>%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357A7D" w:rsidRPr="007D2B92" w:rsidRDefault="00357A7D" w:rsidP="00357A7D">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1:8</w:t>
            </w:r>
          </w:p>
          <w:p w:rsidR="00357A7D" w:rsidRPr="007D2B92" w:rsidRDefault="00357A7D" w:rsidP="00357A7D">
            <w:pPr>
              <w:jc w:val="left"/>
              <w:rPr>
                <w:rFonts w:ascii="Arial Narrow" w:hAnsi="Arial Narrow"/>
                <w:sz w:val="20"/>
              </w:rPr>
            </w:pPr>
            <w:r w:rsidRPr="007D2B92">
              <w:rPr>
                <w:rFonts w:ascii="Arial Narrow" w:hAnsi="Arial Narrow"/>
                <w:sz w:val="20"/>
                <w:szCs w:val="20"/>
              </w:rPr>
              <w:t>GMTs</w:t>
            </w:r>
          </w:p>
        </w:tc>
      </w:tr>
      <w:tr w:rsidR="00675708" w:rsidRPr="007D2B92" w:rsidTr="00F0313D">
        <w:trPr>
          <w:trHeight w:val="58"/>
        </w:trPr>
        <w:tc>
          <w:tcPr>
            <w:tcW w:w="13950" w:type="dxa"/>
            <w:gridSpan w:val="7"/>
          </w:tcPr>
          <w:p w:rsidR="00675708" w:rsidRPr="007D2B92" w:rsidRDefault="00675708" w:rsidP="00012940">
            <w:pPr>
              <w:jc w:val="left"/>
              <w:rPr>
                <w:rFonts w:ascii="Arial Narrow" w:hAnsi="Arial Narrow"/>
                <w:b/>
                <w:sz w:val="20"/>
              </w:rPr>
            </w:pPr>
            <w:r w:rsidRPr="007D2B92">
              <w:rPr>
                <w:rFonts w:ascii="Arial Narrow" w:hAnsi="Arial Narrow"/>
                <w:b/>
                <w:sz w:val="20"/>
              </w:rPr>
              <w:t>Supplementary Trials</w:t>
            </w:r>
          </w:p>
        </w:tc>
      </w:tr>
      <w:tr w:rsidR="00675708" w:rsidRPr="007D2B92" w:rsidTr="00F0313D">
        <w:trPr>
          <w:trHeight w:val="58"/>
        </w:trPr>
        <w:tc>
          <w:tcPr>
            <w:tcW w:w="13950" w:type="dxa"/>
            <w:gridSpan w:val="7"/>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 with concomitant vaccines to show no reduction in efficacy for giving vaccines together</w:t>
            </w:r>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V59P18</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OL</w:t>
            </w:r>
          </w:p>
        </w:tc>
        <w:tc>
          <w:tcPr>
            <w:tcW w:w="1899" w:type="dxa"/>
            <w:vAlign w:val="center"/>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-CRM + </w:t>
            </w:r>
            <w:proofErr w:type="spellStart"/>
            <w:r w:rsidRPr="007D2B92">
              <w:rPr>
                <w:rFonts w:ascii="Arial Narrow" w:hAnsi="Arial Narrow"/>
                <w:sz w:val="20"/>
              </w:rPr>
              <w:t>Tdap</w:t>
            </w:r>
            <w:proofErr w:type="spellEnd"/>
            <w:r w:rsidRPr="007D2B92">
              <w:rPr>
                <w:rFonts w:ascii="Arial Narrow" w:hAnsi="Arial Narrow"/>
                <w:sz w:val="20"/>
              </w:rPr>
              <w:t xml:space="preserve"> + HPV</w:t>
            </w:r>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-CRM → </w:t>
            </w:r>
            <w:proofErr w:type="spellStart"/>
            <w:r w:rsidRPr="007D2B92">
              <w:rPr>
                <w:rFonts w:ascii="Arial Narrow" w:hAnsi="Arial Narrow"/>
                <w:sz w:val="20"/>
              </w:rPr>
              <w:t>Tdap</w:t>
            </w:r>
            <w:proofErr w:type="spellEnd"/>
            <w:r w:rsidRPr="007D2B92">
              <w:rPr>
                <w:rFonts w:ascii="Arial Narrow" w:hAnsi="Arial Narrow"/>
                <w:sz w:val="20"/>
              </w:rPr>
              <w:t xml:space="preserve"> → HPV;</w:t>
            </w:r>
          </w:p>
          <w:p w:rsidR="00357A7D" w:rsidRPr="007D2B92" w:rsidRDefault="00357A7D" w:rsidP="00357A7D">
            <w:pPr>
              <w:jc w:val="left"/>
              <w:rPr>
                <w:rFonts w:ascii="Arial Narrow" w:hAnsi="Arial Narrow"/>
                <w:sz w:val="20"/>
              </w:rPr>
            </w:pPr>
            <w:proofErr w:type="spellStart"/>
            <w:r w:rsidRPr="007D2B92">
              <w:rPr>
                <w:rFonts w:ascii="Arial Narrow" w:hAnsi="Arial Narrow"/>
                <w:sz w:val="20"/>
              </w:rPr>
              <w:t>Tdap</w:t>
            </w:r>
            <w:proofErr w:type="spellEnd"/>
            <w:r w:rsidRPr="007D2B92">
              <w:rPr>
                <w:rFonts w:ascii="Arial Narrow" w:hAnsi="Arial Narrow"/>
                <w:sz w:val="20"/>
              </w:rPr>
              <w:t xml:space="preserve">→ </w:t>
            </w:r>
            <w:proofErr w:type="spellStart"/>
            <w:r w:rsidRPr="007D2B92">
              <w:rPr>
                <w:rFonts w:ascii="Arial Narrow" w:hAnsi="Arial Narrow"/>
                <w:sz w:val="20"/>
              </w:rPr>
              <w:t>MenACWY</w:t>
            </w:r>
            <w:proofErr w:type="spellEnd"/>
            <w:r w:rsidRPr="007D2B92">
              <w:rPr>
                <w:rFonts w:ascii="Arial Narrow" w:hAnsi="Arial Narrow"/>
                <w:sz w:val="20"/>
              </w:rPr>
              <w:t>-CRM →HPV</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1620</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11-18 years</w:t>
            </w:r>
          </w:p>
        </w:tc>
        <w:tc>
          <w:tcPr>
            <w:tcW w:w="3544" w:type="dxa"/>
          </w:tcPr>
          <w:p w:rsidR="00357A7D" w:rsidRPr="007D2B92" w:rsidRDefault="00357A7D" w:rsidP="00357A7D">
            <w:pPr>
              <w:jc w:val="left"/>
              <w:rPr>
                <w:rFonts w:ascii="Arial Narrow" w:hAnsi="Arial Narrow"/>
                <w:sz w:val="20"/>
              </w:rPr>
            </w:pPr>
            <w:r w:rsidRPr="007D2B92">
              <w:rPr>
                <w:rFonts w:ascii="Arial Narrow" w:hAnsi="Arial Narrow"/>
                <w:sz w:val="20"/>
              </w:rPr>
              <w:t>% (</w:t>
            </w:r>
            <w:proofErr w:type="spellStart"/>
            <w:r w:rsidRPr="007D2B92">
              <w:rPr>
                <w:rFonts w:ascii="Arial Narrow" w:hAnsi="Arial Narrow"/>
                <w:sz w:val="20"/>
              </w:rPr>
              <w:t>hSBA</w:t>
            </w:r>
            <w:proofErr w:type="spellEnd"/>
            <w:r w:rsidRPr="007D2B92">
              <w:rPr>
                <w:rFonts w:ascii="Arial Narrow" w:hAnsi="Arial Narrow"/>
                <w:sz w:val="20"/>
              </w:rPr>
              <w:t xml:space="preserve">) </w:t>
            </w:r>
            <w:proofErr w:type="spellStart"/>
            <w:r w:rsidRPr="007D2B92">
              <w:rPr>
                <w:rFonts w:ascii="Arial Narrow" w:hAnsi="Arial Narrow"/>
                <w:sz w:val="20"/>
              </w:rPr>
              <w:t>seroresponse</w:t>
            </w:r>
            <w:proofErr w:type="spellEnd"/>
          </w:p>
          <w:p w:rsidR="00357A7D" w:rsidRPr="007D2B92" w:rsidRDefault="00357A7D" w:rsidP="00357A7D">
            <w:pPr>
              <w:jc w:val="left"/>
              <w:rPr>
                <w:rFonts w:ascii="Arial Narrow" w:hAnsi="Arial Narrow"/>
                <w:sz w:val="20"/>
              </w:rPr>
            </w:pPr>
            <w:r w:rsidRPr="007D2B92">
              <w:rPr>
                <w:rFonts w:ascii="Arial Narrow" w:hAnsi="Arial Narrow"/>
                <w:sz w:val="20"/>
              </w:rPr>
              <w:t xml:space="preserve">% </w:t>
            </w:r>
            <w:proofErr w:type="spellStart"/>
            <w:r w:rsidRPr="007D2B92">
              <w:rPr>
                <w:rFonts w:ascii="Arial Narrow" w:hAnsi="Arial Narrow"/>
                <w:sz w:val="20"/>
              </w:rPr>
              <w:t>hSBA</w:t>
            </w:r>
            <w:proofErr w:type="spellEnd"/>
            <w:r w:rsidRPr="007D2B92">
              <w:rPr>
                <w:rFonts w:ascii="Arial Narrow" w:hAnsi="Arial Narrow"/>
                <w:sz w:val="20"/>
              </w:rPr>
              <w:t xml:space="preserve"> ≥ 1:8</w:t>
            </w:r>
          </w:p>
        </w:tc>
      </w:tr>
      <w:tr w:rsidR="00357A7D" w:rsidRPr="007D2B92" w:rsidTr="00F0313D">
        <w:trPr>
          <w:trHeight w:val="60"/>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V59P11</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OB</w:t>
            </w:r>
          </w:p>
        </w:tc>
        <w:tc>
          <w:tcPr>
            <w:tcW w:w="1899" w:type="dxa"/>
            <w:vAlign w:val="center"/>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-CRM + </w:t>
            </w:r>
            <w:proofErr w:type="spellStart"/>
            <w:r w:rsidRPr="007D2B92">
              <w:rPr>
                <w:rFonts w:ascii="Arial Narrow" w:hAnsi="Arial Narrow"/>
                <w:sz w:val="20"/>
              </w:rPr>
              <w:t>Tdap</w:t>
            </w:r>
            <w:proofErr w:type="spellEnd"/>
          </w:p>
        </w:tc>
        <w:tc>
          <w:tcPr>
            <w:tcW w:w="3014" w:type="dxa"/>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 + Placebo;</w:t>
            </w:r>
          </w:p>
          <w:p w:rsidR="00357A7D" w:rsidRPr="007D2B92" w:rsidRDefault="00357A7D" w:rsidP="00357A7D">
            <w:pPr>
              <w:jc w:val="left"/>
              <w:rPr>
                <w:rFonts w:ascii="Arial Narrow" w:hAnsi="Arial Narrow"/>
                <w:sz w:val="20"/>
              </w:rPr>
            </w:pPr>
            <w:proofErr w:type="spellStart"/>
            <w:r w:rsidRPr="007D2B92">
              <w:rPr>
                <w:rFonts w:ascii="Arial Narrow" w:hAnsi="Arial Narrow"/>
                <w:sz w:val="20"/>
              </w:rPr>
              <w:t>Tdap</w:t>
            </w:r>
            <w:proofErr w:type="spellEnd"/>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1072</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11-25 years</w:t>
            </w:r>
          </w:p>
        </w:tc>
        <w:tc>
          <w:tcPr>
            <w:tcW w:w="3544" w:type="dxa"/>
          </w:tcPr>
          <w:p w:rsidR="00357A7D" w:rsidRPr="007D2B92" w:rsidRDefault="00357A7D" w:rsidP="00357A7D">
            <w:pPr>
              <w:jc w:val="left"/>
              <w:rPr>
                <w:rFonts w:ascii="Arial Narrow" w:hAnsi="Arial Narrow"/>
                <w:sz w:val="20"/>
              </w:rPr>
            </w:pPr>
            <w:r w:rsidRPr="007D2B92">
              <w:rPr>
                <w:rFonts w:ascii="Arial Narrow" w:hAnsi="Arial Narrow"/>
                <w:sz w:val="20"/>
              </w:rPr>
              <w:t xml:space="preserve">% </w:t>
            </w:r>
            <w:proofErr w:type="spellStart"/>
            <w:r w:rsidRPr="007D2B92">
              <w:rPr>
                <w:rFonts w:ascii="Arial Narrow" w:hAnsi="Arial Narrow"/>
                <w:sz w:val="20"/>
              </w:rPr>
              <w:t>hSBA</w:t>
            </w:r>
            <w:proofErr w:type="spellEnd"/>
            <w:r w:rsidRPr="007D2B92">
              <w:rPr>
                <w:rFonts w:ascii="Arial Narrow" w:hAnsi="Arial Narrow"/>
                <w:sz w:val="20"/>
              </w:rPr>
              <w:t xml:space="preserve"> ≥ 1:8</w:t>
            </w:r>
          </w:p>
        </w:tc>
      </w:tr>
      <w:tr w:rsidR="00357A7D" w:rsidRPr="007D2B92" w:rsidTr="00F0313D">
        <w:trPr>
          <w:trHeight w:val="342"/>
        </w:trPr>
        <w:tc>
          <w:tcPr>
            <w:tcW w:w="1367" w:type="dxa"/>
          </w:tcPr>
          <w:p w:rsidR="00357A7D" w:rsidRPr="007D2B92" w:rsidRDefault="00357A7D" w:rsidP="00357A7D">
            <w:pPr>
              <w:jc w:val="left"/>
              <w:rPr>
                <w:rFonts w:ascii="Arial Narrow" w:hAnsi="Arial Narrow"/>
                <w:sz w:val="20"/>
              </w:rPr>
            </w:pPr>
            <w:r w:rsidRPr="007D2B92">
              <w:rPr>
                <w:rFonts w:ascii="Arial Narrow" w:hAnsi="Arial Narrow"/>
                <w:sz w:val="20"/>
              </w:rPr>
              <w:t>V59_40e</w:t>
            </w:r>
          </w:p>
        </w:tc>
        <w:tc>
          <w:tcPr>
            <w:tcW w:w="1086" w:type="dxa"/>
          </w:tcPr>
          <w:p w:rsidR="00357A7D" w:rsidRPr="007D2B92" w:rsidRDefault="00357A7D" w:rsidP="00357A7D">
            <w:pPr>
              <w:jc w:val="left"/>
              <w:rPr>
                <w:rFonts w:ascii="Arial Narrow" w:hAnsi="Arial Narrow"/>
                <w:sz w:val="20"/>
              </w:rPr>
            </w:pPr>
            <w:r w:rsidRPr="007D2B92">
              <w:rPr>
                <w:rFonts w:ascii="Arial Narrow" w:hAnsi="Arial Narrow"/>
                <w:sz w:val="20"/>
              </w:rPr>
              <w:t>R, Unknown</w:t>
            </w:r>
          </w:p>
        </w:tc>
        <w:tc>
          <w:tcPr>
            <w:tcW w:w="1899" w:type="dxa"/>
            <w:vAlign w:val="center"/>
          </w:tcPr>
          <w:p w:rsidR="00357A7D" w:rsidRPr="007D2B92" w:rsidRDefault="00357A7D" w:rsidP="00357A7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 xml:space="preserve">-CRM + </w:t>
            </w:r>
            <w:proofErr w:type="spellStart"/>
            <w:r w:rsidRPr="007D2B92">
              <w:rPr>
                <w:rFonts w:ascii="Arial Narrow" w:hAnsi="Arial Narrow"/>
                <w:sz w:val="20"/>
              </w:rPr>
              <w:t>Tdap</w:t>
            </w:r>
            <w:proofErr w:type="spellEnd"/>
            <w:r w:rsidRPr="007D2B92">
              <w:rPr>
                <w:rFonts w:ascii="Arial Narrow" w:hAnsi="Arial Narrow"/>
                <w:sz w:val="20"/>
              </w:rPr>
              <w:t xml:space="preserve"> + HPV</w:t>
            </w:r>
          </w:p>
        </w:tc>
        <w:tc>
          <w:tcPr>
            <w:tcW w:w="3014" w:type="dxa"/>
          </w:tcPr>
          <w:p w:rsidR="00357A7D" w:rsidRPr="007D2B92" w:rsidRDefault="00357A7D" w:rsidP="00357A7D">
            <w:pPr>
              <w:jc w:val="left"/>
              <w:rPr>
                <w:rFonts w:ascii="Arial Narrow" w:hAnsi="Arial Narrow"/>
                <w:sz w:val="20"/>
              </w:rPr>
            </w:pPr>
            <w:r w:rsidRPr="007D2B92">
              <w:rPr>
                <w:rFonts w:ascii="Arial Narrow" w:hAnsi="Arial Narrow"/>
                <w:sz w:val="20"/>
              </w:rPr>
              <w:t xml:space="preserve">Placebo + </w:t>
            </w:r>
            <w:proofErr w:type="spellStart"/>
            <w:r w:rsidRPr="007D2B92">
              <w:rPr>
                <w:rFonts w:ascii="Arial Narrow" w:hAnsi="Arial Narrow"/>
                <w:sz w:val="20"/>
              </w:rPr>
              <w:t>Tdap</w:t>
            </w:r>
            <w:proofErr w:type="spellEnd"/>
            <w:r w:rsidRPr="007D2B92">
              <w:rPr>
                <w:rFonts w:ascii="Arial Narrow" w:hAnsi="Arial Narrow"/>
                <w:sz w:val="20"/>
              </w:rPr>
              <w:t xml:space="preserve"> + HPV</w:t>
            </w:r>
          </w:p>
        </w:tc>
        <w:tc>
          <w:tcPr>
            <w:tcW w:w="1134" w:type="dxa"/>
          </w:tcPr>
          <w:p w:rsidR="00357A7D" w:rsidRPr="007D2B92" w:rsidRDefault="00357A7D" w:rsidP="00357A7D">
            <w:pPr>
              <w:jc w:val="left"/>
              <w:rPr>
                <w:rFonts w:ascii="Arial Narrow" w:hAnsi="Arial Narrow"/>
                <w:sz w:val="20"/>
              </w:rPr>
            </w:pPr>
            <w:r w:rsidRPr="007D2B92">
              <w:rPr>
                <w:rFonts w:ascii="Arial Narrow" w:hAnsi="Arial Narrow"/>
                <w:sz w:val="20"/>
              </w:rPr>
              <w:t>801</w:t>
            </w:r>
          </w:p>
        </w:tc>
        <w:tc>
          <w:tcPr>
            <w:tcW w:w="1906" w:type="dxa"/>
          </w:tcPr>
          <w:p w:rsidR="00357A7D" w:rsidRPr="007D2B92" w:rsidRDefault="00357A7D" w:rsidP="00357A7D">
            <w:pPr>
              <w:jc w:val="left"/>
              <w:rPr>
                <w:rFonts w:ascii="Arial Narrow" w:hAnsi="Arial Narrow"/>
                <w:sz w:val="20"/>
              </w:rPr>
            </w:pPr>
            <w:r w:rsidRPr="007D2B92">
              <w:rPr>
                <w:rFonts w:ascii="Arial Narrow" w:hAnsi="Arial Narrow"/>
                <w:sz w:val="20"/>
              </w:rPr>
              <w:t>11-18 years</w:t>
            </w:r>
          </w:p>
        </w:tc>
        <w:tc>
          <w:tcPr>
            <w:tcW w:w="3544" w:type="dxa"/>
          </w:tcPr>
          <w:p w:rsidR="00357A7D" w:rsidRPr="007D2B92" w:rsidRDefault="00357A7D" w:rsidP="00357A7D">
            <w:pPr>
              <w:jc w:val="left"/>
              <w:rPr>
                <w:rFonts w:ascii="Arial Narrow" w:hAnsi="Arial Narrow"/>
                <w:sz w:val="20"/>
              </w:rPr>
            </w:pPr>
            <w:r w:rsidRPr="007D2B92">
              <w:rPr>
                <w:rFonts w:ascii="Arial Narrow" w:hAnsi="Arial Narrow"/>
                <w:sz w:val="20"/>
              </w:rPr>
              <w:t>% (</w:t>
            </w:r>
            <w:proofErr w:type="spellStart"/>
            <w:r w:rsidRPr="007D2B92">
              <w:rPr>
                <w:rFonts w:ascii="Arial Narrow" w:hAnsi="Arial Narrow"/>
                <w:sz w:val="20"/>
              </w:rPr>
              <w:t>hSBA</w:t>
            </w:r>
            <w:proofErr w:type="spellEnd"/>
            <w:r w:rsidRPr="007D2B92">
              <w:rPr>
                <w:rFonts w:ascii="Arial Narrow" w:hAnsi="Arial Narrow"/>
                <w:sz w:val="20"/>
              </w:rPr>
              <w:t xml:space="preserve">) </w:t>
            </w:r>
            <w:proofErr w:type="spellStart"/>
            <w:r w:rsidRPr="007D2B92">
              <w:rPr>
                <w:rFonts w:ascii="Arial Narrow" w:hAnsi="Arial Narrow"/>
                <w:sz w:val="20"/>
              </w:rPr>
              <w:t>seroresponse</w:t>
            </w:r>
            <w:proofErr w:type="spellEnd"/>
          </w:p>
          <w:p w:rsidR="00357A7D" w:rsidRPr="007D2B92" w:rsidRDefault="00357A7D" w:rsidP="00357A7D">
            <w:pPr>
              <w:jc w:val="left"/>
              <w:rPr>
                <w:rFonts w:ascii="Arial Narrow" w:hAnsi="Arial Narrow"/>
                <w:sz w:val="20"/>
              </w:rPr>
            </w:pPr>
            <w:r w:rsidRPr="007D2B92">
              <w:rPr>
                <w:rFonts w:ascii="Arial Narrow" w:hAnsi="Arial Narrow"/>
                <w:sz w:val="20"/>
              </w:rPr>
              <w:t xml:space="preserve">% </w:t>
            </w:r>
            <w:proofErr w:type="spellStart"/>
            <w:r w:rsidRPr="007D2B92">
              <w:rPr>
                <w:rFonts w:ascii="Arial Narrow" w:hAnsi="Arial Narrow"/>
                <w:sz w:val="20"/>
              </w:rPr>
              <w:t>hSBA</w:t>
            </w:r>
            <w:proofErr w:type="spellEnd"/>
            <w:r w:rsidRPr="007D2B92">
              <w:rPr>
                <w:rFonts w:ascii="Arial Narrow" w:hAnsi="Arial Narrow"/>
                <w:sz w:val="20"/>
              </w:rPr>
              <w:t xml:space="preserve"> ≥ 1:8</w:t>
            </w:r>
          </w:p>
        </w:tc>
      </w:tr>
      <w:tr w:rsidR="00675708" w:rsidRPr="007D2B92" w:rsidTr="00F0313D">
        <w:trPr>
          <w:trHeight w:val="58"/>
        </w:trPr>
        <w:tc>
          <w:tcPr>
            <w:tcW w:w="13950" w:type="dxa"/>
            <w:gridSpan w:val="7"/>
          </w:tcPr>
          <w:p w:rsidR="00675708" w:rsidRPr="007D2B92" w:rsidRDefault="00675708" w:rsidP="00012940">
            <w:pPr>
              <w:jc w:val="left"/>
              <w:rPr>
                <w:rFonts w:ascii="Arial Narrow" w:hAnsi="Arial Narrow"/>
                <w:sz w:val="20"/>
              </w:rPr>
            </w:pPr>
            <w:r w:rsidRPr="007D2B92">
              <w:rPr>
                <w:rFonts w:ascii="Arial Narrow" w:hAnsi="Arial Narrow"/>
                <w:sz w:val="20"/>
              </w:rPr>
              <w:t xml:space="preserve">Other </w:t>
            </w:r>
            <w:proofErr w:type="spellStart"/>
            <w:r w:rsidRPr="007D2B92">
              <w:rPr>
                <w:rFonts w:ascii="Arial Narrow" w:hAnsi="Arial Narrow"/>
                <w:sz w:val="20"/>
              </w:rPr>
              <w:t>MenACWY</w:t>
            </w:r>
            <w:proofErr w:type="spellEnd"/>
            <w:r w:rsidRPr="007D2B92">
              <w:rPr>
                <w:rFonts w:ascii="Arial Narrow" w:hAnsi="Arial Narrow"/>
                <w:sz w:val="20"/>
              </w:rPr>
              <w:t>-CRM trials</w:t>
            </w:r>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t>V102-02</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rPr>
              <w:t>R, OB</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Investigational products</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495</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Not reported</w:t>
            </w:r>
          </w:p>
        </w:tc>
        <w:tc>
          <w:tcPr>
            <w:tcW w:w="3544"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 xml:space="preserve">% of subjects with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≥1:8, and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geometric mean </w:t>
            </w:r>
            <w:proofErr w:type="spellStart"/>
            <w:r w:rsidRPr="007D2B92">
              <w:rPr>
                <w:rFonts w:ascii="Arial Narrow" w:hAnsi="Arial Narrow"/>
                <w:sz w:val="20"/>
                <w:szCs w:val="20"/>
              </w:rPr>
              <w:t>titers</w:t>
            </w:r>
            <w:proofErr w:type="spellEnd"/>
            <w:r w:rsidRPr="007D2B92">
              <w:rPr>
                <w:rFonts w:ascii="Arial Narrow" w:hAnsi="Arial Narrow"/>
                <w:sz w:val="20"/>
                <w:szCs w:val="20"/>
              </w:rPr>
              <w:t xml:space="preserve"> (GMTs)</w:t>
            </w:r>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t>V103-03</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rPr>
              <w:t>R, OB</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Investigational products</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484</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10-25 years</w:t>
            </w:r>
          </w:p>
        </w:tc>
        <w:tc>
          <w:tcPr>
            <w:tcW w:w="3544" w:type="dxa"/>
          </w:tcPr>
          <w:p w:rsidR="0023683D" w:rsidRPr="007D2B92" w:rsidRDefault="0023683D" w:rsidP="0023683D">
            <w:pPr>
              <w:rPr>
                <w:rFonts w:ascii="Arial Narrow" w:hAnsi="Arial Narrow"/>
                <w:sz w:val="20"/>
                <w:szCs w:val="20"/>
              </w:rPr>
            </w:pPr>
            <w:r w:rsidRPr="007D2B92">
              <w:rPr>
                <w:rFonts w:ascii="Arial Narrow" w:hAnsi="Arial Narrow"/>
                <w:sz w:val="20"/>
                <w:szCs w:val="20"/>
              </w:rPr>
              <w:t xml:space="preserve">immunogenicity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assessed at day 30 post vaccination</w:t>
            </w:r>
          </w:p>
          <w:p w:rsidR="0023683D" w:rsidRPr="007D2B92" w:rsidRDefault="0023683D" w:rsidP="0023683D">
            <w:pPr>
              <w:jc w:val="left"/>
              <w:rPr>
                <w:rFonts w:ascii="Arial Narrow" w:hAnsi="Arial Narrow"/>
                <w:sz w:val="20"/>
              </w:rPr>
            </w:pPr>
            <w:r w:rsidRPr="007D2B92">
              <w:rPr>
                <w:rFonts w:ascii="Arial Narrow" w:hAnsi="Arial Narrow"/>
                <w:sz w:val="20"/>
                <w:szCs w:val="20"/>
              </w:rPr>
              <w:t xml:space="preserve">Study design allowed a placebo comparison (cross over) </w:t>
            </w:r>
          </w:p>
        </w:tc>
      </w:tr>
      <w:tr w:rsidR="0023683D" w:rsidRPr="007D2B92" w:rsidTr="00F0313D">
        <w:trPr>
          <w:trHeight w:val="342"/>
        </w:trPr>
        <w:tc>
          <w:tcPr>
            <w:tcW w:w="1367" w:type="dxa"/>
            <w:shd w:val="clear" w:color="auto" w:fill="auto"/>
          </w:tcPr>
          <w:p w:rsidR="0023683D" w:rsidRPr="007D2B92" w:rsidRDefault="0023683D" w:rsidP="0023683D">
            <w:pPr>
              <w:jc w:val="left"/>
              <w:rPr>
                <w:rFonts w:ascii="Arial Narrow" w:hAnsi="Arial Narrow"/>
                <w:sz w:val="20"/>
              </w:rPr>
            </w:pPr>
            <w:r w:rsidRPr="007D2B92">
              <w:rPr>
                <w:rFonts w:ascii="Arial Narrow" w:hAnsi="Arial Narrow"/>
                <w:sz w:val="20"/>
              </w:rPr>
              <w:t>V59P20E1</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rPr>
              <w:t>OL</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Investigational products</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465</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11-15 years</w:t>
            </w:r>
          </w:p>
        </w:tc>
        <w:tc>
          <w:tcPr>
            <w:tcW w:w="3544" w:type="dxa"/>
          </w:tcPr>
          <w:p w:rsidR="0023683D" w:rsidRPr="007D2B92" w:rsidRDefault="0023683D" w:rsidP="0023683D">
            <w:pPr>
              <w:rPr>
                <w:rFonts w:ascii="Arial Narrow" w:hAnsi="Arial Narrow"/>
                <w:sz w:val="20"/>
                <w:szCs w:val="20"/>
              </w:rPr>
            </w:pPr>
            <w:r w:rsidRPr="007D2B92">
              <w:rPr>
                <w:rFonts w:ascii="Arial Narrow" w:hAnsi="Arial Narrow"/>
                <w:sz w:val="20"/>
                <w:szCs w:val="20"/>
              </w:rPr>
              <w:t xml:space="preserve">immunogenicity assessed at day 28 </w:t>
            </w:r>
            <w:proofErr w:type="spellStart"/>
            <w:r w:rsidRPr="007D2B92">
              <w:rPr>
                <w:rFonts w:ascii="Arial Narrow" w:hAnsi="Arial Narrow"/>
                <w:sz w:val="20"/>
                <w:szCs w:val="20"/>
              </w:rPr>
              <w:t>hSBA</w:t>
            </w:r>
            <w:proofErr w:type="spellEnd"/>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lastRenderedPageBreak/>
              <w:t>V59_43d</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OL</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None</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180</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11 - 18 years</w:t>
            </w:r>
          </w:p>
        </w:tc>
        <w:tc>
          <w:tcPr>
            <w:tcW w:w="3544" w:type="dxa"/>
          </w:tcPr>
          <w:p w:rsidR="0023683D" w:rsidRPr="007D2B92" w:rsidRDefault="0023683D" w:rsidP="0023683D">
            <w:pPr>
              <w:rPr>
                <w:rFonts w:ascii="Arial Narrow" w:hAnsi="Arial Narrow"/>
                <w:sz w:val="20"/>
                <w:szCs w:val="20"/>
              </w:rPr>
            </w:pPr>
            <w:r w:rsidRPr="007D2B92">
              <w:rPr>
                <w:rFonts w:ascii="Arial Narrow" w:hAnsi="Arial Narrow"/>
                <w:sz w:val="20"/>
                <w:szCs w:val="20"/>
              </w:rPr>
              <w:t>%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r w:rsidRPr="007D2B92">
              <w:rPr>
                <w:rFonts w:ascii="Arial Narrow" w:hAnsi="Arial Narrow"/>
                <w:sz w:val="20"/>
                <w:szCs w:val="20"/>
              </w:rPr>
              <w:t>*</w:t>
            </w:r>
          </w:p>
          <w:p w:rsidR="0023683D" w:rsidRPr="007D2B92" w:rsidRDefault="0023683D" w:rsidP="0023683D">
            <w:pPr>
              <w:jc w:val="left"/>
              <w:rPr>
                <w:rFonts w:ascii="Arial Narrow" w:hAnsi="Arial Narrow"/>
                <w:sz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≥1:8</w:t>
            </w:r>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t>V59_49d</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OL</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None</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341</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11-18 years</w:t>
            </w:r>
          </w:p>
        </w:tc>
        <w:tc>
          <w:tcPr>
            <w:tcW w:w="3544" w:type="dxa"/>
          </w:tcPr>
          <w:p w:rsidR="0023683D" w:rsidRPr="007D2B92" w:rsidRDefault="0023683D" w:rsidP="0023683D">
            <w:pPr>
              <w:rPr>
                <w:rFonts w:ascii="Arial Narrow" w:hAnsi="Arial Narrow"/>
                <w:sz w:val="20"/>
                <w:szCs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23683D" w:rsidRPr="007D2B92" w:rsidRDefault="0023683D" w:rsidP="0023683D">
            <w:pPr>
              <w:jc w:val="left"/>
              <w:rPr>
                <w:rFonts w:ascii="Arial Narrow" w:hAnsi="Arial Narrow"/>
                <w:sz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1:8</w:t>
            </w:r>
          </w:p>
        </w:tc>
      </w:tr>
      <w:tr w:rsidR="0023683D" w:rsidRPr="007D2B92" w:rsidTr="00F0313D">
        <w:trPr>
          <w:trHeight w:val="342"/>
        </w:trPr>
        <w:tc>
          <w:tcPr>
            <w:tcW w:w="1367" w:type="dxa"/>
          </w:tcPr>
          <w:p w:rsidR="0023683D" w:rsidRPr="007D2B92" w:rsidRDefault="0023683D" w:rsidP="0023683D">
            <w:pPr>
              <w:jc w:val="left"/>
              <w:rPr>
                <w:rFonts w:ascii="Arial Narrow" w:hAnsi="Arial Narrow"/>
                <w:sz w:val="20"/>
              </w:rPr>
            </w:pPr>
            <w:r w:rsidRPr="007D2B92">
              <w:rPr>
                <w:rFonts w:ascii="Arial Narrow" w:hAnsi="Arial Narrow"/>
                <w:sz w:val="20"/>
              </w:rPr>
              <w:t>V59_50d</w:t>
            </w:r>
          </w:p>
        </w:tc>
        <w:tc>
          <w:tcPr>
            <w:tcW w:w="108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OL</w:t>
            </w:r>
          </w:p>
        </w:tc>
        <w:tc>
          <w:tcPr>
            <w:tcW w:w="1899" w:type="dxa"/>
          </w:tcPr>
          <w:p w:rsidR="0023683D" w:rsidRPr="007D2B92" w:rsidRDefault="0023683D" w:rsidP="0023683D">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-CRM</w:t>
            </w:r>
          </w:p>
        </w:tc>
        <w:tc>
          <w:tcPr>
            <w:tcW w:w="3014" w:type="dxa"/>
          </w:tcPr>
          <w:p w:rsidR="0023683D" w:rsidRPr="007D2B92" w:rsidRDefault="0023683D" w:rsidP="0023683D">
            <w:pPr>
              <w:jc w:val="left"/>
              <w:rPr>
                <w:rFonts w:ascii="Arial Narrow" w:hAnsi="Arial Narrow"/>
                <w:sz w:val="20"/>
              </w:rPr>
            </w:pPr>
            <w:r w:rsidRPr="007D2B92">
              <w:rPr>
                <w:rFonts w:ascii="Arial Narrow" w:hAnsi="Arial Narrow"/>
                <w:sz w:val="20"/>
              </w:rPr>
              <w:t>None</w:t>
            </w:r>
          </w:p>
        </w:tc>
        <w:tc>
          <w:tcPr>
            <w:tcW w:w="1134" w:type="dxa"/>
          </w:tcPr>
          <w:p w:rsidR="0023683D" w:rsidRPr="007D2B92" w:rsidRDefault="0023683D" w:rsidP="0023683D">
            <w:pPr>
              <w:jc w:val="left"/>
              <w:rPr>
                <w:rFonts w:ascii="Arial Narrow" w:hAnsi="Arial Narrow"/>
                <w:sz w:val="20"/>
              </w:rPr>
            </w:pPr>
            <w:r w:rsidRPr="007D2B92">
              <w:rPr>
                <w:rFonts w:ascii="Arial Narrow" w:hAnsi="Arial Narrow"/>
                <w:sz w:val="20"/>
              </w:rPr>
              <w:t>198</w:t>
            </w:r>
          </w:p>
        </w:tc>
        <w:tc>
          <w:tcPr>
            <w:tcW w:w="1906" w:type="dxa"/>
          </w:tcPr>
          <w:p w:rsidR="0023683D" w:rsidRPr="007D2B92" w:rsidRDefault="0023683D" w:rsidP="0023683D">
            <w:pPr>
              <w:jc w:val="left"/>
              <w:rPr>
                <w:rFonts w:ascii="Arial Narrow" w:hAnsi="Arial Narrow"/>
                <w:sz w:val="20"/>
              </w:rPr>
            </w:pPr>
            <w:r w:rsidRPr="007D2B92">
              <w:rPr>
                <w:rFonts w:ascii="Arial Narrow" w:hAnsi="Arial Narrow"/>
                <w:sz w:val="20"/>
                <w:szCs w:val="20"/>
              </w:rPr>
              <w:t>11-17 years</w:t>
            </w:r>
          </w:p>
        </w:tc>
        <w:tc>
          <w:tcPr>
            <w:tcW w:w="3544" w:type="dxa"/>
          </w:tcPr>
          <w:p w:rsidR="0023683D" w:rsidRPr="007D2B92" w:rsidRDefault="0023683D" w:rsidP="0023683D">
            <w:pPr>
              <w:rPr>
                <w:rFonts w:ascii="Arial Narrow" w:hAnsi="Arial Narrow"/>
                <w:sz w:val="20"/>
                <w:szCs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23683D" w:rsidRPr="007D2B92" w:rsidRDefault="0023683D" w:rsidP="0023683D">
            <w:pPr>
              <w:jc w:val="left"/>
              <w:rPr>
                <w:rFonts w:ascii="Arial Narrow" w:hAnsi="Arial Narrow"/>
                <w:sz w:val="20"/>
              </w:rPr>
            </w:pP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titer</w:t>
            </w:r>
            <w:proofErr w:type="spellEnd"/>
            <w:r w:rsidRPr="007D2B92">
              <w:rPr>
                <w:rFonts w:ascii="Arial Narrow" w:hAnsi="Arial Narrow"/>
                <w:sz w:val="20"/>
                <w:szCs w:val="20"/>
              </w:rPr>
              <w:t xml:space="preserve"> ≥ 1:8</w:t>
            </w:r>
          </w:p>
        </w:tc>
      </w:tr>
      <w:tr w:rsidR="00675708" w:rsidRPr="007D2B92" w:rsidTr="00F0313D">
        <w:trPr>
          <w:trHeight w:val="58"/>
        </w:trPr>
        <w:tc>
          <w:tcPr>
            <w:tcW w:w="13950" w:type="dxa"/>
            <w:gridSpan w:val="7"/>
          </w:tcPr>
          <w:p w:rsidR="00675708" w:rsidRPr="007D2B92" w:rsidRDefault="00675708" w:rsidP="00012940">
            <w:pPr>
              <w:jc w:val="left"/>
              <w:rPr>
                <w:rFonts w:ascii="Arial Narrow" w:hAnsi="Arial Narrow"/>
                <w:b/>
                <w:sz w:val="20"/>
              </w:rPr>
            </w:pPr>
            <w:r w:rsidRPr="007D2B92">
              <w:rPr>
                <w:rFonts w:ascii="Arial Narrow" w:hAnsi="Arial Narrow"/>
                <w:b/>
                <w:sz w:val="20"/>
              </w:rPr>
              <w:t>Informal indirect comparison</w:t>
            </w:r>
          </w:p>
        </w:tc>
      </w:tr>
      <w:tr w:rsidR="00675708" w:rsidRPr="007D2B92" w:rsidTr="00F0313D">
        <w:trPr>
          <w:trHeight w:val="342"/>
        </w:trPr>
        <w:tc>
          <w:tcPr>
            <w:tcW w:w="1367" w:type="dxa"/>
          </w:tcPr>
          <w:p w:rsidR="00675708" w:rsidRPr="007D2B92" w:rsidRDefault="00675708" w:rsidP="00012940">
            <w:pPr>
              <w:jc w:val="left"/>
              <w:rPr>
                <w:rFonts w:ascii="Arial Narrow" w:hAnsi="Arial Narrow"/>
                <w:sz w:val="20"/>
              </w:rPr>
            </w:pPr>
            <w:r w:rsidRPr="007D2B92">
              <w:rPr>
                <w:rFonts w:ascii="Arial Narrow" w:hAnsi="Arial Narrow"/>
                <w:sz w:val="20"/>
              </w:rPr>
              <w:t>MenACWY-TT-071</w:t>
            </w:r>
          </w:p>
        </w:tc>
        <w:tc>
          <w:tcPr>
            <w:tcW w:w="1086" w:type="dxa"/>
          </w:tcPr>
          <w:p w:rsidR="00675708" w:rsidRPr="007D2B92" w:rsidRDefault="00675708" w:rsidP="00012940">
            <w:pPr>
              <w:jc w:val="left"/>
              <w:rPr>
                <w:rFonts w:ascii="Arial Narrow" w:hAnsi="Arial Narrow"/>
                <w:sz w:val="20"/>
              </w:rPr>
            </w:pPr>
            <w:r w:rsidRPr="007D2B92">
              <w:rPr>
                <w:rFonts w:ascii="Arial Narrow" w:hAnsi="Arial Narrow"/>
                <w:sz w:val="20"/>
              </w:rPr>
              <w:t>R, OB</w:t>
            </w:r>
          </w:p>
        </w:tc>
        <w:tc>
          <w:tcPr>
            <w:tcW w:w="1899" w:type="dxa"/>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-TT</w:t>
            </w:r>
          </w:p>
        </w:tc>
        <w:tc>
          <w:tcPr>
            <w:tcW w:w="3014" w:type="dxa"/>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-DT</w:t>
            </w:r>
          </w:p>
        </w:tc>
        <w:tc>
          <w:tcPr>
            <w:tcW w:w="1134" w:type="dxa"/>
          </w:tcPr>
          <w:p w:rsidR="00675708" w:rsidRPr="007D2B92" w:rsidRDefault="00675708" w:rsidP="00012940">
            <w:pPr>
              <w:rPr>
                <w:rFonts w:ascii="Arial Narrow" w:hAnsi="Arial Narrow"/>
                <w:sz w:val="20"/>
              </w:rPr>
            </w:pPr>
            <w:r w:rsidRPr="007D2B92">
              <w:rPr>
                <w:rFonts w:ascii="Arial Narrow" w:hAnsi="Arial Narrow"/>
                <w:sz w:val="20"/>
              </w:rPr>
              <w:t>1016</w:t>
            </w:r>
          </w:p>
        </w:tc>
        <w:tc>
          <w:tcPr>
            <w:tcW w:w="1906" w:type="dxa"/>
          </w:tcPr>
          <w:p w:rsidR="00675708" w:rsidRPr="007D2B92" w:rsidRDefault="00675708" w:rsidP="00012940">
            <w:pPr>
              <w:jc w:val="left"/>
              <w:rPr>
                <w:rFonts w:ascii="Arial Narrow" w:hAnsi="Arial Narrow"/>
                <w:sz w:val="20"/>
              </w:rPr>
            </w:pPr>
            <w:r w:rsidRPr="007D2B92">
              <w:rPr>
                <w:rFonts w:ascii="Arial Narrow" w:hAnsi="Arial Narrow"/>
                <w:sz w:val="20"/>
                <w:szCs w:val="20"/>
              </w:rPr>
              <w:t>10-25 years</w:t>
            </w:r>
          </w:p>
        </w:tc>
        <w:tc>
          <w:tcPr>
            <w:tcW w:w="3544" w:type="dxa"/>
          </w:tcPr>
          <w:p w:rsidR="00675708" w:rsidRPr="007D2B92" w:rsidRDefault="00675708" w:rsidP="00675708">
            <w:pPr>
              <w:jc w:val="left"/>
              <w:rPr>
                <w:rFonts w:ascii="Arial Narrow" w:hAnsi="Arial Narrow"/>
                <w:sz w:val="20"/>
                <w:szCs w:val="20"/>
              </w:rPr>
            </w:pPr>
            <w:r w:rsidRPr="007D2B92">
              <w:rPr>
                <w:rFonts w:ascii="Arial Narrow" w:hAnsi="Arial Narrow"/>
                <w:sz w:val="20"/>
                <w:szCs w:val="20"/>
              </w:rPr>
              <w:t>%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w:t>
            </w:r>
            <w:proofErr w:type="spellStart"/>
            <w:r w:rsidRPr="007D2B92">
              <w:rPr>
                <w:rFonts w:ascii="Arial Narrow" w:hAnsi="Arial Narrow"/>
                <w:sz w:val="20"/>
                <w:szCs w:val="20"/>
              </w:rPr>
              <w:t>seroresponse</w:t>
            </w:r>
            <w:proofErr w:type="spellEnd"/>
          </w:p>
          <w:p w:rsidR="00675708" w:rsidRPr="007D2B92" w:rsidRDefault="00675708" w:rsidP="00675708">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1:8</w:t>
            </w:r>
          </w:p>
          <w:p w:rsidR="00675708" w:rsidRPr="007D2B92" w:rsidRDefault="00675708" w:rsidP="00675708">
            <w:pPr>
              <w:jc w:val="left"/>
              <w:rPr>
                <w:rFonts w:ascii="Arial Narrow" w:hAnsi="Arial Narrow"/>
                <w:sz w:val="20"/>
              </w:rPr>
            </w:pPr>
            <w:r w:rsidRPr="007D2B92">
              <w:rPr>
                <w:rFonts w:ascii="Arial Narrow" w:hAnsi="Arial Narrow"/>
                <w:sz w:val="20"/>
                <w:szCs w:val="20"/>
              </w:rPr>
              <w:t>GMTs</w:t>
            </w:r>
          </w:p>
        </w:tc>
      </w:tr>
      <w:tr w:rsidR="00675708" w:rsidRPr="007D2B92" w:rsidTr="00F0313D">
        <w:trPr>
          <w:trHeight w:val="342"/>
        </w:trPr>
        <w:tc>
          <w:tcPr>
            <w:tcW w:w="1367" w:type="dxa"/>
          </w:tcPr>
          <w:p w:rsidR="00675708" w:rsidRPr="007D2B92" w:rsidRDefault="00675708" w:rsidP="00012940">
            <w:pPr>
              <w:jc w:val="left"/>
              <w:rPr>
                <w:rFonts w:ascii="Arial Narrow" w:hAnsi="Arial Narrow"/>
                <w:sz w:val="20"/>
              </w:rPr>
            </w:pPr>
            <w:r w:rsidRPr="007D2B92">
              <w:rPr>
                <w:rFonts w:ascii="Arial Narrow" w:hAnsi="Arial Narrow"/>
                <w:sz w:val="20"/>
              </w:rPr>
              <w:t>MenACWY-TT-052</w:t>
            </w:r>
          </w:p>
        </w:tc>
        <w:tc>
          <w:tcPr>
            <w:tcW w:w="1086" w:type="dxa"/>
          </w:tcPr>
          <w:p w:rsidR="00675708" w:rsidRPr="007D2B92" w:rsidRDefault="00675708" w:rsidP="00012940">
            <w:pPr>
              <w:jc w:val="left"/>
              <w:rPr>
                <w:rFonts w:ascii="Arial Narrow" w:hAnsi="Arial Narrow"/>
                <w:sz w:val="20"/>
              </w:rPr>
            </w:pPr>
            <w:r w:rsidRPr="007D2B92">
              <w:rPr>
                <w:rFonts w:ascii="Arial Narrow" w:hAnsi="Arial Narrow"/>
                <w:sz w:val="20"/>
              </w:rPr>
              <w:t>R, SB</w:t>
            </w:r>
          </w:p>
        </w:tc>
        <w:tc>
          <w:tcPr>
            <w:tcW w:w="1899" w:type="dxa"/>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-TT</w:t>
            </w:r>
          </w:p>
        </w:tc>
        <w:tc>
          <w:tcPr>
            <w:tcW w:w="3014" w:type="dxa"/>
          </w:tcPr>
          <w:p w:rsidR="00675708" w:rsidRPr="007D2B92" w:rsidRDefault="00675708" w:rsidP="00012940">
            <w:pPr>
              <w:jc w:val="left"/>
              <w:rPr>
                <w:rFonts w:ascii="Arial Narrow" w:hAnsi="Arial Narrow"/>
                <w:sz w:val="20"/>
              </w:rPr>
            </w:pPr>
            <w:proofErr w:type="spellStart"/>
            <w:r w:rsidRPr="007D2B92">
              <w:rPr>
                <w:rFonts w:ascii="Arial Narrow" w:hAnsi="Arial Narrow"/>
                <w:sz w:val="20"/>
              </w:rPr>
              <w:t>MenACWY</w:t>
            </w:r>
            <w:proofErr w:type="spellEnd"/>
            <w:r w:rsidRPr="007D2B92">
              <w:rPr>
                <w:rFonts w:ascii="Arial Narrow" w:hAnsi="Arial Narrow"/>
                <w:sz w:val="20"/>
              </w:rPr>
              <w:t>-DT</w:t>
            </w:r>
          </w:p>
        </w:tc>
        <w:tc>
          <w:tcPr>
            <w:tcW w:w="1134" w:type="dxa"/>
          </w:tcPr>
          <w:p w:rsidR="00675708" w:rsidRPr="007D2B92" w:rsidRDefault="00675708" w:rsidP="00012940">
            <w:pPr>
              <w:jc w:val="left"/>
              <w:rPr>
                <w:rFonts w:ascii="Arial Narrow" w:hAnsi="Arial Narrow"/>
                <w:sz w:val="20"/>
              </w:rPr>
            </w:pPr>
            <w:r w:rsidRPr="007D2B92">
              <w:rPr>
                <w:rFonts w:ascii="Arial Narrow" w:hAnsi="Arial Narrow"/>
                <w:sz w:val="20"/>
              </w:rPr>
              <w:t>872</w:t>
            </w:r>
          </w:p>
        </w:tc>
        <w:tc>
          <w:tcPr>
            <w:tcW w:w="1906" w:type="dxa"/>
          </w:tcPr>
          <w:p w:rsidR="00675708" w:rsidRPr="007D2B92" w:rsidRDefault="00675708" w:rsidP="00012940">
            <w:pPr>
              <w:jc w:val="left"/>
              <w:rPr>
                <w:rFonts w:ascii="Arial Narrow" w:hAnsi="Arial Narrow"/>
                <w:sz w:val="20"/>
              </w:rPr>
            </w:pPr>
            <w:r w:rsidRPr="007D2B92">
              <w:rPr>
                <w:rFonts w:ascii="Arial Narrow" w:hAnsi="Arial Narrow"/>
                <w:sz w:val="20"/>
                <w:szCs w:val="20"/>
              </w:rPr>
              <w:t>10-25 years</w:t>
            </w:r>
          </w:p>
        </w:tc>
        <w:tc>
          <w:tcPr>
            <w:tcW w:w="3544" w:type="dxa"/>
          </w:tcPr>
          <w:p w:rsidR="00675708" w:rsidRPr="007D2B92" w:rsidRDefault="00675708" w:rsidP="00012940">
            <w:pPr>
              <w:jc w:val="left"/>
              <w:rPr>
                <w:rFonts w:ascii="Arial Narrow" w:hAnsi="Arial Narrow"/>
                <w:sz w:val="20"/>
                <w:szCs w:val="20"/>
              </w:rPr>
            </w:pPr>
            <w:r w:rsidRPr="007D2B92">
              <w:rPr>
                <w:rFonts w:ascii="Arial Narrow" w:hAnsi="Arial Narrow"/>
                <w:sz w:val="20"/>
                <w:szCs w:val="20"/>
              </w:rPr>
              <w:t>Vaccine response</w:t>
            </w:r>
          </w:p>
          <w:p w:rsidR="00675708" w:rsidRPr="007D2B92" w:rsidRDefault="00675708" w:rsidP="00012940">
            <w:pPr>
              <w:jc w:val="left"/>
              <w:rPr>
                <w:rFonts w:ascii="Arial Narrow" w:hAnsi="Arial Narrow"/>
                <w:sz w:val="20"/>
                <w:szCs w:val="20"/>
              </w:rPr>
            </w:pPr>
            <w:r w:rsidRPr="007D2B92">
              <w:rPr>
                <w:rFonts w:ascii="Arial Narrow" w:hAnsi="Arial Narrow"/>
                <w:sz w:val="20"/>
                <w:szCs w:val="20"/>
              </w:rPr>
              <w:t xml:space="preserve">% </w:t>
            </w:r>
            <w:proofErr w:type="spellStart"/>
            <w:r w:rsidRPr="007D2B92">
              <w:rPr>
                <w:rFonts w:ascii="Arial Narrow" w:hAnsi="Arial Narrow"/>
                <w:sz w:val="20"/>
                <w:szCs w:val="20"/>
              </w:rPr>
              <w:t>hSBA</w:t>
            </w:r>
            <w:proofErr w:type="spellEnd"/>
            <w:r w:rsidRPr="007D2B92">
              <w:rPr>
                <w:rFonts w:ascii="Arial Narrow" w:hAnsi="Arial Narrow"/>
                <w:sz w:val="20"/>
                <w:szCs w:val="20"/>
              </w:rPr>
              <w:t xml:space="preserve"> ≥ 1:8</w:t>
            </w:r>
          </w:p>
          <w:p w:rsidR="00675708" w:rsidRPr="007D2B92" w:rsidRDefault="00675708" w:rsidP="00012940">
            <w:pPr>
              <w:jc w:val="left"/>
              <w:rPr>
                <w:rFonts w:ascii="Arial Narrow" w:hAnsi="Arial Narrow"/>
                <w:sz w:val="20"/>
              </w:rPr>
            </w:pPr>
            <w:r w:rsidRPr="007D2B92">
              <w:rPr>
                <w:rFonts w:ascii="Arial Narrow" w:hAnsi="Arial Narrow"/>
                <w:sz w:val="20"/>
                <w:szCs w:val="20"/>
              </w:rPr>
              <w:t>GMTs</w:t>
            </w:r>
          </w:p>
        </w:tc>
      </w:tr>
    </w:tbl>
    <w:p w:rsidR="00F024E5" w:rsidRPr="007D2B92" w:rsidRDefault="00F024E5" w:rsidP="00F024E5">
      <w:pPr>
        <w:pStyle w:val="TableFooter"/>
      </w:pPr>
      <w:r w:rsidRPr="007D2B92">
        <w:t xml:space="preserve">R: randomised; </w:t>
      </w:r>
      <w:proofErr w:type="spellStart"/>
      <w:r w:rsidRPr="007D2B92">
        <w:t>hSBA</w:t>
      </w:r>
      <w:proofErr w:type="spellEnd"/>
      <w:r w:rsidRPr="007D2B92">
        <w:t xml:space="preserve">: human serum bactericidal assay; OB: observer blinded; SB: single blind; </w:t>
      </w:r>
      <w:proofErr w:type="spellStart"/>
      <w:r w:rsidRPr="007D2B92">
        <w:t>MenC</w:t>
      </w:r>
      <w:proofErr w:type="spellEnd"/>
      <w:r w:rsidRPr="007D2B92">
        <w:t xml:space="preserve">: meningococcal serogroup C; </w:t>
      </w:r>
      <w:proofErr w:type="spellStart"/>
      <w:r w:rsidRPr="007D2B92">
        <w:t>rSBA</w:t>
      </w:r>
      <w:proofErr w:type="spellEnd"/>
      <w:r w:rsidRPr="007D2B92">
        <w:t xml:space="preserve">: rabbit serum bactericidal assay; OL: open label; </w:t>
      </w:r>
      <w:proofErr w:type="spellStart"/>
      <w:r w:rsidRPr="007D2B92">
        <w:t>Tdap</w:t>
      </w:r>
      <w:proofErr w:type="spellEnd"/>
      <w:r w:rsidRPr="007D2B92">
        <w:t xml:space="preserve">: tetanus, diphtheria and pertussis vaccine; HPV: human papillomavirus vaccine; GMT: geometric mean titres; </w:t>
      </w:r>
    </w:p>
    <w:p w:rsidR="00F024E5" w:rsidRPr="007D2B92" w:rsidRDefault="00F024E5" w:rsidP="00F024E5">
      <w:pPr>
        <w:pStyle w:val="TableFooter"/>
      </w:pPr>
      <w:r w:rsidRPr="007D2B92">
        <w:t>Source: Compiled during the evaluation</w:t>
      </w:r>
    </w:p>
    <w:p w:rsidR="00D40C21" w:rsidRPr="007D2B92" w:rsidRDefault="00D40C21" w:rsidP="00F024E5">
      <w:pPr>
        <w:pStyle w:val="TableFooter"/>
        <w:sectPr w:rsidR="00D40C21" w:rsidRPr="007D2B92" w:rsidSect="00AF2CD4">
          <w:pgSz w:w="16840" w:h="11907" w:orient="landscape" w:code="9"/>
          <w:pgMar w:top="1440" w:right="1440" w:bottom="1440" w:left="1440" w:header="1440" w:footer="1440" w:gutter="0"/>
          <w:cols w:space="708"/>
          <w:docGrid w:linePitch="360"/>
        </w:sectPr>
      </w:pPr>
    </w:p>
    <w:p w:rsidR="00B60939" w:rsidRPr="007D2B92" w:rsidRDefault="00B60939" w:rsidP="00ED236B">
      <w:pPr>
        <w:pStyle w:val="Heading2"/>
        <w:spacing w:after="120"/>
        <w:rPr>
          <w:i w:val="0"/>
        </w:rPr>
      </w:pPr>
      <w:bookmarkStart w:id="7" w:name="_Toc515358805"/>
      <w:r w:rsidRPr="007D2B92">
        <w:rPr>
          <w:i w:val="0"/>
        </w:rPr>
        <w:lastRenderedPageBreak/>
        <w:t>Comparative effectiveness</w:t>
      </w:r>
      <w:bookmarkEnd w:id="7"/>
    </w:p>
    <w:p w:rsidR="00700AC4" w:rsidRPr="007D2B92" w:rsidRDefault="00700AC4" w:rsidP="004E2FE6">
      <w:pPr>
        <w:widowControl/>
        <w:spacing w:after="120"/>
        <w:rPr>
          <w:u w:val="single"/>
        </w:rPr>
      </w:pPr>
      <w:r w:rsidRPr="007D2B92">
        <w:rPr>
          <w:u w:val="single"/>
        </w:rPr>
        <w:t>Correlates of protection</w:t>
      </w:r>
    </w:p>
    <w:p w:rsidR="004222CB" w:rsidRPr="007D2B92" w:rsidRDefault="003A685A" w:rsidP="00C84CBC">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The PBAC has previously accepted the use of serum bactericidal antibody (SBA) titres as a surrogate outcome for clinical efficacy in its consideration of the combined haemophilus </w:t>
      </w:r>
      <w:proofErr w:type="spellStart"/>
      <w:r w:rsidRPr="007D2B92">
        <w:rPr>
          <w:rFonts w:cs="Calibri"/>
          <w:snapToGrid/>
          <w:szCs w:val="24"/>
          <w:lang w:eastAsia="en-AU"/>
        </w:rPr>
        <w:t>influenzae</w:t>
      </w:r>
      <w:proofErr w:type="spellEnd"/>
      <w:r w:rsidRPr="007D2B92">
        <w:rPr>
          <w:rFonts w:cs="Calibri"/>
          <w:snapToGrid/>
          <w:szCs w:val="24"/>
          <w:lang w:eastAsia="en-AU"/>
        </w:rPr>
        <w:t xml:space="preserve"> type B and meningococcal C (Hib-</w:t>
      </w:r>
      <w:proofErr w:type="spellStart"/>
      <w:r w:rsidRPr="007D2B92">
        <w:rPr>
          <w:rFonts w:cs="Calibri"/>
          <w:snapToGrid/>
          <w:szCs w:val="24"/>
          <w:lang w:eastAsia="en-AU"/>
        </w:rPr>
        <w:t>MenC</w:t>
      </w:r>
      <w:proofErr w:type="spellEnd"/>
      <w:r w:rsidRPr="007D2B92">
        <w:rPr>
          <w:rFonts w:cs="Calibri"/>
          <w:snapToGrid/>
          <w:szCs w:val="24"/>
          <w:lang w:eastAsia="en-AU"/>
        </w:rPr>
        <w:t>) vaccine (</w:t>
      </w:r>
      <w:proofErr w:type="spellStart"/>
      <w:r w:rsidRPr="007D2B92">
        <w:rPr>
          <w:rFonts w:cs="Calibri"/>
          <w:snapToGrid/>
          <w:szCs w:val="24"/>
          <w:lang w:eastAsia="en-AU"/>
        </w:rPr>
        <w:t>Menitorix</w:t>
      </w:r>
      <w:proofErr w:type="spellEnd"/>
      <w:r w:rsidRPr="007D2B92">
        <w:rPr>
          <w:rFonts w:cs="Calibri"/>
          <w:snapToGrid/>
          <w:szCs w:val="24"/>
          <w:lang w:eastAsia="en-AU"/>
        </w:rPr>
        <w:t>), which used rabbit complement SBA (</w:t>
      </w:r>
      <w:proofErr w:type="spellStart"/>
      <w:r w:rsidRPr="007D2B92">
        <w:rPr>
          <w:rFonts w:cs="Calibri"/>
          <w:snapToGrid/>
          <w:szCs w:val="24"/>
          <w:lang w:eastAsia="en-AU"/>
        </w:rPr>
        <w:t>rSBA</w:t>
      </w:r>
      <w:proofErr w:type="spellEnd"/>
      <w:r w:rsidRPr="007D2B92">
        <w:rPr>
          <w:rFonts w:cs="Calibri"/>
          <w:snapToGrid/>
          <w:szCs w:val="24"/>
          <w:lang w:eastAsia="en-AU"/>
        </w:rPr>
        <w:t>) titres &gt; 1:8 to estimate vaccine efficacy. However, there is no established surrogate serological correlate of protection for non-</w:t>
      </w:r>
      <w:proofErr w:type="spellStart"/>
      <w:r w:rsidRPr="007D2B92">
        <w:rPr>
          <w:rFonts w:cs="Calibri"/>
          <w:snapToGrid/>
          <w:szCs w:val="24"/>
          <w:lang w:eastAsia="en-AU"/>
        </w:rPr>
        <w:t>MenC</w:t>
      </w:r>
      <w:proofErr w:type="spellEnd"/>
      <w:r w:rsidRPr="007D2B92">
        <w:rPr>
          <w:rFonts w:cs="Calibri"/>
          <w:snapToGrid/>
          <w:szCs w:val="24"/>
          <w:lang w:eastAsia="en-AU"/>
        </w:rPr>
        <w:t xml:space="preserve"> serogroups. Reliance on immunogenicity data increases uncertainty in the efficacy of the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vaccine against IMD </w:t>
      </w:r>
      <w:r w:rsidR="00FF23F3" w:rsidRPr="007D2B92">
        <w:rPr>
          <w:rFonts w:cs="Calibri"/>
          <w:snapToGrid/>
          <w:szCs w:val="24"/>
          <w:lang w:eastAsia="en-AU"/>
        </w:rPr>
        <w:t>caused by serogroups A, W and Y.</w:t>
      </w:r>
      <w:r w:rsidRPr="007D2B92">
        <w:rPr>
          <w:rFonts w:cs="Calibri"/>
          <w:snapToGrid/>
          <w:szCs w:val="24"/>
          <w:lang w:eastAsia="en-AU"/>
        </w:rPr>
        <w:t xml:space="preserve"> </w:t>
      </w:r>
      <w:r w:rsidR="004222CB" w:rsidRPr="007D2B92">
        <w:rPr>
          <w:rFonts w:cs="Calibri"/>
          <w:snapToGrid/>
          <w:szCs w:val="24"/>
          <w:lang w:eastAsia="en-AU"/>
        </w:rPr>
        <w:t xml:space="preserve">The ESC noted that no clinical evidence was presented regarding vaccine efficacy against infection or disease caused by serogroups A, C, W or Y due to the relatively low incidence of IMD. Consequently, the submission presented immunogenicity results as a surrogate </w:t>
      </w:r>
      <w:r w:rsidR="007D2B92" w:rsidRPr="007D2B92">
        <w:rPr>
          <w:rFonts w:cs="Calibri"/>
          <w:snapToGrid/>
          <w:szCs w:val="24"/>
          <w:lang w:eastAsia="en-AU"/>
        </w:rPr>
        <w:t>outcome that</w:t>
      </w:r>
      <w:r w:rsidR="004222CB" w:rsidRPr="007D2B92">
        <w:rPr>
          <w:rFonts w:cs="Calibri"/>
          <w:snapToGrid/>
          <w:szCs w:val="24"/>
          <w:lang w:eastAsia="en-AU"/>
        </w:rPr>
        <w:t xml:space="preserve"> increases uncertainty </w:t>
      </w:r>
      <w:r w:rsidR="00010529" w:rsidRPr="007D2B92">
        <w:rPr>
          <w:rFonts w:cs="Calibri"/>
          <w:snapToGrid/>
          <w:szCs w:val="24"/>
          <w:lang w:eastAsia="en-AU"/>
        </w:rPr>
        <w:t>regarding the clinical claim</w:t>
      </w:r>
      <w:r w:rsidR="004222CB" w:rsidRPr="007D2B92">
        <w:rPr>
          <w:rFonts w:cs="Calibri"/>
          <w:snapToGrid/>
          <w:szCs w:val="24"/>
          <w:lang w:eastAsia="en-AU"/>
        </w:rPr>
        <w:t xml:space="preserve">. The ESC </w:t>
      </w:r>
      <w:r w:rsidR="00716E89" w:rsidRPr="007D2B92">
        <w:rPr>
          <w:rFonts w:cs="Calibri"/>
          <w:snapToGrid/>
          <w:szCs w:val="24"/>
          <w:lang w:eastAsia="en-AU"/>
        </w:rPr>
        <w:t>noted</w:t>
      </w:r>
      <w:r w:rsidR="004222CB" w:rsidRPr="007D2B92">
        <w:rPr>
          <w:rFonts w:cs="Calibri"/>
          <w:snapToGrid/>
          <w:szCs w:val="24"/>
          <w:lang w:eastAsia="en-AU"/>
        </w:rPr>
        <w:t xml:space="preserve"> this uncertainty applies to all </w:t>
      </w:r>
      <w:proofErr w:type="spellStart"/>
      <w:r w:rsidR="004222CB" w:rsidRPr="007D2B92">
        <w:rPr>
          <w:rFonts w:cs="Calibri"/>
          <w:snapToGrid/>
          <w:szCs w:val="24"/>
          <w:lang w:eastAsia="en-AU"/>
        </w:rPr>
        <w:t>MenACWY</w:t>
      </w:r>
      <w:proofErr w:type="spellEnd"/>
      <w:r w:rsidR="004222CB" w:rsidRPr="007D2B92">
        <w:rPr>
          <w:rFonts w:cs="Calibri"/>
          <w:snapToGrid/>
          <w:szCs w:val="24"/>
          <w:lang w:eastAsia="en-AU"/>
        </w:rPr>
        <w:t xml:space="preserve"> vaccine evaluations.</w:t>
      </w:r>
      <w:r w:rsidR="00346D40">
        <w:rPr>
          <w:noProof/>
          <w:color w:val="000000"/>
          <w:highlight w:val="black"/>
        </w:rPr>
        <w:t xml:space="preserve"> </w:t>
      </w:r>
    </w:p>
    <w:p w:rsidR="004222CB" w:rsidRPr="007D2B92" w:rsidRDefault="00AB0CBE" w:rsidP="004E2FE6">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The PSCR reiterated that as most trials conducted with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w:t>
      </w:r>
      <w:r w:rsidR="00FF6C97" w:rsidRPr="007D2B92">
        <w:rPr>
          <w:rFonts w:cs="Calibri"/>
          <w:snapToGrid/>
          <w:szCs w:val="24"/>
          <w:lang w:eastAsia="en-AU"/>
        </w:rPr>
        <w:t xml:space="preserve">vaccine </w:t>
      </w:r>
      <w:r w:rsidRPr="007D2B92">
        <w:rPr>
          <w:rFonts w:cs="Calibri"/>
          <w:snapToGrid/>
          <w:szCs w:val="24"/>
          <w:lang w:eastAsia="en-AU"/>
        </w:rPr>
        <w:t xml:space="preserve">reported </w:t>
      </w:r>
      <w:r w:rsidR="00A55B65" w:rsidRPr="007D2B92">
        <w:rPr>
          <w:rFonts w:cs="Calibri"/>
          <w:snapToGrid/>
          <w:szCs w:val="24"/>
          <w:lang w:eastAsia="en-AU"/>
        </w:rPr>
        <w:t>human complement SBA (</w:t>
      </w:r>
      <w:proofErr w:type="spellStart"/>
      <w:r w:rsidRPr="007D2B92">
        <w:rPr>
          <w:rFonts w:cs="Calibri"/>
          <w:snapToGrid/>
          <w:szCs w:val="24"/>
          <w:lang w:eastAsia="en-AU"/>
        </w:rPr>
        <w:t>hSBA</w:t>
      </w:r>
      <w:proofErr w:type="spellEnd"/>
      <w:r w:rsidR="00A55B65" w:rsidRPr="007D2B92">
        <w:rPr>
          <w:rFonts w:cs="Calibri"/>
          <w:snapToGrid/>
          <w:szCs w:val="24"/>
          <w:lang w:eastAsia="en-AU"/>
        </w:rPr>
        <w:t>)</w:t>
      </w:r>
      <w:r w:rsidRPr="007D2B92">
        <w:rPr>
          <w:rFonts w:cs="Calibri"/>
          <w:snapToGrid/>
          <w:szCs w:val="24"/>
          <w:lang w:eastAsia="en-AU"/>
        </w:rPr>
        <w:t xml:space="preserve"> titres</w:t>
      </w:r>
      <w:r w:rsidR="00E62CBA" w:rsidRPr="007D2B92">
        <w:rPr>
          <w:rFonts w:cs="Calibri"/>
          <w:snapToGrid/>
          <w:szCs w:val="24"/>
          <w:lang w:eastAsia="en-AU"/>
        </w:rPr>
        <w:t xml:space="preserve"> that </w:t>
      </w:r>
      <w:proofErr w:type="spellStart"/>
      <w:r w:rsidR="00E62CBA" w:rsidRPr="007D2B92">
        <w:rPr>
          <w:rFonts w:cs="Calibri"/>
          <w:snapToGrid/>
          <w:szCs w:val="24"/>
          <w:lang w:eastAsia="en-AU"/>
        </w:rPr>
        <w:t>hSBA</w:t>
      </w:r>
      <w:proofErr w:type="spellEnd"/>
      <w:r w:rsidR="00E62CBA" w:rsidRPr="007D2B92">
        <w:rPr>
          <w:rFonts w:cs="Calibri"/>
          <w:snapToGrid/>
          <w:szCs w:val="24"/>
          <w:lang w:eastAsia="en-AU"/>
        </w:rPr>
        <w:t xml:space="preserve"> titres was appropriate</w:t>
      </w:r>
      <w:r w:rsidR="00625FCE" w:rsidRPr="007D2B92">
        <w:rPr>
          <w:rFonts w:cs="Calibri"/>
          <w:snapToGrid/>
          <w:szCs w:val="24"/>
          <w:lang w:eastAsia="en-AU"/>
        </w:rPr>
        <w:t xml:space="preserve"> for use as a correlate of protection</w:t>
      </w:r>
      <w:r w:rsidR="00E62CBA" w:rsidRPr="007D2B92">
        <w:rPr>
          <w:rFonts w:cs="Calibri"/>
          <w:snapToGrid/>
          <w:szCs w:val="24"/>
          <w:lang w:eastAsia="en-AU"/>
        </w:rPr>
        <w:t>.</w:t>
      </w:r>
      <w:r w:rsidRPr="007D2B92">
        <w:rPr>
          <w:rFonts w:cs="Calibri"/>
          <w:snapToGrid/>
          <w:szCs w:val="24"/>
          <w:lang w:eastAsia="en-AU"/>
        </w:rPr>
        <w:t xml:space="preserve"> ATAGI advised (</w:t>
      </w:r>
      <w:r w:rsidR="00F0313D">
        <w:t>Pre-submission advice</w:t>
      </w:r>
      <w:r w:rsidRPr="007D2B92">
        <w:t>)</w:t>
      </w:r>
      <w:r w:rsidRPr="007D2B92">
        <w:rPr>
          <w:rFonts w:cs="Calibri"/>
          <w:snapToGrid/>
          <w:szCs w:val="24"/>
          <w:lang w:eastAsia="en-AU"/>
        </w:rPr>
        <w:t xml:space="preserve"> that given </w:t>
      </w:r>
      <w:r w:rsidR="00E62CBA" w:rsidRPr="007D2B92">
        <w:rPr>
          <w:rFonts w:cs="Calibri"/>
          <w:snapToGrid/>
          <w:szCs w:val="24"/>
          <w:lang w:eastAsia="en-AU"/>
        </w:rPr>
        <w:t xml:space="preserve">the absence of data on </w:t>
      </w:r>
      <w:proofErr w:type="spellStart"/>
      <w:r w:rsidR="00E62CBA" w:rsidRPr="007D2B92">
        <w:rPr>
          <w:rFonts w:cs="Calibri"/>
          <w:snapToGrid/>
          <w:szCs w:val="24"/>
          <w:lang w:eastAsia="en-AU"/>
        </w:rPr>
        <w:t>rSBA</w:t>
      </w:r>
      <w:proofErr w:type="spellEnd"/>
      <w:r w:rsidR="00E62CBA" w:rsidRPr="007D2B92">
        <w:rPr>
          <w:rFonts w:cs="Calibri"/>
          <w:snapToGrid/>
          <w:szCs w:val="24"/>
          <w:lang w:eastAsia="en-AU"/>
        </w:rPr>
        <w:t xml:space="preserve"> titres, the following definition of </w:t>
      </w:r>
      <w:r w:rsidR="00E62CBA" w:rsidRPr="007D2B92">
        <w:t>‘</w:t>
      </w:r>
      <w:r w:rsidR="001A3AA7" w:rsidRPr="007D2B92">
        <w:t>vaccine response’ wa</w:t>
      </w:r>
      <w:r w:rsidR="00E62CBA" w:rsidRPr="007D2B92">
        <w:t>s</w:t>
      </w:r>
      <w:r w:rsidR="001A3AA7" w:rsidRPr="007D2B92">
        <w:t xml:space="preserve"> an</w:t>
      </w:r>
      <w:r w:rsidR="00E62CBA" w:rsidRPr="007D2B92">
        <w:t xml:space="preserve"> acceptable</w:t>
      </w:r>
      <w:r w:rsidR="001A3AA7" w:rsidRPr="007D2B92">
        <w:t xml:space="preserve"> correlate of protection in the short term</w:t>
      </w:r>
      <w:r w:rsidR="00E62CBA" w:rsidRPr="007D2B92">
        <w:t xml:space="preserve">:  post-vaccination </w:t>
      </w:r>
      <w:proofErr w:type="spellStart"/>
      <w:r w:rsidR="00E62CBA" w:rsidRPr="007D2B92">
        <w:t>hSBA</w:t>
      </w:r>
      <w:proofErr w:type="spellEnd"/>
      <w:r w:rsidR="00E62CBA" w:rsidRPr="007D2B92">
        <w:t xml:space="preserve"> titre ≥1:8 in initially seronegative subjects, or ≥4-fold rise in the pre-vaccination </w:t>
      </w:r>
      <w:proofErr w:type="spellStart"/>
      <w:r w:rsidR="00E62CBA" w:rsidRPr="007D2B92">
        <w:t>hSBA</w:t>
      </w:r>
      <w:proofErr w:type="spellEnd"/>
      <w:r w:rsidR="00E62CBA" w:rsidRPr="007D2B92">
        <w:t xml:space="preserve"> titre in initially seropositive subj</w:t>
      </w:r>
      <w:r w:rsidR="00F0313D">
        <w:t>ects (Pre-submission advice</w:t>
      </w:r>
      <w:r w:rsidR="00E62CBA" w:rsidRPr="007D2B92">
        <w:t>).</w:t>
      </w:r>
      <w:r w:rsidR="001A3AA7" w:rsidRPr="007D2B92">
        <w:t xml:space="preserve">  This definition was used in the submission.</w:t>
      </w:r>
      <w:r w:rsidR="0062028D" w:rsidRPr="007D2B92">
        <w:t xml:space="preserve"> </w:t>
      </w:r>
      <w:r w:rsidR="003A685A" w:rsidRPr="007D2B92">
        <w:t xml:space="preserve">The PSCR outlined the difficulty comparing SBA assays with different complement sources.  The ESC noted the PSCR and the advice of ATAGI </w:t>
      </w:r>
      <w:bookmarkStart w:id="8" w:name="_GoBack"/>
      <w:r w:rsidR="003A685A" w:rsidRPr="007D2B92">
        <w:t>(</w:t>
      </w:r>
      <w:r w:rsidR="00F31996" w:rsidRPr="007D2B92">
        <w:t>P</w:t>
      </w:r>
      <w:bookmarkEnd w:id="8"/>
      <w:r w:rsidR="00F31996" w:rsidRPr="007D2B92">
        <w:t>re</w:t>
      </w:r>
      <w:r w:rsidR="00F0313D">
        <w:t>-submission advice</w:t>
      </w:r>
      <w:r w:rsidR="003A685A" w:rsidRPr="007D2B92">
        <w:t xml:space="preserve">) that </w:t>
      </w:r>
      <w:r w:rsidR="00F31996" w:rsidRPr="007D2B92">
        <w:t xml:space="preserve">meningococci are known to be more susceptible to complement-mediated lysis in the presence of exogenous rabbit complement comparted to human complement, and higher titres are expected with </w:t>
      </w:r>
      <w:proofErr w:type="spellStart"/>
      <w:r w:rsidR="00F31996" w:rsidRPr="007D2B92">
        <w:t>rSBA</w:t>
      </w:r>
      <w:proofErr w:type="spellEnd"/>
      <w:r w:rsidR="00F31996" w:rsidRPr="007D2B92">
        <w:t xml:space="preserve"> </w:t>
      </w:r>
      <w:r w:rsidR="00716E89" w:rsidRPr="007D2B92">
        <w:t>compared with</w:t>
      </w:r>
      <w:r w:rsidR="00F31996" w:rsidRPr="007D2B92">
        <w:t xml:space="preserve"> </w:t>
      </w:r>
      <w:proofErr w:type="spellStart"/>
      <w:r w:rsidR="00F31996" w:rsidRPr="007D2B92">
        <w:t>hSBA</w:t>
      </w:r>
      <w:proofErr w:type="spellEnd"/>
      <w:r w:rsidR="00F31996" w:rsidRPr="007D2B92">
        <w:t>.</w:t>
      </w:r>
      <w:r w:rsidR="003A685A" w:rsidRPr="007D2B92">
        <w:t xml:space="preserve"> The ESC noted the difficulty in evaluation of conjugate vaccines where data is based on serological evidence in the form of serum </w:t>
      </w:r>
      <w:r w:rsidRPr="007D2B92">
        <w:t>bacterial</w:t>
      </w:r>
      <w:r w:rsidR="003A685A" w:rsidRPr="007D2B92">
        <w:t xml:space="preserve"> activity as an </w:t>
      </w:r>
      <w:r w:rsidRPr="007D2B92">
        <w:t>immunological</w:t>
      </w:r>
      <w:r w:rsidR="003A685A" w:rsidRPr="007D2B92">
        <w:t xml:space="preserve"> correlate of protection and not direct clinical evidence, the uncertainties associated with translating </w:t>
      </w:r>
      <w:proofErr w:type="spellStart"/>
      <w:r w:rsidR="003A685A" w:rsidRPr="007D2B92">
        <w:t>seroprotection</w:t>
      </w:r>
      <w:proofErr w:type="spellEnd"/>
      <w:r w:rsidR="003A685A" w:rsidRPr="007D2B92">
        <w:t xml:space="preserve"> into disease incidence</w:t>
      </w:r>
      <w:r w:rsidR="00F31996" w:rsidRPr="007D2B92">
        <w:t xml:space="preserve"> and in comparing results reporting </w:t>
      </w:r>
      <w:proofErr w:type="spellStart"/>
      <w:r w:rsidR="00F31996" w:rsidRPr="007D2B92">
        <w:t>rSBA</w:t>
      </w:r>
      <w:proofErr w:type="spellEnd"/>
      <w:r w:rsidR="00F31996" w:rsidRPr="007D2B92">
        <w:t xml:space="preserve"> to those reporting </w:t>
      </w:r>
      <w:proofErr w:type="spellStart"/>
      <w:r w:rsidR="00F31996" w:rsidRPr="007D2B92">
        <w:t>hSBA</w:t>
      </w:r>
      <w:proofErr w:type="spellEnd"/>
      <w:r w:rsidR="003A685A" w:rsidRPr="007D2B92">
        <w:t xml:space="preserve">.  </w:t>
      </w:r>
    </w:p>
    <w:p w:rsidR="00C84CBC" w:rsidRPr="007D2B92" w:rsidRDefault="00C84CBC" w:rsidP="00C84CBC">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In March 2018, the </w:t>
      </w:r>
      <w:r w:rsidRPr="007D2B92">
        <w:t xml:space="preserve">PBAC noted the lack of a surrogate serological correlate of protection for the efficacy of the </w:t>
      </w:r>
      <w:proofErr w:type="spellStart"/>
      <w:r w:rsidRPr="007D2B92">
        <w:t>MenACWY</w:t>
      </w:r>
      <w:proofErr w:type="spellEnd"/>
      <w:r w:rsidRPr="007D2B92">
        <w:t>-TT vaccine against IMD caused by serogroups A, W and Y. The PBAC noted ATAGI’s advice that ‘vaccine response’ is a reasonable measure of vaccine efficacy in the short term. The PBAC noted that vaccine response was used as a surrogate measure to inform efficacy in the economic model and that a better alternative measure was not available</w:t>
      </w:r>
      <w:r w:rsidR="00600D8C" w:rsidRPr="007D2B92">
        <w:rPr>
          <w:rStyle w:val="FootnoteReference"/>
        </w:rPr>
        <w:footnoteReference w:id="7"/>
      </w:r>
      <w:r w:rsidRPr="007D2B92">
        <w:t xml:space="preserve">. </w:t>
      </w:r>
    </w:p>
    <w:p w:rsidR="00700AC4" w:rsidRPr="007D2B92" w:rsidRDefault="00700AC4" w:rsidP="004E2FE6">
      <w:pPr>
        <w:pStyle w:val="ListParagraph"/>
        <w:widowControl/>
        <w:numPr>
          <w:ilvl w:val="1"/>
          <w:numId w:val="1"/>
        </w:numPr>
        <w:spacing w:after="120"/>
      </w:pPr>
      <w:r w:rsidRPr="007D2B92">
        <w:rPr>
          <w:rFonts w:cs="Calibri"/>
          <w:snapToGrid/>
          <w:szCs w:val="24"/>
          <w:lang w:eastAsia="en-AU"/>
        </w:rPr>
        <w:t>Tables 5 to 7 present the results of the clinical evidence.</w:t>
      </w:r>
    </w:p>
    <w:p w:rsidR="00EA753C" w:rsidRPr="007D2B92" w:rsidRDefault="00EA753C" w:rsidP="004E2FE6">
      <w:pPr>
        <w:widowControl/>
        <w:spacing w:after="120"/>
        <w:rPr>
          <w:u w:val="single"/>
        </w:rPr>
      </w:pPr>
      <w:proofErr w:type="spellStart"/>
      <w:r w:rsidRPr="007D2B92">
        <w:rPr>
          <w:u w:val="single"/>
        </w:rPr>
        <w:lastRenderedPageBreak/>
        <w:t>Seroresponse</w:t>
      </w:r>
      <w:proofErr w:type="spellEnd"/>
    </w:p>
    <w:p w:rsidR="00012940" w:rsidRPr="007D2B92" w:rsidRDefault="00012940" w:rsidP="004E2FE6">
      <w:pPr>
        <w:pStyle w:val="ListParagraph"/>
        <w:widowControl/>
        <w:numPr>
          <w:ilvl w:val="1"/>
          <w:numId w:val="1"/>
        </w:numPr>
        <w:spacing w:after="120"/>
        <w:rPr>
          <w:rFonts w:cs="Calibri"/>
          <w:snapToGrid/>
          <w:szCs w:val="24"/>
          <w:lang w:eastAsia="en-AU"/>
        </w:rPr>
      </w:pPr>
      <w:proofErr w:type="spellStart"/>
      <w:r w:rsidRPr="007D2B92">
        <w:rPr>
          <w:rFonts w:cs="Calibri"/>
          <w:snapToGrid/>
          <w:szCs w:val="24"/>
          <w:lang w:eastAsia="en-AU"/>
        </w:rPr>
        <w:t>Seroresponse</w:t>
      </w:r>
      <w:proofErr w:type="spellEnd"/>
      <w:r w:rsidRPr="007D2B92">
        <w:rPr>
          <w:rFonts w:cs="Calibri"/>
          <w:snapToGrid/>
          <w:szCs w:val="24"/>
          <w:lang w:eastAsia="en-AU"/>
        </w:rPr>
        <w:t xml:space="preserve"> was only </w:t>
      </w:r>
      <w:r w:rsidR="00EC59B5" w:rsidRPr="007D2B92">
        <w:rPr>
          <w:rFonts w:cs="Calibri"/>
          <w:snapToGrid/>
          <w:szCs w:val="24"/>
          <w:lang w:eastAsia="en-AU"/>
        </w:rPr>
        <w:t>reported by</w:t>
      </w:r>
      <w:r w:rsidRPr="007D2B92">
        <w:rPr>
          <w:rFonts w:cs="Calibri"/>
          <w:snapToGrid/>
          <w:szCs w:val="24"/>
          <w:lang w:eastAsia="en-AU"/>
        </w:rPr>
        <w:t xml:space="preserve"> Study V59P13 and Study V59</w:t>
      </w:r>
      <w:r w:rsidR="00D36133" w:rsidRPr="007D2B92">
        <w:rPr>
          <w:rFonts w:cs="Calibri"/>
          <w:snapToGrid/>
          <w:szCs w:val="24"/>
          <w:lang w:eastAsia="en-AU"/>
        </w:rPr>
        <w:t>_</w:t>
      </w:r>
      <w:r w:rsidRPr="007D2B92">
        <w:rPr>
          <w:rFonts w:cs="Calibri"/>
          <w:snapToGrid/>
          <w:szCs w:val="24"/>
          <w:lang w:eastAsia="en-AU"/>
        </w:rPr>
        <w:t>39d.</w:t>
      </w:r>
    </w:p>
    <w:p w:rsidR="000249EF" w:rsidRPr="007D2B92" w:rsidRDefault="000249EF" w:rsidP="004E2FE6">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The submission defined </w:t>
      </w:r>
      <w:proofErr w:type="spellStart"/>
      <w:r w:rsidRPr="007D2B92">
        <w:rPr>
          <w:rFonts w:cs="Calibri"/>
          <w:snapToGrid/>
          <w:szCs w:val="24"/>
          <w:lang w:eastAsia="en-AU"/>
        </w:rPr>
        <w:t>seroresponse</w:t>
      </w:r>
      <w:proofErr w:type="spellEnd"/>
      <w:r w:rsidRPr="007D2B92">
        <w:rPr>
          <w:rFonts w:cs="Calibri"/>
          <w:snapToGrid/>
          <w:szCs w:val="24"/>
          <w:lang w:eastAsia="en-AU"/>
        </w:rPr>
        <w:t xml:space="preserve"> as:</w:t>
      </w:r>
    </w:p>
    <w:p w:rsidR="000249EF" w:rsidRPr="007D2B92" w:rsidRDefault="000249EF" w:rsidP="0069500D">
      <w:pPr>
        <w:pStyle w:val="ListParagraph"/>
        <w:numPr>
          <w:ilvl w:val="0"/>
          <w:numId w:val="9"/>
        </w:numPr>
        <w:spacing w:after="120"/>
        <w:ind w:hanging="371"/>
      </w:pPr>
      <w:r w:rsidRPr="007D2B92">
        <w:t xml:space="preserve">For subjects with a prevaccination </w:t>
      </w:r>
      <w:proofErr w:type="spellStart"/>
      <w:r w:rsidRPr="007D2B92">
        <w:t>hSBA</w:t>
      </w:r>
      <w:proofErr w:type="spellEnd"/>
      <w:r w:rsidRPr="007D2B92">
        <w:t xml:space="preserve"> &lt;1:4, a postvaccination </w:t>
      </w:r>
      <w:proofErr w:type="spellStart"/>
      <w:r w:rsidRPr="007D2B92">
        <w:t>hSBA</w:t>
      </w:r>
      <w:proofErr w:type="spellEnd"/>
      <w:r w:rsidRPr="007D2B92">
        <w:t xml:space="preserve"> </w:t>
      </w:r>
      <w:proofErr w:type="spellStart"/>
      <w:r w:rsidRPr="007D2B92">
        <w:t>titer</w:t>
      </w:r>
      <w:proofErr w:type="spellEnd"/>
      <w:r w:rsidRPr="007D2B92">
        <w:t xml:space="preserve"> ≥1:8; OR</w:t>
      </w:r>
    </w:p>
    <w:p w:rsidR="000249EF" w:rsidRPr="007D2B92" w:rsidRDefault="000249EF" w:rsidP="0069500D">
      <w:pPr>
        <w:pStyle w:val="ListParagraph"/>
        <w:numPr>
          <w:ilvl w:val="0"/>
          <w:numId w:val="9"/>
        </w:numPr>
        <w:spacing w:after="120"/>
        <w:ind w:hanging="371"/>
      </w:pPr>
      <w:r w:rsidRPr="007D2B92">
        <w:t xml:space="preserve">For subjects with a prevaccination </w:t>
      </w:r>
      <w:proofErr w:type="spellStart"/>
      <w:r w:rsidRPr="007D2B92">
        <w:t>hSBA</w:t>
      </w:r>
      <w:proofErr w:type="spellEnd"/>
      <w:r w:rsidRPr="007D2B92">
        <w:t xml:space="preserve"> ≥1:4, an increase in </w:t>
      </w:r>
      <w:proofErr w:type="spellStart"/>
      <w:r w:rsidRPr="007D2B92">
        <w:t>hSBA</w:t>
      </w:r>
      <w:proofErr w:type="spellEnd"/>
      <w:r w:rsidRPr="007D2B92">
        <w:t xml:space="preserve"> </w:t>
      </w:r>
      <w:proofErr w:type="spellStart"/>
      <w:r w:rsidRPr="007D2B92">
        <w:t>titer</w:t>
      </w:r>
      <w:proofErr w:type="spellEnd"/>
      <w:r w:rsidRPr="007D2B92">
        <w:t xml:space="preserve"> of at least four times the prevaccination </w:t>
      </w:r>
      <w:proofErr w:type="spellStart"/>
      <w:r w:rsidRPr="007D2B92">
        <w:t>titer</w:t>
      </w:r>
      <w:proofErr w:type="spellEnd"/>
      <w:r w:rsidRPr="007D2B92">
        <w:t>.</w:t>
      </w:r>
    </w:p>
    <w:p w:rsidR="00012940" w:rsidRPr="007D2B92" w:rsidRDefault="00012940" w:rsidP="004E2FE6">
      <w:pPr>
        <w:pStyle w:val="ListParagraph"/>
        <w:widowControl/>
        <w:numPr>
          <w:ilvl w:val="1"/>
          <w:numId w:val="1"/>
        </w:numPr>
        <w:spacing w:after="120"/>
        <w:rPr>
          <w:rFonts w:cs="Calibri"/>
          <w:snapToGrid/>
          <w:szCs w:val="24"/>
          <w:lang w:eastAsia="en-AU"/>
        </w:rPr>
      </w:pPr>
      <w:r w:rsidRPr="007D2B92">
        <w:rPr>
          <w:rFonts w:cs="Calibri"/>
          <w:snapToGrid/>
          <w:szCs w:val="24"/>
          <w:u w:val="single"/>
          <w:lang w:eastAsia="en-AU"/>
        </w:rPr>
        <w:t>Study V59P13</w:t>
      </w:r>
      <w:r w:rsidR="00EA753C" w:rsidRPr="007D2B92">
        <w:rPr>
          <w:rFonts w:cs="Calibri"/>
          <w:snapToGrid/>
          <w:szCs w:val="24"/>
          <w:lang w:eastAsia="en-AU"/>
        </w:rPr>
        <w:t>:</w:t>
      </w:r>
      <w:r w:rsidRPr="007D2B92">
        <w:rPr>
          <w:rFonts w:cs="Calibri"/>
          <w:snapToGrid/>
          <w:szCs w:val="24"/>
          <w:lang w:eastAsia="en-AU"/>
        </w:rPr>
        <w:t xml:space="preserve"> </w:t>
      </w:r>
      <w:proofErr w:type="spellStart"/>
      <w:r w:rsidR="00025F36" w:rsidRPr="007D2B92">
        <w:rPr>
          <w:rFonts w:cs="Calibri"/>
          <w:snapToGrid/>
          <w:szCs w:val="24"/>
          <w:lang w:eastAsia="en-AU"/>
        </w:rPr>
        <w:t>S</w:t>
      </w:r>
      <w:r w:rsidRPr="007D2B92">
        <w:rPr>
          <w:rFonts w:cs="Calibri"/>
          <w:snapToGrid/>
          <w:szCs w:val="24"/>
          <w:lang w:eastAsia="en-AU"/>
        </w:rPr>
        <w:t>eroresponse</w:t>
      </w:r>
      <w:proofErr w:type="spellEnd"/>
      <w:r w:rsidRPr="007D2B92">
        <w:rPr>
          <w:rFonts w:cs="Calibri"/>
          <w:snapToGrid/>
          <w:szCs w:val="24"/>
          <w:lang w:eastAsia="en-AU"/>
        </w:rPr>
        <w:t xml:space="preserve"> was achieved </w:t>
      </w:r>
      <w:r w:rsidR="000249EF" w:rsidRPr="007D2B92">
        <w:rPr>
          <w:rFonts w:cs="Calibri"/>
          <w:snapToGrid/>
          <w:szCs w:val="24"/>
          <w:lang w:eastAsia="en-AU"/>
        </w:rPr>
        <w:t xml:space="preserve">by </w:t>
      </w:r>
      <w:r w:rsidRPr="007D2B92">
        <w:rPr>
          <w:rFonts w:cs="Calibri"/>
          <w:snapToGrid/>
          <w:szCs w:val="24"/>
          <w:lang w:eastAsia="en-AU"/>
        </w:rPr>
        <w:t>68% (</w:t>
      </w:r>
      <w:proofErr w:type="spellStart"/>
      <w:r w:rsidRPr="007D2B92">
        <w:rPr>
          <w:rFonts w:cs="Calibri"/>
          <w:snapToGrid/>
          <w:szCs w:val="24"/>
          <w:lang w:eastAsia="en-AU"/>
        </w:rPr>
        <w:t>MenY</w:t>
      </w:r>
      <w:proofErr w:type="spellEnd"/>
      <w:r w:rsidRPr="007D2B92">
        <w:rPr>
          <w:rFonts w:cs="Calibri"/>
          <w:snapToGrid/>
          <w:szCs w:val="24"/>
          <w:lang w:eastAsia="en-AU"/>
        </w:rPr>
        <w:t xml:space="preserve">) </w:t>
      </w:r>
      <w:r w:rsidR="000249EF" w:rsidRPr="007D2B92">
        <w:rPr>
          <w:rFonts w:cs="Calibri"/>
          <w:snapToGrid/>
          <w:szCs w:val="24"/>
          <w:lang w:eastAsia="en-AU"/>
        </w:rPr>
        <w:t>to</w:t>
      </w:r>
      <w:r w:rsidRPr="007D2B92">
        <w:rPr>
          <w:rFonts w:cs="Calibri"/>
          <w:snapToGrid/>
          <w:szCs w:val="24"/>
          <w:lang w:eastAsia="en-AU"/>
        </w:rPr>
        <w:t xml:space="preserve"> 76% (</w:t>
      </w:r>
      <w:proofErr w:type="spellStart"/>
      <w:r w:rsidRPr="007D2B92">
        <w:rPr>
          <w:rFonts w:cs="Calibri"/>
          <w:snapToGrid/>
          <w:szCs w:val="24"/>
          <w:lang w:eastAsia="en-AU"/>
        </w:rPr>
        <w:t>MenC</w:t>
      </w:r>
      <w:proofErr w:type="spellEnd"/>
      <w:r w:rsidRPr="007D2B92">
        <w:rPr>
          <w:rFonts w:cs="Calibri"/>
          <w:snapToGrid/>
          <w:szCs w:val="24"/>
          <w:lang w:eastAsia="en-AU"/>
        </w:rPr>
        <w:t>) of subjects</w:t>
      </w:r>
      <w:r w:rsidR="00025F36" w:rsidRPr="007D2B92">
        <w:rPr>
          <w:rFonts w:cs="Calibri"/>
          <w:snapToGrid/>
          <w:szCs w:val="24"/>
          <w:lang w:eastAsia="en-AU"/>
        </w:rPr>
        <w:t xml:space="preserve"> with </w:t>
      </w:r>
      <w:proofErr w:type="spellStart"/>
      <w:r w:rsidR="00025F36" w:rsidRPr="007D2B92">
        <w:rPr>
          <w:rFonts w:cs="Calibri"/>
          <w:snapToGrid/>
          <w:szCs w:val="24"/>
          <w:lang w:eastAsia="en-AU"/>
        </w:rPr>
        <w:t>MenACWY</w:t>
      </w:r>
      <w:proofErr w:type="spellEnd"/>
      <w:r w:rsidR="00025F36" w:rsidRPr="007D2B92">
        <w:rPr>
          <w:rFonts w:cs="Calibri"/>
          <w:snapToGrid/>
          <w:szCs w:val="24"/>
          <w:lang w:eastAsia="en-AU"/>
        </w:rPr>
        <w:noBreakHyphen/>
        <w:t>CRM</w:t>
      </w:r>
      <w:r w:rsidRPr="007D2B92">
        <w:rPr>
          <w:rFonts w:cs="Calibri"/>
          <w:snapToGrid/>
          <w:szCs w:val="24"/>
          <w:lang w:eastAsia="en-AU"/>
        </w:rPr>
        <w:t xml:space="preserve">. </w:t>
      </w:r>
      <w:r w:rsidR="00025F36" w:rsidRPr="007D2B92">
        <w:rPr>
          <w:rFonts w:cs="Calibri"/>
          <w:snapToGrid/>
          <w:szCs w:val="24"/>
          <w:lang w:eastAsia="en-AU"/>
        </w:rPr>
        <w:t>T</w:t>
      </w:r>
      <w:r w:rsidRPr="007D2B92">
        <w:rPr>
          <w:rFonts w:cs="Calibri"/>
          <w:snapToGrid/>
          <w:szCs w:val="24"/>
          <w:lang w:eastAsia="en-AU"/>
        </w:rPr>
        <w:t xml:space="preserve">he percentage of </w:t>
      </w:r>
      <w:proofErr w:type="spellStart"/>
      <w:r w:rsidRPr="007D2B92">
        <w:rPr>
          <w:rFonts w:cs="Calibri"/>
          <w:snapToGrid/>
          <w:szCs w:val="24"/>
          <w:lang w:eastAsia="en-AU"/>
        </w:rPr>
        <w:t>seroresponders</w:t>
      </w:r>
      <w:proofErr w:type="spellEnd"/>
      <w:r w:rsidRPr="007D2B92">
        <w:rPr>
          <w:rFonts w:cs="Calibri"/>
          <w:snapToGrid/>
          <w:szCs w:val="24"/>
          <w:lang w:eastAsia="en-AU"/>
        </w:rPr>
        <w:t xml:space="preserve"> was consistently higher in the </w:t>
      </w:r>
      <w:proofErr w:type="spellStart"/>
      <w:r w:rsidRPr="007D2B92">
        <w:rPr>
          <w:rFonts w:cs="Calibri"/>
          <w:snapToGrid/>
          <w:szCs w:val="24"/>
          <w:lang w:eastAsia="en-AU"/>
        </w:rPr>
        <w:t>MenACWY</w:t>
      </w:r>
      <w:proofErr w:type="spellEnd"/>
      <w:r w:rsidRPr="007D2B92">
        <w:rPr>
          <w:rFonts w:cs="Calibri"/>
          <w:snapToGrid/>
          <w:szCs w:val="24"/>
          <w:lang w:eastAsia="en-AU"/>
        </w:rPr>
        <w:noBreakHyphen/>
        <w:t xml:space="preserve">CRM vaccine group than in the </w:t>
      </w:r>
      <w:proofErr w:type="spellStart"/>
      <w:r w:rsidRPr="007D2B92">
        <w:rPr>
          <w:rFonts w:cs="Calibri"/>
          <w:snapToGrid/>
          <w:szCs w:val="24"/>
          <w:lang w:eastAsia="en-AU"/>
        </w:rPr>
        <w:t>MenACWY</w:t>
      </w:r>
      <w:proofErr w:type="spellEnd"/>
      <w:r w:rsidRPr="007D2B92">
        <w:rPr>
          <w:rFonts w:cs="Calibri"/>
          <w:snapToGrid/>
          <w:szCs w:val="24"/>
          <w:lang w:eastAsia="en-AU"/>
        </w:rPr>
        <w:t>-DT vaccine group for serogroups A, W and Y, while it was similar for serogroup C. Non-inferiority criteria</w:t>
      </w:r>
      <w:r w:rsidR="00606D84" w:rsidRPr="007D2B92">
        <w:rPr>
          <w:rStyle w:val="FootnoteReference"/>
          <w:rFonts w:cs="Calibri"/>
          <w:snapToGrid/>
          <w:szCs w:val="24"/>
          <w:lang w:eastAsia="en-AU"/>
        </w:rPr>
        <w:footnoteReference w:id="8"/>
      </w:r>
      <w:r w:rsidRPr="007D2B92">
        <w:rPr>
          <w:rFonts w:cs="Calibri"/>
          <w:snapToGrid/>
          <w:szCs w:val="24"/>
          <w:lang w:eastAsia="en-AU"/>
        </w:rPr>
        <w:t xml:space="preserve"> </w:t>
      </w:r>
      <w:r w:rsidR="00491F33" w:rsidRPr="007D2B92">
        <w:rPr>
          <w:rFonts w:cs="Calibri"/>
          <w:snapToGrid/>
          <w:szCs w:val="24"/>
          <w:lang w:eastAsia="en-AU"/>
        </w:rPr>
        <w:t xml:space="preserve">were </w:t>
      </w:r>
      <w:r w:rsidRPr="007D2B92">
        <w:rPr>
          <w:rFonts w:cs="Calibri"/>
          <w:snapToGrid/>
          <w:szCs w:val="24"/>
          <w:lang w:eastAsia="en-AU"/>
        </w:rPr>
        <w:t>met for all four serogroups, and superiority was met for all serogroups except C. The largest difference</w:t>
      </w:r>
      <w:r w:rsidR="00491F33" w:rsidRPr="007D2B92">
        <w:rPr>
          <w:rFonts w:cs="Calibri"/>
          <w:snapToGrid/>
          <w:szCs w:val="24"/>
          <w:lang w:eastAsia="en-AU"/>
        </w:rPr>
        <w:t>s</w:t>
      </w:r>
      <w:r w:rsidRPr="007D2B92">
        <w:rPr>
          <w:rFonts w:cs="Calibri"/>
          <w:snapToGrid/>
          <w:szCs w:val="24"/>
          <w:lang w:eastAsia="en-AU"/>
        </w:rPr>
        <w:t xml:space="preserve"> were observed for serogroup Y and W.</w:t>
      </w:r>
    </w:p>
    <w:p w:rsidR="00EA753C" w:rsidRPr="007D2B92" w:rsidRDefault="00D36133" w:rsidP="004E2FE6">
      <w:pPr>
        <w:pStyle w:val="ListParagraph"/>
        <w:widowControl/>
        <w:numPr>
          <w:ilvl w:val="1"/>
          <w:numId w:val="1"/>
        </w:numPr>
        <w:spacing w:after="120"/>
        <w:rPr>
          <w:rFonts w:cs="Calibri"/>
          <w:snapToGrid/>
          <w:szCs w:val="24"/>
          <w:u w:val="single"/>
          <w:lang w:eastAsia="en-AU"/>
        </w:rPr>
      </w:pPr>
      <w:r w:rsidRPr="007D2B92">
        <w:rPr>
          <w:rFonts w:cs="Calibri"/>
          <w:snapToGrid/>
          <w:szCs w:val="24"/>
          <w:u w:val="single"/>
          <w:lang w:eastAsia="en-AU"/>
        </w:rPr>
        <w:t>Study V59_</w:t>
      </w:r>
      <w:r w:rsidR="00012940" w:rsidRPr="007D2B92">
        <w:rPr>
          <w:rFonts w:cs="Calibri"/>
          <w:snapToGrid/>
          <w:szCs w:val="24"/>
          <w:u w:val="single"/>
          <w:lang w:eastAsia="en-AU"/>
        </w:rPr>
        <w:t>39d</w:t>
      </w:r>
      <w:r w:rsidR="00EA753C" w:rsidRPr="007D2B92">
        <w:rPr>
          <w:rFonts w:cs="Calibri"/>
          <w:snapToGrid/>
          <w:szCs w:val="24"/>
          <w:u w:val="single"/>
          <w:lang w:eastAsia="en-AU"/>
        </w:rPr>
        <w:t>:</w:t>
      </w:r>
      <w:r w:rsidR="00012940" w:rsidRPr="007D2B92">
        <w:rPr>
          <w:rFonts w:cs="Calibri"/>
          <w:snapToGrid/>
          <w:szCs w:val="24"/>
          <w:lang w:eastAsia="en-AU"/>
        </w:rPr>
        <w:t xml:space="preserve"> </w:t>
      </w:r>
      <w:proofErr w:type="spellStart"/>
      <w:r w:rsidR="00025F36" w:rsidRPr="007D2B92">
        <w:rPr>
          <w:rFonts w:cs="Calibri"/>
          <w:snapToGrid/>
          <w:szCs w:val="24"/>
          <w:lang w:eastAsia="en-AU"/>
        </w:rPr>
        <w:t>S</w:t>
      </w:r>
      <w:r w:rsidR="00012940" w:rsidRPr="007D2B92">
        <w:rPr>
          <w:rFonts w:cs="Calibri"/>
          <w:snapToGrid/>
          <w:szCs w:val="24"/>
          <w:lang w:eastAsia="en-AU"/>
        </w:rPr>
        <w:t>eroresponse</w:t>
      </w:r>
      <w:proofErr w:type="spellEnd"/>
      <w:r w:rsidR="00012940" w:rsidRPr="007D2B92">
        <w:rPr>
          <w:rFonts w:cs="Calibri"/>
          <w:snapToGrid/>
          <w:szCs w:val="24"/>
          <w:lang w:eastAsia="en-AU"/>
        </w:rPr>
        <w:t xml:space="preserve"> was achieved </w:t>
      </w:r>
      <w:r w:rsidR="000249EF" w:rsidRPr="007D2B92">
        <w:rPr>
          <w:rFonts w:cs="Calibri"/>
          <w:snapToGrid/>
          <w:szCs w:val="24"/>
          <w:lang w:eastAsia="en-AU"/>
        </w:rPr>
        <w:t xml:space="preserve">by </w:t>
      </w:r>
      <w:r w:rsidR="00012940" w:rsidRPr="007D2B92">
        <w:rPr>
          <w:rFonts w:cs="Calibri"/>
          <w:snapToGrid/>
          <w:szCs w:val="24"/>
          <w:lang w:eastAsia="en-AU"/>
        </w:rPr>
        <w:t>28% (</w:t>
      </w:r>
      <w:proofErr w:type="spellStart"/>
      <w:r w:rsidR="00012940" w:rsidRPr="007D2B92">
        <w:rPr>
          <w:rFonts w:cs="Calibri"/>
          <w:snapToGrid/>
          <w:szCs w:val="24"/>
          <w:lang w:eastAsia="en-AU"/>
        </w:rPr>
        <w:t>MenW</w:t>
      </w:r>
      <w:proofErr w:type="spellEnd"/>
      <w:r w:rsidR="00012940" w:rsidRPr="007D2B92">
        <w:rPr>
          <w:rFonts w:cs="Calibri"/>
          <w:snapToGrid/>
          <w:szCs w:val="24"/>
          <w:lang w:eastAsia="en-AU"/>
        </w:rPr>
        <w:t xml:space="preserve">) </w:t>
      </w:r>
      <w:r w:rsidR="000249EF" w:rsidRPr="007D2B92">
        <w:rPr>
          <w:rFonts w:cs="Calibri"/>
          <w:snapToGrid/>
          <w:szCs w:val="24"/>
          <w:lang w:eastAsia="en-AU"/>
        </w:rPr>
        <w:t>to</w:t>
      </w:r>
      <w:r w:rsidR="00012940" w:rsidRPr="007D2B92">
        <w:rPr>
          <w:rFonts w:cs="Calibri"/>
          <w:snapToGrid/>
          <w:szCs w:val="24"/>
          <w:lang w:eastAsia="en-AU"/>
        </w:rPr>
        <w:t xml:space="preserve"> 86% (</w:t>
      </w:r>
      <w:proofErr w:type="spellStart"/>
      <w:r w:rsidR="00012940" w:rsidRPr="007D2B92">
        <w:rPr>
          <w:rFonts w:cs="Calibri"/>
          <w:snapToGrid/>
          <w:szCs w:val="24"/>
          <w:lang w:eastAsia="en-AU"/>
        </w:rPr>
        <w:t>MenC</w:t>
      </w:r>
      <w:proofErr w:type="spellEnd"/>
      <w:r w:rsidR="00012940" w:rsidRPr="007D2B92">
        <w:rPr>
          <w:rFonts w:cs="Calibri"/>
          <w:snapToGrid/>
          <w:szCs w:val="24"/>
          <w:lang w:eastAsia="en-AU"/>
        </w:rPr>
        <w:t>) of subjects</w:t>
      </w:r>
      <w:r w:rsidR="00025F36" w:rsidRPr="007D2B92">
        <w:rPr>
          <w:rFonts w:cs="Calibri"/>
          <w:snapToGrid/>
          <w:szCs w:val="24"/>
          <w:lang w:eastAsia="en-AU"/>
        </w:rPr>
        <w:t xml:space="preserve"> with </w:t>
      </w:r>
      <w:proofErr w:type="spellStart"/>
      <w:r w:rsidR="00025F36" w:rsidRPr="007D2B92">
        <w:rPr>
          <w:rFonts w:cs="Calibri"/>
          <w:snapToGrid/>
          <w:szCs w:val="24"/>
          <w:lang w:eastAsia="en-AU"/>
        </w:rPr>
        <w:t>MenACWY</w:t>
      </w:r>
      <w:proofErr w:type="spellEnd"/>
      <w:r w:rsidR="00025F36" w:rsidRPr="007D2B92">
        <w:rPr>
          <w:rFonts w:cs="Calibri"/>
          <w:snapToGrid/>
          <w:szCs w:val="24"/>
          <w:lang w:eastAsia="en-AU"/>
        </w:rPr>
        <w:noBreakHyphen/>
        <w:t>CRM</w:t>
      </w:r>
      <w:r w:rsidR="00012940" w:rsidRPr="007D2B92">
        <w:rPr>
          <w:rFonts w:cs="Calibri"/>
          <w:snapToGrid/>
          <w:szCs w:val="24"/>
          <w:lang w:eastAsia="en-AU"/>
        </w:rPr>
        <w:t xml:space="preserve">. The primary immunogenicity objective for </w:t>
      </w:r>
      <w:proofErr w:type="spellStart"/>
      <w:r w:rsidR="00012940" w:rsidRPr="007D2B92">
        <w:rPr>
          <w:rFonts w:cs="Calibri"/>
          <w:snapToGrid/>
          <w:szCs w:val="24"/>
          <w:lang w:eastAsia="en-AU"/>
        </w:rPr>
        <w:t>MenW</w:t>
      </w:r>
      <w:proofErr w:type="spellEnd"/>
      <w:r w:rsidR="00012940" w:rsidRPr="007D2B92">
        <w:rPr>
          <w:rFonts w:cs="Calibri"/>
          <w:snapToGrid/>
          <w:szCs w:val="24"/>
          <w:lang w:eastAsia="en-AU"/>
        </w:rPr>
        <w:t xml:space="preserve"> was not met. </w:t>
      </w:r>
    </w:p>
    <w:p w:rsidR="00EA753C" w:rsidRPr="007D2B92" w:rsidRDefault="00EA753C" w:rsidP="004E2FE6">
      <w:pPr>
        <w:widowControl/>
        <w:spacing w:after="120"/>
        <w:rPr>
          <w:rFonts w:cs="Calibri"/>
          <w:snapToGrid/>
          <w:szCs w:val="24"/>
          <w:u w:val="single"/>
          <w:lang w:eastAsia="en-AU"/>
        </w:rPr>
      </w:pPr>
      <w:r w:rsidRPr="007D2B92">
        <w:rPr>
          <w:rFonts w:cs="Calibri"/>
          <w:snapToGrid/>
          <w:szCs w:val="24"/>
          <w:u w:val="single"/>
          <w:lang w:eastAsia="en-AU"/>
        </w:rPr>
        <w:t xml:space="preserve">SBA titres and </w:t>
      </w:r>
      <w:r w:rsidR="00B3065D" w:rsidRPr="007D2B92">
        <w:rPr>
          <w:rFonts w:cs="Calibri"/>
          <w:snapToGrid/>
          <w:szCs w:val="24"/>
          <w:u w:val="single"/>
          <w:lang w:eastAsia="en-AU"/>
        </w:rPr>
        <w:t>Geometric mean titres (</w:t>
      </w:r>
      <w:r w:rsidRPr="007D2B92">
        <w:rPr>
          <w:rFonts w:cs="Calibri"/>
          <w:snapToGrid/>
          <w:szCs w:val="24"/>
          <w:u w:val="single"/>
          <w:lang w:eastAsia="en-AU"/>
        </w:rPr>
        <w:t>GMTs</w:t>
      </w:r>
      <w:r w:rsidR="00B3065D" w:rsidRPr="007D2B92">
        <w:rPr>
          <w:rFonts w:cs="Calibri"/>
          <w:snapToGrid/>
          <w:szCs w:val="24"/>
          <w:u w:val="single"/>
          <w:lang w:eastAsia="en-AU"/>
        </w:rPr>
        <w:t>)</w:t>
      </w:r>
    </w:p>
    <w:p w:rsidR="00012940" w:rsidRPr="007D2B92" w:rsidRDefault="00012940" w:rsidP="004E2FE6">
      <w:pPr>
        <w:pStyle w:val="ListParagraph"/>
        <w:widowControl/>
        <w:numPr>
          <w:ilvl w:val="1"/>
          <w:numId w:val="1"/>
        </w:numPr>
        <w:spacing w:after="120"/>
        <w:rPr>
          <w:rFonts w:cs="Calibri"/>
          <w:snapToGrid/>
          <w:szCs w:val="24"/>
          <w:lang w:eastAsia="en-AU"/>
        </w:rPr>
      </w:pPr>
      <w:r w:rsidRPr="007D2B92">
        <w:rPr>
          <w:rFonts w:cs="Calibri"/>
          <w:snapToGrid/>
          <w:szCs w:val="24"/>
          <w:lang w:eastAsia="en-AU"/>
        </w:rPr>
        <w:t xml:space="preserve">SBA titres </w:t>
      </w:r>
      <w:r w:rsidR="00EA753C" w:rsidRPr="007D2B92">
        <w:rPr>
          <w:rFonts w:cs="Calibri"/>
          <w:snapToGrid/>
          <w:szCs w:val="24"/>
          <w:lang w:eastAsia="en-AU"/>
        </w:rPr>
        <w:t xml:space="preserve">and GMTs </w:t>
      </w:r>
      <w:r w:rsidRPr="007D2B92">
        <w:rPr>
          <w:rFonts w:cs="Calibri"/>
          <w:snapToGrid/>
          <w:szCs w:val="24"/>
          <w:lang w:eastAsia="en-AU"/>
        </w:rPr>
        <w:t xml:space="preserve">at 1 month post-vaccination </w:t>
      </w:r>
      <w:r w:rsidR="00491F33" w:rsidRPr="007D2B92">
        <w:rPr>
          <w:rFonts w:cs="Calibri"/>
          <w:snapToGrid/>
          <w:szCs w:val="24"/>
          <w:lang w:eastAsia="en-AU"/>
        </w:rPr>
        <w:t xml:space="preserve">were </w:t>
      </w:r>
      <w:r w:rsidRPr="007D2B92">
        <w:rPr>
          <w:rFonts w:cs="Calibri"/>
          <w:snapToGrid/>
          <w:szCs w:val="24"/>
          <w:lang w:eastAsia="en-AU"/>
        </w:rPr>
        <w:t>measured across all of the studi</w:t>
      </w:r>
      <w:r w:rsidR="00D36133" w:rsidRPr="007D2B92">
        <w:rPr>
          <w:rFonts w:cs="Calibri"/>
          <w:snapToGrid/>
          <w:szCs w:val="24"/>
          <w:lang w:eastAsia="en-AU"/>
        </w:rPr>
        <w:t>es. Study V59P13, V59P6 and V59_</w:t>
      </w:r>
      <w:r w:rsidRPr="007D2B92">
        <w:rPr>
          <w:rFonts w:cs="Calibri"/>
          <w:snapToGrid/>
          <w:szCs w:val="24"/>
          <w:lang w:eastAsia="en-AU"/>
        </w:rPr>
        <w:t xml:space="preserve">39d reported </w:t>
      </w:r>
      <w:proofErr w:type="spellStart"/>
      <w:r w:rsidRPr="007D2B92">
        <w:rPr>
          <w:rFonts w:cs="Calibri"/>
          <w:snapToGrid/>
          <w:szCs w:val="24"/>
          <w:lang w:eastAsia="en-AU"/>
        </w:rPr>
        <w:t>hSBA</w:t>
      </w:r>
      <w:proofErr w:type="spellEnd"/>
      <w:r w:rsidRPr="007D2B92">
        <w:rPr>
          <w:rFonts w:cs="Calibri"/>
          <w:snapToGrid/>
          <w:szCs w:val="24"/>
          <w:lang w:eastAsia="en-AU"/>
        </w:rPr>
        <w:t xml:space="preserve"> titres, while the submission assumed that the study by </w:t>
      </w:r>
      <w:proofErr w:type="spellStart"/>
      <w:r w:rsidRPr="007D2B92">
        <w:rPr>
          <w:rFonts w:cs="Calibri"/>
          <w:snapToGrid/>
          <w:szCs w:val="24"/>
          <w:lang w:eastAsia="en-AU"/>
        </w:rPr>
        <w:t>Ishola</w:t>
      </w:r>
      <w:proofErr w:type="spellEnd"/>
      <w:r w:rsidRPr="007D2B92">
        <w:rPr>
          <w:rFonts w:cs="Calibri"/>
          <w:snapToGrid/>
          <w:szCs w:val="24"/>
          <w:lang w:eastAsia="en-AU"/>
        </w:rPr>
        <w:t xml:space="preserve"> reported </w:t>
      </w:r>
      <w:proofErr w:type="spellStart"/>
      <w:r w:rsidRPr="007D2B92">
        <w:rPr>
          <w:rFonts w:cs="Calibri"/>
          <w:snapToGrid/>
          <w:szCs w:val="24"/>
          <w:lang w:eastAsia="en-AU"/>
        </w:rPr>
        <w:t>rSBA</w:t>
      </w:r>
      <w:proofErr w:type="spellEnd"/>
      <w:r w:rsidRPr="007D2B92">
        <w:rPr>
          <w:rFonts w:cs="Calibri"/>
          <w:snapToGrid/>
          <w:szCs w:val="24"/>
          <w:lang w:eastAsia="en-AU"/>
        </w:rPr>
        <w:t xml:space="preserve"> titres.</w:t>
      </w:r>
    </w:p>
    <w:p w:rsidR="000249EF" w:rsidRPr="007D2B92" w:rsidRDefault="000249EF" w:rsidP="004E2FE6">
      <w:pPr>
        <w:pStyle w:val="ListParagraph"/>
        <w:widowControl/>
        <w:numPr>
          <w:ilvl w:val="1"/>
          <w:numId w:val="1"/>
        </w:numPr>
        <w:spacing w:after="120"/>
        <w:rPr>
          <w:rFonts w:cs="Calibri"/>
          <w:snapToGrid/>
          <w:szCs w:val="24"/>
          <w:lang w:eastAsia="en-AU"/>
        </w:rPr>
      </w:pPr>
      <w:r w:rsidRPr="007D2B92">
        <w:t xml:space="preserve">The proportion of subjects with SBA-Men titres ≥ 1:8 with </w:t>
      </w:r>
      <w:proofErr w:type="spellStart"/>
      <w:r w:rsidRPr="007D2B92">
        <w:t>MenACWY</w:t>
      </w:r>
      <w:proofErr w:type="spellEnd"/>
      <w:r w:rsidRPr="007D2B92">
        <w:t xml:space="preserve">-CRM </w:t>
      </w:r>
      <w:r w:rsidR="00113DAB" w:rsidRPr="007D2B92">
        <w:t>for</w:t>
      </w:r>
      <w:r w:rsidRPr="007D2B92">
        <w:t>:</w:t>
      </w:r>
    </w:p>
    <w:p w:rsidR="000249EF" w:rsidRPr="007D2B92" w:rsidRDefault="000249EF" w:rsidP="004E2FE6">
      <w:pPr>
        <w:pStyle w:val="ListParagraph"/>
        <w:widowControl/>
        <w:numPr>
          <w:ilvl w:val="0"/>
          <w:numId w:val="12"/>
        </w:numPr>
        <w:spacing w:after="120"/>
      </w:pPr>
      <w:r w:rsidRPr="007D2B92">
        <w:t xml:space="preserve">Serogroup A ranged from 1% to 36% pre-vaccination and </w:t>
      </w:r>
      <w:r w:rsidR="00113DAB" w:rsidRPr="007D2B92">
        <w:t xml:space="preserve">from </w:t>
      </w:r>
      <w:r w:rsidRPr="007D2B92">
        <w:t>75% to 100% one month post-vaccination.</w:t>
      </w:r>
    </w:p>
    <w:p w:rsidR="000249EF" w:rsidRPr="007D2B92" w:rsidRDefault="000249EF" w:rsidP="004E2FE6">
      <w:pPr>
        <w:pStyle w:val="ListParagraph"/>
        <w:widowControl/>
        <w:numPr>
          <w:ilvl w:val="0"/>
          <w:numId w:val="12"/>
        </w:numPr>
        <w:spacing w:after="120"/>
      </w:pPr>
      <w:r w:rsidRPr="007D2B92">
        <w:t xml:space="preserve">Serogroup C ranged from 17% to 49% pre-vaccination and </w:t>
      </w:r>
      <w:r w:rsidR="00383836" w:rsidRPr="007D2B92">
        <w:t xml:space="preserve">from </w:t>
      </w:r>
      <w:r w:rsidRPr="007D2B92">
        <w:t xml:space="preserve">83% to 100% at one month post-vaccination. </w:t>
      </w:r>
    </w:p>
    <w:p w:rsidR="000249EF" w:rsidRPr="007D2B92" w:rsidRDefault="000249EF" w:rsidP="004E2FE6">
      <w:pPr>
        <w:pStyle w:val="ListParagraph"/>
        <w:widowControl/>
        <w:numPr>
          <w:ilvl w:val="0"/>
          <w:numId w:val="12"/>
        </w:numPr>
        <w:spacing w:after="120"/>
      </w:pPr>
      <w:r w:rsidRPr="007D2B92">
        <w:t xml:space="preserve">Serogroup W ranged from </w:t>
      </w:r>
      <w:r w:rsidR="00EC59B5" w:rsidRPr="007D2B92">
        <w:t>13</w:t>
      </w:r>
      <w:r w:rsidRPr="007D2B92">
        <w:t xml:space="preserve">% to </w:t>
      </w:r>
      <w:r w:rsidR="00EC59B5" w:rsidRPr="007D2B92">
        <w:t>89</w:t>
      </w:r>
      <w:r w:rsidRPr="007D2B92">
        <w:t xml:space="preserve">% pre-vaccination and </w:t>
      </w:r>
      <w:r w:rsidR="00383836" w:rsidRPr="007D2B92">
        <w:t xml:space="preserve">from </w:t>
      </w:r>
      <w:r w:rsidR="00EC59B5" w:rsidRPr="007D2B92">
        <w:t>90</w:t>
      </w:r>
      <w:r w:rsidRPr="007D2B92">
        <w:t xml:space="preserve">% to 100% at one month post-vaccination. </w:t>
      </w:r>
    </w:p>
    <w:p w:rsidR="000249EF" w:rsidRPr="007D2B92" w:rsidRDefault="000249EF" w:rsidP="004E2FE6">
      <w:pPr>
        <w:pStyle w:val="ListParagraph"/>
        <w:widowControl/>
        <w:numPr>
          <w:ilvl w:val="0"/>
          <w:numId w:val="12"/>
        </w:numPr>
        <w:spacing w:after="120"/>
      </w:pPr>
      <w:r w:rsidRPr="007D2B92">
        <w:t xml:space="preserve">Serogroup Y ranged from </w:t>
      </w:r>
      <w:r w:rsidR="00EC59B5" w:rsidRPr="007D2B92">
        <w:t>11</w:t>
      </w:r>
      <w:r w:rsidRPr="007D2B92">
        <w:t xml:space="preserve">% to </w:t>
      </w:r>
      <w:r w:rsidR="00EC59B5" w:rsidRPr="007D2B92">
        <w:t>54</w:t>
      </w:r>
      <w:r w:rsidRPr="007D2B92">
        <w:t xml:space="preserve">% pre-vaccination and </w:t>
      </w:r>
      <w:r w:rsidR="00383836" w:rsidRPr="007D2B92">
        <w:t xml:space="preserve">from </w:t>
      </w:r>
      <w:r w:rsidR="00EC59B5" w:rsidRPr="007D2B92">
        <w:t>88</w:t>
      </w:r>
      <w:r w:rsidRPr="007D2B92">
        <w:t xml:space="preserve">% to </w:t>
      </w:r>
      <w:r w:rsidR="00EC59B5" w:rsidRPr="007D2B92">
        <w:t>98</w:t>
      </w:r>
      <w:r w:rsidRPr="007D2B92">
        <w:t xml:space="preserve">% at one month post-vaccination. </w:t>
      </w:r>
    </w:p>
    <w:p w:rsidR="00EC59B5" w:rsidRPr="007D2B92" w:rsidRDefault="00EC59B5" w:rsidP="004E2FE6">
      <w:pPr>
        <w:pStyle w:val="ListParagraph"/>
        <w:widowControl/>
        <w:numPr>
          <w:ilvl w:val="1"/>
          <w:numId w:val="1"/>
        </w:numPr>
        <w:spacing w:after="120"/>
      </w:pPr>
      <w:r w:rsidRPr="007D2B92">
        <w:t>Many of the trial subjects were seropositive (</w:t>
      </w:r>
      <w:proofErr w:type="spellStart"/>
      <w:r w:rsidRPr="007D2B92">
        <w:t>hSBA</w:t>
      </w:r>
      <w:proofErr w:type="spellEnd"/>
      <w:r w:rsidRPr="007D2B92">
        <w:t xml:space="preserve">-Men titres ≥ 1:8) prior to vaccination, which </w:t>
      </w:r>
      <w:r w:rsidR="00793803" w:rsidRPr="007D2B92">
        <w:t xml:space="preserve">would increase the </w:t>
      </w:r>
      <w:r w:rsidR="00E14D3E" w:rsidRPr="007D2B92">
        <w:t>proportion</w:t>
      </w:r>
      <w:r w:rsidR="00793803" w:rsidRPr="007D2B92">
        <w:t xml:space="preserve"> of subjects who become seropositive after vaccination</w:t>
      </w:r>
      <w:r w:rsidRPr="007D2B92">
        <w:t>.</w:t>
      </w:r>
    </w:p>
    <w:p w:rsidR="00675708" w:rsidRPr="007D2B92" w:rsidRDefault="00012940" w:rsidP="004E2FE6">
      <w:pPr>
        <w:pStyle w:val="ListParagraph"/>
        <w:widowControl/>
        <w:numPr>
          <w:ilvl w:val="1"/>
          <w:numId w:val="1"/>
        </w:numPr>
        <w:spacing w:after="120"/>
      </w:pPr>
      <w:proofErr w:type="spellStart"/>
      <w:r w:rsidRPr="007D2B92">
        <w:rPr>
          <w:rFonts w:cs="Calibri"/>
          <w:snapToGrid/>
          <w:szCs w:val="24"/>
          <w:u w:val="single"/>
          <w:lang w:eastAsia="en-AU"/>
        </w:rPr>
        <w:lastRenderedPageBreak/>
        <w:t>Ishola</w:t>
      </w:r>
      <w:proofErr w:type="spellEnd"/>
      <w:r w:rsidR="00EA753C" w:rsidRPr="007D2B92">
        <w:rPr>
          <w:rFonts w:cs="Calibri"/>
          <w:snapToGrid/>
          <w:szCs w:val="24"/>
          <w:u w:val="single"/>
          <w:lang w:eastAsia="en-AU"/>
        </w:rPr>
        <w:t xml:space="preserve"> 2015:</w:t>
      </w:r>
      <w:r w:rsidRPr="007D2B92">
        <w:rPr>
          <w:rFonts w:cs="Calibri"/>
          <w:snapToGrid/>
          <w:szCs w:val="24"/>
          <w:lang w:eastAsia="en-AU"/>
        </w:rPr>
        <w:t xml:space="preserve"> 100% of participants achieved </w:t>
      </w:r>
      <w:r w:rsidR="00025F36" w:rsidRPr="007D2B92">
        <w:t xml:space="preserve">SBA titres </w:t>
      </w:r>
      <w:r w:rsidR="00025F36" w:rsidRPr="007D2B92">
        <w:rPr>
          <w:rFonts w:cs="Calibri"/>
        </w:rPr>
        <w:t>≥</w:t>
      </w:r>
      <w:r w:rsidR="00025F36" w:rsidRPr="007D2B92">
        <w:t xml:space="preserve"> 1:8</w:t>
      </w:r>
      <w:r w:rsidRPr="007D2B92">
        <w:rPr>
          <w:rFonts w:cs="Calibri"/>
          <w:snapToGrid/>
          <w:szCs w:val="24"/>
          <w:lang w:eastAsia="en-AU"/>
        </w:rPr>
        <w:t xml:space="preserve"> against </w:t>
      </w:r>
      <w:r w:rsidR="00025F36" w:rsidRPr="007D2B92">
        <w:rPr>
          <w:rFonts w:cs="Calibri"/>
          <w:snapToGrid/>
          <w:szCs w:val="24"/>
          <w:lang w:eastAsia="en-AU"/>
        </w:rPr>
        <w:t>three</w:t>
      </w:r>
      <w:r w:rsidRPr="007D2B92">
        <w:rPr>
          <w:rFonts w:cs="Calibri"/>
          <w:snapToGrid/>
          <w:szCs w:val="24"/>
          <w:lang w:eastAsia="en-AU"/>
        </w:rPr>
        <w:t xml:space="preserve"> serogroups</w:t>
      </w:r>
      <w:r w:rsidR="000249EF" w:rsidRPr="007D2B92">
        <w:rPr>
          <w:rFonts w:cs="Calibri"/>
          <w:snapToGrid/>
          <w:szCs w:val="24"/>
          <w:lang w:eastAsia="en-AU"/>
        </w:rPr>
        <w:t xml:space="preserve"> for both </w:t>
      </w:r>
      <w:proofErr w:type="spellStart"/>
      <w:r w:rsidR="00EC59B5" w:rsidRPr="007D2B92">
        <w:rPr>
          <w:rFonts w:cs="Calibri"/>
          <w:snapToGrid/>
          <w:szCs w:val="24"/>
          <w:lang w:eastAsia="en-AU"/>
        </w:rPr>
        <w:t>MenACWY</w:t>
      </w:r>
      <w:proofErr w:type="spellEnd"/>
      <w:r w:rsidR="00EC59B5" w:rsidRPr="007D2B92">
        <w:rPr>
          <w:rFonts w:cs="Calibri"/>
          <w:snapToGrid/>
          <w:szCs w:val="24"/>
          <w:lang w:eastAsia="en-AU"/>
        </w:rPr>
        <w:t xml:space="preserve">-CRM and </w:t>
      </w:r>
      <w:proofErr w:type="spellStart"/>
      <w:r w:rsidR="00EC59B5" w:rsidRPr="007D2B92">
        <w:rPr>
          <w:rFonts w:cs="Calibri"/>
          <w:snapToGrid/>
          <w:szCs w:val="24"/>
          <w:lang w:eastAsia="en-AU"/>
        </w:rPr>
        <w:t>MenACWY</w:t>
      </w:r>
      <w:proofErr w:type="spellEnd"/>
      <w:r w:rsidR="00EC59B5" w:rsidRPr="007D2B92">
        <w:rPr>
          <w:rFonts w:cs="Calibri"/>
          <w:snapToGrid/>
          <w:szCs w:val="24"/>
          <w:lang w:eastAsia="en-AU"/>
        </w:rPr>
        <w:t>-TT</w:t>
      </w:r>
      <w:r w:rsidRPr="007D2B92">
        <w:rPr>
          <w:rFonts w:cs="Calibri"/>
          <w:snapToGrid/>
          <w:szCs w:val="24"/>
          <w:lang w:eastAsia="en-AU"/>
        </w:rPr>
        <w:t xml:space="preserve">, </w:t>
      </w:r>
      <w:r w:rsidR="000249EF" w:rsidRPr="007D2B92">
        <w:rPr>
          <w:rFonts w:cs="Calibri"/>
          <w:snapToGrid/>
          <w:szCs w:val="24"/>
          <w:lang w:eastAsia="en-AU"/>
        </w:rPr>
        <w:t>but</w:t>
      </w:r>
      <w:r w:rsidR="00025F36" w:rsidRPr="007D2B92">
        <w:rPr>
          <w:rFonts w:cs="Calibri"/>
          <w:snapToGrid/>
          <w:szCs w:val="24"/>
          <w:lang w:eastAsia="en-AU"/>
        </w:rPr>
        <w:t xml:space="preserve"> 98% against </w:t>
      </w:r>
      <w:proofErr w:type="spellStart"/>
      <w:r w:rsidRPr="007D2B92">
        <w:rPr>
          <w:rFonts w:cs="Calibri"/>
          <w:snapToGrid/>
          <w:szCs w:val="24"/>
          <w:lang w:eastAsia="en-AU"/>
        </w:rPr>
        <w:t>MenY</w:t>
      </w:r>
      <w:proofErr w:type="spellEnd"/>
      <w:r w:rsidRPr="007D2B92">
        <w:rPr>
          <w:rFonts w:cs="Calibri"/>
          <w:snapToGrid/>
          <w:szCs w:val="24"/>
          <w:lang w:eastAsia="en-AU"/>
        </w:rPr>
        <w:t xml:space="preserve"> in those boosted with the </w:t>
      </w:r>
      <w:proofErr w:type="spellStart"/>
      <w:r w:rsidRPr="007D2B92">
        <w:rPr>
          <w:rFonts w:cs="Calibri"/>
          <w:snapToGrid/>
          <w:szCs w:val="24"/>
          <w:lang w:eastAsia="en-AU"/>
        </w:rPr>
        <w:t>MenACWY</w:t>
      </w:r>
      <w:proofErr w:type="spellEnd"/>
      <w:r w:rsidRPr="007D2B92">
        <w:rPr>
          <w:rFonts w:cs="Calibri"/>
          <w:snapToGrid/>
          <w:szCs w:val="24"/>
          <w:lang w:eastAsia="en-AU"/>
        </w:rPr>
        <w:t>-CRM vaccine.</w:t>
      </w:r>
      <w:r w:rsidR="00EC59B5" w:rsidRPr="007D2B92">
        <w:rPr>
          <w:rFonts w:cs="Calibri"/>
          <w:snapToGrid/>
          <w:szCs w:val="24"/>
          <w:lang w:eastAsia="en-AU"/>
        </w:rPr>
        <w:t xml:space="preserve"> These rates were higher than the other studies, likely due to </w:t>
      </w:r>
      <w:r w:rsidRPr="007D2B92">
        <w:t>subjects</w:t>
      </w:r>
      <w:r w:rsidR="00EA753C" w:rsidRPr="007D2B92">
        <w:t xml:space="preserve"> in </w:t>
      </w:r>
      <w:proofErr w:type="spellStart"/>
      <w:r w:rsidR="00EA753C" w:rsidRPr="007D2B92">
        <w:t>Ishola</w:t>
      </w:r>
      <w:proofErr w:type="spellEnd"/>
      <w:r w:rsidR="00EA753C" w:rsidRPr="007D2B92">
        <w:t xml:space="preserve"> 2015</w:t>
      </w:r>
      <w:r w:rsidRPr="007D2B92">
        <w:t xml:space="preserve"> receiving primary vaccination as children.</w:t>
      </w:r>
    </w:p>
    <w:p w:rsidR="00EA753C" w:rsidRPr="007D2B92" w:rsidRDefault="00EA753C" w:rsidP="004E2FE6">
      <w:pPr>
        <w:pStyle w:val="ListParagraph"/>
        <w:widowControl/>
        <w:numPr>
          <w:ilvl w:val="1"/>
          <w:numId w:val="1"/>
        </w:numPr>
        <w:spacing w:after="120"/>
      </w:pPr>
      <w:proofErr w:type="spellStart"/>
      <w:r w:rsidRPr="007D2B92">
        <w:rPr>
          <w:u w:val="single"/>
        </w:rPr>
        <w:t>Ishola</w:t>
      </w:r>
      <w:proofErr w:type="spellEnd"/>
      <w:r w:rsidRPr="007D2B92">
        <w:rPr>
          <w:u w:val="single"/>
        </w:rPr>
        <w:t xml:space="preserve"> 2015: </w:t>
      </w:r>
      <w:r w:rsidR="00025F36" w:rsidRPr="007D2B92">
        <w:t xml:space="preserve">GMTs were higher with the </w:t>
      </w:r>
      <w:proofErr w:type="spellStart"/>
      <w:r w:rsidR="00025F36" w:rsidRPr="007D2B92">
        <w:t>MenACWY</w:t>
      </w:r>
      <w:proofErr w:type="spellEnd"/>
      <w:r w:rsidR="00025F36" w:rsidRPr="007D2B92">
        <w:t>-CRM vaccine</w:t>
      </w:r>
      <w:r w:rsidR="00EC59B5" w:rsidRPr="007D2B92">
        <w:t xml:space="preserve"> compared to the </w:t>
      </w:r>
      <w:proofErr w:type="spellStart"/>
      <w:r w:rsidR="00EC59B5" w:rsidRPr="007D2B92">
        <w:t>MenACWY</w:t>
      </w:r>
      <w:proofErr w:type="spellEnd"/>
      <w:r w:rsidR="00EC59B5" w:rsidRPr="007D2B92">
        <w:t>-TT vaccine</w:t>
      </w:r>
      <w:r w:rsidR="00025F36" w:rsidRPr="007D2B92">
        <w:t xml:space="preserve"> for </w:t>
      </w:r>
      <w:proofErr w:type="spellStart"/>
      <w:r w:rsidR="00025F36" w:rsidRPr="007D2B92">
        <w:t>MenA</w:t>
      </w:r>
      <w:proofErr w:type="spellEnd"/>
      <w:r w:rsidR="00793803" w:rsidRPr="007D2B92">
        <w:t>,</w:t>
      </w:r>
      <w:r w:rsidR="00E14D3E" w:rsidRPr="007D2B92">
        <w:t xml:space="preserve"> </w:t>
      </w:r>
      <w:proofErr w:type="spellStart"/>
      <w:r w:rsidR="00025F36" w:rsidRPr="007D2B92">
        <w:t>MenC</w:t>
      </w:r>
      <w:proofErr w:type="spellEnd"/>
      <w:r w:rsidR="00793803" w:rsidRPr="007D2B92">
        <w:t xml:space="preserve"> and </w:t>
      </w:r>
      <w:proofErr w:type="spellStart"/>
      <w:r w:rsidR="00793803" w:rsidRPr="007D2B92">
        <w:t>MenY</w:t>
      </w:r>
      <w:proofErr w:type="spellEnd"/>
      <w:r w:rsidR="00025F36" w:rsidRPr="007D2B92">
        <w:t xml:space="preserve">, but not for </w:t>
      </w:r>
      <w:proofErr w:type="spellStart"/>
      <w:r w:rsidR="00025F36" w:rsidRPr="007D2B92">
        <w:t>MenW</w:t>
      </w:r>
      <w:proofErr w:type="spellEnd"/>
      <w:r w:rsidR="00025F36" w:rsidRPr="007D2B92">
        <w:t>. However,</w:t>
      </w:r>
      <w:r w:rsidRPr="007D2B92">
        <w:t xml:space="preserve"> </w:t>
      </w:r>
      <w:proofErr w:type="spellStart"/>
      <w:r w:rsidRPr="007D2B92">
        <w:t>MenW</w:t>
      </w:r>
      <w:proofErr w:type="spellEnd"/>
      <w:r w:rsidRPr="007D2B92">
        <w:t xml:space="preserve"> and </w:t>
      </w:r>
      <w:proofErr w:type="spellStart"/>
      <w:r w:rsidRPr="007D2B92">
        <w:t>MenY</w:t>
      </w:r>
      <w:proofErr w:type="spellEnd"/>
      <w:r w:rsidRPr="007D2B92">
        <w:t xml:space="preserve"> antibodies did not differ significantly between </w:t>
      </w:r>
      <w:r w:rsidR="00EC59B5" w:rsidRPr="007D2B92">
        <w:t xml:space="preserve">the </w:t>
      </w:r>
      <w:r w:rsidRPr="007D2B92">
        <w:t>vaccine groups.</w:t>
      </w:r>
    </w:p>
    <w:p w:rsidR="00675708" w:rsidRPr="007D2B92" w:rsidRDefault="00EA753C" w:rsidP="004E2FE6">
      <w:pPr>
        <w:pStyle w:val="ListParagraph"/>
        <w:widowControl/>
        <w:numPr>
          <w:ilvl w:val="1"/>
          <w:numId w:val="1"/>
        </w:numPr>
        <w:spacing w:after="120"/>
      </w:pPr>
      <w:r w:rsidRPr="007D2B92">
        <w:rPr>
          <w:u w:val="single"/>
        </w:rPr>
        <w:t>Other studies:</w:t>
      </w:r>
      <w:r w:rsidRPr="007D2B92">
        <w:t xml:space="preserve"> GMTs were consistently higher with the </w:t>
      </w:r>
      <w:proofErr w:type="spellStart"/>
      <w:r w:rsidRPr="007D2B92">
        <w:t>MenACWY</w:t>
      </w:r>
      <w:proofErr w:type="spellEnd"/>
      <w:r w:rsidRPr="007D2B92">
        <w:t xml:space="preserve">-CRM vaccine </w:t>
      </w:r>
      <w:r w:rsidR="00EC59B5" w:rsidRPr="007D2B92">
        <w:t xml:space="preserve">compared to the comparators </w:t>
      </w:r>
      <w:r w:rsidRPr="007D2B92">
        <w:t>across all four serogroups.</w:t>
      </w:r>
    </w:p>
    <w:p w:rsidR="009829DA" w:rsidRPr="007D2B92" w:rsidRDefault="00EC59B5" w:rsidP="004E2FE6">
      <w:pPr>
        <w:pStyle w:val="ListParagraph"/>
        <w:widowControl/>
        <w:numPr>
          <w:ilvl w:val="1"/>
          <w:numId w:val="1"/>
        </w:numPr>
        <w:spacing w:after="120"/>
      </w:pPr>
      <w:r w:rsidRPr="007D2B92">
        <w:t xml:space="preserve">It is unclear whether the difference in magnitude of GMTs across the studies </w:t>
      </w:r>
      <w:r w:rsidR="000B336B" w:rsidRPr="007D2B92">
        <w:t>is</w:t>
      </w:r>
      <w:r w:rsidRPr="007D2B92">
        <w:t xml:space="preserve"> due to different assays used across the trials</w:t>
      </w:r>
      <w:r w:rsidR="009829DA" w:rsidRPr="007D2B92">
        <w:t>.</w:t>
      </w:r>
    </w:p>
    <w:p w:rsidR="009829DA" w:rsidRPr="007D2B92" w:rsidRDefault="009829DA" w:rsidP="0069500D">
      <w:pPr>
        <w:pStyle w:val="ListParagraph"/>
        <w:widowControl/>
        <w:numPr>
          <w:ilvl w:val="1"/>
          <w:numId w:val="1"/>
        </w:numPr>
        <w:spacing w:after="120"/>
      </w:pPr>
      <w:r w:rsidRPr="007D2B92">
        <w:t>A</w:t>
      </w:r>
      <w:r w:rsidR="00F0313D">
        <w:t>TAGI (Post-submission advice</w:t>
      </w:r>
      <w:r w:rsidRPr="007D2B92">
        <w:t>) advised that the additional studies provided in the submission did not use the same definition of vaccine response and noted the difference in GMT values across studies, further complicating any comparison across studies</w:t>
      </w:r>
      <w:r w:rsidR="004E2FE6" w:rsidRPr="007D2B92">
        <w:t>.</w:t>
      </w:r>
    </w:p>
    <w:p w:rsidR="004E2FE6" w:rsidRPr="007D2B92" w:rsidRDefault="004E2FE6" w:rsidP="004E2FE6">
      <w:pPr>
        <w:ind w:left="720"/>
        <w:jc w:val="center"/>
      </w:pPr>
    </w:p>
    <w:p w:rsidR="004E2FE6" w:rsidRPr="007D2B92" w:rsidRDefault="004E2FE6" w:rsidP="004E2FE6">
      <w:pPr>
        <w:ind w:left="720"/>
        <w:jc w:val="center"/>
        <w:sectPr w:rsidR="004E2FE6" w:rsidRPr="007D2B92" w:rsidSect="00E21358">
          <w:headerReference w:type="default" r:id="rId16"/>
          <w:pgSz w:w="11907" w:h="16840" w:code="9"/>
          <w:pgMar w:top="1440" w:right="1440" w:bottom="1440" w:left="1440" w:header="1440" w:footer="1440" w:gutter="0"/>
          <w:cols w:space="708"/>
          <w:docGrid w:linePitch="360"/>
        </w:sectPr>
      </w:pPr>
    </w:p>
    <w:p w:rsidR="00AF00DF" w:rsidRPr="007D2B92" w:rsidRDefault="00AF00DF" w:rsidP="00AF00DF">
      <w:pPr>
        <w:rPr>
          <w:rStyle w:val="CommentReference"/>
        </w:rPr>
      </w:pPr>
      <w:r w:rsidRPr="007D2B92">
        <w:rPr>
          <w:rStyle w:val="CommentReference"/>
        </w:rPr>
        <w:lastRenderedPageBreak/>
        <w:t xml:space="preserve">Table 5: </w:t>
      </w:r>
      <w:proofErr w:type="spellStart"/>
      <w:r w:rsidRPr="007D2B92">
        <w:rPr>
          <w:rStyle w:val="CommentReference"/>
        </w:rPr>
        <w:t>Seroresponse</w:t>
      </w:r>
      <w:proofErr w:type="spellEnd"/>
      <w:r w:rsidRPr="007D2B92">
        <w:rPr>
          <w:rStyle w:val="CommentReference"/>
        </w:rPr>
        <w:t xml:space="preserve"> at 1 month post-vaccination across the studies</w:t>
      </w:r>
    </w:p>
    <w:tbl>
      <w:tblPr>
        <w:tblStyle w:val="Submissionstandard"/>
        <w:tblW w:w="5000" w:type="pct"/>
        <w:tblCellMar>
          <w:left w:w="57" w:type="dxa"/>
          <w:right w:w="57" w:type="dxa"/>
        </w:tblCellMar>
        <w:tblLook w:val="04A0" w:firstRow="1" w:lastRow="0" w:firstColumn="1" w:lastColumn="0" w:noHBand="0" w:noVBand="1"/>
        <w:tblCaption w:val="Table 5: Seroresponse at 1 month post-vaccination across the studies"/>
      </w:tblPr>
      <w:tblGrid>
        <w:gridCol w:w="861"/>
        <w:gridCol w:w="2477"/>
        <w:gridCol w:w="1092"/>
        <w:gridCol w:w="1092"/>
        <w:gridCol w:w="1382"/>
        <w:gridCol w:w="1430"/>
        <w:gridCol w:w="1509"/>
        <w:gridCol w:w="1340"/>
        <w:gridCol w:w="1382"/>
        <w:gridCol w:w="1509"/>
      </w:tblGrid>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Serogroup</w:t>
            </w:r>
          </w:p>
        </w:tc>
        <w:tc>
          <w:tcPr>
            <w:tcW w:w="8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Ishola</w:t>
            </w:r>
            <w:proofErr w:type="spellEnd"/>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16-19 years (N=93)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 xml:space="preserve">vs </w:t>
            </w: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-TT (</w:t>
            </w:r>
            <w:proofErr w:type="spellStart"/>
            <w:r w:rsidRPr="007D2B92">
              <w:rPr>
                <w:rFonts w:ascii="Arial Narrow" w:hAnsi="Arial Narrow"/>
                <w:sz w:val="18"/>
                <w:szCs w:val="18"/>
                <w:lang w:val="en-AU"/>
              </w:rPr>
              <w:t>Nimenrix</w:t>
            </w:r>
            <w:proofErr w:type="spellEnd"/>
            <w:r w:rsidRPr="007D2B92">
              <w:rPr>
                <w:rFonts w:ascii="Arial Narrow" w:hAnsi="Arial Narrow"/>
                <w:sz w:val="18"/>
                <w:szCs w:val="18"/>
                <w:lang w:val="en-AU"/>
              </w:rPr>
              <w:t>)</w:t>
            </w:r>
          </w:p>
          <w:p w:rsidR="00AF00DF" w:rsidRPr="007D2B92" w:rsidRDefault="00AF00DF" w:rsidP="00E94413">
            <w:pPr>
              <w:pStyle w:val="TableCentre"/>
              <w:rPr>
                <w:rStyle w:val="CommentReference"/>
                <w:b/>
                <w:sz w:val="18"/>
                <w:szCs w:val="18"/>
                <w:lang w:val="en-AU"/>
              </w:rPr>
            </w:pPr>
            <w:r w:rsidRPr="007D2B92">
              <w:rPr>
                <w:rFonts w:ascii="Arial Narrow" w:hAnsi="Arial Narrow"/>
                <w:sz w:val="18"/>
                <w:szCs w:val="18"/>
                <w:lang w:val="en-AU"/>
              </w:rPr>
              <w:t>% (95% CI)</w:t>
            </w:r>
          </w:p>
        </w:tc>
        <w:tc>
          <w:tcPr>
            <w:tcW w:w="153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V59P13</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11-18 years, MITT population (N=2180)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 xml:space="preserve">vs </w:t>
            </w:r>
            <w:proofErr w:type="spellStart"/>
            <w:r w:rsidRPr="007D2B92">
              <w:rPr>
                <w:rStyle w:val="CommentReference"/>
                <w:b/>
                <w:sz w:val="18"/>
                <w:szCs w:val="18"/>
                <w:lang w:val="en-AU"/>
              </w:rPr>
              <w:t>MenACWY</w:t>
            </w:r>
            <w:proofErr w:type="spellEnd"/>
            <w:r w:rsidRPr="007D2B92">
              <w:rPr>
                <w:rStyle w:val="CommentReference"/>
                <w:b/>
                <w:sz w:val="18"/>
                <w:szCs w:val="18"/>
                <w:lang w:val="en-AU"/>
              </w:rPr>
              <w:noBreakHyphen/>
              <w:t>DT (</w:t>
            </w:r>
            <w:proofErr w:type="spellStart"/>
            <w:r w:rsidRPr="007D2B92">
              <w:rPr>
                <w:rStyle w:val="CommentReference"/>
                <w:b/>
                <w:sz w:val="18"/>
                <w:szCs w:val="18"/>
                <w:lang w:val="en-AU"/>
              </w:rPr>
              <w:t>Menactra</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w:t>
            </w:r>
          </w:p>
        </w:tc>
        <w:tc>
          <w:tcPr>
            <w:tcW w:w="15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V59_39d</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11-55 years, PP population, (N=450)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vs Placebo</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 (95% CI)</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3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8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491"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Baseline </w:t>
            </w: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&lt;1:4</w:t>
            </w:r>
          </w:p>
        </w:tc>
        <w:tc>
          <w:tcPr>
            <w:tcW w:w="508"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Baseline </w:t>
            </w: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1:4</w:t>
            </w:r>
          </w:p>
        </w:tc>
        <w:tc>
          <w:tcPr>
            <w:tcW w:w="536" w:type="pct"/>
            <w:vMerge w:val="restar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Overall </w:t>
            </w:r>
            <w:proofErr w:type="spellStart"/>
            <w:r w:rsidRPr="007D2B92">
              <w:rPr>
                <w:rFonts w:ascii="Arial Narrow" w:hAnsi="Arial Narrow"/>
                <w:sz w:val="18"/>
                <w:szCs w:val="18"/>
                <w:lang w:val="en-AU"/>
              </w:rPr>
              <w:t>seroresponse</w:t>
            </w:r>
            <w:proofErr w:type="spellEnd"/>
          </w:p>
        </w:tc>
        <w:tc>
          <w:tcPr>
            <w:tcW w:w="47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Baseline </w:t>
            </w: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&lt;1:4</w:t>
            </w:r>
          </w:p>
        </w:tc>
        <w:tc>
          <w:tcPr>
            <w:tcW w:w="491"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Baseline </w:t>
            </w: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1:4</w:t>
            </w:r>
          </w:p>
        </w:tc>
        <w:tc>
          <w:tcPr>
            <w:tcW w:w="536" w:type="pct"/>
            <w:vMerge w:val="restar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 xml:space="preserve">Overall </w:t>
            </w:r>
            <w:proofErr w:type="spellStart"/>
            <w:r w:rsidRPr="007D2B92">
              <w:rPr>
                <w:rFonts w:ascii="Arial Narrow" w:hAnsi="Arial Narrow"/>
                <w:sz w:val="18"/>
                <w:szCs w:val="18"/>
                <w:lang w:val="en-AU"/>
              </w:rPr>
              <w:t>seroresponse</w:t>
            </w:r>
            <w:proofErr w:type="spellEnd"/>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3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8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SBA</w:t>
            </w:r>
            <w:r w:rsidRPr="007D2B92">
              <w:rPr>
                <w:rFonts w:ascii="Arial Narrow" w:hAnsi="Arial Narrow"/>
                <w:sz w:val="18"/>
                <w:szCs w:val="18"/>
                <w:vertAlign w:val="superscript"/>
                <w:lang w:val="en-AU"/>
              </w:rPr>
              <w:t>a</w:t>
            </w:r>
            <w:r w:rsidRPr="007D2B92">
              <w:rPr>
                <w:rFonts w:ascii="Arial Narrow" w:hAnsi="Arial Narrow"/>
                <w:sz w:val="18"/>
                <w:szCs w:val="18"/>
                <w:lang w:val="en-AU"/>
              </w:rPr>
              <w:t>≥1:8</w:t>
            </w:r>
          </w:p>
        </w:tc>
        <w:tc>
          <w:tcPr>
            <w:tcW w:w="388" w:type="pct"/>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%≥4-fold</w:t>
            </w:r>
          </w:p>
        </w:tc>
        <w:tc>
          <w:tcPr>
            <w:tcW w:w="491"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508"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536" w:type="pct"/>
            <w:vMerge/>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76"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491"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
        </w:tc>
        <w:tc>
          <w:tcPr>
            <w:tcW w:w="536" w:type="pct"/>
            <w:vMerge/>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p>
        </w:tc>
      </w:tr>
      <w:tr w:rsidR="00AF00DF" w:rsidRPr="007D2B92" w:rsidTr="00E94413">
        <w:tc>
          <w:tcPr>
            <w:tcW w:w="30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w:t>
            </w:r>
            <w:proofErr w:type="spellEnd"/>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91% (79-98)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789/1054</w:t>
            </w:r>
          </w:p>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75%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22/37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59%</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811/1091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187/246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76% (70-81)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37/49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76% (61-87)</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224/295</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76% (71-81)</w:t>
            </w:r>
          </w:p>
        </w:tc>
      </w:tr>
      <w:tr w:rsidR="00AF00DF" w:rsidRPr="007D2B92" w:rsidTr="00E94413">
        <w:tc>
          <w:tcPr>
            <w:tcW w:w="306"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91% (79-98)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232/351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67%</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240/363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2/120</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2% (0-6)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0/32</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0% (0-11)</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2//152</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 xml:space="preserve">1% </w:t>
            </w:r>
            <w:r w:rsidRPr="007D2B92">
              <w:rPr>
                <w:rFonts w:ascii="Arial Narrow" w:eastAsiaTheme="minorEastAsia" w:hAnsi="Arial Narrow" w:cs="Times New Roman"/>
                <w:sz w:val="18"/>
                <w:szCs w:val="18"/>
                <w:lang w:val="en-AU"/>
              </w:rPr>
              <w:t>(0-5)</w:t>
            </w:r>
          </w:p>
        </w:tc>
      </w:tr>
      <w:tr w:rsidR="00AF00DF" w:rsidRPr="007D2B92" w:rsidTr="00E94413">
        <w:trPr>
          <w:trHeight w:val="50"/>
        </w:trPr>
        <w:tc>
          <w:tcPr>
            <w:tcW w:w="306"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88"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 (3-14)</w:t>
            </w:r>
          </w:p>
        </w:tc>
        <w:tc>
          <w:tcPr>
            <w:tcW w:w="50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noBreakHyphen/>
              <w:t>7% (</w:t>
            </w:r>
            <w:r w:rsidRPr="007D2B92">
              <w:rPr>
                <w:rFonts w:ascii="Arial Narrow" w:hAnsi="Arial Narrow"/>
                <w:sz w:val="18"/>
                <w:szCs w:val="18"/>
                <w:lang w:val="en-AU"/>
              </w:rPr>
              <w:noBreakHyphen/>
              <w:t>34</w:t>
            </w:r>
            <w:r w:rsidRPr="007D2B92">
              <w:rPr>
                <w:rFonts w:ascii="Arial Narrow" w:hAnsi="Arial Narrow"/>
                <w:sz w:val="18"/>
                <w:szCs w:val="18"/>
                <w:lang w:val="en-AU"/>
              </w:rPr>
              <w:noBreakHyphen/>
              <w:t>25)</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 (3-14)</w:t>
            </w:r>
          </w:p>
        </w:tc>
        <w:tc>
          <w:tcPr>
            <w:tcW w:w="47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rPr>
          <w:trHeight w:val="371"/>
        </w:trPr>
        <w:tc>
          <w:tcPr>
            <w:tcW w:w="30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b/>
                <w:sz w:val="18"/>
                <w:szCs w:val="18"/>
                <w:lang w:val="en-AU"/>
              </w:rPr>
            </w:pPr>
            <w:proofErr w:type="spellStart"/>
            <w:r w:rsidRPr="007D2B92">
              <w:rPr>
                <w:rFonts w:ascii="Arial Narrow" w:hAnsi="Arial Narrow"/>
                <w:sz w:val="18"/>
                <w:szCs w:val="18"/>
                <w:lang w:val="en-AU"/>
              </w:rPr>
              <w:t>MenC</w:t>
            </w:r>
            <w:proofErr w:type="spellEnd"/>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100% (92</w:t>
            </w:r>
            <w:r w:rsidRPr="007D2B92">
              <w:rPr>
                <w:rFonts w:ascii="Arial Narrow" w:hAnsi="Arial Narrow"/>
                <w:sz w:val="18"/>
                <w:szCs w:val="18"/>
                <w:lang w:val="en-AU"/>
              </w:rPr>
              <w:noBreakHyphen/>
              <w:t>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100% (92</w:t>
            </w:r>
            <w:r w:rsidRPr="007D2B92">
              <w:rPr>
                <w:rFonts w:ascii="Arial Narrow" w:hAnsi="Arial Narrow"/>
                <w:sz w:val="18"/>
                <w:szCs w:val="18"/>
                <w:lang w:val="en-AU"/>
              </w:rPr>
              <w:noBreakHyphen/>
              <w:t>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746/936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323/476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68%</w:t>
            </w: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1069/1412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107/111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96% (91-99)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146/182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80% (74-86)</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253/293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86% (82-90)</w:t>
            </w:r>
          </w:p>
        </w:tc>
      </w:tr>
      <w:tr w:rsidR="00AF00DF" w:rsidRPr="007D2B92" w:rsidTr="00E94413">
        <w:tc>
          <w:tcPr>
            <w:tcW w:w="306"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 (88-100)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238/301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79%</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102/162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63%</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340/463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2/67</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3% (0-10)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0/83</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0% (0-4)</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2/150</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 xml:space="preserve">1% </w:t>
            </w:r>
            <w:r w:rsidRPr="007D2B92">
              <w:rPr>
                <w:rFonts w:ascii="Arial Narrow" w:eastAsiaTheme="minorEastAsia" w:hAnsi="Arial Narrow" w:cs="Times New Roman"/>
                <w:sz w:val="18"/>
                <w:szCs w:val="18"/>
                <w:lang w:val="en-AU"/>
              </w:rPr>
              <w:t>(0-5)</w:t>
            </w:r>
          </w:p>
        </w:tc>
      </w:tr>
      <w:tr w:rsidR="00AF00DF" w:rsidRPr="007D2B92" w:rsidTr="00E94413">
        <w:trPr>
          <w:trHeight w:val="50"/>
        </w:trPr>
        <w:tc>
          <w:tcPr>
            <w:tcW w:w="306"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88"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 (-4-6)</w:t>
            </w:r>
          </w:p>
        </w:tc>
        <w:tc>
          <w:tcPr>
            <w:tcW w:w="50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 (-3-14)</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 (-2-7)</w:t>
            </w:r>
          </w:p>
        </w:tc>
        <w:tc>
          <w:tcPr>
            <w:tcW w:w="47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30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MenW</w:t>
            </w:r>
            <w:proofErr w:type="spellEnd"/>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 (88-100)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578/617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196/422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46%</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774/1039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27/32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84% (67-95)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54/261</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21% (16-26)</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81/293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28% (23-33)</w:t>
            </w:r>
          </w:p>
        </w:tc>
      </w:tr>
      <w:tr w:rsidR="00AF00DF" w:rsidRPr="007D2B92" w:rsidTr="00E94413">
        <w:tc>
          <w:tcPr>
            <w:tcW w:w="306"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153/183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31/109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28%</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184/292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6/20</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30% (12-54)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0/131</w:t>
            </w:r>
          </w:p>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 (0-3)</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6/151</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 xml:space="preserve">4% </w:t>
            </w:r>
            <w:r w:rsidRPr="007D2B92">
              <w:rPr>
                <w:rFonts w:ascii="Arial Narrow" w:eastAsiaTheme="minorEastAsia" w:hAnsi="Arial Narrow" w:cs="Times New Roman"/>
                <w:sz w:val="18"/>
                <w:szCs w:val="18"/>
                <w:lang w:val="en-AU"/>
              </w:rPr>
              <w:t>(1-8)</w:t>
            </w:r>
          </w:p>
        </w:tc>
      </w:tr>
      <w:tr w:rsidR="00AF00DF" w:rsidRPr="007D2B92" w:rsidTr="00E94413">
        <w:trPr>
          <w:trHeight w:val="459"/>
        </w:trPr>
        <w:tc>
          <w:tcPr>
            <w:tcW w:w="306"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88"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 (5-16)</w:t>
            </w:r>
          </w:p>
        </w:tc>
        <w:tc>
          <w:tcPr>
            <w:tcW w:w="50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18% (8-27)</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 (6-18)</w:t>
            </w:r>
          </w:p>
        </w:tc>
        <w:tc>
          <w:tcPr>
            <w:tcW w:w="47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306"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MenY</w:t>
            </w:r>
            <w:proofErr w:type="spellEnd"/>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 (88-100)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91% (79-98)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518/640</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195/412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47%</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713/1052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106/119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89% (82-94)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96/175</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55% (47-62)</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202/294</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69% (63-74)</w:t>
            </w:r>
          </w:p>
        </w:tc>
      </w:tr>
      <w:tr w:rsidR="00AF00DF" w:rsidRPr="007D2B92" w:rsidTr="00E94413">
        <w:tc>
          <w:tcPr>
            <w:tcW w:w="306"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388"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95/176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28/122</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123/298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3/62</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5% (1-13)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0/90</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0% (0-4)</w:t>
            </w:r>
          </w:p>
        </w:tc>
        <w:tc>
          <w:tcPr>
            <w:tcW w:w="536"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autoSpaceDE w:val="0"/>
              <w:autoSpaceDN w:val="0"/>
              <w:adjustRightInd w:val="0"/>
              <w:jc w:val="center"/>
              <w:rPr>
                <w:rFonts w:ascii="Arial Narrow" w:hAnsi="Arial Narrow" w:cs="Times New Roman"/>
                <w:sz w:val="18"/>
                <w:szCs w:val="18"/>
                <w:lang w:val="en-AU"/>
              </w:rPr>
            </w:pPr>
            <w:r w:rsidRPr="007D2B92">
              <w:rPr>
                <w:rFonts w:ascii="Arial Narrow" w:hAnsi="Arial Narrow" w:cs="Times New Roman"/>
                <w:sz w:val="18"/>
                <w:szCs w:val="18"/>
                <w:lang w:val="en-AU"/>
              </w:rPr>
              <w:t>3/152</w:t>
            </w:r>
          </w:p>
          <w:p w:rsidR="00AF00DF" w:rsidRPr="007D2B92" w:rsidRDefault="00AF00DF" w:rsidP="00E94413">
            <w:pPr>
              <w:autoSpaceDE w:val="0"/>
              <w:autoSpaceDN w:val="0"/>
              <w:adjustRightInd w:val="0"/>
              <w:jc w:val="center"/>
              <w:rPr>
                <w:rFonts w:ascii="Arial Narrow" w:hAnsi="Arial Narrow"/>
                <w:sz w:val="18"/>
                <w:szCs w:val="18"/>
                <w:lang w:val="en-AU"/>
              </w:rPr>
            </w:pPr>
            <w:r w:rsidRPr="007D2B92">
              <w:rPr>
                <w:rFonts w:ascii="Arial Narrow" w:hAnsi="Arial Narrow" w:cs="Times New Roman"/>
                <w:sz w:val="18"/>
                <w:szCs w:val="18"/>
                <w:lang w:val="en-AU"/>
              </w:rPr>
              <w:t xml:space="preserve">2% </w:t>
            </w:r>
            <w:r w:rsidRPr="007D2B92">
              <w:rPr>
                <w:rFonts w:ascii="Arial Narrow" w:eastAsiaTheme="minorEastAsia" w:hAnsi="Arial Narrow" w:cs="Times New Roman"/>
                <w:sz w:val="18"/>
                <w:szCs w:val="18"/>
                <w:lang w:val="en-AU"/>
              </w:rPr>
              <w:t>(0-6)</w:t>
            </w:r>
          </w:p>
        </w:tc>
      </w:tr>
      <w:tr w:rsidR="00AF00DF" w:rsidRPr="007D2B92" w:rsidTr="00E94413">
        <w:trPr>
          <w:trHeight w:val="50"/>
        </w:trPr>
        <w:tc>
          <w:tcPr>
            <w:tcW w:w="306"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80"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88"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 (19</w:t>
            </w:r>
            <w:r w:rsidRPr="007D2B92">
              <w:rPr>
                <w:rFonts w:ascii="Arial Narrow" w:hAnsi="Arial Narrow"/>
                <w:sz w:val="18"/>
                <w:szCs w:val="18"/>
                <w:lang w:val="en-AU"/>
              </w:rPr>
              <w:noBreakHyphen/>
              <w:t>35)</w:t>
            </w:r>
          </w:p>
        </w:tc>
        <w:tc>
          <w:tcPr>
            <w:tcW w:w="508"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24% (15-33)</w:t>
            </w:r>
          </w:p>
        </w:tc>
        <w:tc>
          <w:tcPr>
            <w:tcW w:w="536" w:type="pct"/>
            <w:tcBorders>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 (20</w:t>
            </w:r>
            <w:r w:rsidRPr="007D2B92">
              <w:rPr>
                <w:rFonts w:ascii="Arial Narrow" w:hAnsi="Arial Narrow"/>
                <w:sz w:val="18"/>
                <w:szCs w:val="18"/>
                <w:lang w:val="en-AU"/>
              </w:rPr>
              <w:noBreakHyphen/>
              <w:t>33)</w:t>
            </w:r>
          </w:p>
        </w:tc>
        <w:tc>
          <w:tcPr>
            <w:tcW w:w="47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9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36" w:type="pct"/>
            <w:tcBorders>
              <w:top w:val="single" w:sz="4" w:space="0" w:color="auto"/>
              <w:left w:val="single" w:sz="4" w:space="0" w:color="auto"/>
              <w:right w:val="single" w:sz="4" w:space="0" w:color="auto"/>
            </w:tcBorders>
            <w:vAlign w:val="center"/>
          </w:tcPr>
          <w:p w:rsidR="00AF00DF" w:rsidRPr="007D2B92" w:rsidRDefault="00AF00DF" w:rsidP="00E94413">
            <w:pPr>
              <w:pStyle w:val="TableCentre"/>
              <w:rPr>
                <w:rFonts w:ascii="Arial Narrow" w:hAnsi="Arial Narrow"/>
                <w:sz w:val="18"/>
                <w:szCs w:val="18"/>
                <w:lang w:val="en-AU"/>
              </w:rPr>
            </w:pPr>
          </w:p>
        </w:tc>
      </w:tr>
    </w:tbl>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 xml:space="preserve">CI: confidence interval; </w:t>
      </w:r>
      <w:proofErr w:type="spellStart"/>
      <w:r w:rsidRPr="007D2B92">
        <w:rPr>
          <w:rFonts w:ascii="Arial Narrow" w:hAnsi="Arial Narrow"/>
          <w:sz w:val="18"/>
          <w:szCs w:val="18"/>
        </w:rPr>
        <w:t>hSBA</w:t>
      </w:r>
      <w:proofErr w:type="spellEnd"/>
      <w:r w:rsidRPr="007D2B92">
        <w:rPr>
          <w:rFonts w:ascii="Arial Narrow" w:hAnsi="Arial Narrow"/>
          <w:sz w:val="18"/>
          <w:szCs w:val="18"/>
        </w:rPr>
        <w:t xml:space="preserve">: human serum </w:t>
      </w:r>
      <w:r w:rsidR="00AB0CBE" w:rsidRPr="007D2B92">
        <w:rPr>
          <w:rFonts w:ascii="Arial Narrow" w:hAnsi="Arial Narrow"/>
          <w:sz w:val="18"/>
          <w:szCs w:val="18"/>
        </w:rPr>
        <w:t>bactericidal</w:t>
      </w:r>
      <w:r w:rsidRPr="007D2B92">
        <w:rPr>
          <w:rFonts w:ascii="Arial Narrow" w:hAnsi="Arial Narrow"/>
          <w:sz w:val="18"/>
          <w:szCs w:val="18"/>
        </w:rPr>
        <w:t xml:space="preserve"> assay; </w:t>
      </w:r>
      <w:proofErr w:type="spellStart"/>
      <w:r w:rsidRPr="007D2B92">
        <w:rPr>
          <w:rFonts w:ascii="Arial Narrow" w:hAnsi="Arial Narrow"/>
          <w:sz w:val="18"/>
          <w:szCs w:val="18"/>
        </w:rPr>
        <w:t>MenACWY</w:t>
      </w:r>
      <w:proofErr w:type="spellEnd"/>
      <w:r w:rsidRPr="007D2B92">
        <w:rPr>
          <w:rFonts w:ascii="Arial Narrow" w:hAnsi="Arial Narrow"/>
          <w:sz w:val="18"/>
          <w:szCs w:val="18"/>
        </w:rPr>
        <w:t>-CRM: Meningococcal Oligosaccharide CRM197 Conjugate Vaccine; N = number of subjects; PP: per protocol.</w:t>
      </w:r>
    </w:p>
    <w:p w:rsidR="00AF00DF" w:rsidRPr="007D2B92" w:rsidRDefault="00AF00DF" w:rsidP="00AF00DF">
      <w:pPr>
        <w:pStyle w:val="CaptionFootnote"/>
        <w:rPr>
          <w:rFonts w:ascii="Arial Narrow" w:hAnsi="Arial Narrow"/>
          <w:sz w:val="18"/>
          <w:szCs w:val="18"/>
        </w:rPr>
      </w:pPr>
      <w:proofErr w:type="spellStart"/>
      <w:proofErr w:type="gramStart"/>
      <w:r w:rsidRPr="007D2B92">
        <w:rPr>
          <w:rFonts w:ascii="Arial Narrow" w:hAnsi="Arial Narrow"/>
          <w:sz w:val="18"/>
          <w:szCs w:val="18"/>
        </w:rPr>
        <w:t>a</w:t>
      </w:r>
      <w:proofErr w:type="spellEnd"/>
      <w:proofErr w:type="gramEnd"/>
      <w:r w:rsidRPr="007D2B92">
        <w:rPr>
          <w:rFonts w:ascii="Arial Narrow" w:hAnsi="Arial Narrow"/>
          <w:sz w:val="18"/>
          <w:szCs w:val="18"/>
        </w:rPr>
        <w:t xml:space="preserve"> The SBA assay type is unknown. The submission claimed that it is likely to be </w:t>
      </w:r>
      <w:proofErr w:type="spellStart"/>
      <w:r w:rsidRPr="007D2B92">
        <w:rPr>
          <w:rFonts w:ascii="Arial Narrow" w:hAnsi="Arial Narrow"/>
          <w:sz w:val="18"/>
          <w:szCs w:val="18"/>
        </w:rPr>
        <w:t>rSBA</w:t>
      </w:r>
      <w:proofErr w:type="spellEnd"/>
      <w:r w:rsidRPr="007D2B92">
        <w:rPr>
          <w:rFonts w:ascii="Arial Narrow" w:hAnsi="Arial Narrow"/>
          <w:sz w:val="18"/>
          <w:szCs w:val="18"/>
        </w:rPr>
        <w:t>, based on original study of Men C vaccine responses (p83 of the submission).</w:t>
      </w:r>
    </w:p>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 xml:space="preserve">Source: Table 2.20 p73, Table 2.26 p81 and Table 2.28 p84 of the submission. </w:t>
      </w:r>
    </w:p>
    <w:p w:rsidR="00AF00DF" w:rsidRPr="007D2B92" w:rsidRDefault="00AF00DF" w:rsidP="00AF00DF">
      <w:pPr>
        <w:pStyle w:val="CaptionFootnote"/>
        <w:rPr>
          <w:b/>
          <w:sz w:val="18"/>
          <w:szCs w:val="18"/>
        </w:rPr>
      </w:pPr>
    </w:p>
    <w:p w:rsidR="00AF00DF" w:rsidRPr="007D2B92" w:rsidRDefault="00AF00DF" w:rsidP="00AF00DF">
      <w:pPr>
        <w:pStyle w:val="CaptionFootnote"/>
        <w:rPr>
          <w:b/>
          <w:sz w:val="18"/>
          <w:szCs w:val="18"/>
        </w:rPr>
      </w:pPr>
      <w:r w:rsidRPr="007D2B92">
        <w:rPr>
          <w:b/>
          <w:sz w:val="18"/>
          <w:szCs w:val="18"/>
        </w:rPr>
        <w:br w:type="page"/>
      </w:r>
    </w:p>
    <w:p w:rsidR="00AF00DF" w:rsidRPr="007D2B92" w:rsidRDefault="00AF00DF" w:rsidP="00AF00DF">
      <w:pPr>
        <w:rPr>
          <w:rStyle w:val="CommentReference"/>
        </w:rPr>
      </w:pPr>
      <w:r w:rsidRPr="007D2B92">
        <w:rPr>
          <w:rStyle w:val="CommentReference"/>
        </w:rPr>
        <w:lastRenderedPageBreak/>
        <w:t xml:space="preserve">Table 6: Serogroup-Specific Serum Bactericidal Antibody (SBA) </w:t>
      </w:r>
      <w:proofErr w:type="spellStart"/>
      <w:r w:rsidRPr="007D2B92">
        <w:rPr>
          <w:rStyle w:val="CommentReference"/>
        </w:rPr>
        <w:t>titers</w:t>
      </w:r>
      <w:proofErr w:type="spellEnd"/>
      <w:r w:rsidRPr="007D2B92">
        <w:rPr>
          <w:rStyle w:val="CommentReference"/>
        </w:rPr>
        <w:t xml:space="preserve"> at 1 month across the studies</w:t>
      </w:r>
    </w:p>
    <w:tbl>
      <w:tblPr>
        <w:tblStyle w:val="Submissionstandard"/>
        <w:tblW w:w="5000" w:type="pct"/>
        <w:tblCellMar>
          <w:left w:w="28" w:type="dxa"/>
          <w:right w:w="28" w:type="dxa"/>
        </w:tblCellMar>
        <w:tblLook w:val="04A0" w:firstRow="1" w:lastRow="0" w:firstColumn="1" w:lastColumn="0" w:noHBand="0" w:noVBand="1"/>
        <w:tblCaption w:val="Table 6: Serogroup-Specific Serum Bactericidal Antibody (SBA) titers at 1 month across the studies"/>
      </w:tblPr>
      <w:tblGrid>
        <w:gridCol w:w="527"/>
        <w:gridCol w:w="2436"/>
        <w:gridCol w:w="1087"/>
        <w:gridCol w:w="1034"/>
        <w:gridCol w:w="1410"/>
        <w:gridCol w:w="1272"/>
        <w:gridCol w:w="900"/>
        <w:gridCol w:w="989"/>
        <w:gridCol w:w="870"/>
        <w:gridCol w:w="869"/>
        <w:gridCol w:w="1430"/>
        <w:gridCol w:w="1192"/>
      </w:tblGrid>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Sero-group</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w:t>
            </w:r>
          </w:p>
        </w:tc>
        <w:tc>
          <w:tcPr>
            <w:tcW w:w="75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Ishola</w:t>
            </w:r>
            <w:proofErr w:type="spellEnd"/>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16-19 years (N=93)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 xml:space="preserve">vs </w:t>
            </w: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-TT (</w:t>
            </w:r>
            <w:proofErr w:type="spellStart"/>
            <w:r w:rsidRPr="007D2B92">
              <w:rPr>
                <w:rFonts w:ascii="Arial Narrow" w:hAnsi="Arial Narrow"/>
                <w:sz w:val="18"/>
                <w:szCs w:val="18"/>
                <w:lang w:val="en-AU"/>
              </w:rPr>
              <w:t>Nimenrix</w:t>
            </w:r>
            <w:proofErr w:type="spellEnd"/>
            <w:r w:rsidRPr="007D2B92">
              <w:rPr>
                <w:rFonts w:ascii="Arial Narrow" w:hAnsi="Arial Narrow"/>
                <w:sz w:val="18"/>
                <w:szCs w:val="18"/>
                <w:lang w:val="en-AU"/>
              </w:rPr>
              <w:t>)</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 (95% CI)</w:t>
            </w:r>
          </w:p>
        </w:tc>
        <w:tc>
          <w:tcPr>
            <w:tcW w:w="95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V59P13</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w:t>
            </w:r>
            <w:r w:rsidRPr="007D2B92">
              <w:rPr>
                <w:rStyle w:val="CommentReference"/>
                <w:b/>
                <w:sz w:val="18"/>
                <w:szCs w:val="18"/>
                <w:lang w:val="en-AU"/>
              </w:rPr>
              <w:noBreakHyphen/>
              <w:t>18 years, PP population (N=2180)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 xml:space="preserve">vs </w:t>
            </w:r>
            <w:proofErr w:type="spellStart"/>
            <w:r w:rsidRPr="007D2B92">
              <w:rPr>
                <w:rStyle w:val="CommentReference"/>
                <w:b/>
                <w:sz w:val="18"/>
                <w:szCs w:val="18"/>
                <w:lang w:val="en-AU"/>
              </w:rPr>
              <w:t>MenACWY</w:t>
            </w:r>
            <w:proofErr w:type="spellEnd"/>
            <w:r w:rsidRPr="007D2B92">
              <w:rPr>
                <w:rStyle w:val="CommentReference"/>
                <w:b/>
                <w:sz w:val="18"/>
                <w:szCs w:val="18"/>
                <w:lang w:val="en-AU"/>
              </w:rPr>
              <w:noBreakHyphen/>
              <w:t>DT (</w:t>
            </w:r>
            <w:proofErr w:type="spellStart"/>
            <w:r w:rsidRPr="007D2B92">
              <w:rPr>
                <w:rStyle w:val="CommentReference"/>
                <w:b/>
                <w:sz w:val="18"/>
                <w:szCs w:val="18"/>
                <w:lang w:val="en-AU"/>
              </w:rPr>
              <w:t>Menactra</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 (95% CI)</w:t>
            </w:r>
          </w:p>
        </w:tc>
        <w:tc>
          <w:tcPr>
            <w:tcW w:w="12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V59P6</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11-17 years, MITT population (N=524)</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 xml:space="preserve">vs </w:t>
            </w:r>
            <w:proofErr w:type="spellStart"/>
            <w:r w:rsidRPr="007D2B92">
              <w:rPr>
                <w:rStyle w:val="CommentReference"/>
                <w:b/>
                <w:sz w:val="18"/>
                <w:szCs w:val="18"/>
                <w:lang w:val="en-AU"/>
              </w:rPr>
              <w:t>MenACWY</w:t>
            </w:r>
            <w:proofErr w:type="spellEnd"/>
            <w:r w:rsidRPr="007D2B92">
              <w:rPr>
                <w:rStyle w:val="CommentReference"/>
                <w:b/>
                <w:sz w:val="18"/>
                <w:szCs w:val="18"/>
                <w:lang w:val="en-AU"/>
              </w:rPr>
              <w:t xml:space="preserve"> (</w:t>
            </w:r>
            <w:proofErr w:type="spellStart"/>
            <w:r w:rsidRPr="007D2B92">
              <w:rPr>
                <w:rStyle w:val="CommentReference"/>
                <w:b/>
                <w:sz w:val="18"/>
                <w:szCs w:val="18"/>
                <w:lang w:val="en-AU"/>
              </w:rPr>
              <w:t>Menomune</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 (95% CI)</w:t>
            </w:r>
          </w:p>
        </w:tc>
        <w:tc>
          <w:tcPr>
            <w:tcW w:w="9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V59_39</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w:t>
            </w:r>
            <w:r w:rsidRPr="007D2B92">
              <w:rPr>
                <w:rStyle w:val="CommentReference"/>
                <w:b/>
                <w:sz w:val="18"/>
                <w:szCs w:val="18"/>
                <w:lang w:val="en-AU"/>
              </w:rPr>
              <w:noBreakHyphen/>
              <w:t>55 years, PP population (N=450)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vs Placebo</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n/N % (95% CI)</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1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8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Preboost</w:t>
            </w:r>
            <w:proofErr w:type="spellEnd"/>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1 Mo</w:t>
            </w:r>
          </w:p>
        </w:tc>
        <w:tc>
          <w:tcPr>
            <w:tcW w:w="504"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1</w:t>
            </w:r>
          </w:p>
        </w:tc>
        <w:tc>
          <w:tcPr>
            <w:tcW w:w="455"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29</w:t>
            </w:r>
          </w:p>
        </w:tc>
        <w:tc>
          <w:tcPr>
            <w:tcW w:w="676" w:type="pct"/>
            <w:gridSpan w:val="2"/>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Pre-vaccination</w:t>
            </w:r>
          </w:p>
        </w:tc>
        <w:tc>
          <w:tcPr>
            <w:tcW w:w="610" w:type="pct"/>
            <w:gridSpan w:val="2"/>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1 Mo</w:t>
            </w:r>
          </w:p>
        </w:tc>
        <w:tc>
          <w:tcPr>
            <w:tcW w:w="511"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1</w:t>
            </w:r>
          </w:p>
        </w:tc>
        <w:tc>
          <w:tcPr>
            <w:tcW w:w="426"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29</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1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8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SBA</w:t>
            </w:r>
            <w:r w:rsidRPr="007D2B92">
              <w:rPr>
                <w:rFonts w:ascii="Arial Narrow" w:hAnsi="Arial Narrow"/>
                <w:sz w:val="18"/>
                <w:szCs w:val="18"/>
                <w:vertAlign w:val="superscript"/>
                <w:lang w:val="en-AU"/>
              </w:rPr>
              <w:t>a</w:t>
            </w:r>
            <w:r w:rsidRPr="007D2B92">
              <w:rPr>
                <w:rFonts w:ascii="Arial Narrow" w:hAnsi="Arial Narrow"/>
                <w:sz w:val="18"/>
                <w:szCs w:val="18"/>
                <w:lang w:val="en-AU"/>
              </w:rPr>
              <w:t>≥1:8</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SBA</w:t>
            </w:r>
            <w:r w:rsidRPr="007D2B92">
              <w:rPr>
                <w:rFonts w:ascii="Arial Narrow" w:hAnsi="Arial Narrow"/>
                <w:sz w:val="18"/>
                <w:szCs w:val="18"/>
                <w:vertAlign w:val="superscript"/>
                <w:lang w:val="en-AU"/>
              </w:rPr>
              <w:t>a</w:t>
            </w:r>
            <w:r w:rsidRPr="007D2B92">
              <w:rPr>
                <w:rFonts w:ascii="Arial Narrow" w:hAnsi="Arial Narrow"/>
                <w:sz w:val="18"/>
                <w:szCs w:val="18"/>
                <w:lang w:val="en-AU"/>
              </w:rPr>
              <w:t>≥1:8</w:t>
            </w:r>
          </w:p>
        </w:tc>
        <w:tc>
          <w:tcPr>
            <w:tcW w:w="50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hSBA≥1:8</w:t>
            </w:r>
          </w:p>
        </w:tc>
        <w:tc>
          <w:tcPr>
            <w:tcW w:w="455"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hSBA</w:t>
            </w:r>
            <w:proofErr w:type="spellEnd"/>
            <w:r w:rsidRPr="007D2B92">
              <w:rPr>
                <w:rFonts w:ascii="Arial Narrow" w:hAnsi="Arial Narrow"/>
                <w:sz w:val="18"/>
                <w:szCs w:val="18"/>
                <w:lang w:val="en-AU"/>
              </w:rPr>
              <w:t xml:space="preserve"> ≥1:8</w:t>
            </w:r>
          </w:p>
        </w:tc>
        <w:tc>
          <w:tcPr>
            <w:tcW w:w="322"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1:4</w:t>
            </w:r>
          </w:p>
        </w:tc>
        <w:tc>
          <w:tcPr>
            <w:tcW w:w="35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1:8</w:t>
            </w:r>
          </w:p>
        </w:tc>
        <w:tc>
          <w:tcPr>
            <w:tcW w:w="311"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1:4</w:t>
            </w:r>
          </w:p>
        </w:tc>
        <w:tc>
          <w:tcPr>
            <w:tcW w:w="299"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1:8</w:t>
            </w:r>
          </w:p>
        </w:tc>
        <w:tc>
          <w:tcPr>
            <w:tcW w:w="511"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1:8</w:t>
            </w:r>
          </w:p>
        </w:tc>
        <w:tc>
          <w:tcPr>
            <w:tcW w:w="426"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hSBA</w:t>
            </w:r>
            <w:proofErr w:type="spellEnd"/>
            <w:r w:rsidRPr="007D2B92">
              <w:rPr>
                <w:rStyle w:val="CommentReference"/>
                <w:sz w:val="18"/>
                <w:szCs w:val="18"/>
                <w:lang w:val="en-AU"/>
              </w:rPr>
              <w:t xml:space="preserve"> ≥ 1:8</w:t>
            </w:r>
          </w:p>
        </w:tc>
      </w:tr>
      <w:tr w:rsidR="00AF00DF" w:rsidRPr="007D2B92" w:rsidTr="00E94413">
        <w:tc>
          <w:tcPr>
            <w:tcW w:w="189"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w:t>
            </w:r>
            <w:proofErr w:type="spellEnd"/>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36% (23-51)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810/1075</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75% (73-78)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 (0-5)</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 (0-4)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124/148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84% (77-89)</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120/148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 (74-87)</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30% (18-46)</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240/359</w:t>
            </w:r>
          </w:p>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67% (62-72)</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5/179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 (1-6)</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1/179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 (0.014-3)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82/179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46% (38-53)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74/179</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41% (34-49)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 (-</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b/>
                <w:sz w:val="18"/>
                <w:szCs w:val="18"/>
                <w:lang w:val="en-AU"/>
              </w:rPr>
              <w:t>8% (3-14%)</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rPr>
          <w:trHeight w:val="371"/>
        </w:trPr>
        <w:tc>
          <w:tcPr>
            <w:tcW w:w="189"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b/>
                <w:sz w:val="18"/>
                <w:szCs w:val="18"/>
                <w:lang w:val="en-AU"/>
              </w:rPr>
            </w:pPr>
            <w:proofErr w:type="spellStart"/>
            <w:r w:rsidRPr="007D2B92">
              <w:rPr>
                <w:rFonts w:ascii="Arial Narrow" w:hAnsi="Arial Narrow"/>
                <w:sz w:val="18"/>
                <w:szCs w:val="18"/>
                <w:lang w:val="en-AU"/>
              </w:rPr>
              <w:t>MenC</w:t>
            </w:r>
            <w:r w:rsidRPr="007D2B92">
              <w:rPr>
                <w:rFonts w:ascii="Arial Narrow" w:hAnsi="Arial Narrow"/>
                <w:sz w:val="18"/>
                <w:szCs w:val="18"/>
                <w:vertAlign w:val="superscript"/>
                <w:lang w:val="en-AU"/>
              </w:rPr>
              <w:t>e</w:t>
            </w:r>
            <w:proofErr w:type="spellEnd"/>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49% (34</w:t>
            </w:r>
            <w:r w:rsidRPr="007D2B92">
              <w:rPr>
                <w:rFonts w:ascii="Arial Narrow" w:hAnsi="Arial Narrow"/>
                <w:sz w:val="18"/>
                <w:szCs w:val="18"/>
                <w:lang w:val="en-AU"/>
              </w:rPr>
              <w:noBreakHyphen/>
              <w:t>64)</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100% (92</w:t>
            </w:r>
            <w:r w:rsidRPr="007D2B92">
              <w:rPr>
                <w:rFonts w:ascii="Arial Narrow" w:hAnsi="Arial Narrow"/>
                <w:sz w:val="18"/>
                <w:szCs w:val="18"/>
                <w:lang w:val="en-AU"/>
              </w:rPr>
              <w:noBreakHyphen/>
              <w:t>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b/>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1183/1396</w:t>
            </w:r>
          </w:p>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85% (83-87)</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36/148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24% (18</w:t>
            </w:r>
            <w:r w:rsidRPr="007D2B92">
              <w:rPr>
                <w:rFonts w:ascii="Arial Narrow" w:hAnsi="Arial Narrow"/>
                <w:sz w:val="18"/>
                <w:szCs w:val="18"/>
                <w:lang w:val="en-AU"/>
              </w:rPr>
              <w:noBreakHyphen/>
              <w:t>32)</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25/148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17% (11-24)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130/148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88% (81-93)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123/148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83% (76-89)</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30% (18-46)</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390/460</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85% (81-88)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48/177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 (21-34)</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32/177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18% (13-25)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126/177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71% (64-78)</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112/177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63% (56-70)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 (-</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w:t>
            </w:r>
            <w:r w:rsidRPr="007D2B92">
              <w:rPr>
                <w:rFonts w:ascii="Arial Narrow" w:hAnsi="Arial Narrow"/>
                <w:sz w:val="18"/>
                <w:szCs w:val="18"/>
                <w:vertAlign w:val="superscript"/>
                <w:lang w:val="en-AU"/>
              </w:rPr>
              <w:t xml:space="preserve">b </w:t>
            </w:r>
            <w:r w:rsidRPr="007D2B92">
              <w:rPr>
                <w:rFonts w:ascii="Arial Narrow" w:hAnsi="Arial Narrow"/>
                <w:sz w:val="18"/>
                <w:szCs w:val="18"/>
                <w:lang w:val="en-AU"/>
              </w:rPr>
              <w:t>(-4-4%)</w:t>
            </w:r>
            <w:r w:rsidRPr="007D2B92">
              <w:rPr>
                <w:rFonts w:ascii="Arial Narrow" w:hAnsi="Arial Narrow"/>
                <w:sz w:val="18"/>
                <w:szCs w:val="18"/>
                <w:vertAlign w:val="superscript"/>
                <w:lang w:val="en-AU"/>
              </w:rPr>
              <w:t>d</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MenW</w:t>
            </w:r>
            <w:proofErr w:type="spellEnd"/>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15% (6-28)</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983/1024</w:t>
            </w:r>
          </w:p>
          <w:p w:rsidR="00AF00DF" w:rsidRPr="007D2B92" w:rsidRDefault="00AF00DF" w:rsidP="00E94413">
            <w:pPr>
              <w:pStyle w:val="TableCentre"/>
              <w:rPr>
                <w:rFonts w:ascii="Arial Narrow" w:hAnsi="Arial Narrow"/>
                <w:b/>
                <w:sz w:val="18"/>
                <w:szCs w:val="18"/>
                <w:lang w:val="en-AU"/>
              </w:rPr>
            </w:pPr>
            <w:r w:rsidRPr="007D2B92">
              <w:rPr>
                <w:rFonts w:ascii="Arial Narrow" w:hAnsi="Arial Narrow"/>
                <w:sz w:val="18"/>
                <w:szCs w:val="18"/>
                <w:lang w:val="en-AU"/>
              </w:rPr>
              <w:t>96% (95-97)</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19/146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 (8-20)</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19/146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 (8-20)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139/146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95% (90-98)</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132/146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90% (84-95)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7% (1-18)</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254/288</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88% (84-92)</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41/173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24% (18-31)</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37/173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21% (16-28)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153/173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88% (83-93)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149/173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86% (80-91)</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b/>
                <w:sz w:val="18"/>
                <w:szCs w:val="18"/>
                <w:lang w:val="en-AU"/>
              </w:rPr>
              <w:t>8% (4-12%)</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MenY</w:t>
            </w:r>
            <w:proofErr w:type="spellEnd"/>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11% (4-23)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98% (88-100)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908/1036</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88% (85-90)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40/147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27% (20-35)</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34/147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 (17-31)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141/147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96% (91</w:t>
            </w:r>
            <w:r w:rsidRPr="007D2B92">
              <w:rPr>
                <w:rFonts w:ascii="Arial Narrow" w:hAnsi="Arial Narrow"/>
                <w:sz w:val="18"/>
                <w:szCs w:val="18"/>
                <w:lang w:val="en-AU"/>
              </w:rPr>
              <w:noBreakHyphen/>
              <w:t>98)</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139/147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95% (90</w:t>
            </w:r>
            <w:r w:rsidRPr="007D2B92">
              <w:rPr>
                <w:rFonts w:ascii="Arial Narrow" w:hAnsi="Arial Narrow"/>
                <w:sz w:val="18"/>
                <w:szCs w:val="18"/>
                <w:lang w:val="en-AU"/>
              </w:rPr>
              <w:noBreakHyphen/>
              <w:t>98)</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145DCA">
              <w:rPr>
                <w:rFonts w:ascii="Arial Narrow" w:hAnsi="Arial Narrow" w:cs="Times New Roman"/>
                <w:sz w:val="18"/>
                <w:szCs w:val="18"/>
                <w:lang w:val="en-AU"/>
              </w:rPr>
              <w:t>% (</w:t>
            </w:r>
            <w:r w:rsidR="0041011E" w:rsidRPr="00145DCA">
              <w:rPr>
                <w:rFonts w:ascii="Arial Narrow" w:hAnsi="Arial Narrow" w:cs="Times New Roman"/>
                <w:sz w:val="18"/>
                <w:szCs w:val="18"/>
                <w:lang w:val="en-AU"/>
              </w:rPr>
              <w:t>(</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17% (8-31)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100% (92-100)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 (</w:t>
            </w:r>
            <w:r>
              <w:rPr>
                <w:rFonts w:ascii="Arial Narrow" w:hAnsi="Arial Narrow"/>
                <w:noProof/>
                <w:color w:val="000000"/>
                <w:sz w:val="18"/>
                <w:szCs w:val="18"/>
                <w:highlight w:val="black"/>
                <w:lang w:val="en-AU"/>
              </w:rPr>
              <w:t>'''''''''''''</w:t>
            </w:r>
            <w:r w:rsidR="00AF00DF"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202/294</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69% (63-74)</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49/177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28% (21-35)</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40/177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23% (17-29)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148/177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84% (77-89)</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143/177</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81% (74-86)</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Centre"/>
              <w:rPr>
                <w:rFonts w:ascii="Arial Narrow" w:hAnsi="Arial Narrow" w:cs="Times New Roman"/>
                <w:sz w:val="18"/>
                <w:szCs w:val="18"/>
                <w:highlight w:val="black"/>
                <w:lang w:val="en-AU"/>
              </w:rPr>
            </w:pPr>
            <w:r>
              <w:rPr>
                <w:rFonts w:ascii="Arial Narrow" w:hAnsi="Arial Narrow" w:cs="Times New Roman"/>
                <w:noProof/>
                <w:color w:val="000000"/>
                <w:sz w:val="18"/>
                <w:szCs w:val="18"/>
                <w:highlight w:val="black"/>
                <w:lang w:val="en-AU"/>
              </w:rPr>
              <w:t>'''''''''''''''</w:t>
            </w:r>
          </w:p>
          <w:p w:rsidR="00AF00DF" w:rsidRPr="007D2B92" w:rsidRDefault="00346D40" w:rsidP="00E94413">
            <w:pPr>
              <w:pStyle w:val="TableCentre"/>
              <w:rPr>
                <w:rFonts w:ascii="Arial Narrow" w:hAnsi="Arial Narrow"/>
                <w:sz w:val="18"/>
                <w:szCs w:val="18"/>
                <w:lang w:val="en-AU"/>
              </w:rPr>
            </w:pP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 (</w:t>
            </w:r>
            <w:r>
              <w:rPr>
                <w:rFonts w:ascii="Arial Narrow" w:hAnsi="Arial Narrow" w:cs="Times New Roman"/>
                <w:noProof/>
                <w:color w:val="000000"/>
                <w:sz w:val="18"/>
                <w:szCs w:val="18"/>
                <w:highlight w:val="black"/>
                <w:lang w:val="en-AU"/>
              </w:rPr>
              <w:t>''''''''''''''</w:t>
            </w:r>
            <w:r w:rsidR="00AF00DF" w:rsidRPr="007D2B92">
              <w:rPr>
                <w:rFonts w:ascii="Arial Narrow" w:hAnsi="Arial Narrow" w:cs="Times New Roman"/>
                <w:sz w:val="18"/>
                <w:szCs w:val="18"/>
                <w:lang w:val="en-AU"/>
              </w:rPr>
              <w:t>)</w:t>
            </w:r>
          </w:p>
        </w:tc>
      </w:tr>
      <w:tr w:rsidR="00AF00DF" w:rsidRPr="007D2B92" w:rsidTr="00E94413">
        <w:tc>
          <w:tcPr>
            <w:tcW w:w="189"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Difference (95% CI)</w:t>
            </w:r>
            <w:r w:rsidRPr="007D2B92">
              <w:rPr>
                <w:rFonts w:ascii="Arial Narrow" w:hAnsi="Arial Narrow"/>
                <w:sz w:val="18"/>
                <w:szCs w:val="18"/>
                <w:vertAlign w:val="superscript"/>
                <w:lang w:val="en-AU"/>
              </w:rPr>
              <w:t>c</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 (-</w:t>
            </w:r>
            <w:r w:rsidR="00346D40">
              <w:rPr>
                <w:rFonts w:ascii="Arial Narrow" w:hAnsi="Arial Narrow"/>
                <w:noProof/>
                <w:color w:val="000000"/>
                <w:sz w:val="18"/>
                <w:szCs w:val="18"/>
                <w:highlight w:val="black"/>
                <w:lang w:val="en-AU"/>
              </w:rPr>
              <w:t>'''''''</w:t>
            </w:r>
            <w:r w:rsidRPr="007D2B92">
              <w:rPr>
                <w:rFonts w:ascii="Arial Narrow" w:hAnsi="Arial Narrow"/>
                <w:sz w:val="18"/>
                <w:szCs w:val="18"/>
                <w:lang w:val="en-AU"/>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sz w:val="18"/>
                <w:szCs w:val="18"/>
                <w:lang w:val="en-AU"/>
              </w:rPr>
            </w:pPr>
            <w:r w:rsidRPr="007D2B92">
              <w:rPr>
                <w:rFonts w:ascii="Arial Narrow" w:hAnsi="Arial Narrow"/>
                <w:b/>
                <w:sz w:val="18"/>
                <w:szCs w:val="18"/>
                <w:lang w:val="en-AU"/>
              </w:rPr>
              <w:t>19% (14-25%)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r w:rsidR="00AF00DF" w:rsidRPr="007D2B92" w:rsidTr="00E94413">
        <w:tc>
          <w:tcPr>
            <w:tcW w:w="189"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i/>
                <w:sz w:val="18"/>
                <w:szCs w:val="18"/>
                <w:lang w:val="en-AU"/>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p>
        </w:tc>
      </w:tr>
    </w:tbl>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 xml:space="preserve">CI: confidence interval; </w:t>
      </w:r>
      <w:proofErr w:type="spellStart"/>
      <w:r w:rsidRPr="007D2B92">
        <w:rPr>
          <w:rFonts w:ascii="Arial Narrow" w:hAnsi="Arial Narrow"/>
          <w:sz w:val="18"/>
          <w:szCs w:val="18"/>
        </w:rPr>
        <w:t>hSBA</w:t>
      </w:r>
      <w:proofErr w:type="spellEnd"/>
      <w:r w:rsidRPr="007D2B92">
        <w:rPr>
          <w:rFonts w:ascii="Arial Narrow" w:hAnsi="Arial Narrow"/>
          <w:sz w:val="18"/>
          <w:szCs w:val="18"/>
        </w:rPr>
        <w:t xml:space="preserve">: human serum </w:t>
      </w:r>
      <w:r w:rsidR="00AB0CBE" w:rsidRPr="007D2B92">
        <w:rPr>
          <w:rFonts w:ascii="Arial Narrow" w:hAnsi="Arial Narrow"/>
          <w:sz w:val="18"/>
          <w:szCs w:val="18"/>
        </w:rPr>
        <w:t>bactericidal</w:t>
      </w:r>
      <w:r w:rsidRPr="007D2B92">
        <w:rPr>
          <w:rFonts w:ascii="Arial Narrow" w:hAnsi="Arial Narrow"/>
          <w:sz w:val="18"/>
          <w:szCs w:val="18"/>
        </w:rPr>
        <w:t xml:space="preserve"> assay; </w:t>
      </w:r>
      <w:proofErr w:type="spellStart"/>
      <w:r w:rsidRPr="007D2B92">
        <w:rPr>
          <w:rFonts w:ascii="Arial Narrow" w:hAnsi="Arial Narrow"/>
          <w:sz w:val="18"/>
          <w:szCs w:val="18"/>
        </w:rPr>
        <w:t>MenACWY</w:t>
      </w:r>
      <w:proofErr w:type="spellEnd"/>
      <w:r w:rsidRPr="007D2B92">
        <w:rPr>
          <w:rFonts w:ascii="Arial Narrow" w:hAnsi="Arial Narrow"/>
          <w:sz w:val="18"/>
          <w:szCs w:val="18"/>
        </w:rPr>
        <w:t>-CRM: Meningococcal Oligosaccharide CRM197 Conjugate Vaccine; N = number of subjects; PP: per protocol.</w:t>
      </w:r>
    </w:p>
    <w:p w:rsidR="00AF00DF" w:rsidRPr="007D2B92" w:rsidRDefault="00AF00DF" w:rsidP="00AF00DF">
      <w:pPr>
        <w:pStyle w:val="CaptionFootnote"/>
        <w:rPr>
          <w:rFonts w:ascii="Arial Narrow" w:hAnsi="Arial Narrow"/>
          <w:sz w:val="18"/>
          <w:szCs w:val="18"/>
        </w:rPr>
      </w:pPr>
      <w:proofErr w:type="spellStart"/>
      <w:proofErr w:type="gramStart"/>
      <w:r w:rsidRPr="007D2B92">
        <w:rPr>
          <w:rFonts w:ascii="Arial Narrow" w:hAnsi="Arial Narrow"/>
          <w:sz w:val="18"/>
          <w:szCs w:val="18"/>
        </w:rPr>
        <w:t>a</w:t>
      </w:r>
      <w:proofErr w:type="spellEnd"/>
      <w:proofErr w:type="gramEnd"/>
      <w:r w:rsidRPr="007D2B92">
        <w:rPr>
          <w:rFonts w:ascii="Arial Narrow" w:hAnsi="Arial Narrow"/>
          <w:sz w:val="18"/>
          <w:szCs w:val="18"/>
        </w:rPr>
        <w:t xml:space="preserve"> The SBA assay type is unknown. The submission claimed that it is likely to be </w:t>
      </w:r>
      <w:proofErr w:type="spellStart"/>
      <w:r w:rsidRPr="007D2B92">
        <w:rPr>
          <w:rFonts w:ascii="Arial Narrow" w:hAnsi="Arial Narrow"/>
          <w:sz w:val="18"/>
          <w:szCs w:val="18"/>
        </w:rPr>
        <w:t>rSBA</w:t>
      </w:r>
      <w:proofErr w:type="spellEnd"/>
      <w:r w:rsidRPr="007D2B92">
        <w:rPr>
          <w:rFonts w:ascii="Arial Narrow" w:hAnsi="Arial Narrow"/>
          <w:sz w:val="18"/>
          <w:szCs w:val="18"/>
        </w:rPr>
        <w:t>, based on original study of Men C vaccine responses (p83 of the submission).</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b</w:t>
      </w:r>
      <w:proofErr w:type="gramEnd"/>
      <w:r w:rsidRPr="007D2B92">
        <w:rPr>
          <w:rFonts w:ascii="Arial Narrow" w:hAnsi="Arial Narrow"/>
          <w:sz w:val="18"/>
          <w:szCs w:val="18"/>
        </w:rPr>
        <w:t xml:space="preserve"> Although both groups had a value of 84, there is a group difference of 1 because of rounding.</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c</w:t>
      </w:r>
      <w:proofErr w:type="gramEnd"/>
      <w:r w:rsidRPr="007D2B92">
        <w:rPr>
          <w:rFonts w:ascii="Arial Narrow" w:hAnsi="Arial Narrow"/>
          <w:sz w:val="18"/>
          <w:szCs w:val="18"/>
        </w:rPr>
        <w:t xml:space="preserve"> Bold indicates superior. Superiority was determined if the lower limit of the 95% CI around the GMT ratio was &gt;1 or if the lower limit of the 95% CI around the group difference was &gt;0.</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d</w:t>
      </w:r>
      <w:proofErr w:type="gramEnd"/>
      <w:r w:rsidRPr="007D2B92">
        <w:rPr>
          <w:rFonts w:ascii="Arial Narrow" w:hAnsi="Arial Narrow"/>
          <w:sz w:val="18"/>
          <w:szCs w:val="18"/>
        </w:rPr>
        <w:t xml:space="preserve"> Non-inferior. Non-inferiority was determined if the lower limit of the 95% CI around the GMT ratio was &gt;0.5 or if the lower limit of the 95% CI around the group difference was &gt;-10.</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e</w:t>
      </w:r>
      <w:proofErr w:type="gramEnd"/>
      <w:r w:rsidRPr="007D2B92">
        <w:rPr>
          <w:rFonts w:ascii="Arial Narrow" w:hAnsi="Arial Narrow"/>
          <w:sz w:val="18"/>
          <w:szCs w:val="18"/>
        </w:rPr>
        <w:t xml:space="preserve"> Revised serogroup C titres for study V59P13. *P &lt; .05, **P &lt; .01, ***P &lt; .001.</w:t>
      </w:r>
      <w:r w:rsidR="00E94413" w:rsidRPr="007D2B92">
        <w:rPr>
          <w:rFonts w:ascii="Arial Narrow" w:hAnsi="Arial Narrow"/>
          <w:sz w:val="18"/>
          <w:szCs w:val="18"/>
        </w:rPr>
        <w:t xml:space="preserve"> </w:t>
      </w:r>
      <w:r w:rsidRPr="007D2B92">
        <w:rPr>
          <w:rFonts w:ascii="Arial Narrow" w:hAnsi="Arial Narrow"/>
          <w:sz w:val="18"/>
          <w:szCs w:val="18"/>
        </w:rPr>
        <w:t xml:space="preserve">Source: Table 2.21 p76, Table 2.23 p78, Table 2.27 p82 and Table 2.28 p84 of the submission. </w:t>
      </w:r>
    </w:p>
    <w:p w:rsidR="003935C3" w:rsidRPr="007D2B92" w:rsidRDefault="003935C3" w:rsidP="00AF00DF">
      <w:pPr>
        <w:pStyle w:val="CaptionFootnote"/>
        <w:rPr>
          <w:rFonts w:ascii="Arial Narrow" w:hAnsi="Arial Narrow"/>
          <w:sz w:val="18"/>
          <w:szCs w:val="18"/>
        </w:rPr>
      </w:pPr>
    </w:p>
    <w:p w:rsidR="00AF00DF" w:rsidRPr="007D2B92" w:rsidRDefault="00AF00DF" w:rsidP="00AF00DF">
      <w:pPr>
        <w:rPr>
          <w:rStyle w:val="CommentReference"/>
        </w:rPr>
      </w:pPr>
      <w:r w:rsidRPr="007D2B92">
        <w:rPr>
          <w:rStyle w:val="CommentReference"/>
        </w:rPr>
        <w:lastRenderedPageBreak/>
        <w:t xml:space="preserve">Table 7: Geometric mean </w:t>
      </w:r>
      <w:proofErr w:type="spellStart"/>
      <w:r w:rsidRPr="007D2B92">
        <w:rPr>
          <w:rStyle w:val="CommentReference"/>
        </w:rPr>
        <w:t>titers</w:t>
      </w:r>
      <w:proofErr w:type="spellEnd"/>
      <w:r w:rsidRPr="007D2B92">
        <w:rPr>
          <w:rStyle w:val="CommentReference"/>
        </w:rPr>
        <w:t xml:space="preserve"> at one month across the studies</w:t>
      </w:r>
    </w:p>
    <w:tbl>
      <w:tblPr>
        <w:tblStyle w:val="Submissionstandard"/>
        <w:tblW w:w="5000" w:type="pct"/>
        <w:tblCellMar>
          <w:left w:w="57" w:type="dxa"/>
          <w:right w:w="57" w:type="dxa"/>
        </w:tblCellMar>
        <w:tblLook w:val="04A0" w:firstRow="1" w:lastRow="0" w:firstColumn="1" w:lastColumn="0" w:noHBand="0" w:noVBand="1"/>
        <w:tblCaption w:val="Table 7: Geometric mean titers at one month across the studies"/>
      </w:tblPr>
      <w:tblGrid>
        <w:gridCol w:w="668"/>
        <w:gridCol w:w="1337"/>
        <w:gridCol w:w="754"/>
        <w:gridCol w:w="1452"/>
        <w:gridCol w:w="459"/>
        <w:gridCol w:w="1208"/>
        <w:gridCol w:w="1208"/>
        <w:gridCol w:w="1165"/>
        <w:gridCol w:w="1165"/>
        <w:gridCol w:w="1165"/>
        <w:gridCol w:w="1165"/>
        <w:gridCol w:w="1165"/>
        <w:gridCol w:w="1163"/>
      </w:tblGrid>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Sero-group</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w:t>
            </w:r>
          </w:p>
        </w:tc>
        <w:tc>
          <w:tcPr>
            <w:tcW w:w="94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sz w:val="18"/>
                <w:szCs w:val="18"/>
                <w:lang w:val="en-AU"/>
              </w:rPr>
            </w:pPr>
            <w:proofErr w:type="spellStart"/>
            <w:r w:rsidRPr="007D2B92">
              <w:rPr>
                <w:rFonts w:ascii="Arial Narrow" w:hAnsi="Arial Narrow"/>
                <w:sz w:val="18"/>
                <w:szCs w:val="18"/>
                <w:lang w:val="en-AU"/>
              </w:rPr>
              <w:t>Ishola</w:t>
            </w:r>
            <w:proofErr w:type="spellEnd"/>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16-19 years (N=93)</w:t>
            </w:r>
          </w:p>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 xml:space="preserve">vs </w:t>
            </w: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-TT (</w:t>
            </w:r>
            <w:proofErr w:type="spellStart"/>
            <w:r w:rsidRPr="007D2B92">
              <w:rPr>
                <w:rFonts w:ascii="Arial Narrow" w:hAnsi="Arial Narrow"/>
                <w:sz w:val="18"/>
                <w:szCs w:val="18"/>
                <w:lang w:val="en-AU"/>
              </w:rPr>
              <w:t>Nimenrix</w:t>
            </w:r>
            <w:proofErr w:type="spellEnd"/>
            <w:r w:rsidRPr="007D2B92">
              <w:rPr>
                <w:rFonts w:ascii="Arial Narrow" w:hAnsi="Arial Narrow"/>
                <w:sz w:val="18"/>
                <w:szCs w:val="18"/>
                <w:lang w:val="en-AU"/>
              </w:rPr>
              <w:t>)</w:t>
            </w:r>
          </w:p>
          <w:p w:rsidR="00AF00DF" w:rsidRPr="007D2B92" w:rsidRDefault="00AF00DF" w:rsidP="00E94413">
            <w:pPr>
              <w:pStyle w:val="TableCentre"/>
              <w:rPr>
                <w:rStyle w:val="CommentReference"/>
                <w:b/>
                <w:sz w:val="18"/>
                <w:szCs w:val="18"/>
                <w:lang w:val="en-AU"/>
              </w:rPr>
            </w:pPr>
            <w:proofErr w:type="spellStart"/>
            <w:r w:rsidRPr="007D2B92">
              <w:rPr>
                <w:rFonts w:ascii="Arial Narrow" w:hAnsi="Arial Narrow"/>
                <w:sz w:val="18"/>
                <w:szCs w:val="18"/>
                <w:lang w:val="en-AU"/>
              </w:rPr>
              <w:t>GMT</w:t>
            </w:r>
            <w:r w:rsidRPr="007D2B92">
              <w:rPr>
                <w:rFonts w:ascii="Arial Narrow" w:hAnsi="Arial Narrow"/>
                <w:sz w:val="18"/>
                <w:szCs w:val="18"/>
                <w:vertAlign w:val="superscript"/>
                <w:lang w:val="en-AU"/>
              </w:rPr>
              <w:t>a</w:t>
            </w:r>
            <w:proofErr w:type="spellEnd"/>
            <w:r w:rsidRPr="007D2B92">
              <w:rPr>
                <w:rFonts w:ascii="Arial Narrow" w:hAnsi="Arial Narrow"/>
                <w:sz w:val="18"/>
                <w:szCs w:val="18"/>
                <w:lang w:val="en-AU"/>
              </w:rPr>
              <w:t xml:space="preserve"> (95% CI)</w:t>
            </w:r>
          </w:p>
        </w:tc>
        <w:tc>
          <w:tcPr>
            <w:tcW w:w="85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V59P13</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w:t>
            </w:r>
            <w:r w:rsidRPr="007D2B92">
              <w:rPr>
                <w:rStyle w:val="CommentReference"/>
                <w:b/>
                <w:sz w:val="18"/>
                <w:szCs w:val="18"/>
                <w:lang w:val="en-AU"/>
              </w:rPr>
              <w:noBreakHyphen/>
              <w:t>18 years, PP population</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(N=2180)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Vs </w:t>
            </w:r>
            <w:proofErr w:type="spellStart"/>
            <w:r w:rsidRPr="007D2B92">
              <w:rPr>
                <w:rStyle w:val="CommentReference"/>
                <w:b/>
                <w:sz w:val="18"/>
                <w:szCs w:val="18"/>
                <w:lang w:val="en-AU"/>
              </w:rPr>
              <w:t>MenACWY</w:t>
            </w:r>
            <w:proofErr w:type="spellEnd"/>
            <w:r w:rsidRPr="007D2B92">
              <w:rPr>
                <w:rStyle w:val="CommentReference"/>
                <w:b/>
                <w:sz w:val="18"/>
                <w:szCs w:val="18"/>
                <w:lang w:val="en-AU"/>
              </w:rPr>
              <w:noBreakHyphen/>
              <w:t>DT (</w:t>
            </w:r>
            <w:proofErr w:type="spellStart"/>
            <w:r w:rsidRPr="007D2B92">
              <w:rPr>
                <w:rStyle w:val="CommentReference"/>
                <w:b/>
                <w:sz w:val="18"/>
                <w:szCs w:val="18"/>
                <w:lang w:val="en-AU"/>
              </w:rPr>
              <w:t>Menactra</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Fonts w:ascii="Arial Narrow" w:hAnsi="Arial Narrow"/>
                <w:sz w:val="18"/>
                <w:szCs w:val="18"/>
                <w:lang w:val="en-AU"/>
              </w:rPr>
              <w:t>GMT</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V59P6</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11-17 years, MITT population (N=524)</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 xml:space="preserve">vs </w:t>
            </w:r>
            <w:proofErr w:type="spellStart"/>
            <w:r w:rsidRPr="007D2B92">
              <w:rPr>
                <w:rStyle w:val="CommentReference"/>
                <w:b/>
                <w:sz w:val="18"/>
                <w:szCs w:val="18"/>
                <w:lang w:val="en-AU"/>
              </w:rPr>
              <w:t>MenACWY</w:t>
            </w:r>
            <w:proofErr w:type="spellEnd"/>
            <w:r w:rsidRPr="007D2B92">
              <w:rPr>
                <w:rStyle w:val="CommentReference"/>
                <w:b/>
                <w:sz w:val="18"/>
                <w:szCs w:val="18"/>
                <w:lang w:val="en-AU"/>
              </w:rPr>
              <w:t xml:space="preserve"> (</w:t>
            </w:r>
            <w:proofErr w:type="spellStart"/>
            <w:r w:rsidRPr="007D2B92">
              <w:rPr>
                <w:rStyle w:val="CommentReference"/>
                <w:b/>
                <w:sz w:val="18"/>
                <w:szCs w:val="18"/>
                <w:lang w:val="en-AU"/>
              </w:rPr>
              <w:t>Menomune</w:t>
            </w:r>
            <w:proofErr w:type="spellEnd"/>
            <w:r w:rsidRPr="007D2B92">
              <w:rPr>
                <w:rStyle w:val="CommentReference"/>
                <w:b/>
                <w:sz w:val="18"/>
                <w:szCs w:val="18"/>
                <w:lang w:val="en-AU"/>
              </w:rPr>
              <w:t>)</w:t>
            </w:r>
          </w:p>
          <w:p w:rsidR="00AF00DF" w:rsidRPr="007D2B92" w:rsidRDefault="00AF00DF" w:rsidP="00E94413">
            <w:pPr>
              <w:pStyle w:val="TableCentre"/>
              <w:rPr>
                <w:rStyle w:val="CommentReference"/>
                <w:b/>
                <w:sz w:val="18"/>
                <w:szCs w:val="18"/>
                <w:lang w:val="en-AU"/>
              </w:rPr>
            </w:pPr>
            <w:r w:rsidRPr="007D2B92">
              <w:rPr>
                <w:rFonts w:ascii="Arial Narrow" w:hAnsi="Arial Narrow"/>
                <w:sz w:val="18"/>
                <w:szCs w:val="18"/>
                <w:lang w:val="en-AU"/>
              </w:rPr>
              <w:t>GMT</w:t>
            </w:r>
            <w:r w:rsidRPr="007D2B92">
              <w:rPr>
                <w:rStyle w:val="CommentReference"/>
                <w:b/>
                <w:sz w:val="18"/>
                <w:szCs w:val="18"/>
                <w:lang w:val="en-AU"/>
              </w:rPr>
              <w:t xml:space="preserve"> (95% CI)</w:t>
            </w:r>
          </w:p>
        </w:tc>
        <w:tc>
          <w:tcPr>
            <w:tcW w:w="12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V59_39</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11</w:t>
            </w:r>
            <w:r w:rsidRPr="007D2B92">
              <w:rPr>
                <w:rStyle w:val="CommentReference"/>
                <w:b/>
                <w:sz w:val="18"/>
                <w:szCs w:val="18"/>
                <w:lang w:val="en-AU"/>
              </w:rPr>
              <w:noBreakHyphen/>
              <w:t>55 years, PP population (N=450)</w:t>
            </w:r>
          </w:p>
          <w:p w:rsidR="00AF00DF" w:rsidRPr="007D2B92" w:rsidRDefault="00AF00DF" w:rsidP="00E94413">
            <w:pPr>
              <w:pStyle w:val="TableCentre"/>
              <w:rPr>
                <w:rStyle w:val="CommentReference"/>
                <w:b/>
                <w:sz w:val="18"/>
                <w:szCs w:val="18"/>
                <w:lang w:val="en-AU"/>
              </w:rPr>
            </w:pPr>
            <w:r w:rsidRPr="007D2B92">
              <w:rPr>
                <w:rStyle w:val="CommentReference"/>
                <w:b/>
                <w:sz w:val="18"/>
                <w:szCs w:val="18"/>
                <w:lang w:val="en-AU"/>
              </w:rPr>
              <w:t>vs Placebo</w:t>
            </w:r>
          </w:p>
          <w:p w:rsidR="00AF00DF" w:rsidRPr="007D2B92" w:rsidRDefault="00AF00DF" w:rsidP="00E94413">
            <w:pPr>
              <w:pStyle w:val="TableCentre"/>
              <w:rPr>
                <w:rStyle w:val="CommentReference"/>
                <w:b/>
                <w:sz w:val="18"/>
                <w:szCs w:val="18"/>
                <w:lang w:val="en-AU"/>
              </w:rPr>
            </w:pPr>
            <w:r w:rsidRPr="007D2B92">
              <w:rPr>
                <w:rFonts w:ascii="Arial Narrow" w:hAnsi="Arial Narrow"/>
                <w:sz w:val="18"/>
                <w:szCs w:val="18"/>
                <w:lang w:val="en-AU"/>
              </w:rPr>
              <w:t>GMT</w:t>
            </w:r>
            <w:r w:rsidRPr="007D2B92">
              <w:rPr>
                <w:rStyle w:val="CommentReference"/>
                <w:b/>
                <w:sz w:val="18"/>
                <w:szCs w:val="18"/>
                <w:lang w:val="en-AU"/>
              </w:rPr>
              <w:t xml:space="preserve"> (95% CI)</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2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proofErr w:type="spellStart"/>
            <w:r w:rsidRPr="007D2B92">
              <w:rPr>
                <w:rFonts w:ascii="Arial Narrow" w:hAnsi="Arial Narrow"/>
                <w:sz w:val="18"/>
                <w:szCs w:val="18"/>
                <w:lang w:val="en-AU"/>
              </w:rPr>
              <w:t>Preboost</w:t>
            </w:r>
            <w:proofErr w:type="spellEnd"/>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1 Mo</w:t>
            </w:r>
          </w:p>
        </w:tc>
        <w:tc>
          <w:tcPr>
            <w:tcW w:w="429"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1</w:t>
            </w:r>
          </w:p>
        </w:tc>
        <w:tc>
          <w:tcPr>
            <w:tcW w:w="429"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29</w:t>
            </w:r>
          </w:p>
        </w:tc>
        <w:tc>
          <w:tcPr>
            <w:tcW w:w="414"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Prevaccination</w:t>
            </w:r>
          </w:p>
        </w:tc>
        <w:tc>
          <w:tcPr>
            <w:tcW w:w="828" w:type="pct"/>
            <w:gridSpan w:val="2"/>
            <w:tcBorders>
              <w:top w:val="single" w:sz="4" w:space="0" w:color="auto"/>
              <w:left w:val="single" w:sz="4" w:space="0" w:color="auto"/>
              <w:right w:val="single" w:sz="4" w:space="0" w:color="auto"/>
            </w:tcBorders>
            <w:shd w:val="clear" w:color="auto" w:fill="auto"/>
            <w:vAlign w:val="center"/>
          </w:tcPr>
          <w:p w:rsidR="00AF00DF" w:rsidRPr="00BE5DB6" w:rsidRDefault="00AF00DF" w:rsidP="00E94413">
            <w:pPr>
              <w:pStyle w:val="TableCentre"/>
              <w:rPr>
                <w:rFonts w:ascii="Arial Narrow" w:hAnsi="Arial Narrow"/>
                <w:b w:val="0"/>
                <w:sz w:val="18"/>
                <w:szCs w:val="18"/>
                <w:lang w:val="en-AU"/>
              </w:rPr>
            </w:pPr>
            <w:r w:rsidRPr="00BE5DB6">
              <w:rPr>
                <w:rFonts w:ascii="Arial Narrow" w:hAnsi="Arial Narrow"/>
                <w:sz w:val="18"/>
                <w:szCs w:val="18"/>
                <w:lang w:val="en-AU"/>
              </w:rPr>
              <w:t>1 Mo</w:t>
            </w:r>
          </w:p>
        </w:tc>
        <w:tc>
          <w:tcPr>
            <w:tcW w:w="414" w:type="pc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1</w:t>
            </w:r>
          </w:p>
        </w:tc>
        <w:tc>
          <w:tcPr>
            <w:tcW w:w="828" w:type="pct"/>
            <w:gridSpan w:val="2"/>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Day 29</w:t>
            </w:r>
          </w:p>
        </w:tc>
      </w:tr>
      <w:tr w:rsidR="00AF00DF" w:rsidRPr="007D2B92" w:rsidTr="00F0313D">
        <w:trPr>
          <w:cnfStyle w:val="100000000000" w:firstRow="1" w:lastRow="0" w:firstColumn="0" w:lastColumn="0" w:oddVBand="0" w:evenVBand="0" w:oddHBand="0" w:evenHBand="0" w:firstRowFirstColumn="0" w:firstRowLastColumn="0" w:lastRowFirstColumn="0" w:lastRowLastColumn="0"/>
          <w:tblHeader/>
        </w:trPr>
        <w:tc>
          <w:tcPr>
            <w:tcW w:w="2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jc w:val="left"/>
              <w:rPr>
                <w:rFonts w:ascii="Arial Narrow" w:hAnsi="Arial Narrow"/>
                <w:b w:val="0"/>
                <w:sz w:val="18"/>
                <w:szCs w:val="18"/>
                <w:lang w:val="en-AU"/>
              </w:rPr>
            </w:pPr>
          </w:p>
        </w:tc>
        <w:tc>
          <w:tcPr>
            <w:tcW w:w="475" w:type="pct"/>
            <w:vMerge/>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val="0"/>
                <w:sz w:val="18"/>
                <w:szCs w:val="18"/>
                <w:lang w:val="en-AU"/>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163" w:type="pct"/>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GMR</w:t>
            </w:r>
          </w:p>
        </w:tc>
        <w:tc>
          <w:tcPr>
            <w:tcW w:w="429"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429"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Style w:val="CommentReference"/>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vAlign w:val="center"/>
          </w:tcPr>
          <w:p w:rsidR="00AF00DF" w:rsidRPr="00BE5DB6" w:rsidRDefault="00D94474" w:rsidP="00E94413">
            <w:pPr>
              <w:pStyle w:val="TableCentre"/>
              <w:rPr>
                <w:rFonts w:ascii="Arial Narrow" w:hAnsi="Arial Narrow"/>
                <w:b w:val="0"/>
                <w:sz w:val="18"/>
                <w:szCs w:val="18"/>
                <w:lang w:val="en-AU"/>
              </w:rPr>
            </w:pPr>
            <w:r w:rsidRPr="00BE5DB6">
              <w:rPr>
                <w:rFonts w:ascii="Arial Narrow" w:hAnsi="Arial Narrow"/>
                <w:sz w:val="18"/>
                <w:szCs w:val="18"/>
                <w:lang w:val="en-AU"/>
              </w:rPr>
              <w:t>GMR</w:t>
            </w:r>
          </w:p>
        </w:tc>
        <w:tc>
          <w:tcPr>
            <w:tcW w:w="41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GMT</w:t>
            </w:r>
          </w:p>
        </w:tc>
        <w:tc>
          <w:tcPr>
            <w:tcW w:w="414" w:type="pct"/>
            <w:tcBorders>
              <w:left w:val="single" w:sz="4" w:space="0" w:color="auto"/>
              <w:bottom w:val="single" w:sz="4" w:space="0" w:color="auto"/>
              <w:right w:val="single" w:sz="4" w:space="0" w:color="auto"/>
            </w:tcBorders>
            <w:vAlign w:val="center"/>
          </w:tcPr>
          <w:p w:rsidR="00AF00DF" w:rsidRPr="007D2B92" w:rsidRDefault="00AF00DF" w:rsidP="00E94413">
            <w:pPr>
              <w:pStyle w:val="TableCentre"/>
              <w:rPr>
                <w:rFonts w:ascii="Arial Narrow" w:hAnsi="Arial Narrow"/>
                <w:b w:val="0"/>
                <w:sz w:val="18"/>
                <w:szCs w:val="18"/>
                <w:lang w:val="en-AU"/>
              </w:rPr>
            </w:pPr>
            <w:r w:rsidRPr="007D2B92">
              <w:rPr>
                <w:rFonts w:ascii="Arial Narrow" w:hAnsi="Arial Narrow"/>
                <w:sz w:val="18"/>
                <w:szCs w:val="18"/>
                <w:lang w:val="en-AU"/>
              </w:rPr>
              <w:t>GMR</w:t>
            </w:r>
          </w:p>
        </w:tc>
      </w:tr>
      <w:tr w:rsidR="00AF00DF" w:rsidRPr="007D2B92" w:rsidTr="00E94413">
        <w:tc>
          <w:tcPr>
            <w:tcW w:w="237"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19 (8-47)</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10116 (7314-13992)</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504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2.07 (1.99-2.16)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35 (26-44)</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2.7 (2.47-2.95)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48 (39-57)</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13 (6-30)</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5706 (4003-8134)</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440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18</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2.07 (2-2.15)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6.97 (5.51</w:t>
            </w:r>
            <w:r w:rsidRPr="007D2B92">
              <w:rPr>
                <w:rFonts w:ascii="Arial Narrow" w:hAnsi="Arial Narrow"/>
                <w:sz w:val="18"/>
                <w:szCs w:val="18"/>
                <w:lang w:val="en-AU"/>
              </w:rPr>
              <w:noBreakHyphen/>
              <w:t>8.82)</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2.86 (2.53-3.24)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Ratio</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 xml:space="preserve"> b</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b/>
                <w:sz w:val="18"/>
                <w:szCs w:val="18"/>
                <w:lang w:val="en-AU"/>
              </w:rPr>
            </w:pPr>
            <w:r w:rsidRPr="007D2B92">
              <w:rPr>
                <w:rFonts w:ascii="Arial Narrow" w:hAnsi="Arial Narrow"/>
                <w:b/>
                <w:sz w:val="18"/>
                <w:szCs w:val="18"/>
                <w:lang w:val="en-AU"/>
              </w:rPr>
              <w:t>1.63</w:t>
            </w:r>
          </w:p>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b/>
                <w:sz w:val="18"/>
                <w:szCs w:val="18"/>
                <w:lang w:val="en-AU"/>
              </w:rPr>
              <w:t>(1.31</w:t>
            </w:r>
            <w:r w:rsidRPr="007D2B92">
              <w:rPr>
                <w:rFonts w:ascii="Arial Narrow" w:hAnsi="Arial Narrow"/>
                <w:b/>
                <w:sz w:val="18"/>
                <w:szCs w:val="18"/>
                <w:lang w:val="en-AU"/>
              </w:rPr>
              <w:noBreakHyphen/>
              <w:t>2.02)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rPr>
          <w:trHeight w:val="50"/>
        </w:trPr>
        <w:tc>
          <w:tcPr>
            <w:tcW w:w="237"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b/>
                <w:sz w:val="18"/>
                <w:szCs w:val="18"/>
                <w:lang w:val="en-AU"/>
              </w:rPr>
            </w:pPr>
            <w:proofErr w:type="spellStart"/>
            <w:r w:rsidRPr="007D2B92">
              <w:rPr>
                <w:rFonts w:ascii="Arial Narrow" w:hAnsi="Arial Narrow"/>
                <w:sz w:val="18"/>
                <w:szCs w:val="18"/>
                <w:lang w:val="en-AU"/>
              </w:rPr>
              <w:t>MenC</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jc w:val="left"/>
              <w:rPr>
                <w:rFonts w:ascii="Arial Narrow" w:hAnsi="Arial Narrow"/>
                <w:b/>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17 (9</w:t>
            </w:r>
            <w:r w:rsidRPr="007D2B92">
              <w:rPr>
                <w:rFonts w:ascii="Arial Narrow" w:hAnsi="Arial Narrow"/>
                <w:sz w:val="18"/>
                <w:szCs w:val="18"/>
                <w:lang w:val="en-AU"/>
              </w:rPr>
              <w:noBreakHyphen/>
              <w:t>35)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11585 (7560</w:t>
            </w:r>
            <w:r w:rsidRPr="007D2B92">
              <w:rPr>
                <w:rFonts w:ascii="Arial Narrow" w:hAnsi="Arial Narrow"/>
                <w:sz w:val="18"/>
                <w:szCs w:val="18"/>
                <w:lang w:val="en-AU"/>
              </w:rPr>
              <w:noBreakHyphen/>
              <w:t>17753)</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735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3.19 (2.75</w:t>
            </w:r>
            <w:r w:rsidRPr="007D2B92">
              <w:rPr>
                <w:rFonts w:ascii="Arial Narrow" w:hAnsi="Arial Narrow"/>
                <w:sz w:val="18"/>
                <w:szCs w:val="18"/>
                <w:lang w:val="en-AU"/>
              </w:rPr>
              <w:noBreakHyphen/>
              <w:t>3.69)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58 (39</w:t>
            </w:r>
            <w:r w:rsidRPr="007D2B92">
              <w:rPr>
                <w:rFonts w:ascii="Arial Narrow" w:hAnsi="Arial Narrow"/>
                <w:sz w:val="18"/>
                <w:szCs w:val="18"/>
                <w:lang w:val="en-AU"/>
              </w:rPr>
              <w:noBreakHyphen/>
              <w:t>85)</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7.82 (6.76</w:t>
            </w:r>
            <w:r w:rsidRPr="007D2B92">
              <w:rPr>
                <w:rFonts w:ascii="Arial Narrow" w:hAnsi="Arial Narrow"/>
                <w:sz w:val="18"/>
                <w:szCs w:val="18"/>
                <w:lang w:val="en-AU"/>
              </w:rPr>
              <w:noBreakHyphen/>
              <w:t>9.05)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231 (198</w:t>
            </w:r>
            <w:r w:rsidRPr="007D2B92">
              <w:rPr>
                <w:rFonts w:ascii="Arial Narrow" w:hAnsi="Arial Narrow"/>
                <w:sz w:val="18"/>
                <w:szCs w:val="18"/>
                <w:lang w:val="en-AU"/>
              </w:rPr>
              <w:noBreakHyphen/>
              <w:t>269)</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r>
      <w:tr w:rsidR="00AF00DF" w:rsidRPr="007D2B92" w:rsidTr="00E94413">
        <w:tc>
          <w:tcPr>
            <w:tcW w:w="237"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7 (4-13)</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8701 (6008</w:t>
            </w:r>
            <w:r w:rsidRPr="007D2B92">
              <w:rPr>
                <w:rFonts w:ascii="Arial Narrow" w:hAnsi="Arial Narrow"/>
                <w:sz w:val="18"/>
                <w:szCs w:val="18"/>
                <w:lang w:val="en-AU"/>
              </w:rPr>
              <w:noBreakHyphen/>
              <w:t>12601)</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1209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3.24 (2.85-3.69)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30 (22-43)</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5.94 (4.85-7.27)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r>
      <w:tr w:rsidR="00AF00DF" w:rsidRPr="007D2B92" w:rsidTr="00E94413">
        <w:tc>
          <w:tcPr>
            <w:tcW w:w="237"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Ratio</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 xml:space="preserve">(95% CI) </w:t>
            </w:r>
            <w:r w:rsidRPr="007D2B92">
              <w:rPr>
                <w:rFonts w:ascii="Arial Narrow" w:hAnsi="Arial Narrow"/>
                <w:sz w:val="18"/>
                <w:szCs w:val="18"/>
                <w:vertAlign w:val="superscript"/>
                <w:lang w:val="en-AU"/>
              </w:rPr>
              <w:t>b</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b/>
                <w:sz w:val="18"/>
                <w:szCs w:val="18"/>
                <w:lang w:val="en-AU"/>
              </w:rPr>
            </w:pPr>
            <w:r w:rsidRPr="007D2B92">
              <w:rPr>
                <w:rFonts w:ascii="Arial Narrow" w:hAnsi="Arial Narrow"/>
                <w:b/>
                <w:sz w:val="18"/>
                <w:szCs w:val="18"/>
                <w:lang w:val="en-AU"/>
              </w:rPr>
              <w:t>1.22</w:t>
            </w:r>
          </w:p>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b/>
                <w:sz w:val="18"/>
                <w:szCs w:val="18"/>
                <w:lang w:val="en-AU"/>
              </w:rPr>
              <w:t>(0.97</w:t>
            </w:r>
            <w:r w:rsidRPr="007D2B92">
              <w:rPr>
                <w:rFonts w:ascii="Arial Narrow" w:hAnsi="Arial Narrow"/>
                <w:b/>
                <w:sz w:val="18"/>
                <w:szCs w:val="18"/>
                <w:lang w:val="en-AU"/>
              </w:rPr>
              <w:noBreakHyphen/>
              <w:t>1.55)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MenW</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 (2-6)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7597 (5586-10333)</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2017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87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2.86 (2.32-3.51)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49 (39-62)</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51 (44-61)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147 (125-171)</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 (2-4)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8967 (6733-11943)</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3170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3.56 (2.96-4.29)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39 (24-37)</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48 (38-60)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Ratio</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 xml:space="preserve"> b</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b/>
                <w:sz w:val="18"/>
                <w:szCs w:val="18"/>
                <w:lang w:val="en-AU"/>
              </w:rPr>
            </w:pPr>
            <w:r w:rsidRPr="007D2B92">
              <w:rPr>
                <w:rFonts w:ascii="Arial Narrow" w:hAnsi="Arial Narrow"/>
                <w:b/>
                <w:sz w:val="18"/>
                <w:szCs w:val="18"/>
                <w:lang w:val="en-AU"/>
              </w:rPr>
              <w:t>2.00</w:t>
            </w:r>
          </w:p>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b/>
                <w:sz w:val="18"/>
                <w:szCs w:val="18"/>
                <w:lang w:val="en-AU"/>
              </w:rPr>
              <w:t>(1.66</w:t>
            </w:r>
            <w:r w:rsidRPr="007D2B92">
              <w:rPr>
                <w:rFonts w:ascii="Arial Narrow" w:hAnsi="Arial Narrow"/>
                <w:b/>
                <w:sz w:val="18"/>
                <w:szCs w:val="18"/>
                <w:lang w:val="en-AU"/>
              </w:rPr>
              <w:noBreakHyphen/>
              <w:t>2.42)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val="restart"/>
            <w:tcBorders>
              <w:top w:val="single" w:sz="4" w:space="0" w:color="auto"/>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MenY</w:t>
            </w:r>
            <w:proofErr w:type="spellEnd"/>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roofErr w:type="spellStart"/>
            <w:r w:rsidRPr="007D2B92">
              <w:rPr>
                <w:rFonts w:ascii="Arial Narrow" w:hAnsi="Arial Narrow"/>
                <w:sz w:val="18"/>
                <w:szCs w:val="18"/>
                <w:lang w:val="en-AU"/>
              </w:rPr>
              <w:t>MenACWY</w:t>
            </w:r>
            <w:proofErr w:type="spellEnd"/>
            <w:r w:rsidRPr="007D2B92">
              <w:rPr>
                <w:rFonts w:ascii="Arial Narrow" w:hAnsi="Arial Narrow"/>
                <w:sz w:val="18"/>
                <w:szCs w:val="18"/>
                <w:lang w:val="en-AU"/>
              </w:rPr>
              <w:t>-CRM</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 (3-8)</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4484 (3555-5655)</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964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51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3.58 (3.02-4.26)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100 (75-133)</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9.01 (7.64-11)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BE5DB6" w:rsidRDefault="00AF00DF" w:rsidP="00E94413">
            <w:pPr>
              <w:pStyle w:val="TableLeft"/>
              <w:jc w:val="center"/>
              <w:rPr>
                <w:rFonts w:ascii="Arial Narrow" w:hAnsi="Arial Narrow"/>
                <w:sz w:val="18"/>
                <w:szCs w:val="18"/>
                <w:lang w:val="en-AU"/>
              </w:rPr>
            </w:pPr>
            <w:r w:rsidRPr="00BE5DB6">
              <w:rPr>
                <w:rFonts w:ascii="Arial Narrow" w:hAnsi="Arial Narrow"/>
                <w:sz w:val="18"/>
                <w:szCs w:val="18"/>
                <w:lang w:val="en-AU"/>
              </w:rPr>
              <w:t>107 (89-128)</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Comparator</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4 (2-7)</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3915 (2390-6414)</w:t>
            </w: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1009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18</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3.58 (3.07-4.17)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34 (27-44)</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8.82 (7.02-11)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 '''''''''''''''''''''''''</w:t>
            </w:r>
          </w:p>
        </w:tc>
      </w:tr>
      <w:tr w:rsidR="00AF00DF" w:rsidRPr="007D2B92" w:rsidTr="00E94413">
        <w:tc>
          <w:tcPr>
            <w:tcW w:w="237" w:type="pct"/>
            <w:vMerge/>
            <w:tcBorders>
              <w:left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Vaccine Group Ratio</w:t>
            </w:r>
            <w:r w:rsidRPr="007D2B92">
              <w:rPr>
                <w:rFonts w:ascii="Arial Narrow" w:hAnsi="Arial Narrow"/>
                <w:sz w:val="18"/>
                <w:szCs w:val="18"/>
                <w:vertAlign w:val="superscript"/>
                <w:lang w:val="en-AU"/>
              </w:rPr>
              <w:t xml:space="preserve"> </w:t>
            </w:r>
            <w:r w:rsidRPr="007D2B92">
              <w:rPr>
                <w:rFonts w:ascii="Arial Narrow" w:hAnsi="Arial Narrow"/>
                <w:sz w:val="18"/>
                <w:szCs w:val="18"/>
                <w:lang w:val="en-AU"/>
              </w:rPr>
              <w:t>(95% CI)</w:t>
            </w:r>
            <w:r w:rsidRPr="007D2B92">
              <w:rPr>
                <w:rFonts w:ascii="Arial Narrow" w:hAnsi="Arial Narrow"/>
                <w:sz w:val="18"/>
                <w:szCs w:val="18"/>
                <w:vertAlign w:val="superscript"/>
                <w:lang w:val="en-AU"/>
              </w:rPr>
              <w:t xml:space="preserve"> b</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p w:rsidR="00AF00DF" w:rsidRPr="00346D40" w:rsidRDefault="00346D40" w:rsidP="00E94413">
            <w:pPr>
              <w:pStyle w:val="TableLeft"/>
              <w:jc w:val="center"/>
              <w:rPr>
                <w:rFonts w:ascii="Arial Narrow" w:hAnsi="Arial Narrow"/>
                <w:sz w:val="18"/>
                <w:szCs w:val="18"/>
                <w:highlight w:val="black"/>
                <w:lang w:val="en-AU"/>
              </w:rPr>
            </w:pPr>
            <w:r>
              <w:rPr>
                <w:rFonts w:ascii="Arial Narrow" w:hAnsi="Arial Narrow"/>
                <w:noProof/>
                <w:color w:val="000000"/>
                <w:sz w:val="18"/>
                <w:szCs w:val="18"/>
                <w:highlight w:val="black"/>
                <w:lang w:val="en-AU"/>
              </w:rPr>
              <w:t>'''''''''''''''''''''''</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b/>
                <w:sz w:val="18"/>
                <w:szCs w:val="18"/>
                <w:lang w:val="en-AU"/>
              </w:rPr>
            </w:pPr>
            <w:r w:rsidRPr="007D2B92">
              <w:rPr>
                <w:rFonts w:ascii="Arial Narrow" w:hAnsi="Arial Narrow"/>
                <w:b/>
                <w:sz w:val="18"/>
                <w:szCs w:val="18"/>
                <w:lang w:val="en-AU"/>
              </w:rPr>
              <w:t>2.82</w:t>
            </w:r>
          </w:p>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b/>
                <w:sz w:val="18"/>
                <w:szCs w:val="18"/>
                <w:lang w:val="en-AU"/>
              </w:rPr>
              <w:t>(2.26</w:t>
            </w:r>
            <w:r w:rsidRPr="007D2B92">
              <w:rPr>
                <w:rFonts w:ascii="Arial Narrow" w:hAnsi="Arial Narrow"/>
                <w:b/>
                <w:sz w:val="18"/>
                <w:szCs w:val="18"/>
                <w:lang w:val="en-AU"/>
              </w:rPr>
              <w:noBreakHyphen/>
              <w:t>3.52)</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r w:rsidR="00AF00DF" w:rsidRPr="007D2B92" w:rsidTr="00E94413">
        <w:tc>
          <w:tcPr>
            <w:tcW w:w="237" w:type="pct"/>
            <w:vMerge/>
            <w:tcBorders>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rPr>
                <w:rFonts w:ascii="Arial Narrow" w:hAnsi="Arial Narrow"/>
                <w:sz w:val="18"/>
                <w:szCs w:val="18"/>
                <w:lang w:val="en-AU"/>
              </w:rPr>
            </w:pPr>
            <w:r w:rsidRPr="007D2B92">
              <w:rPr>
                <w:rFonts w:ascii="Arial Narrow" w:hAnsi="Arial Narrow"/>
                <w:sz w:val="18"/>
                <w:szCs w:val="18"/>
                <w:lang w:val="en-AU"/>
              </w:rPr>
              <w:t>P-value</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163"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r w:rsidRPr="007D2B92">
              <w:rPr>
                <w:rFonts w:ascii="Arial Narrow" w:hAnsi="Arial Narrow"/>
                <w:sz w:val="18"/>
                <w:szCs w:val="18"/>
                <w:lang w:val="en-AU"/>
              </w:rPr>
              <w:t>***</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AF00DF" w:rsidRPr="007D2B92" w:rsidRDefault="00AF00DF" w:rsidP="00E94413">
            <w:pPr>
              <w:pStyle w:val="TableLeft"/>
              <w:jc w:val="center"/>
              <w:rPr>
                <w:rFonts w:ascii="Arial Narrow" w:hAnsi="Arial Narrow"/>
                <w:sz w:val="18"/>
                <w:szCs w:val="18"/>
                <w:lang w:val="en-AU"/>
              </w:rPr>
            </w:pPr>
          </w:p>
        </w:tc>
        <w:tc>
          <w:tcPr>
            <w:tcW w:w="414" w:type="pct"/>
            <w:tcBorders>
              <w:top w:val="single" w:sz="4" w:space="0" w:color="auto"/>
              <w:left w:val="single" w:sz="4" w:space="0" w:color="auto"/>
              <w:bottom w:val="single" w:sz="4" w:space="0" w:color="auto"/>
              <w:right w:val="single" w:sz="4" w:space="0" w:color="auto"/>
            </w:tcBorders>
            <w:vAlign w:val="center"/>
          </w:tcPr>
          <w:p w:rsidR="00AF00DF" w:rsidRPr="007D2B92" w:rsidRDefault="00AF00DF" w:rsidP="00E94413">
            <w:pPr>
              <w:pStyle w:val="TableLeft"/>
              <w:jc w:val="center"/>
              <w:rPr>
                <w:rFonts w:ascii="Arial Narrow" w:hAnsi="Arial Narrow"/>
                <w:sz w:val="18"/>
                <w:szCs w:val="18"/>
                <w:lang w:val="en-AU"/>
              </w:rPr>
            </w:pPr>
          </w:p>
        </w:tc>
      </w:tr>
    </w:tbl>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 xml:space="preserve">CI: confidence interval; GMR: Geometric mean ratio; GMT: Geometric mean </w:t>
      </w:r>
      <w:proofErr w:type="spellStart"/>
      <w:r w:rsidRPr="007D2B92">
        <w:rPr>
          <w:rFonts w:ascii="Arial Narrow" w:hAnsi="Arial Narrow"/>
          <w:sz w:val="18"/>
          <w:szCs w:val="18"/>
        </w:rPr>
        <w:t>titers</w:t>
      </w:r>
      <w:proofErr w:type="spellEnd"/>
      <w:r w:rsidRPr="007D2B92">
        <w:rPr>
          <w:rFonts w:ascii="Arial Narrow" w:hAnsi="Arial Narrow"/>
          <w:sz w:val="18"/>
          <w:szCs w:val="18"/>
        </w:rPr>
        <w:t xml:space="preserve">; </w:t>
      </w:r>
      <w:proofErr w:type="spellStart"/>
      <w:r w:rsidRPr="007D2B92">
        <w:rPr>
          <w:rFonts w:ascii="Arial Narrow" w:hAnsi="Arial Narrow"/>
          <w:sz w:val="18"/>
          <w:szCs w:val="18"/>
        </w:rPr>
        <w:t>MenACWY</w:t>
      </w:r>
      <w:proofErr w:type="spellEnd"/>
      <w:r w:rsidRPr="007D2B92">
        <w:rPr>
          <w:rFonts w:ascii="Arial Narrow" w:hAnsi="Arial Narrow"/>
          <w:sz w:val="18"/>
          <w:szCs w:val="18"/>
        </w:rPr>
        <w:t>-CRM: Meningococcal Oligosaccharide CRM197 Conjugate Vaccine; N = number of subjects; PP: per protocol.</w:t>
      </w:r>
    </w:p>
    <w:p w:rsidR="00AF00DF" w:rsidRPr="007D2B92" w:rsidRDefault="00AF00DF" w:rsidP="00AF00DF">
      <w:pPr>
        <w:pStyle w:val="CaptionFootnote"/>
        <w:rPr>
          <w:rFonts w:ascii="Arial Narrow" w:hAnsi="Arial Narrow"/>
          <w:sz w:val="18"/>
          <w:szCs w:val="18"/>
        </w:rPr>
      </w:pPr>
      <w:proofErr w:type="spellStart"/>
      <w:proofErr w:type="gramStart"/>
      <w:r w:rsidRPr="007D2B92">
        <w:rPr>
          <w:rFonts w:ascii="Arial Narrow" w:hAnsi="Arial Narrow"/>
          <w:sz w:val="18"/>
          <w:szCs w:val="18"/>
        </w:rPr>
        <w:t>a</w:t>
      </w:r>
      <w:proofErr w:type="spellEnd"/>
      <w:proofErr w:type="gramEnd"/>
      <w:r w:rsidRPr="007D2B92">
        <w:rPr>
          <w:rFonts w:ascii="Arial Narrow" w:hAnsi="Arial Narrow"/>
          <w:sz w:val="18"/>
          <w:szCs w:val="18"/>
        </w:rPr>
        <w:t xml:space="preserve"> The SBA assay type is unknown. The submission claimed that it is likely to be </w:t>
      </w:r>
      <w:proofErr w:type="spellStart"/>
      <w:r w:rsidRPr="007D2B92">
        <w:rPr>
          <w:rFonts w:ascii="Arial Narrow" w:hAnsi="Arial Narrow"/>
          <w:sz w:val="18"/>
          <w:szCs w:val="18"/>
        </w:rPr>
        <w:t>rSBA</w:t>
      </w:r>
      <w:proofErr w:type="spellEnd"/>
      <w:r w:rsidRPr="007D2B92">
        <w:rPr>
          <w:rFonts w:ascii="Arial Narrow" w:hAnsi="Arial Narrow"/>
          <w:sz w:val="18"/>
          <w:szCs w:val="18"/>
        </w:rPr>
        <w:t>, based on original study of Men C vaccine responses (p83 of the submission).</w:t>
      </w:r>
    </w:p>
    <w:p w:rsidR="00AF00DF" w:rsidRPr="007D2B92" w:rsidRDefault="00AF00DF" w:rsidP="00AF00DF">
      <w:pPr>
        <w:pStyle w:val="CaptionFootnote"/>
        <w:rPr>
          <w:rFonts w:ascii="Arial Narrow" w:hAnsi="Arial Narrow"/>
          <w:sz w:val="18"/>
          <w:szCs w:val="18"/>
        </w:rPr>
      </w:pPr>
      <w:proofErr w:type="gramStart"/>
      <w:r w:rsidRPr="007D2B92">
        <w:rPr>
          <w:rFonts w:ascii="Arial Narrow" w:hAnsi="Arial Narrow"/>
          <w:sz w:val="18"/>
          <w:szCs w:val="18"/>
        </w:rPr>
        <w:t>b</w:t>
      </w:r>
      <w:proofErr w:type="gramEnd"/>
      <w:r w:rsidRPr="007D2B92">
        <w:rPr>
          <w:rFonts w:ascii="Arial Narrow" w:hAnsi="Arial Narrow"/>
          <w:sz w:val="18"/>
          <w:szCs w:val="18"/>
        </w:rPr>
        <w:t xml:space="preserve"> Bold indicates superior. Superiority was determined if the lower limit of the 95% CI around the GMT ratio was &gt;1 or if the lower limit of the 95% CI around the group difference was &gt;0.</w:t>
      </w:r>
    </w:p>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*P &lt; .05, **P &lt; .01, ***P &lt; .001.</w:t>
      </w:r>
    </w:p>
    <w:p w:rsidR="00AF00DF" w:rsidRPr="007D2B92" w:rsidRDefault="00AF00DF" w:rsidP="00AF00DF">
      <w:pPr>
        <w:pStyle w:val="CaptionFootnote"/>
        <w:rPr>
          <w:rFonts w:ascii="Arial Narrow" w:hAnsi="Arial Narrow"/>
          <w:sz w:val="18"/>
          <w:szCs w:val="18"/>
        </w:rPr>
      </w:pPr>
      <w:r w:rsidRPr="007D2B92">
        <w:rPr>
          <w:rFonts w:ascii="Arial Narrow" w:hAnsi="Arial Narrow"/>
          <w:sz w:val="18"/>
          <w:szCs w:val="18"/>
        </w:rPr>
        <w:t>Source: Table 2.22 p77, Table 2.25 p80, Table 2.27 p82 and Table 2.28 p84 of the submission.</w:t>
      </w:r>
    </w:p>
    <w:p w:rsidR="00AF00DF" w:rsidRPr="007D2B92" w:rsidRDefault="00AF00DF" w:rsidP="00900642">
      <w:pPr>
        <w:pStyle w:val="CaptionFootnote"/>
        <w:spacing w:after="120"/>
      </w:pPr>
    </w:p>
    <w:p w:rsidR="00AF00DF" w:rsidRPr="007D2B92" w:rsidRDefault="00AF00DF" w:rsidP="00900642">
      <w:pPr>
        <w:spacing w:after="120"/>
        <w:sectPr w:rsidR="00AF00DF" w:rsidRPr="007D2B92" w:rsidSect="00EB2429">
          <w:headerReference w:type="default" r:id="rId17"/>
          <w:pgSz w:w="16840" w:h="11907" w:orient="landscape" w:code="9"/>
          <w:pgMar w:top="1440" w:right="1440" w:bottom="1440" w:left="1440" w:header="1440" w:footer="1191" w:gutter="0"/>
          <w:cols w:space="708"/>
          <w:docGrid w:linePitch="360"/>
        </w:sectPr>
      </w:pPr>
    </w:p>
    <w:p w:rsidR="00025F36" w:rsidRPr="007D2B92" w:rsidRDefault="00025F36" w:rsidP="00900642">
      <w:pPr>
        <w:keepNext/>
        <w:widowControl/>
        <w:spacing w:after="120"/>
        <w:rPr>
          <w:u w:val="single"/>
        </w:rPr>
      </w:pPr>
      <w:r w:rsidRPr="007D2B92">
        <w:rPr>
          <w:u w:val="single"/>
        </w:rPr>
        <w:lastRenderedPageBreak/>
        <w:t>Persistence</w:t>
      </w:r>
    </w:p>
    <w:p w:rsidR="00025F36" w:rsidRPr="007D2B92" w:rsidRDefault="00025F36" w:rsidP="007D4B83">
      <w:pPr>
        <w:pStyle w:val="ListParagraph"/>
        <w:widowControl/>
        <w:numPr>
          <w:ilvl w:val="1"/>
          <w:numId w:val="1"/>
        </w:numPr>
        <w:spacing w:after="120"/>
      </w:pPr>
      <w:r w:rsidRPr="007D2B92">
        <w:t xml:space="preserve">Vaccine efficacy persistence up to 5 years after vaccination was explored through follow-up of participants in </w:t>
      </w:r>
      <w:proofErr w:type="spellStart"/>
      <w:r w:rsidRPr="007D2B92">
        <w:t>Ishola</w:t>
      </w:r>
      <w:proofErr w:type="spellEnd"/>
      <w:r w:rsidRPr="007D2B92">
        <w:t xml:space="preserve"> 2015, and extension studies of V59P13 (V59P13E1) and V59PP6 (V59P6E1).</w:t>
      </w:r>
    </w:p>
    <w:p w:rsidR="00025F36" w:rsidRPr="007D2B92" w:rsidRDefault="00025F36" w:rsidP="007D4B83">
      <w:pPr>
        <w:pStyle w:val="ListParagraph"/>
        <w:widowControl/>
        <w:numPr>
          <w:ilvl w:val="1"/>
          <w:numId w:val="1"/>
        </w:numPr>
        <w:spacing w:after="120"/>
      </w:pPr>
      <w:r w:rsidRPr="007D2B92">
        <w:t xml:space="preserve">Overall </w:t>
      </w:r>
      <w:r w:rsidR="004210F1" w:rsidRPr="007D2B92">
        <w:t xml:space="preserve">vaccine efficacy </w:t>
      </w:r>
      <w:r w:rsidRPr="007D2B92">
        <w:t xml:space="preserve">declined over time across the persistence studies. ATAGI noted that the greatest decline in </w:t>
      </w:r>
      <w:proofErr w:type="spellStart"/>
      <w:r w:rsidRPr="007D2B92">
        <w:t>hSBA</w:t>
      </w:r>
      <w:proofErr w:type="spellEnd"/>
      <w:r w:rsidRPr="007D2B92">
        <w:t xml:space="preserve"> titres occurs in the first 2 years after receipt of </w:t>
      </w:r>
      <w:proofErr w:type="spellStart"/>
      <w:r w:rsidRPr="007D2B92">
        <w:t>MenACWY</w:t>
      </w:r>
      <w:proofErr w:type="spellEnd"/>
      <w:r w:rsidRPr="007D2B92">
        <w:noBreakHyphen/>
        <w:t>CRM, followed by a period of relatively stable levels for 3-5 years (ATAGI pre-submission advice).</w:t>
      </w:r>
    </w:p>
    <w:p w:rsidR="00700AC4" w:rsidRPr="007D2B92" w:rsidRDefault="006D5036" w:rsidP="007D4B83">
      <w:pPr>
        <w:pStyle w:val="ListParagraph"/>
        <w:widowControl/>
        <w:numPr>
          <w:ilvl w:val="1"/>
          <w:numId w:val="1"/>
        </w:numPr>
        <w:spacing w:after="120"/>
      </w:pPr>
      <w:r w:rsidRPr="007D2B92">
        <w:t>The ESC</w:t>
      </w:r>
      <w:r w:rsidR="00C501E6" w:rsidRPr="007D2B92">
        <w:rPr>
          <w:i/>
        </w:rPr>
        <w:t xml:space="preserve"> </w:t>
      </w:r>
      <w:r w:rsidRPr="007D2B92">
        <w:t>considered</w:t>
      </w:r>
      <w:r w:rsidR="00700AC4" w:rsidRPr="007D2B92">
        <w:t xml:space="preserve"> persistence beyond 5 years to be uncertain.</w:t>
      </w:r>
    </w:p>
    <w:p w:rsidR="00025F36" w:rsidRPr="007D2B92" w:rsidRDefault="00025F36" w:rsidP="00900642">
      <w:pPr>
        <w:widowControl/>
        <w:spacing w:after="120"/>
        <w:rPr>
          <w:u w:val="single"/>
        </w:rPr>
      </w:pPr>
    </w:p>
    <w:p w:rsidR="00025F36" w:rsidRPr="007D2B92" w:rsidRDefault="00025F36" w:rsidP="00900642">
      <w:pPr>
        <w:widowControl/>
        <w:spacing w:after="120"/>
        <w:rPr>
          <w:u w:val="single"/>
        </w:rPr>
      </w:pPr>
      <w:r w:rsidRPr="007D2B92">
        <w:rPr>
          <w:u w:val="single"/>
        </w:rPr>
        <w:t>Concomitant administration</w:t>
      </w:r>
    </w:p>
    <w:p w:rsidR="00025F36" w:rsidRPr="007D2B92" w:rsidRDefault="00025F36" w:rsidP="007D4B83">
      <w:pPr>
        <w:pStyle w:val="ListParagraph"/>
        <w:widowControl/>
        <w:numPr>
          <w:ilvl w:val="1"/>
          <w:numId w:val="1"/>
        </w:numPr>
        <w:spacing w:after="120"/>
      </w:pPr>
      <w:r w:rsidRPr="007D2B92">
        <w:t xml:space="preserve">The </w:t>
      </w:r>
      <w:r w:rsidRPr="007D2B92">
        <w:rPr>
          <w:rFonts w:cs="Calibri"/>
          <w:snapToGrid/>
          <w:szCs w:val="24"/>
          <w:lang w:eastAsia="en-AU"/>
        </w:rPr>
        <w:t>submission</w:t>
      </w:r>
      <w:r w:rsidRPr="007D2B92">
        <w:t xml:space="preserve"> also presented three studies comparing </w:t>
      </w:r>
      <w:proofErr w:type="spellStart"/>
      <w:r w:rsidRPr="007D2B92">
        <w:t>MenACWY</w:t>
      </w:r>
      <w:proofErr w:type="spellEnd"/>
      <w:r w:rsidRPr="007D2B92">
        <w:t xml:space="preserve">-CRM administered concomitantly with a </w:t>
      </w:r>
      <w:r w:rsidR="00B3065D" w:rsidRPr="007D2B92">
        <w:t>tetanus, diphtheria and pertussis vaccine (</w:t>
      </w:r>
      <w:proofErr w:type="spellStart"/>
      <w:r w:rsidRPr="007D2B92">
        <w:t>Tdap</w:t>
      </w:r>
      <w:proofErr w:type="spellEnd"/>
      <w:r w:rsidR="00B3065D" w:rsidRPr="007D2B92">
        <w:t>)</w:t>
      </w:r>
      <w:r w:rsidRPr="007D2B92">
        <w:t xml:space="preserve"> and a HPV vaccine (V59P18, V59P11 and V59P4).</w:t>
      </w:r>
    </w:p>
    <w:p w:rsidR="00025F36" w:rsidRPr="007D2B92" w:rsidRDefault="00025F36" w:rsidP="007D4B83">
      <w:pPr>
        <w:pStyle w:val="ListParagraph"/>
        <w:widowControl/>
        <w:numPr>
          <w:ilvl w:val="1"/>
          <w:numId w:val="1"/>
        </w:numPr>
        <w:spacing w:after="120"/>
      </w:pPr>
      <w:r w:rsidRPr="007D2B92">
        <w:t xml:space="preserve">Study V59P18: ATAGI noted that the only identified interaction was minor reductions in geometric mean concentrations (GMCs) of FHA and PRN pertussis antigens, seen with concomitant vaccination against </w:t>
      </w:r>
      <w:proofErr w:type="spellStart"/>
      <w:r w:rsidRPr="007D2B92">
        <w:t>dTpa</w:t>
      </w:r>
      <w:proofErr w:type="spellEnd"/>
      <w:r w:rsidRPr="007D2B92">
        <w:t xml:space="preserve"> alone, but the proportion of recipients with ≥4-fold rise of at least 2 of 3 pertussis antigens were similar (86% concomitant group and 88% </w:t>
      </w:r>
      <w:proofErr w:type="spellStart"/>
      <w:r w:rsidRPr="007D2B92">
        <w:t>dTpa</w:t>
      </w:r>
      <w:proofErr w:type="spellEnd"/>
      <w:r w:rsidRPr="007D2B92">
        <w:t xml:space="preserve"> alone). Serogroup W responses (%hSBA≥1:8) were lower when </w:t>
      </w:r>
      <w:proofErr w:type="spellStart"/>
      <w:r w:rsidRPr="007D2B92">
        <w:t>MenACWY</w:t>
      </w:r>
      <w:proofErr w:type="spellEnd"/>
      <w:r w:rsidRPr="007D2B92">
        <w:t xml:space="preserve">-CRM was administered 1 month after (65% [95% CI: 61-70]) rather than 1 month before </w:t>
      </w:r>
      <w:proofErr w:type="spellStart"/>
      <w:r w:rsidRPr="007D2B92">
        <w:t>dTpa</w:t>
      </w:r>
      <w:proofErr w:type="spellEnd"/>
      <w:r w:rsidRPr="007D2B92">
        <w:t xml:space="preserve"> (81% [95% CI: 77-84]) (ATAGI pre-submission advice).</w:t>
      </w:r>
    </w:p>
    <w:p w:rsidR="00025F36" w:rsidRPr="007D2B92" w:rsidRDefault="00025F36" w:rsidP="007D4B83">
      <w:pPr>
        <w:pStyle w:val="ListParagraph"/>
        <w:widowControl/>
        <w:numPr>
          <w:ilvl w:val="1"/>
          <w:numId w:val="1"/>
        </w:numPr>
        <w:spacing w:after="120"/>
      </w:pPr>
      <w:r w:rsidRPr="007D2B92">
        <w:t>Study V59P11: ATAGI noted that this trial showed similar findings with no interactions for tetanus or diphtheria responses, but non-inferiority shown only for FHA (but not PRN or PT) anti-pertussis antibodies (</w:t>
      </w:r>
      <w:r w:rsidR="004F243D" w:rsidRPr="007D2B92">
        <w:t>ATAGI pre-submission advice</w:t>
      </w:r>
      <w:r w:rsidRPr="007D2B92">
        <w:t>).</w:t>
      </w:r>
    </w:p>
    <w:p w:rsidR="00025F36" w:rsidRPr="007D2B92" w:rsidRDefault="00025F36" w:rsidP="007D4B83">
      <w:pPr>
        <w:pStyle w:val="ListParagraph"/>
        <w:widowControl/>
        <w:numPr>
          <w:ilvl w:val="1"/>
          <w:numId w:val="1"/>
        </w:numPr>
        <w:spacing w:after="120"/>
      </w:pPr>
      <w:r w:rsidRPr="007D2B92">
        <w:t xml:space="preserve">Study V59P40: ATAGI noted that this trial found no interaction between the </w:t>
      </w:r>
      <w:proofErr w:type="spellStart"/>
      <w:r w:rsidRPr="007D2B92">
        <w:t>MenACWY</w:t>
      </w:r>
      <w:proofErr w:type="spellEnd"/>
      <w:r w:rsidRPr="007D2B92">
        <w:t>-CRM vaccine and anti-pertussis antibody GMCs (ATAGI pre-submission advice).</w:t>
      </w:r>
    </w:p>
    <w:p w:rsidR="00025F36" w:rsidRPr="007D2B92" w:rsidRDefault="00025F36" w:rsidP="007D4B83">
      <w:pPr>
        <w:pStyle w:val="ListParagraph"/>
        <w:widowControl/>
        <w:numPr>
          <w:ilvl w:val="1"/>
          <w:numId w:val="1"/>
        </w:numPr>
        <w:spacing w:after="120"/>
      </w:pPr>
      <w:r w:rsidRPr="007D2B92">
        <w:t xml:space="preserve">No studies were available assessing efficacy of </w:t>
      </w:r>
      <w:proofErr w:type="spellStart"/>
      <w:r w:rsidRPr="007D2B92">
        <w:t>MenACWY</w:t>
      </w:r>
      <w:proofErr w:type="spellEnd"/>
      <w:r w:rsidRPr="007D2B92">
        <w:t xml:space="preserve">-CRM with a </w:t>
      </w:r>
      <w:r w:rsidR="00B3065D" w:rsidRPr="007D2B92">
        <w:t xml:space="preserve">nine valent </w:t>
      </w:r>
      <w:r w:rsidRPr="007D2B92">
        <w:t xml:space="preserve">HPV </w:t>
      </w:r>
      <w:r w:rsidR="00B3065D" w:rsidRPr="007D2B92">
        <w:t xml:space="preserve">(9vHPV) </w:t>
      </w:r>
      <w:r w:rsidRPr="007D2B92">
        <w:t>vaccine.</w:t>
      </w:r>
    </w:p>
    <w:p w:rsidR="00900642" w:rsidRPr="007D2B92" w:rsidRDefault="00900642" w:rsidP="00900642">
      <w:pPr>
        <w:pStyle w:val="ListParagraph"/>
        <w:widowControl/>
        <w:spacing w:after="120"/>
      </w:pPr>
    </w:p>
    <w:p w:rsidR="004D4C3E" w:rsidRPr="007D2B92" w:rsidRDefault="004D4C3E" w:rsidP="00900642">
      <w:pPr>
        <w:widowControl/>
        <w:spacing w:after="120"/>
        <w:rPr>
          <w:u w:val="single"/>
        </w:rPr>
      </w:pPr>
      <w:r w:rsidRPr="007D2B92">
        <w:rPr>
          <w:u w:val="single"/>
        </w:rPr>
        <w:t>Naïve indirect comparison</w:t>
      </w:r>
    </w:p>
    <w:p w:rsidR="00AF00DF" w:rsidRPr="007D2B92" w:rsidRDefault="00FC6505" w:rsidP="007D4B83">
      <w:pPr>
        <w:pStyle w:val="ListParagraph"/>
        <w:widowControl/>
        <w:numPr>
          <w:ilvl w:val="1"/>
          <w:numId w:val="1"/>
        </w:numPr>
        <w:spacing w:after="120"/>
      </w:pPr>
      <w:r w:rsidRPr="007D2B92">
        <w:rPr>
          <w:rFonts w:cs="Calibri"/>
          <w:snapToGrid/>
          <w:szCs w:val="24"/>
          <w:lang w:eastAsia="en-AU"/>
        </w:rPr>
        <w:t>Table 8</w:t>
      </w:r>
      <w:r w:rsidR="00AF00DF" w:rsidRPr="007D2B92">
        <w:rPr>
          <w:rFonts w:cs="Calibri"/>
          <w:snapToGrid/>
          <w:szCs w:val="24"/>
          <w:lang w:eastAsia="en-AU"/>
        </w:rPr>
        <w:t xml:space="preserve"> presents the results of the naïve indirect comparison, using </w:t>
      </w:r>
      <w:r w:rsidR="002F7239" w:rsidRPr="007D2B92">
        <w:rPr>
          <w:rFonts w:cs="Calibri"/>
          <w:snapToGrid/>
          <w:szCs w:val="24"/>
          <w:lang w:eastAsia="en-AU"/>
        </w:rPr>
        <w:t xml:space="preserve">the </w:t>
      </w:r>
      <w:proofErr w:type="spellStart"/>
      <w:r w:rsidR="00AF00DF" w:rsidRPr="007D2B92">
        <w:rPr>
          <w:rFonts w:cs="Calibri"/>
          <w:snapToGrid/>
          <w:szCs w:val="24"/>
          <w:lang w:eastAsia="en-AU"/>
        </w:rPr>
        <w:t>MenACWY</w:t>
      </w:r>
      <w:proofErr w:type="spellEnd"/>
      <w:r w:rsidR="002F7239" w:rsidRPr="007D2B92">
        <w:rPr>
          <w:rFonts w:cs="Calibri"/>
          <w:snapToGrid/>
          <w:szCs w:val="24"/>
          <w:lang w:eastAsia="en-AU"/>
        </w:rPr>
        <w:noBreakHyphen/>
      </w:r>
      <w:r w:rsidR="00AF00DF" w:rsidRPr="007D2B92">
        <w:rPr>
          <w:rFonts w:cs="Calibri"/>
          <w:snapToGrid/>
          <w:szCs w:val="24"/>
          <w:lang w:eastAsia="en-AU"/>
        </w:rPr>
        <w:t xml:space="preserve">DT </w:t>
      </w:r>
      <w:r w:rsidR="002F7239" w:rsidRPr="007D2B92">
        <w:rPr>
          <w:rFonts w:cs="Calibri"/>
          <w:snapToGrid/>
          <w:szCs w:val="24"/>
          <w:lang w:eastAsia="en-AU"/>
        </w:rPr>
        <w:t xml:space="preserve">vaccine </w:t>
      </w:r>
      <w:r w:rsidR="00AF00DF" w:rsidRPr="007D2B92">
        <w:rPr>
          <w:rFonts w:cs="Calibri"/>
          <w:snapToGrid/>
          <w:szCs w:val="24"/>
          <w:lang w:eastAsia="en-AU"/>
        </w:rPr>
        <w:t>(</w:t>
      </w:r>
      <w:proofErr w:type="spellStart"/>
      <w:r w:rsidR="00AF00DF" w:rsidRPr="007D2B92">
        <w:rPr>
          <w:rFonts w:cs="Calibri"/>
          <w:snapToGrid/>
          <w:szCs w:val="24"/>
          <w:lang w:eastAsia="en-AU"/>
        </w:rPr>
        <w:t>Menactra</w:t>
      </w:r>
      <w:proofErr w:type="spellEnd"/>
      <w:r w:rsidR="00AF00DF" w:rsidRPr="007D2B92">
        <w:rPr>
          <w:rFonts w:cs="Calibri"/>
          <w:snapToGrid/>
          <w:szCs w:val="24"/>
          <w:lang w:eastAsia="en-AU"/>
        </w:rPr>
        <w:t>) as the common comparator.</w:t>
      </w:r>
    </w:p>
    <w:p w:rsidR="00FC6505" w:rsidRPr="007D2B92" w:rsidRDefault="00FC6505" w:rsidP="004D4C3E">
      <w:pPr>
        <w:keepNext/>
        <w:rPr>
          <w:rStyle w:val="CommentReference"/>
        </w:rPr>
      </w:pPr>
      <w:r w:rsidRPr="007D2B92">
        <w:rPr>
          <w:rStyle w:val="CommentReference"/>
        </w:rPr>
        <w:lastRenderedPageBreak/>
        <w:t>Table 8: Summary of vaccine efficacy results of the naive indirect comparison</w:t>
      </w:r>
      <w:r w:rsidR="00C80DCD" w:rsidRPr="007D2B92">
        <w:rPr>
          <w:rStyle w:val="FootnoteReference"/>
          <w:rFonts w:ascii="Arial Narrow" w:hAnsi="Arial Narrow"/>
          <w:b/>
          <w:sz w:val="20"/>
          <w:szCs w:val="16"/>
        </w:rPr>
        <w:footnoteReference w:id="9"/>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10"/>
        <w:gridCol w:w="1178"/>
        <w:gridCol w:w="1310"/>
        <w:gridCol w:w="1310"/>
        <w:gridCol w:w="1309"/>
        <w:gridCol w:w="1310"/>
        <w:gridCol w:w="1310"/>
      </w:tblGrid>
      <w:tr w:rsidR="00FC6505" w:rsidRPr="007D2B92" w:rsidTr="00E94413">
        <w:trPr>
          <w:tblHeader/>
        </w:trPr>
        <w:tc>
          <w:tcPr>
            <w:tcW w:w="1737" w:type="dxa"/>
            <w:vMerge w:val="restart"/>
            <w:tcBorders>
              <w:top w:val="single" w:sz="4" w:space="0" w:color="auto"/>
              <w:left w:val="single" w:sz="4" w:space="0" w:color="auto"/>
              <w:right w:val="single" w:sz="4" w:space="0" w:color="auto"/>
            </w:tcBorders>
            <w:shd w:val="clear" w:color="auto" w:fill="auto"/>
            <w:vAlign w:val="center"/>
          </w:tcPr>
          <w:p w:rsidR="00FC6505" w:rsidRPr="007D2B92" w:rsidRDefault="00FC6505" w:rsidP="004D4C3E">
            <w:pPr>
              <w:pStyle w:val="TableLeft"/>
              <w:keepNext/>
              <w:rPr>
                <w:rFonts w:ascii="Arial Narrow" w:hAnsi="Arial Narrow"/>
                <w:b/>
                <w:szCs w:val="20"/>
              </w:rPr>
            </w:pPr>
            <w:r w:rsidRPr="007D2B92">
              <w:rPr>
                <w:rFonts w:ascii="Arial Narrow" w:hAnsi="Arial Narrow"/>
                <w:b/>
                <w:szCs w:val="20"/>
              </w:rPr>
              <w:t>Serogroup</w:t>
            </w:r>
          </w:p>
        </w:tc>
        <w:tc>
          <w:tcPr>
            <w:tcW w:w="2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Study V59P13</w:t>
            </w:r>
          </w:p>
        </w:tc>
        <w:tc>
          <w:tcPr>
            <w:tcW w:w="2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Study MenACWY-TT-71</w:t>
            </w:r>
          </w:p>
        </w:tc>
        <w:tc>
          <w:tcPr>
            <w:tcW w:w="28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Study MenACWY-TT-052</w:t>
            </w:r>
          </w:p>
        </w:tc>
      </w:tr>
      <w:tr w:rsidR="00FC6505" w:rsidRPr="007D2B92" w:rsidTr="00E94413">
        <w:trPr>
          <w:tblHeader/>
        </w:trPr>
        <w:tc>
          <w:tcPr>
            <w:tcW w:w="1737" w:type="dxa"/>
            <w:vMerge/>
            <w:tcBorders>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Left"/>
              <w:keepNext/>
              <w:rPr>
                <w:rFonts w:ascii="Arial Narrow" w:hAnsi="Arial Narrow"/>
                <w:b/>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-CRM</w:t>
            </w:r>
            <w:r w:rsidRPr="007D2B92" w:rsidDel="007100EE">
              <w:rPr>
                <w:rFonts w:ascii="Arial Narrow" w:hAnsi="Arial Narrow"/>
                <w:b/>
                <w:szCs w:val="20"/>
              </w:rPr>
              <w:t xml:space="preserve"> </w:t>
            </w:r>
            <w:r w:rsidRPr="007D2B92">
              <w:rPr>
                <w:rFonts w:ascii="Arial Narrow" w:hAnsi="Arial Narrow"/>
                <w:b/>
                <w:szCs w:val="20"/>
              </w:rPr>
              <w:t xml:space="preserve">/ </w:t>
            </w:r>
            <w:proofErr w:type="spellStart"/>
            <w:r w:rsidRPr="007D2B92">
              <w:rPr>
                <w:rFonts w:ascii="Arial Narrow" w:hAnsi="Arial Narrow"/>
                <w:b/>
                <w:szCs w:val="20"/>
              </w:rPr>
              <w:t>MenACWY</w:t>
            </w:r>
            <w:proofErr w:type="spellEnd"/>
            <w:r w:rsidRPr="007D2B92">
              <w:rPr>
                <w:rFonts w:ascii="Arial Narrow" w:hAnsi="Arial Narrow"/>
                <w:b/>
                <w:szCs w:val="20"/>
              </w:rPr>
              <w:t>-DT</w:t>
            </w:r>
          </w:p>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(95% CI)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-CRM</w:t>
            </w:r>
            <w:r w:rsidRPr="007D2B92" w:rsidDel="007100EE">
              <w:rPr>
                <w:rFonts w:ascii="Arial Narrow" w:hAnsi="Arial Narrow"/>
                <w:b/>
                <w:szCs w:val="20"/>
              </w:rPr>
              <w:t xml:space="preserve"> </w:t>
            </w:r>
            <w:r w:rsidRPr="007D2B92">
              <w:rPr>
                <w:rFonts w:ascii="Arial Narrow" w:hAnsi="Arial Narrow"/>
                <w:b/>
                <w:szCs w:val="20"/>
              </w:rPr>
              <w:t>minus</w:t>
            </w:r>
          </w:p>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-DT (95% CI)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-TT</w:t>
            </w:r>
            <w:r w:rsidRPr="007D2B92" w:rsidDel="007100EE">
              <w:rPr>
                <w:rFonts w:ascii="Arial Narrow" w:hAnsi="Arial Narrow"/>
                <w:b/>
                <w:szCs w:val="20"/>
              </w:rPr>
              <w:t xml:space="preserve"> </w:t>
            </w:r>
            <w:r w:rsidRPr="007D2B92">
              <w:rPr>
                <w:rFonts w:ascii="Arial Narrow" w:hAnsi="Arial Narrow"/>
                <w:b/>
                <w:szCs w:val="20"/>
              </w:rPr>
              <w:t xml:space="preserve">/ </w:t>
            </w:r>
            <w:proofErr w:type="spellStart"/>
            <w:r w:rsidRPr="007D2B92">
              <w:rPr>
                <w:rFonts w:ascii="Arial Narrow" w:hAnsi="Arial Narrow"/>
                <w:b/>
                <w:szCs w:val="20"/>
              </w:rPr>
              <w:t>MenACWY</w:t>
            </w:r>
            <w:proofErr w:type="spellEnd"/>
            <w:r w:rsidRPr="007D2B92">
              <w:rPr>
                <w:rFonts w:ascii="Arial Narrow" w:hAnsi="Arial Narrow"/>
                <w:b/>
                <w:szCs w:val="20"/>
              </w:rPr>
              <w:t>-DT</w:t>
            </w:r>
          </w:p>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(95% CI)</w:t>
            </w:r>
            <w:r w:rsidRPr="007D2B92">
              <w:rPr>
                <w:rFonts w:ascii="Arial Narrow" w:hAnsi="Arial Narrow" w:cstheme="minorHAnsi"/>
                <w:b/>
                <w:szCs w:val="20"/>
              </w:rPr>
              <w:t xml:space="preserve">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-TT</w:t>
            </w:r>
            <w:r w:rsidRPr="007D2B92" w:rsidDel="007100EE">
              <w:rPr>
                <w:rFonts w:ascii="Arial Narrow" w:hAnsi="Arial Narrow"/>
                <w:b/>
                <w:szCs w:val="20"/>
              </w:rPr>
              <w:t xml:space="preserve"> </w:t>
            </w:r>
            <w:r w:rsidRPr="007D2B92">
              <w:rPr>
                <w:rFonts w:ascii="Arial Narrow" w:hAnsi="Arial Narrow"/>
                <w:b/>
                <w:szCs w:val="20"/>
              </w:rPr>
              <w:t>minus</w:t>
            </w:r>
          </w:p>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-DT (95% CI)</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-TT</w:t>
            </w:r>
            <w:r w:rsidRPr="007D2B92" w:rsidDel="007100EE">
              <w:rPr>
                <w:rFonts w:ascii="Arial Narrow" w:hAnsi="Arial Narrow"/>
                <w:b/>
                <w:szCs w:val="20"/>
              </w:rPr>
              <w:t xml:space="preserve"> </w:t>
            </w:r>
            <w:r w:rsidRPr="007D2B92">
              <w:rPr>
                <w:rFonts w:ascii="Arial Narrow" w:hAnsi="Arial Narrow"/>
                <w:b/>
                <w:szCs w:val="20"/>
              </w:rPr>
              <w:t xml:space="preserve">/ </w:t>
            </w:r>
            <w:proofErr w:type="spellStart"/>
            <w:r w:rsidRPr="007D2B92">
              <w:rPr>
                <w:rFonts w:ascii="Arial Narrow" w:hAnsi="Arial Narrow"/>
                <w:b/>
                <w:szCs w:val="20"/>
              </w:rPr>
              <w:t>MenACWY</w:t>
            </w:r>
            <w:proofErr w:type="spellEnd"/>
            <w:r w:rsidRPr="007D2B92">
              <w:rPr>
                <w:rFonts w:ascii="Arial Narrow" w:hAnsi="Arial Narrow"/>
                <w:b/>
                <w:szCs w:val="20"/>
              </w:rPr>
              <w:t>-DT</w:t>
            </w:r>
          </w:p>
          <w:p w:rsidR="00FC6505" w:rsidRPr="007D2B92" w:rsidRDefault="00FC6505" w:rsidP="004D4C3E">
            <w:pPr>
              <w:pStyle w:val="TableCentre"/>
              <w:keepNext/>
              <w:rPr>
                <w:rFonts w:ascii="Arial Narrow" w:hAnsi="Arial Narrow"/>
                <w:b/>
                <w:szCs w:val="20"/>
              </w:rPr>
            </w:pPr>
            <w:r w:rsidRPr="007D2B92">
              <w:rPr>
                <w:rFonts w:ascii="Arial Narrow" w:hAnsi="Arial Narrow"/>
                <w:b/>
                <w:szCs w:val="20"/>
              </w:rPr>
              <w:t>(95% CI)</w:t>
            </w:r>
            <w:r w:rsidRPr="007D2B92">
              <w:rPr>
                <w:rFonts w:ascii="Arial Narrow" w:hAnsi="Arial Narrow" w:cstheme="minorHAnsi"/>
                <w:b/>
                <w:szCs w:val="20"/>
              </w:rPr>
              <w:t xml:space="preserve">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-TT</w:t>
            </w:r>
            <w:r w:rsidRPr="007D2B92" w:rsidDel="007100EE">
              <w:rPr>
                <w:rFonts w:ascii="Arial Narrow" w:hAnsi="Arial Narrow"/>
                <w:b/>
                <w:szCs w:val="20"/>
              </w:rPr>
              <w:t xml:space="preserve"> </w:t>
            </w:r>
            <w:r w:rsidRPr="007D2B92">
              <w:rPr>
                <w:rFonts w:ascii="Arial Narrow" w:hAnsi="Arial Narrow"/>
                <w:b/>
                <w:szCs w:val="20"/>
              </w:rPr>
              <w:t>minus</w:t>
            </w:r>
          </w:p>
          <w:p w:rsidR="00FC6505" w:rsidRPr="007D2B92" w:rsidRDefault="00FC6505" w:rsidP="004D4C3E">
            <w:pPr>
              <w:pStyle w:val="TableCentre"/>
              <w:keepNext/>
              <w:rPr>
                <w:rFonts w:ascii="Arial Narrow" w:hAnsi="Arial Narrow"/>
                <w:b/>
                <w:szCs w:val="20"/>
              </w:rPr>
            </w:pPr>
            <w:proofErr w:type="spellStart"/>
            <w:r w:rsidRPr="007D2B92">
              <w:rPr>
                <w:rFonts w:ascii="Arial Narrow" w:hAnsi="Arial Narrow"/>
                <w:b/>
                <w:szCs w:val="20"/>
              </w:rPr>
              <w:t>MenACWY</w:t>
            </w:r>
            <w:proofErr w:type="spellEnd"/>
            <w:r w:rsidRPr="007D2B92">
              <w:rPr>
                <w:rFonts w:ascii="Arial Narrow" w:hAnsi="Arial Narrow"/>
                <w:b/>
                <w:szCs w:val="20"/>
              </w:rPr>
              <w:t>-DT (95% CI)</w:t>
            </w:r>
          </w:p>
        </w:tc>
      </w:tr>
      <w:tr w:rsidR="00FC6505" w:rsidRPr="007D2B92" w:rsidTr="00E94413">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4D4C3E">
            <w:pPr>
              <w:pStyle w:val="TableCentre"/>
              <w:keepNext/>
              <w:jc w:val="left"/>
              <w:rPr>
                <w:rFonts w:ascii="Arial Narrow" w:hAnsi="Arial Narrow"/>
                <w:b/>
                <w:szCs w:val="20"/>
              </w:rPr>
            </w:pPr>
            <w:r w:rsidRPr="007D2B92">
              <w:rPr>
                <w:rFonts w:ascii="Arial Narrow" w:hAnsi="Arial Narrow"/>
                <w:b/>
                <w:szCs w:val="20"/>
              </w:rPr>
              <w:t>A</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xml:space="preserve">% </w:t>
            </w:r>
            <w:proofErr w:type="spellStart"/>
            <w:r w:rsidRPr="007D2B92">
              <w:rPr>
                <w:rFonts w:ascii="Arial Narrow" w:hAnsi="Arial Narrow"/>
                <w:szCs w:val="20"/>
              </w:rPr>
              <w:t>Seroresponse</w:t>
            </w:r>
            <w:proofErr w:type="spellEnd"/>
            <w:r w:rsidRPr="007D2B92">
              <w:rPr>
                <w:rFonts w:ascii="Arial Narrow" w:hAnsi="Arial Narrow"/>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9 [Should be 8]</w:t>
            </w:r>
          </w:p>
          <w:p w:rsidR="00FC6505" w:rsidRPr="007D2B92" w:rsidRDefault="00FC6505" w:rsidP="00E94413">
            <w:pPr>
              <w:pStyle w:val="TableCentre"/>
              <w:rPr>
                <w:rFonts w:ascii="Arial Narrow" w:hAnsi="Arial Narrow"/>
                <w:szCs w:val="20"/>
              </w:rPr>
            </w:pPr>
            <w:r w:rsidRPr="007D2B92">
              <w:rPr>
                <w:rFonts w:ascii="Arial Narrow" w:hAnsi="Arial Narrow"/>
                <w:szCs w:val="20"/>
              </w:rPr>
              <w:t>(3, 14)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6.01</w:t>
            </w:r>
          </w:p>
          <w:p w:rsidR="00FC6505" w:rsidRPr="007D2B92" w:rsidRDefault="00FC6505" w:rsidP="00E94413">
            <w:pPr>
              <w:pStyle w:val="TableCentre"/>
              <w:rPr>
                <w:rFonts w:ascii="Arial Narrow" w:hAnsi="Arial Narrow"/>
                <w:szCs w:val="20"/>
              </w:rPr>
            </w:pPr>
            <w:r w:rsidRPr="007D2B92">
              <w:rPr>
                <w:rFonts w:ascii="Arial Narrow" w:hAnsi="Arial Narrow"/>
                <w:szCs w:val="20"/>
              </w:rPr>
              <w:t>(-1.45, 13.44)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 1:8</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8</w:t>
            </w:r>
          </w:p>
          <w:p w:rsidR="00FC6505" w:rsidRPr="007D2B92" w:rsidRDefault="00FC6505" w:rsidP="00E94413">
            <w:pPr>
              <w:pStyle w:val="TableCentre"/>
              <w:rPr>
                <w:rFonts w:ascii="Arial Narrow" w:hAnsi="Arial Narrow"/>
                <w:szCs w:val="20"/>
              </w:rPr>
            </w:pPr>
            <w:r w:rsidRPr="007D2B92">
              <w:rPr>
                <w:rFonts w:ascii="Arial Narrow" w:hAnsi="Arial Narrow"/>
                <w:szCs w:val="20"/>
              </w:rPr>
              <w:t>(3, 14)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color w:val="000000" w:themeColor="text1"/>
                <w:szCs w:val="20"/>
              </w:rPr>
            </w:pPr>
            <w:r w:rsidRPr="007D2B92">
              <w:rPr>
                <w:rFonts w:ascii="Arial Narrow" w:hAnsi="Arial Narrow"/>
                <w:color w:val="000000" w:themeColor="text1"/>
                <w:szCs w:val="20"/>
              </w:rPr>
              <w:t xml:space="preserve">7.22 </w:t>
            </w:r>
          </w:p>
          <w:p w:rsidR="00FC6505" w:rsidRPr="007D2B92" w:rsidRDefault="00FC6505" w:rsidP="00E94413">
            <w:pPr>
              <w:pStyle w:val="TableCentre"/>
              <w:rPr>
                <w:rFonts w:ascii="Arial Narrow" w:hAnsi="Arial Narrow"/>
                <w:szCs w:val="20"/>
              </w:rPr>
            </w:pPr>
            <w:r w:rsidRPr="007D2B92">
              <w:rPr>
                <w:rFonts w:ascii="Arial Narrow" w:hAnsi="Arial Narrow"/>
                <w:szCs w:val="20"/>
              </w:rPr>
              <w:t>(0.51-13.93)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color w:val="000000" w:themeColor="text1"/>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 xml:space="preserve">11.20 </w:t>
            </w:r>
          </w:p>
          <w:p w:rsidR="00FC6505" w:rsidRPr="007D2B92" w:rsidRDefault="00FC6505" w:rsidP="00E94413">
            <w:pPr>
              <w:pStyle w:val="TableCentre"/>
              <w:rPr>
                <w:rFonts w:ascii="Arial Narrow" w:hAnsi="Arial Narrow"/>
                <w:color w:val="000000" w:themeColor="text1"/>
                <w:szCs w:val="20"/>
              </w:rPr>
            </w:pPr>
            <w:r w:rsidRPr="007D2B92">
              <w:rPr>
                <w:rFonts w:ascii="Arial Narrow" w:hAnsi="Arial Narrow"/>
                <w:szCs w:val="20"/>
              </w:rPr>
              <w:t>(3.87, 19.18)</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GMT Ratio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1.63</w:t>
            </w:r>
          </w:p>
          <w:p w:rsidR="00FC6505" w:rsidRPr="007D2B92" w:rsidRDefault="00FC6505" w:rsidP="00E94413">
            <w:pPr>
              <w:pStyle w:val="TableCentre"/>
              <w:rPr>
                <w:rFonts w:ascii="Arial Narrow" w:hAnsi="Arial Narrow"/>
                <w:szCs w:val="20"/>
              </w:rPr>
            </w:pPr>
            <w:r w:rsidRPr="007D2B92">
              <w:rPr>
                <w:rFonts w:ascii="Arial Narrow" w:hAnsi="Arial Narrow"/>
                <w:szCs w:val="20"/>
              </w:rPr>
              <w:t xml:space="preserve">(1.31, 2.02)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1.34</w:t>
            </w:r>
          </w:p>
          <w:p w:rsidR="00FC6505" w:rsidRPr="007D2B92" w:rsidRDefault="00FC6505" w:rsidP="00E94413">
            <w:pPr>
              <w:pStyle w:val="TableCentre"/>
              <w:rPr>
                <w:rFonts w:ascii="Arial Narrow" w:hAnsi="Arial Narrow"/>
                <w:szCs w:val="20"/>
              </w:rPr>
            </w:pPr>
            <w:r w:rsidRPr="007D2B92">
              <w:rPr>
                <w:rFonts w:ascii="Arial Narrow" w:hAnsi="Arial Narrow"/>
                <w:szCs w:val="20"/>
              </w:rPr>
              <w:t>(0.97, 1.84)</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1.57</w:t>
            </w:r>
          </w:p>
          <w:p w:rsidR="00FC6505" w:rsidRPr="007D2B92" w:rsidRDefault="00FC6505" w:rsidP="00E94413">
            <w:pPr>
              <w:pStyle w:val="TableCentre"/>
              <w:rPr>
                <w:rFonts w:ascii="Arial Narrow" w:hAnsi="Arial Narrow"/>
                <w:szCs w:val="20"/>
              </w:rPr>
            </w:pPr>
            <w:r w:rsidRPr="007D2B92">
              <w:rPr>
                <w:rFonts w:ascii="Arial Narrow" w:hAnsi="Arial Narrow"/>
                <w:szCs w:val="20"/>
              </w:rPr>
              <w:t>(1.13, 2.17)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p>
        </w:tc>
      </w:tr>
      <w:tr w:rsidR="00FC6505" w:rsidRPr="007D2B92" w:rsidTr="00E94413">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jc w:val="left"/>
              <w:rPr>
                <w:rFonts w:ascii="Arial Narrow" w:hAnsi="Arial Narrow"/>
                <w:b/>
                <w:szCs w:val="20"/>
              </w:rPr>
            </w:pPr>
            <w:r w:rsidRPr="007D2B92">
              <w:rPr>
                <w:rFonts w:ascii="Arial Narrow" w:hAnsi="Arial Narrow"/>
                <w:b/>
                <w:szCs w:val="20"/>
              </w:rPr>
              <w:t>C</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xml:space="preserve">% </w:t>
            </w:r>
            <w:proofErr w:type="spellStart"/>
            <w:r w:rsidRPr="007D2B92">
              <w:rPr>
                <w:rFonts w:ascii="Arial Narrow" w:hAnsi="Arial Narrow"/>
                <w:szCs w:val="20"/>
              </w:rPr>
              <w:t>Seroresponse</w:t>
            </w:r>
            <w:proofErr w:type="spellEnd"/>
            <w:r w:rsidRPr="007D2B92">
              <w:rPr>
                <w:rFonts w:ascii="Arial Narrow" w:hAnsi="Arial Narrow"/>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w:t>
            </w:r>
          </w:p>
          <w:p w:rsidR="00FC6505" w:rsidRPr="007D2B92" w:rsidRDefault="00FC6505" w:rsidP="00E94413">
            <w:pPr>
              <w:pStyle w:val="TableCentre"/>
              <w:rPr>
                <w:rFonts w:ascii="Arial Narrow" w:hAnsi="Arial Narrow"/>
                <w:szCs w:val="20"/>
              </w:rPr>
            </w:pPr>
            <w:r w:rsidRPr="007D2B92">
              <w:rPr>
                <w:rFonts w:ascii="Arial Narrow" w:hAnsi="Arial Narrow"/>
                <w:szCs w:val="20"/>
              </w:rPr>
              <w:t>(-2, 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0.95</w:t>
            </w:r>
          </w:p>
          <w:p w:rsidR="00FC6505" w:rsidRPr="007D2B92" w:rsidRDefault="00FC6505" w:rsidP="00E94413">
            <w:pPr>
              <w:pStyle w:val="TableCentre"/>
              <w:rPr>
                <w:rFonts w:ascii="Arial Narrow" w:hAnsi="Arial Narrow"/>
                <w:szCs w:val="20"/>
              </w:rPr>
            </w:pPr>
            <w:r w:rsidRPr="007D2B92">
              <w:rPr>
                <w:rFonts w:ascii="Arial Narrow" w:hAnsi="Arial Narrow"/>
                <w:szCs w:val="20"/>
              </w:rPr>
              <w:t>(-6.10, 8.00)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 1:8</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0</w:t>
            </w:r>
          </w:p>
          <w:p w:rsidR="00FC6505" w:rsidRPr="007D2B92" w:rsidRDefault="00FC6505" w:rsidP="00E94413">
            <w:pPr>
              <w:pStyle w:val="TableCentre"/>
              <w:rPr>
                <w:rFonts w:ascii="Arial Narrow" w:hAnsi="Arial Narrow"/>
                <w:szCs w:val="20"/>
              </w:rPr>
            </w:pPr>
            <w:r w:rsidRPr="007D2B92">
              <w:rPr>
                <w:rFonts w:ascii="Arial Narrow" w:hAnsi="Arial Narrow"/>
                <w:szCs w:val="20"/>
              </w:rPr>
              <w:t>(-4, 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-2.22</w:t>
            </w:r>
          </w:p>
          <w:p w:rsidR="00FC6505" w:rsidRPr="007D2B92" w:rsidRDefault="00FC6505" w:rsidP="00E94413">
            <w:pPr>
              <w:pStyle w:val="TableCentre"/>
              <w:rPr>
                <w:rFonts w:ascii="Arial Narrow" w:hAnsi="Arial Narrow"/>
                <w:szCs w:val="20"/>
              </w:rPr>
            </w:pPr>
            <w:r w:rsidRPr="007D2B92">
              <w:rPr>
                <w:rFonts w:ascii="Arial Narrow" w:hAnsi="Arial Narrow"/>
                <w:szCs w:val="20"/>
              </w:rPr>
              <w:t>(-5.23, 0.48)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-2.77</w:t>
            </w:r>
          </w:p>
          <w:p w:rsidR="00FC6505" w:rsidRPr="007D2B92" w:rsidRDefault="00FC6505" w:rsidP="00E94413">
            <w:pPr>
              <w:pStyle w:val="TableCentre"/>
              <w:rPr>
                <w:rFonts w:ascii="Arial Narrow" w:hAnsi="Arial Narrow"/>
                <w:szCs w:val="20"/>
              </w:rPr>
            </w:pPr>
            <w:r w:rsidRPr="007D2B92">
              <w:rPr>
                <w:rFonts w:ascii="Arial Narrow" w:hAnsi="Arial Narrow"/>
                <w:szCs w:val="20"/>
              </w:rPr>
              <w:t>(-5.08, 0.40)</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GMT ratio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1.22</w:t>
            </w:r>
          </w:p>
          <w:p w:rsidR="00FC6505" w:rsidRPr="007D2B92" w:rsidRDefault="00FC6505" w:rsidP="00E94413">
            <w:pPr>
              <w:pStyle w:val="TableCentre"/>
              <w:rPr>
                <w:rFonts w:ascii="Arial Narrow" w:hAnsi="Arial Narrow"/>
                <w:szCs w:val="20"/>
              </w:rPr>
            </w:pPr>
            <w:r w:rsidRPr="007D2B92">
              <w:rPr>
                <w:rFonts w:ascii="Arial Narrow" w:hAnsi="Arial Narrow"/>
                <w:szCs w:val="20"/>
              </w:rPr>
              <w:t>(0.97, 1.55)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1.35</w:t>
            </w:r>
          </w:p>
          <w:p w:rsidR="00FC6505" w:rsidRPr="007D2B92" w:rsidRDefault="00FC6505" w:rsidP="00E94413">
            <w:pPr>
              <w:pStyle w:val="TableCentre"/>
              <w:rPr>
                <w:rFonts w:ascii="Arial Narrow" w:hAnsi="Arial Narrow"/>
                <w:szCs w:val="20"/>
              </w:rPr>
            </w:pPr>
            <w:r w:rsidRPr="007D2B92">
              <w:rPr>
                <w:rFonts w:ascii="Arial Narrow" w:hAnsi="Arial Narrow"/>
                <w:szCs w:val="20"/>
              </w:rPr>
              <w:t>(0.92, 1.99)</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2.07</w:t>
            </w:r>
          </w:p>
          <w:p w:rsidR="00FC6505" w:rsidRPr="007D2B92" w:rsidRDefault="00FC6505" w:rsidP="00E94413">
            <w:pPr>
              <w:pStyle w:val="TableCentre"/>
              <w:rPr>
                <w:rFonts w:ascii="Arial Narrow" w:hAnsi="Arial Narrow"/>
                <w:szCs w:val="20"/>
              </w:rPr>
            </w:pPr>
            <w:r w:rsidRPr="007D2B92">
              <w:rPr>
                <w:rFonts w:ascii="Arial Narrow" w:hAnsi="Arial Narrow"/>
                <w:szCs w:val="20"/>
              </w:rPr>
              <w:t>(1.45, 2.95)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jc w:val="left"/>
              <w:rPr>
                <w:rFonts w:ascii="Arial Narrow" w:hAnsi="Arial Narrow"/>
                <w:b/>
                <w:szCs w:val="20"/>
              </w:rPr>
            </w:pPr>
            <w:r w:rsidRPr="007D2B92">
              <w:rPr>
                <w:rFonts w:ascii="Arial Narrow" w:hAnsi="Arial Narrow"/>
                <w:b/>
                <w:szCs w:val="20"/>
              </w:rPr>
              <w:t>W</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xml:space="preserve">% </w:t>
            </w:r>
            <w:proofErr w:type="spellStart"/>
            <w:r w:rsidRPr="007D2B92">
              <w:rPr>
                <w:rFonts w:ascii="Arial Narrow" w:hAnsi="Arial Narrow"/>
                <w:szCs w:val="20"/>
              </w:rPr>
              <w:t>Seroresponse</w:t>
            </w:r>
            <w:proofErr w:type="spellEnd"/>
            <w:r w:rsidRPr="007D2B92">
              <w:rPr>
                <w:rFonts w:ascii="Arial Narrow" w:hAnsi="Arial Narrow"/>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4437BA" w:rsidRPr="007D2B92" w:rsidRDefault="004437BA" w:rsidP="004437BA">
            <w:pPr>
              <w:pStyle w:val="TableCentre"/>
              <w:rPr>
                <w:rFonts w:ascii="Arial Narrow" w:hAnsi="Arial Narrow"/>
                <w:szCs w:val="20"/>
              </w:rPr>
            </w:pPr>
            <w:r w:rsidRPr="007D2B92">
              <w:rPr>
                <w:rFonts w:ascii="Arial Narrow" w:hAnsi="Arial Narrow"/>
                <w:szCs w:val="20"/>
              </w:rPr>
              <w:t>12 [Should be 11]</w:t>
            </w:r>
          </w:p>
          <w:p w:rsidR="00FC6505" w:rsidRPr="007D2B92" w:rsidRDefault="004437BA" w:rsidP="004437BA">
            <w:pPr>
              <w:pStyle w:val="TableCentre"/>
              <w:rPr>
                <w:rFonts w:ascii="Arial Narrow" w:hAnsi="Arial Narrow"/>
                <w:szCs w:val="20"/>
              </w:rPr>
            </w:pPr>
            <w:r w:rsidRPr="007D2B92">
              <w:rPr>
                <w:rFonts w:ascii="Arial Narrow" w:hAnsi="Arial Narrow"/>
                <w:szCs w:val="20"/>
              </w:rPr>
              <w:t xml:space="preserve"> </w:t>
            </w:r>
            <w:r w:rsidR="00FC6505" w:rsidRPr="007D2B92">
              <w:rPr>
                <w:rFonts w:ascii="Arial Narrow" w:hAnsi="Arial Narrow"/>
                <w:szCs w:val="20"/>
              </w:rPr>
              <w:t>(6, 18)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6.95</w:t>
            </w:r>
          </w:p>
          <w:p w:rsidR="00FC6505" w:rsidRPr="007D2B92" w:rsidRDefault="00FC6505" w:rsidP="00E94413">
            <w:pPr>
              <w:pStyle w:val="TableCentre"/>
              <w:rPr>
                <w:rFonts w:ascii="Arial Narrow" w:hAnsi="Arial Narrow"/>
                <w:szCs w:val="20"/>
              </w:rPr>
            </w:pPr>
            <w:r w:rsidRPr="007D2B92">
              <w:rPr>
                <w:rFonts w:ascii="Arial Narrow" w:hAnsi="Arial Narrow"/>
                <w:szCs w:val="20"/>
              </w:rPr>
              <w:t>(-0.76, 14.59)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 1:8</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8</w:t>
            </w:r>
          </w:p>
          <w:p w:rsidR="00FC6505" w:rsidRPr="007D2B92" w:rsidRDefault="00FC6505" w:rsidP="00E94413">
            <w:pPr>
              <w:pStyle w:val="TableCentre"/>
              <w:rPr>
                <w:rFonts w:ascii="Arial Narrow" w:hAnsi="Arial Narrow"/>
                <w:szCs w:val="20"/>
              </w:rPr>
            </w:pPr>
            <w:r w:rsidRPr="007D2B92">
              <w:rPr>
                <w:rFonts w:ascii="Arial Narrow" w:hAnsi="Arial Narrow"/>
                <w:szCs w:val="20"/>
              </w:rPr>
              <w:t>(4, 12)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8.11</w:t>
            </w:r>
          </w:p>
          <w:p w:rsidR="00FC6505" w:rsidRPr="007D2B92" w:rsidRDefault="00FC6505" w:rsidP="00E94413">
            <w:pPr>
              <w:pStyle w:val="TableCentre"/>
              <w:rPr>
                <w:rFonts w:ascii="Arial Narrow" w:hAnsi="Arial Narrow"/>
                <w:szCs w:val="20"/>
              </w:rPr>
            </w:pPr>
            <w:r w:rsidRPr="007D2B92">
              <w:rPr>
                <w:rFonts w:ascii="Arial Narrow" w:hAnsi="Arial Narrow"/>
                <w:szCs w:val="20"/>
              </w:rPr>
              <w:t>(2.79, 13.58)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15.93</w:t>
            </w:r>
          </w:p>
          <w:p w:rsidR="00FC6505" w:rsidRPr="007D2B92" w:rsidRDefault="00FC6505" w:rsidP="00E94413">
            <w:pPr>
              <w:pStyle w:val="TableCentre"/>
              <w:rPr>
                <w:rFonts w:ascii="Arial Narrow" w:hAnsi="Arial Narrow"/>
                <w:szCs w:val="20"/>
              </w:rPr>
            </w:pPr>
            <w:r w:rsidRPr="007D2B92">
              <w:rPr>
                <w:rFonts w:ascii="Arial Narrow" w:hAnsi="Arial Narrow"/>
                <w:szCs w:val="20"/>
              </w:rPr>
              <w:t>[Should be 14.93]</w:t>
            </w:r>
          </w:p>
          <w:p w:rsidR="00FC6505" w:rsidRPr="007D2B92" w:rsidRDefault="00FC6505" w:rsidP="00E94413">
            <w:pPr>
              <w:pStyle w:val="TableCentre"/>
              <w:rPr>
                <w:rFonts w:ascii="Arial Narrow" w:hAnsi="Arial Narrow"/>
                <w:szCs w:val="20"/>
              </w:rPr>
            </w:pPr>
            <w:r w:rsidRPr="007D2B92">
              <w:rPr>
                <w:rFonts w:ascii="Arial Narrow" w:hAnsi="Arial Narrow"/>
                <w:szCs w:val="20"/>
              </w:rPr>
              <w:t>(8.24, 22.71)</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GMT ratio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2.00</w:t>
            </w:r>
          </w:p>
          <w:p w:rsidR="00FC6505" w:rsidRPr="007D2B92" w:rsidRDefault="00FC6505" w:rsidP="00E94413">
            <w:pPr>
              <w:pStyle w:val="TableCentre"/>
              <w:rPr>
                <w:rFonts w:ascii="Arial Narrow" w:hAnsi="Arial Narrow"/>
                <w:szCs w:val="20"/>
              </w:rPr>
            </w:pPr>
            <w:r w:rsidRPr="007D2B92">
              <w:rPr>
                <w:rFonts w:ascii="Arial Narrow" w:hAnsi="Arial Narrow"/>
                <w:szCs w:val="20"/>
              </w:rPr>
              <w:t>(1.66, 2.42)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1.60</w:t>
            </w:r>
          </w:p>
          <w:p w:rsidR="00FC6505" w:rsidRPr="007D2B92" w:rsidRDefault="00FC6505" w:rsidP="00E94413">
            <w:pPr>
              <w:pStyle w:val="TableCentre"/>
              <w:rPr>
                <w:rFonts w:ascii="Arial Narrow" w:hAnsi="Arial Narrow"/>
                <w:szCs w:val="20"/>
              </w:rPr>
            </w:pPr>
            <w:r w:rsidRPr="007D2B92">
              <w:rPr>
                <w:rFonts w:ascii="Arial Narrow" w:hAnsi="Arial Narrow"/>
                <w:szCs w:val="20"/>
              </w:rPr>
              <w:t>(1.15, 2.23)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1.98</w:t>
            </w:r>
          </w:p>
          <w:p w:rsidR="00FC6505" w:rsidRPr="007D2B92" w:rsidRDefault="00FC6505" w:rsidP="00E94413">
            <w:pPr>
              <w:pStyle w:val="TableCentre"/>
              <w:rPr>
                <w:rFonts w:ascii="Arial Narrow" w:hAnsi="Arial Narrow"/>
                <w:szCs w:val="20"/>
              </w:rPr>
            </w:pPr>
            <w:r w:rsidRPr="007D2B92">
              <w:rPr>
                <w:rFonts w:ascii="Arial Narrow" w:hAnsi="Arial Narrow"/>
                <w:szCs w:val="20"/>
              </w:rPr>
              <w:t>(1.40, 2.80)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00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jc w:val="left"/>
              <w:rPr>
                <w:rFonts w:ascii="Arial Narrow" w:hAnsi="Arial Narrow"/>
                <w:b/>
                <w:szCs w:val="20"/>
              </w:rPr>
            </w:pPr>
            <w:r w:rsidRPr="007D2B92">
              <w:rPr>
                <w:rFonts w:ascii="Arial Narrow" w:hAnsi="Arial Narrow"/>
                <w:b/>
                <w:szCs w:val="20"/>
              </w:rPr>
              <w:t>Y</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xml:space="preserve">% </w:t>
            </w:r>
            <w:proofErr w:type="spellStart"/>
            <w:r w:rsidRPr="007D2B92">
              <w:rPr>
                <w:rFonts w:ascii="Arial Narrow" w:hAnsi="Arial Narrow"/>
                <w:szCs w:val="20"/>
              </w:rPr>
              <w:t>Seroresponse</w:t>
            </w:r>
            <w:proofErr w:type="spellEnd"/>
            <w:r w:rsidRPr="007D2B92">
              <w:rPr>
                <w:rFonts w:ascii="Arial Narrow" w:hAnsi="Arial Narrow"/>
                <w:szCs w:val="20"/>
              </w:rPr>
              <w: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27</w:t>
            </w:r>
          </w:p>
          <w:p w:rsidR="00FC6505" w:rsidRPr="007D2B92" w:rsidRDefault="00FC6505" w:rsidP="00E94413">
            <w:pPr>
              <w:pStyle w:val="TableCentre"/>
              <w:rPr>
                <w:rFonts w:ascii="Arial Narrow" w:hAnsi="Arial Narrow"/>
                <w:szCs w:val="20"/>
              </w:rPr>
            </w:pPr>
            <w:r w:rsidRPr="007D2B92">
              <w:rPr>
                <w:rFonts w:ascii="Arial Narrow" w:hAnsi="Arial Narrow"/>
                <w:szCs w:val="20"/>
              </w:rPr>
              <w:t>(20, 33)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12.21</w:t>
            </w:r>
          </w:p>
          <w:p w:rsidR="00FC6505" w:rsidRPr="007D2B92" w:rsidRDefault="00FC6505" w:rsidP="00E94413">
            <w:pPr>
              <w:pStyle w:val="TableCentre"/>
              <w:rPr>
                <w:rFonts w:ascii="Arial Narrow" w:hAnsi="Arial Narrow"/>
                <w:szCs w:val="20"/>
              </w:rPr>
            </w:pPr>
            <w:r w:rsidRPr="007D2B92">
              <w:rPr>
                <w:rFonts w:ascii="Arial Narrow" w:hAnsi="Arial Narrow"/>
                <w:szCs w:val="20"/>
              </w:rPr>
              <w:t>(4.17, 20.10)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 ≥ 1:8</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19</w:t>
            </w:r>
          </w:p>
          <w:p w:rsidR="00FC6505" w:rsidRPr="007D2B92" w:rsidRDefault="00FC6505" w:rsidP="00E94413">
            <w:pPr>
              <w:pStyle w:val="TableCentre"/>
              <w:rPr>
                <w:rFonts w:ascii="Arial Narrow" w:hAnsi="Arial Narrow"/>
                <w:szCs w:val="20"/>
              </w:rPr>
            </w:pPr>
            <w:r w:rsidRPr="007D2B92">
              <w:rPr>
                <w:rFonts w:ascii="Arial Narrow" w:hAnsi="Arial Narrow"/>
                <w:szCs w:val="20"/>
              </w:rPr>
              <w:t>(14, 25)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3.98</w:t>
            </w:r>
          </w:p>
          <w:p w:rsidR="00FC6505" w:rsidRPr="007D2B92" w:rsidRDefault="00FC6505" w:rsidP="00E94413">
            <w:pPr>
              <w:pStyle w:val="TableCentre"/>
              <w:rPr>
                <w:rFonts w:ascii="Arial Narrow" w:hAnsi="Arial Narrow"/>
                <w:szCs w:val="20"/>
              </w:rPr>
            </w:pPr>
            <w:r w:rsidRPr="007D2B92">
              <w:rPr>
                <w:rFonts w:ascii="Arial Narrow" w:hAnsi="Arial Narrow"/>
                <w:szCs w:val="20"/>
              </w:rPr>
              <w:t>(1.01, 7.43)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13.40</w:t>
            </w:r>
          </w:p>
          <w:p w:rsidR="00FC6505" w:rsidRPr="007D2B92" w:rsidRDefault="00FC6505" w:rsidP="00E94413">
            <w:pPr>
              <w:pStyle w:val="TableCentre"/>
              <w:rPr>
                <w:rFonts w:ascii="Arial Narrow" w:hAnsi="Arial Narrow"/>
                <w:szCs w:val="20"/>
              </w:rPr>
            </w:pPr>
            <w:r w:rsidRPr="007D2B92">
              <w:rPr>
                <w:rFonts w:ascii="Arial Narrow" w:hAnsi="Arial Narrow"/>
                <w:szCs w:val="20"/>
              </w:rPr>
              <w:t>(7.90, 20.10)</w:t>
            </w:r>
          </w:p>
        </w:tc>
      </w:tr>
      <w:tr w:rsidR="00FC6505" w:rsidRPr="007D2B92" w:rsidTr="00E94413">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Left"/>
              <w:rPr>
                <w:rFonts w:ascii="Arial Narrow" w:hAnsi="Arial Narrow"/>
                <w:szCs w:val="20"/>
              </w:rPr>
            </w:pPr>
            <w:r w:rsidRPr="007D2B92">
              <w:rPr>
                <w:rFonts w:ascii="Arial Narrow" w:hAnsi="Arial Narrow"/>
                <w:szCs w:val="20"/>
              </w:rPr>
              <w:t>GMT Ratio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2.82</w:t>
            </w:r>
          </w:p>
          <w:p w:rsidR="00FC6505" w:rsidRPr="007D2B92" w:rsidRDefault="00FC6505" w:rsidP="00E94413">
            <w:pPr>
              <w:pStyle w:val="TableCentre"/>
              <w:rPr>
                <w:rFonts w:ascii="Arial Narrow" w:hAnsi="Arial Narrow"/>
                <w:szCs w:val="20"/>
              </w:rPr>
            </w:pPr>
            <w:r w:rsidRPr="007D2B92">
              <w:rPr>
                <w:rFonts w:ascii="Arial Narrow" w:hAnsi="Arial Narrow"/>
                <w:szCs w:val="20"/>
              </w:rPr>
              <w:t>(2.26, 3.52)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color w:val="000000" w:themeColor="text1"/>
                <w:szCs w:val="20"/>
              </w:rPr>
            </w:pPr>
            <w:r w:rsidRPr="007D2B92">
              <w:rPr>
                <w:rFonts w:ascii="Arial Narrow" w:hAnsi="Arial Narrow"/>
                <w:color w:val="000000" w:themeColor="text1"/>
                <w:szCs w:val="20"/>
              </w:rPr>
              <w:t>1.54</w:t>
            </w:r>
          </w:p>
          <w:p w:rsidR="00FC6505" w:rsidRPr="007D2B92" w:rsidRDefault="00FC6505" w:rsidP="00E94413">
            <w:pPr>
              <w:pStyle w:val="TableCentre"/>
              <w:rPr>
                <w:rFonts w:ascii="Arial Narrow" w:hAnsi="Arial Narrow"/>
                <w:szCs w:val="20"/>
              </w:rPr>
            </w:pPr>
            <w:r w:rsidRPr="007D2B92">
              <w:rPr>
                <w:rFonts w:ascii="Arial Narrow" w:hAnsi="Arial Narrow"/>
                <w:color w:val="000000" w:themeColor="text1"/>
                <w:szCs w:val="20"/>
              </w:rPr>
              <w:t>(1.21, 1.97)</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2.48</w:t>
            </w:r>
          </w:p>
          <w:p w:rsidR="00FC6505" w:rsidRPr="007D2B92" w:rsidRDefault="00FC6505" w:rsidP="00E94413">
            <w:pPr>
              <w:pStyle w:val="TableCentre"/>
              <w:rPr>
                <w:rFonts w:ascii="Arial Narrow" w:hAnsi="Arial Narrow"/>
                <w:szCs w:val="20"/>
              </w:rPr>
            </w:pPr>
            <w:r w:rsidRPr="007D2B92">
              <w:rPr>
                <w:rFonts w:ascii="Arial Narrow" w:hAnsi="Arial Narrow"/>
                <w:szCs w:val="20"/>
              </w:rPr>
              <w:t>(1.86, 3.32)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6505" w:rsidRPr="007D2B92" w:rsidRDefault="00FC6505" w:rsidP="00E94413">
            <w:pPr>
              <w:pStyle w:val="TableCentre"/>
              <w:rPr>
                <w:rFonts w:ascii="Arial Narrow" w:hAnsi="Arial Narrow"/>
                <w:szCs w:val="20"/>
              </w:rPr>
            </w:pPr>
            <w:r w:rsidRPr="007D2B92">
              <w:rPr>
                <w:rFonts w:ascii="Arial Narrow" w:hAnsi="Arial Narrow"/>
                <w:szCs w:val="20"/>
              </w:rPr>
              <w:t>-</w:t>
            </w:r>
          </w:p>
        </w:tc>
      </w:tr>
    </w:tbl>
    <w:p w:rsidR="00FC6505" w:rsidRPr="007D2B92" w:rsidRDefault="00FC6505" w:rsidP="00FC6505">
      <w:pPr>
        <w:pStyle w:val="CaptionFootnote"/>
        <w:rPr>
          <w:rFonts w:ascii="Arial Narrow" w:hAnsi="Arial Narrow"/>
          <w:sz w:val="18"/>
          <w:szCs w:val="18"/>
        </w:rPr>
      </w:pPr>
      <w:r w:rsidRPr="007D2B92">
        <w:rPr>
          <w:rFonts w:ascii="Arial Narrow" w:hAnsi="Arial Narrow"/>
          <w:sz w:val="18"/>
          <w:szCs w:val="18"/>
        </w:rPr>
        <w:t xml:space="preserve">† GMT ratios and CI adjusted for age strata and baseline </w:t>
      </w:r>
      <w:proofErr w:type="spellStart"/>
      <w:r w:rsidRPr="007D2B92">
        <w:rPr>
          <w:rFonts w:ascii="Arial Narrow" w:hAnsi="Arial Narrow"/>
          <w:sz w:val="18"/>
          <w:szCs w:val="18"/>
        </w:rPr>
        <w:t>titer</w:t>
      </w:r>
      <w:proofErr w:type="spellEnd"/>
    </w:p>
    <w:p w:rsidR="00FC6505" w:rsidRPr="007D2B92" w:rsidRDefault="00FC6505" w:rsidP="00FC6505">
      <w:pPr>
        <w:pStyle w:val="CaptionFootnote"/>
        <w:rPr>
          <w:rFonts w:ascii="Arial Narrow" w:hAnsi="Arial Narrow"/>
          <w:sz w:val="18"/>
          <w:szCs w:val="18"/>
        </w:rPr>
      </w:pPr>
      <w:r w:rsidRPr="007D2B92">
        <w:rPr>
          <w:rFonts w:ascii="Arial Narrow" w:hAnsi="Arial Narrow"/>
          <w:sz w:val="18"/>
          <w:szCs w:val="18"/>
        </w:rPr>
        <w:t xml:space="preserve">‡ </w:t>
      </w:r>
      <w:proofErr w:type="spellStart"/>
      <w:r w:rsidRPr="007D2B92">
        <w:rPr>
          <w:rFonts w:ascii="Arial Narrow" w:hAnsi="Arial Narrow"/>
          <w:sz w:val="18"/>
          <w:szCs w:val="18"/>
        </w:rPr>
        <w:t>Seroresponse</w:t>
      </w:r>
      <w:proofErr w:type="spellEnd"/>
      <w:r w:rsidRPr="007D2B92">
        <w:rPr>
          <w:rFonts w:ascii="Arial Narrow" w:hAnsi="Arial Narrow"/>
          <w:sz w:val="18"/>
          <w:szCs w:val="18"/>
        </w:rPr>
        <w:t xml:space="preserve">/vaccine response not included from study MenACWT-TT-52 due to different definitions to the other studies </w:t>
      </w:r>
    </w:p>
    <w:p w:rsidR="00FC6505" w:rsidRPr="007D2B92" w:rsidRDefault="00FC6505" w:rsidP="00FC6505">
      <w:r w:rsidRPr="007D2B92">
        <w:rPr>
          <w:rFonts w:ascii="Arial Narrow" w:hAnsi="Arial Narrow"/>
          <w:sz w:val="18"/>
          <w:szCs w:val="18"/>
        </w:rPr>
        <w:t>Source: Table 2.72, p142 of the submission</w:t>
      </w:r>
    </w:p>
    <w:p w:rsidR="00FC6505" w:rsidRPr="007D2B92" w:rsidRDefault="00FC6505" w:rsidP="00AF00DF"/>
    <w:p w:rsidR="00A56395" w:rsidRPr="007D2B92" w:rsidRDefault="00A56395" w:rsidP="00DF55D1">
      <w:pPr>
        <w:pStyle w:val="ListParagraph"/>
        <w:widowControl/>
        <w:numPr>
          <w:ilvl w:val="1"/>
          <w:numId w:val="1"/>
        </w:numPr>
        <w:spacing w:after="120"/>
      </w:pPr>
      <w:r w:rsidRPr="007D2B92">
        <w:rPr>
          <w:rFonts w:cs="Calibri"/>
          <w:snapToGrid/>
          <w:szCs w:val="24"/>
          <w:lang w:eastAsia="en-AU"/>
        </w:rPr>
        <w:t xml:space="preserve">There were differences in the definition of </w:t>
      </w:r>
      <w:proofErr w:type="spellStart"/>
      <w:r w:rsidRPr="007D2B92">
        <w:rPr>
          <w:rFonts w:cs="Calibri"/>
          <w:snapToGrid/>
          <w:szCs w:val="24"/>
          <w:lang w:eastAsia="en-AU"/>
        </w:rPr>
        <w:t>seroresponse</w:t>
      </w:r>
      <w:proofErr w:type="spellEnd"/>
      <w:r w:rsidRPr="007D2B92">
        <w:rPr>
          <w:rFonts w:cs="Calibri"/>
          <w:snapToGrid/>
          <w:szCs w:val="24"/>
          <w:lang w:eastAsia="en-AU"/>
        </w:rPr>
        <w:t xml:space="preserve"> across the trials. </w:t>
      </w:r>
      <w:r w:rsidRPr="007D2B92">
        <w:rPr>
          <w:rFonts w:cstheme="minorHAnsi"/>
        </w:rPr>
        <w:t>Study MenACWY-TT-071 applied a more stringent definition of vaccine response than Study V59P13. This biase</w:t>
      </w:r>
      <w:r w:rsidR="00362A50" w:rsidRPr="007D2B92">
        <w:rPr>
          <w:rFonts w:cstheme="minorHAnsi"/>
        </w:rPr>
        <w:t>d</w:t>
      </w:r>
      <w:r w:rsidRPr="007D2B92">
        <w:rPr>
          <w:rFonts w:cstheme="minorHAnsi"/>
        </w:rPr>
        <w:t xml:space="preserve"> the results in favour of the </w:t>
      </w:r>
      <w:proofErr w:type="spellStart"/>
      <w:r w:rsidRPr="007D2B92">
        <w:rPr>
          <w:rFonts w:cstheme="minorHAnsi"/>
        </w:rPr>
        <w:t>MenACWY</w:t>
      </w:r>
      <w:proofErr w:type="spellEnd"/>
      <w:r w:rsidRPr="007D2B92">
        <w:rPr>
          <w:rFonts w:cstheme="minorHAnsi"/>
        </w:rPr>
        <w:t>-CRM vaccine.</w:t>
      </w:r>
    </w:p>
    <w:p w:rsidR="008751BC" w:rsidRPr="007D2B92" w:rsidRDefault="00A56395" w:rsidP="00DF55D1">
      <w:pPr>
        <w:pStyle w:val="ListParagraph"/>
        <w:numPr>
          <w:ilvl w:val="1"/>
          <w:numId w:val="1"/>
        </w:numPr>
        <w:spacing w:after="120"/>
        <w:rPr>
          <w:rFonts w:cs="Calibri"/>
          <w:snapToGrid/>
          <w:szCs w:val="24"/>
          <w:lang w:eastAsia="en-AU"/>
        </w:rPr>
      </w:pPr>
      <w:r w:rsidRPr="007D2B92">
        <w:lastRenderedPageBreak/>
        <w:t xml:space="preserve">The submission stated that “A (formal) indirect comparison of these studies is not presented as the GMT results indicate that though the immunogenicity is measured using </w:t>
      </w:r>
      <w:proofErr w:type="spellStart"/>
      <w:r w:rsidRPr="007D2B92">
        <w:t>hSBA</w:t>
      </w:r>
      <w:proofErr w:type="spellEnd"/>
      <w:r w:rsidRPr="007D2B92">
        <w:t xml:space="preserve">, there appears to be a significant difference in the assays since the values reported in the </w:t>
      </w:r>
      <w:proofErr w:type="spellStart"/>
      <w:r w:rsidRPr="007D2B92">
        <w:t>Nimenrix</w:t>
      </w:r>
      <w:proofErr w:type="spellEnd"/>
      <w:r w:rsidRPr="007D2B92">
        <w:t xml:space="preserve"> studies for both [</w:t>
      </w:r>
      <w:proofErr w:type="spellStart"/>
      <w:r w:rsidRPr="007D2B92">
        <w:t>MenACWY</w:t>
      </w:r>
      <w:proofErr w:type="spellEnd"/>
      <w:r w:rsidRPr="007D2B92">
        <w:t xml:space="preserve">-TT] </w:t>
      </w:r>
      <w:proofErr w:type="spellStart"/>
      <w:r w:rsidRPr="007D2B92">
        <w:t>Nimenrix</w:t>
      </w:r>
      <w:proofErr w:type="spellEnd"/>
      <w:r w:rsidRPr="007D2B92">
        <w:t xml:space="preserve"> and [</w:t>
      </w:r>
      <w:proofErr w:type="spellStart"/>
      <w:r w:rsidRPr="007D2B92">
        <w:t>MenACWY</w:t>
      </w:r>
      <w:proofErr w:type="spellEnd"/>
      <w:r w:rsidRPr="007D2B92">
        <w:t xml:space="preserve">-DT] </w:t>
      </w:r>
      <w:proofErr w:type="spellStart"/>
      <w:r w:rsidRPr="007D2B92">
        <w:t>Menactra</w:t>
      </w:r>
      <w:proofErr w:type="spellEnd"/>
      <w:r w:rsidRPr="007D2B92">
        <w:t xml:space="preserve"> are significantly higher than the values reported in the [</w:t>
      </w:r>
      <w:proofErr w:type="spellStart"/>
      <w:r w:rsidRPr="007D2B92">
        <w:t>MenACWY</w:t>
      </w:r>
      <w:proofErr w:type="spellEnd"/>
      <w:r w:rsidRPr="007D2B92">
        <w:t xml:space="preserve">-CRM] </w:t>
      </w:r>
      <w:proofErr w:type="spellStart"/>
      <w:r w:rsidRPr="007D2B92">
        <w:t>Menveo</w:t>
      </w:r>
      <w:proofErr w:type="spellEnd"/>
      <w:r w:rsidRPr="007D2B92">
        <w:t xml:space="preserve"> studies for [</w:t>
      </w:r>
      <w:proofErr w:type="spellStart"/>
      <w:r w:rsidRPr="007D2B92">
        <w:t>MenACWY</w:t>
      </w:r>
      <w:proofErr w:type="spellEnd"/>
      <w:r w:rsidRPr="007D2B92">
        <w:t xml:space="preserve">-CRM] </w:t>
      </w:r>
      <w:proofErr w:type="spellStart"/>
      <w:r w:rsidRPr="007D2B92">
        <w:t>Menveo</w:t>
      </w:r>
      <w:proofErr w:type="spellEnd"/>
      <w:r w:rsidRPr="007D2B92">
        <w:t xml:space="preserve"> and [</w:t>
      </w:r>
      <w:proofErr w:type="spellStart"/>
      <w:r w:rsidRPr="007D2B92">
        <w:t>MenACWY</w:t>
      </w:r>
      <w:proofErr w:type="spellEnd"/>
      <w:r w:rsidRPr="007D2B92">
        <w:t xml:space="preserve">-DT] </w:t>
      </w:r>
      <w:proofErr w:type="spellStart"/>
      <w:r w:rsidRPr="007D2B92">
        <w:t>Menactra</w:t>
      </w:r>
      <w:proofErr w:type="spellEnd"/>
      <w:r w:rsidRPr="007D2B92">
        <w:t xml:space="preserve">. Interpretation of these results would therefore be problematic. Additionally, study MenACWY-TT-052 uses a different measure of </w:t>
      </w:r>
      <w:proofErr w:type="spellStart"/>
      <w:r w:rsidRPr="007D2B92">
        <w:t>seroresponse</w:t>
      </w:r>
      <w:proofErr w:type="spellEnd"/>
      <w:r w:rsidRPr="007D2B92">
        <w:t xml:space="preserve"> and the % ≥1:8 and GMT results are influenced by baseline GMT with higher baseline GMT increasing both re</w:t>
      </w:r>
      <w:r w:rsidR="00F0313D">
        <w:t>sults.”</w:t>
      </w:r>
      <w:r w:rsidRPr="007D2B92">
        <w:t xml:space="preserve"> </w:t>
      </w:r>
      <w:r w:rsidR="008751BC" w:rsidRPr="007D2B92">
        <w:rPr>
          <w:rFonts w:cs="Calibri"/>
          <w:snapToGrid/>
          <w:szCs w:val="24"/>
          <w:lang w:eastAsia="en-AU"/>
        </w:rPr>
        <w:t xml:space="preserve">The ESC noted the variation in responses based on the baseline titre, where a higher baseline </w:t>
      </w:r>
      <w:proofErr w:type="spellStart"/>
      <w:r w:rsidR="008751BC" w:rsidRPr="007D2B92">
        <w:rPr>
          <w:rFonts w:cs="Calibri"/>
          <w:snapToGrid/>
          <w:szCs w:val="24"/>
          <w:lang w:eastAsia="en-AU"/>
        </w:rPr>
        <w:t>titer</w:t>
      </w:r>
      <w:proofErr w:type="spellEnd"/>
      <w:r w:rsidR="008751BC" w:rsidRPr="007D2B92">
        <w:rPr>
          <w:rFonts w:cs="Calibri"/>
          <w:snapToGrid/>
          <w:szCs w:val="24"/>
          <w:lang w:eastAsia="en-AU"/>
        </w:rPr>
        <w:t xml:space="preserve"> led to lower responses post vaccine</w:t>
      </w:r>
      <w:r w:rsidR="004210F1" w:rsidRPr="007D2B92">
        <w:rPr>
          <w:rFonts w:cs="Calibri"/>
          <w:snapToGrid/>
          <w:szCs w:val="24"/>
          <w:lang w:eastAsia="en-AU"/>
        </w:rPr>
        <w:t>.</w:t>
      </w:r>
      <w:r w:rsidR="008751BC" w:rsidRPr="007D2B92">
        <w:rPr>
          <w:rFonts w:cs="Calibri"/>
          <w:snapToGrid/>
          <w:szCs w:val="24"/>
          <w:lang w:eastAsia="en-AU"/>
        </w:rPr>
        <w:t xml:space="preserve"> </w:t>
      </w:r>
    </w:p>
    <w:p w:rsidR="00C501E6" w:rsidRPr="007D2B92" w:rsidRDefault="006D5036" w:rsidP="00C501E6">
      <w:pPr>
        <w:pStyle w:val="ListParagraph"/>
        <w:widowControl/>
        <w:numPr>
          <w:ilvl w:val="1"/>
          <w:numId w:val="1"/>
        </w:numPr>
        <w:spacing w:after="120"/>
      </w:pPr>
      <w:r w:rsidRPr="007D2B92">
        <w:t>The PSCR stated that whilst not perfectly matched, the studies were considered comparable with respect to baseline demographics. The ESC consi</w:t>
      </w:r>
      <w:r w:rsidR="008751BC" w:rsidRPr="007D2B92">
        <w:t xml:space="preserve">dered that given the </w:t>
      </w:r>
      <w:r w:rsidR="008751BC" w:rsidRPr="007D2B92">
        <w:rPr>
          <w:rFonts w:asciiTheme="minorHAnsi" w:hAnsiTheme="minorHAnsi" w:cstheme="minorHAnsi"/>
          <w:szCs w:val="24"/>
        </w:rPr>
        <w:t xml:space="preserve">inconsistent correlation between </w:t>
      </w:r>
      <w:proofErr w:type="spellStart"/>
      <w:r w:rsidR="008751BC" w:rsidRPr="007D2B92">
        <w:rPr>
          <w:rFonts w:asciiTheme="minorHAnsi" w:hAnsiTheme="minorHAnsi" w:cstheme="minorHAnsi"/>
          <w:szCs w:val="24"/>
        </w:rPr>
        <w:t>hSBA</w:t>
      </w:r>
      <w:proofErr w:type="spellEnd"/>
      <w:r w:rsidR="008751BC" w:rsidRPr="007D2B92">
        <w:rPr>
          <w:rFonts w:asciiTheme="minorHAnsi" w:hAnsiTheme="minorHAnsi" w:cstheme="minorHAnsi"/>
          <w:szCs w:val="24"/>
        </w:rPr>
        <w:t xml:space="preserve"> and </w:t>
      </w:r>
      <w:proofErr w:type="spellStart"/>
      <w:r w:rsidR="008751BC" w:rsidRPr="007D2B92">
        <w:rPr>
          <w:rFonts w:asciiTheme="minorHAnsi" w:hAnsiTheme="minorHAnsi" w:cstheme="minorHAnsi"/>
          <w:szCs w:val="24"/>
        </w:rPr>
        <w:t>rSBA</w:t>
      </w:r>
      <w:proofErr w:type="spellEnd"/>
      <w:r w:rsidR="008751BC" w:rsidRPr="007D2B92">
        <w:rPr>
          <w:rFonts w:asciiTheme="minorHAnsi" w:hAnsiTheme="minorHAnsi" w:cstheme="minorHAnsi"/>
          <w:szCs w:val="24"/>
        </w:rPr>
        <w:t xml:space="preserve"> titres and GMT results, and  the evidence provided appeared to vary in these measures, cross-trial comparis</w:t>
      </w:r>
      <w:r w:rsidR="00C501E6" w:rsidRPr="007D2B92">
        <w:rPr>
          <w:rFonts w:asciiTheme="minorHAnsi" w:hAnsiTheme="minorHAnsi" w:cstheme="minorHAnsi"/>
          <w:szCs w:val="24"/>
        </w:rPr>
        <w:t>ons was difficult and uncertain.</w:t>
      </w:r>
    </w:p>
    <w:p w:rsidR="00ED236B" w:rsidRPr="00F0313D" w:rsidRDefault="009829DA" w:rsidP="00ED236B">
      <w:pPr>
        <w:pStyle w:val="ListParagraph"/>
        <w:widowControl/>
        <w:numPr>
          <w:ilvl w:val="1"/>
          <w:numId w:val="1"/>
        </w:numPr>
        <w:spacing w:after="0"/>
        <w:rPr>
          <w:rFonts w:cs="Calibri"/>
          <w:snapToGrid/>
          <w:szCs w:val="24"/>
          <w:lang w:eastAsia="en-AU"/>
        </w:rPr>
      </w:pPr>
      <w:r w:rsidRPr="007D2B92">
        <w:rPr>
          <w:rFonts w:cs="Calibri"/>
          <w:snapToGrid/>
          <w:szCs w:val="24"/>
          <w:lang w:eastAsia="en-AU"/>
        </w:rPr>
        <w:t>ATAGI (Post-submission advice</w:t>
      </w:r>
      <w:r w:rsidRPr="007D2B92">
        <w:t xml:space="preserve">) advised that correlation between </w:t>
      </w:r>
      <w:proofErr w:type="spellStart"/>
      <w:r w:rsidRPr="007D2B92">
        <w:t>hSBA</w:t>
      </w:r>
      <w:proofErr w:type="spellEnd"/>
      <w:r w:rsidRPr="007D2B92">
        <w:t xml:space="preserve"> and </w:t>
      </w:r>
      <w:proofErr w:type="spellStart"/>
      <w:r w:rsidRPr="007D2B92">
        <w:t>rSBA</w:t>
      </w:r>
      <w:proofErr w:type="spellEnd"/>
      <w:r w:rsidRPr="007D2B92">
        <w:t xml:space="preserve"> titres is inconsistent, and varies by age, vaccination status, meningococcal serogroup and laboratory and that the lack of standardisation leads to difficulties in the direct comparison of results not conducted as part of the same study, in the same laboratory, with the same complement and strain of meningoco</w:t>
      </w:r>
      <w:r w:rsidR="00F0313D">
        <w:t xml:space="preserve">cci. ATAGI summarised that </w:t>
      </w:r>
      <w:r w:rsidRPr="007D2B92">
        <w:t>immunogenicity results between different clinical trials cannot be directly compared given the multiple factors impacti</w:t>
      </w:r>
      <w:r w:rsidR="00F0313D">
        <w:t>ng outcomes.</w:t>
      </w:r>
    </w:p>
    <w:p w:rsidR="00F0313D" w:rsidRPr="00F0313D" w:rsidRDefault="00F0313D" w:rsidP="00F0313D">
      <w:pPr>
        <w:pStyle w:val="ListParagraph"/>
        <w:widowControl/>
        <w:spacing w:after="0"/>
        <w:rPr>
          <w:rFonts w:cs="Calibri"/>
          <w:snapToGrid/>
          <w:szCs w:val="24"/>
          <w:lang w:eastAsia="en-AU"/>
        </w:rPr>
      </w:pPr>
    </w:p>
    <w:p w:rsidR="00B60939" w:rsidRPr="007D2B92" w:rsidRDefault="00B60939" w:rsidP="00900642">
      <w:pPr>
        <w:pStyle w:val="Heading2"/>
        <w:spacing w:after="120"/>
        <w:rPr>
          <w:i w:val="0"/>
        </w:rPr>
      </w:pPr>
      <w:bookmarkStart w:id="9" w:name="_Toc515358806"/>
      <w:r w:rsidRPr="007D2B92">
        <w:rPr>
          <w:i w:val="0"/>
        </w:rPr>
        <w:t>Comparative harms</w:t>
      </w:r>
      <w:bookmarkEnd w:id="9"/>
    </w:p>
    <w:p w:rsidR="00A56395" w:rsidRPr="007D2B92" w:rsidRDefault="00A56395" w:rsidP="007D4B83">
      <w:pPr>
        <w:pStyle w:val="ListParagraph"/>
        <w:widowControl/>
        <w:numPr>
          <w:ilvl w:val="1"/>
          <w:numId w:val="1"/>
        </w:numPr>
        <w:spacing w:after="120"/>
      </w:pPr>
      <w:r w:rsidRPr="007D2B92">
        <w:t>Table 9 presents a summary of relevant-harms across the trials presented by the submission.</w:t>
      </w:r>
    </w:p>
    <w:p w:rsidR="00A56395" w:rsidRPr="007D2B92" w:rsidRDefault="00A56395" w:rsidP="007D4B83">
      <w:pPr>
        <w:pStyle w:val="ListParagraph"/>
        <w:widowControl/>
        <w:numPr>
          <w:ilvl w:val="1"/>
          <w:numId w:val="1"/>
        </w:numPr>
        <w:spacing w:after="120"/>
      </w:pPr>
      <w:r w:rsidRPr="007D2B92">
        <w:t xml:space="preserve">ATAGI considered that no significant safety concerns have been raised in clinical trials of the </w:t>
      </w:r>
      <w:proofErr w:type="spellStart"/>
      <w:r w:rsidRPr="007D2B92">
        <w:t>MenACWY</w:t>
      </w:r>
      <w:proofErr w:type="spellEnd"/>
      <w:r w:rsidRPr="007D2B92">
        <w:t>-CRM vaccine in adolescents (ATAGI pre-submission advice).</w:t>
      </w:r>
      <w:r w:rsidRPr="007D2B92">
        <w:rPr>
          <w:color w:val="3366FF"/>
        </w:rPr>
        <w:t xml:space="preserve"> </w:t>
      </w:r>
    </w:p>
    <w:p w:rsidR="00E871D5" w:rsidRPr="007D2B92" w:rsidRDefault="006D5036" w:rsidP="00E871D5">
      <w:pPr>
        <w:pStyle w:val="ListParagraph"/>
        <w:widowControl/>
        <w:numPr>
          <w:ilvl w:val="1"/>
          <w:numId w:val="1"/>
        </w:numPr>
        <w:spacing w:after="120"/>
      </w:pPr>
      <w:r w:rsidRPr="007D2B92">
        <w:t>The ESC</w:t>
      </w:r>
      <w:r w:rsidR="00FF23F3" w:rsidRPr="00ED236B">
        <w:rPr>
          <w:i/>
        </w:rPr>
        <w:t xml:space="preserve"> </w:t>
      </w:r>
      <w:r w:rsidRPr="007D2B92">
        <w:t xml:space="preserve">considered </w:t>
      </w:r>
      <w:r w:rsidR="000E6222" w:rsidRPr="007D2B92">
        <w:t>that there were no</w:t>
      </w:r>
      <w:r w:rsidR="00B666B9" w:rsidRPr="007D2B92">
        <w:t xml:space="preserve"> </w:t>
      </w:r>
      <w:r w:rsidR="00AB0CBE" w:rsidRPr="007D2B92">
        <w:t>significant</w:t>
      </w:r>
      <w:r w:rsidR="00B666B9" w:rsidRPr="007D2B92">
        <w:t xml:space="preserve"> safety concerns with use of </w:t>
      </w:r>
      <w:proofErr w:type="spellStart"/>
      <w:r w:rsidR="00B666B9" w:rsidRPr="007D2B92">
        <w:t>MenACWY</w:t>
      </w:r>
      <w:proofErr w:type="spellEnd"/>
      <w:r w:rsidR="00B666B9" w:rsidRPr="007D2B92">
        <w:t>-CRM.</w:t>
      </w:r>
    </w:p>
    <w:p w:rsidR="00EB2429" w:rsidRDefault="00EB2429">
      <w:pPr>
        <w:widowControl/>
        <w:jc w:val="left"/>
        <w:rPr>
          <w:rStyle w:val="CommentReference"/>
        </w:rPr>
      </w:pPr>
      <w:r>
        <w:rPr>
          <w:rStyle w:val="CommentReference"/>
        </w:rPr>
        <w:br w:type="page"/>
      </w:r>
    </w:p>
    <w:p w:rsidR="00A56395" w:rsidRPr="007D2B92" w:rsidRDefault="00A56395" w:rsidP="00A56395">
      <w:pPr>
        <w:rPr>
          <w:rStyle w:val="CommentReference"/>
        </w:rPr>
      </w:pPr>
      <w:r w:rsidRPr="007D2B92">
        <w:rPr>
          <w:rStyle w:val="CommentReference"/>
        </w:rPr>
        <w:lastRenderedPageBreak/>
        <w:t>Table 9: Summary of key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41"/>
        <w:gridCol w:w="1711"/>
        <w:gridCol w:w="442"/>
        <w:gridCol w:w="998"/>
        <w:gridCol w:w="1598"/>
        <w:gridCol w:w="1651"/>
      </w:tblGrid>
      <w:tr w:rsidR="00526D33" w:rsidRPr="007D2B92" w:rsidTr="00362A50">
        <w:tc>
          <w:tcPr>
            <w:tcW w:w="1499" w:type="pct"/>
            <w:vAlign w:val="center"/>
          </w:tcPr>
          <w:p w:rsidR="00A56395" w:rsidRPr="007D2B92" w:rsidRDefault="00A56395" w:rsidP="00F80799">
            <w:pPr>
              <w:pStyle w:val="Tabletext"/>
              <w:rPr>
                <w:b/>
                <w:szCs w:val="20"/>
              </w:rPr>
            </w:pPr>
            <w:r w:rsidRPr="007D2B92">
              <w:rPr>
                <w:b/>
                <w:szCs w:val="20"/>
              </w:rPr>
              <w:t>Trial ID</w:t>
            </w:r>
          </w:p>
        </w:tc>
        <w:tc>
          <w:tcPr>
            <w:tcW w:w="1178" w:type="pct"/>
            <w:gridSpan w:val="2"/>
            <w:vAlign w:val="center"/>
          </w:tcPr>
          <w:p w:rsidR="00A56395" w:rsidRPr="007D2B92" w:rsidRDefault="00A56395" w:rsidP="00F80799">
            <w:pPr>
              <w:pStyle w:val="Tabletext"/>
              <w:jc w:val="center"/>
              <w:rPr>
                <w:b/>
                <w:szCs w:val="20"/>
              </w:rPr>
            </w:pPr>
            <w:proofErr w:type="spellStart"/>
            <w:r w:rsidRPr="007D2B92">
              <w:rPr>
                <w:b/>
                <w:szCs w:val="20"/>
              </w:rPr>
              <w:t>MenACWY</w:t>
            </w:r>
            <w:proofErr w:type="spellEnd"/>
            <w:r w:rsidRPr="007D2B92">
              <w:rPr>
                <w:b/>
                <w:szCs w:val="20"/>
              </w:rPr>
              <w:t>-CRM</w:t>
            </w:r>
          </w:p>
          <w:p w:rsidR="00A56395" w:rsidRPr="007D2B92" w:rsidRDefault="00A56395" w:rsidP="00F80799">
            <w:pPr>
              <w:pStyle w:val="Tabletext"/>
              <w:jc w:val="center"/>
              <w:rPr>
                <w:b/>
                <w:szCs w:val="20"/>
              </w:rPr>
            </w:pPr>
            <w:proofErr w:type="gramStart"/>
            <w:r w:rsidRPr="007D2B92">
              <w:rPr>
                <w:b/>
                <w:szCs w:val="20"/>
              </w:rPr>
              <w:t>n</w:t>
            </w:r>
            <w:proofErr w:type="gramEnd"/>
            <w:r w:rsidRPr="007D2B92">
              <w:rPr>
                <w:b/>
                <w:szCs w:val="20"/>
              </w:rPr>
              <w:t xml:space="preserve"> with event/N (</w:t>
            </w:r>
            <w:r w:rsidR="00062675" w:rsidRPr="007D2B92">
              <w:rPr>
                <w:b/>
                <w:szCs w:val="20"/>
              </w:rPr>
              <w:t>%</w:t>
            </w:r>
            <w:r w:rsidRPr="007D2B92">
              <w:rPr>
                <w:b/>
                <w:szCs w:val="20"/>
              </w:rPr>
              <w:t>)</w:t>
            </w:r>
          </w:p>
        </w:tc>
        <w:tc>
          <w:tcPr>
            <w:tcW w:w="1420" w:type="pct"/>
            <w:gridSpan w:val="2"/>
            <w:vAlign w:val="center"/>
          </w:tcPr>
          <w:p w:rsidR="00A56395" w:rsidRPr="007D2B92" w:rsidRDefault="00A56395" w:rsidP="00F80799">
            <w:pPr>
              <w:pStyle w:val="Tabletext"/>
              <w:jc w:val="center"/>
              <w:rPr>
                <w:b/>
                <w:szCs w:val="20"/>
              </w:rPr>
            </w:pPr>
            <w:r w:rsidRPr="007D2B92">
              <w:rPr>
                <w:b/>
                <w:szCs w:val="20"/>
              </w:rPr>
              <w:t>Comparator</w:t>
            </w:r>
          </w:p>
          <w:p w:rsidR="00A56395" w:rsidRPr="007D2B92" w:rsidRDefault="00A56395" w:rsidP="00F80799">
            <w:pPr>
              <w:pStyle w:val="Tabletext"/>
              <w:jc w:val="center"/>
              <w:rPr>
                <w:b/>
                <w:szCs w:val="20"/>
              </w:rPr>
            </w:pPr>
            <w:proofErr w:type="gramStart"/>
            <w:r w:rsidRPr="007D2B92">
              <w:rPr>
                <w:b/>
                <w:szCs w:val="20"/>
              </w:rPr>
              <w:t>n</w:t>
            </w:r>
            <w:proofErr w:type="gramEnd"/>
            <w:r w:rsidRPr="007D2B92">
              <w:rPr>
                <w:b/>
                <w:szCs w:val="20"/>
              </w:rPr>
              <w:t xml:space="preserve"> with event/N (</w:t>
            </w:r>
            <w:r w:rsidR="00062675" w:rsidRPr="007D2B92">
              <w:rPr>
                <w:b/>
                <w:szCs w:val="20"/>
              </w:rPr>
              <w:t>%</w:t>
            </w:r>
            <w:r w:rsidRPr="007D2B92">
              <w:rPr>
                <w:b/>
                <w:szCs w:val="20"/>
              </w:rPr>
              <w:t>)</w:t>
            </w:r>
          </w:p>
        </w:tc>
        <w:tc>
          <w:tcPr>
            <w:tcW w:w="903" w:type="pct"/>
            <w:vAlign w:val="center"/>
          </w:tcPr>
          <w:p w:rsidR="00A56395" w:rsidRPr="007D2B92" w:rsidRDefault="00A56395" w:rsidP="00062675">
            <w:pPr>
              <w:pStyle w:val="Tabletext"/>
              <w:jc w:val="center"/>
              <w:rPr>
                <w:b/>
                <w:szCs w:val="20"/>
              </w:rPr>
            </w:pPr>
            <w:r w:rsidRPr="007D2B92">
              <w:rPr>
                <w:b/>
                <w:szCs w:val="20"/>
              </w:rPr>
              <w:t>Vaccine Group difference (95</w:t>
            </w:r>
            <w:r w:rsidR="00062675" w:rsidRPr="007D2B92">
              <w:rPr>
                <w:b/>
                <w:szCs w:val="20"/>
              </w:rPr>
              <w:t>%</w:t>
            </w:r>
            <w:r w:rsidRPr="007D2B92">
              <w:rPr>
                <w:b/>
                <w:szCs w:val="20"/>
              </w:rPr>
              <w:t>CI)</w:t>
            </w:r>
          </w:p>
        </w:tc>
      </w:tr>
      <w:tr w:rsidR="00A56395" w:rsidRPr="007D2B92" w:rsidTr="00F80799">
        <w:tc>
          <w:tcPr>
            <w:tcW w:w="5000" w:type="pct"/>
            <w:gridSpan w:val="6"/>
            <w:vAlign w:val="center"/>
          </w:tcPr>
          <w:p w:rsidR="00A56395" w:rsidRPr="007D2B92" w:rsidRDefault="00A56395" w:rsidP="00F80799">
            <w:pPr>
              <w:pStyle w:val="Tabletext"/>
              <w:rPr>
                <w:b/>
                <w:szCs w:val="20"/>
              </w:rPr>
            </w:pPr>
            <w:proofErr w:type="spellStart"/>
            <w:r w:rsidRPr="007D2B92">
              <w:rPr>
                <w:b/>
                <w:szCs w:val="20"/>
              </w:rPr>
              <w:t>Ishola</w:t>
            </w:r>
            <w:proofErr w:type="spellEnd"/>
            <w:r w:rsidRPr="007D2B92">
              <w:rPr>
                <w:b/>
                <w:szCs w:val="20"/>
              </w:rPr>
              <w:t xml:space="preserve"> 2015, comparator = </w:t>
            </w:r>
            <w:proofErr w:type="spellStart"/>
            <w:r w:rsidRPr="007D2B92">
              <w:rPr>
                <w:b/>
                <w:szCs w:val="20"/>
              </w:rPr>
              <w:t>MenACWY</w:t>
            </w:r>
            <w:proofErr w:type="spellEnd"/>
            <w:r w:rsidRPr="007D2B92">
              <w:rPr>
                <w:b/>
                <w:szCs w:val="20"/>
              </w:rPr>
              <w:t>-TT (</w:t>
            </w:r>
            <w:proofErr w:type="spellStart"/>
            <w:r w:rsidRPr="007D2B92">
              <w:rPr>
                <w:b/>
                <w:szCs w:val="20"/>
              </w:rPr>
              <w:t>Nimenrix</w:t>
            </w:r>
            <w:proofErr w:type="spellEnd"/>
            <w:r w:rsidRPr="007D2B92">
              <w:rPr>
                <w:b/>
                <w:szCs w:val="20"/>
              </w:rPr>
              <w:t>)</w:t>
            </w:r>
          </w:p>
        </w:tc>
      </w:tr>
      <w:tr w:rsidR="00A56395" w:rsidRPr="007D2B92" w:rsidTr="00526D33">
        <w:tc>
          <w:tcPr>
            <w:tcW w:w="1499" w:type="pct"/>
            <w:vAlign w:val="center"/>
          </w:tcPr>
          <w:p w:rsidR="00A56395" w:rsidRPr="007D2B92" w:rsidRDefault="00A56395" w:rsidP="00F80799">
            <w:pPr>
              <w:pStyle w:val="Tabletext"/>
              <w:rPr>
                <w:szCs w:val="20"/>
              </w:rPr>
            </w:pPr>
            <w:r w:rsidRPr="007D2B92">
              <w:rPr>
                <w:szCs w:val="20"/>
              </w:rPr>
              <w:t>AEs</w:t>
            </w:r>
          </w:p>
        </w:tc>
        <w:tc>
          <w:tcPr>
            <w:tcW w:w="3501" w:type="pct"/>
            <w:gridSpan w:val="5"/>
            <w:vAlign w:val="center"/>
          </w:tcPr>
          <w:p w:rsidR="00A56395" w:rsidRPr="007D2B92" w:rsidRDefault="00A56395" w:rsidP="00F80799">
            <w:pPr>
              <w:pStyle w:val="Tabletext"/>
              <w:jc w:val="center"/>
              <w:rPr>
                <w:szCs w:val="20"/>
              </w:rPr>
            </w:pPr>
            <w:r w:rsidRPr="007D2B92">
              <w:rPr>
                <w:szCs w:val="20"/>
              </w:rPr>
              <w:t xml:space="preserve">“Overall similar level of </w:t>
            </w:r>
            <w:proofErr w:type="spellStart"/>
            <w:r w:rsidR="00AB0CBE" w:rsidRPr="007D2B92">
              <w:rPr>
                <w:szCs w:val="20"/>
              </w:rPr>
              <w:t>reactogenicity</w:t>
            </w:r>
            <w:proofErr w:type="spellEnd"/>
            <w:r w:rsidRPr="007D2B92">
              <w:rPr>
                <w:szCs w:val="20"/>
              </w:rPr>
              <w:t>“</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SAEs</w:t>
            </w:r>
          </w:p>
        </w:tc>
        <w:tc>
          <w:tcPr>
            <w:tcW w:w="1178" w:type="pct"/>
            <w:gridSpan w:val="2"/>
            <w:vAlign w:val="center"/>
          </w:tcPr>
          <w:p w:rsidR="00A56395" w:rsidRPr="007D2B92" w:rsidRDefault="00A56395" w:rsidP="00062675">
            <w:pPr>
              <w:pStyle w:val="Tabletext"/>
              <w:jc w:val="center"/>
              <w:rPr>
                <w:szCs w:val="20"/>
              </w:rPr>
            </w:pPr>
            <w:r w:rsidRPr="007D2B92">
              <w:rPr>
                <w:szCs w:val="20"/>
              </w:rPr>
              <w:t>3/47</w:t>
            </w:r>
            <w:r w:rsidR="00062675" w:rsidRPr="007D2B92">
              <w:rPr>
                <w:szCs w:val="20"/>
              </w:rPr>
              <w:t xml:space="preserve"> (6)</w:t>
            </w:r>
          </w:p>
        </w:tc>
        <w:tc>
          <w:tcPr>
            <w:tcW w:w="1420" w:type="pct"/>
            <w:gridSpan w:val="2"/>
            <w:vAlign w:val="center"/>
          </w:tcPr>
          <w:p w:rsidR="00A56395" w:rsidRPr="007D2B92" w:rsidRDefault="00A56395" w:rsidP="00F80799">
            <w:pPr>
              <w:pStyle w:val="Tabletext"/>
              <w:jc w:val="center"/>
              <w:rPr>
                <w:szCs w:val="20"/>
              </w:rPr>
            </w:pPr>
            <w:r w:rsidRPr="007D2B92">
              <w:rPr>
                <w:szCs w:val="20"/>
              </w:rPr>
              <w:t>1/46</w:t>
            </w:r>
            <w:r w:rsidR="00062675" w:rsidRPr="007D2B92">
              <w:rPr>
                <w:szCs w:val="20"/>
              </w:rPr>
              <w:t xml:space="preserve"> (2)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 xml:space="preserve">Possibly probably vaccine </w:t>
            </w:r>
            <w:r w:rsidR="00E14D3E" w:rsidRPr="007D2B92">
              <w:rPr>
                <w:szCs w:val="20"/>
              </w:rPr>
              <w:t>related</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7A1758" w:rsidP="00F80799">
            <w:pPr>
              <w:pStyle w:val="Tabletext"/>
              <w:rPr>
                <w:b/>
                <w:szCs w:val="20"/>
              </w:rPr>
            </w:pPr>
            <w:r w:rsidRPr="007D2B92">
              <w:rPr>
                <w:b/>
                <w:szCs w:val="20"/>
              </w:rPr>
              <w:t xml:space="preserve">V59P13, comparator = </w:t>
            </w:r>
            <w:proofErr w:type="spellStart"/>
            <w:r w:rsidRPr="007D2B92">
              <w:rPr>
                <w:b/>
                <w:szCs w:val="20"/>
              </w:rPr>
              <w:t>MenACWY</w:t>
            </w:r>
            <w:proofErr w:type="spellEnd"/>
            <w:r w:rsidRPr="007D2B92">
              <w:rPr>
                <w:b/>
                <w:szCs w:val="20"/>
              </w:rPr>
              <w:t>-DT vaccine (</w:t>
            </w:r>
            <w:proofErr w:type="spellStart"/>
            <w:r w:rsidRPr="007D2B92">
              <w:rPr>
                <w:b/>
                <w:szCs w:val="20"/>
              </w:rPr>
              <w:t>Menactra</w:t>
            </w:r>
            <w:proofErr w:type="spellEnd"/>
            <w:r w:rsidRPr="007D2B92">
              <w:rPr>
                <w:b/>
                <w:szCs w:val="20"/>
              </w:rPr>
              <w:t>)</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Severe systemic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1 (-1, 2)</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local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systemic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other reaction</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AEs</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SAEs</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SAEs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szCs w:val="20"/>
              </w:rPr>
            </w:pPr>
            <w:r w:rsidRPr="007D2B92">
              <w:rPr>
                <w:b/>
                <w:szCs w:val="20"/>
              </w:rPr>
              <w:t xml:space="preserve">V59P6, comparator = </w:t>
            </w:r>
            <w:proofErr w:type="spellStart"/>
            <w:r w:rsidRPr="007D2B92">
              <w:rPr>
                <w:b/>
                <w:szCs w:val="20"/>
              </w:rPr>
              <w:t>MenACWY</w:t>
            </w:r>
            <w:proofErr w:type="spellEnd"/>
            <w:r w:rsidRPr="007D2B92">
              <w:rPr>
                <w:b/>
                <w:szCs w:val="20"/>
              </w:rPr>
              <w:t xml:space="preserve"> vaccine (</w:t>
            </w:r>
            <w:proofErr w:type="spellStart"/>
            <w:r w:rsidRPr="007D2B92">
              <w:rPr>
                <w:b/>
                <w:szCs w:val="20"/>
              </w:rPr>
              <w:t>Menomune</w:t>
            </w:r>
            <w:proofErr w:type="spellEnd"/>
            <w:r w:rsidRPr="007D2B92">
              <w:rPr>
                <w:b/>
                <w:szCs w:val="20"/>
              </w:rPr>
              <w:t>) (stage 1 and Stage 2)</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127/151 (84)</w:t>
            </w:r>
          </w:p>
        </w:tc>
        <w:tc>
          <w:tcPr>
            <w:tcW w:w="1420" w:type="pct"/>
            <w:gridSpan w:val="2"/>
            <w:vAlign w:val="center"/>
          </w:tcPr>
          <w:p w:rsidR="00A56395" w:rsidRPr="007D2B92" w:rsidRDefault="00A56395" w:rsidP="00F80799">
            <w:pPr>
              <w:pStyle w:val="Tabletext"/>
              <w:jc w:val="center"/>
              <w:rPr>
                <w:szCs w:val="20"/>
              </w:rPr>
            </w:pPr>
            <w:r w:rsidRPr="007D2B92">
              <w:rPr>
                <w:szCs w:val="20"/>
              </w:rPr>
              <w:t>129/170 (76) and 31/39 (79)</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local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107/151 (71)</w:t>
            </w:r>
          </w:p>
        </w:tc>
        <w:tc>
          <w:tcPr>
            <w:tcW w:w="1420" w:type="pct"/>
            <w:gridSpan w:val="2"/>
            <w:vAlign w:val="center"/>
          </w:tcPr>
          <w:p w:rsidR="00A56395" w:rsidRPr="007D2B92" w:rsidRDefault="00A56395" w:rsidP="00F80799">
            <w:pPr>
              <w:pStyle w:val="Tabletext"/>
              <w:jc w:val="center"/>
              <w:rPr>
                <w:szCs w:val="20"/>
              </w:rPr>
            </w:pPr>
            <w:r w:rsidRPr="007D2B92">
              <w:rPr>
                <w:szCs w:val="20"/>
              </w:rPr>
              <w:t>102/170 (60) and 24/39 (62)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systemic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85/151 (56)</w:t>
            </w:r>
          </w:p>
        </w:tc>
        <w:tc>
          <w:tcPr>
            <w:tcW w:w="1420" w:type="pct"/>
            <w:gridSpan w:val="2"/>
            <w:vAlign w:val="center"/>
          </w:tcPr>
          <w:p w:rsidR="00A56395" w:rsidRPr="007D2B92" w:rsidRDefault="00A56395" w:rsidP="00F80799">
            <w:pPr>
              <w:pStyle w:val="Tabletext"/>
              <w:jc w:val="center"/>
              <w:rPr>
                <w:szCs w:val="20"/>
              </w:rPr>
            </w:pPr>
            <w:r w:rsidRPr="007D2B92">
              <w:rPr>
                <w:szCs w:val="20"/>
              </w:rPr>
              <w:t>79/170 (46) and 23/39 (59)</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other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40/151 (26)</w:t>
            </w:r>
          </w:p>
        </w:tc>
        <w:tc>
          <w:tcPr>
            <w:tcW w:w="1420" w:type="pct"/>
            <w:gridSpan w:val="2"/>
            <w:vAlign w:val="center"/>
          </w:tcPr>
          <w:p w:rsidR="00A56395" w:rsidRPr="007D2B92" w:rsidRDefault="00A56395" w:rsidP="00F80799">
            <w:pPr>
              <w:pStyle w:val="Tabletext"/>
              <w:jc w:val="center"/>
              <w:rPr>
                <w:szCs w:val="20"/>
              </w:rPr>
            </w:pPr>
            <w:r w:rsidRPr="007D2B92">
              <w:rPr>
                <w:szCs w:val="20"/>
              </w:rPr>
              <w:t>45/170 (26) and 14/39 (36)</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w:t>
            </w:r>
          </w:p>
        </w:tc>
        <w:tc>
          <w:tcPr>
            <w:tcW w:w="1178" w:type="pct"/>
            <w:gridSpan w:val="2"/>
            <w:vAlign w:val="center"/>
          </w:tcPr>
          <w:p w:rsidR="00A56395" w:rsidRPr="007D2B92" w:rsidRDefault="00A56395" w:rsidP="00F80799">
            <w:pPr>
              <w:pStyle w:val="Tabletext"/>
              <w:jc w:val="center"/>
              <w:rPr>
                <w:szCs w:val="20"/>
              </w:rPr>
            </w:pPr>
            <w:r w:rsidRPr="007D2B92">
              <w:rPr>
                <w:szCs w:val="20"/>
              </w:rPr>
              <w:t>79/151 (52)</w:t>
            </w:r>
          </w:p>
        </w:tc>
        <w:tc>
          <w:tcPr>
            <w:tcW w:w="1420" w:type="pct"/>
            <w:gridSpan w:val="2"/>
            <w:vAlign w:val="center"/>
          </w:tcPr>
          <w:p w:rsidR="00A56395" w:rsidRPr="007D2B92" w:rsidRDefault="00A56395" w:rsidP="00F80799">
            <w:pPr>
              <w:pStyle w:val="Tabletext"/>
              <w:jc w:val="center"/>
              <w:rPr>
                <w:szCs w:val="20"/>
              </w:rPr>
            </w:pPr>
            <w:r w:rsidRPr="007D2B92">
              <w:rPr>
                <w:szCs w:val="20"/>
              </w:rPr>
              <w:t>65/170 (38) and 17/39 (44)</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AEs</w:t>
            </w:r>
          </w:p>
        </w:tc>
        <w:tc>
          <w:tcPr>
            <w:tcW w:w="1178" w:type="pct"/>
            <w:gridSpan w:val="2"/>
            <w:vAlign w:val="center"/>
          </w:tcPr>
          <w:p w:rsidR="00A56395" w:rsidRPr="007D2B92" w:rsidRDefault="00A56395" w:rsidP="00F80799">
            <w:pPr>
              <w:pStyle w:val="Tabletext"/>
              <w:jc w:val="center"/>
              <w:rPr>
                <w:szCs w:val="20"/>
              </w:rPr>
            </w:pPr>
            <w:r w:rsidRPr="007D2B92">
              <w:rPr>
                <w:szCs w:val="20"/>
              </w:rPr>
              <w:t>10/151 (7)</w:t>
            </w:r>
          </w:p>
        </w:tc>
        <w:tc>
          <w:tcPr>
            <w:tcW w:w="1420" w:type="pct"/>
            <w:gridSpan w:val="2"/>
            <w:vAlign w:val="center"/>
          </w:tcPr>
          <w:p w:rsidR="00A56395" w:rsidRPr="007D2B92" w:rsidRDefault="00A56395" w:rsidP="00F80799">
            <w:pPr>
              <w:pStyle w:val="Tabletext"/>
              <w:jc w:val="center"/>
              <w:rPr>
                <w:szCs w:val="20"/>
              </w:rPr>
            </w:pPr>
            <w:r w:rsidRPr="007D2B92">
              <w:rPr>
                <w:szCs w:val="20"/>
              </w:rPr>
              <w:t>4/170 (2) and 1/39 (3)</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w:t>
            </w:r>
          </w:p>
        </w:tc>
        <w:tc>
          <w:tcPr>
            <w:tcW w:w="1178" w:type="pct"/>
            <w:gridSpan w:val="2"/>
            <w:vAlign w:val="center"/>
          </w:tcPr>
          <w:p w:rsidR="00A56395" w:rsidRPr="007D2B92" w:rsidRDefault="00A56395" w:rsidP="00F80799">
            <w:pPr>
              <w:pStyle w:val="Tabletext"/>
              <w:jc w:val="center"/>
              <w:rPr>
                <w:szCs w:val="20"/>
              </w:rPr>
            </w:pPr>
            <w:r w:rsidRPr="007D2B92">
              <w:rPr>
                <w:szCs w:val="20"/>
              </w:rPr>
              <w:t>2/151 (1)</w:t>
            </w:r>
          </w:p>
        </w:tc>
        <w:tc>
          <w:tcPr>
            <w:tcW w:w="1420" w:type="pct"/>
            <w:gridSpan w:val="2"/>
            <w:vAlign w:val="center"/>
          </w:tcPr>
          <w:p w:rsidR="00A56395" w:rsidRPr="007D2B92" w:rsidRDefault="00A56395" w:rsidP="00F80799">
            <w:pPr>
              <w:pStyle w:val="Tabletext"/>
              <w:jc w:val="center"/>
              <w:rPr>
                <w:szCs w:val="20"/>
              </w:rPr>
            </w:pPr>
            <w:r w:rsidRPr="007D2B92">
              <w:rPr>
                <w:szCs w:val="20"/>
              </w:rPr>
              <w:t>5/170 (3) and 2/39 (5)</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SAEs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b/>
                <w:szCs w:val="20"/>
              </w:rPr>
            </w:pPr>
            <w:r w:rsidRPr="007D2B92">
              <w:rPr>
                <w:b/>
                <w:szCs w:val="20"/>
              </w:rPr>
              <w:t>V59P39, comparator = placebo</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118/297 (40)</w:t>
            </w:r>
          </w:p>
        </w:tc>
        <w:tc>
          <w:tcPr>
            <w:tcW w:w="1420" w:type="pct"/>
            <w:gridSpan w:val="2"/>
            <w:vAlign w:val="center"/>
          </w:tcPr>
          <w:p w:rsidR="00A56395" w:rsidRPr="007D2B92" w:rsidRDefault="00A56395" w:rsidP="00F80799">
            <w:pPr>
              <w:pStyle w:val="Tabletext"/>
              <w:jc w:val="center"/>
              <w:rPr>
                <w:szCs w:val="20"/>
              </w:rPr>
            </w:pPr>
            <w:r w:rsidRPr="007D2B92">
              <w:rPr>
                <w:szCs w:val="20"/>
              </w:rPr>
              <w:t>52/153 (34)</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local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83/297 (28)</w:t>
            </w:r>
          </w:p>
        </w:tc>
        <w:tc>
          <w:tcPr>
            <w:tcW w:w="1420" w:type="pct"/>
            <w:gridSpan w:val="2"/>
            <w:vAlign w:val="center"/>
          </w:tcPr>
          <w:p w:rsidR="00A56395" w:rsidRPr="007D2B92" w:rsidRDefault="00A56395" w:rsidP="00F80799">
            <w:pPr>
              <w:pStyle w:val="Tabletext"/>
              <w:jc w:val="center"/>
              <w:rPr>
                <w:szCs w:val="20"/>
              </w:rPr>
            </w:pPr>
            <w:r w:rsidRPr="007D2B92">
              <w:rPr>
                <w:szCs w:val="20"/>
              </w:rPr>
              <w:t>14/153 (9)</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systemic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83/297 (28)</w:t>
            </w:r>
          </w:p>
        </w:tc>
        <w:tc>
          <w:tcPr>
            <w:tcW w:w="1420" w:type="pct"/>
            <w:gridSpan w:val="2"/>
            <w:vAlign w:val="center"/>
          </w:tcPr>
          <w:p w:rsidR="00A56395" w:rsidRPr="007D2B92" w:rsidRDefault="00A56395" w:rsidP="00F80799">
            <w:pPr>
              <w:pStyle w:val="Tabletext"/>
              <w:jc w:val="center"/>
              <w:rPr>
                <w:szCs w:val="20"/>
              </w:rPr>
            </w:pPr>
            <w:r w:rsidRPr="007D2B92">
              <w:rPr>
                <w:szCs w:val="20"/>
              </w:rPr>
              <w:t>43/153 (28)</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other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15/297 (5)</w:t>
            </w:r>
          </w:p>
        </w:tc>
        <w:tc>
          <w:tcPr>
            <w:tcW w:w="1420" w:type="pct"/>
            <w:gridSpan w:val="2"/>
            <w:vAlign w:val="center"/>
          </w:tcPr>
          <w:p w:rsidR="00A56395" w:rsidRPr="007D2B92" w:rsidRDefault="00A56395" w:rsidP="00F80799">
            <w:pPr>
              <w:pStyle w:val="Tabletext"/>
              <w:jc w:val="center"/>
              <w:rPr>
                <w:szCs w:val="20"/>
              </w:rPr>
            </w:pPr>
            <w:r w:rsidRPr="007D2B92">
              <w:rPr>
                <w:szCs w:val="20"/>
              </w:rPr>
              <w:t>5/153 (3)</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AEs</w:t>
            </w:r>
          </w:p>
        </w:tc>
        <w:tc>
          <w:tcPr>
            <w:tcW w:w="1178" w:type="pct"/>
            <w:gridSpan w:val="2"/>
            <w:vAlign w:val="center"/>
          </w:tcPr>
          <w:p w:rsidR="00A56395" w:rsidRPr="007D2B92" w:rsidRDefault="00A56395" w:rsidP="00F80799">
            <w:pPr>
              <w:pStyle w:val="Tabletext"/>
              <w:jc w:val="center"/>
              <w:rPr>
                <w:szCs w:val="20"/>
              </w:rPr>
            </w:pPr>
            <w:r w:rsidRPr="007D2B92">
              <w:rPr>
                <w:szCs w:val="20"/>
              </w:rPr>
              <w:t>36/297 (12)</w:t>
            </w:r>
          </w:p>
        </w:tc>
        <w:tc>
          <w:tcPr>
            <w:tcW w:w="1420" w:type="pct"/>
            <w:gridSpan w:val="2"/>
            <w:vAlign w:val="center"/>
          </w:tcPr>
          <w:p w:rsidR="00A56395" w:rsidRPr="007D2B92" w:rsidRDefault="00A56395" w:rsidP="00F80799">
            <w:pPr>
              <w:pStyle w:val="Tabletext"/>
              <w:jc w:val="center"/>
              <w:rPr>
                <w:szCs w:val="20"/>
              </w:rPr>
            </w:pPr>
            <w:r w:rsidRPr="007D2B92">
              <w:rPr>
                <w:szCs w:val="20"/>
              </w:rPr>
              <w:t>10/153 (7)</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At least possibly related AEs</w:t>
            </w:r>
          </w:p>
        </w:tc>
        <w:tc>
          <w:tcPr>
            <w:tcW w:w="1178" w:type="pct"/>
            <w:gridSpan w:val="2"/>
            <w:vAlign w:val="center"/>
          </w:tcPr>
          <w:p w:rsidR="00A56395" w:rsidRPr="007D2B92" w:rsidRDefault="00A56395" w:rsidP="00F80799">
            <w:pPr>
              <w:pStyle w:val="Tabletext"/>
              <w:jc w:val="center"/>
              <w:rPr>
                <w:szCs w:val="20"/>
              </w:rPr>
            </w:pPr>
            <w:r w:rsidRPr="007D2B92">
              <w:rPr>
                <w:szCs w:val="20"/>
              </w:rPr>
              <w:t>11/297 (4)</w:t>
            </w:r>
          </w:p>
        </w:tc>
        <w:tc>
          <w:tcPr>
            <w:tcW w:w="1420" w:type="pct"/>
            <w:gridSpan w:val="2"/>
            <w:vAlign w:val="center"/>
          </w:tcPr>
          <w:p w:rsidR="00A56395" w:rsidRPr="007D2B92" w:rsidRDefault="00A56395" w:rsidP="00F80799">
            <w:pPr>
              <w:pStyle w:val="Tabletext"/>
              <w:jc w:val="center"/>
              <w:rPr>
                <w:szCs w:val="20"/>
              </w:rPr>
            </w:pPr>
            <w:r w:rsidRPr="007D2B92">
              <w:rPr>
                <w:szCs w:val="20"/>
              </w:rPr>
              <w:t>2/153 (1)</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Serious AEs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b/>
                <w:szCs w:val="20"/>
              </w:rPr>
            </w:pPr>
            <w:r w:rsidRPr="007D2B92">
              <w:rPr>
                <w:b/>
                <w:szCs w:val="20"/>
              </w:rPr>
              <w:t xml:space="preserve">V59P20E1, comparator = children not previously vaccinated with </w:t>
            </w:r>
            <w:proofErr w:type="spellStart"/>
            <w:r w:rsidRPr="007D2B92">
              <w:rPr>
                <w:b/>
                <w:szCs w:val="20"/>
              </w:rPr>
              <w:t>MenACWY</w:t>
            </w:r>
            <w:proofErr w:type="spellEnd"/>
            <w:r w:rsidRPr="007D2B92">
              <w:rPr>
                <w:b/>
                <w:szCs w:val="20"/>
              </w:rPr>
              <w:t>-CRM</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39/64 (61)</w:t>
            </w:r>
          </w:p>
        </w:tc>
        <w:tc>
          <w:tcPr>
            <w:tcW w:w="1420" w:type="pct"/>
            <w:gridSpan w:val="2"/>
          </w:tcPr>
          <w:p w:rsidR="00A56395" w:rsidRPr="007D2B92" w:rsidRDefault="00A56395" w:rsidP="00F80799">
            <w:pPr>
              <w:pStyle w:val="Tabletext"/>
              <w:jc w:val="center"/>
              <w:rPr>
                <w:szCs w:val="20"/>
              </w:rPr>
            </w:pPr>
            <w:r w:rsidRPr="007D2B92">
              <w:rPr>
                <w:szCs w:val="20"/>
              </w:rPr>
              <w:t>59/98 (60)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local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34/64 (53)</w:t>
            </w:r>
          </w:p>
        </w:tc>
        <w:tc>
          <w:tcPr>
            <w:tcW w:w="1420" w:type="pct"/>
            <w:gridSpan w:val="2"/>
          </w:tcPr>
          <w:p w:rsidR="00A56395" w:rsidRPr="007D2B92" w:rsidRDefault="00A56395" w:rsidP="00F80799">
            <w:pPr>
              <w:pStyle w:val="Tabletext"/>
              <w:jc w:val="center"/>
              <w:rPr>
                <w:szCs w:val="20"/>
              </w:rPr>
            </w:pPr>
            <w:r w:rsidRPr="007D2B92">
              <w:rPr>
                <w:szCs w:val="20"/>
              </w:rPr>
              <w:t>49/98 (50)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systemic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19/64 (30)</w:t>
            </w:r>
          </w:p>
        </w:tc>
        <w:tc>
          <w:tcPr>
            <w:tcW w:w="1420" w:type="pct"/>
            <w:gridSpan w:val="2"/>
          </w:tcPr>
          <w:p w:rsidR="00A56395" w:rsidRPr="007D2B92" w:rsidRDefault="00A56395" w:rsidP="00F80799">
            <w:pPr>
              <w:pStyle w:val="Tabletext"/>
              <w:jc w:val="center"/>
              <w:rPr>
                <w:szCs w:val="20"/>
              </w:rPr>
            </w:pPr>
            <w:r w:rsidRPr="007D2B92">
              <w:rPr>
                <w:szCs w:val="20"/>
              </w:rPr>
              <w:t>35/98 (36)</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AEs</w:t>
            </w:r>
          </w:p>
        </w:tc>
        <w:tc>
          <w:tcPr>
            <w:tcW w:w="1178" w:type="pct"/>
            <w:gridSpan w:val="2"/>
            <w:vAlign w:val="center"/>
          </w:tcPr>
          <w:p w:rsidR="00A56395" w:rsidRPr="007D2B92" w:rsidRDefault="00A56395" w:rsidP="00F80799">
            <w:pPr>
              <w:pStyle w:val="Tabletext"/>
              <w:jc w:val="center"/>
              <w:rPr>
                <w:szCs w:val="20"/>
              </w:rPr>
            </w:pPr>
            <w:r w:rsidRPr="007D2B92">
              <w:rPr>
                <w:szCs w:val="20"/>
              </w:rPr>
              <w:t>18/65 (28)</w:t>
            </w:r>
          </w:p>
        </w:tc>
        <w:tc>
          <w:tcPr>
            <w:tcW w:w="1420" w:type="pct"/>
            <w:gridSpan w:val="2"/>
          </w:tcPr>
          <w:p w:rsidR="00A56395" w:rsidRPr="007D2B92" w:rsidRDefault="00A56395" w:rsidP="00F80799">
            <w:pPr>
              <w:pStyle w:val="Tabletext"/>
              <w:jc w:val="center"/>
              <w:rPr>
                <w:szCs w:val="20"/>
              </w:rPr>
            </w:pPr>
            <w:r w:rsidRPr="007D2B92">
              <w:rPr>
                <w:szCs w:val="20"/>
              </w:rPr>
              <w:t>11/100 (11)</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related AEs</w:t>
            </w:r>
          </w:p>
        </w:tc>
        <w:tc>
          <w:tcPr>
            <w:tcW w:w="1178" w:type="pct"/>
            <w:gridSpan w:val="2"/>
            <w:vAlign w:val="center"/>
          </w:tcPr>
          <w:p w:rsidR="00A56395" w:rsidRPr="007D2B92" w:rsidRDefault="00A56395" w:rsidP="00F80799">
            <w:pPr>
              <w:pStyle w:val="Tabletext"/>
              <w:jc w:val="center"/>
              <w:rPr>
                <w:szCs w:val="20"/>
              </w:rPr>
            </w:pPr>
            <w:r w:rsidRPr="007D2B92">
              <w:rPr>
                <w:szCs w:val="20"/>
              </w:rPr>
              <w:t>7/65 (11)</w:t>
            </w:r>
          </w:p>
        </w:tc>
        <w:tc>
          <w:tcPr>
            <w:tcW w:w="1420" w:type="pct"/>
            <w:gridSpan w:val="2"/>
          </w:tcPr>
          <w:p w:rsidR="00A56395" w:rsidRPr="007D2B92" w:rsidRDefault="00A56395" w:rsidP="00F80799">
            <w:pPr>
              <w:pStyle w:val="Tabletext"/>
              <w:jc w:val="center"/>
              <w:rPr>
                <w:szCs w:val="20"/>
              </w:rPr>
            </w:pPr>
            <w:r w:rsidRPr="007D2B92">
              <w:rPr>
                <w:szCs w:val="20"/>
              </w:rPr>
              <w:t>5/100 (5)</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362A50">
            <w:pPr>
              <w:pStyle w:val="Tabletext"/>
              <w:keepNext/>
              <w:rPr>
                <w:szCs w:val="20"/>
              </w:rPr>
            </w:pPr>
            <w:r w:rsidRPr="007D2B92">
              <w:rPr>
                <w:b/>
                <w:szCs w:val="20"/>
              </w:rPr>
              <w:t xml:space="preserve">V59P18, </w:t>
            </w: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 HPV vs sequentially or alone</w:t>
            </w:r>
          </w:p>
        </w:tc>
      </w:tr>
      <w:tr w:rsidR="00526D33" w:rsidRPr="007D2B92" w:rsidTr="00526D33">
        <w:tc>
          <w:tcPr>
            <w:tcW w:w="1499" w:type="pct"/>
            <w:vAlign w:val="center"/>
          </w:tcPr>
          <w:p w:rsidR="00A56395" w:rsidRPr="007D2B92" w:rsidRDefault="00A56395" w:rsidP="00362A50">
            <w:pPr>
              <w:pStyle w:val="Tabletext"/>
              <w:keepNext/>
              <w:rPr>
                <w:szCs w:val="20"/>
              </w:rPr>
            </w:pPr>
          </w:p>
        </w:tc>
        <w:tc>
          <w:tcPr>
            <w:tcW w:w="936" w:type="pct"/>
            <w:vAlign w:val="center"/>
          </w:tcPr>
          <w:p w:rsidR="00A56395" w:rsidRPr="007D2B92" w:rsidRDefault="00A56395" w:rsidP="00362A50">
            <w:pPr>
              <w:pStyle w:val="Tabletext"/>
              <w:keepNext/>
              <w:jc w:val="center"/>
              <w:rPr>
                <w:b/>
                <w:szCs w:val="20"/>
              </w:rPr>
            </w:pP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 HPV</w:t>
            </w:r>
          </w:p>
        </w:tc>
        <w:tc>
          <w:tcPr>
            <w:tcW w:w="788" w:type="pct"/>
            <w:gridSpan w:val="2"/>
            <w:vAlign w:val="center"/>
          </w:tcPr>
          <w:p w:rsidR="00A56395" w:rsidRPr="007D2B92" w:rsidRDefault="00A56395" w:rsidP="00362A50">
            <w:pPr>
              <w:pStyle w:val="Tabletext"/>
              <w:keepNext/>
              <w:jc w:val="center"/>
              <w:rPr>
                <w:b/>
                <w:szCs w:val="20"/>
              </w:rPr>
            </w:pP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 HPV</w:t>
            </w:r>
          </w:p>
        </w:tc>
        <w:tc>
          <w:tcPr>
            <w:tcW w:w="874" w:type="pct"/>
            <w:vAlign w:val="center"/>
          </w:tcPr>
          <w:p w:rsidR="00A56395" w:rsidRPr="007D2B92" w:rsidRDefault="00A56395" w:rsidP="00362A50">
            <w:pPr>
              <w:pStyle w:val="Tabletext"/>
              <w:keepNext/>
              <w:jc w:val="center"/>
              <w:rPr>
                <w:b/>
                <w:szCs w:val="20"/>
              </w:rPr>
            </w:pPr>
            <w:proofErr w:type="spellStart"/>
            <w:r w:rsidRPr="007D2B92">
              <w:rPr>
                <w:b/>
                <w:szCs w:val="20"/>
              </w:rPr>
              <w:t>Tdap</w:t>
            </w:r>
            <w:proofErr w:type="spellEnd"/>
            <w:r w:rsidRPr="007D2B92">
              <w:rPr>
                <w:b/>
                <w:szCs w:val="20"/>
              </w:rPr>
              <w:t xml:space="preserve"> → </w:t>
            </w:r>
            <w:proofErr w:type="spellStart"/>
            <w:r w:rsidRPr="007D2B92">
              <w:rPr>
                <w:b/>
                <w:szCs w:val="20"/>
              </w:rPr>
              <w:t>MenACWY</w:t>
            </w:r>
            <w:proofErr w:type="spellEnd"/>
            <w:r w:rsidRPr="007D2B92">
              <w:rPr>
                <w:b/>
                <w:szCs w:val="20"/>
              </w:rPr>
              <w:t>-CRM → HPV</w:t>
            </w:r>
          </w:p>
        </w:tc>
        <w:tc>
          <w:tcPr>
            <w:tcW w:w="903" w:type="pct"/>
            <w:vAlign w:val="center"/>
          </w:tcPr>
          <w:p w:rsidR="00A56395" w:rsidRPr="007D2B92" w:rsidRDefault="00A56395" w:rsidP="00362A50">
            <w:pPr>
              <w:pStyle w:val="Tabletext"/>
              <w:keepNext/>
              <w:jc w:val="center"/>
              <w:rPr>
                <w:szCs w:val="20"/>
              </w:rPr>
            </w:pPr>
          </w:p>
        </w:tc>
      </w:tr>
      <w:tr w:rsidR="00526D33" w:rsidRPr="007D2B92" w:rsidTr="00526D33">
        <w:tc>
          <w:tcPr>
            <w:tcW w:w="1499" w:type="pct"/>
            <w:vAlign w:val="center"/>
          </w:tcPr>
          <w:p w:rsidR="00A56395" w:rsidRPr="007D2B92" w:rsidRDefault="00A56395" w:rsidP="00362A50">
            <w:pPr>
              <w:pStyle w:val="Tabletext"/>
              <w:keepNext/>
              <w:rPr>
                <w:szCs w:val="20"/>
              </w:rPr>
            </w:pPr>
            <w:r w:rsidRPr="007D2B92">
              <w:rPr>
                <w:szCs w:val="20"/>
              </w:rPr>
              <w:t>Any reaction (at visit 1)</w:t>
            </w:r>
          </w:p>
        </w:tc>
        <w:tc>
          <w:tcPr>
            <w:tcW w:w="936" w:type="pct"/>
            <w:vAlign w:val="center"/>
          </w:tcPr>
          <w:p w:rsidR="00A56395" w:rsidRPr="007D2B92" w:rsidRDefault="00A56395" w:rsidP="00362A50">
            <w:pPr>
              <w:pStyle w:val="Tabletext"/>
              <w:keepNext/>
              <w:jc w:val="center"/>
              <w:rPr>
                <w:szCs w:val="20"/>
              </w:rPr>
            </w:pPr>
            <w:r w:rsidRPr="007D2B92">
              <w:rPr>
                <w:szCs w:val="20"/>
              </w:rPr>
              <w:t>481/540 (89)</w:t>
            </w:r>
          </w:p>
        </w:tc>
        <w:tc>
          <w:tcPr>
            <w:tcW w:w="788" w:type="pct"/>
            <w:gridSpan w:val="2"/>
            <w:vAlign w:val="center"/>
          </w:tcPr>
          <w:p w:rsidR="00A56395" w:rsidRPr="007D2B92" w:rsidRDefault="00A56395" w:rsidP="00362A50">
            <w:pPr>
              <w:pStyle w:val="Tabletext"/>
              <w:keepNext/>
              <w:jc w:val="center"/>
              <w:rPr>
                <w:szCs w:val="20"/>
              </w:rPr>
            </w:pPr>
            <w:r w:rsidRPr="007D2B92">
              <w:rPr>
                <w:szCs w:val="20"/>
              </w:rPr>
              <w:t>373/541 (69)</w:t>
            </w:r>
          </w:p>
        </w:tc>
        <w:tc>
          <w:tcPr>
            <w:tcW w:w="874" w:type="pct"/>
            <w:vAlign w:val="center"/>
          </w:tcPr>
          <w:p w:rsidR="00A56395" w:rsidRPr="007D2B92" w:rsidRDefault="00A56395" w:rsidP="00362A50">
            <w:pPr>
              <w:pStyle w:val="Tabletext"/>
              <w:keepNext/>
              <w:jc w:val="center"/>
              <w:rPr>
                <w:szCs w:val="20"/>
              </w:rPr>
            </w:pPr>
            <w:r w:rsidRPr="007D2B92">
              <w:rPr>
                <w:szCs w:val="20"/>
              </w:rPr>
              <w:t>444/539 (82)</w:t>
            </w:r>
          </w:p>
        </w:tc>
        <w:tc>
          <w:tcPr>
            <w:tcW w:w="903" w:type="pct"/>
            <w:vAlign w:val="center"/>
          </w:tcPr>
          <w:p w:rsidR="00A56395" w:rsidRPr="007D2B92" w:rsidRDefault="00A56395" w:rsidP="00362A50">
            <w:pPr>
              <w:pStyle w:val="Tabletext"/>
              <w:keepN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362A50">
            <w:pPr>
              <w:pStyle w:val="Tabletext"/>
              <w:keepNext/>
              <w:rPr>
                <w:szCs w:val="20"/>
              </w:rPr>
            </w:pPr>
            <w:r w:rsidRPr="007D2B92">
              <w:rPr>
                <w:szCs w:val="20"/>
              </w:rPr>
              <w:t>Any local reaction (at visit 1)</w:t>
            </w:r>
          </w:p>
        </w:tc>
        <w:tc>
          <w:tcPr>
            <w:tcW w:w="936" w:type="pct"/>
            <w:vAlign w:val="center"/>
          </w:tcPr>
          <w:p w:rsidR="00A56395" w:rsidRPr="007D2B92" w:rsidRDefault="00A56395" w:rsidP="00362A50">
            <w:pPr>
              <w:pStyle w:val="Tabletext"/>
              <w:keepNext/>
              <w:jc w:val="center"/>
              <w:rPr>
                <w:szCs w:val="20"/>
              </w:rPr>
            </w:pPr>
            <w:r w:rsidRPr="007D2B92">
              <w:rPr>
                <w:szCs w:val="20"/>
              </w:rPr>
              <w:t>460/540 (85)</w:t>
            </w:r>
          </w:p>
        </w:tc>
        <w:tc>
          <w:tcPr>
            <w:tcW w:w="788" w:type="pct"/>
            <w:gridSpan w:val="2"/>
            <w:vAlign w:val="center"/>
          </w:tcPr>
          <w:p w:rsidR="00A56395" w:rsidRPr="007D2B92" w:rsidRDefault="00A56395" w:rsidP="00362A50">
            <w:pPr>
              <w:pStyle w:val="Tabletext"/>
              <w:keepNext/>
              <w:jc w:val="center"/>
              <w:rPr>
                <w:szCs w:val="20"/>
              </w:rPr>
            </w:pPr>
            <w:r w:rsidRPr="007D2B92">
              <w:rPr>
                <w:szCs w:val="20"/>
              </w:rPr>
              <w:t>280/541 (52)</w:t>
            </w:r>
          </w:p>
        </w:tc>
        <w:tc>
          <w:tcPr>
            <w:tcW w:w="874" w:type="pct"/>
            <w:vAlign w:val="center"/>
          </w:tcPr>
          <w:p w:rsidR="00A56395" w:rsidRPr="007D2B92" w:rsidRDefault="00A56395" w:rsidP="00362A50">
            <w:pPr>
              <w:pStyle w:val="Tabletext"/>
              <w:keepNext/>
              <w:jc w:val="center"/>
              <w:rPr>
                <w:szCs w:val="20"/>
              </w:rPr>
            </w:pPr>
            <w:r w:rsidRPr="007D2B92">
              <w:rPr>
                <w:szCs w:val="20"/>
              </w:rPr>
              <w:t>399/539 (74)</w:t>
            </w:r>
          </w:p>
        </w:tc>
        <w:tc>
          <w:tcPr>
            <w:tcW w:w="903" w:type="pct"/>
            <w:vAlign w:val="center"/>
          </w:tcPr>
          <w:p w:rsidR="00A56395" w:rsidRPr="007D2B92" w:rsidRDefault="00A56395" w:rsidP="00362A50">
            <w:pPr>
              <w:pStyle w:val="Tabletext"/>
              <w:keepN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362A50">
            <w:pPr>
              <w:pStyle w:val="Tabletext"/>
              <w:keepNext/>
              <w:rPr>
                <w:szCs w:val="20"/>
              </w:rPr>
            </w:pPr>
            <w:r w:rsidRPr="007D2B92">
              <w:rPr>
                <w:szCs w:val="20"/>
              </w:rPr>
              <w:t>Any systemic reaction (at visit 1)</w:t>
            </w:r>
          </w:p>
        </w:tc>
        <w:tc>
          <w:tcPr>
            <w:tcW w:w="936" w:type="pct"/>
            <w:vAlign w:val="center"/>
          </w:tcPr>
          <w:p w:rsidR="00A56395" w:rsidRPr="007D2B92" w:rsidRDefault="00A56395" w:rsidP="00362A50">
            <w:pPr>
              <w:pStyle w:val="Tabletext"/>
              <w:keepNext/>
              <w:jc w:val="center"/>
              <w:rPr>
                <w:szCs w:val="20"/>
              </w:rPr>
            </w:pPr>
            <w:r w:rsidRPr="007D2B92">
              <w:rPr>
                <w:szCs w:val="20"/>
              </w:rPr>
              <w:t>312/540 (58)</w:t>
            </w:r>
          </w:p>
        </w:tc>
        <w:tc>
          <w:tcPr>
            <w:tcW w:w="788" w:type="pct"/>
            <w:gridSpan w:val="2"/>
            <w:vAlign w:val="center"/>
          </w:tcPr>
          <w:p w:rsidR="00A56395" w:rsidRPr="007D2B92" w:rsidRDefault="00A56395" w:rsidP="00362A50">
            <w:pPr>
              <w:pStyle w:val="Tabletext"/>
              <w:keepNext/>
              <w:jc w:val="center"/>
              <w:rPr>
                <w:szCs w:val="20"/>
              </w:rPr>
            </w:pPr>
            <w:r w:rsidRPr="007D2B92">
              <w:rPr>
                <w:szCs w:val="20"/>
              </w:rPr>
              <w:t>274/541 (51)</w:t>
            </w:r>
          </w:p>
        </w:tc>
        <w:tc>
          <w:tcPr>
            <w:tcW w:w="874" w:type="pct"/>
            <w:vAlign w:val="center"/>
          </w:tcPr>
          <w:p w:rsidR="00A56395" w:rsidRPr="007D2B92" w:rsidRDefault="00A56395" w:rsidP="00362A50">
            <w:pPr>
              <w:pStyle w:val="Tabletext"/>
              <w:keepNext/>
              <w:jc w:val="center"/>
              <w:rPr>
                <w:szCs w:val="20"/>
              </w:rPr>
            </w:pPr>
            <w:r w:rsidRPr="007D2B92">
              <w:rPr>
                <w:szCs w:val="20"/>
              </w:rPr>
              <w:t>309/539 (57)</w:t>
            </w:r>
          </w:p>
        </w:tc>
        <w:tc>
          <w:tcPr>
            <w:tcW w:w="903" w:type="pct"/>
            <w:vAlign w:val="center"/>
          </w:tcPr>
          <w:p w:rsidR="00A56395" w:rsidRPr="007D2B92" w:rsidRDefault="00A56395" w:rsidP="00362A50">
            <w:pPr>
              <w:pStyle w:val="Tabletext"/>
              <w:keepN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362A50">
            <w:pPr>
              <w:pStyle w:val="Tabletext"/>
              <w:keepNext/>
              <w:rPr>
                <w:szCs w:val="20"/>
              </w:rPr>
            </w:pPr>
            <w:r w:rsidRPr="007D2B92">
              <w:rPr>
                <w:szCs w:val="20"/>
              </w:rPr>
              <w:t>Any other reaction (at visit 1)</w:t>
            </w:r>
          </w:p>
        </w:tc>
        <w:tc>
          <w:tcPr>
            <w:tcW w:w="936" w:type="pct"/>
            <w:vAlign w:val="center"/>
          </w:tcPr>
          <w:p w:rsidR="00A56395" w:rsidRPr="007D2B92" w:rsidRDefault="00A56395" w:rsidP="00362A50">
            <w:pPr>
              <w:pStyle w:val="Tabletext"/>
              <w:keepNext/>
              <w:jc w:val="center"/>
              <w:rPr>
                <w:szCs w:val="20"/>
              </w:rPr>
            </w:pPr>
            <w:r w:rsidRPr="007D2B92">
              <w:rPr>
                <w:szCs w:val="20"/>
              </w:rPr>
              <w:t>140/540 (26)</w:t>
            </w:r>
          </w:p>
        </w:tc>
        <w:tc>
          <w:tcPr>
            <w:tcW w:w="788" w:type="pct"/>
            <w:gridSpan w:val="2"/>
            <w:vAlign w:val="center"/>
          </w:tcPr>
          <w:p w:rsidR="00A56395" w:rsidRPr="007D2B92" w:rsidRDefault="00A56395" w:rsidP="00362A50">
            <w:pPr>
              <w:pStyle w:val="Tabletext"/>
              <w:keepNext/>
              <w:jc w:val="center"/>
              <w:rPr>
                <w:szCs w:val="20"/>
              </w:rPr>
            </w:pPr>
            <w:r w:rsidRPr="007D2B92">
              <w:rPr>
                <w:szCs w:val="20"/>
              </w:rPr>
              <w:t>147/541 (27)</w:t>
            </w:r>
          </w:p>
        </w:tc>
        <w:tc>
          <w:tcPr>
            <w:tcW w:w="874" w:type="pct"/>
            <w:vAlign w:val="center"/>
          </w:tcPr>
          <w:p w:rsidR="00A56395" w:rsidRPr="007D2B92" w:rsidRDefault="00A56395" w:rsidP="00362A50">
            <w:pPr>
              <w:pStyle w:val="Tabletext"/>
              <w:keepNext/>
              <w:jc w:val="center"/>
              <w:rPr>
                <w:szCs w:val="20"/>
              </w:rPr>
            </w:pPr>
            <w:r w:rsidRPr="007D2B92">
              <w:rPr>
                <w:szCs w:val="20"/>
              </w:rPr>
              <w:t>147/539 (27)</w:t>
            </w:r>
          </w:p>
        </w:tc>
        <w:tc>
          <w:tcPr>
            <w:tcW w:w="903" w:type="pct"/>
            <w:vAlign w:val="center"/>
          </w:tcPr>
          <w:p w:rsidR="00A56395" w:rsidRPr="007D2B92" w:rsidRDefault="00A56395" w:rsidP="00362A50">
            <w:pPr>
              <w:pStyle w:val="Tabletext"/>
              <w:keepN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 (1 month after visit 1)</w:t>
            </w:r>
          </w:p>
        </w:tc>
        <w:tc>
          <w:tcPr>
            <w:tcW w:w="936" w:type="pct"/>
            <w:vAlign w:val="center"/>
          </w:tcPr>
          <w:p w:rsidR="00A56395" w:rsidRPr="007D2B92" w:rsidRDefault="00A56395" w:rsidP="00F80799">
            <w:pPr>
              <w:pStyle w:val="Tabletext"/>
              <w:jc w:val="center"/>
              <w:rPr>
                <w:szCs w:val="20"/>
              </w:rPr>
            </w:pPr>
            <w:r w:rsidRPr="007D2B92">
              <w:rPr>
                <w:szCs w:val="20"/>
              </w:rPr>
              <w:t>79/540 (15)</w:t>
            </w:r>
          </w:p>
        </w:tc>
        <w:tc>
          <w:tcPr>
            <w:tcW w:w="788" w:type="pct"/>
            <w:gridSpan w:val="2"/>
            <w:vAlign w:val="center"/>
          </w:tcPr>
          <w:p w:rsidR="00A56395" w:rsidRPr="007D2B92" w:rsidRDefault="00A56395" w:rsidP="00F80799">
            <w:pPr>
              <w:pStyle w:val="Tabletext"/>
              <w:jc w:val="center"/>
              <w:rPr>
                <w:szCs w:val="20"/>
              </w:rPr>
            </w:pPr>
            <w:r w:rsidRPr="007D2B92">
              <w:rPr>
                <w:szCs w:val="20"/>
              </w:rPr>
              <w:t>53/541 (10)</w:t>
            </w:r>
          </w:p>
        </w:tc>
        <w:tc>
          <w:tcPr>
            <w:tcW w:w="874" w:type="pct"/>
            <w:vAlign w:val="center"/>
          </w:tcPr>
          <w:p w:rsidR="00A56395" w:rsidRPr="007D2B92" w:rsidRDefault="00A56395" w:rsidP="00F80799">
            <w:pPr>
              <w:pStyle w:val="Tabletext"/>
              <w:jc w:val="center"/>
              <w:rPr>
                <w:szCs w:val="20"/>
              </w:rPr>
            </w:pPr>
            <w:r w:rsidRPr="007D2B92">
              <w:rPr>
                <w:szCs w:val="20"/>
              </w:rPr>
              <w:t>66/539 (12)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lastRenderedPageBreak/>
              <w:t>Possibly probably related AEs (1 month after visit 1)</w:t>
            </w:r>
          </w:p>
        </w:tc>
        <w:tc>
          <w:tcPr>
            <w:tcW w:w="936" w:type="pct"/>
            <w:vAlign w:val="center"/>
          </w:tcPr>
          <w:p w:rsidR="00A56395" w:rsidRPr="007D2B92" w:rsidRDefault="00A56395" w:rsidP="00F80799">
            <w:pPr>
              <w:pStyle w:val="Tabletext"/>
              <w:jc w:val="center"/>
              <w:rPr>
                <w:szCs w:val="20"/>
              </w:rPr>
            </w:pPr>
            <w:r w:rsidRPr="007D2B92">
              <w:rPr>
                <w:szCs w:val="20"/>
              </w:rPr>
              <w:t>22/540 (4)</w:t>
            </w:r>
          </w:p>
        </w:tc>
        <w:tc>
          <w:tcPr>
            <w:tcW w:w="788" w:type="pct"/>
            <w:gridSpan w:val="2"/>
            <w:vAlign w:val="center"/>
          </w:tcPr>
          <w:p w:rsidR="00A56395" w:rsidRPr="007D2B92" w:rsidRDefault="00A56395" w:rsidP="00F80799">
            <w:pPr>
              <w:pStyle w:val="Tabletext"/>
              <w:jc w:val="center"/>
              <w:rPr>
                <w:szCs w:val="20"/>
              </w:rPr>
            </w:pPr>
            <w:r w:rsidRPr="007D2B92">
              <w:rPr>
                <w:szCs w:val="20"/>
              </w:rPr>
              <w:t>12/541 (2)</w:t>
            </w:r>
          </w:p>
        </w:tc>
        <w:tc>
          <w:tcPr>
            <w:tcW w:w="874" w:type="pct"/>
            <w:vAlign w:val="center"/>
          </w:tcPr>
          <w:p w:rsidR="00A56395" w:rsidRPr="007D2B92" w:rsidRDefault="00A56395" w:rsidP="00F80799">
            <w:pPr>
              <w:pStyle w:val="Tabletext"/>
              <w:jc w:val="center"/>
              <w:rPr>
                <w:szCs w:val="20"/>
              </w:rPr>
            </w:pPr>
            <w:r w:rsidRPr="007D2B92">
              <w:rPr>
                <w:szCs w:val="20"/>
              </w:rPr>
              <w:t>21/539 (4)</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SAEs (1 month after visit 1)</w:t>
            </w:r>
          </w:p>
        </w:tc>
        <w:tc>
          <w:tcPr>
            <w:tcW w:w="936" w:type="pct"/>
            <w:vAlign w:val="center"/>
          </w:tcPr>
          <w:p w:rsidR="00A56395" w:rsidRPr="007D2B92" w:rsidRDefault="00A56395" w:rsidP="00F80799">
            <w:pPr>
              <w:pStyle w:val="Tabletext"/>
              <w:jc w:val="center"/>
              <w:rPr>
                <w:szCs w:val="20"/>
              </w:rPr>
            </w:pPr>
            <w:r w:rsidRPr="007D2B92">
              <w:rPr>
                <w:szCs w:val="20"/>
              </w:rPr>
              <w:t>1/540 (&lt;1)</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AEs leading to discontinuation (1 month after visit 1)</w:t>
            </w:r>
          </w:p>
        </w:tc>
        <w:tc>
          <w:tcPr>
            <w:tcW w:w="936" w:type="pct"/>
            <w:vAlign w:val="center"/>
          </w:tcPr>
          <w:p w:rsidR="00A56395" w:rsidRPr="007D2B92" w:rsidRDefault="00A56395" w:rsidP="00F80799">
            <w:pPr>
              <w:pStyle w:val="Tabletext"/>
              <w:jc w:val="center"/>
              <w:rPr>
                <w:szCs w:val="20"/>
              </w:rPr>
            </w:pPr>
            <w:r w:rsidRPr="007D2B92">
              <w:rPr>
                <w:szCs w:val="20"/>
              </w:rPr>
              <w:t>1/540 (&lt;1)</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SAEs (1 month after visit 1)</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b/>
                <w:szCs w:val="20"/>
              </w:rPr>
            </w:pPr>
            <w:r w:rsidRPr="007D2B92">
              <w:rPr>
                <w:b/>
                <w:szCs w:val="20"/>
              </w:rPr>
              <w:t xml:space="preserve">V59P11, </w:t>
            </w: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vs </w:t>
            </w:r>
            <w:proofErr w:type="spellStart"/>
            <w:r w:rsidRPr="007D2B92">
              <w:rPr>
                <w:b/>
                <w:szCs w:val="20"/>
              </w:rPr>
              <w:t>Tdap</w:t>
            </w:r>
            <w:proofErr w:type="spellEnd"/>
            <w:r w:rsidRPr="007D2B92">
              <w:rPr>
                <w:b/>
                <w:szCs w:val="20"/>
              </w:rPr>
              <w:t xml:space="preserve"> + saline vs </w:t>
            </w:r>
            <w:proofErr w:type="spellStart"/>
            <w:r w:rsidRPr="007D2B92">
              <w:rPr>
                <w:b/>
                <w:szCs w:val="20"/>
              </w:rPr>
              <w:t>MenACWY</w:t>
            </w:r>
            <w:proofErr w:type="spellEnd"/>
            <w:r w:rsidRPr="007D2B92">
              <w:rPr>
                <w:b/>
                <w:szCs w:val="20"/>
              </w:rPr>
              <w:t>-CRM + saline</w:t>
            </w:r>
          </w:p>
        </w:tc>
      </w:tr>
      <w:tr w:rsidR="00526D33" w:rsidRPr="007D2B92" w:rsidTr="00526D33">
        <w:tc>
          <w:tcPr>
            <w:tcW w:w="1499" w:type="pct"/>
            <w:vAlign w:val="center"/>
          </w:tcPr>
          <w:p w:rsidR="00A56395" w:rsidRPr="007D2B92" w:rsidRDefault="00A56395" w:rsidP="00F80799">
            <w:pPr>
              <w:pStyle w:val="Tabletext"/>
              <w:rPr>
                <w:szCs w:val="20"/>
              </w:rPr>
            </w:pPr>
          </w:p>
        </w:tc>
        <w:tc>
          <w:tcPr>
            <w:tcW w:w="936" w:type="pct"/>
            <w:vAlign w:val="center"/>
          </w:tcPr>
          <w:p w:rsidR="00A56395" w:rsidRPr="007D2B92" w:rsidRDefault="00A56395" w:rsidP="00F80799">
            <w:pPr>
              <w:pStyle w:val="Tabletext"/>
              <w:jc w:val="center"/>
              <w:rPr>
                <w:szCs w:val="20"/>
              </w:rPr>
            </w:pP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p>
        </w:tc>
        <w:tc>
          <w:tcPr>
            <w:tcW w:w="788" w:type="pct"/>
            <w:gridSpan w:val="2"/>
            <w:vAlign w:val="center"/>
          </w:tcPr>
          <w:p w:rsidR="00A56395" w:rsidRPr="007D2B92" w:rsidRDefault="00A56395" w:rsidP="00F80799">
            <w:pPr>
              <w:pStyle w:val="Tabletext"/>
              <w:jc w:val="center"/>
              <w:rPr>
                <w:szCs w:val="20"/>
              </w:rPr>
            </w:pPr>
            <w:proofErr w:type="spellStart"/>
            <w:r w:rsidRPr="007D2B92">
              <w:rPr>
                <w:b/>
                <w:szCs w:val="20"/>
              </w:rPr>
              <w:t>Tdap</w:t>
            </w:r>
            <w:proofErr w:type="spellEnd"/>
            <w:r w:rsidRPr="007D2B92">
              <w:rPr>
                <w:b/>
                <w:szCs w:val="20"/>
              </w:rPr>
              <w:t xml:space="preserve"> + saline</w:t>
            </w:r>
          </w:p>
        </w:tc>
        <w:tc>
          <w:tcPr>
            <w:tcW w:w="874" w:type="pct"/>
            <w:vAlign w:val="center"/>
          </w:tcPr>
          <w:p w:rsidR="00A56395" w:rsidRPr="007D2B92" w:rsidRDefault="00A56395" w:rsidP="00F80799">
            <w:pPr>
              <w:pStyle w:val="Tabletext"/>
              <w:jc w:val="center"/>
              <w:rPr>
                <w:szCs w:val="20"/>
              </w:rPr>
            </w:pPr>
            <w:proofErr w:type="spellStart"/>
            <w:r w:rsidRPr="007D2B92">
              <w:rPr>
                <w:b/>
                <w:szCs w:val="20"/>
              </w:rPr>
              <w:t>MenACWY</w:t>
            </w:r>
            <w:proofErr w:type="spellEnd"/>
            <w:r w:rsidRPr="007D2B92">
              <w:rPr>
                <w:b/>
                <w:szCs w:val="20"/>
              </w:rPr>
              <w:t>-CRM + saline</w:t>
            </w:r>
          </w:p>
        </w:tc>
        <w:tc>
          <w:tcPr>
            <w:tcW w:w="903" w:type="pct"/>
            <w:vAlign w:val="center"/>
          </w:tcPr>
          <w:p w:rsidR="00A56395" w:rsidRPr="007D2B92" w:rsidRDefault="00A56395" w:rsidP="00F80799">
            <w:pPr>
              <w:pStyle w:val="Tabletext"/>
              <w:jc w:val="center"/>
              <w:rPr>
                <w:szCs w:val="20"/>
              </w:rPr>
            </w:pP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936" w:type="pct"/>
            <w:vAlign w:val="center"/>
          </w:tcPr>
          <w:p w:rsidR="00A56395" w:rsidRPr="007D2B92" w:rsidRDefault="00A56395" w:rsidP="00F80799">
            <w:pPr>
              <w:pStyle w:val="Tabletext"/>
              <w:jc w:val="center"/>
              <w:rPr>
                <w:szCs w:val="20"/>
              </w:rPr>
            </w:pPr>
            <w:r w:rsidRPr="007D2B92">
              <w:rPr>
                <w:szCs w:val="20"/>
              </w:rPr>
              <w:t>263/313 (84)</w:t>
            </w:r>
          </w:p>
        </w:tc>
        <w:tc>
          <w:tcPr>
            <w:tcW w:w="788" w:type="pct"/>
            <w:gridSpan w:val="2"/>
            <w:vAlign w:val="center"/>
          </w:tcPr>
          <w:p w:rsidR="00A56395" w:rsidRPr="007D2B92" w:rsidRDefault="00A56395" w:rsidP="00F80799">
            <w:pPr>
              <w:pStyle w:val="Tabletext"/>
              <w:jc w:val="center"/>
              <w:rPr>
                <w:szCs w:val="20"/>
              </w:rPr>
            </w:pPr>
            <w:r w:rsidRPr="007D2B92">
              <w:rPr>
                <w:szCs w:val="20"/>
              </w:rPr>
              <w:t>277/315 (88)</w:t>
            </w:r>
          </w:p>
        </w:tc>
        <w:tc>
          <w:tcPr>
            <w:tcW w:w="874" w:type="pct"/>
            <w:vAlign w:val="center"/>
          </w:tcPr>
          <w:p w:rsidR="00A56395" w:rsidRPr="007D2B92" w:rsidRDefault="00A56395" w:rsidP="00F80799">
            <w:pPr>
              <w:pStyle w:val="Tabletext"/>
              <w:jc w:val="center"/>
              <w:rPr>
                <w:szCs w:val="20"/>
              </w:rPr>
            </w:pPr>
            <w:r w:rsidRPr="007D2B92">
              <w:rPr>
                <w:szCs w:val="20"/>
              </w:rPr>
              <w:t>206/316 (65)</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Local reaction</w:t>
            </w:r>
          </w:p>
        </w:tc>
        <w:tc>
          <w:tcPr>
            <w:tcW w:w="936" w:type="pct"/>
            <w:vAlign w:val="center"/>
          </w:tcPr>
          <w:p w:rsidR="00A56395" w:rsidRPr="007D2B92" w:rsidRDefault="00A56395" w:rsidP="00F80799">
            <w:pPr>
              <w:pStyle w:val="Tabletext"/>
              <w:jc w:val="center"/>
              <w:rPr>
                <w:szCs w:val="20"/>
              </w:rPr>
            </w:pPr>
            <w:r w:rsidRPr="007D2B92">
              <w:rPr>
                <w:szCs w:val="20"/>
              </w:rPr>
              <w:t>245/313 (78)</w:t>
            </w:r>
          </w:p>
        </w:tc>
        <w:tc>
          <w:tcPr>
            <w:tcW w:w="788" w:type="pct"/>
            <w:gridSpan w:val="2"/>
            <w:vAlign w:val="center"/>
          </w:tcPr>
          <w:p w:rsidR="00A56395" w:rsidRPr="007D2B92" w:rsidRDefault="00A56395" w:rsidP="00F80799">
            <w:pPr>
              <w:pStyle w:val="Tabletext"/>
              <w:jc w:val="center"/>
              <w:rPr>
                <w:szCs w:val="20"/>
              </w:rPr>
            </w:pPr>
            <w:r w:rsidRPr="007D2B92">
              <w:rPr>
                <w:szCs w:val="20"/>
              </w:rPr>
              <w:t>253/315 (80)</w:t>
            </w:r>
          </w:p>
        </w:tc>
        <w:tc>
          <w:tcPr>
            <w:tcW w:w="874" w:type="pct"/>
            <w:vAlign w:val="center"/>
          </w:tcPr>
          <w:p w:rsidR="00A56395" w:rsidRPr="007D2B92" w:rsidRDefault="00A56395" w:rsidP="00F80799">
            <w:pPr>
              <w:pStyle w:val="Tabletext"/>
              <w:jc w:val="center"/>
              <w:rPr>
                <w:szCs w:val="20"/>
              </w:rPr>
            </w:pPr>
            <w:r w:rsidRPr="007D2B92">
              <w:rPr>
                <w:szCs w:val="20"/>
              </w:rPr>
              <w:t>161/316 (51)</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Systemic reaction</w:t>
            </w:r>
          </w:p>
        </w:tc>
        <w:tc>
          <w:tcPr>
            <w:tcW w:w="936" w:type="pct"/>
            <w:vAlign w:val="center"/>
          </w:tcPr>
          <w:p w:rsidR="00A56395" w:rsidRPr="007D2B92" w:rsidRDefault="00A56395" w:rsidP="00F80799">
            <w:pPr>
              <w:pStyle w:val="Tabletext"/>
              <w:jc w:val="center"/>
              <w:rPr>
                <w:szCs w:val="20"/>
              </w:rPr>
            </w:pPr>
            <w:r w:rsidRPr="007D2B92">
              <w:rPr>
                <w:szCs w:val="20"/>
              </w:rPr>
              <w:t>178/313 (57)</w:t>
            </w:r>
          </w:p>
        </w:tc>
        <w:tc>
          <w:tcPr>
            <w:tcW w:w="788" w:type="pct"/>
            <w:gridSpan w:val="2"/>
            <w:vAlign w:val="center"/>
          </w:tcPr>
          <w:p w:rsidR="00A56395" w:rsidRPr="007D2B92" w:rsidRDefault="00A56395" w:rsidP="00F80799">
            <w:pPr>
              <w:pStyle w:val="Tabletext"/>
              <w:jc w:val="center"/>
              <w:rPr>
                <w:szCs w:val="20"/>
              </w:rPr>
            </w:pPr>
            <w:r w:rsidRPr="007D2B92">
              <w:rPr>
                <w:szCs w:val="20"/>
              </w:rPr>
              <w:t>183/315 (58)</w:t>
            </w:r>
          </w:p>
        </w:tc>
        <w:tc>
          <w:tcPr>
            <w:tcW w:w="874" w:type="pct"/>
            <w:vAlign w:val="center"/>
          </w:tcPr>
          <w:p w:rsidR="00A56395" w:rsidRPr="007D2B92" w:rsidRDefault="00A56395" w:rsidP="00F80799">
            <w:pPr>
              <w:pStyle w:val="Tabletext"/>
              <w:jc w:val="center"/>
              <w:rPr>
                <w:szCs w:val="20"/>
              </w:rPr>
            </w:pPr>
            <w:r w:rsidRPr="007D2B92">
              <w:rPr>
                <w:szCs w:val="20"/>
              </w:rPr>
              <w:t>150/316 (47)</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Other reaction</w:t>
            </w:r>
          </w:p>
        </w:tc>
        <w:tc>
          <w:tcPr>
            <w:tcW w:w="936" w:type="pct"/>
            <w:vAlign w:val="center"/>
          </w:tcPr>
          <w:p w:rsidR="00A56395" w:rsidRPr="007D2B92" w:rsidRDefault="00A56395" w:rsidP="00F80799">
            <w:pPr>
              <w:pStyle w:val="Tabletext"/>
              <w:jc w:val="center"/>
              <w:rPr>
                <w:szCs w:val="20"/>
              </w:rPr>
            </w:pPr>
            <w:r w:rsidRPr="007D2B92">
              <w:rPr>
                <w:szCs w:val="20"/>
              </w:rPr>
              <w:t>37/313 (12)</w:t>
            </w:r>
          </w:p>
        </w:tc>
        <w:tc>
          <w:tcPr>
            <w:tcW w:w="788" w:type="pct"/>
            <w:gridSpan w:val="2"/>
            <w:vAlign w:val="center"/>
          </w:tcPr>
          <w:p w:rsidR="00A56395" w:rsidRPr="007D2B92" w:rsidRDefault="00A56395" w:rsidP="00F80799">
            <w:pPr>
              <w:pStyle w:val="Tabletext"/>
              <w:jc w:val="center"/>
              <w:rPr>
                <w:szCs w:val="20"/>
              </w:rPr>
            </w:pPr>
            <w:r w:rsidRPr="007D2B92">
              <w:rPr>
                <w:szCs w:val="20"/>
              </w:rPr>
              <w:t>34/315 (11)</w:t>
            </w:r>
          </w:p>
        </w:tc>
        <w:tc>
          <w:tcPr>
            <w:tcW w:w="874" w:type="pct"/>
            <w:vAlign w:val="center"/>
          </w:tcPr>
          <w:p w:rsidR="00A56395" w:rsidRPr="007D2B92" w:rsidRDefault="00A56395" w:rsidP="00F80799">
            <w:pPr>
              <w:pStyle w:val="Tabletext"/>
              <w:jc w:val="center"/>
              <w:rPr>
                <w:szCs w:val="20"/>
              </w:rPr>
            </w:pPr>
            <w:r w:rsidRPr="007D2B92">
              <w:rPr>
                <w:szCs w:val="20"/>
              </w:rPr>
              <w:t>26/316 (8)</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w:t>
            </w:r>
          </w:p>
        </w:tc>
        <w:tc>
          <w:tcPr>
            <w:tcW w:w="936" w:type="pct"/>
            <w:vAlign w:val="center"/>
          </w:tcPr>
          <w:p w:rsidR="00A56395" w:rsidRPr="007D2B92" w:rsidRDefault="00A56395" w:rsidP="00F80799">
            <w:pPr>
              <w:pStyle w:val="Tabletext"/>
              <w:jc w:val="center"/>
              <w:rPr>
                <w:szCs w:val="20"/>
              </w:rPr>
            </w:pPr>
            <w:r w:rsidRPr="007D2B92">
              <w:rPr>
                <w:szCs w:val="20"/>
              </w:rPr>
              <w:t>37/313 (12)</w:t>
            </w:r>
          </w:p>
        </w:tc>
        <w:tc>
          <w:tcPr>
            <w:tcW w:w="788" w:type="pct"/>
            <w:gridSpan w:val="2"/>
            <w:vAlign w:val="center"/>
          </w:tcPr>
          <w:p w:rsidR="00A56395" w:rsidRPr="007D2B92" w:rsidRDefault="00A56395" w:rsidP="00F80799">
            <w:pPr>
              <w:pStyle w:val="Tabletext"/>
              <w:jc w:val="center"/>
              <w:rPr>
                <w:szCs w:val="20"/>
              </w:rPr>
            </w:pPr>
            <w:r w:rsidRPr="007D2B92">
              <w:rPr>
                <w:szCs w:val="20"/>
              </w:rPr>
              <w:t>28/315 (9)</w:t>
            </w:r>
          </w:p>
        </w:tc>
        <w:tc>
          <w:tcPr>
            <w:tcW w:w="874" w:type="pct"/>
            <w:vAlign w:val="center"/>
          </w:tcPr>
          <w:p w:rsidR="00A56395" w:rsidRPr="007D2B92" w:rsidRDefault="00A56395" w:rsidP="00F80799">
            <w:pPr>
              <w:pStyle w:val="Tabletext"/>
              <w:jc w:val="center"/>
              <w:rPr>
                <w:szCs w:val="20"/>
              </w:rPr>
            </w:pPr>
            <w:r w:rsidRPr="007D2B92">
              <w:rPr>
                <w:szCs w:val="20"/>
              </w:rPr>
              <w:t>38/316 (12)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AE</w:t>
            </w:r>
          </w:p>
        </w:tc>
        <w:tc>
          <w:tcPr>
            <w:tcW w:w="936" w:type="pct"/>
            <w:vAlign w:val="center"/>
          </w:tcPr>
          <w:p w:rsidR="00A56395" w:rsidRPr="007D2B92" w:rsidRDefault="00A56395" w:rsidP="00F80799">
            <w:pPr>
              <w:pStyle w:val="Tabletext"/>
              <w:jc w:val="center"/>
              <w:rPr>
                <w:szCs w:val="20"/>
              </w:rPr>
            </w:pPr>
            <w:r w:rsidRPr="007D2B92">
              <w:rPr>
                <w:szCs w:val="20"/>
              </w:rPr>
              <w:t>8/313 (3)</w:t>
            </w:r>
          </w:p>
        </w:tc>
        <w:tc>
          <w:tcPr>
            <w:tcW w:w="788" w:type="pct"/>
            <w:gridSpan w:val="2"/>
            <w:vAlign w:val="center"/>
          </w:tcPr>
          <w:p w:rsidR="00A56395" w:rsidRPr="007D2B92" w:rsidRDefault="00A56395" w:rsidP="00F80799">
            <w:pPr>
              <w:pStyle w:val="Tabletext"/>
              <w:jc w:val="center"/>
              <w:rPr>
                <w:szCs w:val="20"/>
              </w:rPr>
            </w:pPr>
            <w:r w:rsidRPr="007D2B92">
              <w:rPr>
                <w:szCs w:val="20"/>
              </w:rPr>
              <w:t>5/315 (2)</w:t>
            </w:r>
          </w:p>
        </w:tc>
        <w:tc>
          <w:tcPr>
            <w:tcW w:w="874" w:type="pct"/>
            <w:vAlign w:val="center"/>
          </w:tcPr>
          <w:p w:rsidR="00A56395" w:rsidRPr="007D2B92" w:rsidRDefault="00A56395" w:rsidP="00F80799">
            <w:pPr>
              <w:pStyle w:val="Tabletext"/>
              <w:jc w:val="center"/>
              <w:rPr>
                <w:szCs w:val="20"/>
              </w:rPr>
            </w:pPr>
            <w:r w:rsidRPr="007D2B92">
              <w:rPr>
                <w:szCs w:val="20"/>
              </w:rPr>
              <w:t>6/316 (2)</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SAEs</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AEs leading to discontinuation</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Possibly probably related SAE</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w:t>
            </w:r>
          </w:p>
        </w:tc>
        <w:tc>
          <w:tcPr>
            <w:tcW w:w="936" w:type="pct"/>
            <w:vAlign w:val="center"/>
          </w:tcPr>
          <w:p w:rsidR="00A56395" w:rsidRPr="007D2B92" w:rsidRDefault="00A56395" w:rsidP="00F80799">
            <w:pPr>
              <w:pStyle w:val="Tabletext"/>
              <w:jc w:val="center"/>
              <w:rPr>
                <w:szCs w:val="20"/>
              </w:rPr>
            </w:pPr>
            <w:r w:rsidRPr="007D2B92">
              <w:rPr>
                <w:szCs w:val="20"/>
              </w:rPr>
              <w:t>0</w:t>
            </w:r>
          </w:p>
        </w:tc>
        <w:tc>
          <w:tcPr>
            <w:tcW w:w="788" w:type="pct"/>
            <w:gridSpan w:val="2"/>
            <w:vAlign w:val="center"/>
          </w:tcPr>
          <w:p w:rsidR="00A56395" w:rsidRPr="007D2B92" w:rsidRDefault="00A56395" w:rsidP="00F80799">
            <w:pPr>
              <w:pStyle w:val="Tabletext"/>
              <w:jc w:val="center"/>
              <w:rPr>
                <w:szCs w:val="20"/>
              </w:rPr>
            </w:pPr>
            <w:r w:rsidRPr="007D2B92">
              <w:rPr>
                <w:szCs w:val="20"/>
              </w:rPr>
              <w:t>0</w:t>
            </w:r>
          </w:p>
        </w:tc>
        <w:tc>
          <w:tcPr>
            <w:tcW w:w="874" w:type="pct"/>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A56395" w:rsidRPr="007D2B92" w:rsidTr="00F80799">
        <w:tc>
          <w:tcPr>
            <w:tcW w:w="5000" w:type="pct"/>
            <w:gridSpan w:val="6"/>
            <w:vAlign w:val="center"/>
          </w:tcPr>
          <w:p w:rsidR="00A56395" w:rsidRPr="007D2B92" w:rsidRDefault="00A56395" w:rsidP="00F80799">
            <w:pPr>
              <w:pStyle w:val="Tabletext"/>
              <w:rPr>
                <w:b/>
                <w:szCs w:val="20"/>
              </w:rPr>
            </w:pPr>
            <w:r w:rsidRPr="007D2B92">
              <w:rPr>
                <w:b/>
                <w:szCs w:val="20"/>
              </w:rPr>
              <w:t xml:space="preserve">V59P40 </w:t>
            </w:r>
            <w:proofErr w:type="spellStart"/>
            <w:r w:rsidRPr="007D2B92">
              <w:rPr>
                <w:b/>
                <w:szCs w:val="20"/>
              </w:rPr>
              <w:t>MenACWY</w:t>
            </w:r>
            <w:proofErr w:type="spellEnd"/>
            <w:r w:rsidRPr="007D2B92">
              <w:rPr>
                <w:b/>
                <w:szCs w:val="20"/>
              </w:rPr>
              <w:t xml:space="preserve">-CRM + </w:t>
            </w:r>
            <w:proofErr w:type="spellStart"/>
            <w:r w:rsidRPr="007D2B92">
              <w:rPr>
                <w:b/>
                <w:szCs w:val="20"/>
              </w:rPr>
              <w:t>Tdap</w:t>
            </w:r>
            <w:proofErr w:type="spellEnd"/>
            <w:r w:rsidRPr="007D2B92">
              <w:rPr>
                <w:b/>
                <w:szCs w:val="20"/>
              </w:rPr>
              <w:t xml:space="preserve"> + HPV4 vs </w:t>
            </w:r>
            <w:proofErr w:type="spellStart"/>
            <w:r w:rsidRPr="007D2B92">
              <w:rPr>
                <w:b/>
                <w:szCs w:val="20"/>
              </w:rPr>
              <w:t>Tdap</w:t>
            </w:r>
            <w:proofErr w:type="spellEnd"/>
            <w:r w:rsidRPr="007D2B92">
              <w:rPr>
                <w:b/>
                <w:szCs w:val="20"/>
              </w:rPr>
              <w:t xml:space="preserve"> + placebo + HPV</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281/389 (72)</w:t>
            </w:r>
          </w:p>
        </w:tc>
        <w:tc>
          <w:tcPr>
            <w:tcW w:w="1420" w:type="pct"/>
            <w:gridSpan w:val="2"/>
            <w:vAlign w:val="center"/>
          </w:tcPr>
          <w:p w:rsidR="00A56395" w:rsidRPr="007D2B92" w:rsidRDefault="00A56395" w:rsidP="00F80799">
            <w:pPr>
              <w:pStyle w:val="Tabletext"/>
              <w:jc w:val="center"/>
              <w:rPr>
                <w:szCs w:val="20"/>
              </w:rPr>
            </w:pPr>
            <w:r w:rsidRPr="007D2B92">
              <w:rPr>
                <w:szCs w:val="20"/>
              </w:rPr>
              <w:t>245/385 (64)</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Local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209/389 (54)</w:t>
            </w:r>
          </w:p>
        </w:tc>
        <w:tc>
          <w:tcPr>
            <w:tcW w:w="1420" w:type="pct"/>
            <w:gridSpan w:val="2"/>
            <w:vAlign w:val="center"/>
          </w:tcPr>
          <w:p w:rsidR="00A56395" w:rsidRPr="007D2B92" w:rsidRDefault="00A56395" w:rsidP="00F80799">
            <w:pPr>
              <w:pStyle w:val="Tabletext"/>
              <w:jc w:val="center"/>
              <w:rPr>
                <w:szCs w:val="20"/>
              </w:rPr>
            </w:pPr>
            <w:r w:rsidRPr="007D2B92">
              <w:rPr>
                <w:szCs w:val="20"/>
              </w:rPr>
              <w:t>164/385 (43)</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Systemic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205/389 (53)</w:t>
            </w:r>
          </w:p>
        </w:tc>
        <w:tc>
          <w:tcPr>
            <w:tcW w:w="1420" w:type="pct"/>
            <w:gridSpan w:val="2"/>
            <w:vAlign w:val="center"/>
          </w:tcPr>
          <w:p w:rsidR="00A56395" w:rsidRPr="007D2B92" w:rsidRDefault="00A56395" w:rsidP="00F80799">
            <w:pPr>
              <w:pStyle w:val="Tabletext"/>
              <w:jc w:val="center"/>
              <w:rPr>
                <w:szCs w:val="20"/>
              </w:rPr>
            </w:pPr>
            <w:r w:rsidRPr="007D2B92">
              <w:rPr>
                <w:szCs w:val="20"/>
              </w:rPr>
              <w:t>179/385 (46)</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Other reaction</w:t>
            </w:r>
          </w:p>
        </w:tc>
        <w:tc>
          <w:tcPr>
            <w:tcW w:w="1178" w:type="pct"/>
            <w:gridSpan w:val="2"/>
            <w:vAlign w:val="center"/>
          </w:tcPr>
          <w:p w:rsidR="00A56395" w:rsidRPr="007D2B92" w:rsidRDefault="00A56395" w:rsidP="00F80799">
            <w:pPr>
              <w:pStyle w:val="Tabletext"/>
              <w:jc w:val="center"/>
              <w:rPr>
                <w:szCs w:val="20"/>
              </w:rPr>
            </w:pPr>
            <w:r w:rsidRPr="007D2B92">
              <w:rPr>
                <w:szCs w:val="20"/>
              </w:rPr>
              <w:t>88/389 (23)</w:t>
            </w:r>
          </w:p>
        </w:tc>
        <w:tc>
          <w:tcPr>
            <w:tcW w:w="1420" w:type="pct"/>
            <w:gridSpan w:val="2"/>
            <w:vAlign w:val="center"/>
          </w:tcPr>
          <w:p w:rsidR="00A56395" w:rsidRPr="007D2B92" w:rsidRDefault="00A56395" w:rsidP="00F80799">
            <w:pPr>
              <w:pStyle w:val="Tabletext"/>
              <w:jc w:val="center"/>
              <w:rPr>
                <w:szCs w:val="20"/>
              </w:rPr>
            </w:pPr>
            <w:r w:rsidRPr="007D2B92">
              <w:rPr>
                <w:szCs w:val="20"/>
              </w:rPr>
              <w:t>80/385 (21)</w:t>
            </w:r>
          </w:p>
        </w:tc>
        <w:tc>
          <w:tcPr>
            <w:tcW w:w="903" w:type="pct"/>
            <w:vAlign w:val="center"/>
          </w:tcPr>
          <w:p w:rsidR="00A56395" w:rsidRPr="007D2B92" w:rsidRDefault="00A56395" w:rsidP="00F80799">
            <w:pPr>
              <w:pStyle w:val="Tabletext"/>
              <w:jc w:val="center"/>
              <w:rPr>
                <w:szCs w:val="20"/>
              </w:rPr>
            </w:pP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Any AEs</w:t>
            </w:r>
          </w:p>
        </w:tc>
        <w:tc>
          <w:tcPr>
            <w:tcW w:w="1178" w:type="pct"/>
            <w:gridSpan w:val="2"/>
            <w:vAlign w:val="center"/>
          </w:tcPr>
          <w:p w:rsidR="00A56395" w:rsidRPr="007D2B92" w:rsidRDefault="00A56395" w:rsidP="00F80799">
            <w:pPr>
              <w:pStyle w:val="Tabletext"/>
              <w:jc w:val="center"/>
              <w:rPr>
                <w:szCs w:val="20"/>
              </w:rPr>
            </w:pPr>
            <w:r w:rsidRPr="007D2B92">
              <w:rPr>
                <w:szCs w:val="20"/>
              </w:rPr>
              <w:t>201/396 (51)</w:t>
            </w:r>
          </w:p>
        </w:tc>
        <w:tc>
          <w:tcPr>
            <w:tcW w:w="1420" w:type="pct"/>
            <w:gridSpan w:val="2"/>
            <w:vAlign w:val="center"/>
          </w:tcPr>
          <w:p w:rsidR="00A56395" w:rsidRPr="007D2B92" w:rsidRDefault="00A56395" w:rsidP="00F80799">
            <w:pPr>
              <w:pStyle w:val="Tabletext"/>
              <w:jc w:val="center"/>
              <w:rPr>
                <w:szCs w:val="20"/>
              </w:rPr>
            </w:pPr>
            <w:r w:rsidRPr="007D2B92">
              <w:rPr>
                <w:szCs w:val="20"/>
              </w:rPr>
              <w:t>197/397 (50)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At least possibly related AEs</w:t>
            </w:r>
          </w:p>
        </w:tc>
        <w:tc>
          <w:tcPr>
            <w:tcW w:w="1178"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1420" w:type="pct"/>
            <w:gridSpan w:val="2"/>
            <w:vAlign w:val="center"/>
          </w:tcPr>
          <w:p w:rsidR="00A56395" w:rsidRPr="00346D40" w:rsidRDefault="00346D40" w:rsidP="00F80799">
            <w:pPr>
              <w:pStyle w:val="Tabletext"/>
              <w:jc w:val="center"/>
              <w:rPr>
                <w:szCs w:val="20"/>
                <w:highlight w:val="black"/>
              </w:rPr>
            </w:pPr>
            <w:r>
              <w:rPr>
                <w:noProof/>
                <w:color w:val="000000"/>
                <w:szCs w:val="20"/>
                <w:highlight w:val="black"/>
              </w:rPr>
              <w:t>'''''''''''''''' ''''''</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Serious AEs</w:t>
            </w:r>
          </w:p>
        </w:tc>
        <w:tc>
          <w:tcPr>
            <w:tcW w:w="1178" w:type="pct"/>
            <w:gridSpan w:val="2"/>
            <w:vAlign w:val="center"/>
          </w:tcPr>
          <w:p w:rsidR="00A56395" w:rsidRPr="007D2B92" w:rsidRDefault="00A56395" w:rsidP="00F80799">
            <w:pPr>
              <w:pStyle w:val="Tabletext"/>
              <w:jc w:val="center"/>
              <w:rPr>
                <w:szCs w:val="20"/>
              </w:rPr>
            </w:pPr>
            <w:r w:rsidRPr="007D2B92">
              <w:rPr>
                <w:szCs w:val="20"/>
              </w:rPr>
              <w:t>4/396 (1)</w:t>
            </w:r>
          </w:p>
        </w:tc>
        <w:tc>
          <w:tcPr>
            <w:tcW w:w="1420" w:type="pct"/>
            <w:gridSpan w:val="2"/>
            <w:vAlign w:val="center"/>
          </w:tcPr>
          <w:p w:rsidR="00A56395" w:rsidRPr="007D2B92" w:rsidRDefault="00A56395" w:rsidP="00F80799">
            <w:pPr>
              <w:pStyle w:val="Tabletext"/>
              <w:jc w:val="center"/>
              <w:rPr>
                <w:szCs w:val="20"/>
              </w:rPr>
            </w:pPr>
            <w:r w:rsidRPr="007D2B92">
              <w:rPr>
                <w:szCs w:val="20"/>
              </w:rPr>
              <w:t>3/397 (1)</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At least possibly related serious AEs</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AEs leading to premature withdrawal</w:t>
            </w:r>
          </w:p>
        </w:tc>
        <w:tc>
          <w:tcPr>
            <w:tcW w:w="1178" w:type="pct"/>
            <w:gridSpan w:val="2"/>
            <w:vAlign w:val="center"/>
          </w:tcPr>
          <w:p w:rsidR="00A56395" w:rsidRPr="007D2B92" w:rsidRDefault="00A56395" w:rsidP="00F80799">
            <w:pPr>
              <w:pStyle w:val="Tabletext"/>
              <w:jc w:val="center"/>
              <w:rPr>
                <w:szCs w:val="20"/>
              </w:rPr>
            </w:pPr>
            <w:r w:rsidRPr="007D2B92">
              <w:rPr>
                <w:szCs w:val="20"/>
              </w:rPr>
              <w:t>2/396 (&lt;1)</w:t>
            </w:r>
            <w:r w:rsidRPr="007D2B92">
              <w:rPr>
                <w:szCs w:val="20"/>
                <w:vertAlign w:val="superscript"/>
              </w:rPr>
              <w:t>a</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New onset of chronic disease</w:t>
            </w:r>
          </w:p>
        </w:tc>
        <w:tc>
          <w:tcPr>
            <w:tcW w:w="1178" w:type="pct"/>
            <w:gridSpan w:val="2"/>
            <w:vAlign w:val="center"/>
          </w:tcPr>
          <w:p w:rsidR="00A56395" w:rsidRPr="007D2B92" w:rsidRDefault="00A56395" w:rsidP="00F80799">
            <w:pPr>
              <w:pStyle w:val="Tabletext"/>
              <w:jc w:val="center"/>
              <w:rPr>
                <w:szCs w:val="20"/>
              </w:rPr>
            </w:pPr>
            <w:r w:rsidRPr="007D2B92">
              <w:rPr>
                <w:szCs w:val="20"/>
              </w:rPr>
              <w:t>25/396 (6)</w:t>
            </w:r>
          </w:p>
        </w:tc>
        <w:tc>
          <w:tcPr>
            <w:tcW w:w="1420" w:type="pct"/>
            <w:gridSpan w:val="2"/>
            <w:vAlign w:val="center"/>
          </w:tcPr>
          <w:p w:rsidR="00A56395" w:rsidRPr="007D2B92" w:rsidRDefault="00A56395" w:rsidP="00F80799">
            <w:pPr>
              <w:pStyle w:val="Tabletext"/>
              <w:jc w:val="center"/>
              <w:rPr>
                <w:szCs w:val="20"/>
              </w:rPr>
            </w:pPr>
            <w:r w:rsidRPr="007D2B92">
              <w:rPr>
                <w:szCs w:val="20"/>
              </w:rPr>
              <w:t>27/397 (7)</w:t>
            </w:r>
          </w:p>
        </w:tc>
        <w:tc>
          <w:tcPr>
            <w:tcW w:w="903" w:type="pct"/>
            <w:vAlign w:val="center"/>
          </w:tcPr>
          <w:p w:rsidR="00A56395" w:rsidRPr="007D2B92" w:rsidRDefault="00A56395" w:rsidP="00F80799">
            <w:pPr>
              <w:pStyle w:val="Tabletext"/>
              <w:jc w:val="center"/>
              <w:rPr>
                <w:szCs w:val="20"/>
              </w:rPr>
            </w:pPr>
            <w:r w:rsidRPr="007D2B92">
              <w:rPr>
                <w:szCs w:val="20"/>
              </w:rPr>
              <w:t>NR</w:t>
            </w:r>
          </w:p>
        </w:tc>
      </w:tr>
      <w:tr w:rsidR="00526D33" w:rsidRPr="007D2B92" w:rsidTr="00526D33">
        <w:tc>
          <w:tcPr>
            <w:tcW w:w="1499" w:type="pct"/>
            <w:vAlign w:val="center"/>
          </w:tcPr>
          <w:p w:rsidR="00A56395" w:rsidRPr="007D2B92" w:rsidRDefault="00A56395" w:rsidP="00F80799">
            <w:pPr>
              <w:pStyle w:val="Tabletext"/>
              <w:rPr>
                <w:szCs w:val="20"/>
              </w:rPr>
            </w:pPr>
            <w:r w:rsidRPr="007D2B92">
              <w:rPr>
                <w:szCs w:val="20"/>
              </w:rPr>
              <w:t>Death</w:t>
            </w:r>
          </w:p>
        </w:tc>
        <w:tc>
          <w:tcPr>
            <w:tcW w:w="1178" w:type="pct"/>
            <w:gridSpan w:val="2"/>
            <w:vAlign w:val="center"/>
          </w:tcPr>
          <w:p w:rsidR="00A56395" w:rsidRPr="007D2B92" w:rsidRDefault="00A56395" w:rsidP="00F80799">
            <w:pPr>
              <w:pStyle w:val="Tabletext"/>
              <w:jc w:val="center"/>
              <w:rPr>
                <w:szCs w:val="20"/>
              </w:rPr>
            </w:pPr>
            <w:r w:rsidRPr="007D2B92">
              <w:rPr>
                <w:szCs w:val="20"/>
              </w:rPr>
              <w:t>0</w:t>
            </w:r>
          </w:p>
        </w:tc>
        <w:tc>
          <w:tcPr>
            <w:tcW w:w="1420" w:type="pct"/>
            <w:gridSpan w:val="2"/>
            <w:vAlign w:val="center"/>
          </w:tcPr>
          <w:p w:rsidR="00A56395" w:rsidRPr="007D2B92" w:rsidRDefault="00A56395" w:rsidP="00F80799">
            <w:pPr>
              <w:pStyle w:val="Tabletext"/>
              <w:jc w:val="center"/>
              <w:rPr>
                <w:szCs w:val="20"/>
              </w:rPr>
            </w:pPr>
            <w:r w:rsidRPr="007D2B92">
              <w:rPr>
                <w:szCs w:val="20"/>
              </w:rPr>
              <w:t>0</w:t>
            </w:r>
          </w:p>
        </w:tc>
        <w:tc>
          <w:tcPr>
            <w:tcW w:w="903" w:type="pct"/>
            <w:vAlign w:val="center"/>
          </w:tcPr>
          <w:p w:rsidR="00A56395" w:rsidRPr="007D2B92" w:rsidRDefault="00A56395" w:rsidP="00F80799">
            <w:pPr>
              <w:pStyle w:val="Tabletext"/>
              <w:jc w:val="center"/>
              <w:rPr>
                <w:szCs w:val="20"/>
              </w:rPr>
            </w:pPr>
            <w:r w:rsidRPr="007D2B92">
              <w:rPr>
                <w:szCs w:val="20"/>
              </w:rPr>
              <w:t>NR</w:t>
            </w:r>
          </w:p>
        </w:tc>
      </w:tr>
    </w:tbl>
    <w:p w:rsidR="00A56395" w:rsidRPr="007D2B92" w:rsidRDefault="00A56395" w:rsidP="00A56395">
      <w:pPr>
        <w:rPr>
          <w:rFonts w:ascii="Arial Narrow" w:hAnsi="Arial Narrow"/>
          <w:sz w:val="18"/>
          <w:szCs w:val="18"/>
        </w:rPr>
      </w:pPr>
      <w:r w:rsidRPr="007D2B92">
        <w:rPr>
          <w:rFonts w:ascii="Arial Narrow" w:hAnsi="Arial Narrow"/>
          <w:sz w:val="18"/>
          <w:szCs w:val="18"/>
        </w:rPr>
        <w:t xml:space="preserve">AE: adverse event; HPV: human papilloma virus; </w:t>
      </w:r>
      <w:proofErr w:type="spellStart"/>
      <w:r w:rsidRPr="007D2B92">
        <w:rPr>
          <w:rFonts w:ascii="Arial Narrow" w:hAnsi="Arial Narrow"/>
          <w:sz w:val="18"/>
          <w:szCs w:val="18"/>
        </w:rPr>
        <w:t>MenACWY</w:t>
      </w:r>
      <w:proofErr w:type="spellEnd"/>
      <w:r w:rsidRPr="007D2B92">
        <w:rPr>
          <w:rFonts w:ascii="Arial Narrow" w:hAnsi="Arial Narrow"/>
          <w:sz w:val="18"/>
          <w:szCs w:val="18"/>
        </w:rPr>
        <w:t xml:space="preserve">-CRM: Meningococcal Oligosaccharide CRM197 Conjugate Vaccine; NR: not reported; SAE: serious adverse event; </w:t>
      </w:r>
      <w:proofErr w:type="spellStart"/>
      <w:r w:rsidRPr="007D2B92">
        <w:rPr>
          <w:rFonts w:ascii="Arial Narrow" w:hAnsi="Arial Narrow"/>
          <w:sz w:val="18"/>
          <w:szCs w:val="18"/>
        </w:rPr>
        <w:t>Tdap</w:t>
      </w:r>
      <w:proofErr w:type="spellEnd"/>
      <w:r w:rsidRPr="007D2B92">
        <w:rPr>
          <w:rFonts w:ascii="Arial Narrow" w:hAnsi="Arial Narrow"/>
          <w:sz w:val="18"/>
          <w:szCs w:val="18"/>
        </w:rPr>
        <w:t>: tetanus diphtheria acellular pertussis</w:t>
      </w:r>
    </w:p>
    <w:p w:rsidR="00A56395" w:rsidRPr="007D2B92" w:rsidRDefault="00A56395" w:rsidP="00A56395">
      <w:pPr>
        <w:rPr>
          <w:rFonts w:ascii="Arial Narrow" w:hAnsi="Arial Narrow"/>
          <w:sz w:val="18"/>
          <w:szCs w:val="18"/>
        </w:rPr>
      </w:pPr>
      <w:r w:rsidRPr="007D2B92">
        <w:rPr>
          <w:rFonts w:ascii="Arial Narrow" w:hAnsi="Arial Narrow"/>
          <w:sz w:val="18"/>
          <w:szCs w:val="18"/>
        </w:rPr>
        <w:t>Source: CSR V59P13 Table 2-4 2-5 and 2-6 p93, CSR V59P6 Table 12.2.3.6-1, p100, CSR V59P40 Table 2-3 and 2-4 p27, and Table 2.52 p113, Table 2.53 and Table 2.54 p114, and 2.55 p115, Table 2.57 and Table 2.58 p117, Table 2.60 p121, Table 2.61 p122, Table 2.62 and 2.63 p123, and Table 2.64 p124 of the submission.</w:t>
      </w:r>
    </w:p>
    <w:p w:rsidR="004E412A" w:rsidRPr="007D2B92" w:rsidRDefault="004E412A" w:rsidP="00A56395"/>
    <w:p w:rsidR="007F1017" w:rsidRPr="007D2B92" w:rsidRDefault="008A2B38" w:rsidP="00ED236B">
      <w:pPr>
        <w:pStyle w:val="Heading2"/>
        <w:keepNext/>
        <w:spacing w:after="120"/>
        <w:rPr>
          <w:i w:val="0"/>
        </w:rPr>
      </w:pPr>
      <w:bookmarkStart w:id="10" w:name="_Toc515358807"/>
      <w:r w:rsidRPr="007D2B92">
        <w:rPr>
          <w:i w:val="0"/>
        </w:rPr>
        <w:t xml:space="preserve">Benefits and </w:t>
      </w:r>
      <w:r w:rsidR="007F1017" w:rsidRPr="007D2B92">
        <w:rPr>
          <w:i w:val="0"/>
        </w:rPr>
        <w:t>harms</w:t>
      </w:r>
      <w:bookmarkEnd w:id="10"/>
    </w:p>
    <w:p w:rsidR="007F1017" w:rsidRPr="007D2B92" w:rsidRDefault="00FC6505" w:rsidP="00ED236B">
      <w:pPr>
        <w:pStyle w:val="ListParagraph"/>
        <w:widowControl/>
        <w:numPr>
          <w:ilvl w:val="1"/>
          <w:numId w:val="1"/>
        </w:numPr>
        <w:spacing w:after="0"/>
      </w:pPr>
      <w:r w:rsidRPr="007D2B92">
        <w:rPr>
          <w:rFonts w:cs="Calibri"/>
          <w:snapToGrid/>
          <w:szCs w:val="24"/>
          <w:lang w:eastAsia="en-AU"/>
        </w:rPr>
        <w:t xml:space="preserve">The only trial comparing the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and </w:t>
      </w:r>
      <w:proofErr w:type="spellStart"/>
      <w:r w:rsidRPr="007D2B92">
        <w:rPr>
          <w:rFonts w:cs="Calibri"/>
          <w:snapToGrid/>
          <w:szCs w:val="24"/>
          <w:lang w:eastAsia="en-AU"/>
        </w:rPr>
        <w:t>MenACWY</w:t>
      </w:r>
      <w:proofErr w:type="spellEnd"/>
      <w:r w:rsidRPr="007D2B92">
        <w:rPr>
          <w:rFonts w:cs="Calibri"/>
          <w:snapToGrid/>
          <w:szCs w:val="24"/>
          <w:lang w:eastAsia="en-AU"/>
        </w:rPr>
        <w:t xml:space="preserve">-TT vaccines </w:t>
      </w:r>
      <w:r w:rsidR="004D4C3E" w:rsidRPr="007D2B92">
        <w:rPr>
          <w:rFonts w:cs="Calibri"/>
          <w:snapToGrid/>
          <w:szCs w:val="24"/>
          <w:lang w:eastAsia="en-AU"/>
        </w:rPr>
        <w:t xml:space="preserve">directly </w:t>
      </w:r>
      <w:r w:rsidRPr="007D2B92">
        <w:rPr>
          <w:rFonts w:cs="Calibri"/>
          <w:snapToGrid/>
          <w:szCs w:val="24"/>
          <w:lang w:eastAsia="en-AU"/>
        </w:rPr>
        <w:t>(</w:t>
      </w:r>
      <w:proofErr w:type="spellStart"/>
      <w:r w:rsidRPr="007D2B92">
        <w:rPr>
          <w:rFonts w:cs="Calibri"/>
          <w:snapToGrid/>
          <w:szCs w:val="24"/>
          <w:lang w:eastAsia="en-AU"/>
        </w:rPr>
        <w:t>Ishola</w:t>
      </w:r>
      <w:proofErr w:type="spellEnd"/>
      <w:r w:rsidRPr="007D2B92">
        <w:rPr>
          <w:rFonts w:cs="Calibri"/>
          <w:snapToGrid/>
          <w:szCs w:val="24"/>
          <w:lang w:eastAsia="en-AU"/>
        </w:rPr>
        <w:t xml:space="preserve"> 2015) reported immunogenicity results only. </w:t>
      </w:r>
      <w:r w:rsidR="00E926A5" w:rsidRPr="007D2B92">
        <w:rPr>
          <w:rFonts w:cs="Calibri"/>
          <w:snapToGrid/>
          <w:szCs w:val="24"/>
          <w:lang w:eastAsia="en-AU"/>
        </w:rPr>
        <w:t>Accordingly, a benefits/harms table has not been presented.</w:t>
      </w:r>
    </w:p>
    <w:p w:rsidR="004E2FE6" w:rsidRPr="007D2B92" w:rsidRDefault="004E2FE6" w:rsidP="00FC6505"/>
    <w:p w:rsidR="00B60939" w:rsidRPr="007D2B92" w:rsidRDefault="00B60939" w:rsidP="00ED236B">
      <w:pPr>
        <w:pStyle w:val="Heading2"/>
        <w:spacing w:after="120"/>
        <w:rPr>
          <w:i w:val="0"/>
        </w:rPr>
      </w:pPr>
      <w:bookmarkStart w:id="11" w:name="_Toc515358808"/>
      <w:r w:rsidRPr="007D2B92">
        <w:rPr>
          <w:i w:val="0"/>
        </w:rPr>
        <w:t>Clinical claim</w:t>
      </w:r>
      <w:bookmarkEnd w:id="11"/>
    </w:p>
    <w:p w:rsidR="00172ADD" w:rsidRPr="007D2B92" w:rsidRDefault="00172ADD" w:rsidP="007D4B83">
      <w:pPr>
        <w:pStyle w:val="ListParagraph"/>
        <w:widowControl/>
        <w:numPr>
          <w:ilvl w:val="1"/>
          <w:numId w:val="1"/>
        </w:numPr>
        <w:spacing w:after="120"/>
      </w:pPr>
      <w:r w:rsidRPr="007D2B92">
        <w:t xml:space="preserve">The submission claimed that “there is no evidence of a difference in the immunogenicity or safety” between the </w:t>
      </w:r>
      <w:proofErr w:type="spellStart"/>
      <w:r w:rsidRPr="007D2B92">
        <w:t>MenACWY</w:t>
      </w:r>
      <w:proofErr w:type="spellEnd"/>
      <w:r w:rsidRPr="007D2B92">
        <w:t>-CRM vaccine (</w:t>
      </w:r>
      <w:proofErr w:type="spellStart"/>
      <w:r w:rsidRPr="007D2B92">
        <w:t>Menveo</w:t>
      </w:r>
      <w:proofErr w:type="spellEnd"/>
      <w:r w:rsidRPr="007D2B92">
        <w:t xml:space="preserve">) and the </w:t>
      </w:r>
      <w:proofErr w:type="spellStart"/>
      <w:r w:rsidRPr="007D2B92">
        <w:t>MenACWY</w:t>
      </w:r>
      <w:proofErr w:type="spellEnd"/>
      <w:r w:rsidRPr="007D2B92">
        <w:t>-TT vaccine (</w:t>
      </w:r>
      <w:proofErr w:type="spellStart"/>
      <w:r w:rsidRPr="007D2B92">
        <w:t>Nime</w:t>
      </w:r>
      <w:r w:rsidR="00F0313D">
        <w:t>nrix</w:t>
      </w:r>
      <w:proofErr w:type="spellEnd"/>
      <w:r w:rsidR="00F0313D">
        <w:t>)</w:t>
      </w:r>
      <w:r w:rsidRPr="007D2B92">
        <w:t>.</w:t>
      </w:r>
    </w:p>
    <w:p w:rsidR="00172ADD" w:rsidRPr="007D2B92" w:rsidRDefault="00172ADD" w:rsidP="007D4B83">
      <w:pPr>
        <w:pStyle w:val="ListParagraph"/>
        <w:widowControl/>
        <w:numPr>
          <w:ilvl w:val="1"/>
          <w:numId w:val="1"/>
        </w:numPr>
        <w:spacing w:after="120"/>
      </w:pPr>
      <w:r w:rsidRPr="007D2B92">
        <w:lastRenderedPageBreak/>
        <w:t>The submission als</w:t>
      </w:r>
      <w:r w:rsidR="00F0313D">
        <w:t>o claimed that</w:t>
      </w:r>
      <w:r w:rsidRPr="007D2B92">
        <w:t>:</w:t>
      </w:r>
    </w:p>
    <w:p w:rsidR="00172ADD" w:rsidRPr="007D2B92" w:rsidRDefault="00172ADD" w:rsidP="00362A50">
      <w:pPr>
        <w:pStyle w:val="ListParagraph"/>
        <w:numPr>
          <w:ilvl w:val="0"/>
          <w:numId w:val="8"/>
        </w:numPr>
        <w:spacing w:after="120"/>
        <w:ind w:left="993" w:hanging="284"/>
      </w:pPr>
      <w:r w:rsidRPr="007D2B92">
        <w:t xml:space="preserve">“The </w:t>
      </w:r>
      <w:proofErr w:type="spellStart"/>
      <w:r w:rsidRPr="007D2B92">
        <w:t>MenACWY</w:t>
      </w:r>
      <w:proofErr w:type="spellEnd"/>
      <w:r w:rsidRPr="007D2B92">
        <w:t xml:space="preserve">-CRM vaccine is immunogenic in the adolescent age group (average age 15 years) against the four N. </w:t>
      </w:r>
      <w:proofErr w:type="spellStart"/>
      <w:r w:rsidRPr="007D2B92">
        <w:t>meningitidis</w:t>
      </w:r>
      <w:proofErr w:type="spellEnd"/>
      <w:r w:rsidRPr="007D2B92">
        <w:t xml:space="preserve"> serogroups A, C, W and Y;</w:t>
      </w:r>
    </w:p>
    <w:p w:rsidR="00172ADD" w:rsidRPr="007D2B92" w:rsidRDefault="00172ADD" w:rsidP="00362A50">
      <w:pPr>
        <w:pStyle w:val="ListParagraph"/>
        <w:numPr>
          <w:ilvl w:val="0"/>
          <w:numId w:val="8"/>
        </w:numPr>
        <w:spacing w:after="120"/>
        <w:ind w:left="993" w:hanging="284"/>
      </w:pPr>
      <w:r w:rsidRPr="007D2B92">
        <w:t xml:space="preserve">The </w:t>
      </w:r>
      <w:proofErr w:type="spellStart"/>
      <w:r w:rsidRPr="007D2B92">
        <w:t>MenACWY</w:t>
      </w:r>
      <w:proofErr w:type="spellEnd"/>
      <w:r w:rsidRPr="007D2B92">
        <w:t>-CRM vaccine may be co-administered with routine vaccinations given to adolescents within the NIP;</w:t>
      </w:r>
    </w:p>
    <w:p w:rsidR="00172ADD" w:rsidRPr="007D2B92" w:rsidRDefault="00172ADD" w:rsidP="00362A50">
      <w:pPr>
        <w:pStyle w:val="ListParagraph"/>
        <w:numPr>
          <w:ilvl w:val="0"/>
          <w:numId w:val="8"/>
        </w:numPr>
        <w:spacing w:after="120"/>
        <w:ind w:left="993" w:hanging="284"/>
      </w:pPr>
      <w:r w:rsidRPr="007D2B92">
        <w:t xml:space="preserve">Adolescent subjects vaccinated with a single dose of the </w:t>
      </w:r>
      <w:proofErr w:type="spellStart"/>
      <w:r w:rsidRPr="007D2B92">
        <w:t>MenACWY</w:t>
      </w:r>
      <w:proofErr w:type="spellEnd"/>
      <w:r w:rsidRPr="007D2B92">
        <w:t>-CRM vaccine demonstrated a sustained immune response up to 5 years post vaccination;</w:t>
      </w:r>
      <w:r w:rsidR="00526D33" w:rsidRPr="007D2B92">
        <w:t xml:space="preserve"> and</w:t>
      </w:r>
    </w:p>
    <w:p w:rsidR="00172ADD" w:rsidRPr="007D2B92" w:rsidRDefault="00172ADD" w:rsidP="00362A50">
      <w:pPr>
        <w:pStyle w:val="ListParagraph"/>
        <w:numPr>
          <w:ilvl w:val="0"/>
          <w:numId w:val="8"/>
        </w:numPr>
        <w:spacing w:after="120"/>
        <w:ind w:left="993" w:hanging="284"/>
      </w:pPr>
      <w:r w:rsidRPr="007D2B92">
        <w:t xml:space="preserve">The </w:t>
      </w:r>
      <w:proofErr w:type="spellStart"/>
      <w:r w:rsidRPr="007D2B92">
        <w:t>MenACWY</w:t>
      </w:r>
      <w:proofErr w:type="spellEnd"/>
      <w:r w:rsidRPr="007D2B92">
        <w:t>-CRM vaccine is well tolerated, with an acceptable safety profile</w:t>
      </w:r>
      <w:r w:rsidR="00613B8D" w:rsidRPr="007D2B92">
        <w:t>.</w:t>
      </w:r>
      <w:r w:rsidRPr="007D2B92">
        <w:t>”</w:t>
      </w:r>
    </w:p>
    <w:p w:rsidR="00172ADD" w:rsidRPr="007D2B92" w:rsidRDefault="00172ADD" w:rsidP="00362A50">
      <w:pPr>
        <w:pStyle w:val="ListParagraph"/>
        <w:widowControl/>
        <w:numPr>
          <w:ilvl w:val="1"/>
          <w:numId w:val="1"/>
        </w:numPr>
        <w:spacing w:after="120"/>
      </w:pPr>
      <w:r w:rsidRPr="007D2B92">
        <w:t>The</w:t>
      </w:r>
      <w:r w:rsidR="00362A50" w:rsidRPr="007D2B92">
        <w:t xml:space="preserve"> evaluation and th</w:t>
      </w:r>
      <w:r w:rsidR="00316A60" w:rsidRPr="007D2B92">
        <w:t>e</w:t>
      </w:r>
      <w:r w:rsidR="00362A50" w:rsidRPr="007D2B92">
        <w:t xml:space="preserve"> ESC considered that the</w:t>
      </w:r>
      <w:r w:rsidRPr="007D2B92">
        <w:t xml:space="preserve"> claim </w:t>
      </w:r>
      <w:r w:rsidR="00526D33" w:rsidRPr="007D2B92">
        <w:t xml:space="preserve">that </w:t>
      </w:r>
      <w:r w:rsidRPr="007D2B92">
        <w:t xml:space="preserve">the </w:t>
      </w:r>
      <w:proofErr w:type="spellStart"/>
      <w:r w:rsidRPr="007D2B92">
        <w:t>MenACWY</w:t>
      </w:r>
      <w:proofErr w:type="spellEnd"/>
      <w:r w:rsidR="00362A50" w:rsidRPr="007D2B92">
        <w:noBreakHyphen/>
      </w:r>
      <w:r w:rsidRPr="007D2B92">
        <w:t>CRM vaccine is immunogenic is reasonable.</w:t>
      </w:r>
      <w:r w:rsidR="00362A50" w:rsidRPr="007D2B92">
        <w:t xml:space="preserve"> </w:t>
      </w:r>
      <w:r w:rsidRPr="007D2B92">
        <w:t xml:space="preserve">However, the </w:t>
      </w:r>
      <w:r w:rsidR="0085613F" w:rsidRPr="007D2B92">
        <w:t xml:space="preserve">evaluation noted </w:t>
      </w:r>
      <w:r w:rsidRPr="007D2B92">
        <w:t>t</w:t>
      </w:r>
      <w:r w:rsidR="0085613F" w:rsidRPr="007D2B92">
        <w:t>he t</w:t>
      </w:r>
      <w:r w:rsidRPr="007D2B92">
        <w:t xml:space="preserve">herapeutic claim regarding the relative vaccine efficacy of the </w:t>
      </w:r>
      <w:proofErr w:type="spellStart"/>
      <w:r w:rsidRPr="007D2B92">
        <w:t>MenACWY</w:t>
      </w:r>
      <w:proofErr w:type="spellEnd"/>
      <w:r w:rsidRPr="007D2B92">
        <w:noBreakHyphen/>
        <w:t>CRM vaccine comp</w:t>
      </w:r>
      <w:r w:rsidR="007D3D2B" w:rsidRPr="007D2B92">
        <w:t xml:space="preserve">ared to the </w:t>
      </w:r>
      <w:proofErr w:type="spellStart"/>
      <w:r w:rsidR="007D3D2B" w:rsidRPr="007D2B92">
        <w:t>MenACWY</w:t>
      </w:r>
      <w:proofErr w:type="spellEnd"/>
      <w:r w:rsidR="007D3D2B" w:rsidRPr="007D2B92">
        <w:t>-TT vaccine wa</w:t>
      </w:r>
      <w:r w:rsidRPr="007D2B92">
        <w:t>s not adequately supported by the evidence presented in Section 2 of the submission because:</w:t>
      </w:r>
    </w:p>
    <w:p w:rsidR="00172ADD" w:rsidRPr="007D2B92" w:rsidRDefault="00172ADD" w:rsidP="00362A50">
      <w:pPr>
        <w:pStyle w:val="ListParagraph"/>
        <w:numPr>
          <w:ilvl w:val="0"/>
          <w:numId w:val="8"/>
        </w:numPr>
        <w:spacing w:after="120"/>
        <w:ind w:left="993" w:hanging="284"/>
      </w:pPr>
      <w:r w:rsidRPr="007D2B92">
        <w:t xml:space="preserve">None of the trials collected clinical efficacy data in terms of cases of </w:t>
      </w:r>
      <w:proofErr w:type="spellStart"/>
      <w:r w:rsidRPr="007D2B92">
        <w:t>MenACWY</w:t>
      </w:r>
      <w:proofErr w:type="spellEnd"/>
      <w:r w:rsidRPr="007D2B92">
        <w:t xml:space="preserve"> avoided. Immunogenicity does not necessarily correlate to efficacy of a vaccine to prevent a disease. Given meningococcal disease is relatively rare, evidence of efficacy would be difficult.</w:t>
      </w:r>
      <w:r w:rsidR="009E2110" w:rsidRPr="007D2B92">
        <w:t xml:space="preserve"> The ESC not</w:t>
      </w:r>
      <w:r w:rsidR="000F4D9D" w:rsidRPr="007D2B92">
        <w:t>ed this uncertainty</w:t>
      </w:r>
      <w:r w:rsidR="009E2110" w:rsidRPr="007D2B92">
        <w:t xml:space="preserve"> applies to all </w:t>
      </w:r>
      <w:proofErr w:type="spellStart"/>
      <w:r w:rsidR="009E2110" w:rsidRPr="007D2B92">
        <w:t>MenACWY</w:t>
      </w:r>
      <w:proofErr w:type="spellEnd"/>
      <w:r w:rsidR="009E2110" w:rsidRPr="007D2B92">
        <w:t xml:space="preserve"> vaccine evaluations.</w:t>
      </w:r>
    </w:p>
    <w:p w:rsidR="00172ADD" w:rsidRPr="007D2B92" w:rsidRDefault="00172ADD" w:rsidP="00362A50">
      <w:pPr>
        <w:pStyle w:val="ListParagraph"/>
        <w:numPr>
          <w:ilvl w:val="0"/>
          <w:numId w:val="8"/>
        </w:numPr>
        <w:spacing w:after="120"/>
        <w:ind w:left="993" w:hanging="284"/>
      </w:pPr>
      <w:r w:rsidRPr="007D2B92">
        <w:t xml:space="preserve">Comparison of the </w:t>
      </w:r>
      <w:proofErr w:type="spellStart"/>
      <w:r w:rsidRPr="007D2B92">
        <w:t>MenACWY</w:t>
      </w:r>
      <w:proofErr w:type="spellEnd"/>
      <w:r w:rsidRPr="007D2B92">
        <w:t xml:space="preserve">-CRM to the </w:t>
      </w:r>
      <w:proofErr w:type="spellStart"/>
      <w:r w:rsidRPr="007D2B92">
        <w:t>MenACWY</w:t>
      </w:r>
      <w:proofErr w:type="spellEnd"/>
      <w:r w:rsidRPr="007D2B92">
        <w:t>-TT vaccine was based on limited data. Only one direct RCT (</w:t>
      </w:r>
      <w:proofErr w:type="spellStart"/>
      <w:r w:rsidRPr="007D2B92">
        <w:t>Ishola</w:t>
      </w:r>
      <w:proofErr w:type="spellEnd"/>
      <w:r w:rsidRPr="007D2B92">
        <w:t xml:space="preserve"> 2015) was presented, </w:t>
      </w:r>
      <w:r w:rsidR="009F539D" w:rsidRPr="007D2B92">
        <w:t>along with</w:t>
      </w:r>
      <w:r w:rsidRPr="007D2B92">
        <w:t xml:space="preserve"> a naive indirect comparison of studies.</w:t>
      </w:r>
    </w:p>
    <w:p w:rsidR="00172ADD" w:rsidRPr="007D2B92" w:rsidRDefault="00172ADD" w:rsidP="00362A50">
      <w:pPr>
        <w:pStyle w:val="ListParagraph"/>
        <w:numPr>
          <w:ilvl w:val="1"/>
          <w:numId w:val="8"/>
        </w:numPr>
        <w:spacing w:after="120"/>
        <w:ind w:left="1276" w:hanging="283"/>
      </w:pPr>
      <w:r w:rsidRPr="007D2B92">
        <w:t xml:space="preserve">It is unclear whether the study by </w:t>
      </w:r>
      <w:proofErr w:type="spellStart"/>
      <w:r w:rsidRPr="007D2B92">
        <w:t>Ishola</w:t>
      </w:r>
      <w:proofErr w:type="spellEnd"/>
      <w:r w:rsidRPr="007D2B92">
        <w:t xml:space="preserve"> 2015 was blinded. It did not report the proportion achieving </w:t>
      </w:r>
      <w:proofErr w:type="spellStart"/>
      <w:r w:rsidRPr="007D2B92">
        <w:t>seroresponse</w:t>
      </w:r>
      <w:proofErr w:type="spellEnd"/>
      <w:r w:rsidR="00440637" w:rsidRPr="007D2B92">
        <w:t xml:space="preserve"> as defined for this submission</w:t>
      </w:r>
      <w:r w:rsidRPr="007D2B92">
        <w:t xml:space="preserve">. The study was small </w:t>
      </w:r>
      <w:r w:rsidR="00937AE0" w:rsidRPr="007D2B92">
        <w:t xml:space="preserve">(N=93) </w:t>
      </w:r>
      <w:r w:rsidRPr="007D2B92">
        <w:t>and not powered to test for non-inferiority between the vaccines.</w:t>
      </w:r>
      <w:r w:rsidR="00475FD4" w:rsidRPr="007D2B92">
        <w:t xml:space="preserve"> The PSCR acknowledged that blinding status was unknown, stating that subjects were randomised via a computer-</w:t>
      </w:r>
      <w:r w:rsidR="00AB0CBE" w:rsidRPr="007D2B92">
        <w:t>generated</w:t>
      </w:r>
      <w:r w:rsidR="00475FD4" w:rsidRPr="007D2B92">
        <w:t xml:space="preserve"> list and that </w:t>
      </w:r>
      <w:proofErr w:type="spellStart"/>
      <w:r w:rsidR="00475FD4" w:rsidRPr="007D2B92">
        <w:t>seroresponse</w:t>
      </w:r>
      <w:proofErr w:type="spellEnd"/>
      <w:r w:rsidR="00475FD4" w:rsidRPr="007D2B92">
        <w:t xml:space="preserve"> outcomes, the main outcomes of the study, are not subject to bias.  The PSCR added that </w:t>
      </w:r>
      <w:proofErr w:type="spellStart"/>
      <w:r w:rsidR="00475FD4" w:rsidRPr="007D2B92">
        <w:t>Ishola</w:t>
      </w:r>
      <w:proofErr w:type="spellEnd"/>
      <w:r w:rsidR="00475FD4" w:rsidRPr="007D2B92">
        <w:t xml:space="preserve"> 2015 sought a sample size of 50 in each group and the resulting sample size of 93 was very close to that planned. The PSCR also added that the trial was highly applicable to the Australian context as subjects received a </w:t>
      </w:r>
      <w:proofErr w:type="spellStart"/>
      <w:r w:rsidR="00475FD4" w:rsidRPr="007D2B92">
        <w:t>MenC</w:t>
      </w:r>
      <w:proofErr w:type="spellEnd"/>
      <w:r w:rsidR="00475FD4" w:rsidRPr="007D2B92">
        <w:t xml:space="preserve"> vaccine as infants/children.  The ESC considered that although the trial </w:t>
      </w:r>
      <w:r w:rsidR="00524635" w:rsidRPr="007D2B92">
        <w:t>estimated</w:t>
      </w:r>
      <w:r w:rsidR="00475FD4" w:rsidRPr="007D2B92">
        <w:t xml:space="preserve"> the percentages of subjects achieving protective antibody levels, the</w:t>
      </w:r>
      <w:r w:rsidR="00475FD4" w:rsidRPr="007D2B92">
        <w:rPr>
          <w:i/>
        </w:rPr>
        <w:t xml:space="preserve"> </w:t>
      </w:r>
      <w:r w:rsidR="00475FD4" w:rsidRPr="007D2B92">
        <w:t xml:space="preserve">trial was not powered to </w:t>
      </w:r>
      <w:r w:rsidR="000F4D9D" w:rsidRPr="007D2B92">
        <w:t>assess non-inferiority of</w:t>
      </w:r>
      <w:r w:rsidR="00475FD4" w:rsidRPr="007D2B92">
        <w:t xml:space="preserve"> the </w:t>
      </w:r>
      <w:r w:rsidR="000F4D9D" w:rsidRPr="007D2B92">
        <w:t xml:space="preserve">two </w:t>
      </w:r>
      <w:r w:rsidR="00475FD4" w:rsidRPr="007D2B92">
        <w:t>vaccines.</w:t>
      </w:r>
      <w:r w:rsidR="0085613F" w:rsidRPr="007D2B92">
        <w:t xml:space="preserve"> </w:t>
      </w:r>
    </w:p>
    <w:p w:rsidR="003A685A" w:rsidRPr="007D2B92" w:rsidRDefault="00172ADD" w:rsidP="00362A50">
      <w:pPr>
        <w:pStyle w:val="ListParagraph"/>
        <w:numPr>
          <w:ilvl w:val="1"/>
          <w:numId w:val="8"/>
        </w:numPr>
        <w:ind w:left="1276" w:hanging="283"/>
      </w:pPr>
      <w:r w:rsidRPr="007D2B92">
        <w:t xml:space="preserve">The naïve indirect comparison was limited due to 1) differences in the trial design, including the definition of </w:t>
      </w:r>
      <w:proofErr w:type="spellStart"/>
      <w:r w:rsidRPr="007D2B92">
        <w:t>seroresponse</w:t>
      </w:r>
      <w:proofErr w:type="spellEnd"/>
      <w:r w:rsidRPr="007D2B92">
        <w:t>; 2) differences in the assays used in the trials to measure immunogenicity; 3) differences in baseline pre-vaccination protection; and 4) a lack of a formal indirect comparison.</w:t>
      </w:r>
      <w:r w:rsidR="003A685A" w:rsidRPr="007D2B92">
        <w:t xml:space="preserve"> The PSCR </w:t>
      </w:r>
      <w:r w:rsidR="000D674B" w:rsidRPr="007D2B92">
        <w:t>reiterated</w:t>
      </w:r>
      <w:r w:rsidR="003A685A" w:rsidRPr="007D2B92">
        <w:t xml:space="preserve"> that indirect comparison was not presented due to the difference in </w:t>
      </w:r>
      <w:r w:rsidR="003A685A" w:rsidRPr="007D2B92">
        <w:lastRenderedPageBreak/>
        <w:t xml:space="preserve">GMTs reported in two of the studies, and the informal comparison was supportive of </w:t>
      </w:r>
      <w:proofErr w:type="spellStart"/>
      <w:r w:rsidR="003A685A" w:rsidRPr="007D2B92">
        <w:t>Ishola</w:t>
      </w:r>
      <w:proofErr w:type="spellEnd"/>
      <w:r w:rsidR="003A685A" w:rsidRPr="007D2B92">
        <w:t xml:space="preserve"> 2015. T</w:t>
      </w:r>
      <w:r w:rsidR="00DE26E5" w:rsidRPr="007D2B92">
        <w:t xml:space="preserve">he ESC </w:t>
      </w:r>
      <w:r w:rsidR="000F4D9D" w:rsidRPr="007D2B92">
        <w:t>noted</w:t>
      </w:r>
      <w:r w:rsidR="00DE26E5" w:rsidRPr="007D2B92">
        <w:t xml:space="preserve"> the uncertainties</w:t>
      </w:r>
      <w:r w:rsidR="00DE26E5" w:rsidRPr="007D2B92">
        <w:rPr>
          <w:i/>
        </w:rPr>
        <w:t xml:space="preserve"> </w:t>
      </w:r>
      <w:r w:rsidR="00DE26E5" w:rsidRPr="007D2B92">
        <w:t>with cross-trial comparison</w:t>
      </w:r>
      <w:r w:rsidR="000F4D9D" w:rsidRPr="007D2B92">
        <w:t>s</w:t>
      </w:r>
      <w:r w:rsidR="00DE26E5" w:rsidRPr="007D2B92">
        <w:t xml:space="preserve"> using different complement assay types, the d</w:t>
      </w:r>
      <w:r w:rsidR="00C554E3">
        <w:t xml:space="preserve">ifferent definitions of </w:t>
      </w:r>
      <w:proofErr w:type="spellStart"/>
      <w:r w:rsidR="00C554E3">
        <w:t>seroresp</w:t>
      </w:r>
      <w:r w:rsidR="00DE26E5" w:rsidRPr="007D2B92">
        <w:t>onse</w:t>
      </w:r>
      <w:proofErr w:type="spellEnd"/>
      <w:r w:rsidR="00DE26E5" w:rsidRPr="007D2B92">
        <w:t xml:space="preserve"> across trials and differences in baseline protection and agreed that </w:t>
      </w:r>
      <w:r w:rsidR="003A685A" w:rsidRPr="007D2B92">
        <w:t xml:space="preserve">that </w:t>
      </w:r>
      <w:r w:rsidR="00DE26E5" w:rsidRPr="007D2B92">
        <w:t>the</w:t>
      </w:r>
      <w:r w:rsidR="003A685A" w:rsidRPr="007D2B92">
        <w:t xml:space="preserve"> assessment of comparative vaccine effectiveness </w:t>
      </w:r>
      <w:r w:rsidR="00DE26E5" w:rsidRPr="007D2B92">
        <w:t xml:space="preserve">was </w:t>
      </w:r>
      <w:r w:rsidR="003A685A" w:rsidRPr="007D2B92">
        <w:t>uncertain.</w:t>
      </w:r>
    </w:p>
    <w:p w:rsidR="00475FD4" w:rsidRPr="007D2B92" w:rsidRDefault="00172ADD" w:rsidP="00DF55D1">
      <w:pPr>
        <w:pStyle w:val="ListParagraph"/>
        <w:widowControl/>
        <w:numPr>
          <w:ilvl w:val="1"/>
          <w:numId w:val="1"/>
        </w:numPr>
        <w:spacing w:after="120"/>
      </w:pPr>
      <w:r w:rsidRPr="007D2B92">
        <w:t xml:space="preserve">Overall, </w:t>
      </w:r>
      <w:r w:rsidR="000F4D9D" w:rsidRPr="007D2B92">
        <w:t xml:space="preserve">the ESC considered </w:t>
      </w:r>
      <w:r w:rsidRPr="007D2B92">
        <w:t xml:space="preserve">it is uncertain whether the vaccine efficacy between the </w:t>
      </w:r>
      <w:proofErr w:type="spellStart"/>
      <w:r w:rsidRPr="007D2B92">
        <w:t>MenACWY</w:t>
      </w:r>
      <w:proofErr w:type="spellEnd"/>
      <w:r w:rsidRPr="007D2B92">
        <w:t xml:space="preserve">-CRM vaccine and the </w:t>
      </w:r>
      <w:proofErr w:type="spellStart"/>
      <w:r w:rsidRPr="007D2B92">
        <w:t>MenACWY</w:t>
      </w:r>
      <w:proofErr w:type="spellEnd"/>
      <w:r w:rsidRPr="007D2B92">
        <w:t>-TT vaccine is of a similar magnitude.</w:t>
      </w:r>
      <w:r w:rsidR="00475FD4" w:rsidRPr="007D2B92">
        <w:t xml:space="preserve"> </w:t>
      </w:r>
      <w:r w:rsidR="00DE26E5" w:rsidRPr="007D2B92">
        <w:t xml:space="preserve">The ESC </w:t>
      </w:r>
      <w:r w:rsidR="000F4D9D" w:rsidRPr="007D2B92">
        <w:t>noted</w:t>
      </w:r>
      <w:r w:rsidR="00DE26E5" w:rsidRPr="007D2B92">
        <w:t xml:space="preserve">, </w:t>
      </w:r>
      <w:r w:rsidR="000E6222" w:rsidRPr="007D2B92">
        <w:t>however</w:t>
      </w:r>
      <w:r w:rsidR="00DE26E5" w:rsidRPr="007D2B92">
        <w:t xml:space="preserve"> </w:t>
      </w:r>
      <w:r w:rsidR="00475FD4" w:rsidRPr="007D2B92">
        <w:t>it</w:t>
      </w:r>
      <w:r w:rsidR="000F4D9D" w:rsidRPr="007D2B92">
        <w:t xml:space="preserve"> is</w:t>
      </w:r>
      <w:r w:rsidR="00475FD4" w:rsidRPr="007D2B92">
        <w:t xml:space="preserve"> unlikely that </w:t>
      </w:r>
      <w:r w:rsidR="000F4D9D" w:rsidRPr="007D2B92">
        <w:t>additional</w:t>
      </w:r>
      <w:r w:rsidR="00475FD4" w:rsidRPr="007D2B92">
        <w:t xml:space="preserve"> data would </w:t>
      </w:r>
      <w:r w:rsidR="000F4D9D" w:rsidRPr="007D2B92">
        <w:t xml:space="preserve">become available to address this </w:t>
      </w:r>
      <w:r w:rsidR="00475FD4" w:rsidRPr="007D2B92">
        <w:t xml:space="preserve">uncertainty, and noted that </w:t>
      </w:r>
      <w:proofErr w:type="spellStart"/>
      <w:r w:rsidR="00475FD4" w:rsidRPr="007D2B92">
        <w:t>MenACWY</w:t>
      </w:r>
      <w:proofErr w:type="spellEnd"/>
      <w:r w:rsidR="00475FD4" w:rsidRPr="007D2B92">
        <w:t>-CRM is one of a number of vaccines used in State-based programs.</w:t>
      </w:r>
    </w:p>
    <w:p w:rsidR="00143984" w:rsidRPr="007D2B92" w:rsidRDefault="00143984" w:rsidP="00143984">
      <w:pPr>
        <w:pStyle w:val="ListParagraph"/>
        <w:widowControl/>
        <w:numPr>
          <w:ilvl w:val="1"/>
          <w:numId w:val="1"/>
        </w:numPr>
        <w:spacing w:after="120"/>
      </w:pPr>
      <w:r w:rsidRPr="007D2B92">
        <w:t xml:space="preserve">The ESC considered the therapeutic conclusion that </w:t>
      </w:r>
      <w:proofErr w:type="spellStart"/>
      <w:r w:rsidRPr="007D2B92">
        <w:t>MenACWY</w:t>
      </w:r>
      <w:proofErr w:type="spellEnd"/>
      <w:r w:rsidRPr="007D2B92">
        <w:t xml:space="preserve">-CRM is well tolerated, with an acceptable safety profile is likely reasonable, although ESC noted limited safety reporting by the study by </w:t>
      </w:r>
      <w:proofErr w:type="spellStart"/>
      <w:r w:rsidRPr="007D2B92">
        <w:t>Ishola</w:t>
      </w:r>
      <w:proofErr w:type="spellEnd"/>
      <w:r w:rsidRPr="007D2B92">
        <w:t xml:space="preserve"> 2015. </w:t>
      </w:r>
      <w:r w:rsidR="00475FD4" w:rsidRPr="007D2B92">
        <w:t xml:space="preserve">The PSCR </w:t>
      </w:r>
      <w:r w:rsidR="00866C92" w:rsidRPr="007D2B92">
        <w:t>reiterated</w:t>
      </w:r>
      <w:r w:rsidR="00475FD4" w:rsidRPr="007D2B92">
        <w:t xml:space="preserve"> that the </w:t>
      </w:r>
      <w:proofErr w:type="spellStart"/>
      <w:r w:rsidR="00475FD4" w:rsidRPr="007D2B92">
        <w:t>MenACWY</w:t>
      </w:r>
      <w:proofErr w:type="spellEnd"/>
      <w:r w:rsidR="00475FD4" w:rsidRPr="007D2B92">
        <w:t xml:space="preserve">-CRM studies consistently showed that the vaccine was safe and well tolerated. </w:t>
      </w:r>
    </w:p>
    <w:p w:rsidR="00C501E6" w:rsidRDefault="00C501E6" w:rsidP="00ED236B">
      <w:pPr>
        <w:pStyle w:val="ListParagraph"/>
        <w:widowControl/>
        <w:numPr>
          <w:ilvl w:val="1"/>
          <w:numId w:val="1"/>
        </w:numPr>
        <w:spacing w:after="0"/>
      </w:pPr>
      <w:r w:rsidRPr="007D2B92">
        <w:t>The PBAC considered that</w:t>
      </w:r>
      <w:r w:rsidR="00215780" w:rsidRPr="007D2B92">
        <w:t xml:space="preserve"> the claim that there is no evidence of a difference in the immunogenicity or safety between the </w:t>
      </w:r>
      <w:proofErr w:type="spellStart"/>
      <w:r w:rsidR="00215780" w:rsidRPr="007D2B92">
        <w:t>MenACWY</w:t>
      </w:r>
      <w:proofErr w:type="spellEnd"/>
      <w:r w:rsidR="00215780" w:rsidRPr="007D2B92">
        <w:t xml:space="preserve">-CRM and </w:t>
      </w:r>
      <w:proofErr w:type="spellStart"/>
      <w:r w:rsidR="00215780" w:rsidRPr="007D2B92">
        <w:t>MenACWY</w:t>
      </w:r>
      <w:proofErr w:type="spellEnd"/>
      <w:r w:rsidR="00215780" w:rsidRPr="007D2B92">
        <w:t>-TT vaccines</w:t>
      </w:r>
      <w:r w:rsidRPr="007D2B92">
        <w:t xml:space="preserve"> </w:t>
      </w:r>
      <w:r w:rsidR="00215780" w:rsidRPr="007D2B92">
        <w:t>was reasonable.</w:t>
      </w:r>
      <w:r w:rsidR="00827ABA" w:rsidRPr="007D2B92">
        <w:t xml:space="preserve"> </w:t>
      </w:r>
    </w:p>
    <w:p w:rsidR="00ED236B" w:rsidRPr="007D2B92" w:rsidRDefault="00ED236B" w:rsidP="00ED236B">
      <w:pPr>
        <w:pStyle w:val="ListParagraph"/>
        <w:widowControl/>
        <w:spacing w:after="0"/>
      </w:pPr>
    </w:p>
    <w:p w:rsidR="00B60939" w:rsidRPr="007D2B92" w:rsidRDefault="00B60939" w:rsidP="00ED236B">
      <w:pPr>
        <w:pStyle w:val="Heading2"/>
        <w:spacing w:after="120"/>
        <w:rPr>
          <w:i w:val="0"/>
        </w:rPr>
      </w:pPr>
      <w:bookmarkStart w:id="12" w:name="_Toc515358809"/>
      <w:r w:rsidRPr="007D2B92">
        <w:rPr>
          <w:i w:val="0"/>
        </w:rPr>
        <w:t>Economic analysis</w:t>
      </w:r>
      <w:bookmarkEnd w:id="12"/>
    </w:p>
    <w:p w:rsidR="00D7367A" w:rsidRPr="007D2B92" w:rsidRDefault="00D7367A" w:rsidP="00AA075D">
      <w:pPr>
        <w:pStyle w:val="ListParagraph"/>
        <w:widowControl/>
        <w:numPr>
          <w:ilvl w:val="1"/>
          <w:numId w:val="1"/>
        </w:numPr>
        <w:spacing w:after="120"/>
      </w:pPr>
      <w:r w:rsidRPr="007D2B92">
        <w:t xml:space="preserve">The submission proposed a price </w:t>
      </w:r>
      <w:r w:rsidR="002F7239" w:rsidRPr="007D2B92">
        <w:t>for the</w:t>
      </w:r>
      <w:r w:rsidRPr="007D2B92">
        <w:t xml:space="preserve"> </w:t>
      </w:r>
      <w:proofErr w:type="spellStart"/>
      <w:r w:rsidRPr="007D2B92">
        <w:t>MenACWY</w:t>
      </w:r>
      <w:proofErr w:type="spellEnd"/>
      <w:r w:rsidRPr="007D2B92">
        <w:t xml:space="preserve">-CRM </w:t>
      </w:r>
      <w:r w:rsidR="002F7239" w:rsidRPr="007D2B92">
        <w:t xml:space="preserve">vaccine </w:t>
      </w:r>
      <w:r w:rsidRPr="007D2B92">
        <w:t xml:space="preserve">equivalent to the </w:t>
      </w:r>
      <w:r w:rsidR="00475FD4" w:rsidRPr="007D2B92">
        <w:t xml:space="preserve">nationally negotiated price of the </w:t>
      </w:r>
      <w:proofErr w:type="spellStart"/>
      <w:r w:rsidRPr="007D2B92">
        <w:t>MenC</w:t>
      </w:r>
      <w:proofErr w:type="spellEnd"/>
      <w:r w:rsidRPr="007D2B92">
        <w:t xml:space="preserve"> component of</w:t>
      </w:r>
      <w:r w:rsidR="002F7239" w:rsidRPr="007D2B92">
        <w:t xml:space="preserve"> the</w:t>
      </w:r>
      <w:r w:rsidRPr="007D2B92">
        <w:t xml:space="preserve"> Hib-</w:t>
      </w:r>
      <w:proofErr w:type="spellStart"/>
      <w:r w:rsidRPr="007D2B92">
        <w:t>MenC</w:t>
      </w:r>
      <w:proofErr w:type="spellEnd"/>
      <w:r w:rsidRPr="007D2B92">
        <w:t xml:space="preserve"> vaccine </w:t>
      </w:r>
      <w:r w:rsidR="00207EE2" w:rsidRPr="007D2B92">
        <w:t xml:space="preserve">listed on the NIP for use in infants </w:t>
      </w:r>
      <w:r w:rsidRPr="007D2B92">
        <w:t>($</w:t>
      </w:r>
      <w:r w:rsidR="00346D40">
        <w:rPr>
          <w:noProof/>
          <w:color w:val="000000"/>
          <w:highlight w:val="black"/>
        </w:rPr>
        <w:t>''''''''''''</w:t>
      </w:r>
      <w:r w:rsidRPr="007D2B92">
        <w:t>)</w:t>
      </w:r>
      <w:r w:rsidR="003B64FD" w:rsidRPr="007D2B92">
        <w:t>, a different population</w:t>
      </w:r>
      <w:r w:rsidRPr="007D2B92">
        <w:t>.</w:t>
      </w:r>
      <w:r w:rsidR="00AA075D" w:rsidRPr="007D2B92">
        <w:t xml:space="preserve"> </w:t>
      </w:r>
    </w:p>
    <w:p w:rsidR="00207EE2" w:rsidRPr="007D2B92" w:rsidRDefault="00207EE2" w:rsidP="007D4B83">
      <w:pPr>
        <w:pStyle w:val="ListParagraph"/>
        <w:widowControl/>
        <w:numPr>
          <w:ilvl w:val="1"/>
          <w:numId w:val="1"/>
        </w:numPr>
        <w:spacing w:after="120"/>
      </w:pPr>
      <w:r w:rsidRPr="007D2B92">
        <w:t xml:space="preserve">The submission stated that “If either </w:t>
      </w:r>
      <w:proofErr w:type="spellStart"/>
      <w:r w:rsidRPr="007D2B92">
        <w:t>Nimenrix</w:t>
      </w:r>
      <w:proofErr w:type="spellEnd"/>
      <w:r w:rsidRPr="007D2B92">
        <w:t xml:space="preserve"> or </w:t>
      </w:r>
      <w:proofErr w:type="spellStart"/>
      <w:r w:rsidRPr="007D2B92">
        <w:t>Menveo</w:t>
      </w:r>
      <w:proofErr w:type="spellEnd"/>
      <w:r w:rsidRPr="007D2B92">
        <w:t xml:space="preserve"> is recommended in an adolescent population at the March or July 2018 PBAC meeting</w:t>
      </w:r>
      <w:r w:rsidR="00CC71BA" w:rsidRPr="007D2B92">
        <w:t>s</w:t>
      </w:r>
      <w:r w:rsidRPr="007D2B92">
        <w:t>, respectively, it is anticipated that the price will be the same as in the infant population, and therefore $</w:t>
      </w:r>
      <w:r w:rsidR="00346D40">
        <w:rPr>
          <w:noProof/>
          <w:color w:val="000000"/>
          <w:highlight w:val="black"/>
        </w:rPr>
        <w:t>''''''''''''</w:t>
      </w:r>
      <w:r w:rsidRPr="007D2B92">
        <w:t xml:space="preserve"> represents an appropriate price for </w:t>
      </w:r>
      <w:proofErr w:type="spellStart"/>
      <w:r w:rsidRPr="007D2B92">
        <w:t>Menveo</w:t>
      </w:r>
      <w:proofErr w:type="spellEnd"/>
      <w:r w:rsidRPr="007D2B92">
        <w:t xml:space="preserve"> in this economic eval</w:t>
      </w:r>
      <w:r w:rsidR="00F0313D">
        <w:t>uation”</w:t>
      </w:r>
      <w:r w:rsidRPr="007D2B92">
        <w:t>.</w:t>
      </w:r>
      <w:r w:rsidR="00AA075D" w:rsidRPr="007D2B92">
        <w:t xml:space="preserve"> The ESC noted that the price of </w:t>
      </w:r>
      <w:proofErr w:type="spellStart"/>
      <w:r w:rsidR="00AA075D" w:rsidRPr="007D2B92">
        <w:t>MenACWY</w:t>
      </w:r>
      <w:proofErr w:type="spellEnd"/>
      <w:r w:rsidR="00AA075D" w:rsidRPr="007D2B92">
        <w:t xml:space="preserve">-CRM would be informed by the </w:t>
      </w:r>
      <w:proofErr w:type="spellStart"/>
      <w:r w:rsidR="00AA075D" w:rsidRPr="007D2B92">
        <w:t>MenACWY</w:t>
      </w:r>
      <w:proofErr w:type="spellEnd"/>
      <w:r w:rsidR="00AA075D" w:rsidRPr="007D2B92">
        <w:t xml:space="preserve">-TT PBAC recommendation for adolescents, not the infant dose of </w:t>
      </w:r>
      <w:proofErr w:type="spellStart"/>
      <w:r w:rsidR="00AA075D" w:rsidRPr="007D2B92">
        <w:t>MenACWY</w:t>
      </w:r>
      <w:proofErr w:type="spellEnd"/>
      <w:r w:rsidR="00AA075D" w:rsidRPr="007D2B92">
        <w:t xml:space="preserve">-TT, as the adolescent dose reflects the same population group.  </w:t>
      </w:r>
    </w:p>
    <w:p w:rsidR="00062BA6" w:rsidRPr="007D2B92" w:rsidRDefault="00524635" w:rsidP="00690FF2">
      <w:pPr>
        <w:pStyle w:val="ListParagraph"/>
        <w:widowControl/>
        <w:numPr>
          <w:ilvl w:val="1"/>
          <w:numId w:val="1"/>
        </w:numPr>
      </w:pPr>
      <w:r w:rsidRPr="007D2B92">
        <w:t>T</w:t>
      </w:r>
      <w:r w:rsidR="00207EE2" w:rsidRPr="007D2B92">
        <w:t xml:space="preserve">he positive PBAC recommendation </w:t>
      </w:r>
      <w:r w:rsidRPr="007D2B92">
        <w:t xml:space="preserve">for the </w:t>
      </w:r>
      <w:r w:rsidR="00207EE2" w:rsidRPr="007D2B92">
        <w:t xml:space="preserve">NIP listing of the </w:t>
      </w:r>
      <w:proofErr w:type="spellStart"/>
      <w:r w:rsidR="00207EE2" w:rsidRPr="007D2B92">
        <w:t>MenACWY</w:t>
      </w:r>
      <w:proofErr w:type="spellEnd"/>
      <w:r w:rsidR="00207EE2" w:rsidRPr="007D2B92">
        <w:noBreakHyphen/>
        <w:t xml:space="preserve">TT vaccine </w:t>
      </w:r>
      <w:r w:rsidR="001C670C" w:rsidRPr="007D2B92">
        <w:t xml:space="preserve">for the adolescent population </w:t>
      </w:r>
      <w:r w:rsidR="00207EE2" w:rsidRPr="007D2B92">
        <w:t xml:space="preserve">is yet to be implemented and is contingent upon </w:t>
      </w:r>
      <w:r w:rsidR="00CC71BA" w:rsidRPr="007D2B92">
        <w:t xml:space="preserve">the sponsor of </w:t>
      </w:r>
      <w:proofErr w:type="spellStart"/>
      <w:r w:rsidR="00CC71BA" w:rsidRPr="007D2B92">
        <w:t>MenACWY</w:t>
      </w:r>
      <w:proofErr w:type="spellEnd"/>
      <w:r w:rsidR="00CC71BA" w:rsidRPr="007D2B92">
        <w:t xml:space="preserve">-TT accepting </w:t>
      </w:r>
      <w:r w:rsidR="00207EE2" w:rsidRPr="007D2B92">
        <w:t xml:space="preserve">a price reduction such that the incremental cost-effectiveness ratio is less than $15,000 per quality adjusted life year </w:t>
      </w:r>
      <w:r w:rsidR="00CC71BA" w:rsidRPr="007D2B92">
        <w:t xml:space="preserve">(QALY) </w:t>
      </w:r>
      <w:r w:rsidR="00207EE2" w:rsidRPr="007D2B92">
        <w:t>gained</w:t>
      </w:r>
      <w:r w:rsidR="00056F46" w:rsidRPr="007D2B92">
        <w:rPr>
          <w:rStyle w:val="FootnoteReference"/>
        </w:rPr>
        <w:footnoteReference w:id="10"/>
      </w:r>
      <w:r w:rsidR="00207EE2" w:rsidRPr="007D2B92">
        <w:t>.</w:t>
      </w:r>
      <w:r w:rsidR="00475FD4" w:rsidRPr="007D2B92">
        <w:t xml:space="preserve"> </w:t>
      </w:r>
      <w:r w:rsidR="00062BA6" w:rsidRPr="007D2B92">
        <w:t xml:space="preserve">The sponsor noted in the PSCR that if </w:t>
      </w:r>
      <w:proofErr w:type="spellStart"/>
      <w:r w:rsidR="00062BA6" w:rsidRPr="007D2B92">
        <w:t>MenACWY</w:t>
      </w:r>
      <w:proofErr w:type="spellEnd"/>
      <w:r w:rsidR="00062BA6" w:rsidRPr="007D2B92">
        <w:t xml:space="preserve">-TT vaccine were listed, </w:t>
      </w:r>
      <w:r w:rsidR="00475FD4" w:rsidRPr="007D2B92">
        <w:t xml:space="preserve">acceptance of the agreed price for </w:t>
      </w:r>
      <w:proofErr w:type="spellStart"/>
      <w:r w:rsidR="00475FD4" w:rsidRPr="007D2B92">
        <w:t>MenACWY</w:t>
      </w:r>
      <w:proofErr w:type="spellEnd"/>
      <w:r w:rsidR="00475FD4" w:rsidRPr="007D2B92">
        <w:t>-TT would be required</w:t>
      </w:r>
      <w:r w:rsidR="00062BA6" w:rsidRPr="007D2B92">
        <w:t xml:space="preserve"> for the listing of </w:t>
      </w:r>
      <w:proofErr w:type="spellStart"/>
      <w:r w:rsidR="00062BA6" w:rsidRPr="007D2B92">
        <w:t>MenACWY</w:t>
      </w:r>
      <w:proofErr w:type="spellEnd"/>
      <w:r w:rsidR="00062BA6" w:rsidRPr="007D2B92">
        <w:t>-</w:t>
      </w:r>
      <w:r w:rsidR="00062BA6" w:rsidRPr="007D2B92">
        <w:lastRenderedPageBreak/>
        <w:t>CRM.</w:t>
      </w:r>
      <w:r w:rsidR="00475FD4" w:rsidRPr="007D2B92">
        <w:t xml:space="preserve"> </w:t>
      </w:r>
      <w:r w:rsidR="00062BA6" w:rsidRPr="007D2B92">
        <w:t>The PSCR stated that the PBAC should</w:t>
      </w:r>
      <w:r w:rsidR="00062BA6" w:rsidRPr="007D2B92">
        <w:rPr>
          <w:i/>
        </w:rPr>
        <w:t xml:space="preserve"> </w:t>
      </w:r>
      <w:r w:rsidR="00062BA6" w:rsidRPr="007D2B92">
        <w:t xml:space="preserve">be aware the low vaccine prices could impact supply where there is international competition or limited doses, which may reduce confidence in the NIP. </w:t>
      </w:r>
      <w:r w:rsidR="002B0B51" w:rsidRPr="007D2B92">
        <w:t xml:space="preserve">The Pre-PBAC Response </w:t>
      </w:r>
      <w:r w:rsidR="00690FF2" w:rsidRPr="007D2B92">
        <w:t xml:space="preserve">stated </w:t>
      </w:r>
      <w:r w:rsidR="002B0B51" w:rsidRPr="007D2B92">
        <w:t>that a low</w:t>
      </w:r>
      <w:r w:rsidR="00DC4899" w:rsidRPr="007D2B92">
        <w:t xml:space="preserve"> recommended</w:t>
      </w:r>
      <w:r w:rsidR="002B0B51" w:rsidRPr="007D2B92">
        <w:t xml:space="preserve"> price may</w:t>
      </w:r>
      <w:r w:rsidR="00B04812" w:rsidRPr="007D2B92">
        <w:t xml:space="preserve"> impact the sponsor’</w:t>
      </w:r>
      <w:r w:rsidR="002B0B51" w:rsidRPr="007D2B92">
        <w:t>s ability to progress listing</w:t>
      </w:r>
      <w:r w:rsidR="00690FF2" w:rsidRPr="007D2B92">
        <w:t xml:space="preserve"> and requested that “the PBAC consider the limitations on vaccine supply due to complex manufacturing processes and associated long lead times, and existing issues with supply constraints of multiple brands of </w:t>
      </w:r>
      <w:proofErr w:type="spellStart"/>
      <w:r w:rsidR="00690FF2" w:rsidRPr="007D2B92">
        <w:t>MenACWY</w:t>
      </w:r>
      <w:proofErr w:type="spellEnd"/>
      <w:r w:rsidR="00690FF2" w:rsidRPr="007D2B92">
        <w:t xml:space="preserve"> vaccine due to high global demand</w:t>
      </w:r>
      <w:r w:rsidR="000E3D81" w:rsidRPr="007D2B92">
        <w:t>.</w:t>
      </w:r>
      <w:r w:rsidR="00690FF2" w:rsidRPr="007D2B92">
        <w:t>”</w:t>
      </w:r>
    </w:p>
    <w:p w:rsidR="004C2B33" w:rsidRDefault="00062BA6" w:rsidP="00ED236B">
      <w:pPr>
        <w:pStyle w:val="ListParagraph"/>
        <w:widowControl/>
        <w:numPr>
          <w:ilvl w:val="1"/>
          <w:numId w:val="1"/>
        </w:numPr>
        <w:spacing w:after="0"/>
      </w:pPr>
      <w:r w:rsidRPr="007D2B92">
        <w:t>The ESC</w:t>
      </w:r>
      <w:r w:rsidR="00B86F2F" w:rsidRPr="007D2B92">
        <w:rPr>
          <w:i/>
        </w:rPr>
        <w:t xml:space="preserve"> </w:t>
      </w:r>
      <w:r w:rsidRPr="007D2B92">
        <w:t xml:space="preserve">noted that the submission did not present a cost-effectiveness analysis </w:t>
      </w:r>
      <w:r w:rsidR="00CC71BA" w:rsidRPr="007D2B92">
        <w:t xml:space="preserve">compared with ‘no vaccine’ (placebo) </w:t>
      </w:r>
      <w:r w:rsidRPr="007D2B92">
        <w:t>and henc</w:t>
      </w:r>
      <w:r w:rsidR="00DC4899" w:rsidRPr="007D2B92">
        <w:t xml:space="preserve">e the only basis for listing was </w:t>
      </w:r>
      <w:r w:rsidRPr="007D2B92">
        <w:t>a cost-</w:t>
      </w:r>
      <w:r w:rsidR="00AB0CBE" w:rsidRPr="007D2B92">
        <w:t>minimisation</w:t>
      </w:r>
      <w:r w:rsidRPr="007D2B92">
        <w:t xml:space="preserve"> analysis versus </w:t>
      </w:r>
      <w:proofErr w:type="spellStart"/>
      <w:r w:rsidRPr="007D2B92">
        <w:t>MenACWY</w:t>
      </w:r>
      <w:proofErr w:type="spellEnd"/>
      <w:r w:rsidRPr="007D2B92">
        <w:t>-TT.</w:t>
      </w:r>
    </w:p>
    <w:p w:rsidR="00ED236B" w:rsidRPr="007D2B92" w:rsidRDefault="00ED236B" w:rsidP="00ED236B">
      <w:pPr>
        <w:pStyle w:val="ListParagraph"/>
        <w:widowControl/>
        <w:spacing w:after="0"/>
      </w:pPr>
    </w:p>
    <w:p w:rsidR="00C25D9C" w:rsidRPr="007D2B92" w:rsidRDefault="00654C76" w:rsidP="00ED236B">
      <w:pPr>
        <w:pStyle w:val="Heading2"/>
        <w:spacing w:after="120"/>
        <w:rPr>
          <w:i w:val="0"/>
        </w:rPr>
      </w:pPr>
      <w:bookmarkStart w:id="13" w:name="_Toc515358810"/>
      <w:r w:rsidRPr="007D2B92">
        <w:rPr>
          <w:i w:val="0"/>
        </w:rPr>
        <w:t>Drug cost/patient/</w:t>
      </w:r>
      <w:r w:rsidR="00C25D9C" w:rsidRPr="007D2B92">
        <w:rPr>
          <w:i w:val="0"/>
        </w:rPr>
        <w:t>course</w:t>
      </w:r>
      <w:bookmarkEnd w:id="13"/>
    </w:p>
    <w:p w:rsidR="00B1005B" w:rsidRDefault="00B1005B" w:rsidP="00ED236B">
      <w:pPr>
        <w:pStyle w:val="ListParagraph"/>
        <w:widowControl/>
        <w:numPr>
          <w:ilvl w:val="1"/>
          <w:numId w:val="1"/>
        </w:numPr>
        <w:spacing w:after="0"/>
      </w:pPr>
      <w:r w:rsidRPr="007D2B92">
        <w:t>$</w:t>
      </w:r>
      <w:r w:rsidR="00346D40">
        <w:rPr>
          <w:noProof/>
          <w:color w:val="000000"/>
          <w:highlight w:val="black"/>
        </w:rPr>
        <w:t>''''''''''''</w:t>
      </w:r>
      <w:r w:rsidRPr="007D2B92">
        <w:t>, based on a single dose per adolescent.</w:t>
      </w:r>
    </w:p>
    <w:p w:rsidR="00ED236B" w:rsidRPr="007D2B92" w:rsidRDefault="00ED236B" w:rsidP="00ED236B">
      <w:pPr>
        <w:pStyle w:val="ListParagraph"/>
        <w:widowControl/>
        <w:spacing w:after="0"/>
      </w:pPr>
    </w:p>
    <w:p w:rsidR="00B60939" w:rsidRPr="007D2B92" w:rsidRDefault="00B60939" w:rsidP="00ED236B">
      <w:pPr>
        <w:pStyle w:val="Heading2"/>
        <w:spacing w:after="120"/>
        <w:rPr>
          <w:i w:val="0"/>
        </w:rPr>
      </w:pPr>
      <w:bookmarkStart w:id="14" w:name="_Toc515358811"/>
      <w:r w:rsidRPr="007D2B92">
        <w:rPr>
          <w:i w:val="0"/>
        </w:rPr>
        <w:t>Estimated PBS usage &amp; financial implications</w:t>
      </w:r>
      <w:bookmarkEnd w:id="14"/>
    </w:p>
    <w:p w:rsidR="00AF2CD4" w:rsidRPr="007D2B92" w:rsidRDefault="006D4ED3" w:rsidP="007D4B83">
      <w:pPr>
        <w:pStyle w:val="ListParagraph"/>
        <w:widowControl/>
        <w:numPr>
          <w:ilvl w:val="1"/>
          <w:numId w:val="1"/>
        </w:numPr>
        <w:spacing w:after="120"/>
      </w:pPr>
      <w:r w:rsidRPr="007D2B92">
        <w:t xml:space="preserve">This submission </w:t>
      </w:r>
      <w:r w:rsidR="00E249CE" w:rsidRPr="007D2B92">
        <w:t>was n</w:t>
      </w:r>
      <w:r w:rsidRPr="007D2B92">
        <w:t xml:space="preserve">ot considered by DUSC. The submission used </w:t>
      </w:r>
      <w:r w:rsidR="00DC1CA9" w:rsidRPr="007D2B92">
        <w:t xml:space="preserve">an </w:t>
      </w:r>
      <w:r w:rsidRPr="007D2B92">
        <w:t xml:space="preserve">epidemiology approach to estimate the </w:t>
      </w:r>
      <w:proofErr w:type="spellStart"/>
      <w:r w:rsidRPr="007D2B92">
        <w:t>MenACWY</w:t>
      </w:r>
      <w:proofErr w:type="spellEnd"/>
      <w:r w:rsidRPr="007D2B92">
        <w:t>-CRM vaccine usage and financial implication</w:t>
      </w:r>
      <w:r w:rsidR="00972976" w:rsidRPr="007D2B92">
        <w:t>s</w:t>
      </w:r>
      <w:r w:rsidRPr="007D2B92">
        <w:t xml:space="preserve"> for th</w:t>
      </w:r>
      <w:r w:rsidR="00972976" w:rsidRPr="007D2B92">
        <w:t>e routine and catch-up program.</w:t>
      </w:r>
    </w:p>
    <w:p w:rsidR="00475FD4" w:rsidRPr="007D2B92" w:rsidRDefault="006D4ED3" w:rsidP="007D4B83">
      <w:pPr>
        <w:pStyle w:val="ListParagraph"/>
        <w:widowControl/>
        <w:numPr>
          <w:ilvl w:val="1"/>
          <w:numId w:val="1"/>
        </w:numPr>
        <w:spacing w:after="120"/>
      </w:pPr>
      <w:r w:rsidRPr="007D2B92">
        <w:t>Key sources of data used were ABS population projections for Australian adolescents aged 15-19 years</w:t>
      </w:r>
      <w:r w:rsidR="00CE3EEA" w:rsidRPr="007D2B92">
        <w:t xml:space="preserve">. The submission </w:t>
      </w:r>
      <w:r w:rsidR="00D11621" w:rsidRPr="007D2B92">
        <w:t>estimated the uptake rate of the routine program based on uptake of the human papilloma virus (HPV) vaccination program</w:t>
      </w:r>
      <w:r w:rsidR="00475FD4" w:rsidRPr="007D2B92">
        <w:t xml:space="preserve"> and of the catch-up program based on a </w:t>
      </w:r>
      <w:proofErr w:type="spellStart"/>
      <w:r w:rsidR="00475FD4" w:rsidRPr="007D2B92">
        <w:t>MenW</w:t>
      </w:r>
      <w:proofErr w:type="spellEnd"/>
      <w:r w:rsidR="00475FD4" w:rsidRPr="007D2B92">
        <w:t xml:space="preserve"> vaccine in England. The </w:t>
      </w:r>
      <w:r w:rsidR="00CC71BA" w:rsidRPr="007D2B92">
        <w:t xml:space="preserve">evaluation considered that the </w:t>
      </w:r>
      <w:r w:rsidR="00475FD4" w:rsidRPr="007D2B92">
        <w:t>uptake rates are uncertain.</w:t>
      </w:r>
      <w:r w:rsidR="00475FD4" w:rsidRPr="007D2B92" w:rsidDel="00474982">
        <w:t xml:space="preserve"> </w:t>
      </w:r>
      <w:r w:rsidR="00062BA6" w:rsidRPr="007D2B92">
        <w:t xml:space="preserve">The PSCR stated that uptake was based on the best available information in the absence of local data. </w:t>
      </w:r>
    </w:p>
    <w:p w:rsidR="00D11621" w:rsidRDefault="00D11621" w:rsidP="00CC71BA">
      <w:pPr>
        <w:pStyle w:val="ListParagraph"/>
        <w:widowControl/>
        <w:numPr>
          <w:ilvl w:val="1"/>
          <w:numId w:val="1"/>
        </w:numPr>
        <w:spacing w:after="120"/>
      </w:pPr>
      <w:r w:rsidRPr="007D2B92">
        <w:t>The submission estimated the cost of the catch-up program for Year 1 (2019) only.</w:t>
      </w:r>
      <w:r w:rsidR="00CC71BA" w:rsidRPr="007D2B92">
        <w:t xml:space="preserve"> </w:t>
      </w:r>
      <w:r w:rsidRPr="007D2B92">
        <w:t xml:space="preserve">The submission excluded students who </w:t>
      </w:r>
      <w:r w:rsidR="00E14D3E" w:rsidRPr="007D2B92">
        <w:t>received</w:t>
      </w:r>
      <w:r w:rsidRPr="007D2B92">
        <w:t xml:space="preserve"> a </w:t>
      </w:r>
      <w:proofErr w:type="spellStart"/>
      <w:r w:rsidRPr="007D2B92">
        <w:t>MenACWY</w:t>
      </w:r>
      <w:proofErr w:type="spellEnd"/>
      <w:r w:rsidRPr="007D2B92">
        <w:t xml:space="preserve"> vaccine through the State</w:t>
      </w:r>
      <w:r w:rsidRPr="007D2B92">
        <w:noBreakHyphen/>
        <w:t xml:space="preserve">based programs based on the sponsor’s tender data when estimating the number of </w:t>
      </w:r>
      <w:proofErr w:type="spellStart"/>
      <w:r w:rsidRPr="007D2B92">
        <w:t>MenACWY</w:t>
      </w:r>
      <w:proofErr w:type="spellEnd"/>
      <w:r w:rsidRPr="007D2B92">
        <w:t xml:space="preserve">-CRM vaccines in the catch-up program. Uptake of the catch-up program was based on a </w:t>
      </w:r>
      <w:proofErr w:type="spellStart"/>
      <w:r w:rsidRPr="007D2B92">
        <w:t>MenW</w:t>
      </w:r>
      <w:proofErr w:type="spellEnd"/>
      <w:r w:rsidRPr="007D2B92">
        <w:t xml:space="preserve"> vaccine program in England.</w:t>
      </w:r>
    </w:p>
    <w:p w:rsidR="00F0313D" w:rsidRPr="007D2B92" w:rsidRDefault="00F0313D" w:rsidP="00F0313D">
      <w:pPr>
        <w:pStyle w:val="ListParagraph"/>
        <w:numPr>
          <w:ilvl w:val="1"/>
          <w:numId w:val="1"/>
        </w:numPr>
      </w:pPr>
      <w:r w:rsidRPr="00F0313D">
        <w:t>The estimated use and financial implications of the routine and catch-up vaccination programs are presented in Table 10.</w:t>
      </w:r>
    </w:p>
    <w:p w:rsidR="00CE3EEA" w:rsidRPr="007D2B92" w:rsidRDefault="00CE3EEA" w:rsidP="00F0313D">
      <w:pPr>
        <w:pStyle w:val="ListParagraph"/>
        <w:keepNext/>
        <w:keepLines/>
        <w:widowControl/>
        <w:spacing w:after="0"/>
        <w:ind w:left="0"/>
        <w:rPr>
          <w:rStyle w:val="CommentReference"/>
        </w:rPr>
      </w:pPr>
      <w:r w:rsidRPr="007D2B92">
        <w:rPr>
          <w:rStyle w:val="CommentReference"/>
        </w:rPr>
        <w:lastRenderedPageBreak/>
        <w:t xml:space="preserve">Table </w:t>
      </w:r>
      <w:r w:rsidR="002F4FBF" w:rsidRPr="007D2B92">
        <w:rPr>
          <w:rStyle w:val="CommentReference"/>
        </w:rPr>
        <w:t>1</w:t>
      </w:r>
      <w:r w:rsidR="00FD0AD4" w:rsidRPr="007D2B92">
        <w:rPr>
          <w:rStyle w:val="CommentReference"/>
        </w:rPr>
        <w:t>0</w:t>
      </w:r>
      <w:r w:rsidRPr="007D2B92">
        <w:rPr>
          <w:rStyle w:val="CommentReference"/>
        </w:rPr>
        <w:t>: Estimated use and financial implications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81"/>
        <w:gridCol w:w="1044"/>
        <w:gridCol w:w="1012"/>
        <w:gridCol w:w="949"/>
        <w:gridCol w:w="1043"/>
        <w:gridCol w:w="980"/>
        <w:gridCol w:w="1074"/>
      </w:tblGrid>
      <w:tr w:rsidR="002F4FBF" w:rsidRPr="007D2B92" w:rsidTr="002F4FBF">
        <w:trPr>
          <w:tblHeader/>
        </w:trPr>
        <w:tc>
          <w:tcPr>
            <w:tcW w:w="0" w:type="auto"/>
            <w:shd w:val="clear" w:color="auto" w:fill="auto"/>
            <w:vAlign w:val="center"/>
          </w:tcPr>
          <w:p w:rsidR="002F4FBF" w:rsidRPr="007D2B92" w:rsidRDefault="002F4FBF" w:rsidP="00F0313D">
            <w:pPr>
              <w:pStyle w:val="Tabletext"/>
              <w:keepNext/>
              <w:keepLines/>
            </w:pP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2019</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2020</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2021</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2022</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2023</w:t>
            </w:r>
          </w:p>
        </w:tc>
        <w:tc>
          <w:tcPr>
            <w:tcW w:w="0" w:type="auto"/>
            <w:shd w:val="clear" w:color="auto" w:fill="auto"/>
            <w:vAlign w:val="center"/>
          </w:tcPr>
          <w:p w:rsidR="002F4FBF" w:rsidRPr="007D2B92" w:rsidRDefault="002F4FBF" w:rsidP="00F0313D">
            <w:pPr>
              <w:pStyle w:val="Tabletext"/>
              <w:keepNext/>
              <w:keepLines/>
              <w:jc w:val="center"/>
              <w:rPr>
                <w:b/>
              </w:rPr>
            </w:pPr>
            <w:r w:rsidRPr="007D2B92">
              <w:rPr>
                <w:b/>
                <w:szCs w:val="20"/>
              </w:rPr>
              <w:t>2024</w:t>
            </w:r>
          </w:p>
        </w:tc>
      </w:tr>
      <w:tr w:rsidR="00CE3EEA" w:rsidRPr="007D2B92" w:rsidTr="002F4FBF">
        <w:tc>
          <w:tcPr>
            <w:tcW w:w="0" w:type="auto"/>
            <w:gridSpan w:val="7"/>
            <w:shd w:val="clear" w:color="auto" w:fill="auto"/>
            <w:vAlign w:val="center"/>
          </w:tcPr>
          <w:p w:rsidR="00CE3EEA" w:rsidRPr="007D2B92" w:rsidRDefault="00CE3EEA" w:rsidP="00F0313D">
            <w:pPr>
              <w:pStyle w:val="Tabletext"/>
              <w:keepNext/>
              <w:keepLines/>
              <w:rPr>
                <w:b/>
                <w:bCs/>
                <w:color w:val="000000"/>
              </w:rPr>
            </w:pPr>
            <w:r w:rsidRPr="007D2B92">
              <w:rPr>
                <w:b/>
                <w:bCs/>
                <w:color w:val="000000"/>
              </w:rPr>
              <w:t>Estimated extent of use</w:t>
            </w:r>
          </w:p>
        </w:tc>
      </w:tr>
      <w:tr w:rsidR="00341EC2"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Estimated number of adolescents aged 15 years likely to receive </w:t>
            </w:r>
            <w:proofErr w:type="spellStart"/>
            <w:r w:rsidRPr="007D2B92">
              <w:rPr>
                <w:szCs w:val="20"/>
              </w:rPr>
              <w:t>MenACWY</w:t>
            </w:r>
            <w:proofErr w:type="spellEnd"/>
            <w:r w:rsidR="00076050" w:rsidRPr="007D2B92">
              <w:rPr>
                <w:szCs w:val="20"/>
              </w:rPr>
              <w:noBreakHyphen/>
            </w:r>
            <w:r w:rsidRPr="007D2B92">
              <w:rPr>
                <w:szCs w:val="20"/>
              </w:rPr>
              <w:t>CRM.</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bCs/>
                <w:color w:val="000000"/>
                <w:szCs w:val="20"/>
                <w:highlight w:val="black"/>
              </w:rPr>
            </w:pPr>
            <w:r>
              <w:rPr>
                <w:noProof/>
                <w:color w:val="000000"/>
                <w:szCs w:val="20"/>
                <w:highlight w:val="black"/>
              </w:rPr>
              <w:t>''''''''''''''''''</w:t>
            </w:r>
          </w:p>
        </w:tc>
      </w:tr>
      <w:tr w:rsidR="00341EC2"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Estimated number of adolescents aged 15 years require an additional dose likely to receive </w:t>
            </w:r>
            <w:proofErr w:type="spellStart"/>
            <w:r w:rsidRPr="007D2B92">
              <w:rPr>
                <w:szCs w:val="20"/>
              </w:rPr>
              <w:t>MenACWY</w:t>
            </w:r>
            <w:proofErr w:type="spellEnd"/>
            <w:r w:rsidRPr="007D2B92">
              <w:rPr>
                <w:szCs w:val="20"/>
              </w:rPr>
              <w:t>-CRM</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c>
          <w:tcPr>
            <w:tcW w:w="0" w:type="auto"/>
            <w:vAlign w:val="center"/>
          </w:tcPr>
          <w:p w:rsidR="000A4194" w:rsidRPr="00346D40" w:rsidRDefault="00346D40" w:rsidP="00F0313D">
            <w:pPr>
              <w:pStyle w:val="Tabletext"/>
              <w:keepNext/>
              <w:keepLines/>
              <w:jc w:val="center"/>
              <w:rPr>
                <w:rFonts w:cs="Arial"/>
                <w:color w:val="000000"/>
                <w:szCs w:val="20"/>
                <w:highlight w:val="black"/>
              </w:rPr>
            </w:pPr>
            <w:r>
              <w:rPr>
                <w:noProof/>
                <w:color w:val="000000"/>
                <w:szCs w:val="20"/>
                <w:highlight w:val="black"/>
              </w:rPr>
              <w:t>'''''''''</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b/>
                <w:szCs w:val="20"/>
              </w:rPr>
              <w:t xml:space="preserve">Estimated number of </w:t>
            </w:r>
            <w:proofErr w:type="spellStart"/>
            <w:r w:rsidRPr="007D2B92">
              <w:rPr>
                <w:b/>
                <w:szCs w:val="20"/>
              </w:rPr>
              <w:t>MenACWY</w:t>
            </w:r>
            <w:proofErr w:type="spellEnd"/>
            <w:r w:rsidRPr="007D2B92">
              <w:rPr>
                <w:b/>
                <w:szCs w:val="20"/>
              </w:rPr>
              <w:t xml:space="preserve">-CRM doses dispensed </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c>
          <w:tcPr>
            <w:tcW w:w="0" w:type="auto"/>
            <w:vAlign w:val="center"/>
          </w:tcPr>
          <w:p w:rsidR="000A4194" w:rsidRPr="00346D40" w:rsidRDefault="00346D40" w:rsidP="00F0313D">
            <w:pPr>
              <w:pStyle w:val="Tabletext"/>
              <w:keepNext/>
              <w:keepLines/>
              <w:jc w:val="center"/>
              <w:rPr>
                <w:szCs w:val="20"/>
                <w:highlight w:val="black"/>
              </w:rPr>
            </w:pPr>
            <w:r>
              <w:rPr>
                <w:b/>
                <w:noProof/>
                <w:color w:val="000000"/>
                <w:szCs w:val="20"/>
                <w:highlight w:val="black"/>
              </w:rPr>
              <w:t>''''''''''''''</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Patients electing treatment via school-program (83.80%) </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Patients electing treatment via GP (16.20%)</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szCs w:val="20"/>
                <w:highlight w:val="black"/>
              </w:rPr>
              <w:t>''''''''''''''''</w:t>
            </w:r>
          </w:p>
        </w:tc>
        <w:tc>
          <w:tcPr>
            <w:tcW w:w="0" w:type="auto"/>
            <w:shd w:val="clear" w:color="auto" w:fill="auto"/>
            <w:vAlign w:val="center"/>
          </w:tcPr>
          <w:p w:rsidR="000A4194" w:rsidRPr="00346D40" w:rsidRDefault="00346D40" w:rsidP="00F0313D">
            <w:pPr>
              <w:pStyle w:val="Tabletext"/>
              <w:keepNext/>
              <w:keepLines/>
              <w:jc w:val="center"/>
              <w:rPr>
                <w:szCs w:val="20"/>
                <w:highlight w:val="black"/>
              </w:rPr>
            </w:pPr>
            <w:r>
              <w:rPr>
                <w:noProof/>
                <w:color w:val="000000"/>
                <w:szCs w:val="20"/>
                <w:highlight w:val="black"/>
              </w:rPr>
              <w:t>''''''''''''''''</w:t>
            </w:r>
          </w:p>
        </w:tc>
        <w:tc>
          <w:tcPr>
            <w:tcW w:w="0" w:type="auto"/>
            <w:vAlign w:val="center"/>
          </w:tcPr>
          <w:p w:rsidR="000A4194" w:rsidRPr="00346D40" w:rsidRDefault="00346D40" w:rsidP="00F0313D">
            <w:pPr>
              <w:pStyle w:val="Tabletext"/>
              <w:keepNext/>
              <w:keepLines/>
              <w:jc w:val="center"/>
              <w:rPr>
                <w:szCs w:val="20"/>
                <w:highlight w:val="black"/>
              </w:rPr>
            </w:pPr>
            <w:r>
              <w:rPr>
                <w:noProof/>
                <w:color w:val="000000"/>
                <w:highlight w:val="black"/>
              </w:rPr>
              <w:t>''''''''''''''''</w:t>
            </w:r>
          </w:p>
        </w:tc>
      </w:tr>
      <w:tr w:rsidR="000A4194" w:rsidRPr="007D2B92" w:rsidTr="002F4FBF">
        <w:tc>
          <w:tcPr>
            <w:tcW w:w="0" w:type="auto"/>
            <w:shd w:val="clear" w:color="auto" w:fill="auto"/>
          </w:tcPr>
          <w:p w:rsidR="000A4194" w:rsidRPr="007D2B92" w:rsidRDefault="000A4194" w:rsidP="00F0313D">
            <w:pPr>
              <w:pStyle w:val="Tabletext"/>
              <w:keepNext/>
              <w:keepLines/>
              <w:rPr>
                <w:b/>
                <w:szCs w:val="20"/>
              </w:rPr>
            </w:pPr>
            <w:r w:rsidRPr="007D2B92">
              <w:rPr>
                <w:b/>
                <w:szCs w:val="20"/>
              </w:rPr>
              <w:t>Catch</w:t>
            </w:r>
            <w:r w:rsidR="003F50FA" w:rsidRPr="007D2B92">
              <w:rPr>
                <w:b/>
                <w:szCs w:val="20"/>
              </w:rPr>
              <w:t>-</w:t>
            </w:r>
            <w:r w:rsidRPr="007D2B92">
              <w:rPr>
                <w:b/>
                <w:szCs w:val="20"/>
              </w:rPr>
              <w:t>up program</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shd w:val="clear" w:color="auto" w:fill="auto"/>
            <w:vAlign w:val="center"/>
          </w:tcPr>
          <w:p w:rsidR="000A4194" w:rsidRPr="007D2B92" w:rsidRDefault="000A4194" w:rsidP="00F0313D">
            <w:pPr>
              <w:pStyle w:val="TableText0"/>
              <w:keepLines/>
              <w:widowControl w:val="0"/>
              <w:spacing w:before="0" w:after="0"/>
              <w:jc w:val="center"/>
            </w:pPr>
          </w:p>
        </w:tc>
        <w:tc>
          <w:tcPr>
            <w:tcW w:w="0" w:type="auto"/>
            <w:vAlign w:val="center"/>
          </w:tcPr>
          <w:p w:rsidR="000A4194" w:rsidRPr="007D2B92" w:rsidRDefault="000A4194" w:rsidP="00F0313D">
            <w:pPr>
              <w:pStyle w:val="Tabletext"/>
              <w:keepNext/>
              <w:keepLines/>
              <w:jc w:val="center"/>
            </w:pP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Estimated number of adolescents aged 16-19 years catch</w:t>
            </w:r>
            <w:r w:rsidR="003F50FA" w:rsidRPr="007D2B92">
              <w:rPr>
                <w:szCs w:val="20"/>
              </w:rPr>
              <w:t>-</w:t>
            </w:r>
            <w:r w:rsidRPr="007D2B92">
              <w:rPr>
                <w:szCs w:val="20"/>
              </w:rPr>
              <w:t xml:space="preserve">up population likely to receive </w:t>
            </w:r>
            <w:proofErr w:type="spellStart"/>
            <w:r w:rsidRPr="007D2B92">
              <w:rPr>
                <w:szCs w:val="20"/>
              </w:rPr>
              <w:t>MenACWY</w:t>
            </w:r>
            <w:proofErr w:type="spellEnd"/>
            <w:r w:rsidRPr="007D2B92">
              <w:rPr>
                <w:szCs w:val="20"/>
              </w:rPr>
              <w:t>-CRM</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vAlign w:val="center"/>
          </w:tcPr>
          <w:p w:rsidR="000A4194" w:rsidRPr="007D2B92" w:rsidRDefault="000A4194" w:rsidP="00F0313D">
            <w:pPr>
              <w:pStyle w:val="Tabletext"/>
              <w:keepNext/>
              <w:keepLines/>
              <w:jc w:val="center"/>
            </w:pPr>
            <w:r w:rsidRPr="007D2B92">
              <w:rPr>
                <w:szCs w:val="20"/>
              </w:rPr>
              <w:t>0</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Estimated number of adolescents aged 16-19 years require an additional dose likely to receive </w:t>
            </w:r>
            <w:proofErr w:type="spellStart"/>
            <w:r w:rsidRPr="007D2B92">
              <w:rPr>
                <w:szCs w:val="20"/>
              </w:rPr>
              <w:t>MenACWY</w:t>
            </w:r>
            <w:proofErr w:type="spellEnd"/>
            <w:r w:rsidRPr="007D2B92">
              <w:rPr>
                <w:szCs w:val="20"/>
              </w:rPr>
              <w:t>-CRM</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vAlign w:val="center"/>
          </w:tcPr>
          <w:p w:rsidR="000A4194" w:rsidRPr="007D2B92" w:rsidRDefault="000A4194" w:rsidP="00F0313D">
            <w:pPr>
              <w:pStyle w:val="Tabletext"/>
              <w:keepNext/>
              <w:keepLines/>
              <w:jc w:val="center"/>
            </w:pPr>
            <w:r w:rsidRPr="007D2B92">
              <w:rPr>
                <w:szCs w:val="20"/>
              </w:rPr>
              <w:t>0</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b/>
                <w:szCs w:val="20"/>
              </w:rPr>
              <w:t xml:space="preserve">Estimated number of </w:t>
            </w:r>
            <w:proofErr w:type="spellStart"/>
            <w:r w:rsidRPr="007D2B92">
              <w:rPr>
                <w:b/>
                <w:szCs w:val="20"/>
              </w:rPr>
              <w:t>MenACWY</w:t>
            </w:r>
            <w:proofErr w:type="spellEnd"/>
            <w:r w:rsidRPr="007D2B92">
              <w:rPr>
                <w:b/>
                <w:szCs w:val="20"/>
              </w:rPr>
              <w:t>-CRM doses dispensed</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b/>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b/>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b/>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b/>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b/>
                <w:szCs w:val="20"/>
              </w:rPr>
              <w:t>0</w:t>
            </w:r>
          </w:p>
        </w:tc>
        <w:tc>
          <w:tcPr>
            <w:tcW w:w="0" w:type="auto"/>
            <w:vAlign w:val="center"/>
          </w:tcPr>
          <w:p w:rsidR="000A4194" w:rsidRPr="007D2B92" w:rsidRDefault="000A4194" w:rsidP="00F0313D">
            <w:pPr>
              <w:pStyle w:val="Tabletext"/>
              <w:keepNext/>
              <w:keepLines/>
              <w:jc w:val="center"/>
            </w:pPr>
            <w:r w:rsidRPr="007D2B92">
              <w:rPr>
                <w:b/>
                <w:szCs w:val="20"/>
              </w:rPr>
              <w:t>0</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 xml:space="preserve">Patients electing treatment via school-program (83.80%) </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vAlign w:val="center"/>
          </w:tcPr>
          <w:p w:rsidR="000A4194" w:rsidRPr="007D2B92" w:rsidRDefault="000A4194" w:rsidP="00F0313D">
            <w:pPr>
              <w:pStyle w:val="Tabletext"/>
              <w:keepNext/>
              <w:keepLines/>
              <w:jc w:val="center"/>
            </w:pPr>
            <w:r w:rsidRPr="007D2B92">
              <w:rPr>
                <w:szCs w:val="20"/>
              </w:rPr>
              <w:t>0</w:t>
            </w:r>
          </w:p>
        </w:tc>
      </w:tr>
      <w:tr w:rsidR="000A4194" w:rsidRPr="007D2B92" w:rsidTr="002F4FBF">
        <w:tc>
          <w:tcPr>
            <w:tcW w:w="0" w:type="auto"/>
            <w:shd w:val="clear" w:color="auto" w:fill="auto"/>
          </w:tcPr>
          <w:p w:rsidR="000A4194" w:rsidRPr="007D2B92" w:rsidRDefault="000A4194" w:rsidP="00F0313D">
            <w:pPr>
              <w:pStyle w:val="Tabletext"/>
              <w:keepNext/>
              <w:keepLines/>
              <w:rPr>
                <w:szCs w:val="20"/>
              </w:rPr>
            </w:pPr>
            <w:r w:rsidRPr="007D2B92">
              <w:rPr>
                <w:szCs w:val="20"/>
              </w:rPr>
              <w:t>Patients electing treatment via GP (16.20%)</w:t>
            </w:r>
          </w:p>
        </w:tc>
        <w:tc>
          <w:tcPr>
            <w:tcW w:w="0" w:type="auto"/>
            <w:shd w:val="clear" w:color="auto" w:fill="auto"/>
            <w:vAlign w:val="center"/>
          </w:tcPr>
          <w:p w:rsidR="000A4194" w:rsidRPr="00346D40" w:rsidRDefault="00346D40" w:rsidP="00F0313D">
            <w:pPr>
              <w:pStyle w:val="TableText0"/>
              <w:keepLines/>
              <w:widowControl w:val="0"/>
              <w:spacing w:before="0" w:after="0"/>
              <w:jc w:val="center"/>
              <w:rPr>
                <w:highlight w:val="black"/>
              </w:rPr>
            </w:pPr>
            <w:r>
              <w:rPr>
                <w:noProof/>
                <w:color w:val="000000"/>
                <w:szCs w:val="20"/>
                <w:highlight w:val="black"/>
              </w:rPr>
              <w:t>''''''''''''''''''</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shd w:val="clear" w:color="auto" w:fill="auto"/>
            <w:vAlign w:val="center"/>
          </w:tcPr>
          <w:p w:rsidR="000A4194" w:rsidRPr="007D2B92" w:rsidRDefault="000A4194" w:rsidP="00F0313D">
            <w:pPr>
              <w:pStyle w:val="TableText0"/>
              <w:keepLines/>
              <w:widowControl w:val="0"/>
              <w:spacing w:before="0" w:after="0"/>
              <w:jc w:val="center"/>
            </w:pPr>
            <w:r w:rsidRPr="007D2B92">
              <w:rPr>
                <w:szCs w:val="20"/>
              </w:rPr>
              <w:t>0</w:t>
            </w:r>
          </w:p>
        </w:tc>
        <w:tc>
          <w:tcPr>
            <w:tcW w:w="0" w:type="auto"/>
            <w:vAlign w:val="center"/>
          </w:tcPr>
          <w:p w:rsidR="000A4194" w:rsidRPr="007D2B92" w:rsidRDefault="000A4194" w:rsidP="00F0313D">
            <w:pPr>
              <w:pStyle w:val="Tabletext"/>
              <w:keepNext/>
              <w:keepLines/>
              <w:jc w:val="center"/>
            </w:pPr>
            <w:r w:rsidRPr="007D2B92">
              <w:rPr>
                <w:szCs w:val="20"/>
              </w:rPr>
              <w:t>0</w:t>
            </w:r>
          </w:p>
        </w:tc>
      </w:tr>
      <w:tr w:rsidR="000A4194" w:rsidRPr="007D2B92" w:rsidTr="002F4FBF">
        <w:tc>
          <w:tcPr>
            <w:tcW w:w="0" w:type="auto"/>
            <w:gridSpan w:val="7"/>
            <w:shd w:val="clear" w:color="auto" w:fill="auto"/>
            <w:vAlign w:val="center"/>
          </w:tcPr>
          <w:p w:rsidR="000A4194" w:rsidRPr="007D2B92" w:rsidRDefault="000A4194" w:rsidP="00F0313D">
            <w:pPr>
              <w:pStyle w:val="Tabletext"/>
              <w:keepNext/>
              <w:keepLines/>
              <w:rPr>
                <w:b/>
                <w:bCs/>
                <w:color w:val="000000"/>
                <w:szCs w:val="20"/>
              </w:rPr>
            </w:pPr>
            <w:r w:rsidRPr="007D2B92">
              <w:rPr>
                <w:b/>
                <w:bCs/>
                <w:color w:val="000000"/>
                <w:szCs w:val="20"/>
              </w:rPr>
              <w:t xml:space="preserve">Estimated financial implications </w:t>
            </w:r>
            <w:r w:rsidR="00341EC2" w:rsidRPr="007D2B92">
              <w:rPr>
                <w:b/>
                <w:bCs/>
                <w:color w:val="000000"/>
                <w:szCs w:val="20"/>
              </w:rPr>
              <w:t>to NIP</w:t>
            </w:r>
          </w:p>
        </w:tc>
      </w:tr>
      <w:tr w:rsidR="00341EC2" w:rsidRPr="007D2B92" w:rsidTr="002F4FBF">
        <w:tc>
          <w:tcPr>
            <w:tcW w:w="0" w:type="auto"/>
            <w:shd w:val="clear" w:color="auto" w:fill="auto"/>
            <w:vAlign w:val="center"/>
          </w:tcPr>
          <w:p w:rsidR="000A4194" w:rsidRPr="007D2B92" w:rsidRDefault="000A4194" w:rsidP="00F0313D">
            <w:pPr>
              <w:pStyle w:val="Tabletext"/>
              <w:keepNext/>
              <w:keepLines/>
              <w:rPr>
                <w:szCs w:val="20"/>
              </w:rPr>
            </w:pPr>
            <w:r w:rsidRPr="007D2B92">
              <w:rPr>
                <w:szCs w:val="20"/>
              </w:rPr>
              <w:t>Cost to NIP (routine program)</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A76395">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vAlign w:val="center"/>
          </w:tcPr>
          <w:p w:rsidR="000A4194" w:rsidRPr="007D2B92" w:rsidRDefault="000A4194"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r>
      <w:tr w:rsidR="000A4194" w:rsidRPr="007D2B92" w:rsidTr="002F4FBF">
        <w:tc>
          <w:tcPr>
            <w:tcW w:w="0" w:type="auto"/>
            <w:shd w:val="clear" w:color="auto" w:fill="auto"/>
            <w:vAlign w:val="center"/>
          </w:tcPr>
          <w:p w:rsidR="000A4194" w:rsidRPr="007D2B92" w:rsidRDefault="000A4194" w:rsidP="00F0313D">
            <w:pPr>
              <w:pStyle w:val="Tabletext"/>
              <w:keepNext/>
              <w:keepLines/>
              <w:rPr>
                <w:b/>
                <w:szCs w:val="20"/>
              </w:rPr>
            </w:pPr>
            <w:r w:rsidRPr="007D2B92">
              <w:rPr>
                <w:szCs w:val="20"/>
              </w:rPr>
              <w:t>Cost to NIP (routine program) (addition dose for at-risk group)</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c>
          <w:tcPr>
            <w:tcW w:w="0" w:type="auto"/>
            <w:vAlign w:val="center"/>
          </w:tcPr>
          <w:p w:rsidR="000A4194" w:rsidRPr="007D2B92" w:rsidRDefault="000A4194" w:rsidP="00F0313D">
            <w:pPr>
              <w:pStyle w:val="Tabletext"/>
              <w:keepNext/>
              <w:keepLines/>
              <w:jc w:val="center"/>
              <w:rPr>
                <w:b/>
                <w:szCs w:val="20"/>
              </w:rPr>
            </w:pPr>
            <w:r w:rsidRPr="007D2B92">
              <w:rPr>
                <w:szCs w:val="20"/>
              </w:rPr>
              <w:t>$</w:t>
            </w:r>
            <w:r w:rsidR="00346D40">
              <w:rPr>
                <w:noProof/>
                <w:color w:val="000000"/>
                <w:szCs w:val="20"/>
                <w:highlight w:val="black"/>
              </w:rPr>
              <w:t>'''''''''''''''</w:t>
            </w:r>
          </w:p>
        </w:tc>
      </w:tr>
      <w:tr w:rsidR="000A4194" w:rsidRPr="007D2B92" w:rsidTr="002F4FBF">
        <w:tc>
          <w:tcPr>
            <w:tcW w:w="0" w:type="auto"/>
            <w:shd w:val="clear" w:color="auto" w:fill="auto"/>
            <w:vAlign w:val="center"/>
          </w:tcPr>
          <w:p w:rsidR="000A4194" w:rsidRPr="007D2B92" w:rsidRDefault="000A4194" w:rsidP="00F0313D">
            <w:pPr>
              <w:pStyle w:val="Tabletext"/>
              <w:keepNext/>
              <w:keepLines/>
              <w:rPr>
                <w:b/>
                <w:szCs w:val="20"/>
              </w:rPr>
            </w:pPr>
            <w:r w:rsidRPr="007D2B92">
              <w:rPr>
                <w:szCs w:val="20"/>
              </w:rPr>
              <w:t>Cost to NIP (catch-up program)</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Cs/>
                <w:color w:val="000000"/>
                <w:szCs w:val="20"/>
              </w:rPr>
              <w:t>$</w:t>
            </w:r>
            <w:r w:rsidR="00346D40">
              <w:rPr>
                <w:bCs/>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vAlign w:val="center"/>
          </w:tcPr>
          <w:p w:rsidR="000A4194" w:rsidRPr="007D2B92" w:rsidRDefault="000A4194" w:rsidP="00F0313D">
            <w:pPr>
              <w:pStyle w:val="Tabletext"/>
              <w:keepNext/>
              <w:keepLines/>
              <w:jc w:val="center"/>
              <w:rPr>
                <w:b/>
                <w:szCs w:val="20"/>
              </w:rPr>
            </w:pPr>
            <w:r w:rsidRPr="007D2B92">
              <w:rPr>
                <w:szCs w:val="20"/>
              </w:rPr>
              <w:t>$0</w:t>
            </w:r>
          </w:p>
        </w:tc>
      </w:tr>
      <w:tr w:rsidR="000A4194" w:rsidRPr="007D2B92" w:rsidTr="002F4FBF">
        <w:tc>
          <w:tcPr>
            <w:tcW w:w="0" w:type="auto"/>
            <w:shd w:val="clear" w:color="auto" w:fill="auto"/>
            <w:vAlign w:val="center"/>
          </w:tcPr>
          <w:p w:rsidR="000A4194" w:rsidRPr="007D2B92" w:rsidRDefault="000A4194" w:rsidP="00F0313D">
            <w:pPr>
              <w:pStyle w:val="Tabletext"/>
              <w:keepNext/>
              <w:keepLines/>
              <w:rPr>
                <w:b/>
                <w:szCs w:val="20"/>
              </w:rPr>
            </w:pPr>
            <w:r w:rsidRPr="007D2B92">
              <w:rPr>
                <w:szCs w:val="20"/>
              </w:rPr>
              <w:t>Cost to NIP (catch-up program) (addition dose for at-risk group)</w:t>
            </w:r>
          </w:p>
        </w:tc>
        <w:tc>
          <w:tcPr>
            <w:tcW w:w="0" w:type="auto"/>
            <w:shd w:val="clear" w:color="auto" w:fill="auto"/>
            <w:vAlign w:val="center"/>
          </w:tcPr>
          <w:p w:rsidR="000A4194" w:rsidRPr="007D2B92" w:rsidRDefault="000A4194" w:rsidP="00F0313D">
            <w:pPr>
              <w:keepNext/>
              <w:keepLines/>
              <w:widowControl/>
              <w:jc w:val="center"/>
              <w:rPr>
                <w:rFonts w:ascii="Arial Narrow" w:hAnsi="Arial Narrow"/>
                <w:bCs/>
                <w:snapToGrid/>
                <w:color w:val="000000"/>
                <w:sz w:val="20"/>
                <w:szCs w:val="20"/>
                <w:lang w:eastAsia="en-AU"/>
              </w:rPr>
            </w:pPr>
            <w:r w:rsidRPr="007D2B92">
              <w:rPr>
                <w:rFonts w:ascii="Arial Narrow" w:hAnsi="Arial Narrow"/>
                <w:bCs/>
                <w:color w:val="000000"/>
                <w:sz w:val="20"/>
                <w:szCs w:val="20"/>
              </w:rPr>
              <w:t>$</w:t>
            </w:r>
            <w:r w:rsidR="00346D40">
              <w:rPr>
                <w:rFonts w:ascii="Arial Narrow" w:hAnsi="Arial Narrow"/>
                <w:bCs/>
                <w:noProof/>
                <w:color w:val="000000"/>
                <w:sz w:val="2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szCs w:val="20"/>
              </w:rPr>
              <w:t>$0</w:t>
            </w:r>
          </w:p>
        </w:tc>
        <w:tc>
          <w:tcPr>
            <w:tcW w:w="0" w:type="auto"/>
            <w:vAlign w:val="center"/>
          </w:tcPr>
          <w:p w:rsidR="000A4194" w:rsidRPr="007D2B92" w:rsidRDefault="000A4194" w:rsidP="00F0313D">
            <w:pPr>
              <w:pStyle w:val="Tabletext"/>
              <w:keepNext/>
              <w:keepLines/>
              <w:jc w:val="center"/>
              <w:rPr>
                <w:b/>
                <w:szCs w:val="20"/>
              </w:rPr>
            </w:pPr>
            <w:r w:rsidRPr="007D2B92">
              <w:rPr>
                <w:szCs w:val="20"/>
              </w:rPr>
              <w:t>$0</w:t>
            </w:r>
          </w:p>
        </w:tc>
      </w:tr>
      <w:tr w:rsidR="000A4194" w:rsidRPr="007D2B92" w:rsidTr="002F4FBF">
        <w:tc>
          <w:tcPr>
            <w:tcW w:w="0" w:type="auto"/>
            <w:shd w:val="clear" w:color="auto" w:fill="auto"/>
            <w:vAlign w:val="center"/>
          </w:tcPr>
          <w:p w:rsidR="000A4194" w:rsidRPr="007D2B92" w:rsidRDefault="000A4194" w:rsidP="00F0313D">
            <w:pPr>
              <w:pStyle w:val="Tabletext"/>
              <w:keepNext/>
              <w:keepLines/>
              <w:rPr>
                <w:b/>
                <w:szCs w:val="20"/>
              </w:rPr>
            </w:pPr>
            <w:r w:rsidRPr="007D2B92">
              <w:rPr>
                <w:b/>
                <w:szCs w:val="20"/>
              </w:rPr>
              <w:t>Net cost to NIP</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c>
          <w:tcPr>
            <w:tcW w:w="0" w:type="auto"/>
            <w:vAlign w:val="center"/>
          </w:tcPr>
          <w:p w:rsidR="000A4194" w:rsidRPr="007D2B92" w:rsidRDefault="000A4194" w:rsidP="00F0313D">
            <w:pPr>
              <w:pStyle w:val="Tabletext"/>
              <w:keepNext/>
              <w:keepLines/>
              <w:jc w:val="center"/>
              <w:rPr>
                <w:b/>
                <w:szCs w:val="20"/>
              </w:rPr>
            </w:pPr>
            <w:r w:rsidRPr="007D2B92">
              <w:rPr>
                <w:b/>
                <w:szCs w:val="20"/>
              </w:rPr>
              <w:t>$</w:t>
            </w:r>
            <w:r w:rsidR="00346D40">
              <w:rPr>
                <w:b/>
                <w:noProof/>
                <w:color w:val="000000"/>
                <w:szCs w:val="20"/>
                <w:highlight w:val="black"/>
              </w:rPr>
              <w:t>''''''''''''''''''''</w:t>
            </w:r>
          </w:p>
        </w:tc>
      </w:tr>
      <w:tr w:rsidR="00341EC2" w:rsidRPr="007D2B92" w:rsidTr="002F4FBF">
        <w:tc>
          <w:tcPr>
            <w:tcW w:w="0" w:type="auto"/>
            <w:shd w:val="clear" w:color="auto" w:fill="auto"/>
            <w:vAlign w:val="center"/>
          </w:tcPr>
          <w:p w:rsidR="000A4194" w:rsidRPr="007D2B92" w:rsidRDefault="000A4194" w:rsidP="00F0313D">
            <w:pPr>
              <w:pStyle w:val="Tabletext"/>
              <w:keepNext/>
              <w:keepLines/>
              <w:rPr>
                <w:szCs w:val="20"/>
              </w:rPr>
            </w:pPr>
            <w:proofErr w:type="spellStart"/>
            <w:r w:rsidRPr="007D2B92">
              <w:rPr>
                <w:szCs w:val="20"/>
              </w:rPr>
              <w:t>Copayments</w:t>
            </w:r>
            <w:proofErr w:type="spellEnd"/>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c>
          <w:tcPr>
            <w:tcW w:w="0" w:type="auto"/>
            <w:vAlign w:val="center"/>
          </w:tcPr>
          <w:p w:rsidR="000A4194" w:rsidRPr="007D2B92" w:rsidRDefault="000A4194" w:rsidP="00F0313D">
            <w:pPr>
              <w:pStyle w:val="Tabletext"/>
              <w:keepNext/>
              <w:keepLines/>
              <w:jc w:val="center"/>
              <w:rPr>
                <w:bCs/>
                <w:color w:val="000000"/>
                <w:szCs w:val="20"/>
              </w:rPr>
            </w:pPr>
            <w:r w:rsidRPr="007D2B92">
              <w:rPr>
                <w:rFonts w:cs="Arial"/>
                <w:bCs/>
                <w:color w:val="000000"/>
                <w:szCs w:val="20"/>
              </w:rPr>
              <w:t>$0</w:t>
            </w:r>
          </w:p>
        </w:tc>
      </w:tr>
      <w:tr w:rsidR="000A4194" w:rsidRPr="007D2B92" w:rsidTr="002F4FBF">
        <w:tc>
          <w:tcPr>
            <w:tcW w:w="0" w:type="auto"/>
            <w:gridSpan w:val="7"/>
            <w:shd w:val="clear" w:color="auto" w:fill="auto"/>
            <w:vAlign w:val="center"/>
          </w:tcPr>
          <w:p w:rsidR="000A4194" w:rsidRPr="007D2B92" w:rsidRDefault="000A4194" w:rsidP="00F0313D">
            <w:pPr>
              <w:pStyle w:val="Tabletext"/>
              <w:keepNext/>
              <w:keepLines/>
              <w:rPr>
                <w:bCs/>
                <w:color w:val="000000"/>
                <w:szCs w:val="20"/>
              </w:rPr>
            </w:pPr>
            <w:r w:rsidRPr="007D2B92">
              <w:rPr>
                <w:b/>
                <w:bCs/>
                <w:color w:val="000000"/>
                <w:szCs w:val="20"/>
              </w:rPr>
              <w:t xml:space="preserve">Estimated financial implications </w:t>
            </w:r>
            <w:r w:rsidR="00341EC2" w:rsidRPr="007D2B92">
              <w:rPr>
                <w:b/>
                <w:bCs/>
                <w:color w:val="000000"/>
                <w:szCs w:val="20"/>
              </w:rPr>
              <w:t>to MBS</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Cost to MBS (routine program)</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Cost to MBS (routine program) (addition dose for at-risk group)</w:t>
            </w:r>
          </w:p>
        </w:tc>
        <w:tc>
          <w:tcPr>
            <w:tcW w:w="0" w:type="auto"/>
            <w:shd w:val="clear" w:color="auto" w:fill="auto"/>
            <w:vAlign w:val="center"/>
          </w:tcPr>
          <w:p w:rsidR="00341EC2" w:rsidRPr="007D2B92"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i/>
                <w:szCs w:val="20"/>
              </w:rPr>
              <w:t>($</w:t>
            </w:r>
            <w:r w:rsidR="00346D40">
              <w:rPr>
                <w:i/>
                <w:noProof/>
                <w:color w:val="000000"/>
                <w:szCs w:val="20"/>
                <w:highlight w:val="black"/>
              </w:rPr>
              <w:t>''''''''''''''''''</w:t>
            </w:r>
            <w:r w:rsidRPr="007D2B92">
              <w:rPr>
                <w:i/>
                <w:szCs w:val="20"/>
              </w:rPr>
              <w:t>)</w:t>
            </w:r>
          </w:p>
        </w:tc>
        <w:tc>
          <w:tcPr>
            <w:tcW w:w="0" w:type="auto"/>
            <w:shd w:val="clear" w:color="auto" w:fill="auto"/>
            <w:vAlign w:val="center"/>
          </w:tcPr>
          <w:p w:rsidR="00341EC2" w:rsidRPr="00346D40"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i/>
                <w:szCs w:val="20"/>
              </w:rPr>
              <w:t>($</w:t>
            </w:r>
            <w:r w:rsidR="00346D40">
              <w:rPr>
                <w:i/>
                <w:noProof/>
                <w:color w:val="000000"/>
                <w:szCs w:val="20"/>
                <w:highlight w:val="black"/>
              </w:rPr>
              <w:t>''''''''''''''''''''''''</w:t>
            </w:r>
            <w:r w:rsidRPr="007D2B92">
              <w:rPr>
                <w:i/>
                <w:szCs w:val="20"/>
              </w:rPr>
              <w:t>)</w:t>
            </w:r>
          </w:p>
        </w:tc>
        <w:tc>
          <w:tcPr>
            <w:tcW w:w="0" w:type="auto"/>
            <w:shd w:val="clear" w:color="auto" w:fill="auto"/>
            <w:vAlign w:val="center"/>
          </w:tcPr>
          <w:p w:rsidR="00341EC2" w:rsidRPr="007D2B92"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szCs w:val="20"/>
              </w:rPr>
              <w:t>(</w:t>
            </w:r>
            <w:r w:rsidRPr="007D2B92">
              <w:rPr>
                <w:i/>
                <w:szCs w:val="20"/>
              </w:rPr>
              <w:t>$</w:t>
            </w:r>
            <w:r w:rsidR="00346D40">
              <w:rPr>
                <w:i/>
                <w:noProof/>
                <w:color w:val="000000"/>
                <w:szCs w:val="20"/>
                <w:highlight w:val="black"/>
              </w:rPr>
              <w:t>''''''''''''''''''''''</w:t>
            </w:r>
            <w:r w:rsidRPr="007D2B92">
              <w:rPr>
                <w:i/>
                <w:szCs w:val="20"/>
              </w:rPr>
              <w:t>)</w:t>
            </w:r>
          </w:p>
        </w:tc>
        <w:tc>
          <w:tcPr>
            <w:tcW w:w="0" w:type="auto"/>
            <w:shd w:val="clear" w:color="auto" w:fill="auto"/>
            <w:vAlign w:val="center"/>
          </w:tcPr>
          <w:p w:rsidR="00341EC2" w:rsidRPr="007D2B92"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szCs w:val="20"/>
              </w:rPr>
              <w:t>(</w:t>
            </w:r>
            <w:r w:rsidRPr="007D2B92">
              <w:rPr>
                <w:i/>
                <w:szCs w:val="20"/>
              </w:rPr>
              <w:t>$</w:t>
            </w:r>
            <w:r w:rsidR="00346D40">
              <w:rPr>
                <w:i/>
                <w:noProof/>
                <w:color w:val="000000"/>
                <w:szCs w:val="20"/>
                <w:highlight w:val="black"/>
              </w:rPr>
              <w:t>'''''''''''''''''''''''''</w:t>
            </w:r>
            <w:r w:rsidRPr="007D2B92">
              <w:rPr>
                <w:i/>
                <w:szCs w:val="20"/>
              </w:rPr>
              <w:t>)</w:t>
            </w:r>
          </w:p>
        </w:tc>
        <w:tc>
          <w:tcPr>
            <w:tcW w:w="0" w:type="auto"/>
            <w:shd w:val="clear" w:color="auto" w:fill="auto"/>
            <w:vAlign w:val="center"/>
          </w:tcPr>
          <w:p w:rsidR="00341EC2" w:rsidRPr="007D2B92"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i/>
                <w:szCs w:val="20"/>
              </w:rPr>
              <w:t>($</w:t>
            </w:r>
            <w:r w:rsidR="00346D40">
              <w:rPr>
                <w:i/>
                <w:noProof/>
                <w:color w:val="000000"/>
                <w:szCs w:val="20"/>
                <w:highlight w:val="black"/>
              </w:rPr>
              <w:t>'''''''''''''''''''''''</w:t>
            </w:r>
            <w:r w:rsidRPr="007D2B92">
              <w:rPr>
                <w:szCs w:val="20"/>
              </w:rPr>
              <w:t>)</w:t>
            </w:r>
          </w:p>
        </w:tc>
        <w:tc>
          <w:tcPr>
            <w:tcW w:w="0" w:type="auto"/>
            <w:shd w:val="clear" w:color="auto" w:fill="auto"/>
            <w:vAlign w:val="center"/>
          </w:tcPr>
          <w:p w:rsidR="00341EC2" w:rsidRPr="00346D40" w:rsidRDefault="00341EC2" w:rsidP="00F0313D">
            <w:pPr>
              <w:pStyle w:val="TableText1"/>
              <w:keepNext/>
              <w:keepLines/>
              <w:spacing w:before="0" w:after="0"/>
              <w:jc w:val="center"/>
              <w:rPr>
                <w:rFonts w:ascii="Arial Narrow" w:hAnsi="Arial Narrow"/>
                <w:sz w:val="20"/>
                <w:szCs w:val="20"/>
              </w:rPr>
            </w:pPr>
            <w:r w:rsidRPr="007D2B92">
              <w:rPr>
                <w:rFonts w:ascii="Arial Narrow" w:hAnsi="Arial Narrow"/>
                <w:sz w:val="20"/>
                <w:szCs w:val="20"/>
              </w:rPr>
              <w:t>$</w:t>
            </w:r>
            <w:r w:rsidR="00346D40">
              <w:rPr>
                <w:rFonts w:ascii="Arial Narrow" w:hAnsi="Arial Narrow"/>
                <w:noProof/>
                <w:color w:val="000000"/>
                <w:sz w:val="20"/>
                <w:szCs w:val="20"/>
                <w:highlight w:val="black"/>
              </w:rPr>
              <w:t>''''''''''''''''''''''</w:t>
            </w:r>
          </w:p>
          <w:p w:rsidR="00341EC2" w:rsidRPr="007D2B92" w:rsidRDefault="00341EC2" w:rsidP="00F0313D">
            <w:pPr>
              <w:pStyle w:val="Tabletext"/>
              <w:keepNext/>
              <w:keepLines/>
              <w:jc w:val="center"/>
              <w:rPr>
                <w:bCs/>
                <w:color w:val="000000"/>
                <w:szCs w:val="20"/>
              </w:rPr>
            </w:pPr>
            <w:r w:rsidRPr="007D2B92">
              <w:rPr>
                <w:i/>
                <w:szCs w:val="20"/>
              </w:rPr>
              <w:t>($</w:t>
            </w:r>
            <w:r w:rsidR="00346D40">
              <w:rPr>
                <w:i/>
                <w:noProof/>
                <w:color w:val="000000"/>
                <w:szCs w:val="20"/>
                <w:highlight w:val="black"/>
              </w:rPr>
              <w:t>''''''''''''''''''''''''''</w:t>
            </w:r>
            <w:r w:rsidRPr="007D2B92">
              <w:rPr>
                <w:i/>
                <w:szCs w:val="20"/>
              </w:rPr>
              <w:t>)</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Cost to MBS (catch-up program)</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Cost to MBS (catch-up program) (addition dose for at-risk group)</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$0</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b/>
                <w:szCs w:val="20"/>
              </w:rPr>
              <w:t>Net cost to MBS</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
                <w:bCs/>
                <w:color w:val="000000"/>
                <w:szCs w:val="20"/>
              </w:rPr>
            </w:pPr>
            <w:r w:rsidRPr="007D2B92">
              <w:rPr>
                <w:b/>
                <w:szCs w:val="20"/>
              </w:rPr>
              <w:t>$</w:t>
            </w:r>
            <w:r w:rsidR="00346D40">
              <w:rPr>
                <w:b/>
                <w:noProof/>
                <w:color w:val="000000"/>
                <w:szCs w:val="20"/>
                <w:highlight w:val="black"/>
              </w:rPr>
              <w:t>'''''''''''''''''''''</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proofErr w:type="spellStart"/>
            <w:r w:rsidRPr="007D2B92">
              <w:rPr>
                <w:szCs w:val="20"/>
              </w:rPr>
              <w:t>Copayments</w:t>
            </w:r>
            <w:proofErr w:type="spellEnd"/>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c>
          <w:tcPr>
            <w:tcW w:w="0" w:type="auto"/>
            <w:vAlign w:val="center"/>
          </w:tcPr>
          <w:p w:rsidR="00341EC2" w:rsidRPr="007D2B92" w:rsidRDefault="00341EC2" w:rsidP="00F0313D">
            <w:pPr>
              <w:pStyle w:val="Tabletext"/>
              <w:keepNext/>
              <w:keepLines/>
              <w:jc w:val="center"/>
              <w:rPr>
                <w:bCs/>
                <w:color w:val="000000"/>
                <w:szCs w:val="20"/>
              </w:rPr>
            </w:pPr>
            <w:r w:rsidRPr="007D2B92">
              <w:rPr>
                <w:rFonts w:cs="Arial"/>
                <w:bCs/>
                <w:color w:val="000000"/>
                <w:szCs w:val="20"/>
              </w:rPr>
              <w:t>$0</w:t>
            </w:r>
          </w:p>
        </w:tc>
      </w:tr>
      <w:tr w:rsidR="00341EC2" w:rsidRPr="007D2B92" w:rsidTr="002F4FBF">
        <w:tc>
          <w:tcPr>
            <w:tcW w:w="0" w:type="auto"/>
            <w:gridSpan w:val="7"/>
            <w:shd w:val="clear" w:color="auto" w:fill="auto"/>
            <w:vAlign w:val="center"/>
          </w:tcPr>
          <w:p w:rsidR="00341EC2" w:rsidRPr="007D2B92" w:rsidRDefault="00341EC2" w:rsidP="00F0313D">
            <w:pPr>
              <w:pStyle w:val="Tabletext"/>
              <w:keepNext/>
              <w:keepLines/>
              <w:rPr>
                <w:b/>
                <w:bCs/>
                <w:color w:val="000000"/>
                <w:szCs w:val="20"/>
              </w:rPr>
            </w:pPr>
            <w:r w:rsidRPr="007D2B92">
              <w:rPr>
                <w:b/>
                <w:bCs/>
                <w:color w:val="000000"/>
                <w:szCs w:val="20"/>
              </w:rPr>
              <w:t>Net financial implications</w:t>
            </w:r>
            <w:r w:rsidRPr="007D2B92">
              <w:rPr>
                <w:b/>
                <w:bCs/>
                <w:color w:val="4BACC6" w:themeColor="accent5"/>
                <w:szCs w:val="20"/>
              </w:rPr>
              <w:t xml:space="preserve"> </w:t>
            </w:r>
          </w:p>
        </w:tc>
      </w:tr>
      <w:tr w:rsidR="00341EC2" w:rsidRPr="007D2B92" w:rsidTr="002F4FBF">
        <w:tc>
          <w:tcPr>
            <w:tcW w:w="0" w:type="auto"/>
            <w:shd w:val="clear" w:color="auto" w:fill="auto"/>
            <w:vAlign w:val="center"/>
          </w:tcPr>
          <w:p w:rsidR="00341EC2" w:rsidRPr="007D2B92" w:rsidRDefault="00341EC2" w:rsidP="00F0313D">
            <w:pPr>
              <w:pStyle w:val="Tabletext"/>
              <w:keepNext/>
              <w:keepLines/>
              <w:rPr>
                <w:szCs w:val="20"/>
              </w:rPr>
            </w:pPr>
            <w:r w:rsidRPr="007D2B92">
              <w:rPr>
                <w:szCs w:val="20"/>
              </w:rPr>
              <w:t>Net cost to the Australian Government health budget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rPr>
              <w:t>$</w:t>
            </w:r>
            <w:r w:rsidR="00346D40">
              <w:rPr>
                <w:noProof/>
                <w:color w:val="000000"/>
                <w:szCs w:val="20"/>
                <w:highlight w:val="black"/>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lang w:eastAsia="en-AU"/>
              </w:rPr>
              <w:t>$</w:t>
            </w:r>
            <w:r w:rsidR="00346D40">
              <w:rPr>
                <w:noProof/>
                <w:color w:val="000000"/>
                <w:szCs w:val="20"/>
                <w:highlight w:val="black"/>
                <w:lang w:eastAsia="en-AU"/>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lang w:eastAsia="en-AU"/>
              </w:rPr>
              <w:t>$</w:t>
            </w:r>
            <w:r w:rsidR="00346D40">
              <w:rPr>
                <w:noProof/>
                <w:color w:val="000000"/>
                <w:szCs w:val="20"/>
                <w:highlight w:val="black"/>
                <w:lang w:eastAsia="en-AU"/>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lang w:eastAsia="en-AU"/>
              </w:rPr>
              <w:t>$</w:t>
            </w:r>
            <w:r w:rsidR="00346D40">
              <w:rPr>
                <w:noProof/>
                <w:color w:val="000000"/>
                <w:szCs w:val="20"/>
                <w:highlight w:val="black"/>
                <w:lang w:eastAsia="en-AU"/>
              </w:rPr>
              <w:t>'''''''''''''''''''''''''''</w:t>
            </w:r>
          </w:p>
        </w:tc>
        <w:tc>
          <w:tcPr>
            <w:tcW w:w="0" w:type="auto"/>
            <w:shd w:val="clear" w:color="auto" w:fill="auto"/>
            <w:vAlign w:val="center"/>
          </w:tcPr>
          <w:p w:rsidR="00341EC2" w:rsidRPr="007D2B92" w:rsidRDefault="00341EC2" w:rsidP="00F0313D">
            <w:pPr>
              <w:pStyle w:val="Tabletext"/>
              <w:keepNext/>
              <w:keepLines/>
              <w:jc w:val="center"/>
              <w:rPr>
                <w:bCs/>
                <w:color w:val="000000"/>
                <w:szCs w:val="20"/>
              </w:rPr>
            </w:pPr>
            <w:r w:rsidRPr="007D2B92">
              <w:rPr>
                <w:szCs w:val="20"/>
                <w:lang w:eastAsia="en-AU"/>
              </w:rPr>
              <w:t>$</w:t>
            </w:r>
            <w:r w:rsidR="00346D40">
              <w:rPr>
                <w:noProof/>
                <w:color w:val="000000"/>
                <w:szCs w:val="20"/>
                <w:highlight w:val="black"/>
                <w:lang w:eastAsia="en-AU"/>
              </w:rPr>
              <w:t>'''''''''''''''''''''''''</w:t>
            </w:r>
          </w:p>
        </w:tc>
        <w:tc>
          <w:tcPr>
            <w:tcW w:w="0" w:type="auto"/>
            <w:vAlign w:val="center"/>
          </w:tcPr>
          <w:p w:rsidR="00341EC2" w:rsidRPr="007D2B92" w:rsidRDefault="00341EC2" w:rsidP="00F0313D">
            <w:pPr>
              <w:pStyle w:val="Tabletext"/>
              <w:keepNext/>
              <w:keepLines/>
              <w:rPr>
                <w:bCs/>
                <w:color w:val="000000"/>
                <w:szCs w:val="20"/>
              </w:rPr>
            </w:pPr>
            <w:r w:rsidRPr="007D2B92">
              <w:rPr>
                <w:szCs w:val="20"/>
                <w:lang w:eastAsia="en-AU"/>
              </w:rPr>
              <w:t>$</w:t>
            </w:r>
            <w:r w:rsidR="00346D40">
              <w:rPr>
                <w:noProof/>
                <w:color w:val="000000"/>
                <w:szCs w:val="20"/>
                <w:highlight w:val="black"/>
                <w:lang w:eastAsia="en-AU"/>
              </w:rPr>
              <w:t>''''''''''''''''''''''''''''</w:t>
            </w:r>
          </w:p>
        </w:tc>
      </w:tr>
    </w:tbl>
    <w:p w:rsidR="00CE3EEA" w:rsidRPr="007D2B92" w:rsidRDefault="00CE3EEA" w:rsidP="00F0313D">
      <w:pPr>
        <w:keepNext/>
        <w:keepLines/>
        <w:widowControl/>
        <w:rPr>
          <w:rFonts w:ascii="Arial Narrow" w:hAnsi="Arial Narrow"/>
          <w:sz w:val="18"/>
          <w:szCs w:val="18"/>
        </w:rPr>
      </w:pPr>
      <w:r w:rsidRPr="007D2B92">
        <w:rPr>
          <w:rFonts w:ascii="Arial Narrow" w:hAnsi="Arial Narrow"/>
          <w:sz w:val="18"/>
          <w:szCs w:val="18"/>
        </w:rPr>
        <w:t>NIP: National Immunisation Program, GP: general practitioner</w:t>
      </w:r>
    </w:p>
    <w:p w:rsidR="00B252F8" w:rsidRPr="007D2B92" w:rsidRDefault="00B252F8" w:rsidP="00F0313D">
      <w:pPr>
        <w:pStyle w:val="Bulletpoints"/>
        <w:keepNext/>
        <w:keepLines/>
        <w:widowControl/>
        <w:numPr>
          <w:ilvl w:val="0"/>
          <w:numId w:val="0"/>
        </w:numPr>
        <w:jc w:val="left"/>
        <w:rPr>
          <w:rFonts w:ascii="Arial Narrow" w:hAnsi="Arial Narrow"/>
          <w:sz w:val="18"/>
          <w:szCs w:val="18"/>
        </w:rPr>
      </w:pPr>
      <w:r w:rsidRPr="007D2B92">
        <w:rPr>
          <w:rFonts w:ascii="Arial Narrow" w:hAnsi="Arial Narrow"/>
          <w:sz w:val="18"/>
          <w:szCs w:val="18"/>
        </w:rPr>
        <w:t xml:space="preserve">Source: compiled during the evaluation based on Section 4 Worksheet and Table 4.8, p169 of the </w:t>
      </w:r>
      <w:r w:rsidR="000A2141" w:rsidRPr="007D2B92">
        <w:rPr>
          <w:rFonts w:ascii="Arial Narrow" w:hAnsi="Arial Narrow"/>
          <w:sz w:val="18"/>
          <w:szCs w:val="18"/>
        </w:rPr>
        <w:t>submission,</w:t>
      </w:r>
      <w:r w:rsidRPr="007D2B92">
        <w:rPr>
          <w:rFonts w:ascii="Arial Narrow" w:hAnsi="Arial Narrow"/>
          <w:sz w:val="18"/>
          <w:szCs w:val="18"/>
        </w:rPr>
        <w:t xml:space="preserve"> Table 4.9, p171 of the submission Table 4.5.3, p216 of the submission. </w:t>
      </w:r>
    </w:p>
    <w:p w:rsidR="00CC6BB6" w:rsidRPr="007D2B92" w:rsidRDefault="00CC71BA" w:rsidP="005157D9">
      <w:pPr>
        <w:pStyle w:val="ListParagraph"/>
        <w:widowControl/>
        <w:numPr>
          <w:ilvl w:val="1"/>
          <w:numId w:val="1"/>
        </w:numPr>
        <w:spacing w:after="120"/>
      </w:pPr>
      <w:r w:rsidRPr="007D2B92">
        <w:lastRenderedPageBreak/>
        <w:t xml:space="preserve">At year 5, the estimated number of </w:t>
      </w:r>
      <w:r w:rsidR="00AE6EFA" w:rsidRPr="007D2B92">
        <w:t>doses of</w:t>
      </w:r>
      <w:r w:rsidRPr="007D2B92">
        <w:t xml:space="preserve"> </w:t>
      </w:r>
      <w:proofErr w:type="spellStart"/>
      <w:r w:rsidRPr="007D2B92">
        <w:t>MenACWY</w:t>
      </w:r>
      <w:proofErr w:type="spellEnd"/>
      <w:r w:rsidRPr="007D2B92">
        <w:t xml:space="preserve">-CRM vaccine </w:t>
      </w:r>
      <w:r w:rsidR="00AE6EFA" w:rsidRPr="007D2B92">
        <w:t xml:space="preserve">administered </w:t>
      </w:r>
      <w:r w:rsidRPr="007D2B92">
        <w:t xml:space="preserve">was </w:t>
      </w:r>
      <w:r w:rsidR="00A770CE">
        <w:t>over 200,000</w:t>
      </w:r>
      <w:r w:rsidR="005157D9">
        <w:t xml:space="preserve"> </w:t>
      </w:r>
      <w:r w:rsidRPr="007D2B92">
        <w:t xml:space="preserve">and the net cost to the NIP would be </w:t>
      </w:r>
      <w:r w:rsidR="00A770CE" w:rsidRPr="00A770CE">
        <w:t>less than $10 million</w:t>
      </w:r>
      <w:r w:rsidRPr="007D2B92">
        <w:t>.</w:t>
      </w:r>
      <w:r w:rsidR="00AE6EFA" w:rsidRPr="007D2B92">
        <w:t xml:space="preserve"> At year 1, which included the proposed catch-up program, the estimated number of doses of </w:t>
      </w:r>
      <w:proofErr w:type="spellStart"/>
      <w:r w:rsidR="00AE6EFA" w:rsidRPr="007D2B92">
        <w:t>MenACWY</w:t>
      </w:r>
      <w:proofErr w:type="spellEnd"/>
      <w:r w:rsidR="00AE6EFA" w:rsidRPr="007D2B92">
        <w:t xml:space="preserve">-CRM vaccine administered was </w:t>
      </w:r>
      <w:r w:rsidR="005157D9" w:rsidRPr="005157D9">
        <w:t>over 200,000</w:t>
      </w:r>
      <w:r w:rsidR="005157D9">
        <w:t xml:space="preserve"> </w:t>
      </w:r>
      <w:r w:rsidR="00AE6EFA" w:rsidRPr="007D2B92">
        <w:t xml:space="preserve">and the net cost to the NIP would be </w:t>
      </w:r>
      <w:r w:rsidR="005157D9" w:rsidRPr="005157D9">
        <w:t>$10 – $20 million</w:t>
      </w:r>
      <w:r w:rsidR="00AE6EFA" w:rsidRPr="007D2B92">
        <w:t>.</w:t>
      </w:r>
      <w:r w:rsidR="00AE6EFA" w:rsidRPr="007D2B92" w:rsidDel="00AE6EFA">
        <w:t xml:space="preserve"> </w:t>
      </w:r>
      <w:r w:rsidR="00AE6EFA" w:rsidRPr="007D2B92">
        <w:t>These estimates included the cost of the additional dose administered to at-risk groups.</w:t>
      </w:r>
    </w:p>
    <w:p w:rsidR="00AF2CD4" w:rsidRPr="007D2B92" w:rsidRDefault="00842D59" w:rsidP="007D4B83">
      <w:pPr>
        <w:pStyle w:val="ListParagraph"/>
        <w:numPr>
          <w:ilvl w:val="1"/>
          <w:numId w:val="1"/>
        </w:numPr>
        <w:spacing w:after="120"/>
      </w:pPr>
      <w:r w:rsidRPr="007D2B92">
        <w:t>The</w:t>
      </w:r>
      <w:r w:rsidR="00CA4214" w:rsidRPr="007D2B92">
        <w:t xml:space="preserve"> uptake rates are uncertain</w:t>
      </w:r>
      <w:r w:rsidRPr="007D2B92">
        <w:t>.</w:t>
      </w:r>
    </w:p>
    <w:p w:rsidR="00AE6EFA" w:rsidRDefault="009F539D" w:rsidP="00ED236B">
      <w:pPr>
        <w:pStyle w:val="ListParagraph"/>
        <w:numPr>
          <w:ilvl w:val="1"/>
          <w:numId w:val="1"/>
        </w:numPr>
        <w:spacing w:after="0"/>
      </w:pPr>
      <w:r w:rsidRPr="007D2B92">
        <w:t xml:space="preserve">The </w:t>
      </w:r>
      <w:r w:rsidR="00D92BE6" w:rsidRPr="007D2B92">
        <w:t xml:space="preserve">evaluation </w:t>
      </w:r>
      <w:r w:rsidR="00AE6EFA" w:rsidRPr="007D2B92">
        <w:t>questioned</w:t>
      </w:r>
      <w:r w:rsidR="00AE6EFA" w:rsidRPr="007D2B92">
        <w:rPr>
          <w:i/>
        </w:rPr>
        <w:t xml:space="preserve"> </w:t>
      </w:r>
      <w:r w:rsidRPr="007D2B92">
        <w:t xml:space="preserve">whether a booster </w:t>
      </w:r>
      <w:r w:rsidR="00D92BE6" w:rsidRPr="007D2B92">
        <w:t xml:space="preserve">would </w:t>
      </w:r>
      <w:r w:rsidRPr="007D2B92">
        <w:t xml:space="preserve">be required if the </w:t>
      </w:r>
      <w:proofErr w:type="spellStart"/>
      <w:r w:rsidRPr="007D2B92">
        <w:t>MenACWY</w:t>
      </w:r>
      <w:proofErr w:type="spellEnd"/>
      <w:r w:rsidRPr="007D2B92">
        <w:t>-CRM vaccine is found to have poor persistence, such that it does not cover the full 15</w:t>
      </w:r>
      <w:r w:rsidRPr="007D2B92">
        <w:noBreakHyphen/>
        <w:t>24 year old time span.</w:t>
      </w:r>
      <w:r w:rsidR="00CF2C0D" w:rsidRPr="007D2B92">
        <w:t xml:space="preserve"> </w:t>
      </w:r>
      <w:r w:rsidR="00475FD4" w:rsidRPr="007D2B92">
        <w:t xml:space="preserve">The PSCR stated that the persistence data suggested maintenance of effect for at least 5 years and stated that the need for a booster should also consider the need for direct protection as identified by burden of disease. </w:t>
      </w:r>
      <w:r w:rsidR="00DE65F9" w:rsidRPr="007D2B92">
        <w:t xml:space="preserve">The ESC noted that in the United States </w:t>
      </w:r>
      <w:proofErr w:type="spellStart"/>
      <w:r w:rsidR="00DE65F9" w:rsidRPr="007D2B92">
        <w:t>MenACWY</w:t>
      </w:r>
      <w:proofErr w:type="spellEnd"/>
      <w:r w:rsidR="00DE65F9" w:rsidRPr="007D2B92">
        <w:t xml:space="preserve"> is given to adolescents at 11-12 years of age with a booster recommended at 16 years</w:t>
      </w:r>
      <w:r w:rsidR="00DE65F9" w:rsidRPr="007D2B92">
        <w:rPr>
          <w:rStyle w:val="FootnoteReference"/>
        </w:rPr>
        <w:footnoteReference w:id="11"/>
      </w:r>
      <w:r w:rsidR="00DE65F9" w:rsidRPr="007D2B92">
        <w:t>.</w:t>
      </w:r>
      <w:r w:rsidR="00AE6EFA" w:rsidRPr="007D2B92">
        <w:rPr>
          <w:i/>
        </w:rPr>
        <w:t xml:space="preserve"> </w:t>
      </w:r>
      <w:r w:rsidR="00AE6EFA" w:rsidRPr="007D2B92">
        <w:t xml:space="preserve">The Australian Immunisation Handbook also recommends that the at-risk patient population receive a booster dose every 5 years after the previous dose of </w:t>
      </w:r>
      <w:proofErr w:type="spellStart"/>
      <w:r w:rsidR="00AE6EFA" w:rsidRPr="007D2B92">
        <w:t>MenACWY</w:t>
      </w:r>
      <w:proofErr w:type="spellEnd"/>
      <w:r w:rsidR="00AE6EFA" w:rsidRPr="007D2B92">
        <w:t>. The submission did not include a request for these booster doses.</w:t>
      </w:r>
    </w:p>
    <w:p w:rsidR="00ED236B" w:rsidRPr="007D2B92" w:rsidRDefault="00ED236B" w:rsidP="00ED236B">
      <w:pPr>
        <w:pStyle w:val="ListParagraph"/>
        <w:spacing w:after="0"/>
      </w:pPr>
    </w:p>
    <w:p w:rsidR="00576972" w:rsidRPr="007D2B92" w:rsidRDefault="00576972" w:rsidP="00ED236B">
      <w:pPr>
        <w:pStyle w:val="Heading2"/>
        <w:spacing w:after="120"/>
        <w:rPr>
          <w:i w:val="0"/>
        </w:rPr>
      </w:pPr>
      <w:bookmarkStart w:id="15" w:name="_Toc515358812"/>
      <w:r w:rsidRPr="007D2B92">
        <w:rPr>
          <w:i w:val="0"/>
        </w:rPr>
        <w:t>Quality Use of Medicines</w:t>
      </w:r>
      <w:bookmarkEnd w:id="15"/>
    </w:p>
    <w:p w:rsidR="0081361C" w:rsidRPr="007D2B92" w:rsidRDefault="0081361C" w:rsidP="004E2FE6">
      <w:pPr>
        <w:pStyle w:val="ListParagraph"/>
        <w:widowControl/>
        <w:numPr>
          <w:ilvl w:val="1"/>
          <w:numId w:val="1"/>
        </w:numPr>
        <w:spacing w:after="120"/>
      </w:pPr>
      <w:r w:rsidRPr="007D2B92">
        <w:t xml:space="preserve">The submission did not present any concerns in relation to the quality use of medicine. </w:t>
      </w:r>
    </w:p>
    <w:p w:rsidR="0081361C" w:rsidRPr="007D2B92" w:rsidRDefault="0081361C" w:rsidP="004E2FE6">
      <w:pPr>
        <w:pStyle w:val="ListParagraph"/>
        <w:widowControl/>
        <w:numPr>
          <w:ilvl w:val="1"/>
          <w:numId w:val="1"/>
        </w:numPr>
        <w:spacing w:after="120"/>
      </w:pPr>
      <w:r w:rsidRPr="007D2B92">
        <w:t>ATAGI noted that considerable health professional and consumer education is required given that this is a new vaccine to be listed on the NIP. Additionally, significant public communication strategies would be required to make adolescents who have left school</w:t>
      </w:r>
      <w:r w:rsidR="008B11C0" w:rsidRPr="007D2B92">
        <w:t>,</w:t>
      </w:r>
      <w:r w:rsidRPr="007D2B92">
        <w:t xml:space="preserve"> or otherwise missed the school dose</w:t>
      </w:r>
      <w:r w:rsidR="008B11C0" w:rsidRPr="007D2B92">
        <w:t>,</w:t>
      </w:r>
      <w:r w:rsidRPr="007D2B92">
        <w:t xml:space="preserve"> aware of the need for and availability of vaccination in order to achieve good coverage (ATAGI pre-</w:t>
      </w:r>
      <w:r w:rsidR="002F4FBF" w:rsidRPr="007D2B92">
        <w:t>submission a</w:t>
      </w:r>
      <w:r w:rsidRPr="007D2B92">
        <w:t>dvice 2018).</w:t>
      </w:r>
    </w:p>
    <w:p w:rsidR="0081361C" w:rsidRPr="007D2B92" w:rsidRDefault="0081361C" w:rsidP="004E2FE6">
      <w:pPr>
        <w:pStyle w:val="ListParagraph"/>
        <w:widowControl/>
        <w:numPr>
          <w:ilvl w:val="1"/>
          <w:numId w:val="1"/>
        </w:numPr>
        <w:spacing w:after="120"/>
      </w:pPr>
      <w:r w:rsidRPr="007D2B92">
        <w:t>Concerns requiring addressing via health professional and parent education should include:</w:t>
      </w:r>
    </w:p>
    <w:p w:rsidR="0081361C" w:rsidRPr="007D2B92" w:rsidRDefault="0081361C" w:rsidP="004E2FE6">
      <w:pPr>
        <w:pStyle w:val="ListParagraph"/>
        <w:widowControl/>
        <w:numPr>
          <w:ilvl w:val="0"/>
          <w:numId w:val="5"/>
        </w:numPr>
        <w:spacing w:after="120"/>
      </w:pPr>
      <w:r w:rsidRPr="007D2B92">
        <w:t xml:space="preserve">Difference between the current </w:t>
      </w:r>
      <w:proofErr w:type="spellStart"/>
      <w:r w:rsidRPr="007D2B92">
        <w:t>MenC</w:t>
      </w:r>
      <w:proofErr w:type="spellEnd"/>
      <w:r w:rsidRPr="007D2B92">
        <w:t xml:space="preserve"> vaccine and the </w:t>
      </w:r>
      <w:proofErr w:type="spellStart"/>
      <w:r w:rsidRPr="007D2B92">
        <w:t>MenACWY</w:t>
      </w:r>
      <w:proofErr w:type="spellEnd"/>
      <w:r w:rsidRPr="007D2B92">
        <w:t>-CRM vaccine;</w:t>
      </w:r>
    </w:p>
    <w:p w:rsidR="0081361C" w:rsidRPr="007D2B92" w:rsidRDefault="0081361C" w:rsidP="004E2FE6">
      <w:pPr>
        <w:pStyle w:val="ListParagraph"/>
        <w:widowControl/>
        <w:numPr>
          <w:ilvl w:val="0"/>
          <w:numId w:val="5"/>
        </w:numPr>
        <w:spacing w:after="120"/>
      </w:pPr>
      <w:r w:rsidRPr="007D2B92">
        <w:t>Targeted education programs for Aboriginal and Torres Strait Islander populations – including health workers, health professionals, community elders and community members.</w:t>
      </w:r>
    </w:p>
    <w:p w:rsidR="002F4FBF" w:rsidRPr="007D2B92" w:rsidRDefault="0081361C" w:rsidP="004E2FE6">
      <w:pPr>
        <w:pStyle w:val="ListParagraph"/>
        <w:widowControl/>
        <w:numPr>
          <w:ilvl w:val="1"/>
          <w:numId w:val="1"/>
        </w:numPr>
        <w:spacing w:after="120"/>
      </w:pPr>
      <w:r w:rsidRPr="007D2B92">
        <w:t xml:space="preserve">ATAGI recommended a review of the </w:t>
      </w:r>
      <w:proofErr w:type="spellStart"/>
      <w:r w:rsidR="00CF2C0D" w:rsidRPr="007D2B92">
        <w:t>MenACWY</w:t>
      </w:r>
      <w:proofErr w:type="spellEnd"/>
      <w:r w:rsidR="00CF2C0D" w:rsidRPr="007D2B92">
        <w:t xml:space="preserve">-CRM </w:t>
      </w:r>
      <w:r w:rsidRPr="007D2B92">
        <w:t>vaccination program 5 years after implementation (</w:t>
      </w:r>
      <w:r w:rsidRPr="007D2B92">
        <w:rPr>
          <w:lang w:eastAsia="zh-CN"/>
        </w:rPr>
        <w:t>ATAGI pre-submission advice 2018</w:t>
      </w:r>
      <w:r w:rsidRPr="007D2B92">
        <w:t>)</w:t>
      </w:r>
      <w:r w:rsidR="00CF2C0D" w:rsidRPr="007D2B92">
        <w:t xml:space="preserve">. This would </w:t>
      </w:r>
      <w:r w:rsidR="00CF2C0D" w:rsidRPr="007D2B92">
        <w:lastRenderedPageBreak/>
        <w:t xml:space="preserve">help inform whether a booster is required if the </w:t>
      </w:r>
      <w:proofErr w:type="spellStart"/>
      <w:r w:rsidR="00CF2C0D" w:rsidRPr="007D2B92">
        <w:t>MenACWY</w:t>
      </w:r>
      <w:proofErr w:type="spellEnd"/>
      <w:r w:rsidR="00CF2C0D" w:rsidRPr="007D2B92">
        <w:noBreakHyphen/>
        <w:t>CRM vaccine is found to have poor persistence, such that it does not cover the full 15-24 year old time span.</w:t>
      </w:r>
    </w:p>
    <w:p w:rsidR="007B3E63" w:rsidRPr="007D2B92" w:rsidRDefault="009835BA" w:rsidP="007B3E63">
      <w:pPr>
        <w:ind w:left="709"/>
        <w:rPr>
          <w:i/>
        </w:rPr>
      </w:pPr>
      <w:r w:rsidRPr="007D2B92">
        <w:rPr>
          <w:i/>
        </w:rPr>
        <w:t>For more detail on PBAC’s view, see section 7 PBAC outcome.</w:t>
      </w:r>
    </w:p>
    <w:p w:rsidR="00D755B5" w:rsidRPr="007D2B92" w:rsidRDefault="00D755B5" w:rsidP="00AC4F30">
      <w:pPr>
        <w:pStyle w:val="PBACHeading1"/>
        <w:numPr>
          <w:ilvl w:val="0"/>
          <w:numId w:val="1"/>
        </w:numPr>
        <w:spacing w:before="240" w:after="120"/>
        <w:outlineLvl w:val="0"/>
      </w:pPr>
      <w:r w:rsidRPr="007D2B92">
        <w:t>PBAC Outcome</w:t>
      </w:r>
    </w:p>
    <w:p w:rsidR="00F7726D" w:rsidRPr="007D2B92" w:rsidRDefault="003B2872" w:rsidP="005001F3">
      <w:pPr>
        <w:widowControl/>
        <w:numPr>
          <w:ilvl w:val="1"/>
          <w:numId w:val="1"/>
        </w:numPr>
        <w:spacing w:after="120"/>
        <w:rPr>
          <w:rFonts w:asciiTheme="minorHAnsi" w:hAnsiTheme="minorHAnsi" w:cstheme="minorHAnsi"/>
          <w:bCs/>
          <w:szCs w:val="24"/>
        </w:rPr>
      </w:pPr>
      <w:r w:rsidRPr="007D2B92">
        <w:rPr>
          <w:rFonts w:asciiTheme="minorHAnsi" w:hAnsiTheme="minorHAnsi" w:cstheme="minorHAnsi"/>
          <w:bCs/>
          <w:szCs w:val="24"/>
        </w:rPr>
        <w:t>The PBAC recommended that meningococcal serogroups A, C, W135 and Y oligosaccharides conjugate (</w:t>
      </w:r>
      <w:proofErr w:type="spellStart"/>
      <w:r w:rsidRPr="007D2B92">
        <w:rPr>
          <w:rFonts w:asciiTheme="minorHAnsi" w:hAnsiTheme="minorHAnsi" w:cstheme="minorHAnsi"/>
          <w:bCs/>
          <w:szCs w:val="24"/>
        </w:rPr>
        <w:t>MenACWY</w:t>
      </w:r>
      <w:proofErr w:type="spellEnd"/>
      <w:r w:rsidRPr="007D2B92">
        <w:rPr>
          <w:rFonts w:asciiTheme="minorHAnsi" w:hAnsiTheme="minorHAnsi" w:cstheme="minorHAnsi"/>
          <w:bCs/>
          <w:szCs w:val="24"/>
        </w:rPr>
        <w:t>-CRM</w:t>
      </w:r>
      <w:r w:rsidR="002A5792" w:rsidRPr="007D2B92">
        <w:rPr>
          <w:rFonts w:asciiTheme="minorHAnsi" w:hAnsiTheme="minorHAnsi" w:cstheme="minorHAnsi"/>
          <w:bCs/>
          <w:szCs w:val="24"/>
        </w:rPr>
        <w:t xml:space="preserve">, </w:t>
      </w:r>
      <w:proofErr w:type="spellStart"/>
      <w:r w:rsidR="002A5792" w:rsidRPr="007D2B92">
        <w:rPr>
          <w:rFonts w:asciiTheme="minorHAnsi" w:hAnsiTheme="minorHAnsi" w:cstheme="minorHAnsi"/>
          <w:bCs/>
          <w:szCs w:val="24"/>
        </w:rPr>
        <w:t>Menveo</w:t>
      </w:r>
      <w:proofErr w:type="spellEnd"/>
      <w:r w:rsidR="002A5792" w:rsidRPr="007D2B92">
        <w:rPr>
          <w:rFonts w:asciiTheme="minorHAnsi" w:hAnsiTheme="minorHAnsi" w:cstheme="minorHAnsi"/>
          <w:bCs/>
          <w:szCs w:val="24"/>
        </w:rPr>
        <w:t>®</w:t>
      </w:r>
      <w:r w:rsidRPr="007D2B92">
        <w:rPr>
          <w:rFonts w:asciiTheme="minorHAnsi" w:hAnsiTheme="minorHAnsi" w:cstheme="minorHAnsi"/>
          <w:bCs/>
          <w:szCs w:val="24"/>
        </w:rPr>
        <w:t xml:space="preserve">) vaccine be a designated vaccine for the purposes of the </w:t>
      </w:r>
      <w:r w:rsidR="0017446B" w:rsidRPr="007D2B92">
        <w:rPr>
          <w:rFonts w:asciiTheme="minorHAnsi" w:hAnsiTheme="minorHAnsi" w:cstheme="minorHAnsi"/>
          <w:bCs/>
          <w:szCs w:val="24"/>
        </w:rPr>
        <w:t>Act</w:t>
      </w:r>
      <w:r w:rsidRPr="007D2B92">
        <w:rPr>
          <w:rFonts w:asciiTheme="minorHAnsi" w:hAnsiTheme="minorHAnsi" w:cstheme="minorHAnsi"/>
          <w:bCs/>
          <w:szCs w:val="24"/>
        </w:rPr>
        <w:t xml:space="preserve"> for the prevention of IMD caused by Neisseria </w:t>
      </w:r>
      <w:proofErr w:type="spellStart"/>
      <w:r w:rsidRPr="007D2B92">
        <w:rPr>
          <w:rFonts w:asciiTheme="minorHAnsi" w:hAnsiTheme="minorHAnsi" w:cstheme="minorHAnsi"/>
          <w:bCs/>
          <w:szCs w:val="24"/>
        </w:rPr>
        <w:t>meningitidis</w:t>
      </w:r>
      <w:proofErr w:type="spellEnd"/>
      <w:r w:rsidRPr="007D2B92">
        <w:rPr>
          <w:rFonts w:asciiTheme="minorHAnsi" w:hAnsiTheme="minorHAnsi" w:cstheme="minorHAnsi"/>
          <w:bCs/>
          <w:szCs w:val="24"/>
        </w:rPr>
        <w:t xml:space="preserve"> serogroups A, C, W135, and Y (</w:t>
      </w:r>
      <w:proofErr w:type="spellStart"/>
      <w:r w:rsidRPr="007D2B92">
        <w:rPr>
          <w:rFonts w:asciiTheme="minorHAnsi" w:hAnsiTheme="minorHAnsi" w:cstheme="minorHAnsi"/>
          <w:bCs/>
          <w:szCs w:val="24"/>
        </w:rPr>
        <w:t>MenA</w:t>
      </w:r>
      <w:proofErr w:type="spellEnd"/>
      <w:r w:rsidRPr="007D2B92">
        <w:rPr>
          <w:rFonts w:asciiTheme="minorHAnsi" w:hAnsiTheme="minorHAnsi" w:cstheme="minorHAnsi"/>
          <w:bCs/>
          <w:szCs w:val="24"/>
        </w:rPr>
        <w:t xml:space="preserve">, </w:t>
      </w:r>
      <w:proofErr w:type="spellStart"/>
      <w:r w:rsidRPr="007D2B92">
        <w:rPr>
          <w:rFonts w:asciiTheme="minorHAnsi" w:hAnsiTheme="minorHAnsi" w:cstheme="minorHAnsi"/>
          <w:bCs/>
          <w:szCs w:val="24"/>
        </w:rPr>
        <w:t>MenC</w:t>
      </w:r>
      <w:proofErr w:type="spellEnd"/>
      <w:r w:rsidRPr="007D2B92">
        <w:rPr>
          <w:rFonts w:asciiTheme="minorHAnsi" w:hAnsiTheme="minorHAnsi" w:cstheme="minorHAnsi"/>
          <w:bCs/>
          <w:szCs w:val="24"/>
        </w:rPr>
        <w:t xml:space="preserve">, MenW135 and </w:t>
      </w:r>
      <w:proofErr w:type="spellStart"/>
      <w:r w:rsidRPr="007D2B92">
        <w:rPr>
          <w:rFonts w:asciiTheme="minorHAnsi" w:hAnsiTheme="minorHAnsi" w:cstheme="minorHAnsi"/>
          <w:bCs/>
          <w:szCs w:val="24"/>
        </w:rPr>
        <w:t>MenY</w:t>
      </w:r>
      <w:proofErr w:type="spellEnd"/>
      <w:r w:rsidRPr="007D2B92">
        <w:rPr>
          <w:rFonts w:asciiTheme="minorHAnsi" w:hAnsiTheme="minorHAnsi" w:cstheme="minorHAnsi"/>
          <w:bCs/>
          <w:szCs w:val="24"/>
        </w:rPr>
        <w:t>, respectively)</w:t>
      </w:r>
      <w:r w:rsidR="00046549" w:rsidRPr="007D2B92">
        <w:rPr>
          <w:rFonts w:asciiTheme="minorHAnsi" w:hAnsiTheme="minorHAnsi" w:cstheme="minorHAnsi"/>
          <w:bCs/>
          <w:szCs w:val="24"/>
        </w:rPr>
        <w:t xml:space="preserve"> as a single dose for </w:t>
      </w:r>
      <w:r w:rsidRPr="007D2B92">
        <w:rPr>
          <w:rFonts w:asciiTheme="minorHAnsi" w:hAnsiTheme="minorHAnsi" w:cstheme="minorHAnsi"/>
          <w:bCs/>
          <w:szCs w:val="24"/>
        </w:rPr>
        <w:t xml:space="preserve">adolescents as part of a school based immunisation program for year 10 students (aged 14-16) and via a catch-up program for </w:t>
      </w:r>
      <w:r w:rsidR="00046549" w:rsidRPr="007D2B92">
        <w:rPr>
          <w:rFonts w:asciiTheme="minorHAnsi" w:hAnsiTheme="minorHAnsi" w:cstheme="minorHAnsi"/>
          <w:bCs/>
          <w:szCs w:val="24"/>
        </w:rPr>
        <w:t xml:space="preserve">a single dose for </w:t>
      </w:r>
      <w:r w:rsidRPr="007D2B92">
        <w:rPr>
          <w:rFonts w:asciiTheme="minorHAnsi" w:hAnsiTheme="minorHAnsi" w:cstheme="minorHAnsi"/>
          <w:bCs/>
          <w:szCs w:val="24"/>
        </w:rPr>
        <w:t>adole</w:t>
      </w:r>
      <w:r w:rsidR="006D2581" w:rsidRPr="007D2B92">
        <w:rPr>
          <w:rFonts w:asciiTheme="minorHAnsi" w:hAnsiTheme="minorHAnsi" w:cstheme="minorHAnsi"/>
          <w:bCs/>
          <w:szCs w:val="24"/>
        </w:rPr>
        <w:t>s</w:t>
      </w:r>
      <w:r w:rsidRPr="007D2B92">
        <w:rPr>
          <w:rFonts w:asciiTheme="minorHAnsi" w:hAnsiTheme="minorHAnsi" w:cstheme="minorHAnsi"/>
          <w:bCs/>
          <w:szCs w:val="24"/>
        </w:rPr>
        <w:t xml:space="preserve">cents aged up to 19 years old. </w:t>
      </w:r>
      <w:r w:rsidR="00B467BB" w:rsidRPr="007D2B92">
        <w:rPr>
          <w:rFonts w:asciiTheme="minorHAnsi" w:hAnsiTheme="minorHAnsi" w:cstheme="minorHAnsi"/>
          <w:bCs/>
          <w:szCs w:val="24"/>
        </w:rPr>
        <w:t xml:space="preserve">The recommendation </w:t>
      </w:r>
      <w:r w:rsidR="008B11C0" w:rsidRPr="007D2B92">
        <w:rPr>
          <w:rFonts w:asciiTheme="minorHAnsi" w:hAnsiTheme="minorHAnsi" w:cstheme="minorHAnsi"/>
          <w:bCs/>
          <w:szCs w:val="24"/>
        </w:rPr>
        <w:t>w</w:t>
      </w:r>
      <w:r w:rsidR="00B467BB" w:rsidRPr="007D2B92">
        <w:rPr>
          <w:rFonts w:asciiTheme="minorHAnsi" w:hAnsiTheme="minorHAnsi" w:cstheme="minorHAnsi"/>
          <w:bCs/>
          <w:szCs w:val="24"/>
        </w:rPr>
        <w:t xml:space="preserve">as made on a cost-minimisation basis to meningococcal polysaccharide serogroups A, C, W135 and Y </w:t>
      </w:r>
      <w:r w:rsidR="005001F3" w:rsidRPr="007D2B92">
        <w:rPr>
          <w:rFonts w:asciiTheme="minorHAnsi" w:hAnsiTheme="minorHAnsi" w:cstheme="minorHAnsi"/>
          <w:bCs/>
          <w:szCs w:val="24"/>
        </w:rPr>
        <w:t xml:space="preserve">tetanus toxoid </w:t>
      </w:r>
      <w:r w:rsidR="00B467BB" w:rsidRPr="007D2B92">
        <w:rPr>
          <w:rFonts w:asciiTheme="minorHAnsi" w:hAnsiTheme="minorHAnsi" w:cstheme="minorHAnsi"/>
          <w:bCs/>
          <w:szCs w:val="24"/>
        </w:rPr>
        <w:t>conjugate vaccine (</w:t>
      </w:r>
      <w:proofErr w:type="spellStart"/>
      <w:r w:rsidR="00B467BB" w:rsidRPr="007D2B92">
        <w:rPr>
          <w:rFonts w:asciiTheme="minorHAnsi" w:hAnsiTheme="minorHAnsi" w:cstheme="minorHAnsi"/>
          <w:bCs/>
          <w:szCs w:val="24"/>
        </w:rPr>
        <w:t>MenACWY</w:t>
      </w:r>
      <w:proofErr w:type="spellEnd"/>
      <w:r w:rsidR="00B467BB" w:rsidRPr="007D2B92">
        <w:rPr>
          <w:rFonts w:asciiTheme="minorHAnsi" w:hAnsiTheme="minorHAnsi" w:cstheme="minorHAnsi"/>
          <w:bCs/>
          <w:szCs w:val="24"/>
        </w:rPr>
        <w:t xml:space="preserve">-TT, </w:t>
      </w:r>
      <w:proofErr w:type="spellStart"/>
      <w:r w:rsidR="00B467BB" w:rsidRPr="007D2B92">
        <w:rPr>
          <w:rFonts w:asciiTheme="minorHAnsi" w:hAnsiTheme="minorHAnsi" w:cstheme="minorHAnsi"/>
          <w:bCs/>
          <w:szCs w:val="24"/>
        </w:rPr>
        <w:t>Nimenrix</w:t>
      </w:r>
      <w:proofErr w:type="spellEnd"/>
      <w:r w:rsidR="00B467BB" w:rsidRPr="007D2B92">
        <w:rPr>
          <w:rFonts w:asciiTheme="minorHAnsi" w:hAnsiTheme="minorHAnsi" w:cstheme="minorHAnsi"/>
          <w:bCs/>
          <w:szCs w:val="24"/>
        </w:rPr>
        <w:t xml:space="preserve">®), with </w:t>
      </w:r>
      <w:proofErr w:type="spellStart"/>
      <w:r w:rsidR="00B467BB" w:rsidRPr="007D2B92">
        <w:rPr>
          <w:rFonts w:asciiTheme="minorHAnsi" w:hAnsiTheme="minorHAnsi" w:cstheme="minorHAnsi"/>
          <w:bCs/>
          <w:szCs w:val="24"/>
        </w:rPr>
        <w:t>equi</w:t>
      </w:r>
      <w:proofErr w:type="spellEnd"/>
      <w:r w:rsidR="00B467BB" w:rsidRPr="007D2B92">
        <w:rPr>
          <w:rFonts w:asciiTheme="minorHAnsi" w:hAnsiTheme="minorHAnsi" w:cstheme="minorHAnsi"/>
          <w:bCs/>
          <w:szCs w:val="24"/>
        </w:rPr>
        <w:t xml:space="preserve">-effective doses of 0.5 mL </w:t>
      </w:r>
      <w:proofErr w:type="spellStart"/>
      <w:r w:rsidR="00893D1A" w:rsidRPr="007D2B92">
        <w:rPr>
          <w:rFonts w:asciiTheme="minorHAnsi" w:hAnsiTheme="minorHAnsi" w:cstheme="minorHAnsi"/>
          <w:bCs/>
          <w:szCs w:val="24"/>
        </w:rPr>
        <w:t>MenACWY</w:t>
      </w:r>
      <w:proofErr w:type="spellEnd"/>
      <w:r w:rsidR="00893D1A" w:rsidRPr="007D2B92">
        <w:rPr>
          <w:rFonts w:asciiTheme="minorHAnsi" w:hAnsiTheme="minorHAnsi" w:cstheme="minorHAnsi"/>
          <w:bCs/>
          <w:szCs w:val="24"/>
        </w:rPr>
        <w:t>-CRM</w:t>
      </w:r>
      <w:r w:rsidR="00B467BB" w:rsidRPr="007D2B92">
        <w:rPr>
          <w:rFonts w:asciiTheme="minorHAnsi" w:hAnsiTheme="minorHAnsi" w:cstheme="minorHAnsi"/>
          <w:bCs/>
          <w:szCs w:val="24"/>
        </w:rPr>
        <w:t xml:space="preserve"> and 0.5mL </w:t>
      </w:r>
      <w:proofErr w:type="spellStart"/>
      <w:r w:rsidR="00893D1A" w:rsidRPr="007D2B92">
        <w:rPr>
          <w:rFonts w:asciiTheme="minorHAnsi" w:hAnsiTheme="minorHAnsi" w:cstheme="minorHAnsi"/>
          <w:bCs/>
          <w:szCs w:val="24"/>
        </w:rPr>
        <w:t>MenACWY</w:t>
      </w:r>
      <w:proofErr w:type="spellEnd"/>
      <w:r w:rsidR="00893D1A" w:rsidRPr="007D2B92">
        <w:rPr>
          <w:rFonts w:asciiTheme="minorHAnsi" w:hAnsiTheme="minorHAnsi" w:cstheme="minorHAnsi"/>
          <w:bCs/>
          <w:szCs w:val="24"/>
        </w:rPr>
        <w:t>-TT</w:t>
      </w:r>
      <w:r w:rsidR="00B467BB" w:rsidRPr="007D2B92">
        <w:rPr>
          <w:rFonts w:asciiTheme="minorHAnsi" w:hAnsiTheme="minorHAnsi" w:cstheme="minorHAnsi"/>
          <w:bCs/>
          <w:szCs w:val="24"/>
        </w:rPr>
        <w:t xml:space="preserve">. </w:t>
      </w:r>
    </w:p>
    <w:p w:rsidR="001122D0" w:rsidRPr="007D2B92" w:rsidRDefault="00F7726D" w:rsidP="00075BBA">
      <w:pPr>
        <w:widowControl/>
        <w:numPr>
          <w:ilvl w:val="1"/>
          <w:numId w:val="1"/>
        </w:numPr>
        <w:spacing w:after="120"/>
        <w:rPr>
          <w:rFonts w:asciiTheme="minorHAnsi" w:hAnsiTheme="minorHAnsi" w:cstheme="minorHAnsi"/>
          <w:bCs/>
          <w:szCs w:val="24"/>
        </w:rPr>
      </w:pPr>
      <w:r w:rsidRPr="007D2B92">
        <w:rPr>
          <w:rFonts w:asciiTheme="minorHAnsi" w:hAnsiTheme="minorHAnsi" w:cstheme="minorHAnsi"/>
          <w:bCs/>
          <w:szCs w:val="24"/>
        </w:rPr>
        <w:t xml:space="preserve">The PBAC recalled it recommended </w:t>
      </w:r>
      <w:proofErr w:type="spellStart"/>
      <w:r w:rsidRPr="007D2B92">
        <w:rPr>
          <w:rFonts w:asciiTheme="minorHAnsi" w:hAnsiTheme="minorHAnsi" w:cstheme="minorHAnsi"/>
          <w:bCs/>
          <w:szCs w:val="24"/>
        </w:rPr>
        <w:t>MenACWY</w:t>
      </w:r>
      <w:proofErr w:type="spellEnd"/>
      <w:r w:rsidRPr="007D2B92">
        <w:rPr>
          <w:rFonts w:asciiTheme="minorHAnsi" w:hAnsiTheme="minorHAnsi" w:cstheme="minorHAnsi"/>
          <w:bCs/>
          <w:szCs w:val="24"/>
        </w:rPr>
        <w:t xml:space="preserve">-TT vaccine </w:t>
      </w:r>
      <w:r w:rsidR="00893D1A" w:rsidRPr="007D2B92">
        <w:rPr>
          <w:rFonts w:asciiTheme="minorHAnsi" w:hAnsiTheme="minorHAnsi" w:cstheme="minorHAnsi"/>
          <w:bCs/>
          <w:szCs w:val="24"/>
        </w:rPr>
        <w:t>be listed</w:t>
      </w:r>
      <w:r w:rsidRPr="007D2B92">
        <w:rPr>
          <w:rFonts w:asciiTheme="minorHAnsi" w:hAnsiTheme="minorHAnsi" w:cstheme="minorHAnsi"/>
          <w:bCs/>
          <w:szCs w:val="24"/>
        </w:rPr>
        <w:t xml:space="preserve"> on the NIP for adolescents in March 2018.</w:t>
      </w:r>
      <w:r w:rsidR="000E3D81" w:rsidRPr="007D2B92">
        <w:rPr>
          <w:rFonts w:asciiTheme="minorHAnsi" w:hAnsiTheme="minorHAnsi" w:cstheme="minorHAnsi"/>
          <w:bCs/>
          <w:szCs w:val="24"/>
        </w:rPr>
        <w:t xml:space="preserve"> The PBAC further recalled that it recommended </w:t>
      </w:r>
      <w:proofErr w:type="spellStart"/>
      <w:r w:rsidR="000E3D81" w:rsidRPr="007D2B92">
        <w:rPr>
          <w:rFonts w:asciiTheme="minorHAnsi" w:hAnsiTheme="minorHAnsi" w:cstheme="minorHAnsi"/>
          <w:bCs/>
          <w:szCs w:val="24"/>
        </w:rPr>
        <w:t>MenACWY</w:t>
      </w:r>
      <w:proofErr w:type="spellEnd"/>
      <w:r w:rsidR="000E3D81" w:rsidRPr="007D2B92">
        <w:rPr>
          <w:rFonts w:asciiTheme="minorHAnsi" w:hAnsiTheme="minorHAnsi" w:cstheme="minorHAnsi"/>
          <w:bCs/>
          <w:szCs w:val="24"/>
        </w:rPr>
        <w:t>-TT on a cost-effectiveness basis, subject to a reduction in the requested price such that the cost per QALY gained was less than $15,000.</w:t>
      </w:r>
      <w:r w:rsidRPr="007D2B92">
        <w:rPr>
          <w:rFonts w:asciiTheme="minorHAnsi" w:hAnsiTheme="minorHAnsi" w:cstheme="minorHAnsi"/>
          <w:bCs/>
          <w:szCs w:val="24"/>
          <w:vertAlign w:val="superscript"/>
        </w:rPr>
        <w:footnoteReference w:id="12"/>
      </w:r>
      <w:r w:rsidR="00F46F3E" w:rsidRPr="007D2B92">
        <w:rPr>
          <w:rFonts w:asciiTheme="minorHAnsi" w:hAnsiTheme="minorHAnsi" w:cstheme="minorHAnsi"/>
          <w:bCs/>
          <w:szCs w:val="24"/>
        </w:rPr>
        <w:t xml:space="preserve"> </w:t>
      </w:r>
      <w:r w:rsidR="001122D0" w:rsidRPr="007D2B92">
        <w:rPr>
          <w:rFonts w:asciiTheme="minorHAnsi" w:hAnsiTheme="minorHAnsi" w:cstheme="minorHAnsi"/>
          <w:bCs/>
          <w:szCs w:val="24"/>
        </w:rPr>
        <w:t xml:space="preserve">The PBAC noted that this recommendation is yet to be implemented. The PBAC </w:t>
      </w:r>
      <w:r w:rsidR="00F46F3E" w:rsidRPr="007D2B92">
        <w:rPr>
          <w:rFonts w:asciiTheme="minorHAnsi" w:hAnsiTheme="minorHAnsi" w:cstheme="minorHAnsi"/>
          <w:bCs/>
          <w:szCs w:val="24"/>
        </w:rPr>
        <w:t xml:space="preserve">further </w:t>
      </w:r>
      <w:r w:rsidR="001122D0" w:rsidRPr="007D2B92">
        <w:rPr>
          <w:rFonts w:asciiTheme="minorHAnsi" w:hAnsiTheme="minorHAnsi" w:cstheme="minorHAnsi"/>
          <w:bCs/>
          <w:szCs w:val="24"/>
        </w:rPr>
        <w:t xml:space="preserve">noted that the </w:t>
      </w:r>
      <w:r w:rsidR="00A60A39" w:rsidRPr="007D2B92">
        <w:rPr>
          <w:rFonts w:asciiTheme="minorHAnsi" w:hAnsiTheme="minorHAnsi" w:cstheme="minorHAnsi"/>
          <w:bCs/>
          <w:szCs w:val="24"/>
        </w:rPr>
        <w:t xml:space="preserve">sponsor </w:t>
      </w:r>
      <w:r w:rsidR="00075BBA" w:rsidRPr="007D2B92">
        <w:rPr>
          <w:rFonts w:asciiTheme="minorHAnsi" w:hAnsiTheme="minorHAnsi" w:cstheme="minorHAnsi"/>
          <w:bCs/>
          <w:szCs w:val="24"/>
        </w:rPr>
        <w:t xml:space="preserve">of </w:t>
      </w:r>
      <w:proofErr w:type="spellStart"/>
      <w:r w:rsidR="00075BBA" w:rsidRPr="007D2B92">
        <w:rPr>
          <w:rFonts w:asciiTheme="minorHAnsi" w:hAnsiTheme="minorHAnsi" w:cstheme="minorHAnsi"/>
          <w:bCs/>
          <w:szCs w:val="24"/>
        </w:rPr>
        <w:t>MenACWY</w:t>
      </w:r>
      <w:proofErr w:type="spellEnd"/>
      <w:r w:rsidR="00075BBA" w:rsidRPr="007D2B92">
        <w:rPr>
          <w:rFonts w:asciiTheme="minorHAnsi" w:hAnsiTheme="minorHAnsi" w:cstheme="minorHAnsi"/>
          <w:bCs/>
          <w:szCs w:val="24"/>
        </w:rPr>
        <w:t>-CRM c</w:t>
      </w:r>
      <w:r w:rsidR="00A60A39" w:rsidRPr="007D2B92">
        <w:rPr>
          <w:rFonts w:asciiTheme="minorHAnsi" w:hAnsiTheme="minorHAnsi" w:cstheme="minorHAnsi"/>
          <w:bCs/>
          <w:szCs w:val="24"/>
        </w:rPr>
        <w:t>hose not to present a</w:t>
      </w:r>
      <w:r w:rsidR="001122D0" w:rsidRPr="007D2B92">
        <w:rPr>
          <w:rFonts w:asciiTheme="minorHAnsi" w:hAnsiTheme="minorHAnsi" w:cstheme="minorHAnsi"/>
          <w:bCs/>
          <w:szCs w:val="24"/>
        </w:rPr>
        <w:t xml:space="preserve"> cost-effectiveness analysis compared with ‘no vaccine’ (placebo)</w:t>
      </w:r>
      <w:r w:rsidR="00075BBA" w:rsidRPr="007D2B92">
        <w:rPr>
          <w:rFonts w:asciiTheme="minorHAnsi" w:hAnsiTheme="minorHAnsi" w:cstheme="minorHAnsi"/>
          <w:bCs/>
          <w:szCs w:val="24"/>
        </w:rPr>
        <w:t xml:space="preserve"> in this submission</w:t>
      </w:r>
      <w:r w:rsidR="00F46F3E" w:rsidRPr="007D2B92">
        <w:rPr>
          <w:rFonts w:asciiTheme="minorHAnsi" w:hAnsiTheme="minorHAnsi" w:cstheme="minorHAnsi"/>
          <w:bCs/>
          <w:szCs w:val="24"/>
        </w:rPr>
        <w:t>;</w:t>
      </w:r>
      <w:r w:rsidR="001122D0" w:rsidRPr="007D2B92">
        <w:rPr>
          <w:rFonts w:asciiTheme="minorHAnsi" w:hAnsiTheme="minorHAnsi" w:cstheme="minorHAnsi"/>
          <w:bCs/>
          <w:szCs w:val="24"/>
        </w:rPr>
        <w:t xml:space="preserve"> </w:t>
      </w:r>
      <w:r w:rsidR="00F46F3E" w:rsidRPr="007D2B92">
        <w:rPr>
          <w:rFonts w:asciiTheme="minorHAnsi" w:hAnsiTheme="minorHAnsi" w:cstheme="minorHAnsi"/>
          <w:bCs/>
          <w:szCs w:val="24"/>
        </w:rPr>
        <w:t xml:space="preserve">accordingly, </w:t>
      </w:r>
      <w:r w:rsidR="000E3D81" w:rsidRPr="007D2B92">
        <w:rPr>
          <w:rFonts w:asciiTheme="minorHAnsi" w:hAnsiTheme="minorHAnsi" w:cstheme="minorHAnsi"/>
          <w:bCs/>
          <w:szCs w:val="24"/>
        </w:rPr>
        <w:t>the</w:t>
      </w:r>
      <w:r w:rsidR="001122D0" w:rsidRPr="007D2B92">
        <w:rPr>
          <w:rFonts w:asciiTheme="minorHAnsi" w:hAnsiTheme="minorHAnsi" w:cstheme="minorHAnsi"/>
          <w:bCs/>
          <w:szCs w:val="24"/>
        </w:rPr>
        <w:t xml:space="preserve"> basis o</w:t>
      </w:r>
      <w:r w:rsidR="000E3D81" w:rsidRPr="007D2B92">
        <w:rPr>
          <w:rFonts w:asciiTheme="minorHAnsi" w:hAnsiTheme="minorHAnsi" w:cstheme="minorHAnsi"/>
          <w:bCs/>
          <w:szCs w:val="24"/>
        </w:rPr>
        <w:t>f</w:t>
      </w:r>
      <w:r w:rsidR="001122D0" w:rsidRPr="007D2B92">
        <w:rPr>
          <w:rFonts w:asciiTheme="minorHAnsi" w:hAnsiTheme="minorHAnsi" w:cstheme="minorHAnsi"/>
          <w:bCs/>
          <w:szCs w:val="24"/>
        </w:rPr>
        <w:t xml:space="preserve"> </w:t>
      </w:r>
      <w:r w:rsidR="000E3D81" w:rsidRPr="007D2B92">
        <w:rPr>
          <w:rFonts w:asciiTheme="minorHAnsi" w:hAnsiTheme="minorHAnsi" w:cstheme="minorHAnsi"/>
          <w:bCs/>
          <w:szCs w:val="24"/>
        </w:rPr>
        <w:t>the</w:t>
      </w:r>
      <w:r w:rsidR="001122D0" w:rsidRPr="007D2B92">
        <w:rPr>
          <w:rFonts w:asciiTheme="minorHAnsi" w:hAnsiTheme="minorHAnsi" w:cstheme="minorHAnsi"/>
          <w:bCs/>
          <w:szCs w:val="24"/>
        </w:rPr>
        <w:t xml:space="preserve"> recommend</w:t>
      </w:r>
      <w:r w:rsidR="000E3D81" w:rsidRPr="007D2B92">
        <w:rPr>
          <w:rFonts w:asciiTheme="minorHAnsi" w:hAnsiTheme="minorHAnsi" w:cstheme="minorHAnsi"/>
          <w:bCs/>
          <w:szCs w:val="24"/>
        </w:rPr>
        <w:t>ation for</w:t>
      </w:r>
      <w:r w:rsidR="001122D0" w:rsidRPr="007D2B92">
        <w:rPr>
          <w:rFonts w:asciiTheme="minorHAnsi" w:hAnsiTheme="minorHAnsi" w:cstheme="minorHAnsi"/>
          <w:bCs/>
          <w:szCs w:val="24"/>
        </w:rPr>
        <w:t xml:space="preserve"> </w:t>
      </w:r>
      <w:proofErr w:type="spellStart"/>
      <w:r w:rsidR="001122D0" w:rsidRPr="007D2B92">
        <w:rPr>
          <w:rFonts w:asciiTheme="minorHAnsi" w:hAnsiTheme="minorHAnsi" w:cstheme="minorHAnsi"/>
          <w:bCs/>
          <w:szCs w:val="24"/>
        </w:rPr>
        <w:t>MenACWY</w:t>
      </w:r>
      <w:proofErr w:type="spellEnd"/>
      <w:r w:rsidR="001122D0" w:rsidRPr="007D2B92">
        <w:rPr>
          <w:rFonts w:asciiTheme="minorHAnsi" w:hAnsiTheme="minorHAnsi" w:cstheme="minorHAnsi"/>
          <w:bCs/>
          <w:szCs w:val="24"/>
        </w:rPr>
        <w:t xml:space="preserve">-CRM </w:t>
      </w:r>
      <w:r w:rsidR="00075BBA" w:rsidRPr="007D2B92">
        <w:rPr>
          <w:rFonts w:asciiTheme="minorHAnsi" w:hAnsiTheme="minorHAnsi" w:cstheme="minorHAnsi"/>
          <w:bCs/>
          <w:szCs w:val="24"/>
        </w:rPr>
        <w:t>for adolescents</w:t>
      </w:r>
      <w:r w:rsidR="00075BBA" w:rsidRPr="007D2B92" w:rsidDel="000E3D81">
        <w:rPr>
          <w:rFonts w:asciiTheme="minorHAnsi" w:hAnsiTheme="minorHAnsi" w:cstheme="minorHAnsi"/>
          <w:bCs/>
          <w:szCs w:val="24"/>
        </w:rPr>
        <w:t xml:space="preserve"> </w:t>
      </w:r>
      <w:r w:rsidR="000E3D81" w:rsidRPr="007D2B92">
        <w:rPr>
          <w:rFonts w:asciiTheme="minorHAnsi" w:hAnsiTheme="minorHAnsi" w:cstheme="minorHAnsi"/>
          <w:bCs/>
          <w:szCs w:val="24"/>
        </w:rPr>
        <w:t xml:space="preserve">is cost-minimisation with </w:t>
      </w:r>
      <w:proofErr w:type="spellStart"/>
      <w:r w:rsidR="001122D0" w:rsidRPr="007D2B92">
        <w:rPr>
          <w:rFonts w:asciiTheme="minorHAnsi" w:hAnsiTheme="minorHAnsi" w:cstheme="minorHAnsi"/>
          <w:bCs/>
          <w:szCs w:val="24"/>
        </w:rPr>
        <w:t>MenACWY</w:t>
      </w:r>
      <w:proofErr w:type="spellEnd"/>
      <w:r w:rsidR="001122D0" w:rsidRPr="007D2B92">
        <w:rPr>
          <w:rFonts w:asciiTheme="minorHAnsi" w:hAnsiTheme="minorHAnsi" w:cstheme="minorHAnsi"/>
          <w:bCs/>
          <w:szCs w:val="24"/>
        </w:rPr>
        <w:noBreakHyphen/>
        <w:t>TT</w:t>
      </w:r>
      <w:r w:rsidR="00075BBA" w:rsidRPr="007D2B92">
        <w:rPr>
          <w:rFonts w:asciiTheme="minorHAnsi" w:hAnsiTheme="minorHAnsi" w:cstheme="minorHAnsi"/>
          <w:bCs/>
          <w:szCs w:val="24"/>
        </w:rPr>
        <w:t xml:space="preserve"> for the same population</w:t>
      </w:r>
      <w:r w:rsidR="001122D0" w:rsidRPr="007D2B92">
        <w:rPr>
          <w:rFonts w:asciiTheme="minorHAnsi" w:hAnsiTheme="minorHAnsi" w:cstheme="minorHAnsi"/>
          <w:bCs/>
          <w:szCs w:val="24"/>
        </w:rPr>
        <w:t xml:space="preserve">. </w:t>
      </w:r>
    </w:p>
    <w:p w:rsidR="00F7726D" w:rsidRPr="007D2B92" w:rsidRDefault="00F7726D" w:rsidP="00F7726D">
      <w:pPr>
        <w:widowControl/>
        <w:numPr>
          <w:ilvl w:val="1"/>
          <w:numId w:val="1"/>
        </w:numPr>
        <w:spacing w:after="120"/>
        <w:rPr>
          <w:rFonts w:cs="Calibri"/>
          <w:snapToGrid/>
          <w:szCs w:val="24"/>
          <w:lang w:eastAsia="en-AU"/>
        </w:rPr>
      </w:pPr>
      <w:r w:rsidRPr="007D2B92">
        <w:t xml:space="preserve">The PBAC noted that currently there are several State-based meningococcal programs for the provision of </w:t>
      </w:r>
      <w:proofErr w:type="spellStart"/>
      <w:r w:rsidRPr="007D2B92">
        <w:t>MenACWY</w:t>
      </w:r>
      <w:proofErr w:type="spellEnd"/>
      <w:r w:rsidRPr="007D2B92">
        <w:t xml:space="preserve"> vaccines</w:t>
      </w:r>
      <w:r w:rsidRPr="007D2B92">
        <w:rPr>
          <w:rFonts w:cs="Calibri"/>
          <w:snapToGrid/>
          <w:szCs w:val="24"/>
          <w:lang w:eastAsia="en-AU"/>
        </w:rPr>
        <w:t xml:space="preserve"> (including </w:t>
      </w:r>
      <w:proofErr w:type="spellStart"/>
      <w:r w:rsidRPr="007D2B92">
        <w:rPr>
          <w:rFonts w:cs="Calibri"/>
          <w:snapToGrid/>
          <w:szCs w:val="24"/>
          <w:lang w:eastAsia="en-AU"/>
        </w:rPr>
        <w:t>MenACWY</w:t>
      </w:r>
      <w:proofErr w:type="spellEnd"/>
      <w:r w:rsidRPr="007D2B92">
        <w:rPr>
          <w:rFonts w:cs="Calibri"/>
          <w:snapToGrid/>
          <w:szCs w:val="24"/>
          <w:lang w:eastAsia="en-AU"/>
        </w:rPr>
        <w:t xml:space="preserve">-TT and </w:t>
      </w:r>
      <w:proofErr w:type="spellStart"/>
      <w:r w:rsidRPr="007D2B92">
        <w:rPr>
          <w:rFonts w:cs="Calibri"/>
          <w:snapToGrid/>
          <w:szCs w:val="24"/>
          <w:lang w:eastAsia="en-AU"/>
        </w:rPr>
        <w:t>MenACWY</w:t>
      </w:r>
      <w:proofErr w:type="spellEnd"/>
      <w:r w:rsidRPr="007D2B92">
        <w:rPr>
          <w:rFonts w:cs="Calibri"/>
          <w:snapToGrid/>
          <w:szCs w:val="24"/>
          <w:lang w:eastAsia="en-AU"/>
        </w:rPr>
        <w:t xml:space="preserve">-CRM) with </w:t>
      </w:r>
      <w:r w:rsidRPr="007D2B92">
        <w:t>varied inclusion criteria and coverage.</w:t>
      </w:r>
    </w:p>
    <w:p w:rsidR="0077463D" w:rsidRPr="007D2B92" w:rsidRDefault="00061A94" w:rsidP="00061A94">
      <w:pPr>
        <w:pStyle w:val="ListParagraph"/>
        <w:widowControl/>
        <w:numPr>
          <w:ilvl w:val="1"/>
          <w:numId w:val="1"/>
        </w:numPr>
      </w:pPr>
      <w:r w:rsidRPr="007D2B92">
        <w:rPr>
          <w:rFonts w:asciiTheme="minorHAnsi" w:hAnsiTheme="minorHAnsi" w:cstheme="minorHAnsi"/>
          <w:bCs/>
          <w:szCs w:val="24"/>
        </w:rPr>
        <w:t>T</w:t>
      </w:r>
      <w:r w:rsidR="003B2872" w:rsidRPr="007D2B92">
        <w:rPr>
          <w:rFonts w:asciiTheme="minorHAnsi" w:hAnsiTheme="minorHAnsi"/>
          <w:bCs/>
        </w:rPr>
        <w:t>he</w:t>
      </w:r>
      <w:r w:rsidR="00FD6258" w:rsidRPr="007D2B92">
        <w:rPr>
          <w:rFonts w:asciiTheme="minorHAnsi" w:hAnsiTheme="minorHAnsi"/>
          <w:bCs/>
        </w:rPr>
        <w:t xml:space="preserve"> PBAC</w:t>
      </w:r>
      <w:r w:rsidRPr="007D2B92">
        <w:rPr>
          <w:rFonts w:asciiTheme="minorHAnsi" w:hAnsiTheme="minorHAnsi"/>
          <w:bCs/>
        </w:rPr>
        <w:t xml:space="preserve"> reaffirmed from its March 2018 </w:t>
      </w:r>
      <w:r w:rsidR="00FD6258" w:rsidRPr="007D2B92">
        <w:rPr>
          <w:rFonts w:asciiTheme="minorHAnsi" w:hAnsiTheme="minorHAnsi"/>
          <w:bCs/>
        </w:rPr>
        <w:t>recommendation for</w:t>
      </w:r>
      <w:r w:rsidRPr="007D2B92">
        <w:rPr>
          <w:rFonts w:asciiTheme="minorHAnsi" w:hAnsiTheme="minorHAnsi"/>
          <w:bCs/>
        </w:rPr>
        <w:t xml:space="preserve"> </w:t>
      </w:r>
      <w:proofErr w:type="spellStart"/>
      <w:r w:rsidRPr="007D2B92">
        <w:rPr>
          <w:rFonts w:asciiTheme="minorHAnsi" w:hAnsiTheme="minorHAnsi"/>
          <w:bCs/>
        </w:rPr>
        <w:t>MenACWY</w:t>
      </w:r>
      <w:proofErr w:type="spellEnd"/>
      <w:r w:rsidRPr="007D2B92">
        <w:rPr>
          <w:rFonts w:asciiTheme="minorHAnsi" w:hAnsiTheme="minorHAnsi"/>
          <w:bCs/>
        </w:rPr>
        <w:t xml:space="preserve">-TT vaccine </w:t>
      </w:r>
      <w:r w:rsidR="003B2872" w:rsidRPr="007D2B92">
        <w:rPr>
          <w:rFonts w:asciiTheme="minorHAnsi" w:hAnsiTheme="minorHAnsi"/>
          <w:bCs/>
        </w:rPr>
        <w:t>that there was a clinical need for the vaccination of the adolescent age group to both provide direct protection and to provide indirect protection to other age groups through herd immunity.</w:t>
      </w:r>
      <w:r w:rsidR="0072652E" w:rsidRPr="007D2B92">
        <w:rPr>
          <w:rFonts w:asciiTheme="minorHAnsi" w:hAnsiTheme="minorHAnsi"/>
          <w:bCs/>
        </w:rPr>
        <w:t xml:space="preserve"> </w:t>
      </w:r>
      <w:r w:rsidR="0077463D" w:rsidRPr="007D2B92">
        <w:rPr>
          <w:rFonts w:cs="Calibri"/>
          <w:snapToGrid/>
          <w:szCs w:val="24"/>
          <w:lang w:eastAsia="en-AU"/>
        </w:rPr>
        <w:t xml:space="preserve">The PBAC noted the increase in </w:t>
      </w:r>
      <w:proofErr w:type="spellStart"/>
      <w:r w:rsidR="0077463D" w:rsidRPr="007D2B92">
        <w:rPr>
          <w:rFonts w:cs="Calibri"/>
          <w:snapToGrid/>
          <w:szCs w:val="24"/>
          <w:lang w:eastAsia="en-AU"/>
        </w:rPr>
        <w:t>MenW</w:t>
      </w:r>
      <w:proofErr w:type="spellEnd"/>
      <w:r w:rsidR="0077463D" w:rsidRPr="007D2B92">
        <w:rPr>
          <w:rFonts w:cs="Calibri"/>
          <w:snapToGrid/>
          <w:szCs w:val="24"/>
          <w:lang w:eastAsia="en-AU"/>
        </w:rPr>
        <w:t xml:space="preserve"> and Y cases in recent years, </w:t>
      </w:r>
      <w:r w:rsidR="0072652E" w:rsidRPr="007D2B92">
        <w:rPr>
          <w:rFonts w:cs="Calibri"/>
          <w:snapToGrid/>
          <w:szCs w:val="24"/>
          <w:lang w:eastAsia="en-AU"/>
        </w:rPr>
        <w:t xml:space="preserve">and that a decrease in incidence of C strain was seen after the introduction of the meningococcal C vaccine. However, </w:t>
      </w:r>
      <w:r w:rsidR="00F7726D" w:rsidRPr="007D2B92">
        <w:rPr>
          <w:rFonts w:cs="Calibri"/>
          <w:snapToGrid/>
          <w:szCs w:val="24"/>
          <w:lang w:eastAsia="en-AU"/>
        </w:rPr>
        <w:t xml:space="preserve">the </w:t>
      </w:r>
      <w:r w:rsidR="0072652E" w:rsidRPr="007D2B92">
        <w:rPr>
          <w:rFonts w:cs="Calibri"/>
          <w:snapToGrid/>
          <w:szCs w:val="24"/>
          <w:lang w:eastAsia="en-AU"/>
        </w:rPr>
        <w:t xml:space="preserve">PBAC considered that </w:t>
      </w:r>
      <w:r w:rsidR="0077463D" w:rsidRPr="007D2B92">
        <w:rPr>
          <w:rFonts w:cs="Calibri"/>
          <w:snapToGrid/>
          <w:szCs w:val="24"/>
          <w:lang w:eastAsia="en-AU"/>
        </w:rPr>
        <w:t xml:space="preserve">the impact of </w:t>
      </w:r>
      <w:r w:rsidR="0072652E" w:rsidRPr="007D2B92">
        <w:rPr>
          <w:rFonts w:cs="Calibri"/>
          <w:snapToGrid/>
          <w:szCs w:val="24"/>
          <w:lang w:eastAsia="en-AU"/>
        </w:rPr>
        <w:t xml:space="preserve">a </w:t>
      </w:r>
      <w:proofErr w:type="spellStart"/>
      <w:r w:rsidR="0072652E" w:rsidRPr="007D2B92">
        <w:rPr>
          <w:rFonts w:cs="Calibri"/>
          <w:snapToGrid/>
          <w:szCs w:val="24"/>
          <w:lang w:eastAsia="en-AU"/>
        </w:rPr>
        <w:t>MenACWY</w:t>
      </w:r>
      <w:proofErr w:type="spellEnd"/>
      <w:r w:rsidR="0072652E" w:rsidRPr="007D2B92">
        <w:rPr>
          <w:rFonts w:cs="Calibri"/>
          <w:snapToGrid/>
          <w:szCs w:val="24"/>
          <w:lang w:eastAsia="en-AU"/>
        </w:rPr>
        <w:t xml:space="preserve"> </w:t>
      </w:r>
      <w:r w:rsidR="0077463D" w:rsidRPr="007D2B92">
        <w:rPr>
          <w:rFonts w:cs="Calibri"/>
          <w:snapToGrid/>
          <w:szCs w:val="24"/>
          <w:lang w:eastAsia="en-AU"/>
        </w:rPr>
        <w:t>vaccination program</w:t>
      </w:r>
      <w:r w:rsidR="0072652E" w:rsidRPr="007D2B92">
        <w:rPr>
          <w:rFonts w:cs="Calibri"/>
          <w:snapToGrid/>
          <w:szCs w:val="24"/>
          <w:lang w:eastAsia="en-AU"/>
        </w:rPr>
        <w:t xml:space="preserve"> is unknown due to uncertain vaccine effectiveness and unpredictability of the natural </w:t>
      </w:r>
      <w:r w:rsidR="009B2623">
        <w:rPr>
          <w:rFonts w:cs="Calibri"/>
          <w:snapToGrid/>
          <w:szCs w:val="24"/>
          <w:lang w:eastAsia="en-AU"/>
        </w:rPr>
        <w:t>epidemiology</w:t>
      </w:r>
      <w:r w:rsidR="009B2623" w:rsidRPr="007D2B92">
        <w:rPr>
          <w:rFonts w:cs="Calibri"/>
          <w:snapToGrid/>
          <w:szCs w:val="24"/>
          <w:lang w:eastAsia="en-AU"/>
        </w:rPr>
        <w:t xml:space="preserve"> </w:t>
      </w:r>
      <w:r w:rsidR="0072652E" w:rsidRPr="007D2B92">
        <w:rPr>
          <w:rFonts w:cs="Calibri"/>
          <w:snapToGrid/>
          <w:szCs w:val="24"/>
          <w:lang w:eastAsia="en-AU"/>
        </w:rPr>
        <w:t>of meningococcal disease.</w:t>
      </w:r>
    </w:p>
    <w:p w:rsidR="003B2872" w:rsidRPr="007D2B92" w:rsidRDefault="00DE65F9" w:rsidP="00075BBA">
      <w:pPr>
        <w:pStyle w:val="ListParagraph"/>
        <w:widowControl/>
        <w:numPr>
          <w:ilvl w:val="1"/>
          <w:numId w:val="1"/>
        </w:numPr>
        <w:spacing w:after="120"/>
        <w:rPr>
          <w:snapToGrid/>
          <w:lang w:eastAsia="en-AU"/>
        </w:rPr>
      </w:pPr>
      <w:r w:rsidRPr="007D2B92">
        <w:rPr>
          <w:rFonts w:asciiTheme="minorHAnsi" w:hAnsiTheme="minorHAnsi"/>
          <w:bCs/>
        </w:rPr>
        <w:lastRenderedPageBreak/>
        <w:t xml:space="preserve">The </w:t>
      </w:r>
      <w:r w:rsidR="00CF1D91" w:rsidRPr="007D2B92">
        <w:rPr>
          <w:rFonts w:asciiTheme="minorHAnsi" w:hAnsiTheme="minorHAnsi"/>
          <w:bCs/>
        </w:rPr>
        <w:t>PBAC recommended that the listing</w:t>
      </w:r>
      <w:r w:rsidR="00075BBA" w:rsidRPr="007D2B92">
        <w:rPr>
          <w:rFonts w:asciiTheme="minorHAnsi" w:hAnsiTheme="minorHAnsi"/>
          <w:bCs/>
        </w:rPr>
        <w:t xml:space="preserve"> for</w:t>
      </w:r>
      <w:r w:rsidR="00CF1D91" w:rsidRPr="007D2B92">
        <w:rPr>
          <w:rFonts w:asciiTheme="minorHAnsi" w:hAnsiTheme="minorHAnsi"/>
          <w:bCs/>
        </w:rPr>
        <w:t xml:space="preserve"> </w:t>
      </w:r>
      <w:proofErr w:type="spellStart"/>
      <w:r w:rsidR="00075BBA" w:rsidRPr="007D2B92">
        <w:rPr>
          <w:rFonts w:asciiTheme="minorHAnsi" w:hAnsiTheme="minorHAnsi"/>
          <w:bCs/>
        </w:rPr>
        <w:t>MenACWY</w:t>
      </w:r>
      <w:proofErr w:type="spellEnd"/>
      <w:r w:rsidR="00075BBA" w:rsidRPr="007D2B92">
        <w:rPr>
          <w:rFonts w:asciiTheme="minorHAnsi" w:hAnsiTheme="minorHAnsi"/>
          <w:bCs/>
        </w:rPr>
        <w:t xml:space="preserve">-CRM </w:t>
      </w:r>
      <w:r w:rsidR="00CF1D91" w:rsidRPr="007D2B92">
        <w:rPr>
          <w:rFonts w:asciiTheme="minorHAnsi" w:hAnsiTheme="minorHAnsi"/>
          <w:bCs/>
        </w:rPr>
        <w:t xml:space="preserve">be consistent with the March 2018 recommended listing for </w:t>
      </w:r>
      <w:proofErr w:type="spellStart"/>
      <w:r w:rsidR="00CF1D91" w:rsidRPr="007D2B92">
        <w:rPr>
          <w:rFonts w:asciiTheme="minorHAnsi" w:hAnsiTheme="minorHAnsi"/>
          <w:bCs/>
        </w:rPr>
        <w:t>MenACWY</w:t>
      </w:r>
      <w:proofErr w:type="spellEnd"/>
      <w:r w:rsidR="00CF1D91" w:rsidRPr="007D2B92">
        <w:rPr>
          <w:rFonts w:asciiTheme="minorHAnsi" w:hAnsiTheme="minorHAnsi"/>
          <w:bCs/>
        </w:rPr>
        <w:t xml:space="preserve">-TT. Accordingly, </w:t>
      </w:r>
      <w:r w:rsidRPr="007D2B92">
        <w:rPr>
          <w:rFonts w:asciiTheme="minorHAnsi" w:hAnsiTheme="minorHAnsi"/>
          <w:bCs/>
        </w:rPr>
        <w:t xml:space="preserve">NIP listing </w:t>
      </w:r>
      <w:r w:rsidR="00CF1D91" w:rsidRPr="007D2B92">
        <w:rPr>
          <w:rFonts w:asciiTheme="minorHAnsi" w:hAnsiTheme="minorHAnsi"/>
          <w:bCs/>
        </w:rPr>
        <w:t xml:space="preserve">was recommended </w:t>
      </w:r>
      <w:r w:rsidRPr="007D2B92">
        <w:rPr>
          <w:rFonts w:asciiTheme="minorHAnsi" w:hAnsiTheme="minorHAnsi"/>
          <w:bCs/>
        </w:rPr>
        <w:t xml:space="preserve">for </w:t>
      </w:r>
      <w:r w:rsidR="0077463D" w:rsidRPr="007D2B92">
        <w:rPr>
          <w:rFonts w:asciiTheme="minorHAnsi" w:hAnsiTheme="minorHAnsi"/>
          <w:bCs/>
        </w:rPr>
        <w:t>adolescents aged 14 to 16</w:t>
      </w:r>
      <w:r w:rsidR="005A5CE4" w:rsidRPr="007D2B92">
        <w:rPr>
          <w:rFonts w:asciiTheme="minorHAnsi" w:hAnsiTheme="minorHAnsi"/>
          <w:bCs/>
        </w:rPr>
        <w:t xml:space="preserve"> years old</w:t>
      </w:r>
      <w:r w:rsidR="0077463D" w:rsidRPr="007D2B92">
        <w:rPr>
          <w:rFonts w:asciiTheme="minorHAnsi" w:hAnsiTheme="minorHAnsi"/>
          <w:bCs/>
        </w:rPr>
        <w:t>, in year 10</w:t>
      </w:r>
      <w:r w:rsidR="00CF1D91" w:rsidRPr="007D2B92">
        <w:rPr>
          <w:rFonts w:asciiTheme="minorHAnsi" w:hAnsiTheme="minorHAnsi"/>
          <w:bCs/>
        </w:rPr>
        <w:t xml:space="preserve"> and for a </w:t>
      </w:r>
      <w:r w:rsidR="00B93271" w:rsidRPr="007D2B92">
        <w:rPr>
          <w:rFonts w:asciiTheme="minorHAnsi" w:hAnsiTheme="minorHAnsi"/>
          <w:bCs/>
        </w:rPr>
        <w:t xml:space="preserve">catch-up program </w:t>
      </w:r>
      <w:r w:rsidR="0077463D" w:rsidRPr="007D2B92">
        <w:rPr>
          <w:rFonts w:asciiTheme="minorHAnsi" w:hAnsiTheme="minorHAnsi"/>
          <w:bCs/>
        </w:rPr>
        <w:t>for student</w:t>
      </w:r>
      <w:r w:rsidR="00566E25" w:rsidRPr="007D2B92">
        <w:rPr>
          <w:rFonts w:asciiTheme="minorHAnsi" w:hAnsiTheme="minorHAnsi"/>
          <w:bCs/>
        </w:rPr>
        <w:t>s</w:t>
      </w:r>
      <w:r w:rsidR="0077463D" w:rsidRPr="007D2B92">
        <w:rPr>
          <w:rFonts w:asciiTheme="minorHAnsi" w:hAnsiTheme="minorHAnsi"/>
          <w:bCs/>
        </w:rPr>
        <w:t xml:space="preserve"> in year 11 and 12 or school leavers</w:t>
      </w:r>
      <w:r w:rsidR="00CF1D91" w:rsidRPr="007D2B92">
        <w:rPr>
          <w:rFonts w:asciiTheme="minorHAnsi" w:hAnsiTheme="minorHAnsi"/>
          <w:bCs/>
        </w:rPr>
        <w:t>.</w:t>
      </w:r>
    </w:p>
    <w:p w:rsidR="00CF1D91" w:rsidRPr="007D2B92" w:rsidRDefault="00CF1D91" w:rsidP="004E2FE6">
      <w:pPr>
        <w:numPr>
          <w:ilvl w:val="1"/>
          <w:numId w:val="1"/>
        </w:numPr>
        <w:spacing w:after="120"/>
        <w:rPr>
          <w:rFonts w:asciiTheme="minorHAnsi" w:hAnsiTheme="minorHAnsi"/>
          <w:bCs/>
        </w:rPr>
      </w:pPr>
      <w:r w:rsidRPr="007D2B92">
        <w:t>The PBAC noted that the submission also requested an additional vaccine dose</w:t>
      </w:r>
      <w:r w:rsidR="00DD2505" w:rsidRPr="007D2B92">
        <w:t xml:space="preserve"> in adole</w:t>
      </w:r>
      <w:r w:rsidRPr="007D2B92">
        <w:t xml:space="preserve">scents at increased risk of IMD. The PBAC noted that this was inconsistent with the recommended listing of </w:t>
      </w:r>
      <w:proofErr w:type="spellStart"/>
      <w:r w:rsidRPr="007D2B92">
        <w:t>MenACWY</w:t>
      </w:r>
      <w:proofErr w:type="spellEnd"/>
      <w:r w:rsidRPr="007D2B92">
        <w:t xml:space="preserve">-TT, which did not include an additional dose in this sub-group, and </w:t>
      </w:r>
      <w:r w:rsidRPr="007D2B92">
        <w:rPr>
          <w:rFonts w:cs="Calibri"/>
          <w:snapToGrid/>
          <w:szCs w:val="24"/>
          <w:lang w:eastAsia="en-AU"/>
        </w:rPr>
        <w:t>that the sub-group of adolescents at increased risk of IMD did not appear to be represented within the clinical trials.</w:t>
      </w:r>
      <w:r w:rsidR="00190F46" w:rsidRPr="007D2B92">
        <w:rPr>
          <w:rFonts w:cs="Calibri"/>
          <w:snapToGrid/>
          <w:szCs w:val="24"/>
          <w:lang w:eastAsia="en-AU"/>
        </w:rPr>
        <w:t xml:space="preserve"> </w:t>
      </w:r>
      <w:r w:rsidR="00190F46" w:rsidRPr="007D2B92">
        <w:rPr>
          <w:rFonts w:asciiTheme="minorHAnsi" w:hAnsiTheme="minorHAnsi"/>
          <w:bCs/>
        </w:rPr>
        <w:t>T</w:t>
      </w:r>
      <w:r w:rsidR="00190F46" w:rsidRPr="007D2B92">
        <w:rPr>
          <w:rFonts w:asciiTheme="minorHAnsi" w:hAnsiTheme="minorHAnsi"/>
          <w:bCs/>
          <w:szCs w:val="24"/>
        </w:rPr>
        <w:t xml:space="preserve">he PBAC considered that there may be a clinical need for </w:t>
      </w:r>
      <w:r w:rsidR="00C34F78">
        <w:rPr>
          <w:rFonts w:asciiTheme="minorHAnsi" w:hAnsiTheme="minorHAnsi"/>
          <w:bCs/>
          <w:szCs w:val="24"/>
        </w:rPr>
        <w:t>an additional</w:t>
      </w:r>
      <w:r w:rsidR="00190F46" w:rsidRPr="007D2B92">
        <w:rPr>
          <w:rFonts w:asciiTheme="minorHAnsi" w:hAnsiTheme="minorHAnsi"/>
          <w:bCs/>
          <w:szCs w:val="24"/>
        </w:rPr>
        <w:t xml:space="preserve"> dose</w:t>
      </w:r>
      <w:r w:rsidR="009B2623">
        <w:rPr>
          <w:rFonts w:asciiTheme="minorHAnsi" w:hAnsiTheme="minorHAnsi"/>
          <w:bCs/>
          <w:szCs w:val="24"/>
        </w:rPr>
        <w:t xml:space="preserve"> of </w:t>
      </w:r>
      <w:proofErr w:type="spellStart"/>
      <w:r w:rsidR="009B2623">
        <w:rPr>
          <w:rFonts w:asciiTheme="minorHAnsi" w:hAnsiTheme="minorHAnsi"/>
          <w:bCs/>
          <w:szCs w:val="24"/>
        </w:rPr>
        <w:t>quadrivalent</w:t>
      </w:r>
      <w:proofErr w:type="spellEnd"/>
      <w:r w:rsidR="009B2623">
        <w:rPr>
          <w:rFonts w:asciiTheme="minorHAnsi" w:hAnsiTheme="minorHAnsi"/>
          <w:bCs/>
          <w:szCs w:val="24"/>
        </w:rPr>
        <w:t xml:space="preserve"> meningococcal vaccine</w:t>
      </w:r>
      <w:r w:rsidR="00190F46" w:rsidRPr="007D2B92">
        <w:rPr>
          <w:rFonts w:asciiTheme="minorHAnsi" w:hAnsiTheme="minorHAnsi"/>
          <w:bCs/>
          <w:szCs w:val="24"/>
        </w:rPr>
        <w:t xml:space="preserve"> for those at</w:t>
      </w:r>
      <w:r w:rsidR="009B2623">
        <w:rPr>
          <w:rFonts w:asciiTheme="minorHAnsi" w:hAnsiTheme="minorHAnsi"/>
          <w:bCs/>
          <w:szCs w:val="24"/>
        </w:rPr>
        <w:t xml:space="preserve"> greatly</w:t>
      </w:r>
      <w:r w:rsidR="00190F46" w:rsidRPr="007D2B92">
        <w:rPr>
          <w:rFonts w:asciiTheme="minorHAnsi" w:hAnsiTheme="minorHAnsi"/>
          <w:bCs/>
          <w:szCs w:val="24"/>
        </w:rPr>
        <w:t xml:space="preserve"> increased risk of IMD across all age groups and welcomed a major submission for NIP listing presenting evidence that </w:t>
      </w:r>
      <w:r w:rsidR="009B2623">
        <w:rPr>
          <w:rFonts w:asciiTheme="minorHAnsi" w:hAnsiTheme="minorHAnsi"/>
          <w:bCs/>
          <w:szCs w:val="24"/>
        </w:rPr>
        <w:t>this</w:t>
      </w:r>
      <w:r w:rsidR="00190F46" w:rsidRPr="007D2B92">
        <w:rPr>
          <w:rFonts w:asciiTheme="minorHAnsi" w:hAnsiTheme="minorHAnsi"/>
          <w:bCs/>
          <w:szCs w:val="24"/>
        </w:rPr>
        <w:t xml:space="preserve"> would be clinically and cost effective for these populations.</w:t>
      </w:r>
    </w:p>
    <w:p w:rsidR="003B2872" w:rsidRPr="007D2B92" w:rsidRDefault="00727884" w:rsidP="004E2FE6">
      <w:pPr>
        <w:pStyle w:val="ListParagraph"/>
        <w:widowControl/>
        <w:numPr>
          <w:ilvl w:val="1"/>
          <w:numId w:val="1"/>
        </w:numPr>
        <w:spacing w:after="120"/>
      </w:pPr>
      <w:r w:rsidRPr="007D2B92">
        <w:rPr>
          <w:rFonts w:asciiTheme="minorHAnsi" w:hAnsiTheme="minorHAnsi"/>
          <w:bCs/>
          <w:szCs w:val="24"/>
        </w:rPr>
        <w:t>The submission did not propose a main comparator</w:t>
      </w:r>
      <w:r w:rsidR="00FA5BF5" w:rsidRPr="007D2B92">
        <w:rPr>
          <w:rFonts w:asciiTheme="minorHAnsi" w:hAnsiTheme="minorHAnsi"/>
          <w:bCs/>
          <w:szCs w:val="24"/>
        </w:rPr>
        <w:t>;</w:t>
      </w:r>
      <w:r w:rsidR="00F95FA3" w:rsidRPr="007D2B92">
        <w:rPr>
          <w:rFonts w:asciiTheme="minorHAnsi" w:hAnsiTheme="minorHAnsi"/>
          <w:bCs/>
          <w:szCs w:val="24"/>
        </w:rPr>
        <w:t xml:space="preserve"> rather it nominated </w:t>
      </w:r>
      <w:proofErr w:type="spellStart"/>
      <w:r w:rsidR="00F95FA3" w:rsidRPr="007D2B92">
        <w:rPr>
          <w:rFonts w:asciiTheme="minorHAnsi" w:hAnsiTheme="minorHAnsi"/>
          <w:bCs/>
          <w:szCs w:val="24"/>
        </w:rPr>
        <w:t>MenACWY</w:t>
      </w:r>
      <w:proofErr w:type="spellEnd"/>
      <w:r w:rsidR="00F95FA3" w:rsidRPr="007D2B92">
        <w:rPr>
          <w:rFonts w:asciiTheme="minorHAnsi" w:hAnsiTheme="minorHAnsi"/>
          <w:bCs/>
          <w:szCs w:val="24"/>
        </w:rPr>
        <w:noBreakHyphen/>
        <w:t>TT (</w:t>
      </w:r>
      <w:proofErr w:type="spellStart"/>
      <w:r w:rsidR="00F95FA3" w:rsidRPr="007D2B92">
        <w:rPr>
          <w:rFonts w:asciiTheme="minorHAnsi" w:hAnsiTheme="minorHAnsi"/>
          <w:bCs/>
          <w:szCs w:val="24"/>
        </w:rPr>
        <w:t>Nimenrix</w:t>
      </w:r>
      <w:proofErr w:type="spellEnd"/>
      <w:r w:rsidR="00F95FA3" w:rsidRPr="007D2B92">
        <w:rPr>
          <w:rFonts w:asciiTheme="minorHAnsi" w:hAnsiTheme="minorHAnsi"/>
          <w:bCs/>
          <w:szCs w:val="24"/>
        </w:rPr>
        <w:t xml:space="preserve">®) and </w:t>
      </w:r>
      <w:proofErr w:type="spellStart"/>
      <w:r w:rsidR="00F95FA3" w:rsidRPr="007D2B92">
        <w:rPr>
          <w:rFonts w:asciiTheme="minorHAnsi" w:hAnsiTheme="minorHAnsi"/>
          <w:bCs/>
          <w:szCs w:val="24"/>
        </w:rPr>
        <w:t>MenACWY</w:t>
      </w:r>
      <w:proofErr w:type="spellEnd"/>
      <w:r w:rsidR="00F95FA3" w:rsidRPr="007D2B92">
        <w:rPr>
          <w:rFonts w:asciiTheme="minorHAnsi" w:hAnsiTheme="minorHAnsi"/>
          <w:bCs/>
          <w:szCs w:val="24"/>
        </w:rPr>
        <w:t>-DT (</w:t>
      </w:r>
      <w:proofErr w:type="spellStart"/>
      <w:r w:rsidR="00F95FA3" w:rsidRPr="007D2B92">
        <w:rPr>
          <w:rFonts w:asciiTheme="minorHAnsi" w:hAnsiTheme="minorHAnsi"/>
          <w:bCs/>
          <w:szCs w:val="24"/>
        </w:rPr>
        <w:t>Menactra</w:t>
      </w:r>
      <w:proofErr w:type="spellEnd"/>
      <w:r w:rsidR="00F95FA3" w:rsidRPr="007D2B92">
        <w:rPr>
          <w:rFonts w:asciiTheme="minorHAnsi" w:hAnsiTheme="minorHAnsi"/>
          <w:bCs/>
          <w:szCs w:val="24"/>
        </w:rPr>
        <w:t>®) vaccine</w:t>
      </w:r>
      <w:r w:rsidR="00324476" w:rsidRPr="007D2B92">
        <w:rPr>
          <w:rFonts w:asciiTheme="minorHAnsi" w:hAnsiTheme="minorHAnsi"/>
          <w:bCs/>
          <w:szCs w:val="24"/>
        </w:rPr>
        <w:t>s as</w:t>
      </w:r>
      <w:r w:rsidR="00F95FA3" w:rsidRPr="007D2B92">
        <w:rPr>
          <w:rFonts w:asciiTheme="minorHAnsi" w:hAnsiTheme="minorHAnsi"/>
          <w:bCs/>
          <w:szCs w:val="24"/>
        </w:rPr>
        <w:t xml:space="preserve"> near-market comparators</w:t>
      </w:r>
      <w:r w:rsidRPr="007D2B92">
        <w:rPr>
          <w:rFonts w:asciiTheme="minorHAnsi" w:hAnsiTheme="minorHAnsi"/>
          <w:bCs/>
          <w:szCs w:val="24"/>
        </w:rPr>
        <w:t xml:space="preserve">. </w:t>
      </w:r>
      <w:r w:rsidR="00DE65F9" w:rsidRPr="007D2B92">
        <w:t>T</w:t>
      </w:r>
      <w:r w:rsidRPr="007D2B92">
        <w:t xml:space="preserve">he PBAC considered </w:t>
      </w:r>
      <w:r w:rsidR="00F95FA3" w:rsidRPr="007D2B92">
        <w:rPr>
          <w:rFonts w:asciiTheme="minorHAnsi" w:hAnsiTheme="minorHAnsi"/>
          <w:bCs/>
          <w:szCs w:val="24"/>
        </w:rPr>
        <w:t xml:space="preserve">that </w:t>
      </w:r>
      <w:proofErr w:type="spellStart"/>
      <w:r w:rsidRPr="007D2B92">
        <w:rPr>
          <w:rFonts w:asciiTheme="minorHAnsi" w:hAnsiTheme="minorHAnsi"/>
          <w:bCs/>
          <w:szCs w:val="24"/>
        </w:rPr>
        <w:t>MenACWY</w:t>
      </w:r>
      <w:proofErr w:type="spellEnd"/>
      <w:r w:rsidRPr="007D2B92">
        <w:rPr>
          <w:rFonts w:asciiTheme="minorHAnsi" w:hAnsiTheme="minorHAnsi"/>
          <w:bCs/>
          <w:szCs w:val="24"/>
        </w:rPr>
        <w:t>-TT</w:t>
      </w:r>
      <w:r w:rsidR="00F95FA3" w:rsidRPr="007D2B92">
        <w:rPr>
          <w:rFonts w:asciiTheme="minorHAnsi" w:hAnsiTheme="minorHAnsi"/>
          <w:bCs/>
          <w:szCs w:val="24"/>
        </w:rPr>
        <w:t xml:space="preserve"> was an appropriate comparator, noting </w:t>
      </w:r>
      <w:r w:rsidR="00FA5BF5" w:rsidRPr="007D2B92">
        <w:rPr>
          <w:rFonts w:asciiTheme="minorHAnsi" w:hAnsiTheme="minorHAnsi"/>
          <w:bCs/>
          <w:szCs w:val="24"/>
        </w:rPr>
        <w:t>the</w:t>
      </w:r>
      <w:r w:rsidR="00F95FA3" w:rsidRPr="007D2B92">
        <w:rPr>
          <w:rFonts w:asciiTheme="minorHAnsi" w:hAnsiTheme="minorHAnsi"/>
          <w:bCs/>
          <w:szCs w:val="24"/>
        </w:rPr>
        <w:t xml:space="preserve"> positive recommendation for </w:t>
      </w:r>
      <w:r w:rsidR="000C7C3D" w:rsidRPr="007D2B92">
        <w:rPr>
          <w:rFonts w:asciiTheme="minorHAnsi" w:hAnsiTheme="minorHAnsi"/>
          <w:bCs/>
          <w:szCs w:val="24"/>
        </w:rPr>
        <w:t>adolescents</w:t>
      </w:r>
      <w:r w:rsidR="00F95FA3" w:rsidRPr="007D2B92">
        <w:rPr>
          <w:rFonts w:asciiTheme="minorHAnsi" w:hAnsiTheme="minorHAnsi"/>
          <w:bCs/>
          <w:szCs w:val="24"/>
        </w:rPr>
        <w:t xml:space="preserve"> in March 2018</w:t>
      </w:r>
      <w:r w:rsidRPr="007D2B92">
        <w:rPr>
          <w:rFonts w:asciiTheme="minorHAnsi" w:hAnsiTheme="minorHAnsi"/>
          <w:bCs/>
          <w:szCs w:val="24"/>
        </w:rPr>
        <w:t xml:space="preserve">. </w:t>
      </w:r>
      <w:r w:rsidR="00D568E5" w:rsidRPr="007D2B92">
        <w:rPr>
          <w:rFonts w:asciiTheme="minorHAnsi" w:hAnsiTheme="minorHAnsi" w:cstheme="minorHAnsi"/>
          <w:bCs/>
          <w:szCs w:val="24"/>
        </w:rPr>
        <w:t xml:space="preserve">The PBAC </w:t>
      </w:r>
      <w:r w:rsidR="00F95FA3" w:rsidRPr="007D2B92">
        <w:rPr>
          <w:rFonts w:asciiTheme="minorHAnsi" w:hAnsiTheme="minorHAnsi" w:cstheme="minorHAnsi"/>
          <w:bCs/>
          <w:szCs w:val="24"/>
        </w:rPr>
        <w:t>agreed that</w:t>
      </w:r>
      <w:r w:rsidR="00D568E5" w:rsidRPr="007D2B92">
        <w:rPr>
          <w:rFonts w:asciiTheme="minorHAnsi" w:hAnsiTheme="minorHAnsi" w:cstheme="minorHAnsi"/>
          <w:bCs/>
        </w:rPr>
        <w:t xml:space="preserve"> other </w:t>
      </w:r>
      <w:proofErr w:type="spellStart"/>
      <w:r w:rsidR="00D568E5" w:rsidRPr="007D2B92">
        <w:rPr>
          <w:rFonts w:asciiTheme="minorHAnsi" w:hAnsiTheme="minorHAnsi" w:cstheme="minorHAnsi"/>
          <w:bCs/>
        </w:rPr>
        <w:t>MenACWY</w:t>
      </w:r>
      <w:proofErr w:type="spellEnd"/>
      <w:r w:rsidR="00D568E5" w:rsidRPr="007D2B92">
        <w:rPr>
          <w:rFonts w:asciiTheme="minorHAnsi" w:hAnsiTheme="minorHAnsi" w:cstheme="minorHAnsi"/>
          <w:bCs/>
        </w:rPr>
        <w:t xml:space="preserve"> vaccines</w:t>
      </w:r>
      <w:r w:rsidR="00F95FA3" w:rsidRPr="007D2B92">
        <w:rPr>
          <w:rFonts w:asciiTheme="minorHAnsi" w:hAnsiTheme="minorHAnsi" w:cstheme="minorHAnsi"/>
          <w:bCs/>
        </w:rPr>
        <w:t xml:space="preserve"> currently</w:t>
      </w:r>
      <w:r w:rsidR="00D568E5" w:rsidRPr="007D2B92">
        <w:rPr>
          <w:rFonts w:asciiTheme="minorHAnsi" w:hAnsiTheme="minorHAnsi" w:cstheme="minorHAnsi"/>
          <w:bCs/>
        </w:rPr>
        <w:t xml:space="preserve"> distributed through State-based programs </w:t>
      </w:r>
      <w:r w:rsidR="000C7C3D" w:rsidRPr="007D2B92">
        <w:rPr>
          <w:rFonts w:asciiTheme="minorHAnsi" w:hAnsiTheme="minorHAnsi" w:cstheme="minorHAnsi"/>
          <w:bCs/>
        </w:rPr>
        <w:t xml:space="preserve">were </w:t>
      </w:r>
      <w:r w:rsidR="00F95FA3" w:rsidRPr="007D2B92">
        <w:rPr>
          <w:rFonts w:asciiTheme="minorHAnsi" w:hAnsiTheme="minorHAnsi" w:cstheme="minorHAnsi"/>
          <w:bCs/>
        </w:rPr>
        <w:t xml:space="preserve">also </w:t>
      </w:r>
      <w:r w:rsidR="00D568E5" w:rsidRPr="007D2B92">
        <w:rPr>
          <w:rFonts w:asciiTheme="minorHAnsi" w:hAnsiTheme="minorHAnsi" w:cstheme="minorHAnsi"/>
          <w:bCs/>
        </w:rPr>
        <w:t>relevant near</w:t>
      </w:r>
      <w:r w:rsidR="000C7C3D" w:rsidRPr="007D2B92">
        <w:rPr>
          <w:rFonts w:asciiTheme="minorHAnsi" w:hAnsiTheme="minorHAnsi" w:cstheme="minorHAnsi"/>
          <w:bCs/>
        </w:rPr>
        <w:t>-</w:t>
      </w:r>
      <w:r w:rsidR="00D568E5" w:rsidRPr="007D2B92">
        <w:rPr>
          <w:rFonts w:asciiTheme="minorHAnsi" w:hAnsiTheme="minorHAnsi" w:cstheme="minorHAnsi"/>
          <w:bCs/>
        </w:rPr>
        <w:t>market comparators.</w:t>
      </w:r>
    </w:p>
    <w:p w:rsidR="00D755B5" w:rsidRPr="007D2B92" w:rsidRDefault="00056F46" w:rsidP="004E2FE6">
      <w:pPr>
        <w:pStyle w:val="ListParagraph"/>
        <w:widowControl/>
        <w:numPr>
          <w:ilvl w:val="1"/>
          <w:numId w:val="1"/>
        </w:numPr>
        <w:spacing w:after="120"/>
      </w:pPr>
      <w:r w:rsidRPr="007D2B92">
        <w:t>The PBAC noted the results of the clinical evidence provided, the naïve indirect comparison, the use of different assays across trials and the persistence data.</w:t>
      </w:r>
      <w:r w:rsidR="00D92BE6" w:rsidRPr="007D2B92">
        <w:t xml:space="preserve"> </w:t>
      </w:r>
      <w:r w:rsidR="00A05B78" w:rsidRPr="007D2B92">
        <w:rPr>
          <w:rFonts w:asciiTheme="minorHAnsi" w:hAnsiTheme="minorHAnsi"/>
          <w:bCs/>
          <w:szCs w:val="24"/>
        </w:rPr>
        <w:t xml:space="preserve">The PBAC noted the limitations of the </w:t>
      </w:r>
      <w:r w:rsidR="00361471" w:rsidRPr="007D2B92">
        <w:rPr>
          <w:rFonts w:asciiTheme="minorHAnsi" w:hAnsiTheme="minorHAnsi"/>
          <w:bCs/>
          <w:szCs w:val="24"/>
        </w:rPr>
        <w:t xml:space="preserve">available </w:t>
      </w:r>
      <w:r w:rsidR="00B76A8D" w:rsidRPr="007D2B92">
        <w:rPr>
          <w:rFonts w:asciiTheme="minorHAnsi" w:hAnsiTheme="minorHAnsi"/>
          <w:bCs/>
          <w:szCs w:val="24"/>
        </w:rPr>
        <w:t>clinical evidence including a small RCT</w:t>
      </w:r>
      <w:r w:rsidR="00A05B78" w:rsidRPr="007D2B92">
        <w:rPr>
          <w:rFonts w:asciiTheme="minorHAnsi" w:hAnsiTheme="minorHAnsi"/>
          <w:bCs/>
          <w:szCs w:val="24"/>
        </w:rPr>
        <w:t xml:space="preserve"> study directly comparing </w:t>
      </w:r>
      <w:proofErr w:type="spellStart"/>
      <w:r w:rsidR="00A05B78" w:rsidRPr="007D2B92">
        <w:rPr>
          <w:rFonts w:asciiTheme="minorHAnsi" w:hAnsiTheme="minorHAnsi"/>
          <w:bCs/>
          <w:szCs w:val="24"/>
        </w:rPr>
        <w:t>MenACWY</w:t>
      </w:r>
      <w:proofErr w:type="spellEnd"/>
      <w:r w:rsidR="00A05B78" w:rsidRPr="007D2B92">
        <w:rPr>
          <w:rFonts w:asciiTheme="minorHAnsi" w:hAnsiTheme="minorHAnsi"/>
          <w:bCs/>
          <w:szCs w:val="24"/>
        </w:rPr>
        <w:t xml:space="preserve">-CRM to the comparator </w:t>
      </w:r>
      <w:proofErr w:type="spellStart"/>
      <w:r w:rsidR="00A05B78" w:rsidRPr="007D2B92">
        <w:rPr>
          <w:rFonts w:asciiTheme="minorHAnsi" w:hAnsiTheme="minorHAnsi"/>
          <w:bCs/>
          <w:szCs w:val="24"/>
        </w:rPr>
        <w:t>MenACWY</w:t>
      </w:r>
      <w:proofErr w:type="spellEnd"/>
      <w:r w:rsidR="00A05B78" w:rsidRPr="007D2B92">
        <w:rPr>
          <w:rFonts w:asciiTheme="minorHAnsi" w:hAnsiTheme="minorHAnsi"/>
          <w:bCs/>
          <w:szCs w:val="24"/>
        </w:rPr>
        <w:t>-TT</w:t>
      </w:r>
      <w:r w:rsidR="00B76A8D" w:rsidRPr="007D2B92">
        <w:rPr>
          <w:rFonts w:asciiTheme="minorHAnsi" w:hAnsiTheme="minorHAnsi"/>
          <w:bCs/>
          <w:szCs w:val="24"/>
        </w:rPr>
        <w:t>, and a naïve indirect comparison using other studies</w:t>
      </w:r>
      <w:r w:rsidR="00D92BE6" w:rsidRPr="007D2B92">
        <w:rPr>
          <w:rFonts w:asciiTheme="minorHAnsi" w:hAnsiTheme="minorHAnsi"/>
          <w:bCs/>
          <w:szCs w:val="24"/>
        </w:rPr>
        <w:t xml:space="preserve"> and the limitations around the evidence on persistence</w:t>
      </w:r>
      <w:r w:rsidR="00B76A8D" w:rsidRPr="007D2B92">
        <w:rPr>
          <w:rFonts w:asciiTheme="minorHAnsi" w:hAnsiTheme="minorHAnsi"/>
          <w:bCs/>
          <w:szCs w:val="24"/>
        </w:rPr>
        <w:t>.</w:t>
      </w:r>
    </w:p>
    <w:p w:rsidR="00B76A8D" w:rsidRPr="007D2B92" w:rsidRDefault="00B76A8D" w:rsidP="004E2FE6">
      <w:pPr>
        <w:pStyle w:val="ListParagraph"/>
        <w:widowControl/>
        <w:numPr>
          <w:ilvl w:val="1"/>
          <w:numId w:val="1"/>
        </w:numPr>
      </w:pPr>
      <w:r w:rsidRPr="007D2B92">
        <w:rPr>
          <w:rFonts w:asciiTheme="minorHAnsi" w:hAnsiTheme="minorHAnsi"/>
          <w:bCs/>
          <w:szCs w:val="24"/>
        </w:rPr>
        <w:t xml:space="preserve">The PBAC considered the clinical claim of no difference in the immunogenicity </w:t>
      </w:r>
      <w:r w:rsidR="005E5900" w:rsidRPr="007D2B92">
        <w:rPr>
          <w:rFonts w:asciiTheme="minorHAnsi" w:hAnsiTheme="minorHAnsi"/>
          <w:bCs/>
          <w:szCs w:val="24"/>
        </w:rPr>
        <w:t xml:space="preserve">between the </w:t>
      </w:r>
      <w:proofErr w:type="spellStart"/>
      <w:r w:rsidRPr="007D2B92">
        <w:rPr>
          <w:rFonts w:asciiTheme="minorHAnsi" w:hAnsiTheme="minorHAnsi"/>
          <w:bCs/>
          <w:szCs w:val="24"/>
        </w:rPr>
        <w:t>MenACWY</w:t>
      </w:r>
      <w:proofErr w:type="spellEnd"/>
      <w:r w:rsidRPr="007D2B92">
        <w:rPr>
          <w:rFonts w:asciiTheme="minorHAnsi" w:hAnsiTheme="minorHAnsi"/>
          <w:bCs/>
          <w:szCs w:val="24"/>
        </w:rPr>
        <w:t xml:space="preserve">-CRM and </w:t>
      </w:r>
      <w:proofErr w:type="spellStart"/>
      <w:r w:rsidRPr="007D2B92">
        <w:rPr>
          <w:rFonts w:asciiTheme="minorHAnsi" w:hAnsiTheme="minorHAnsi"/>
          <w:bCs/>
          <w:szCs w:val="24"/>
        </w:rPr>
        <w:t>MenACWY</w:t>
      </w:r>
      <w:proofErr w:type="spellEnd"/>
      <w:r w:rsidRPr="007D2B92">
        <w:rPr>
          <w:rFonts w:asciiTheme="minorHAnsi" w:hAnsiTheme="minorHAnsi"/>
          <w:bCs/>
          <w:szCs w:val="24"/>
        </w:rPr>
        <w:t>-TT was reasonable</w:t>
      </w:r>
      <w:r w:rsidR="005E5900" w:rsidRPr="007D2B92">
        <w:rPr>
          <w:rFonts w:asciiTheme="minorHAnsi" w:hAnsiTheme="minorHAnsi"/>
          <w:bCs/>
          <w:szCs w:val="24"/>
        </w:rPr>
        <w:t>.</w:t>
      </w:r>
    </w:p>
    <w:p w:rsidR="00F7726D" w:rsidRPr="007D2B92" w:rsidRDefault="00F7726D" w:rsidP="00F7726D">
      <w:pPr>
        <w:numPr>
          <w:ilvl w:val="1"/>
          <w:numId w:val="1"/>
        </w:numPr>
        <w:spacing w:after="120"/>
        <w:rPr>
          <w:rFonts w:asciiTheme="minorHAnsi" w:hAnsiTheme="minorHAnsi"/>
          <w:bCs/>
        </w:rPr>
      </w:pPr>
      <w:r w:rsidRPr="007D2B92">
        <w:rPr>
          <w:rFonts w:asciiTheme="minorHAnsi" w:hAnsiTheme="minorHAnsi" w:cstheme="minorHAnsi"/>
          <w:szCs w:val="24"/>
        </w:rPr>
        <w:t xml:space="preserve">The PBAC recalled that for </w:t>
      </w:r>
      <w:proofErr w:type="spellStart"/>
      <w:r w:rsidRPr="007D2B92">
        <w:rPr>
          <w:rFonts w:asciiTheme="minorHAnsi" w:hAnsiTheme="minorHAnsi" w:cstheme="minorHAnsi"/>
          <w:szCs w:val="24"/>
        </w:rPr>
        <w:t>MenACWY</w:t>
      </w:r>
      <w:proofErr w:type="spellEnd"/>
      <w:r w:rsidRPr="007D2B92">
        <w:rPr>
          <w:rFonts w:asciiTheme="minorHAnsi" w:hAnsiTheme="minorHAnsi" w:cstheme="minorHAnsi"/>
          <w:szCs w:val="24"/>
        </w:rPr>
        <w:t xml:space="preserve">-TT there was uncertainty around </w:t>
      </w:r>
      <w:r w:rsidRPr="007D2B92">
        <w:t xml:space="preserve">the level of benefit provided by vaccination due to the lack of a surrogate serological correlate of protection for the efficacy of the </w:t>
      </w:r>
      <w:proofErr w:type="spellStart"/>
      <w:r w:rsidRPr="007D2B92">
        <w:t>MenACWY</w:t>
      </w:r>
      <w:proofErr w:type="spellEnd"/>
      <w:r w:rsidRPr="007D2B92">
        <w:t xml:space="preserve">-TT vaccine against IMD caused by serogroups A, W and Y; the impact of vaccination on herd immunity in other age groups in the Australian context; the natural history of the disease and likely future burden of </w:t>
      </w:r>
      <w:r w:rsidR="00C554E3">
        <w:t>disease without vaccinatio</w:t>
      </w:r>
      <w:r w:rsidRPr="007D2B92">
        <w:t xml:space="preserve">n; and the costs </w:t>
      </w:r>
      <w:r w:rsidR="00C554E3">
        <w:t>associated</w:t>
      </w:r>
      <w:r w:rsidRPr="007D2B92">
        <w:t xml:space="preserve"> with treating the permanent sequelae of IMD.  The PBAC considered that these uncertainties also appl</w:t>
      </w:r>
      <w:r w:rsidR="0066333C" w:rsidRPr="007D2B92">
        <w:t>ied</w:t>
      </w:r>
      <w:r w:rsidRPr="007D2B92">
        <w:t xml:space="preserve"> to </w:t>
      </w:r>
      <w:proofErr w:type="spellStart"/>
      <w:r w:rsidRPr="007D2B92">
        <w:t>MenACWY</w:t>
      </w:r>
      <w:proofErr w:type="spellEnd"/>
      <w:r w:rsidRPr="007D2B92">
        <w:t>-CRM.</w:t>
      </w:r>
      <w:r w:rsidR="0066333C" w:rsidRPr="007D2B92">
        <w:t xml:space="preserve"> </w:t>
      </w:r>
      <w:r w:rsidR="0066333C" w:rsidRPr="007D2B92">
        <w:rPr>
          <w:rFonts w:asciiTheme="minorHAnsi" w:hAnsiTheme="minorHAnsi"/>
          <w:bCs/>
          <w:szCs w:val="24"/>
        </w:rPr>
        <w:t xml:space="preserve">The PBAC noted that it is unlikely that additional data would become available to address these uncertainties and that both </w:t>
      </w:r>
      <w:proofErr w:type="spellStart"/>
      <w:r w:rsidR="0066333C" w:rsidRPr="007D2B92">
        <w:rPr>
          <w:rFonts w:asciiTheme="minorHAnsi" w:hAnsiTheme="minorHAnsi"/>
          <w:bCs/>
          <w:szCs w:val="24"/>
        </w:rPr>
        <w:t>MenACWY</w:t>
      </w:r>
      <w:proofErr w:type="spellEnd"/>
      <w:r w:rsidR="0066333C" w:rsidRPr="007D2B92">
        <w:rPr>
          <w:rFonts w:asciiTheme="minorHAnsi" w:hAnsiTheme="minorHAnsi"/>
          <w:bCs/>
          <w:szCs w:val="24"/>
        </w:rPr>
        <w:t xml:space="preserve">-CRM and </w:t>
      </w:r>
      <w:proofErr w:type="spellStart"/>
      <w:r w:rsidR="0066333C" w:rsidRPr="007D2B92">
        <w:rPr>
          <w:rFonts w:asciiTheme="minorHAnsi" w:hAnsiTheme="minorHAnsi"/>
          <w:bCs/>
          <w:szCs w:val="24"/>
        </w:rPr>
        <w:t>MenACWY</w:t>
      </w:r>
      <w:proofErr w:type="spellEnd"/>
      <w:r w:rsidR="0066333C" w:rsidRPr="007D2B92">
        <w:rPr>
          <w:rFonts w:asciiTheme="minorHAnsi" w:hAnsiTheme="minorHAnsi"/>
          <w:bCs/>
          <w:szCs w:val="24"/>
        </w:rPr>
        <w:t>-TT are currently used in State-based programs.</w:t>
      </w:r>
    </w:p>
    <w:p w:rsidR="00D755B5" w:rsidRPr="007D2B92" w:rsidRDefault="00FA5BF5" w:rsidP="004E2FE6">
      <w:pPr>
        <w:pStyle w:val="ListParagraph"/>
        <w:widowControl/>
        <w:numPr>
          <w:ilvl w:val="1"/>
          <w:numId w:val="1"/>
        </w:numPr>
      </w:pPr>
      <w:r w:rsidRPr="007D2B92">
        <w:t xml:space="preserve">The PBAC considered </w:t>
      </w:r>
      <w:r w:rsidR="00790C79" w:rsidRPr="007D2B92">
        <w:t xml:space="preserve">that </w:t>
      </w:r>
      <w:r w:rsidRPr="007D2B92">
        <w:t xml:space="preserve">the claim that there is no evidence of a difference in safety between the </w:t>
      </w:r>
      <w:proofErr w:type="spellStart"/>
      <w:r w:rsidRPr="007D2B92">
        <w:t>MenACWY</w:t>
      </w:r>
      <w:proofErr w:type="spellEnd"/>
      <w:r w:rsidRPr="007D2B92">
        <w:t xml:space="preserve">-CRM and </w:t>
      </w:r>
      <w:proofErr w:type="spellStart"/>
      <w:r w:rsidRPr="007D2B92">
        <w:t>MenACWY</w:t>
      </w:r>
      <w:proofErr w:type="spellEnd"/>
      <w:r w:rsidRPr="007D2B92">
        <w:t>-TT vaccines was reasonable</w:t>
      </w:r>
      <w:r w:rsidR="0066333C" w:rsidRPr="007D2B92">
        <w:t xml:space="preserve"> and noted </w:t>
      </w:r>
      <w:r w:rsidR="00330E86" w:rsidRPr="007D2B92">
        <w:t xml:space="preserve">that adverse events associated with these vaccines </w:t>
      </w:r>
      <w:r w:rsidR="00C07DD5" w:rsidRPr="007D2B92">
        <w:t xml:space="preserve">are </w:t>
      </w:r>
      <w:r w:rsidR="00330E86" w:rsidRPr="007D2B92">
        <w:t xml:space="preserve">generally mild or </w:t>
      </w:r>
      <w:r w:rsidR="00330E86" w:rsidRPr="007D2B92">
        <w:lastRenderedPageBreak/>
        <w:t>moderate.</w:t>
      </w:r>
      <w:r w:rsidR="00790C79" w:rsidRPr="007D2B92">
        <w:t xml:space="preserve"> The PBAC noted that </w:t>
      </w:r>
      <w:proofErr w:type="spellStart"/>
      <w:r w:rsidR="00790C79" w:rsidRPr="007D2B92">
        <w:t>MenACWY</w:t>
      </w:r>
      <w:proofErr w:type="spellEnd"/>
      <w:r w:rsidR="00790C79" w:rsidRPr="007D2B92">
        <w:t>-CRM has been used in State-based vaccination programs without any concerns of safety emerging.</w:t>
      </w:r>
    </w:p>
    <w:p w:rsidR="00D755B5" w:rsidRPr="007D2B92" w:rsidRDefault="00BD2F5D" w:rsidP="004E2FE6">
      <w:pPr>
        <w:widowControl/>
        <w:numPr>
          <w:ilvl w:val="1"/>
          <w:numId w:val="1"/>
        </w:numPr>
        <w:spacing w:after="120"/>
        <w:rPr>
          <w:rFonts w:asciiTheme="minorHAnsi" w:hAnsiTheme="minorHAnsi"/>
          <w:bCs/>
          <w:szCs w:val="24"/>
        </w:rPr>
      </w:pPr>
      <w:r>
        <w:rPr>
          <w:rFonts w:asciiTheme="minorHAnsi" w:hAnsiTheme="minorHAnsi"/>
          <w:bCs/>
          <w:szCs w:val="24"/>
        </w:rPr>
        <w:t>The PBAC noted that</w:t>
      </w:r>
      <w:r w:rsidR="00325BB1" w:rsidRPr="007D2B92">
        <w:rPr>
          <w:rFonts w:asciiTheme="minorHAnsi" w:hAnsiTheme="minorHAnsi"/>
          <w:bCs/>
          <w:szCs w:val="24"/>
        </w:rPr>
        <w:t xml:space="preserve"> the utilisation and financial estimates </w:t>
      </w:r>
      <w:r>
        <w:rPr>
          <w:rFonts w:asciiTheme="minorHAnsi" w:hAnsiTheme="minorHAnsi"/>
          <w:bCs/>
          <w:szCs w:val="24"/>
        </w:rPr>
        <w:t>were uncertain due to the submission only costing the first year of the catch-up program and uncertain uptake rates of the current State-based programs and the proposed NIP program</w:t>
      </w:r>
      <w:r w:rsidR="00325BB1" w:rsidRPr="007D2B92">
        <w:rPr>
          <w:rFonts w:asciiTheme="minorHAnsi" w:hAnsiTheme="minorHAnsi"/>
          <w:bCs/>
          <w:szCs w:val="24"/>
        </w:rPr>
        <w:t xml:space="preserve">. </w:t>
      </w:r>
      <w:r w:rsidR="00FE6F51" w:rsidRPr="007D2B92">
        <w:rPr>
          <w:rFonts w:asciiTheme="minorHAnsi" w:hAnsiTheme="minorHAnsi"/>
          <w:bCs/>
          <w:szCs w:val="24"/>
        </w:rPr>
        <w:t xml:space="preserve"> </w:t>
      </w:r>
    </w:p>
    <w:p w:rsidR="00285C3D" w:rsidRPr="007D2B92" w:rsidRDefault="00285C3D" w:rsidP="004E2FE6">
      <w:pPr>
        <w:pStyle w:val="ListParagraph"/>
        <w:widowControl/>
        <w:numPr>
          <w:ilvl w:val="1"/>
          <w:numId w:val="1"/>
        </w:numPr>
        <w:rPr>
          <w:rFonts w:asciiTheme="minorHAnsi" w:hAnsiTheme="minorHAnsi" w:cstheme="minorHAnsi"/>
          <w:bCs/>
        </w:rPr>
      </w:pPr>
      <w:r w:rsidRPr="007D2B92">
        <w:rPr>
          <w:rFonts w:asciiTheme="minorHAnsi" w:hAnsiTheme="minorHAnsi" w:cstheme="minorHAnsi"/>
          <w:bCs/>
        </w:rPr>
        <w:t>The PBAC noted that ATAGI recommended a review of this drug five years after implementation and that activities to support quality use of this medicine were suggested.</w:t>
      </w:r>
    </w:p>
    <w:p w:rsidR="00C655D1" w:rsidRPr="007D2B92" w:rsidRDefault="00C655D1" w:rsidP="004E2FE6">
      <w:pPr>
        <w:pStyle w:val="ListParagraph"/>
        <w:widowControl/>
        <w:numPr>
          <w:ilvl w:val="1"/>
          <w:numId w:val="1"/>
        </w:numPr>
      </w:pPr>
      <w:r w:rsidRPr="007D2B92">
        <w:t>The PBAC noted that this submission is not eligible for independent review as independent review is only relevant to PBS listing.</w:t>
      </w:r>
    </w:p>
    <w:p w:rsidR="00D755B5" w:rsidRPr="007D2B92" w:rsidRDefault="00D755B5" w:rsidP="00D755B5">
      <w:pPr>
        <w:widowControl/>
        <w:spacing w:before="240" w:after="120"/>
        <w:rPr>
          <w:rFonts w:asciiTheme="minorHAnsi" w:hAnsiTheme="minorHAnsi"/>
          <w:b/>
          <w:bCs/>
          <w:szCs w:val="24"/>
        </w:rPr>
      </w:pPr>
      <w:r w:rsidRPr="007D2B92">
        <w:rPr>
          <w:rFonts w:asciiTheme="minorHAnsi" w:hAnsiTheme="minorHAnsi"/>
          <w:b/>
          <w:bCs/>
          <w:szCs w:val="24"/>
        </w:rPr>
        <w:t>Outcome:</w:t>
      </w:r>
    </w:p>
    <w:p w:rsidR="006B70CB" w:rsidRPr="007D2B92" w:rsidRDefault="00D755B5" w:rsidP="00312552">
      <w:pPr>
        <w:widowControl/>
        <w:spacing w:after="120"/>
        <w:rPr>
          <w:rFonts w:asciiTheme="minorHAnsi" w:hAnsiTheme="minorHAnsi"/>
          <w:bCs/>
          <w:szCs w:val="24"/>
        </w:rPr>
      </w:pPr>
      <w:r w:rsidRPr="007D2B92">
        <w:rPr>
          <w:rFonts w:asciiTheme="minorHAnsi" w:hAnsiTheme="minorHAnsi"/>
          <w:bCs/>
          <w:szCs w:val="24"/>
        </w:rPr>
        <w:t xml:space="preserve">Recommended </w:t>
      </w:r>
    </w:p>
    <w:p w:rsidR="00E871D5" w:rsidRPr="007D2B92" w:rsidRDefault="00E871D5" w:rsidP="00E871D5">
      <w:pPr>
        <w:widowControl/>
        <w:spacing w:after="120"/>
        <w:rPr>
          <w:rFonts w:asciiTheme="minorHAnsi" w:hAnsiTheme="minorHAnsi" w:cstheme="minorHAnsi"/>
          <w:bCs/>
          <w:szCs w:val="24"/>
        </w:rPr>
      </w:pPr>
    </w:p>
    <w:p w:rsidR="00BF5014" w:rsidRPr="007D2B92" w:rsidRDefault="00BF5014" w:rsidP="00BF5014">
      <w:pPr>
        <w:pStyle w:val="PBACHeading1"/>
        <w:numPr>
          <w:ilvl w:val="0"/>
          <w:numId w:val="1"/>
        </w:numPr>
        <w:outlineLvl w:val="0"/>
      </w:pPr>
      <w:r w:rsidRPr="007D2B92">
        <w:t>Recommended listing</w:t>
      </w:r>
    </w:p>
    <w:p w:rsidR="00BF5014" w:rsidRPr="007D2B92" w:rsidRDefault="00BF5014" w:rsidP="00BF5014">
      <w:pPr>
        <w:pStyle w:val="ListParagraph"/>
        <w:widowControl/>
        <w:numPr>
          <w:ilvl w:val="1"/>
          <w:numId w:val="1"/>
        </w:numPr>
        <w:spacing w:after="120"/>
      </w:pPr>
      <w:r w:rsidRPr="007D2B92">
        <w:t>Add new item to the NIP:</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01"/>
        <w:gridCol w:w="996"/>
        <w:gridCol w:w="996"/>
        <w:gridCol w:w="849"/>
        <w:gridCol w:w="3601"/>
      </w:tblGrid>
      <w:tr w:rsidR="00673FA2" w:rsidRPr="007D2B92" w:rsidTr="00673FA2">
        <w:tc>
          <w:tcPr>
            <w:tcW w:w="1515" w:type="pct"/>
          </w:tcPr>
          <w:p w:rsidR="00673FA2" w:rsidRPr="007D2B92" w:rsidRDefault="00673FA2" w:rsidP="00CD544A">
            <w:pPr>
              <w:pStyle w:val="Tabletext"/>
              <w:keepNext/>
              <w:rPr>
                <w:b/>
                <w:bCs/>
              </w:rPr>
            </w:pPr>
            <w:r w:rsidRPr="007D2B92">
              <w:rPr>
                <w:b/>
              </w:rPr>
              <w:t>Name, restriction, manner of administration, form</w:t>
            </w:r>
          </w:p>
        </w:tc>
        <w:tc>
          <w:tcPr>
            <w:tcW w:w="539" w:type="pct"/>
            <w:vAlign w:val="center"/>
          </w:tcPr>
          <w:p w:rsidR="00673FA2" w:rsidRPr="007D2B92" w:rsidRDefault="00673FA2" w:rsidP="00CD544A">
            <w:pPr>
              <w:pStyle w:val="Tabletext"/>
              <w:keepNext/>
              <w:jc w:val="center"/>
              <w:rPr>
                <w:b/>
                <w:bCs/>
              </w:rPr>
            </w:pPr>
            <w:r w:rsidRPr="007D2B92">
              <w:rPr>
                <w:b/>
              </w:rPr>
              <w:t>Maximum quantity (packs)</w:t>
            </w:r>
          </w:p>
        </w:tc>
        <w:tc>
          <w:tcPr>
            <w:tcW w:w="539" w:type="pct"/>
            <w:vAlign w:val="center"/>
          </w:tcPr>
          <w:p w:rsidR="00673FA2" w:rsidRPr="007D2B92" w:rsidRDefault="00673FA2" w:rsidP="00CD544A">
            <w:pPr>
              <w:pStyle w:val="Tabletext"/>
              <w:keepNext/>
              <w:jc w:val="center"/>
              <w:rPr>
                <w:b/>
                <w:bCs/>
              </w:rPr>
            </w:pPr>
            <w:r w:rsidRPr="007D2B92">
              <w:rPr>
                <w:b/>
              </w:rPr>
              <w:t>Maximum quantity (units)</w:t>
            </w:r>
          </w:p>
        </w:tc>
        <w:tc>
          <w:tcPr>
            <w:tcW w:w="459" w:type="pct"/>
            <w:vAlign w:val="center"/>
          </w:tcPr>
          <w:p w:rsidR="00673FA2" w:rsidRPr="007D2B92" w:rsidRDefault="00673FA2" w:rsidP="00CD544A">
            <w:pPr>
              <w:pStyle w:val="Tabletext"/>
              <w:keepNext/>
              <w:jc w:val="center"/>
              <w:rPr>
                <w:b/>
                <w:bCs/>
              </w:rPr>
            </w:pPr>
            <w:r w:rsidRPr="007D2B92">
              <w:rPr>
                <w:b/>
              </w:rPr>
              <w:t>No. of repeats</w:t>
            </w:r>
          </w:p>
        </w:tc>
        <w:tc>
          <w:tcPr>
            <w:tcW w:w="1948" w:type="pct"/>
            <w:vAlign w:val="center"/>
          </w:tcPr>
          <w:p w:rsidR="00673FA2" w:rsidRPr="007D2B92" w:rsidRDefault="00673FA2" w:rsidP="00CD544A">
            <w:pPr>
              <w:pStyle w:val="Tabletext"/>
              <w:keepNext/>
              <w:jc w:val="center"/>
              <w:rPr>
                <w:b/>
                <w:bCs/>
              </w:rPr>
            </w:pPr>
            <w:r w:rsidRPr="007D2B92">
              <w:rPr>
                <w:b/>
              </w:rPr>
              <w:t>Proprietary name and manufacturer</w:t>
            </w:r>
          </w:p>
        </w:tc>
      </w:tr>
      <w:tr w:rsidR="00673FA2" w:rsidRPr="007D2B92" w:rsidTr="00673FA2">
        <w:tc>
          <w:tcPr>
            <w:tcW w:w="1515" w:type="pct"/>
          </w:tcPr>
          <w:p w:rsidR="00673FA2" w:rsidRPr="007D2B92" w:rsidRDefault="00673FA2" w:rsidP="00CD544A">
            <w:pPr>
              <w:pStyle w:val="Tabletext"/>
              <w:keepNext/>
            </w:pPr>
            <w:r w:rsidRPr="007D2B92">
              <w:t xml:space="preserve">Meningococcal (Groups A, C, W-135 and Y) Oligosaccharide CRM197 Conjugate Vaccine powder and solvent for solution for injection </w:t>
            </w:r>
          </w:p>
          <w:p w:rsidR="00673FA2" w:rsidRPr="007D2B92" w:rsidRDefault="00673FA2" w:rsidP="00CD544A">
            <w:pPr>
              <w:pStyle w:val="Tabletext"/>
              <w:keepNext/>
              <w:rPr>
                <w:b/>
                <w:bCs/>
              </w:rPr>
            </w:pPr>
            <w:r w:rsidRPr="007D2B92">
              <w:t>Pre-filled syringe, 0.5mL</w:t>
            </w:r>
          </w:p>
        </w:tc>
        <w:tc>
          <w:tcPr>
            <w:tcW w:w="539" w:type="pct"/>
            <w:vAlign w:val="center"/>
          </w:tcPr>
          <w:p w:rsidR="00673FA2" w:rsidRPr="007D2B92" w:rsidRDefault="00673FA2" w:rsidP="00CD544A">
            <w:pPr>
              <w:pStyle w:val="Tabletext"/>
              <w:keepNext/>
              <w:jc w:val="center"/>
              <w:rPr>
                <w:rFonts w:ascii="Times" w:hAnsi="Times"/>
              </w:rPr>
            </w:pPr>
            <w:r w:rsidRPr="007D2B92">
              <w:t>1</w:t>
            </w:r>
          </w:p>
        </w:tc>
        <w:tc>
          <w:tcPr>
            <w:tcW w:w="539" w:type="pct"/>
            <w:vAlign w:val="center"/>
          </w:tcPr>
          <w:p w:rsidR="00673FA2" w:rsidRPr="007D2B92" w:rsidRDefault="00673FA2" w:rsidP="00CD544A">
            <w:pPr>
              <w:pStyle w:val="Tabletext"/>
              <w:keepNext/>
              <w:jc w:val="center"/>
              <w:rPr>
                <w:rFonts w:ascii="Times" w:hAnsi="Times"/>
              </w:rPr>
            </w:pPr>
            <w:r w:rsidRPr="007D2B92">
              <w:t>1</w:t>
            </w:r>
          </w:p>
        </w:tc>
        <w:tc>
          <w:tcPr>
            <w:tcW w:w="459" w:type="pct"/>
            <w:shd w:val="clear" w:color="auto" w:fill="auto"/>
            <w:vAlign w:val="center"/>
          </w:tcPr>
          <w:p w:rsidR="00673FA2" w:rsidRPr="007D2B92" w:rsidRDefault="00673FA2" w:rsidP="00CD544A">
            <w:pPr>
              <w:pStyle w:val="Tabletext"/>
              <w:keepNext/>
              <w:jc w:val="center"/>
              <w:rPr>
                <w:rFonts w:ascii="Times" w:hAnsi="Times"/>
              </w:rPr>
            </w:pPr>
            <w:r w:rsidRPr="007D2B92">
              <w:t>0</w:t>
            </w:r>
          </w:p>
        </w:tc>
        <w:tc>
          <w:tcPr>
            <w:tcW w:w="1948" w:type="pct"/>
            <w:vAlign w:val="center"/>
          </w:tcPr>
          <w:p w:rsidR="00673FA2" w:rsidRPr="007D2B92" w:rsidRDefault="00673FA2" w:rsidP="00CD544A">
            <w:pPr>
              <w:pStyle w:val="Tabletext"/>
              <w:keepNext/>
              <w:jc w:val="center"/>
              <w:rPr>
                <w:rFonts w:ascii="Times" w:hAnsi="Times"/>
              </w:rPr>
            </w:pPr>
            <w:proofErr w:type="spellStart"/>
            <w:r w:rsidRPr="007D2B92">
              <w:t>Menveo</w:t>
            </w:r>
            <w:proofErr w:type="spellEnd"/>
            <w:r w:rsidRPr="007D2B92">
              <w:rPr>
                <w:rFonts w:eastAsiaTheme="minorHAnsi" w:cstheme="minorHAnsi"/>
              </w:rPr>
              <w:t>®</w:t>
            </w:r>
            <w:r w:rsidRPr="007D2B92">
              <w:t>, GlaxoSmithKline Australia Pty Ltd</w:t>
            </w:r>
          </w:p>
        </w:tc>
      </w:tr>
      <w:tr w:rsidR="007465B1" w:rsidRPr="007D2B92" w:rsidTr="00CD544A">
        <w:tc>
          <w:tcPr>
            <w:tcW w:w="5000" w:type="pct"/>
            <w:gridSpan w:val="5"/>
          </w:tcPr>
          <w:p w:rsidR="007465B1" w:rsidRPr="007D2B92" w:rsidRDefault="007465B1" w:rsidP="00CD544A">
            <w:pPr>
              <w:pStyle w:val="Tabletext"/>
            </w:pPr>
            <w:r w:rsidRPr="007D2B92">
              <w:t>Category/Program – NIP</w:t>
            </w:r>
          </w:p>
          <w:p w:rsidR="007465B1" w:rsidRPr="007D2B92" w:rsidRDefault="007465B1" w:rsidP="00CD544A">
            <w:pPr>
              <w:pStyle w:val="Tabletext"/>
            </w:pPr>
          </w:p>
          <w:p w:rsidR="007465B1" w:rsidRPr="007D2B92" w:rsidRDefault="007465B1" w:rsidP="00CD544A">
            <w:pPr>
              <w:pStyle w:val="Tabletext"/>
            </w:pPr>
            <w:r w:rsidRPr="007D2B92">
              <w:t xml:space="preserve">Routine NIP indication: </w:t>
            </w:r>
          </w:p>
          <w:p w:rsidR="007465B1" w:rsidRPr="007D2B92" w:rsidRDefault="007465B1" w:rsidP="00CD544A">
            <w:pPr>
              <w:pStyle w:val="Tabletext"/>
            </w:pPr>
            <w:r w:rsidRPr="007D2B92">
              <w:t>•</w:t>
            </w:r>
            <w:r w:rsidRPr="007D2B92">
              <w:tab/>
              <w:t xml:space="preserve">A single dose of </w:t>
            </w:r>
            <w:proofErr w:type="spellStart"/>
            <w:r w:rsidRPr="007D2B92">
              <w:t>Menveo</w:t>
            </w:r>
            <w:proofErr w:type="spellEnd"/>
            <w:r w:rsidRPr="007D2B92">
              <w:t xml:space="preserve"> (</w:t>
            </w:r>
            <w:proofErr w:type="spellStart"/>
            <w:r w:rsidRPr="007D2B92">
              <w:t>MenACWY</w:t>
            </w:r>
            <w:proofErr w:type="spellEnd"/>
            <w:r w:rsidRPr="007D2B92">
              <w:t>-CRM) for adolescents aged 14 to 16 years old (administered via a school-based program * OR</w:t>
            </w:r>
          </w:p>
          <w:p w:rsidR="007465B1" w:rsidRPr="007D2B92" w:rsidRDefault="007465B1" w:rsidP="00CD544A">
            <w:pPr>
              <w:pStyle w:val="Tabletext"/>
            </w:pPr>
            <w:r w:rsidRPr="007D2B92">
              <w:t>•</w:t>
            </w:r>
            <w:r w:rsidRPr="007D2B92">
              <w:tab/>
              <w:t xml:space="preserve">A single dose of </w:t>
            </w:r>
            <w:proofErr w:type="spellStart"/>
            <w:r w:rsidRPr="007D2B92">
              <w:t>Menveo</w:t>
            </w:r>
            <w:proofErr w:type="spellEnd"/>
            <w:r w:rsidRPr="007D2B92">
              <w:t xml:space="preserve"> (</w:t>
            </w:r>
            <w:proofErr w:type="spellStart"/>
            <w:r w:rsidRPr="007D2B92">
              <w:t>MenACWY</w:t>
            </w:r>
            <w:proofErr w:type="spellEnd"/>
            <w:r w:rsidRPr="007D2B92">
              <w:t>-CRM) for adolescents aged up to 19 years administered via a school</w:t>
            </w:r>
            <w:r w:rsidRPr="007D2B92">
              <w:noBreakHyphen/>
              <w:t>based catch-up program or accessed via the GP (school-leavers).**</w:t>
            </w:r>
          </w:p>
          <w:p w:rsidR="007465B1" w:rsidRPr="007D2B92" w:rsidRDefault="007465B1" w:rsidP="00CD544A">
            <w:pPr>
              <w:pStyle w:val="Tabletext"/>
            </w:pPr>
          </w:p>
          <w:p w:rsidR="007465B1" w:rsidRPr="007D2B92" w:rsidRDefault="007465B1" w:rsidP="00CD544A">
            <w:pPr>
              <w:pStyle w:val="Tabletext"/>
              <w:ind w:left="388" w:hanging="388"/>
            </w:pPr>
            <w:r w:rsidRPr="007D2B92">
              <w:t>* For all adolescents in year 10.</w:t>
            </w:r>
          </w:p>
          <w:p w:rsidR="007465B1" w:rsidRPr="007D2B92" w:rsidRDefault="007465B1" w:rsidP="00673FA2">
            <w:pPr>
              <w:pStyle w:val="Tabletext"/>
              <w:rPr>
                <w:i/>
              </w:rPr>
            </w:pPr>
            <w:r w:rsidRPr="007D2B92">
              <w:t>** For all adolescents in year 11 and 12 (or school-leavers)</w:t>
            </w:r>
            <w:r w:rsidR="00673FA2" w:rsidRPr="007D2B92">
              <w:rPr>
                <w:strike/>
              </w:rPr>
              <w:t xml:space="preserve"> </w:t>
            </w:r>
            <w:r w:rsidRPr="007D2B92">
              <w:t>who did not receive the vaccination in year 10.</w:t>
            </w:r>
          </w:p>
        </w:tc>
      </w:tr>
    </w:tbl>
    <w:p w:rsidR="00D755B5" w:rsidRPr="007D2B92" w:rsidRDefault="00D755B5" w:rsidP="00D755B5">
      <w:pPr>
        <w:widowControl/>
        <w:jc w:val="left"/>
        <w:rPr>
          <w:rFonts w:ascii="Times New Roman" w:hAnsi="Times New Roman" w:cs="Times New Roman"/>
          <w:snapToGrid/>
          <w:szCs w:val="24"/>
        </w:rPr>
      </w:pPr>
    </w:p>
    <w:p w:rsidR="00AC4F30" w:rsidRDefault="00AC4F30" w:rsidP="00AC4F30">
      <w:pPr>
        <w:pStyle w:val="PBACHeading1"/>
        <w:numPr>
          <w:ilvl w:val="0"/>
          <w:numId w:val="1"/>
        </w:numPr>
        <w:spacing w:before="240" w:after="120"/>
        <w:outlineLvl w:val="0"/>
      </w:pPr>
      <w:r>
        <w:t xml:space="preserve">Context for Decision </w:t>
      </w:r>
    </w:p>
    <w:p w:rsidR="00AC4F30" w:rsidRPr="00AC4F30" w:rsidRDefault="00AC4F30" w:rsidP="00AC4F30">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Pr>
          <w:rFonts w:asciiTheme="minorHAnsi" w:hAnsiTheme="minorHAnsi"/>
        </w:rPr>
        <w:t>nt review of the PBAC decision.</w:t>
      </w:r>
    </w:p>
    <w:p w:rsidR="00AC4F30" w:rsidRDefault="00AC4F30" w:rsidP="00AC4F30">
      <w:pPr>
        <w:pStyle w:val="PBACHeading1"/>
        <w:numPr>
          <w:ilvl w:val="0"/>
          <w:numId w:val="1"/>
        </w:numPr>
        <w:spacing w:before="240" w:after="120"/>
        <w:outlineLvl w:val="0"/>
      </w:pPr>
      <w:r>
        <w:lastRenderedPageBreak/>
        <w:t xml:space="preserve">Sponsor’s Comment </w:t>
      </w:r>
    </w:p>
    <w:p w:rsidR="00095379" w:rsidRPr="00AC4F30" w:rsidRDefault="003007F9" w:rsidP="00AC4F30">
      <w:pPr>
        <w:rPr>
          <w:rFonts w:ascii="Arial" w:hAnsi="Arial"/>
          <w:sz w:val="22"/>
        </w:rPr>
      </w:pPr>
      <w:r w:rsidRPr="003007F9">
        <w:rPr>
          <w:rFonts w:asciiTheme="minorHAnsi" w:hAnsiTheme="minorHAnsi"/>
          <w:bCs/>
          <w:lang w:val="en-GB"/>
        </w:rPr>
        <w:t xml:space="preserve">GSK welcomes the PBAC positive recommendation for inclusion of </w:t>
      </w:r>
      <w:proofErr w:type="spellStart"/>
      <w:r w:rsidRPr="003007F9">
        <w:rPr>
          <w:rFonts w:asciiTheme="minorHAnsi" w:hAnsiTheme="minorHAnsi"/>
          <w:bCs/>
          <w:lang w:val="en-GB"/>
        </w:rPr>
        <w:t>Menveo</w:t>
      </w:r>
      <w:proofErr w:type="spellEnd"/>
      <w:r w:rsidRPr="003007F9">
        <w:rPr>
          <w:rFonts w:asciiTheme="minorHAnsi" w:hAnsiTheme="minorHAnsi"/>
          <w:bCs/>
          <w:lang w:val="en-GB"/>
        </w:rPr>
        <w:t xml:space="preserve"> on the NIP for year 10 students (aged 14-16). GSK looks forward to working with the PBAC to ensure the recommendation can be implemented.</w:t>
      </w:r>
    </w:p>
    <w:sectPr w:rsidR="00095379" w:rsidRPr="00AC4F30" w:rsidSect="005A033E">
      <w:headerReference w:type="default" r:id="rId18"/>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6E8EF6" w15:done="0"/>
  <w15:commentEx w15:paraId="1C589260" w15:done="0"/>
  <w15:commentEx w15:paraId="27C3A13D" w15:done="0"/>
  <w15:commentEx w15:paraId="4726E3F4" w15:done="0"/>
  <w15:commentEx w15:paraId="63BDF23C" w15:done="0"/>
  <w15:commentEx w15:paraId="4A96F81E" w15:done="0"/>
  <w15:commentEx w15:paraId="5F0255FA" w15:paraIdParent="4A96F81E" w15:done="0"/>
  <w15:commentEx w15:paraId="52E9FD06" w15:done="0"/>
  <w15:commentEx w15:paraId="757444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6E8EF6" w16cid:durableId="1F5349C1"/>
  <w16cid:commentId w16cid:paraId="1C589260" w16cid:durableId="1F5349C2"/>
  <w16cid:commentId w16cid:paraId="27C3A13D" w16cid:durableId="1F5349C3"/>
  <w16cid:commentId w16cid:paraId="4726E3F4" w16cid:durableId="1F5349C4"/>
  <w16cid:commentId w16cid:paraId="63BDF23C" w16cid:durableId="1F5349C5"/>
  <w16cid:commentId w16cid:paraId="4A96F81E" w16cid:durableId="1F5349C6"/>
  <w16cid:commentId w16cid:paraId="5F0255FA" w16cid:durableId="1F534C5A"/>
  <w16cid:commentId w16cid:paraId="52E9FD06" w16cid:durableId="1F5349C7"/>
  <w16cid:commentId w16cid:paraId="75744478" w16cid:durableId="1F5349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40" w:rsidRDefault="00346D40" w:rsidP="00124A51">
      <w:r>
        <w:separator/>
      </w:r>
    </w:p>
    <w:p w:rsidR="00346D40" w:rsidRDefault="00346D40"/>
  </w:endnote>
  <w:endnote w:type="continuationSeparator" w:id="0">
    <w:p w:rsidR="00346D40" w:rsidRDefault="00346D40" w:rsidP="00124A51">
      <w:r>
        <w:continuationSeparator/>
      </w:r>
    </w:p>
    <w:p w:rsidR="00346D40" w:rsidRDefault="0034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modern"/>
    <w:pitch w:val="fixed"/>
    <w:sig w:usb0="00000000" w:usb1="D200F9FB" w:usb2="02000028" w:usb3="00000000" w:csb0="000001DF" w:csb1="00000000"/>
  </w:font>
  <w:font w:name="KodchiangUPC">
    <w:panose1 w:val="02020603050405020304"/>
    <w:charset w:val="00"/>
    <w:family w:val="roman"/>
    <w:pitch w:val="variable"/>
    <w:sig w:usb0="01000007" w:usb1="00000002" w:usb2="00000000" w:usb3="00000000" w:csb0="00010001" w:csb1="00000000"/>
  </w:font>
  <w:font w:name="Sabon">
    <w:altName w:val="Cambria"/>
    <w:charset w:val="00"/>
    <w:family w:val="roman"/>
    <w:pitch w:val="variable"/>
    <w:sig w:usb0="00000001" w:usb1="00000000" w:usb2="00000000" w:usb3="00000000" w:csb0="0000009F" w:csb1="00000000"/>
  </w:font>
  <w:font w:name="Calibri+FPE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136" w:rsidRDefault="00192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719596"/>
      <w:docPartObj>
        <w:docPartGallery w:val="Page Numbers (Bottom of Page)"/>
        <w:docPartUnique/>
      </w:docPartObj>
    </w:sdtPr>
    <w:sdtEndPr>
      <w:rPr>
        <w:noProof/>
      </w:rPr>
    </w:sdtEndPr>
    <w:sdtContent>
      <w:p w:rsidR="00BE5DB6" w:rsidRDefault="00BE5DB6" w:rsidP="00BE5DB6">
        <w:pPr>
          <w:pStyle w:val="Footer"/>
          <w:jc w:val="center"/>
        </w:pPr>
      </w:p>
      <w:p w:rsidR="00A23C26" w:rsidRDefault="00A23C26" w:rsidP="00BE5DB6">
        <w:pPr>
          <w:pStyle w:val="Footer"/>
          <w:jc w:val="center"/>
        </w:pPr>
        <w:r>
          <w:fldChar w:fldCharType="begin"/>
        </w:r>
        <w:r>
          <w:instrText xml:space="preserve"> PAGE   \* MERGEFORMAT </w:instrText>
        </w:r>
        <w:r>
          <w:fldChar w:fldCharType="separate"/>
        </w:r>
        <w:r w:rsidR="00F0313D">
          <w:rPr>
            <w:noProof/>
          </w:rPr>
          <w:t>13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136" w:rsidRDefault="00192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40" w:rsidRDefault="00346D40" w:rsidP="00124A51">
      <w:r>
        <w:separator/>
      </w:r>
    </w:p>
    <w:p w:rsidR="00346D40" w:rsidRDefault="00346D40"/>
  </w:footnote>
  <w:footnote w:type="continuationSeparator" w:id="0">
    <w:p w:rsidR="00346D40" w:rsidRDefault="00346D40" w:rsidP="00124A51">
      <w:r>
        <w:continuationSeparator/>
      </w:r>
    </w:p>
    <w:p w:rsidR="00346D40" w:rsidRDefault="00346D40"/>
  </w:footnote>
  <w:footnote w:id="1">
    <w:p w:rsidR="00A23C26" w:rsidRDefault="00A23C26">
      <w:pPr>
        <w:pStyle w:val="FootnoteText"/>
      </w:pPr>
      <w:r>
        <w:rPr>
          <w:rStyle w:val="FootnoteReference"/>
        </w:rPr>
        <w:footnoteRef/>
      </w:r>
      <w:r>
        <w:t xml:space="preserve"> </w:t>
      </w:r>
      <w:r w:rsidRPr="00B21B0E">
        <w:rPr>
          <w:noProof/>
        </w:rPr>
        <w:t>Department of Health. (2017a, August 1). 4.10 Meningococcal disease. Retrieved from THE AUSTRALIAN IMMUNISATION HANDBOOK 10TH EDITION: http://immunise.health.gov.au/internet/immunise/publishing.nsf/Content/Handbook10-home~handbook10part4~handbook10-4-10</w:t>
      </w:r>
    </w:p>
  </w:footnote>
  <w:footnote w:id="2">
    <w:p w:rsidR="00A23C26" w:rsidRPr="00CD544A" w:rsidRDefault="00A23C26" w:rsidP="00325E66">
      <w:pPr>
        <w:pStyle w:val="FootnoteText"/>
      </w:pPr>
      <w:r w:rsidRPr="00CD544A">
        <w:rPr>
          <w:rStyle w:val="FootnoteReference"/>
        </w:rPr>
        <w:footnoteRef/>
      </w:r>
      <w:r w:rsidRPr="00CD544A">
        <w:t xml:space="preserve"> </w:t>
      </w:r>
      <w:r w:rsidRPr="00CD544A">
        <w:rPr>
          <w:rFonts w:eastAsia="Calibri+FPEF" w:cstheme="minorHAnsi"/>
          <w:szCs w:val="18"/>
          <w:lang w:eastAsia="en-AU"/>
        </w:rPr>
        <w:t>PBAC (</w:t>
      </w:r>
      <w:r w:rsidRPr="00CD544A">
        <w:rPr>
          <w:rFonts w:eastAsia="Calibri+FPEF" w:cstheme="minorHAnsi"/>
          <w:iCs/>
          <w:szCs w:val="18"/>
          <w:lang w:eastAsia="en-AU"/>
        </w:rPr>
        <w:t xml:space="preserve">March 2018) Public summary document: Meningococcal polysaccharide conjugate vaccine serogroups A, C, W-135 and Y (adolescents), pre-filled syringe, 0.5mL, </w:t>
      </w:r>
      <w:proofErr w:type="spellStart"/>
      <w:r w:rsidRPr="00CD544A">
        <w:rPr>
          <w:rFonts w:eastAsia="Calibri+FPEF" w:cstheme="minorHAnsi"/>
          <w:iCs/>
          <w:szCs w:val="18"/>
          <w:lang w:eastAsia="en-AU"/>
        </w:rPr>
        <w:t>Nimenrix</w:t>
      </w:r>
      <w:proofErr w:type="spellEnd"/>
      <w:r w:rsidRPr="00CD544A">
        <w:rPr>
          <w:rFonts w:eastAsia="Calibri+FPEF" w:cstheme="minorHAnsi"/>
          <w:iCs/>
          <w:szCs w:val="18"/>
          <w:lang w:eastAsia="en-AU"/>
        </w:rPr>
        <w:t xml:space="preserve"> </w:t>
      </w:r>
    </w:p>
  </w:footnote>
  <w:footnote w:id="3">
    <w:p w:rsidR="00A23C26" w:rsidRPr="00CD544A" w:rsidRDefault="00A23C26">
      <w:pPr>
        <w:pStyle w:val="FootnoteText"/>
        <w:rPr>
          <w:rFonts w:eastAsia="Calibri+FPEF" w:cstheme="minorHAnsi"/>
          <w:iCs/>
          <w:szCs w:val="18"/>
          <w:lang w:eastAsia="en-AU"/>
        </w:rPr>
      </w:pPr>
      <w:r w:rsidRPr="00CD544A">
        <w:rPr>
          <w:rStyle w:val="FootnoteReference"/>
        </w:rPr>
        <w:footnoteRef/>
      </w:r>
      <w:r w:rsidRPr="00CD544A">
        <w:t xml:space="preserve"> </w:t>
      </w:r>
      <w:r w:rsidRPr="00CD544A">
        <w:rPr>
          <w:rFonts w:eastAsia="Calibri+FPEF" w:cstheme="minorHAnsi"/>
          <w:szCs w:val="18"/>
          <w:lang w:eastAsia="en-AU"/>
        </w:rPr>
        <w:t>PBAC (</w:t>
      </w:r>
      <w:r w:rsidRPr="00CD544A">
        <w:rPr>
          <w:rFonts w:eastAsia="Calibri+FPEF" w:cstheme="minorHAnsi"/>
          <w:iCs/>
          <w:szCs w:val="18"/>
          <w:lang w:eastAsia="en-AU"/>
        </w:rPr>
        <w:t xml:space="preserve">March 2018) Public summary document: Meningococcal polysaccharide conjugate vaccine serogroups A, C, W-135 and Y (infants), pre-filled syringe, 0.5mL, </w:t>
      </w:r>
      <w:proofErr w:type="spellStart"/>
      <w:r w:rsidRPr="00CD544A">
        <w:rPr>
          <w:rFonts w:eastAsia="Calibri+FPEF" w:cstheme="minorHAnsi"/>
          <w:iCs/>
          <w:szCs w:val="18"/>
          <w:lang w:eastAsia="en-AU"/>
        </w:rPr>
        <w:t>Nimenrix</w:t>
      </w:r>
      <w:proofErr w:type="spellEnd"/>
      <w:r w:rsidRPr="00CD544A">
        <w:rPr>
          <w:rFonts w:eastAsia="Calibri+FPEF" w:cstheme="minorHAnsi"/>
          <w:iCs/>
          <w:szCs w:val="18"/>
          <w:lang w:eastAsia="en-AU"/>
        </w:rPr>
        <w:t xml:space="preserve"> </w:t>
      </w:r>
    </w:p>
  </w:footnote>
  <w:footnote w:id="4">
    <w:p w:rsidR="00A23C26" w:rsidRDefault="00A23C26" w:rsidP="00B21B0E">
      <w:pPr>
        <w:pStyle w:val="Bibliography"/>
        <w:spacing w:after="0" w:line="240" w:lineRule="auto"/>
        <w:rPr>
          <w:noProof/>
        </w:rPr>
      </w:pPr>
      <w:r>
        <w:rPr>
          <w:rStyle w:val="FootnoteReference"/>
        </w:rPr>
        <w:footnoteRef/>
      </w:r>
      <w:r>
        <w:t xml:space="preserve"> </w:t>
      </w:r>
      <w:r w:rsidRPr="00B21B0E">
        <w:rPr>
          <w:rFonts w:asciiTheme="minorHAnsi" w:eastAsiaTheme="minorHAnsi" w:hAnsiTheme="minorHAnsi" w:cstheme="minorBidi"/>
          <w:noProof/>
          <w:sz w:val="18"/>
          <w:szCs w:val="20"/>
          <w:lang w:bidi="ar-SA"/>
        </w:rPr>
        <w:t>Department of Health. (2017a, August 1). 4.10 Meningococcal disease. Retrieved from THE AUSTRALIAN IMMUNISATION HANDBOOK 10TH EDITION: http://immunise.health.gov.au/internet/immunise/publishing.nsf/Content/Handbook10-home~handbook10part4~handbook10-4-10</w:t>
      </w:r>
    </w:p>
    <w:p w:rsidR="00A23C26" w:rsidRDefault="00A23C26" w:rsidP="00B21B0E">
      <w:pPr>
        <w:pStyle w:val="FootnoteText"/>
      </w:pPr>
      <w:r>
        <w:rPr>
          <w:noProof/>
        </w:rPr>
        <w:t xml:space="preserve">Department of Health. (2017b, December 11). </w:t>
      </w:r>
      <w:r>
        <w:rPr>
          <w:i/>
          <w:iCs/>
          <w:noProof/>
        </w:rPr>
        <w:t>Meningococcal disease</w:t>
      </w:r>
      <w:r>
        <w:rPr>
          <w:noProof/>
        </w:rPr>
        <w:t>. Retrieved from Conditions and diseases: https://beta.health.gov.au/conditions-and-diseases/meningococcal-disease</w:t>
      </w:r>
    </w:p>
  </w:footnote>
  <w:footnote w:id="5">
    <w:p w:rsidR="00A23C26" w:rsidRDefault="00A23C26" w:rsidP="0037426E">
      <w:pPr>
        <w:pStyle w:val="FootnoteText"/>
      </w:pPr>
      <w:r>
        <w:rPr>
          <w:rStyle w:val="FootnoteReference"/>
        </w:rPr>
        <w:footnoteRef/>
      </w:r>
      <w:r>
        <w:t xml:space="preserve"> Australian Government Department of Health (2016) Summary of National Surveillance Data on Vaccine Preventable Diseases in Australia, 2008–2011, Communicable Diseases Intelligence, Volume 40</w:t>
      </w:r>
    </w:p>
  </w:footnote>
  <w:footnote w:id="6">
    <w:p w:rsidR="00A23C26" w:rsidRDefault="00A23C26" w:rsidP="00C52649">
      <w:pPr>
        <w:pStyle w:val="FootnoteText"/>
      </w:pPr>
      <w:r>
        <w:rPr>
          <w:rStyle w:val="FootnoteReference"/>
        </w:rPr>
        <w:footnoteRef/>
      </w:r>
      <w:r>
        <w:t xml:space="preserve"> Australian Government Department of Health (2017) </w:t>
      </w:r>
      <w:r w:rsidRPr="00065E5A">
        <w:t>Notifications of a selected disease by age group, sex and year</w:t>
      </w:r>
      <w:r>
        <w:t xml:space="preserve">, Available: </w:t>
      </w:r>
      <w:hyperlink r:id="rId1" w:history="1">
        <w:r w:rsidRPr="00E92A76">
          <w:rPr>
            <w:rStyle w:val="Hyperlink"/>
          </w:rPr>
          <w:t>http://www9.health.gov.au/cda/source/rpt_5_sel.cfm</w:t>
        </w:r>
      </w:hyperlink>
      <w:r>
        <w:t xml:space="preserve">. </w:t>
      </w:r>
      <w:proofErr w:type="gramStart"/>
      <w:r>
        <w:t>Accessed 18 April 2018.</w:t>
      </w:r>
      <w:proofErr w:type="gramEnd"/>
    </w:p>
  </w:footnote>
  <w:footnote w:id="7">
    <w:p w:rsidR="00A23C26" w:rsidRDefault="00A23C26">
      <w:pPr>
        <w:pStyle w:val="FootnoteText"/>
      </w:pPr>
      <w:r>
        <w:rPr>
          <w:rStyle w:val="FootnoteReference"/>
        </w:rPr>
        <w:footnoteRef/>
      </w:r>
      <w:r>
        <w:t xml:space="preserve"> </w:t>
      </w:r>
      <w:r w:rsidRPr="00D92BE6">
        <w:rPr>
          <w:rFonts w:eastAsia="Calibri+FPEF" w:cstheme="minorHAnsi"/>
          <w:szCs w:val="18"/>
          <w:lang w:eastAsia="en-AU"/>
        </w:rPr>
        <w:t>PBAC (</w:t>
      </w:r>
      <w:r>
        <w:rPr>
          <w:rFonts w:eastAsia="Calibri+FPEF" w:cstheme="minorHAnsi"/>
          <w:i/>
          <w:iCs/>
          <w:szCs w:val="18"/>
          <w:lang w:eastAsia="en-AU"/>
        </w:rPr>
        <w:t>March 2018</w:t>
      </w:r>
      <w:r w:rsidRPr="00D92BE6">
        <w:rPr>
          <w:rFonts w:eastAsia="Calibri+FPEF" w:cstheme="minorHAnsi"/>
          <w:i/>
          <w:iCs/>
          <w:szCs w:val="18"/>
          <w:lang w:eastAsia="en-AU"/>
        </w:rPr>
        <w:t xml:space="preserve">) Public summary document: </w:t>
      </w:r>
      <w:r>
        <w:rPr>
          <w:rFonts w:eastAsia="Calibri+FPEF" w:cstheme="minorHAnsi"/>
          <w:i/>
          <w:iCs/>
          <w:szCs w:val="18"/>
          <w:lang w:eastAsia="en-AU"/>
        </w:rPr>
        <w:t>Meningococcal polysaccharide conjugate vaccine serogroups A, C, W-135 and Y</w:t>
      </w:r>
      <w:r w:rsidRPr="00A55B65">
        <w:rPr>
          <w:rFonts w:eastAsia="Calibri+FPEF" w:cstheme="minorHAnsi"/>
          <w:i/>
          <w:iCs/>
          <w:szCs w:val="18"/>
          <w:lang w:eastAsia="en-AU"/>
        </w:rPr>
        <w:t xml:space="preserve"> </w:t>
      </w:r>
      <w:r>
        <w:rPr>
          <w:rFonts w:eastAsia="Calibri+FPEF" w:cstheme="minorHAnsi"/>
          <w:i/>
          <w:iCs/>
          <w:szCs w:val="18"/>
          <w:lang w:eastAsia="en-AU"/>
        </w:rPr>
        <w:t xml:space="preserve">(adolescents), pre-filled syringe, 0.5mL, </w:t>
      </w:r>
      <w:proofErr w:type="spellStart"/>
      <w:r w:rsidRPr="00D92BE6">
        <w:rPr>
          <w:rFonts w:eastAsia="Calibri+FPEF" w:cstheme="minorHAnsi"/>
          <w:i/>
          <w:iCs/>
          <w:szCs w:val="18"/>
          <w:lang w:eastAsia="en-AU"/>
        </w:rPr>
        <w:t>Nimenrix</w:t>
      </w:r>
      <w:proofErr w:type="spellEnd"/>
      <w:r>
        <w:rPr>
          <w:rFonts w:eastAsia="Calibri+FPEF" w:cstheme="minorHAnsi"/>
          <w:i/>
          <w:iCs/>
          <w:szCs w:val="18"/>
          <w:lang w:eastAsia="en-AU"/>
        </w:rPr>
        <w:t xml:space="preserve"> </w:t>
      </w:r>
    </w:p>
  </w:footnote>
  <w:footnote w:id="8">
    <w:p w:rsidR="00A23C26" w:rsidRDefault="00A23C26">
      <w:pPr>
        <w:pStyle w:val="FootnoteText"/>
      </w:pPr>
      <w:r>
        <w:rPr>
          <w:rStyle w:val="FootnoteReference"/>
        </w:rPr>
        <w:footnoteRef/>
      </w:r>
      <w:r>
        <w:t xml:space="preserve"> </w:t>
      </w:r>
      <w:r w:rsidRPr="007A2B1E">
        <w:rPr>
          <w:rFonts w:ascii="Arial Narrow" w:hAnsi="Arial Narrow" w:cs="Times New Roman"/>
          <w:sz w:val="20"/>
        </w:rPr>
        <w:t xml:space="preserve">Lower limit of the two-sided 95% CI around the difference in percentages of </w:t>
      </w:r>
      <w:proofErr w:type="spellStart"/>
      <w:r w:rsidRPr="007A2B1E">
        <w:rPr>
          <w:rFonts w:ascii="Arial Narrow" w:hAnsi="Arial Narrow" w:cs="Times New Roman"/>
          <w:sz w:val="20"/>
        </w:rPr>
        <w:t>seroresponders</w:t>
      </w:r>
      <w:proofErr w:type="spellEnd"/>
      <w:r w:rsidRPr="007A2B1E">
        <w:rPr>
          <w:rFonts w:ascii="Arial Narrow" w:hAnsi="Arial Narrow" w:cs="Times New Roman"/>
          <w:sz w:val="20"/>
        </w:rPr>
        <w:t xml:space="preserve"> (</w:t>
      </w:r>
      <w:proofErr w:type="spellStart"/>
      <w:r w:rsidRPr="007A2B1E">
        <w:rPr>
          <w:rFonts w:ascii="Arial Narrow" w:hAnsi="Arial Narrow" w:cs="Times New Roman"/>
          <w:sz w:val="20"/>
        </w:rPr>
        <w:t>MenACWY</w:t>
      </w:r>
      <w:proofErr w:type="spellEnd"/>
      <w:r w:rsidRPr="007A2B1E">
        <w:rPr>
          <w:rFonts w:ascii="Arial Narrow" w:hAnsi="Arial Narrow" w:cs="Times New Roman"/>
          <w:sz w:val="20"/>
        </w:rPr>
        <w:t>-CRM (</w:t>
      </w:r>
      <w:proofErr w:type="spellStart"/>
      <w:r w:rsidRPr="007A2B1E">
        <w:rPr>
          <w:rFonts w:ascii="Arial Narrow" w:hAnsi="Arial Narrow" w:cs="Times New Roman"/>
          <w:sz w:val="20"/>
        </w:rPr>
        <w:t>Menveo</w:t>
      </w:r>
      <w:proofErr w:type="spellEnd"/>
      <w:r w:rsidRPr="007A2B1E">
        <w:rPr>
          <w:rFonts w:ascii="Arial Narrow" w:hAnsi="Arial Narrow" w:cs="Times New Roman"/>
          <w:sz w:val="20"/>
        </w:rPr>
        <w:t xml:space="preserve">) minus </w:t>
      </w:r>
      <w:proofErr w:type="spellStart"/>
      <w:r w:rsidRPr="007A2B1E">
        <w:rPr>
          <w:rFonts w:ascii="Arial Narrow" w:hAnsi="Arial Narrow" w:cs="Times New Roman"/>
          <w:sz w:val="20"/>
        </w:rPr>
        <w:t>MenACWY</w:t>
      </w:r>
      <w:proofErr w:type="spellEnd"/>
      <w:r w:rsidRPr="007A2B1E">
        <w:rPr>
          <w:rFonts w:ascii="Arial Narrow" w:hAnsi="Arial Narrow" w:cs="Times New Roman"/>
          <w:sz w:val="20"/>
        </w:rPr>
        <w:t xml:space="preserve"> (</w:t>
      </w:r>
      <w:proofErr w:type="spellStart"/>
      <w:r w:rsidRPr="007A2B1E">
        <w:rPr>
          <w:rFonts w:ascii="Arial Narrow" w:hAnsi="Arial Narrow" w:cs="Times New Roman"/>
          <w:sz w:val="20"/>
        </w:rPr>
        <w:t>Menactra</w:t>
      </w:r>
      <w:proofErr w:type="spellEnd"/>
      <w:r w:rsidRPr="007A2B1E">
        <w:rPr>
          <w:rFonts w:ascii="Arial Narrow" w:hAnsi="Arial Narrow" w:cs="Times New Roman"/>
          <w:sz w:val="20"/>
        </w:rPr>
        <w:t>)) is &gt; -10%.</w:t>
      </w:r>
    </w:p>
  </w:footnote>
  <w:footnote w:id="9">
    <w:p w:rsidR="00A23C26" w:rsidRPr="00743173" w:rsidRDefault="00A23C26" w:rsidP="00414D8F">
      <w:pPr>
        <w:widowControl/>
        <w:spacing w:after="120"/>
        <w:rPr>
          <w:sz w:val="20"/>
          <w:szCs w:val="20"/>
        </w:rPr>
      </w:pPr>
      <w:r w:rsidRPr="00743173">
        <w:rPr>
          <w:rStyle w:val="FootnoteReference"/>
          <w:sz w:val="20"/>
          <w:szCs w:val="20"/>
        </w:rPr>
        <w:footnoteRef/>
      </w:r>
      <w:r w:rsidRPr="00743173">
        <w:rPr>
          <w:sz w:val="20"/>
          <w:szCs w:val="20"/>
        </w:rPr>
        <w:t xml:space="preserve"> The PSCR (P7) stated that in Table 8 the W </w:t>
      </w:r>
      <w:proofErr w:type="spellStart"/>
      <w:r w:rsidRPr="00743173">
        <w:rPr>
          <w:sz w:val="20"/>
          <w:szCs w:val="20"/>
        </w:rPr>
        <w:t>seroresponse</w:t>
      </w:r>
      <w:proofErr w:type="spellEnd"/>
      <w:r w:rsidRPr="00743173">
        <w:rPr>
          <w:sz w:val="20"/>
          <w:szCs w:val="20"/>
        </w:rPr>
        <w:t xml:space="preserve"> for </w:t>
      </w:r>
      <w:proofErr w:type="spellStart"/>
      <w:r w:rsidRPr="00743173">
        <w:rPr>
          <w:sz w:val="20"/>
          <w:szCs w:val="20"/>
        </w:rPr>
        <w:t>MenACWY</w:t>
      </w:r>
      <w:proofErr w:type="spellEnd"/>
      <w:r w:rsidRPr="00743173">
        <w:rPr>
          <w:sz w:val="20"/>
          <w:szCs w:val="20"/>
        </w:rPr>
        <w:t xml:space="preserve">-CRM minus MENACWY-DT should be 12, as per </w:t>
      </w:r>
      <w:r w:rsidRPr="00743173">
        <w:rPr>
          <w:rFonts w:asciiTheme="minorHAnsi" w:hAnsiTheme="minorHAnsi" w:cstheme="minorHAnsi"/>
          <w:sz w:val="20"/>
          <w:szCs w:val="20"/>
        </w:rPr>
        <w:t xml:space="preserve">Table 11.4.1.1-2 of the V59P13 original study report. However, the corrected results presented in Table 8 of the Commentary, and in this advice, are consistent with the revised </w:t>
      </w:r>
      <w:proofErr w:type="spellStart"/>
      <w:r w:rsidRPr="00743173">
        <w:rPr>
          <w:rFonts w:asciiTheme="minorHAnsi" w:hAnsiTheme="minorHAnsi" w:cstheme="minorHAnsi"/>
          <w:sz w:val="20"/>
          <w:szCs w:val="20"/>
        </w:rPr>
        <w:t>seroresponse</w:t>
      </w:r>
      <w:proofErr w:type="spellEnd"/>
      <w:r w:rsidRPr="00743173">
        <w:rPr>
          <w:rFonts w:asciiTheme="minorHAnsi" w:hAnsiTheme="minorHAnsi" w:cstheme="minorHAnsi"/>
          <w:sz w:val="20"/>
          <w:szCs w:val="20"/>
        </w:rPr>
        <w:t xml:space="preserve"> results presented in the submission in Table 2.20 (p73), which were based on Table 14.2.1.2.2 (CSR V59P13_transcription addendum, 17 Aug 2011). </w:t>
      </w:r>
    </w:p>
  </w:footnote>
  <w:footnote w:id="10">
    <w:p w:rsidR="00A23C26" w:rsidRPr="00875049" w:rsidRDefault="00A23C26" w:rsidP="00D92BE6">
      <w:pPr>
        <w:widowControl/>
        <w:autoSpaceDE w:val="0"/>
        <w:autoSpaceDN w:val="0"/>
        <w:adjustRightInd w:val="0"/>
        <w:jc w:val="left"/>
        <w:rPr>
          <w:rFonts w:asciiTheme="minorHAnsi" w:eastAsia="Calibri+FPEF" w:hAnsiTheme="minorHAnsi" w:cstheme="minorHAnsi"/>
          <w:iCs/>
          <w:snapToGrid/>
          <w:sz w:val="18"/>
          <w:szCs w:val="18"/>
          <w:lang w:eastAsia="en-AU"/>
        </w:rPr>
      </w:pPr>
      <w:r w:rsidRPr="00875049">
        <w:rPr>
          <w:rStyle w:val="FootnoteReference"/>
        </w:rPr>
        <w:footnoteRef/>
      </w:r>
      <w:r w:rsidRPr="00875049">
        <w:t xml:space="preserve"> </w:t>
      </w:r>
      <w:r w:rsidRPr="00875049">
        <w:rPr>
          <w:rFonts w:asciiTheme="minorHAnsi" w:eastAsia="Calibri+FPEF" w:hAnsiTheme="minorHAnsi" w:cstheme="minorHAnsi"/>
          <w:snapToGrid/>
          <w:sz w:val="18"/>
          <w:szCs w:val="18"/>
          <w:lang w:eastAsia="en-AU"/>
        </w:rPr>
        <w:t>PBAC (</w:t>
      </w:r>
      <w:r w:rsidRPr="00875049">
        <w:rPr>
          <w:rFonts w:asciiTheme="minorHAnsi" w:eastAsia="Calibri+FPEF" w:hAnsiTheme="minorHAnsi" w:cstheme="minorHAnsi"/>
          <w:iCs/>
          <w:snapToGrid/>
          <w:sz w:val="18"/>
          <w:szCs w:val="18"/>
          <w:lang w:eastAsia="en-AU"/>
        </w:rPr>
        <w:t>March 2018) Public summary document: Meningococcal polysaccharide conjugate vaccine serogroups A, C, W-135 and Y</w:t>
      </w:r>
      <w:r>
        <w:rPr>
          <w:rFonts w:asciiTheme="minorHAnsi" w:eastAsia="Calibri+FPEF" w:hAnsiTheme="minorHAnsi" w:cstheme="minorHAnsi"/>
          <w:iCs/>
          <w:snapToGrid/>
          <w:sz w:val="18"/>
          <w:szCs w:val="18"/>
          <w:lang w:eastAsia="en-AU"/>
        </w:rPr>
        <w:t xml:space="preserve"> (adolescents)</w:t>
      </w:r>
      <w:r w:rsidRPr="00875049">
        <w:rPr>
          <w:rFonts w:asciiTheme="minorHAnsi" w:eastAsia="Calibri+FPEF" w:hAnsiTheme="minorHAnsi" w:cstheme="minorHAnsi"/>
          <w:iCs/>
          <w:snapToGrid/>
          <w:sz w:val="18"/>
          <w:szCs w:val="18"/>
          <w:lang w:eastAsia="en-AU"/>
        </w:rPr>
        <w:t xml:space="preserve">, pre-filled syringe, 0.5mL, </w:t>
      </w:r>
      <w:proofErr w:type="spellStart"/>
      <w:r w:rsidRPr="00875049">
        <w:rPr>
          <w:rFonts w:asciiTheme="minorHAnsi" w:eastAsia="Calibri+FPEF" w:hAnsiTheme="minorHAnsi" w:cstheme="minorHAnsi"/>
          <w:iCs/>
          <w:snapToGrid/>
          <w:sz w:val="18"/>
          <w:szCs w:val="18"/>
          <w:lang w:eastAsia="en-AU"/>
        </w:rPr>
        <w:t>Nimenrix</w:t>
      </w:r>
      <w:proofErr w:type="spellEnd"/>
    </w:p>
  </w:footnote>
  <w:footnote w:id="11">
    <w:p w:rsidR="00A23C26" w:rsidRDefault="00A23C26" w:rsidP="00DE65F9">
      <w:pPr>
        <w:pStyle w:val="FootnoteText"/>
      </w:pPr>
      <w:r>
        <w:rPr>
          <w:rStyle w:val="FootnoteReference"/>
        </w:rPr>
        <w:footnoteRef/>
      </w:r>
      <w:r>
        <w:t xml:space="preserve"> </w:t>
      </w:r>
      <w:proofErr w:type="spellStart"/>
      <w:r>
        <w:t>Centers</w:t>
      </w:r>
      <w:proofErr w:type="spellEnd"/>
      <w:r>
        <w:t xml:space="preserve"> for Disease Control and Prevention, CDD Features – Meningococcal vaccines for preteens, teens, </w:t>
      </w:r>
      <w:hyperlink r:id="rId2" w:history="1">
        <w:r w:rsidRPr="00780939">
          <w:rPr>
            <w:rStyle w:val="Hyperlink"/>
          </w:rPr>
          <w:t>https://www.cdc.gov/features/meningococcal/index.html</w:t>
        </w:r>
      </w:hyperlink>
      <w:r>
        <w:t>, accessed  June 2018</w:t>
      </w:r>
    </w:p>
  </w:footnote>
  <w:footnote w:id="12">
    <w:p w:rsidR="00A23C26" w:rsidRDefault="00A23C26" w:rsidP="00F7726D">
      <w:pPr>
        <w:pStyle w:val="FootnoteText"/>
      </w:pPr>
      <w:r>
        <w:rPr>
          <w:rStyle w:val="FootnoteReference"/>
        </w:rPr>
        <w:footnoteRef/>
      </w:r>
      <w:r>
        <w:t xml:space="preserve"> PBAC (2018) </w:t>
      </w:r>
      <w:r w:rsidRPr="00875F6E">
        <w:t>March 2018 - Positive Recommendations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136" w:rsidRDefault="00192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C26" w:rsidRPr="00DC00B9" w:rsidRDefault="00A23C26" w:rsidP="00DC00B9">
    <w:pPr>
      <w:widowControl/>
      <w:tabs>
        <w:tab w:val="center" w:pos="4513"/>
        <w:tab w:val="right" w:pos="9026"/>
      </w:tabs>
      <w:jc w:val="center"/>
      <w:rPr>
        <w:rFonts w:asciiTheme="minorHAnsi" w:eastAsiaTheme="minorHAnsi" w:hAnsiTheme="minorHAnsi" w:cstheme="minorHAnsi"/>
        <w:i/>
        <w:snapToGrid/>
        <w:color w:val="808080"/>
        <w:sz w:val="22"/>
      </w:rPr>
    </w:pPr>
    <w:r w:rsidRPr="00DC00B9">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DC00B9">
      <w:rPr>
        <w:rFonts w:asciiTheme="minorHAnsi" w:eastAsiaTheme="minorHAnsi" w:hAnsiTheme="minorHAnsi" w:cstheme="minorHAnsi"/>
        <w:i/>
        <w:snapToGrid/>
        <w:color w:val="808080"/>
        <w:sz w:val="22"/>
      </w:rPr>
      <w:t xml:space="preserve"> PBAC Meeting</w:t>
    </w:r>
  </w:p>
  <w:p w:rsidR="00A23C26" w:rsidRPr="00DC00B9" w:rsidRDefault="00A23C26" w:rsidP="00DC00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136" w:rsidRDefault="001921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86" w:rsidRPr="00DC00B9" w:rsidRDefault="00506D86" w:rsidP="00506D86">
    <w:pPr>
      <w:widowControl/>
      <w:tabs>
        <w:tab w:val="center" w:pos="4513"/>
        <w:tab w:val="right" w:pos="9026"/>
      </w:tabs>
      <w:jc w:val="center"/>
      <w:rPr>
        <w:rFonts w:asciiTheme="minorHAnsi" w:eastAsiaTheme="minorHAnsi" w:hAnsiTheme="minorHAnsi" w:cstheme="minorHAnsi"/>
        <w:i/>
        <w:snapToGrid/>
        <w:color w:val="808080"/>
        <w:sz w:val="22"/>
      </w:rPr>
    </w:pPr>
    <w:r w:rsidRPr="00DC00B9">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DC00B9">
      <w:rPr>
        <w:rFonts w:asciiTheme="minorHAnsi" w:eastAsiaTheme="minorHAnsi" w:hAnsiTheme="minorHAnsi" w:cstheme="minorHAnsi"/>
        <w:i/>
        <w:snapToGrid/>
        <w:color w:val="808080"/>
        <w:sz w:val="22"/>
      </w:rPr>
      <w:t xml:space="preserve"> PBAC Meeting</w:t>
    </w:r>
  </w:p>
  <w:p w:rsidR="00A23C26" w:rsidRPr="00506D86" w:rsidRDefault="00A23C26" w:rsidP="00506D8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86" w:rsidRPr="00DC00B9" w:rsidRDefault="00506D86" w:rsidP="00506D86">
    <w:pPr>
      <w:widowControl/>
      <w:tabs>
        <w:tab w:val="center" w:pos="4513"/>
        <w:tab w:val="right" w:pos="9026"/>
      </w:tabs>
      <w:jc w:val="center"/>
      <w:rPr>
        <w:rFonts w:asciiTheme="minorHAnsi" w:eastAsiaTheme="minorHAnsi" w:hAnsiTheme="minorHAnsi" w:cstheme="minorHAnsi"/>
        <w:i/>
        <w:snapToGrid/>
        <w:color w:val="808080"/>
        <w:sz w:val="22"/>
      </w:rPr>
    </w:pPr>
    <w:r w:rsidRPr="00DC00B9">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DC00B9">
      <w:rPr>
        <w:rFonts w:asciiTheme="minorHAnsi" w:eastAsiaTheme="minorHAnsi" w:hAnsiTheme="minorHAnsi" w:cstheme="minorHAnsi"/>
        <w:i/>
        <w:snapToGrid/>
        <w:color w:val="808080"/>
        <w:sz w:val="22"/>
      </w:rPr>
      <w:t xml:space="preserve"> PBAC Meeting</w:t>
    </w:r>
  </w:p>
  <w:p w:rsidR="00A23C26" w:rsidRPr="00506D86" w:rsidRDefault="00A23C26" w:rsidP="00506D8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C26" w:rsidRPr="00F90A91" w:rsidRDefault="00BE5DB6" w:rsidP="00653C33">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00A23C26" w:rsidRPr="00F90A91">
      <w:rPr>
        <w:rFonts w:asciiTheme="minorHAnsi" w:hAnsiTheme="minorHAnsi"/>
        <w:i/>
        <w:color w:val="808080"/>
        <w:sz w:val="22"/>
      </w:rPr>
      <w:t xml:space="preserve"> – </w:t>
    </w:r>
    <w:r w:rsidR="00A23C26">
      <w:rPr>
        <w:rFonts w:asciiTheme="minorHAnsi" w:hAnsiTheme="minorHAnsi"/>
        <w:i/>
        <w:color w:val="808080"/>
        <w:sz w:val="22"/>
      </w:rPr>
      <w:t>July 2018</w:t>
    </w:r>
    <w:r w:rsidR="00A23C26" w:rsidRPr="00F90A91">
      <w:rPr>
        <w:rFonts w:asciiTheme="minorHAnsi" w:hAnsiTheme="minorHAnsi"/>
        <w:i/>
        <w:color w:val="808080"/>
        <w:sz w:val="22"/>
      </w:rPr>
      <w:t xml:space="preserve"> PBAC Meeting</w:t>
    </w:r>
  </w:p>
  <w:p w:rsidR="00A23C26" w:rsidRPr="0007346D" w:rsidRDefault="00A23C26" w:rsidP="0007346D">
    <w:pPr>
      <w:pStyle w:val="Header"/>
      <w:spacing w:after="120"/>
      <w:ind w:left="360"/>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CA074F"/>
    <w:multiLevelType w:val="hybridMultilevel"/>
    <w:tmpl w:val="718A5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E1639D"/>
    <w:multiLevelType w:val="hybridMultilevel"/>
    <w:tmpl w:val="9F5E6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35238E"/>
    <w:multiLevelType w:val="hybridMultilevel"/>
    <w:tmpl w:val="4B429CF2"/>
    <w:lvl w:ilvl="0" w:tplc="642C6FF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7A6CA5"/>
    <w:multiLevelType w:val="hybridMultilevel"/>
    <w:tmpl w:val="7E0879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442865DF"/>
    <w:multiLevelType w:val="hybridMultilevel"/>
    <w:tmpl w:val="BFCEED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D4ED2"/>
    <w:multiLevelType w:val="hybridMultilevel"/>
    <w:tmpl w:val="F3849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B734589"/>
    <w:multiLevelType w:val="hybridMultilevel"/>
    <w:tmpl w:val="9C8E7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50251C"/>
    <w:multiLevelType w:val="hybridMultilevel"/>
    <w:tmpl w:val="22F69D86"/>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DBC366A"/>
    <w:multiLevelType w:val="hybridMultilevel"/>
    <w:tmpl w:val="E070B2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E4819E1"/>
    <w:multiLevelType w:val="hybridMultilevel"/>
    <w:tmpl w:val="EC761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D2343C"/>
    <w:multiLevelType w:val="hybridMultilevel"/>
    <w:tmpl w:val="480ED1C0"/>
    <w:lvl w:ilvl="0" w:tplc="642C6FF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E2A6930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3"/>
  </w:num>
  <w:num w:numId="4">
    <w:abstractNumId w:val="4"/>
  </w:num>
  <w:num w:numId="5">
    <w:abstractNumId w:val="8"/>
  </w:num>
  <w:num w:numId="6">
    <w:abstractNumId w:val="15"/>
  </w:num>
  <w:num w:numId="7">
    <w:abstractNumId w:val="1"/>
  </w:num>
  <w:num w:numId="8">
    <w:abstractNumId w:val="10"/>
  </w:num>
  <w:num w:numId="9">
    <w:abstractNumId w:val="17"/>
  </w:num>
  <w:num w:numId="10">
    <w:abstractNumId w:val="11"/>
  </w:num>
  <w:num w:numId="11">
    <w:abstractNumId w:val="16"/>
  </w:num>
  <w:num w:numId="12">
    <w:abstractNumId w:val="7"/>
  </w:num>
  <w:num w:numId="13">
    <w:abstractNumId w:val="9"/>
  </w:num>
  <w:num w:numId="14">
    <w:abstractNumId w:val="13"/>
  </w:num>
  <w:num w:numId="15">
    <w:abstractNumId w:val="14"/>
  </w:num>
  <w:num w:numId="16">
    <w:abstractNumId w:val="2"/>
  </w:num>
  <w:num w:numId="17">
    <w:abstractNumId w:val="0"/>
  </w:num>
  <w:num w:numId="18">
    <w:abstractNumId w:val="6"/>
  </w:num>
  <w:num w:numId="19">
    <w:abstractNumId w:val="12"/>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SwMDY3Nbc0sDA3NjdX0lEKTi0uzszPAykwrAUA4O3LIiwAAAA="/>
  </w:docVars>
  <w:rsids>
    <w:rsidRoot w:val="00E65E79"/>
    <w:rsid w:val="0000064B"/>
    <w:rsid w:val="00000790"/>
    <w:rsid w:val="0000110B"/>
    <w:rsid w:val="000014FE"/>
    <w:rsid w:val="00002293"/>
    <w:rsid w:val="00003499"/>
    <w:rsid w:val="000039B7"/>
    <w:rsid w:val="00004A30"/>
    <w:rsid w:val="00004FA6"/>
    <w:rsid w:val="00006381"/>
    <w:rsid w:val="00010529"/>
    <w:rsid w:val="00012940"/>
    <w:rsid w:val="00013247"/>
    <w:rsid w:val="000135C4"/>
    <w:rsid w:val="00015886"/>
    <w:rsid w:val="000158F2"/>
    <w:rsid w:val="00015D34"/>
    <w:rsid w:val="000162EF"/>
    <w:rsid w:val="000173D2"/>
    <w:rsid w:val="000179EB"/>
    <w:rsid w:val="0002225F"/>
    <w:rsid w:val="0002283A"/>
    <w:rsid w:val="00023763"/>
    <w:rsid w:val="000249EF"/>
    <w:rsid w:val="00025A9A"/>
    <w:rsid w:val="00025F36"/>
    <w:rsid w:val="00033863"/>
    <w:rsid w:val="00033AD5"/>
    <w:rsid w:val="0003586A"/>
    <w:rsid w:val="00035DC0"/>
    <w:rsid w:val="00036829"/>
    <w:rsid w:val="00037057"/>
    <w:rsid w:val="0003791E"/>
    <w:rsid w:val="00040895"/>
    <w:rsid w:val="000410BA"/>
    <w:rsid w:val="00043C37"/>
    <w:rsid w:val="00045017"/>
    <w:rsid w:val="00045A2B"/>
    <w:rsid w:val="00046549"/>
    <w:rsid w:val="0004698F"/>
    <w:rsid w:val="000530D0"/>
    <w:rsid w:val="0005322D"/>
    <w:rsid w:val="000539D0"/>
    <w:rsid w:val="00054621"/>
    <w:rsid w:val="000546D7"/>
    <w:rsid w:val="00055DFE"/>
    <w:rsid w:val="00056F46"/>
    <w:rsid w:val="00060696"/>
    <w:rsid w:val="00061A94"/>
    <w:rsid w:val="00062675"/>
    <w:rsid w:val="00062BA6"/>
    <w:rsid w:val="0006590F"/>
    <w:rsid w:val="00066360"/>
    <w:rsid w:val="00066476"/>
    <w:rsid w:val="00067BCF"/>
    <w:rsid w:val="00071248"/>
    <w:rsid w:val="000720B9"/>
    <w:rsid w:val="0007346D"/>
    <w:rsid w:val="000737F7"/>
    <w:rsid w:val="00075BBA"/>
    <w:rsid w:val="00076050"/>
    <w:rsid w:val="00076239"/>
    <w:rsid w:val="0007672F"/>
    <w:rsid w:val="000774F0"/>
    <w:rsid w:val="00080289"/>
    <w:rsid w:val="00080909"/>
    <w:rsid w:val="000812CA"/>
    <w:rsid w:val="00081690"/>
    <w:rsid w:val="0008258D"/>
    <w:rsid w:val="00083E99"/>
    <w:rsid w:val="000856C5"/>
    <w:rsid w:val="00090C7E"/>
    <w:rsid w:val="00092600"/>
    <w:rsid w:val="0009262B"/>
    <w:rsid w:val="00093310"/>
    <w:rsid w:val="0009445C"/>
    <w:rsid w:val="00095379"/>
    <w:rsid w:val="00095FE5"/>
    <w:rsid w:val="00096284"/>
    <w:rsid w:val="00096516"/>
    <w:rsid w:val="000A0DB7"/>
    <w:rsid w:val="000A0E1E"/>
    <w:rsid w:val="000A2141"/>
    <w:rsid w:val="000A235D"/>
    <w:rsid w:val="000A3EDA"/>
    <w:rsid w:val="000A4194"/>
    <w:rsid w:val="000A427A"/>
    <w:rsid w:val="000A664E"/>
    <w:rsid w:val="000A7D08"/>
    <w:rsid w:val="000B0670"/>
    <w:rsid w:val="000B0988"/>
    <w:rsid w:val="000B0E75"/>
    <w:rsid w:val="000B1E55"/>
    <w:rsid w:val="000B336B"/>
    <w:rsid w:val="000B5FCE"/>
    <w:rsid w:val="000B6765"/>
    <w:rsid w:val="000B6CAC"/>
    <w:rsid w:val="000B7612"/>
    <w:rsid w:val="000C0965"/>
    <w:rsid w:val="000C1273"/>
    <w:rsid w:val="000C2EF5"/>
    <w:rsid w:val="000C3DF9"/>
    <w:rsid w:val="000C6713"/>
    <w:rsid w:val="000C7C3D"/>
    <w:rsid w:val="000D1BFC"/>
    <w:rsid w:val="000D25AB"/>
    <w:rsid w:val="000D281A"/>
    <w:rsid w:val="000D326A"/>
    <w:rsid w:val="000D51FB"/>
    <w:rsid w:val="000D674B"/>
    <w:rsid w:val="000E0945"/>
    <w:rsid w:val="000E135D"/>
    <w:rsid w:val="000E3D81"/>
    <w:rsid w:val="000E4B9E"/>
    <w:rsid w:val="000E5432"/>
    <w:rsid w:val="000E6222"/>
    <w:rsid w:val="000E7F41"/>
    <w:rsid w:val="000F00BA"/>
    <w:rsid w:val="000F1550"/>
    <w:rsid w:val="000F3164"/>
    <w:rsid w:val="000F316A"/>
    <w:rsid w:val="000F356D"/>
    <w:rsid w:val="000F3C74"/>
    <w:rsid w:val="000F4BB8"/>
    <w:rsid w:val="000F4D9D"/>
    <w:rsid w:val="000F7001"/>
    <w:rsid w:val="000F7127"/>
    <w:rsid w:val="00100F8A"/>
    <w:rsid w:val="001014D6"/>
    <w:rsid w:val="00105A38"/>
    <w:rsid w:val="00105AE2"/>
    <w:rsid w:val="00105E75"/>
    <w:rsid w:val="001062EC"/>
    <w:rsid w:val="001068CC"/>
    <w:rsid w:val="00106B80"/>
    <w:rsid w:val="0011032E"/>
    <w:rsid w:val="00110797"/>
    <w:rsid w:val="001122D0"/>
    <w:rsid w:val="00112E1B"/>
    <w:rsid w:val="0011348B"/>
    <w:rsid w:val="00113DAB"/>
    <w:rsid w:val="00114B82"/>
    <w:rsid w:val="00115982"/>
    <w:rsid w:val="00115B9E"/>
    <w:rsid w:val="00116447"/>
    <w:rsid w:val="001167E2"/>
    <w:rsid w:val="00116C53"/>
    <w:rsid w:val="00121799"/>
    <w:rsid w:val="001222FC"/>
    <w:rsid w:val="00124A51"/>
    <w:rsid w:val="00126621"/>
    <w:rsid w:val="001272CD"/>
    <w:rsid w:val="001301E9"/>
    <w:rsid w:val="00130AA9"/>
    <w:rsid w:val="00131D82"/>
    <w:rsid w:val="00133D36"/>
    <w:rsid w:val="00136222"/>
    <w:rsid w:val="0013755C"/>
    <w:rsid w:val="00137645"/>
    <w:rsid w:val="0014015A"/>
    <w:rsid w:val="00140E99"/>
    <w:rsid w:val="00143903"/>
    <w:rsid w:val="00143984"/>
    <w:rsid w:val="00144044"/>
    <w:rsid w:val="00144489"/>
    <w:rsid w:val="00144F18"/>
    <w:rsid w:val="00145540"/>
    <w:rsid w:val="001456B0"/>
    <w:rsid w:val="00145973"/>
    <w:rsid w:val="00145DCA"/>
    <w:rsid w:val="00146D73"/>
    <w:rsid w:val="00156555"/>
    <w:rsid w:val="00157130"/>
    <w:rsid w:val="001573C4"/>
    <w:rsid w:val="001576B1"/>
    <w:rsid w:val="00160A4C"/>
    <w:rsid w:val="00161148"/>
    <w:rsid w:val="00162389"/>
    <w:rsid w:val="00162913"/>
    <w:rsid w:val="00163211"/>
    <w:rsid w:val="00163EFF"/>
    <w:rsid w:val="00164319"/>
    <w:rsid w:val="00164979"/>
    <w:rsid w:val="00165C53"/>
    <w:rsid w:val="001661FB"/>
    <w:rsid w:val="00167529"/>
    <w:rsid w:val="00170B92"/>
    <w:rsid w:val="00172ADD"/>
    <w:rsid w:val="00173565"/>
    <w:rsid w:val="00173B07"/>
    <w:rsid w:val="0017446B"/>
    <w:rsid w:val="00174907"/>
    <w:rsid w:val="0017615B"/>
    <w:rsid w:val="00176B06"/>
    <w:rsid w:val="0018063A"/>
    <w:rsid w:val="00181D9C"/>
    <w:rsid w:val="001829A4"/>
    <w:rsid w:val="0018317F"/>
    <w:rsid w:val="00185789"/>
    <w:rsid w:val="00187382"/>
    <w:rsid w:val="0018752F"/>
    <w:rsid w:val="00187DCA"/>
    <w:rsid w:val="00190DD7"/>
    <w:rsid w:val="00190F46"/>
    <w:rsid w:val="00192136"/>
    <w:rsid w:val="00194F7D"/>
    <w:rsid w:val="00195222"/>
    <w:rsid w:val="0019653F"/>
    <w:rsid w:val="001969CE"/>
    <w:rsid w:val="001975D8"/>
    <w:rsid w:val="001977F7"/>
    <w:rsid w:val="00197A37"/>
    <w:rsid w:val="001A129D"/>
    <w:rsid w:val="001A26EE"/>
    <w:rsid w:val="001A3AA7"/>
    <w:rsid w:val="001A43FA"/>
    <w:rsid w:val="001A59FB"/>
    <w:rsid w:val="001A6354"/>
    <w:rsid w:val="001A7AE8"/>
    <w:rsid w:val="001B02ED"/>
    <w:rsid w:val="001B1BD0"/>
    <w:rsid w:val="001B204E"/>
    <w:rsid w:val="001B27E8"/>
    <w:rsid w:val="001B3443"/>
    <w:rsid w:val="001B4D20"/>
    <w:rsid w:val="001B7943"/>
    <w:rsid w:val="001C238C"/>
    <w:rsid w:val="001C2A9B"/>
    <w:rsid w:val="001C35E8"/>
    <w:rsid w:val="001C4299"/>
    <w:rsid w:val="001C5F94"/>
    <w:rsid w:val="001C5FAC"/>
    <w:rsid w:val="001C670C"/>
    <w:rsid w:val="001C6E66"/>
    <w:rsid w:val="001C7DC8"/>
    <w:rsid w:val="001D5F70"/>
    <w:rsid w:val="001D700D"/>
    <w:rsid w:val="001E1556"/>
    <w:rsid w:val="001E238E"/>
    <w:rsid w:val="001E2483"/>
    <w:rsid w:val="001E2B1E"/>
    <w:rsid w:val="001E2B78"/>
    <w:rsid w:val="001E30D4"/>
    <w:rsid w:val="001E3C77"/>
    <w:rsid w:val="001E52EB"/>
    <w:rsid w:val="001E5E54"/>
    <w:rsid w:val="001E61D2"/>
    <w:rsid w:val="001E6946"/>
    <w:rsid w:val="001E740C"/>
    <w:rsid w:val="001F0999"/>
    <w:rsid w:val="001F0DED"/>
    <w:rsid w:val="001F105B"/>
    <w:rsid w:val="001F1235"/>
    <w:rsid w:val="001F1CB3"/>
    <w:rsid w:val="001F27DF"/>
    <w:rsid w:val="001F38B5"/>
    <w:rsid w:val="001F7361"/>
    <w:rsid w:val="0020004C"/>
    <w:rsid w:val="002011B0"/>
    <w:rsid w:val="00202182"/>
    <w:rsid w:val="00203181"/>
    <w:rsid w:val="00203783"/>
    <w:rsid w:val="0020385F"/>
    <w:rsid w:val="002043D1"/>
    <w:rsid w:val="00204C64"/>
    <w:rsid w:val="00204F1A"/>
    <w:rsid w:val="00207021"/>
    <w:rsid w:val="0020732F"/>
    <w:rsid w:val="00207D00"/>
    <w:rsid w:val="00207EE2"/>
    <w:rsid w:val="002105C1"/>
    <w:rsid w:val="00214A94"/>
    <w:rsid w:val="00215780"/>
    <w:rsid w:val="00220719"/>
    <w:rsid w:val="002207DE"/>
    <w:rsid w:val="00222D2B"/>
    <w:rsid w:val="00223567"/>
    <w:rsid w:val="002236DD"/>
    <w:rsid w:val="00223B49"/>
    <w:rsid w:val="00224DD4"/>
    <w:rsid w:val="00224FB5"/>
    <w:rsid w:val="0023057E"/>
    <w:rsid w:val="002309CC"/>
    <w:rsid w:val="0023209F"/>
    <w:rsid w:val="00232D77"/>
    <w:rsid w:val="002337B7"/>
    <w:rsid w:val="0023430C"/>
    <w:rsid w:val="0023629D"/>
    <w:rsid w:val="0023683D"/>
    <w:rsid w:val="00237255"/>
    <w:rsid w:val="00237529"/>
    <w:rsid w:val="0023766A"/>
    <w:rsid w:val="002424AF"/>
    <w:rsid w:val="002439DC"/>
    <w:rsid w:val="00244DC8"/>
    <w:rsid w:val="0024529A"/>
    <w:rsid w:val="002458BA"/>
    <w:rsid w:val="0024636C"/>
    <w:rsid w:val="00247925"/>
    <w:rsid w:val="00253A1D"/>
    <w:rsid w:val="00253F61"/>
    <w:rsid w:val="00254DCF"/>
    <w:rsid w:val="0025534B"/>
    <w:rsid w:val="00255BB7"/>
    <w:rsid w:val="0025729A"/>
    <w:rsid w:val="00257541"/>
    <w:rsid w:val="00262A1A"/>
    <w:rsid w:val="00262A87"/>
    <w:rsid w:val="00264D26"/>
    <w:rsid w:val="00267642"/>
    <w:rsid w:val="00267AEA"/>
    <w:rsid w:val="002700E6"/>
    <w:rsid w:val="0027294B"/>
    <w:rsid w:val="002737E4"/>
    <w:rsid w:val="00275C5A"/>
    <w:rsid w:val="002801FD"/>
    <w:rsid w:val="00280C67"/>
    <w:rsid w:val="00281014"/>
    <w:rsid w:val="0028238E"/>
    <w:rsid w:val="00285C3D"/>
    <w:rsid w:val="00286170"/>
    <w:rsid w:val="002910E8"/>
    <w:rsid w:val="00291554"/>
    <w:rsid w:val="00292116"/>
    <w:rsid w:val="00293E14"/>
    <w:rsid w:val="002A0DFD"/>
    <w:rsid w:val="002A14AB"/>
    <w:rsid w:val="002A1E54"/>
    <w:rsid w:val="002A2F50"/>
    <w:rsid w:val="002A505D"/>
    <w:rsid w:val="002A5792"/>
    <w:rsid w:val="002A5A87"/>
    <w:rsid w:val="002B09A4"/>
    <w:rsid w:val="002B0B51"/>
    <w:rsid w:val="002B1C15"/>
    <w:rsid w:val="002B1C1F"/>
    <w:rsid w:val="002B203E"/>
    <w:rsid w:val="002B432F"/>
    <w:rsid w:val="002B62A4"/>
    <w:rsid w:val="002B62B3"/>
    <w:rsid w:val="002B6754"/>
    <w:rsid w:val="002B6CCE"/>
    <w:rsid w:val="002C2510"/>
    <w:rsid w:val="002C2775"/>
    <w:rsid w:val="002C27C1"/>
    <w:rsid w:val="002C297F"/>
    <w:rsid w:val="002C3E9D"/>
    <w:rsid w:val="002C5099"/>
    <w:rsid w:val="002C5889"/>
    <w:rsid w:val="002C6CBD"/>
    <w:rsid w:val="002C71CE"/>
    <w:rsid w:val="002C7ECD"/>
    <w:rsid w:val="002D01AB"/>
    <w:rsid w:val="002D56C5"/>
    <w:rsid w:val="002D577C"/>
    <w:rsid w:val="002E03C8"/>
    <w:rsid w:val="002E15B9"/>
    <w:rsid w:val="002E1E8F"/>
    <w:rsid w:val="002E210D"/>
    <w:rsid w:val="002E2158"/>
    <w:rsid w:val="002E2FA2"/>
    <w:rsid w:val="002E3E14"/>
    <w:rsid w:val="002E7011"/>
    <w:rsid w:val="002E7660"/>
    <w:rsid w:val="002E7722"/>
    <w:rsid w:val="002F07BA"/>
    <w:rsid w:val="002F0DA9"/>
    <w:rsid w:val="002F3148"/>
    <w:rsid w:val="002F3980"/>
    <w:rsid w:val="002F4FBF"/>
    <w:rsid w:val="002F643C"/>
    <w:rsid w:val="002F71C0"/>
    <w:rsid w:val="002F7239"/>
    <w:rsid w:val="003007F9"/>
    <w:rsid w:val="00301017"/>
    <w:rsid w:val="0030155F"/>
    <w:rsid w:val="00301948"/>
    <w:rsid w:val="00302FC1"/>
    <w:rsid w:val="003032DB"/>
    <w:rsid w:val="0030587B"/>
    <w:rsid w:val="00306D98"/>
    <w:rsid w:val="003073BF"/>
    <w:rsid w:val="0030786C"/>
    <w:rsid w:val="0031031A"/>
    <w:rsid w:val="00310981"/>
    <w:rsid w:val="0031144B"/>
    <w:rsid w:val="003119E0"/>
    <w:rsid w:val="00312062"/>
    <w:rsid w:val="00312552"/>
    <w:rsid w:val="00312C74"/>
    <w:rsid w:val="00313826"/>
    <w:rsid w:val="00314B9D"/>
    <w:rsid w:val="00315191"/>
    <w:rsid w:val="00315498"/>
    <w:rsid w:val="00316A60"/>
    <w:rsid w:val="00320BBC"/>
    <w:rsid w:val="00321830"/>
    <w:rsid w:val="00322107"/>
    <w:rsid w:val="00322846"/>
    <w:rsid w:val="00324476"/>
    <w:rsid w:val="00324945"/>
    <w:rsid w:val="00325BB1"/>
    <w:rsid w:val="00325E66"/>
    <w:rsid w:val="00326DA7"/>
    <w:rsid w:val="003270E4"/>
    <w:rsid w:val="00327BC7"/>
    <w:rsid w:val="00330E86"/>
    <w:rsid w:val="00330F5C"/>
    <w:rsid w:val="00331C23"/>
    <w:rsid w:val="003340CC"/>
    <w:rsid w:val="003366C9"/>
    <w:rsid w:val="003371B0"/>
    <w:rsid w:val="00340DF1"/>
    <w:rsid w:val="003413D2"/>
    <w:rsid w:val="00341EC2"/>
    <w:rsid w:val="003425FD"/>
    <w:rsid w:val="00345E11"/>
    <w:rsid w:val="00346D40"/>
    <w:rsid w:val="00350211"/>
    <w:rsid w:val="003517F9"/>
    <w:rsid w:val="0035296E"/>
    <w:rsid w:val="00353792"/>
    <w:rsid w:val="0035620E"/>
    <w:rsid w:val="00357A7D"/>
    <w:rsid w:val="00360843"/>
    <w:rsid w:val="00361471"/>
    <w:rsid w:val="003624C4"/>
    <w:rsid w:val="00362A50"/>
    <w:rsid w:val="003654AC"/>
    <w:rsid w:val="0037088A"/>
    <w:rsid w:val="00371040"/>
    <w:rsid w:val="003710CF"/>
    <w:rsid w:val="00372C93"/>
    <w:rsid w:val="0037358A"/>
    <w:rsid w:val="003738B4"/>
    <w:rsid w:val="0037426E"/>
    <w:rsid w:val="003750F6"/>
    <w:rsid w:val="003760FC"/>
    <w:rsid w:val="00380AB5"/>
    <w:rsid w:val="0038365C"/>
    <w:rsid w:val="0038369B"/>
    <w:rsid w:val="00383836"/>
    <w:rsid w:val="00383B78"/>
    <w:rsid w:val="00384774"/>
    <w:rsid w:val="00385A9D"/>
    <w:rsid w:val="00385AA4"/>
    <w:rsid w:val="00385F31"/>
    <w:rsid w:val="00386026"/>
    <w:rsid w:val="0038751E"/>
    <w:rsid w:val="003902B1"/>
    <w:rsid w:val="00390980"/>
    <w:rsid w:val="003935C3"/>
    <w:rsid w:val="00396548"/>
    <w:rsid w:val="00396896"/>
    <w:rsid w:val="00396FD0"/>
    <w:rsid w:val="003A1A7A"/>
    <w:rsid w:val="003A201C"/>
    <w:rsid w:val="003A2392"/>
    <w:rsid w:val="003A2831"/>
    <w:rsid w:val="003A3B44"/>
    <w:rsid w:val="003A3ED1"/>
    <w:rsid w:val="003A571A"/>
    <w:rsid w:val="003A685A"/>
    <w:rsid w:val="003B2872"/>
    <w:rsid w:val="003B5B61"/>
    <w:rsid w:val="003B5E54"/>
    <w:rsid w:val="003B602E"/>
    <w:rsid w:val="003B64FD"/>
    <w:rsid w:val="003B7388"/>
    <w:rsid w:val="003C15F4"/>
    <w:rsid w:val="003C1654"/>
    <w:rsid w:val="003C2794"/>
    <w:rsid w:val="003C7B1B"/>
    <w:rsid w:val="003C7D19"/>
    <w:rsid w:val="003D149C"/>
    <w:rsid w:val="003D178E"/>
    <w:rsid w:val="003D1828"/>
    <w:rsid w:val="003D1C81"/>
    <w:rsid w:val="003D1DE4"/>
    <w:rsid w:val="003D2422"/>
    <w:rsid w:val="003D2427"/>
    <w:rsid w:val="003D39A1"/>
    <w:rsid w:val="003D3FAD"/>
    <w:rsid w:val="003D3FBF"/>
    <w:rsid w:val="003D4A30"/>
    <w:rsid w:val="003D5645"/>
    <w:rsid w:val="003D7847"/>
    <w:rsid w:val="003D79BB"/>
    <w:rsid w:val="003D7C98"/>
    <w:rsid w:val="003E0543"/>
    <w:rsid w:val="003E5507"/>
    <w:rsid w:val="003E5DD3"/>
    <w:rsid w:val="003E6048"/>
    <w:rsid w:val="003F22C2"/>
    <w:rsid w:val="003F4156"/>
    <w:rsid w:val="003F50FA"/>
    <w:rsid w:val="00400B29"/>
    <w:rsid w:val="0040126C"/>
    <w:rsid w:val="004015BF"/>
    <w:rsid w:val="0040197F"/>
    <w:rsid w:val="00402A0B"/>
    <w:rsid w:val="00404DD7"/>
    <w:rsid w:val="0040504B"/>
    <w:rsid w:val="0041011E"/>
    <w:rsid w:val="00410708"/>
    <w:rsid w:val="00410EC7"/>
    <w:rsid w:val="00411517"/>
    <w:rsid w:val="00411B39"/>
    <w:rsid w:val="00412DA3"/>
    <w:rsid w:val="00413A1E"/>
    <w:rsid w:val="00414476"/>
    <w:rsid w:val="00414C2E"/>
    <w:rsid w:val="00414D8F"/>
    <w:rsid w:val="004151CF"/>
    <w:rsid w:val="00415281"/>
    <w:rsid w:val="004156EF"/>
    <w:rsid w:val="00415926"/>
    <w:rsid w:val="00416364"/>
    <w:rsid w:val="00420AA6"/>
    <w:rsid w:val="00420B9F"/>
    <w:rsid w:val="004210F1"/>
    <w:rsid w:val="00422260"/>
    <w:rsid w:val="004222CB"/>
    <w:rsid w:val="00422C0E"/>
    <w:rsid w:val="00423F98"/>
    <w:rsid w:val="0042413F"/>
    <w:rsid w:val="00427ABE"/>
    <w:rsid w:val="004319F8"/>
    <w:rsid w:val="00431A91"/>
    <w:rsid w:val="00431E55"/>
    <w:rsid w:val="004321F6"/>
    <w:rsid w:val="00432A9D"/>
    <w:rsid w:val="00433044"/>
    <w:rsid w:val="00433705"/>
    <w:rsid w:val="00434588"/>
    <w:rsid w:val="004375B9"/>
    <w:rsid w:val="00440637"/>
    <w:rsid w:val="0044097C"/>
    <w:rsid w:val="00442802"/>
    <w:rsid w:val="004428D0"/>
    <w:rsid w:val="004437BA"/>
    <w:rsid w:val="00443D10"/>
    <w:rsid w:val="004443A7"/>
    <w:rsid w:val="0044442C"/>
    <w:rsid w:val="00445659"/>
    <w:rsid w:val="00445941"/>
    <w:rsid w:val="004460D9"/>
    <w:rsid w:val="004464EB"/>
    <w:rsid w:val="00447D26"/>
    <w:rsid w:val="00450E35"/>
    <w:rsid w:val="00450F72"/>
    <w:rsid w:val="00452A21"/>
    <w:rsid w:val="00454443"/>
    <w:rsid w:val="0045463F"/>
    <w:rsid w:val="00455D45"/>
    <w:rsid w:val="00456C27"/>
    <w:rsid w:val="00457CE0"/>
    <w:rsid w:val="00464595"/>
    <w:rsid w:val="0046684E"/>
    <w:rsid w:val="00472A79"/>
    <w:rsid w:val="00473F19"/>
    <w:rsid w:val="0047445D"/>
    <w:rsid w:val="0047483F"/>
    <w:rsid w:val="00474982"/>
    <w:rsid w:val="00475E22"/>
    <w:rsid w:val="00475FD4"/>
    <w:rsid w:val="00476EBC"/>
    <w:rsid w:val="0048088E"/>
    <w:rsid w:val="004818D9"/>
    <w:rsid w:val="00482720"/>
    <w:rsid w:val="004835E7"/>
    <w:rsid w:val="00483B73"/>
    <w:rsid w:val="004847FF"/>
    <w:rsid w:val="004867E2"/>
    <w:rsid w:val="00491B3A"/>
    <w:rsid w:val="00491F33"/>
    <w:rsid w:val="00492CFD"/>
    <w:rsid w:val="00493AB1"/>
    <w:rsid w:val="00494DD5"/>
    <w:rsid w:val="0049531D"/>
    <w:rsid w:val="004962D2"/>
    <w:rsid w:val="00496D14"/>
    <w:rsid w:val="004A0DA1"/>
    <w:rsid w:val="004A48B5"/>
    <w:rsid w:val="004A52E9"/>
    <w:rsid w:val="004A6597"/>
    <w:rsid w:val="004A6DA0"/>
    <w:rsid w:val="004A7848"/>
    <w:rsid w:val="004B1CB4"/>
    <w:rsid w:val="004B2F18"/>
    <w:rsid w:val="004B3DDB"/>
    <w:rsid w:val="004B44FD"/>
    <w:rsid w:val="004B483A"/>
    <w:rsid w:val="004B5CFC"/>
    <w:rsid w:val="004B774D"/>
    <w:rsid w:val="004C0F2D"/>
    <w:rsid w:val="004C2B33"/>
    <w:rsid w:val="004C4AED"/>
    <w:rsid w:val="004C5966"/>
    <w:rsid w:val="004D0187"/>
    <w:rsid w:val="004D03EC"/>
    <w:rsid w:val="004D08EA"/>
    <w:rsid w:val="004D122D"/>
    <w:rsid w:val="004D2C2D"/>
    <w:rsid w:val="004D3263"/>
    <w:rsid w:val="004D3DB6"/>
    <w:rsid w:val="004D4C3E"/>
    <w:rsid w:val="004D7227"/>
    <w:rsid w:val="004E0E7F"/>
    <w:rsid w:val="004E0EB8"/>
    <w:rsid w:val="004E1916"/>
    <w:rsid w:val="004E1955"/>
    <w:rsid w:val="004E2ADC"/>
    <w:rsid w:val="004E2C6D"/>
    <w:rsid w:val="004E2FE6"/>
    <w:rsid w:val="004E412A"/>
    <w:rsid w:val="004E43B2"/>
    <w:rsid w:val="004E5B66"/>
    <w:rsid w:val="004F1342"/>
    <w:rsid w:val="004F1D02"/>
    <w:rsid w:val="004F243D"/>
    <w:rsid w:val="004F2679"/>
    <w:rsid w:val="004F2F21"/>
    <w:rsid w:val="004F5B0D"/>
    <w:rsid w:val="004F6913"/>
    <w:rsid w:val="004F7205"/>
    <w:rsid w:val="004F7865"/>
    <w:rsid w:val="005001F3"/>
    <w:rsid w:val="0050219B"/>
    <w:rsid w:val="0050224A"/>
    <w:rsid w:val="0050354A"/>
    <w:rsid w:val="00503F17"/>
    <w:rsid w:val="0050416F"/>
    <w:rsid w:val="00505AF1"/>
    <w:rsid w:val="00506496"/>
    <w:rsid w:val="00506928"/>
    <w:rsid w:val="00506D86"/>
    <w:rsid w:val="00507D7D"/>
    <w:rsid w:val="005136EF"/>
    <w:rsid w:val="00514385"/>
    <w:rsid w:val="005152B5"/>
    <w:rsid w:val="005157D9"/>
    <w:rsid w:val="00520226"/>
    <w:rsid w:val="00521319"/>
    <w:rsid w:val="0052180E"/>
    <w:rsid w:val="005227D5"/>
    <w:rsid w:val="00522BC8"/>
    <w:rsid w:val="00523A7E"/>
    <w:rsid w:val="00523C28"/>
    <w:rsid w:val="00524635"/>
    <w:rsid w:val="00526D33"/>
    <w:rsid w:val="00532BE8"/>
    <w:rsid w:val="00532E3D"/>
    <w:rsid w:val="00532EC0"/>
    <w:rsid w:val="00533184"/>
    <w:rsid w:val="00534381"/>
    <w:rsid w:val="0053566D"/>
    <w:rsid w:val="00536F42"/>
    <w:rsid w:val="00537182"/>
    <w:rsid w:val="0053761E"/>
    <w:rsid w:val="00541B62"/>
    <w:rsid w:val="00542248"/>
    <w:rsid w:val="00542743"/>
    <w:rsid w:val="00542C2D"/>
    <w:rsid w:val="00544791"/>
    <w:rsid w:val="00550F21"/>
    <w:rsid w:val="005518E3"/>
    <w:rsid w:val="00551985"/>
    <w:rsid w:val="00551FCC"/>
    <w:rsid w:val="00552BD3"/>
    <w:rsid w:val="00555109"/>
    <w:rsid w:val="00555DF0"/>
    <w:rsid w:val="00556E6A"/>
    <w:rsid w:val="00561746"/>
    <w:rsid w:val="00561E07"/>
    <w:rsid w:val="00562361"/>
    <w:rsid w:val="0056424D"/>
    <w:rsid w:val="00565B38"/>
    <w:rsid w:val="0056696F"/>
    <w:rsid w:val="00566E25"/>
    <w:rsid w:val="005674E1"/>
    <w:rsid w:val="00572269"/>
    <w:rsid w:val="0057244A"/>
    <w:rsid w:val="00572CAB"/>
    <w:rsid w:val="00575D8D"/>
    <w:rsid w:val="005766D9"/>
    <w:rsid w:val="00576972"/>
    <w:rsid w:val="00576AC8"/>
    <w:rsid w:val="00576DAC"/>
    <w:rsid w:val="00577F06"/>
    <w:rsid w:val="0058233D"/>
    <w:rsid w:val="00582673"/>
    <w:rsid w:val="00583699"/>
    <w:rsid w:val="005846DF"/>
    <w:rsid w:val="00585CDD"/>
    <w:rsid w:val="00587058"/>
    <w:rsid w:val="00587772"/>
    <w:rsid w:val="00591957"/>
    <w:rsid w:val="005952E9"/>
    <w:rsid w:val="00597BF9"/>
    <w:rsid w:val="005A033E"/>
    <w:rsid w:val="005A373D"/>
    <w:rsid w:val="005A38B7"/>
    <w:rsid w:val="005A46C9"/>
    <w:rsid w:val="005A5CE4"/>
    <w:rsid w:val="005A5FD5"/>
    <w:rsid w:val="005A72F8"/>
    <w:rsid w:val="005B20E9"/>
    <w:rsid w:val="005B2462"/>
    <w:rsid w:val="005B5857"/>
    <w:rsid w:val="005B62B8"/>
    <w:rsid w:val="005C1238"/>
    <w:rsid w:val="005C1B83"/>
    <w:rsid w:val="005C2D55"/>
    <w:rsid w:val="005C346B"/>
    <w:rsid w:val="005C3536"/>
    <w:rsid w:val="005D044D"/>
    <w:rsid w:val="005D0ABD"/>
    <w:rsid w:val="005D1499"/>
    <w:rsid w:val="005D18AD"/>
    <w:rsid w:val="005D1ECF"/>
    <w:rsid w:val="005D26B4"/>
    <w:rsid w:val="005D650F"/>
    <w:rsid w:val="005E0AE1"/>
    <w:rsid w:val="005E44C6"/>
    <w:rsid w:val="005E5900"/>
    <w:rsid w:val="005E6CBC"/>
    <w:rsid w:val="005E73C0"/>
    <w:rsid w:val="005F0DB4"/>
    <w:rsid w:val="005F2706"/>
    <w:rsid w:val="005F65DF"/>
    <w:rsid w:val="005F6A8F"/>
    <w:rsid w:val="005F74B6"/>
    <w:rsid w:val="005F7AA6"/>
    <w:rsid w:val="0060048A"/>
    <w:rsid w:val="00600D8C"/>
    <w:rsid w:val="00601366"/>
    <w:rsid w:val="006019D6"/>
    <w:rsid w:val="006024A5"/>
    <w:rsid w:val="00602BF7"/>
    <w:rsid w:val="0060351D"/>
    <w:rsid w:val="00603DB9"/>
    <w:rsid w:val="0060546A"/>
    <w:rsid w:val="00606B00"/>
    <w:rsid w:val="00606D84"/>
    <w:rsid w:val="00607669"/>
    <w:rsid w:val="00607AFD"/>
    <w:rsid w:val="00612F97"/>
    <w:rsid w:val="0061345D"/>
    <w:rsid w:val="00613B8D"/>
    <w:rsid w:val="00614EB7"/>
    <w:rsid w:val="0061552D"/>
    <w:rsid w:val="00616802"/>
    <w:rsid w:val="00617E12"/>
    <w:rsid w:val="0062028D"/>
    <w:rsid w:val="00621477"/>
    <w:rsid w:val="00621A04"/>
    <w:rsid w:val="00622149"/>
    <w:rsid w:val="006234DB"/>
    <w:rsid w:val="00625FCE"/>
    <w:rsid w:val="0062772C"/>
    <w:rsid w:val="006303D2"/>
    <w:rsid w:val="0063158F"/>
    <w:rsid w:val="00631D6B"/>
    <w:rsid w:val="00632D2B"/>
    <w:rsid w:val="006330A1"/>
    <w:rsid w:val="00633118"/>
    <w:rsid w:val="0063479F"/>
    <w:rsid w:val="006353F0"/>
    <w:rsid w:val="006364A1"/>
    <w:rsid w:val="00637BFD"/>
    <w:rsid w:val="00641C4E"/>
    <w:rsid w:val="00641D46"/>
    <w:rsid w:val="0064344D"/>
    <w:rsid w:val="00645D6A"/>
    <w:rsid w:val="00646F5E"/>
    <w:rsid w:val="006471CC"/>
    <w:rsid w:val="0065079F"/>
    <w:rsid w:val="0065379F"/>
    <w:rsid w:val="00653C33"/>
    <w:rsid w:val="00654B49"/>
    <w:rsid w:val="00654C76"/>
    <w:rsid w:val="0066063E"/>
    <w:rsid w:val="006607DD"/>
    <w:rsid w:val="006616CA"/>
    <w:rsid w:val="00661C6B"/>
    <w:rsid w:val="00663004"/>
    <w:rsid w:val="0066333C"/>
    <w:rsid w:val="00663C59"/>
    <w:rsid w:val="00667FEE"/>
    <w:rsid w:val="006700C1"/>
    <w:rsid w:val="00671746"/>
    <w:rsid w:val="00673FA2"/>
    <w:rsid w:val="00674E42"/>
    <w:rsid w:val="00675708"/>
    <w:rsid w:val="006766BB"/>
    <w:rsid w:val="006767DE"/>
    <w:rsid w:val="00680C17"/>
    <w:rsid w:val="00682112"/>
    <w:rsid w:val="00686017"/>
    <w:rsid w:val="00686957"/>
    <w:rsid w:val="006872BA"/>
    <w:rsid w:val="00690FF2"/>
    <w:rsid w:val="00691648"/>
    <w:rsid w:val="006917D7"/>
    <w:rsid w:val="00691BC2"/>
    <w:rsid w:val="00692AFE"/>
    <w:rsid w:val="0069397B"/>
    <w:rsid w:val="00694F44"/>
    <w:rsid w:val="0069500D"/>
    <w:rsid w:val="006A194E"/>
    <w:rsid w:val="006A233B"/>
    <w:rsid w:val="006A2A5E"/>
    <w:rsid w:val="006A7580"/>
    <w:rsid w:val="006A7B68"/>
    <w:rsid w:val="006A7E5F"/>
    <w:rsid w:val="006B0AA9"/>
    <w:rsid w:val="006B261B"/>
    <w:rsid w:val="006B2C90"/>
    <w:rsid w:val="006B3AE5"/>
    <w:rsid w:val="006B456C"/>
    <w:rsid w:val="006B5702"/>
    <w:rsid w:val="006B6DD0"/>
    <w:rsid w:val="006B70CB"/>
    <w:rsid w:val="006C24E8"/>
    <w:rsid w:val="006C2A8E"/>
    <w:rsid w:val="006C4187"/>
    <w:rsid w:val="006C56BA"/>
    <w:rsid w:val="006C578D"/>
    <w:rsid w:val="006C7344"/>
    <w:rsid w:val="006C77D9"/>
    <w:rsid w:val="006C7DC5"/>
    <w:rsid w:val="006D14BD"/>
    <w:rsid w:val="006D1B74"/>
    <w:rsid w:val="006D2581"/>
    <w:rsid w:val="006D3C7D"/>
    <w:rsid w:val="006D41DE"/>
    <w:rsid w:val="006D4C84"/>
    <w:rsid w:val="006D4ED3"/>
    <w:rsid w:val="006D5036"/>
    <w:rsid w:val="006D5595"/>
    <w:rsid w:val="006D5D5F"/>
    <w:rsid w:val="006D5F24"/>
    <w:rsid w:val="006E0C68"/>
    <w:rsid w:val="006E45E8"/>
    <w:rsid w:val="006E56E5"/>
    <w:rsid w:val="006F0278"/>
    <w:rsid w:val="006F0467"/>
    <w:rsid w:val="006F0818"/>
    <w:rsid w:val="006F1A05"/>
    <w:rsid w:val="006F2365"/>
    <w:rsid w:val="006F306C"/>
    <w:rsid w:val="006F56AE"/>
    <w:rsid w:val="006F63A5"/>
    <w:rsid w:val="006F641E"/>
    <w:rsid w:val="006F7ED7"/>
    <w:rsid w:val="00700AC4"/>
    <w:rsid w:val="0070142B"/>
    <w:rsid w:val="0070276E"/>
    <w:rsid w:val="00702F8F"/>
    <w:rsid w:val="00703EB9"/>
    <w:rsid w:val="00711A36"/>
    <w:rsid w:val="0071529C"/>
    <w:rsid w:val="00715464"/>
    <w:rsid w:val="00716E89"/>
    <w:rsid w:val="007172AD"/>
    <w:rsid w:val="00721469"/>
    <w:rsid w:val="00722B1B"/>
    <w:rsid w:val="007237B3"/>
    <w:rsid w:val="0072416F"/>
    <w:rsid w:val="007258AA"/>
    <w:rsid w:val="00725CC0"/>
    <w:rsid w:val="00725D4E"/>
    <w:rsid w:val="0072652E"/>
    <w:rsid w:val="00727884"/>
    <w:rsid w:val="00727C94"/>
    <w:rsid w:val="007313AB"/>
    <w:rsid w:val="00731EAE"/>
    <w:rsid w:val="007328AF"/>
    <w:rsid w:val="00732C82"/>
    <w:rsid w:val="0073453F"/>
    <w:rsid w:val="00735033"/>
    <w:rsid w:val="00735328"/>
    <w:rsid w:val="0073685B"/>
    <w:rsid w:val="00740248"/>
    <w:rsid w:val="00743173"/>
    <w:rsid w:val="007465B1"/>
    <w:rsid w:val="00746C90"/>
    <w:rsid w:val="007476B2"/>
    <w:rsid w:val="00747CC0"/>
    <w:rsid w:val="00752142"/>
    <w:rsid w:val="007523F9"/>
    <w:rsid w:val="007573E8"/>
    <w:rsid w:val="00760C4E"/>
    <w:rsid w:val="007614EF"/>
    <w:rsid w:val="00761739"/>
    <w:rsid w:val="00761F45"/>
    <w:rsid w:val="00762BC9"/>
    <w:rsid w:val="00762CE8"/>
    <w:rsid w:val="00765B1A"/>
    <w:rsid w:val="00770BF2"/>
    <w:rsid w:val="00772057"/>
    <w:rsid w:val="0077463D"/>
    <w:rsid w:val="0077575D"/>
    <w:rsid w:val="007778B1"/>
    <w:rsid w:val="007808EE"/>
    <w:rsid w:val="007821B9"/>
    <w:rsid w:val="00782478"/>
    <w:rsid w:val="00782D57"/>
    <w:rsid w:val="0078423F"/>
    <w:rsid w:val="007843F2"/>
    <w:rsid w:val="0078692E"/>
    <w:rsid w:val="00790C79"/>
    <w:rsid w:val="00793803"/>
    <w:rsid w:val="007953EC"/>
    <w:rsid w:val="007967FE"/>
    <w:rsid w:val="007A004A"/>
    <w:rsid w:val="007A0A12"/>
    <w:rsid w:val="007A132D"/>
    <w:rsid w:val="007A1758"/>
    <w:rsid w:val="007A2B1E"/>
    <w:rsid w:val="007A2FCF"/>
    <w:rsid w:val="007A6414"/>
    <w:rsid w:val="007B0D68"/>
    <w:rsid w:val="007B251D"/>
    <w:rsid w:val="007B2B55"/>
    <w:rsid w:val="007B2F98"/>
    <w:rsid w:val="007B3E63"/>
    <w:rsid w:val="007B3F1E"/>
    <w:rsid w:val="007B3F2F"/>
    <w:rsid w:val="007B4B3B"/>
    <w:rsid w:val="007B4F58"/>
    <w:rsid w:val="007B528D"/>
    <w:rsid w:val="007B54CD"/>
    <w:rsid w:val="007B74D4"/>
    <w:rsid w:val="007B77D1"/>
    <w:rsid w:val="007C1CD9"/>
    <w:rsid w:val="007C361D"/>
    <w:rsid w:val="007C4B84"/>
    <w:rsid w:val="007C7659"/>
    <w:rsid w:val="007D004F"/>
    <w:rsid w:val="007D0B38"/>
    <w:rsid w:val="007D2671"/>
    <w:rsid w:val="007D2B92"/>
    <w:rsid w:val="007D3D2B"/>
    <w:rsid w:val="007D4B83"/>
    <w:rsid w:val="007D5440"/>
    <w:rsid w:val="007D6196"/>
    <w:rsid w:val="007D6980"/>
    <w:rsid w:val="007E10B0"/>
    <w:rsid w:val="007E1646"/>
    <w:rsid w:val="007E1B03"/>
    <w:rsid w:val="007E2B92"/>
    <w:rsid w:val="007E656D"/>
    <w:rsid w:val="007F1017"/>
    <w:rsid w:val="007F10EF"/>
    <w:rsid w:val="007F3650"/>
    <w:rsid w:val="007F4A3F"/>
    <w:rsid w:val="007F4A61"/>
    <w:rsid w:val="007F610E"/>
    <w:rsid w:val="007F61C2"/>
    <w:rsid w:val="00805142"/>
    <w:rsid w:val="0080776C"/>
    <w:rsid w:val="00807A8B"/>
    <w:rsid w:val="00807EBC"/>
    <w:rsid w:val="008106D0"/>
    <w:rsid w:val="0081134A"/>
    <w:rsid w:val="00811383"/>
    <w:rsid w:val="00811B12"/>
    <w:rsid w:val="00812149"/>
    <w:rsid w:val="008126B0"/>
    <w:rsid w:val="00812CAC"/>
    <w:rsid w:val="0081361C"/>
    <w:rsid w:val="00815DCB"/>
    <w:rsid w:val="008166EF"/>
    <w:rsid w:val="008173AE"/>
    <w:rsid w:val="0082311C"/>
    <w:rsid w:val="0082321F"/>
    <w:rsid w:val="00824BE7"/>
    <w:rsid w:val="00825751"/>
    <w:rsid w:val="008264EB"/>
    <w:rsid w:val="00827ABA"/>
    <w:rsid w:val="0083311F"/>
    <w:rsid w:val="00833757"/>
    <w:rsid w:val="00833B05"/>
    <w:rsid w:val="008341CD"/>
    <w:rsid w:val="00835398"/>
    <w:rsid w:val="008362B4"/>
    <w:rsid w:val="00840CA2"/>
    <w:rsid w:val="00842AFE"/>
    <w:rsid w:val="00842D59"/>
    <w:rsid w:val="008435BD"/>
    <w:rsid w:val="0084374F"/>
    <w:rsid w:val="008449EA"/>
    <w:rsid w:val="00846645"/>
    <w:rsid w:val="00847DF5"/>
    <w:rsid w:val="0085309D"/>
    <w:rsid w:val="00853289"/>
    <w:rsid w:val="00853484"/>
    <w:rsid w:val="00853500"/>
    <w:rsid w:val="00855E8A"/>
    <w:rsid w:val="0085613F"/>
    <w:rsid w:val="00856897"/>
    <w:rsid w:val="00856E9A"/>
    <w:rsid w:val="0086075D"/>
    <w:rsid w:val="00860765"/>
    <w:rsid w:val="00862502"/>
    <w:rsid w:val="008660D4"/>
    <w:rsid w:val="00866C92"/>
    <w:rsid w:val="00866F89"/>
    <w:rsid w:val="00871FA9"/>
    <w:rsid w:val="008728E9"/>
    <w:rsid w:val="00873298"/>
    <w:rsid w:val="00875049"/>
    <w:rsid w:val="008751BC"/>
    <w:rsid w:val="008756A7"/>
    <w:rsid w:val="00875F6E"/>
    <w:rsid w:val="00877707"/>
    <w:rsid w:val="00877E89"/>
    <w:rsid w:val="00880E00"/>
    <w:rsid w:val="00882635"/>
    <w:rsid w:val="00882874"/>
    <w:rsid w:val="00883048"/>
    <w:rsid w:val="008836FC"/>
    <w:rsid w:val="00883787"/>
    <w:rsid w:val="00886320"/>
    <w:rsid w:val="00886CD2"/>
    <w:rsid w:val="00890BFF"/>
    <w:rsid w:val="0089261B"/>
    <w:rsid w:val="008927B6"/>
    <w:rsid w:val="00892A36"/>
    <w:rsid w:val="008930FA"/>
    <w:rsid w:val="00893239"/>
    <w:rsid w:val="00893D1A"/>
    <w:rsid w:val="00894039"/>
    <w:rsid w:val="00894489"/>
    <w:rsid w:val="008947AF"/>
    <w:rsid w:val="00895055"/>
    <w:rsid w:val="008963A5"/>
    <w:rsid w:val="00897681"/>
    <w:rsid w:val="008A2B38"/>
    <w:rsid w:val="008A3363"/>
    <w:rsid w:val="008A3371"/>
    <w:rsid w:val="008A3C3E"/>
    <w:rsid w:val="008A79DE"/>
    <w:rsid w:val="008A7B5A"/>
    <w:rsid w:val="008B0340"/>
    <w:rsid w:val="008B11C0"/>
    <w:rsid w:val="008B1757"/>
    <w:rsid w:val="008B1D32"/>
    <w:rsid w:val="008B209A"/>
    <w:rsid w:val="008B4417"/>
    <w:rsid w:val="008B6564"/>
    <w:rsid w:val="008B7D7E"/>
    <w:rsid w:val="008C23DF"/>
    <w:rsid w:val="008C35EC"/>
    <w:rsid w:val="008C38E6"/>
    <w:rsid w:val="008C7ECB"/>
    <w:rsid w:val="008D4755"/>
    <w:rsid w:val="008D4C3D"/>
    <w:rsid w:val="008D595D"/>
    <w:rsid w:val="008D64AF"/>
    <w:rsid w:val="008D6C15"/>
    <w:rsid w:val="008E0D3C"/>
    <w:rsid w:val="008E1B9E"/>
    <w:rsid w:val="008E3B5B"/>
    <w:rsid w:val="008E55AB"/>
    <w:rsid w:val="008F0A2A"/>
    <w:rsid w:val="008F120A"/>
    <w:rsid w:val="008F27E0"/>
    <w:rsid w:val="008F3A38"/>
    <w:rsid w:val="008F4503"/>
    <w:rsid w:val="008F48EB"/>
    <w:rsid w:val="008F4F0B"/>
    <w:rsid w:val="008F5A18"/>
    <w:rsid w:val="00900642"/>
    <w:rsid w:val="009013A4"/>
    <w:rsid w:val="00904246"/>
    <w:rsid w:val="009046C4"/>
    <w:rsid w:val="00905BEC"/>
    <w:rsid w:val="009062A5"/>
    <w:rsid w:val="00911272"/>
    <w:rsid w:val="009135D6"/>
    <w:rsid w:val="00913982"/>
    <w:rsid w:val="00914C77"/>
    <w:rsid w:val="009206BC"/>
    <w:rsid w:val="0092251F"/>
    <w:rsid w:val="0092369B"/>
    <w:rsid w:val="0092613A"/>
    <w:rsid w:val="00935691"/>
    <w:rsid w:val="009362AD"/>
    <w:rsid w:val="00937AE0"/>
    <w:rsid w:val="009412DB"/>
    <w:rsid w:val="009510A2"/>
    <w:rsid w:val="0095190C"/>
    <w:rsid w:val="00953257"/>
    <w:rsid w:val="00954103"/>
    <w:rsid w:val="009546A4"/>
    <w:rsid w:val="009565CD"/>
    <w:rsid w:val="00962A85"/>
    <w:rsid w:val="00962CB9"/>
    <w:rsid w:val="00964312"/>
    <w:rsid w:val="00964A35"/>
    <w:rsid w:val="00965B8A"/>
    <w:rsid w:val="009661CF"/>
    <w:rsid w:val="009717AC"/>
    <w:rsid w:val="00972976"/>
    <w:rsid w:val="009770AA"/>
    <w:rsid w:val="009829DA"/>
    <w:rsid w:val="00982FB5"/>
    <w:rsid w:val="009835BA"/>
    <w:rsid w:val="00983E57"/>
    <w:rsid w:val="0098675D"/>
    <w:rsid w:val="00987204"/>
    <w:rsid w:val="00990C66"/>
    <w:rsid w:val="00991562"/>
    <w:rsid w:val="00992E1F"/>
    <w:rsid w:val="00996B1A"/>
    <w:rsid w:val="009971A0"/>
    <w:rsid w:val="009A7F10"/>
    <w:rsid w:val="009B099A"/>
    <w:rsid w:val="009B0AC9"/>
    <w:rsid w:val="009B2623"/>
    <w:rsid w:val="009B3E03"/>
    <w:rsid w:val="009B3E26"/>
    <w:rsid w:val="009B5573"/>
    <w:rsid w:val="009B7191"/>
    <w:rsid w:val="009C1D81"/>
    <w:rsid w:val="009C25FF"/>
    <w:rsid w:val="009C4BC0"/>
    <w:rsid w:val="009C6CEA"/>
    <w:rsid w:val="009C717C"/>
    <w:rsid w:val="009C7B85"/>
    <w:rsid w:val="009D3B2A"/>
    <w:rsid w:val="009D5B91"/>
    <w:rsid w:val="009D6B17"/>
    <w:rsid w:val="009D792E"/>
    <w:rsid w:val="009E006C"/>
    <w:rsid w:val="009E0DFE"/>
    <w:rsid w:val="009E2110"/>
    <w:rsid w:val="009E2AF2"/>
    <w:rsid w:val="009E4C07"/>
    <w:rsid w:val="009F03E7"/>
    <w:rsid w:val="009F4E6F"/>
    <w:rsid w:val="009F539D"/>
    <w:rsid w:val="009F7DB6"/>
    <w:rsid w:val="00A01184"/>
    <w:rsid w:val="00A03D43"/>
    <w:rsid w:val="00A04380"/>
    <w:rsid w:val="00A04F3D"/>
    <w:rsid w:val="00A05B78"/>
    <w:rsid w:val="00A07D7E"/>
    <w:rsid w:val="00A10C9D"/>
    <w:rsid w:val="00A1154F"/>
    <w:rsid w:val="00A11CD0"/>
    <w:rsid w:val="00A13948"/>
    <w:rsid w:val="00A1555B"/>
    <w:rsid w:val="00A155C5"/>
    <w:rsid w:val="00A16A70"/>
    <w:rsid w:val="00A16AD8"/>
    <w:rsid w:val="00A174C6"/>
    <w:rsid w:val="00A20F4C"/>
    <w:rsid w:val="00A21347"/>
    <w:rsid w:val="00A21CF3"/>
    <w:rsid w:val="00A223FE"/>
    <w:rsid w:val="00A23C26"/>
    <w:rsid w:val="00A252F3"/>
    <w:rsid w:val="00A263C6"/>
    <w:rsid w:val="00A27AEC"/>
    <w:rsid w:val="00A31E28"/>
    <w:rsid w:val="00A320DB"/>
    <w:rsid w:val="00A35D16"/>
    <w:rsid w:val="00A37BCD"/>
    <w:rsid w:val="00A40110"/>
    <w:rsid w:val="00A41A5F"/>
    <w:rsid w:val="00A43BFC"/>
    <w:rsid w:val="00A43C59"/>
    <w:rsid w:val="00A50ECD"/>
    <w:rsid w:val="00A518F3"/>
    <w:rsid w:val="00A522DB"/>
    <w:rsid w:val="00A52729"/>
    <w:rsid w:val="00A53675"/>
    <w:rsid w:val="00A54E03"/>
    <w:rsid w:val="00A55B65"/>
    <w:rsid w:val="00A56395"/>
    <w:rsid w:val="00A564D7"/>
    <w:rsid w:val="00A56B6A"/>
    <w:rsid w:val="00A571FD"/>
    <w:rsid w:val="00A578DC"/>
    <w:rsid w:val="00A60A39"/>
    <w:rsid w:val="00A60A6E"/>
    <w:rsid w:val="00A6259F"/>
    <w:rsid w:val="00A659F4"/>
    <w:rsid w:val="00A6725B"/>
    <w:rsid w:val="00A70605"/>
    <w:rsid w:val="00A73134"/>
    <w:rsid w:val="00A73473"/>
    <w:rsid w:val="00A73F6D"/>
    <w:rsid w:val="00A76395"/>
    <w:rsid w:val="00A76791"/>
    <w:rsid w:val="00A770CE"/>
    <w:rsid w:val="00A777B2"/>
    <w:rsid w:val="00A80893"/>
    <w:rsid w:val="00A80B5F"/>
    <w:rsid w:val="00A80F64"/>
    <w:rsid w:val="00A83568"/>
    <w:rsid w:val="00A83ED2"/>
    <w:rsid w:val="00A85080"/>
    <w:rsid w:val="00A86E8B"/>
    <w:rsid w:val="00A86EC3"/>
    <w:rsid w:val="00A87009"/>
    <w:rsid w:val="00A87164"/>
    <w:rsid w:val="00A91D5F"/>
    <w:rsid w:val="00A93072"/>
    <w:rsid w:val="00A93400"/>
    <w:rsid w:val="00A93953"/>
    <w:rsid w:val="00A94633"/>
    <w:rsid w:val="00A959D8"/>
    <w:rsid w:val="00AA075D"/>
    <w:rsid w:val="00AA113D"/>
    <w:rsid w:val="00AA2E65"/>
    <w:rsid w:val="00AA2FCF"/>
    <w:rsid w:val="00AA67C2"/>
    <w:rsid w:val="00AA6C7D"/>
    <w:rsid w:val="00AA6FBB"/>
    <w:rsid w:val="00AA7FD6"/>
    <w:rsid w:val="00AB042A"/>
    <w:rsid w:val="00AB0CBE"/>
    <w:rsid w:val="00AB0ED3"/>
    <w:rsid w:val="00AB1498"/>
    <w:rsid w:val="00AB274A"/>
    <w:rsid w:val="00AB2D34"/>
    <w:rsid w:val="00AB3430"/>
    <w:rsid w:val="00AB44AF"/>
    <w:rsid w:val="00AB4AD1"/>
    <w:rsid w:val="00AB6BBB"/>
    <w:rsid w:val="00AB7CFA"/>
    <w:rsid w:val="00AC0177"/>
    <w:rsid w:val="00AC3CD9"/>
    <w:rsid w:val="00AC4F30"/>
    <w:rsid w:val="00AC5609"/>
    <w:rsid w:val="00AC5B48"/>
    <w:rsid w:val="00AC7196"/>
    <w:rsid w:val="00AC79E3"/>
    <w:rsid w:val="00AD0CA4"/>
    <w:rsid w:val="00AD4631"/>
    <w:rsid w:val="00AD4B4C"/>
    <w:rsid w:val="00AD52B2"/>
    <w:rsid w:val="00AD5A5D"/>
    <w:rsid w:val="00AD6502"/>
    <w:rsid w:val="00AD72A5"/>
    <w:rsid w:val="00AE13B1"/>
    <w:rsid w:val="00AE6EFA"/>
    <w:rsid w:val="00AF00DF"/>
    <w:rsid w:val="00AF1315"/>
    <w:rsid w:val="00AF19BF"/>
    <w:rsid w:val="00AF2CD4"/>
    <w:rsid w:val="00AF2DC3"/>
    <w:rsid w:val="00AF76FB"/>
    <w:rsid w:val="00B033E5"/>
    <w:rsid w:val="00B03A63"/>
    <w:rsid w:val="00B04812"/>
    <w:rsid w:val="00B1005B"/>
    <w:rsid w:val="00B103FA"/>
    <w:rsid w:val="00B1078A"/>
    <w:rsid w:val="00B14151"/>
    <w:rsid w:val="00B16B80"/>
    <w:rsid w:val="00B179FD"/>
    <w:rsid w:val="00B17C9D"/>
    <w:rsid w:val="00B201A4"/>
    <w:rsid w:val="00B213A6"/>
    <w:rsid w:val="00B21B0E"/>
    <w:rsid w:val="00B21C7C"/>
    <w:rsid w:val="00B21FCF"/>
    <w:rsid w:val="00B23393"/>
    <w:rsid w:val="00B24DF6"/>
    <w:rsid w:val="00B252F8"/>
    <w:rsid w:val="00B2676E"/>
    <w:rsid w:val="00B26F7A"/>
    <w:rsid w:val="00B3065D"/>
    <w:rsid w:val="00B343FE"/>
    <w:rsid w:val="00B34FE2"/>
    <w:rsid w:val="00B357D8"/>
    <w:rsid w:val="00B35FD3"/>
    <w:rsid w:val="00B37259"/>
    <w:rsid w:val="00B37BFC"/>
    <w:rsid w:val="00B40358"/>
    <w:rsid w:val="00B41614"/>
    <w:rsid w:val="00B42851"/>
    <w:rsid w:val="00B42F80"/>
    <w:rsid w:val="00B4350F"/>
    <w:rsid w:val="00B435CB"/>
    <w:rsid w:val="00B437CD"/>
    <w:rsid w:val="00B466FC"/>
    <w:rsid w:val="00B467BB"/>
    <w:rsid w:val="00B46BC2"/>
    <w:rsid w:val="00B47C7E"/>
    <w:rsid w:val="00B47F8C"/>
    <w:rsid w:val="00B50DB8"/>
    <w:rsid w:val="00B527C6"/>
    <w:rsid w:val="00B53654"/>
    <w:rsid w:val="00B53905"/>
    <w:rsid w:val="00B53A98"/>
    <w:rsid w:val="00B54B5B"/>
    <w:rsid w:val="00B5562E"/>
    <w:rsid w:val="00B57000"/>
    <w:rsid w:val="00B6026D"/>
    <w:rsid w:val="00B60939"/>
    <w:rsid w:val="00B60AFD"/>
    <w:rsid w:val="00B62715"/>
    <w:rsid w:val="00B6433A"/>
    <w:rsid w:val="00B64EF4"/>
    <w:rsid w:val="00B65F83"/>
    <w:rsid w:val="00B666B9"/>
    <w:rsid w:val="00B669A5"/>
    <w:rsid w:val="00B67B7B"/>
    <w:rsid w:val="00B7038F"/>
    <w:rsid w:val="00B70BC3"/>
    <w:rsid w:val="00B70D2D"/>
    <w:rsid w:val="00B7280A"/>
    <w:rsid w:val="00B72897"/>
    <w:rsid w:val="00B7320F"/>
    <w:rsid w:val="00B76A8D"/>
    <w:rsid w:val="00B77543"/>
    <w:rsid w:val="00B81355"/>
    <w:rsid w:val="00B818A4"/>
    <w:rsid w:val="00B81C90"/>
    <w:rsid w:val="00B82F5D"/>
    <w:rsid w:val="00B84117"/>
    <w:rsid w:val="00B85AA2"/>
    <w:rsid w:val="00B8649C"/>
    <w:rsid w:val="00B86F2F"/>
    <w:rsid w:val="00B87F0A"/>
    <w:rsid w:val="00B92409"/>
    <w:rsid w:val="00B92695"/>
    <w:rsid w:val="00B92D0B"/>
    <w:rsid w:val="00B93271"/>
    <w:rsid w:val="00B9338B"/>
    <w:rsid w:val="00B94494"/>
    <w:rsid w:val="00B94945"/>
    <w:rsid w:val="00BA1114"/>
    <w:rsid w:val="00BA15A7"/>
    <w:rsid w:val="00BA322D"/>
    <w:rsid w:val="00BA3952"/>
    <w:rsid w:val="00BA65EF"/>
    <w:rsid w:val="00BB0BDD"/>
    <w:rsid w:val="00BB1769"/>
    <w:rsid w:val="00BB1B86"/>
    <w:rsid w:val="00BB2A73"/>
    <w:rsid w:val="00BB3CD2"/>
    <w:rsid w:val="00BB4ACC"/>
    <w:rsid w:val="00BB5BED"/>
    <w:rsid w:val="00BB703E"/>
    <w:rsid w:val="00BB7405"/>
    <w:rsid w:val="00BB765F"/>
    <w:rsid w:val="00BC05E0"/>
    <w:rsid w:val="00BC3631"/>
    <w:rsid w:val="00BC5064"/>
    <w:rsid w:val="00BD2F5D"/>
    <w:rsid w:val="00BD6298"/>
    <w:rsid w:val="00BD68A3"/>
    <w:rsid w:val="00BD6938"/>
    <w:rsid w:val="00BD6CF3"/>
    <w:rsid w:val="00BD7187"/>
    <w:rsid w:val="00BD776C"/>
    <w:rsid w:val="00BD77EB"/>
    <w:rsid w:val="00BE057F"/>
    <w:rsid w:val="00BE0D68"/>
    <w:rsid w:val="00BE2180"/>
    <w:rsid w:val="00BE21F2"/>
    <w:rsid w:val="00BE3268"/>
    <w:rsid w:val="00BE4275"/>
    <w:rsid w:val="00BE5DB6"/>
    <w:rsid w:val="00BF0F95"/>
    <w:rsid w:val="00BF2433"/>
    <w:rsid w:val="00BF2D4A"/>
    <w:rsid w:val="00BF5014"/>
    <w:rsid w:val="00BF5E10"/>
    <w:rsid w:val="00BF61C9"/>
    <w:rsid w:val="00BF6C94"/>
    <w:rsid w:val="00BF7229"/>
    <w:rsid w:val="00C00424"/>
    <w:rsid w:val="00C05248"/>
    <w:rsid w:val="00C07DD5"/>
    <w:rsid w:val="00C12C14"/>
    <w:rsid w:val="00C16D4E"/>
    <w:rsid w:val="00C200AA"/>
    <w:rsid w:val="00C213ED"/>
    <w:rsid w:val="00C237ED"/>
    <w:rsid w:val="00C24632"/>
    <w:rsid w:val="00C25418"/>
    <w:rsid w:val="00C25D9C"/>
    <w:rsid w:val="00C27021"/>
    <w:rsid w:val="00C2778B"/>
    <w:rsid w:val="00C31649"/>
    <w:rsid w:val="00C32236"/>
    <w:rsid w:val="00C34F78"/>
    <w:rsid w:val="00C366C9"/>
    <w:rsid w:val="00C3690E"/>
    <w:rsid w:val="00C40385"/>
    <w:rsid w:val="00C40F68"/>
    <w:rsid w:val="00C4366E"/>
    <w:rsid w:val="00C44592"/>
    <w:rsid w:val="00C475AA"/>
    <w:rsid w:val="00C47863"/>
    <w:rsid w:val="00C47CDB"/>
    <w:rsid w:val="00C501E6"/>
    <w:rsid w:val="00C51FB1"/>
    <w:rsid w:val="00C52086"/>
    <w:rsid w:val="00C52649"/>
    <w:rsid w:val="00C52E45"/>
    <w:rsid w:val="00C52E46"/>
    <w:rsid w:val="00C554E3"/>
    <w:rsid w:val="00C55CBC"/>
    <w:rsid w:val="00C574E1"/>
    <w:rsid w:val="00C608E7"/>
    <w:rsid w:val="00C60F46"/>
    <w:rsid w:val="00C60FCB"/>
    <w:rsid w:val="00C65576"/>
    <w:rsid w:val="00C655D1"/>
    <w:rsid w:val="00C65FD0"/>
    <w:rsid w:val="00C66165"/>
    <w:rsid w:val="00C67F07"/>
    <w:rsid w:val="00C7151A"/>
    <w:rsid w:val="00C71F60"/>
    <w:rsid w:val="00C72241"/>
    <w:rsid w:val="00C74C9A"/>
    <w:rsid w:val="00C750C8"/>
    <w:rsid w:val="00C75285"/>
    <w:rsid w:val="00C7560F"/>
    <w:rsid w:val="00C76C01"/>
    <w:rsid w:val="00C8099C"/>
    <w:rsid w:val="00C80A0E"/>
    <w:rsid w:val="00C80DCD"/>
    <w:rsid w:val="00C8213F"/>
    <w:rsid w:val="00C84C35"/>
    <w:rsid w:val="00C84CBC"/>
    <w:rsid w:val="00C860A1"/>
    <w:rsid w:val="00C87768"/>
    <w:rsid w:val="00C8797A"/>
    <w:rsid w:val="00C900B8"/>
    <w:rsid w:val="00C90C71"/>
    <w:rsid w:val="00C931CF"/>
    <w:rsid w:val="00C938CF"/>
    <w:rsid w:val="00C9624D"/>
    <w:rsid w:val="00C965EC"/>
    <w:rsid w:val="00C969DA"/>
    <w:rsid w:val="00CA2C77"/>
    <w:rsid w:val="00CA37C1"/>
    <w:rsid w:val="00CA4214"/>
    <w:rsid w:val="00CA444F"/>
    <w:rsid w:val="00CA48EE"/>
    <w:rsid w:val="00CA5245"/>
    <w:rsid w:val="00CA71F4"/>
    <w:rsid w:val="00CA7B09"/>
    <w:rsid w:val="00CB2F2A"/>
    <w:rsid w:val="00CB4E6D"/>
    <w:rsid w:val="00CB5B1A"/>
    <w:rsid w:val="00CB692E"/>
    <w:rsid w:val="00CB6B22"/>
    <w:rsid w:val="00CB7F5F"/>
    <w:rsid w:val="00CC035B"/>
    <w:rsid w:val="00CC1B39"/>
    <w:rsid w:val="00CC5250"/>
    <w:rsid w:val="00CC532D"/>
    <w:rsid w:val="00CC6BB6"/>
    <w:rsid w:val="00CC71BA"/>
    <w:rsid w:val="00CD1120"/>
    <w:rsid w:val="00CD2F2A"/>
    <w:rsid w:val="00CD544A"/>
    <w:rsid w:val="00CD55B4"/>
    <w:rsid w:val="00CD6ADC"/>
    <w:rsid w:val="00CD7689"/>
    <w:rsid w:val="00CE3EEA"/>
    <w:rsid w:val="00CE6274"/>
    <w:rsid w:val="00CF0D0E"/>
    <w:rsid w:val="00CF0E05"/>
    <w:rsid w:val="00CF1D91"/>
    <w:rsid w:val="00CF2387"/>
    <w:rsid w:val="00CF2B8D"/>
    <w:rsid w:val="00CF2C0D"/>
    <w:rsid w:val="00CF3456"/>
    <w:rsid w:val="00CF456B"/>
    <w:rsid w:val="00CF5A22"/>
    <w:rsid w:val="00CF5D48"/>
    <w:rsid w:val="00CF707C"/>
    <w:rsid w:val="00CF7144"/>
    <w:rsid w:val="00D0262E"/>
    <w:rsid w:val="00D03F37"/>
    <w:rsid w:val="00D04BC4"/>
    <w:rsid w:val="00D0636D"/>
    <w:rsid w:val="00D07F94"/>
    <w:rsid w:val="00D10850"/>
    <w:rsid w:val="00D10F25"/>
    <w:rsid w:val="00D110BD"/>
    <w:rsid w:val="00D11621"/>
    <w:rsid w:val="00D116EB"/>
    <w:rsid w:val="00D133CD"/>
    <w:rsid w:val="00D13675"/>
    <w:rsid w:val="00D141E1"/>
    <w:rsid w:val="00D17D6C"/>
    <w:rsid w:val="00D2248B"/>
    <w:rsid w:val="00D22DA5"/>
    <w:rsid w:val="00D23EF9"/>
    <w:rsid w:val="00D23F63"/>
    <w:rsid w:val="00D24923"/>
    <w:rsid w:val="00D24FF4"/>
    <w:rsid w:val="00D251F2"/>
    <w:rsid w:val="00D2754D"/>
    <w:rsid w:val="00D2791D"/>
    <w:rsid w:val="00D27B27"/>
    <w:rsid w:val="00D3130A"/>
    <w:rsid w:val="00D33BE9"/>
    <w:rsid w:val="00D34F5C"/>
    <w:rsid w:val="00D357FF"/>
    <w:rsid w:val="00D36133"/>
    <w:rsid w:val="00D37300"/>
    <w:rsid w:val="00D3751D"/>
    <w:rsid w:val="00D40BB2"/>
    <w:rsid w:val="00D40C21"/>
    <w:rsid w:val="00D422B9"/>
    <w:rsid w:val="00D424C7"/>
    <w:rsid w:val="00D43B2A"/>
    <w:rsid w:val="00D448AA"/>
    <w:rsid w:val="00D4507B"/>
    <w:rsid w:val="00D47575"/>
    <w:rsid w:val="00D53F8B"/>
    <w:rsid w:val="00D5410D"/>
    <w:rsid w:val="00D545F8"/>
    <w:rsid w:val="00D54D54"/>
    <w:rsid w:val="00D568E5"/>
    <w:rsid w:val="00D576FB"/>
    <w:rsid w:val="00D60624"/>
    <w:rsid w:val="00D6152A"/>
    <w:rsid w:val="00D64DDF"/>
    <w:rsid w:val="00D65129"/>
    <w:rsid w:val="00D70F16"/>
    <w:rsid w:val="00D7367A"/>
    <w:rsid w:val="00D73C2E"/>
    <w:rsid w:val="00D755B5"/>
    <w:rsid w:val="00D769AF"/>
    <w:rsid w:val="00D76A44"/>
    <w:rsid w:val="00D80AA9"/>
    <w:rsid w:val="00D815EF"/>
    <w:rsid w:val="00D831E9"/>
    <w:rsid w:val="00D83D87"/>
    <w:rsid w:val="00D850EF"/>
    <w:rsid w:val="00D858AD"/>
    <w:rsid w:val="00D91819"/>
    <w:rsid w:val="00D91923"/>
    <w:rsid w:val="00D91C4D"/>
    <w:rsid w:val="00D92BE6"/>
    <w:rsid w:val="00D93753"/>
    <w:rsid w:val="00D9427B"/>
    <w:rsid w:val="00D94474"/>
    <w:rsid w:val="00D957C1"/>
    <w:rsid w:val="00D96C34"/>
    <w:rsid w:val="00D96D2E"/>
    <w:rsid w:val="00DA0022"/>
    <w:rsid w:val="00DA1A8A"/>
    <w:rsid w:val="00DA2A0B"/>
    <w:rsid w:val="00DA3167"/>
    <w:rsid w:val="00DA31EC"/>
    <w:rsid w:val="00DA48AD"/>
    <w:rsid w:val="00DA4DC3"/>
    <w:rsid w:val="00DA5295"/>
    <w:rsid w:val="00DA5384"/>
    <w:rsid w:val="00DA574A"/>
    <w:rsid w:val="00DA77A5"/>
    <w:rsid w:val="00DB484F"/>
    <w:rsid w:val="00DB56EA"/>
    <w:rsid w:val="00DC00B9"/>
    <w:rsid w:val="00DC04F6"/>
    <w:rsid w:val="00DC1CA9"/>
    <w:rsid w:val="00DC33D4"/>
    <w:rsid w:val="00DC3C57"/>
    <w:rsid w:val="00DC4899"/>
    <w:rsid w:val="00DC5501"/>
    <w:rsid w:val="00DC7E00"/>
    <w:rsid w:val="00DD10C8"/>
    <w:rsid w:val="00DD1936"/>
    <w:rsid w:val="00DD2505"/>
    <w:rsid w:val="00DD273C"/>
    <w:rsid w:val="00DD3D61"/>
    <w:rsid w:val="00DD3F28"/>
    <w:rsid w:val="00DD4537"/>
    <w:rsid w:val="00DD4DF2"/>
    <w:rsid w:val="00DD4E15"/>
    <w:rsid w:val="00DD7CEE"/>
    <w:rsid w:val="00DE26E5"/>
    <w:rsid w:val="00DE2B50"/>
    <w:rsid w:val="00DE3138"/>
    <w:rsid w:val="00DE37F8"/>
    <w:rsid w:val="00DE4FCB"/>
    <w:rsid w:val="00DE587D"/>
    <w:rsid w:val="00DE65F9"/>
    <w:rsid w:val="00DE6BBE"/>
    <w:rsid w:val="00DE6D48"/>
    <w:rsid w:val="00DE7832"/>
    <w:rsid w:val="00DF18FC"/>
    <w:rsid w:val="00DF36A9"/>
    <w:rsid w:val="00DF3D76"/>
    <w:rsid w:val="00DF46B9"/>
    <w:rsid w:val="00DF5033"/>
    <w:rsid w:val="00DF55D1"/>
    <w:rsid w:val="00DF5D2B"/>
    <w:rsid w:val="00E00E8E"/>
    <w:rsid w:val="00E02D50"/>
    <w:rsid w:val="00E03239"/>
    <w:rsid w:val="00E032BA"/>
    <w:rsid w:val="00E03828"/>
    <w:rsid w:val="00E04444"/>
    <w:rsid w:val="00E05447"/>
    <w:rsid w:val="00E05630"/>
    <w:rsid w:val="00E06DBB"/>
    <w:rsid w:val="00E06F2D"/>
    <w:rsid w:val="00E10149"/>
    <w:rsid w:val="00E11F80"/>
    <w:rsid w:val="00E14D3E"/>
    <w:rsid w:val="00E151B6"/>
    <w:rsid w:val="00E16372"/>
    <w:rsid w:val="00E172D9"/>
    <w:rsid w:val="00E173F7"/>
    <w:rsid w:val="00E20E20"/>
    <w:rsid w:val="00E20E4D"/>
    <w:rsid w:val="00E20ED6"/>
    <w:rsid w:val="00E21358"/>
    <w:rsid w:val="00E2249B"/>
    <w:rsid w:val="00E22A0D"/>
    <w:rsid w:val="00E2383A"/>
    <w:rsid w:val="00E249CE"/>
    <w:rsid w:val="00E25AA7"/>
    <w:rsid w:val="00E2771E"/>
    <w:rsid w:val="00E30372"/>
    <w:rsid w:val="00E31C57"/>
    <w:rsid w:val="00E34948"/>
    <w:rsid w:val="00E37569"/>
    <w:rsid w:val="00E40A33"/>
    <w:rsid w:val="00E41E30"/>
    <w:rsid w:val="00E43D70"/>
    <w:rsid w:val="00E466F3"/>
    <w:rsid w:val="00E47214"/>
    <w:rsid w:val="00E47B2C"/>
    <w:rsid w:val="00E51560"/>
    <w:rsid w:val="00E54347"/>
    <w:rsid w:val="00E548E5"/>
    <w:rsid w:val="00E55424"/>
    <w:rsid w:val="00E55BB5"/>
    <w:rsid w:val="00E5615D"/>
    <w:rsid w:val="00E621C0"/>
    <w:rsid w:val="00E62CBA"/>
    <w:rsid w:val="00E644C0"/>
    <w:rsid w:val="00E65E79"/>
    <w:rsid w:val="00E66A3E"/>
    <w:rsid w:val="00E66BA2"/>
    <w:rsid w:val="00E67416"/>
    <w:rsid w:val="00E70D64"/>
    <w:rsid w:val="00E718B6"/>
    <w:rsid w:val="00E723BA"/>
    <w:rsid w:val="00E73429"/>
    <w:rsid w:val="00E73581"/>
    <w:rsid w:val="00E73EE0"/>
    <w:rsid w:val="00E75262"/>
    <w:rsid w:val="00E76339"/>
    <w:rsid w:val="00E76AF7"/>
    <w:rsid w:val="00E81381"/>
    <w:rsid w:val="00E833F7"/>
    <w:rsid w:val="00E83BDF"/>
    <w:rsid w:val="00E84989"/>
    <w:rsid w:val="00E850EC"/>
    <w:rsid w:val="00E871D5"/>
    <w:rsid w:val="00E87A1D"/>
    <w:rsid w:val="00E87C7F"/>
    <w:rsid w:val="00E902ED"/>
    <w:rsid w:val="00E926A5"/>
    <w:rsid w:val="00E93947"/>
    <w:rsid w:val="00E9434F"/>
    <w:rsid w:val="00E94413"/>
    <w:rsid w:val="00E97150"/>
    <w:rsid w:val="00EA17C3"/>
    <w:rsid w:val="00EA2CAA"/>
    <w:rsid w:val="00EA3590"/>
    <w:rsid w:val="00EA3864"/>
    <w:rsid w:val="00EA639A"/>
    <w:rsid w:val="00EA753C"/>
    <w:rsid w:val="00EB12CE"/>
    <w:rsid w:val="00EB15B6"/>
    <w:rsid w:val="00EB2429"/>
    <w:rsid w:val="00EB4916"/>
    <w:rsid w:val="00EB59AE"/>
    <w:rsid w:val="00EC00C9"/>
    <w:rsid w:val="00EC2649"/>
    <w:rsid w:val="00EC3E7E"/>
    <w:rsid w:val="00EC44CF"/>
    <w:rsid w:val="00EC59B5"/>
    <w:rsid w:val="00ED0F77"/>
    <w:rsid w:val="00ED165E"/>
    <w:rsid w:val="00ED236B"/>
    <w:rsid w:val="00ED56DE"/>
    <w:rsid w:val="00ED5796"/>
    <w:rsid w:val="00ED57EA"/>
    <w:rsid w:val="00EE07D3"/>
    <w:rsid w:val="00EE22AF"/>
    <w:rsid w:val="00EE3151"/>
    <w:rsid w:val="00EE6DB4"/>
    <w:rsid w:val="00EF0171"/>
    <w:rsid w:val="00EF1B25"/>
    <w:rsid w:val="00EF4747"/>
    <w:rsid w:val="00EF4BF8"/>
    <w:rsid w:val="00EF54DD"/>
    <w:rsid w:val="00F02253"/>
    <w:rsid w:val="00F024E5"/>
    <w:rsid w:val="00F0313D"/>
    <w:rsid w:val="00F03C2E"/>
    <w:rsid w:val="00F046BA"/>
    <w:rsid w:val="00F04A66"/>
    <w:rsid w:val="00F0516C"/>
    <w:rsid w:val="00F0554F"/>
    <w:rsid w:val="00F067A2"/>
    <w:rsid w:val="00F07234"/>
    <w:rsid w:val="00F1263A"/>
    <w:rsid w:val="00F12797"/>
    <w:rsid w:val="00F12C54"/>
    <w:rsid w:val="00F15629"/>
    <w:rsid w:val="00F1590F"/>
    <w:rsid w:val="00F15A6D"/>
    <w:rsid w:val="00F16E15"/>
    <w:rsid w:val="00F24837"/>
    <w:rsid w:val="00F2520D"/>
    <w:rsid w:val="00F2575F"/>
    <w:rsid w:val="00F27565"/>
    <w:rsid w:val="00F300FD"/>
    <w:rsid w:val="00F310D4"/>
    <w:rsid w:val="00F31996"/>
    <w:rsid w:val="00F31D5A"/>
    <w:rsid w:val="00F31E5F"/>
    <w:rsid w:val="00F33DE9"/>
    <w:rsid w:val="00F3619A"/>
    <w:rsid w:val="00F36CB2"/>
    <w:rsid w:val="00F4080E"/>
    <w:rsid w:val="00F40927"/>
    <w:rsid w:val="00F40AAA"/>
    <w:rsid w:val="00F40BA7"/>
    <w:rsid w:val="00F410F3"/>
    <w:rsid w:val="00F42170"/>
    <w:rsid w:val="00F4524C"/>
    <w:rsid w:val="00F454EA"/>
    <w:rsid w:val="00F46CB6"/>
    <w:rsid w:val="00F46F3E"/>
    <w:rsid w:val="00F46F6F"/>
    <w:rsid w:val="00F473BC"/>
    <w:rsid w:val="00F47445"/>
    <w:rsid w:val="00F47692"/>
    <w:rsid w:val="00F47DE8"/>
    <w:rsid w:val="00F50C55"/>
    <w:rsid w:val="00F5331A"/>
    <w:rsid w:val="00F542C1"/>
    <w:rsid w:val="00F55E73"/>
    <w:rsid w:val="00F55EDA"/>
    <w:rsid w:val="00F56BB0"/>
    <w:rsid w:val="00F60092"/>
    <w:rsid w:val="00F632B6"/>
    <w:rsid w:val="00F64399"/>
    <w:rsid w:val="00F6580A"/>
    <w:rsid w:val="00F65F4B"/>
    <w:rsid w:val="00F7006F"/>
    <w:rsid w:val="00F70C9D"/>
    <w:rsid w:val="00F71E15"/>
    <w:rsid w:val="00F74CD9"/>
    <w:rsid w:val="00F7726D"/>
    <w:rsid w:val="00F80799"/>
    <w:rsid w:val="00F80A7B"/>
    <w:rsid w:val="00F80D3D"/>
    <w:rsid w:val="00F80E5D"/>
    <w:rsid w:val="00F826B0"/>
    <w:rsid w:val="00F851CE"/>
    <w:rsid w:val="00F91219"/>
    <w:rsid w:val="00F91EF8"/>
    <w:rsid w:val="00F928BD"/>
    <w:rsid w:val="00F95FA3"/>
    <w:rsid w:val="00F9609D"/>
    <w:rsid w:val="00F96F3C"/>
    <w:rsid w:val="00F97A78"/>
    <w:rsid w:val="00FA0B20"/>
    <w:rsid w:val="00FA24E7"/>
    <w:rsid w:val="00FA2E7D"/>
    <w:rsid w:val="00FA5BF5"/>
    <w:rsid w:val="00FA6D82"/>
    <w:rsid w:val="00FA6F49"/>
    <w:rsid w:val="00FA7349"/>
    <w:rsid w:val="00FB0794"/>
    <w:rsid w:val="00FB22C8"/>
    <w:rsid w:val="00FB2FCB"/>
    <w:rsid w:val="00FB4846"/>
    <w:rsid w:val="00FB5862"/>
    <w:rsid w:val="00FC1074"/>
    <w:rsid w:val="00FC1884"/>
    <w:rsid w:val="00FC3334"/>
    <w:rsid w:val="00FC371D"/>
    <w:rsid w:val="00FC3CB7"/>
    <w:rsid w:val="00FC5F0B"/>
    <w:rsid w:val="00FC6040"/>
    <w:rsid w:val="00FC6505"/>
    <w:rsid w:val="00FD0AD4"/>
    <w:rsid w:val="00FD1423"/>
    <w:rsid w:val="00FD184F"/>
    <w:rsid w:val="00FD2100"/>
    <w:rsid w:val="00FD2ACE"/>
    <w:rsid w:val="00FD436C"/>
    <w:rsid w:val="00FD446D"/>
    <w:rsid w:val="00FD5F5D"/>
    <w:rsid w:val="00FD6258"/>
    <w:rsid w:val="00FD6394"/>
    <w:rsid w:val="00FE0267"/>
    <w:rsid w:val="00FE0E6C"/>
    <w:rsid w:val="00FE6A3E"/>
    <w:rsid w:val="00FE6F51"/>
    <w:rsid w:val="00FE70C3"/>
    <w:rsid w:val="00FE7B9A"/>
    <w:rsid w:val="00FF23F3"/>
    <w:rsid w:val="00FF3DCF"/>
    <w:rsid w:val="00FF492C"/>
    <w:rsid w:val="00FF4A21"/>
    <w:rsid w:val="00FF5AA3"/>
    <w:rsid w:val="00FF5AD8"/>
    <w:rsid w:val="00FF601C"/>
    <w:rsid w:val="00FF6C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3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87768"/>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har,Caption2,Caption Char1 Char,Caption Char Char Char,Caption Char1 Char Char Char,Caption Char Char Char Char Char,Caption Char Char1 Char,Caption Char1 Char1,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har Char,Caption2 Char,Caption Char1 Char Char,Caption Char Char Char Char,Caption Char1 Char Char Char Char,Caption Char Char Char Char Char Char,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nhideWhenUsed/>
    <w:rsid w:val="00D2791D"/>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D2791D"/>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D2791D"/>
    <w:rPr>
      <w:vertAlign w:val="superscript"/>
    </w:rPr>
  </w:style>
  <w:style w:type="paragraph" w:customStyle="1" w:styleId="MainBodyText">
    <w:name w:val="Main Body Text"/>
    <w:basedOn w:val="Normal"/>
    <w:link w:val="MainBodyTextChar"/>
    <w:rsid w:val="00D2791D"/>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D2791D"/>
    <w:rPr>
      <w:rFonts w:ascii="Arial" w:hAnsi="Arial"/>
      <w:sz w:val="22"/>
      <w:szCs w:val="22"/>
    </w:rPr>
  </w:style>
  <w:style w:type="character" w:customStyle="1" w:styleId="CaptionFootnoteChar">
    <w:name w:val="Caption Footnote Char"/>
    <w:basedOn w:val="DefaultParagraphFont"/>
    <w:link w:val="CaptionFootnote"/>
    <w:rsid w:val="00AA2FCF"/>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AA2FCF"/>
    <w:pPr>
      <w:widowControl/>
      <w:jc w:val="left"/>
    </w:pPr>
    <w:rPr>
      <w:rFonts w:asciiTheme="minorHAnsi" w:hAnsiTheme="minorHAnsi" w:cs="Times New Roman"/>
      <w:snapToGrid/>
      <w:kern w:val="28"/>
      <w:sz w:val="16"/>
      <w:szCs w:val="24"/>
      <w:lang w:eastAsia="en-GB"/>
    </w:rPr>
  </w:style>
  <w:style w:type="paragraph" w:customStyle="1" w:styleId="TableText0">
    <w:name w:val="Table Text"/>
    <w:basedOn w:val="Normal"/>
    <w:link w:val="TableTextChar0"/>
    <w:qFormat/>
    <w:rsid w:val="00A174C6"/>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A174C6"/>
    <w:rPr>
      <w:rFonts w:ascii="Arial Narrow" w:eastAsiaTheme="minorHAnsi" w:hAnsi="Arial Narrow" w:cstheme="minorBidi"/>
      <w:szCs w:val="22"/>
      <w:lang w:eastAsia="en-US"/>
    </w:rPr>
  </w:style>
  <w:style w:type="paragraph" w:customStyle="1" w:styleId="TableHeading0">
    <w:name w:val="Table Heading"/>
    <w:basedOn w:val="Normal"/>
    <w:qFormat/>
    <w:rsid w:val="00A07D7E"/>
    <w:pPr>
      <w:keepNext/>
      <w:widowControl/>
      <w:spacing w:after="60"/>
      <w:jc w:val="left"/>
    </w:pPr>
    <w:rPr>
      <w:rFonts w:ascii="Arial Narrow" w:eastAsiaTheme="minorHAnsi" w:hAnsi="Arial Narrow" w:cstheme="minorBidi"/>
      <w:b/>
      <w:snapToGrid/>
      <w:sz w:val="20"/>
    </w:rPr>
  </w:style>
  <w:style w:type="paragraph" w:customStyle="1" w:styleId="TableText1">
    <w:name w:val="TableText"/>
    <w:basedOn w:val="Normal"/>
    <w:qFormat/>
    <w:rsid w:val="00AA2E65"/>
    <w:pPr>
      <w:widowControl/>
      <w:spacing w:before="60" w:after="60"/>
      <w:jc w:val="left"/>
    </w:pPr>
    <w:rPr>
      <w:rFonts w:ascii="Arial" w:hAnsi="Arial" w:cs="Times New Roman"/>
      <w:snapToGrid/>
      <w:sz w:val="18"/>
      <w:lang w:eastAsia="en-AU"/>
    </w:rPr>
  </w:style>
  <w:style w:type="table" w:customStyle="1" w:styleId="Submissionstandard">
    <w:name w:val="Submission standard"/>
    <w:basedOn w:val="TableNormal"/>
    <w:uiPriority w:val="99"/>
    <w:qFormat/>
    <w:rsid w:val="00B9449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enlo Regular" w:hAnsi="Menlo Regular"/>
        <w:b/>
        <w:sz w:val="20"/>
      </w:rPr>
      <w:tblPr/>
      <w:tcPr>
        <w:shd w:val="clear" w:color="auto" w:fill="BFBFBF" w:themeFill="background1" w:themeFillShade="BF"/>
      </w:tcPr>
    </w:tblStylePr>
  </w:style>
  <w:style w:type="paragraph" w:customStyle="1" w:styleId="TableTextleftalign">
    <w:name w:val="Table Text left align"/>
    <w:basedOn w:val="Normal"/>
    <w:link w:val="TableTextleftalignChar"/>
    <w:qFormat/>
    <w:rsid w:val="00B94494"/>
    <w:pPr>
      <w:widowControl/>
      <w:jc w:val="left"/>
    </w:pPr>
    <w:rPr>
      <w:rFonts w:cs="Times New Roman"/>
      <w:snapToGrid/>
      <w:sz w:val="18"/>
      <w:szCs w:val="18"/>
    </w:rPr>
  </w:style>
  <w:style w:type="character" w:customStyle="1" w:styleId="TableTextleftalignChar">
    <w:name w:val="Table Text left align Char"/>
    <w:basedOn w:val="DefaultParagraphFont"/>
    <w:link w:val="TableTextleftalign"/>
    <w:rsid w:val="00B94494"/>
    <w:rPr>
      <w:rFonts w:ascii="Calibri" w:hAnsi="Calibri"/>
      <w:sz w:val="18"/>
      <w:szCs w:val="18"/>
      <w:lang w:eastAsia="en-US"/>
    </w:rPr>
  </w:style>
  <w:style w:type="paragraph" w:customStyle="1" w:styleId="TableTextcentred">
    <w:name w:val="Table Text centred"/>
    <w:basedOn w:val="Normal"/>
    <w:link w:val="TableTextcentredChar"/>
    <w:qFormat/>
    <w:rsid w:val="00B94494"/>
    <w:pPr>
      <w:widowControl/>
      <w:jc w:val="center"/>
    </w:pPr>
    <w:rPr>
      <w:rFonts w:cs="Times New Roman"/>
      <w:snapToGrid/>
      <w:sz w:val="18"/>
      <w:szCs w:val="18"/>
    </w:rPr>
  </w:style>
  <w:style w:type="character" w:customStyle="1" w:styleId="TableTextcentredChar">
    <w:name w:val="Table Text centred Char"/>
    <w:basedOn w:val="DefaultParagraphFont"/>
    <w:link w:val="TableTextcentred"/>
    <w:rsid w:val="00B94494"/>
    <w:rPr>
      <w:rFonts w:ascii="Calibri" w:hAnsi="Calibri"/>
      <w:sz w:val="18"/>
      <w:szCs w:val="18"/>
      <w:lang w:eastAsia="en-US"/>
    </w:rPr>
  </w:style>
  <w:style w:type="character" w:styleId="IntenseEmphasis">
    <w:name w:val="Intense Emphasis"/>
    <w:uiPriority w:val="21"/>
    <w:qFormat/>
    <w:rsid w:val="00D04BC4"/>
    <w:rPr>
      <w:b/>
      <w:bCs/>
      <w:i/>
      <w:iCs/>
    </w:rPr>
  </w:style>
  <w:style w:type="paragraph" w:customStyle="1" w:styleId="TableLeft">
    <w:name w:val="Table Left"/>
    <w:basedOn w:val="Normal"/>
    <w:link w:val="TableLeftChar"/>
    <w:uiPriority w:val="99"/>
    <w:qFormat/>
    <w:rsid w:val="00DC7E00"/>
    <w:pPr>
      <w:widowControl/>
      <w:jc w:val="left"/>
    </w:pPr>
    <w:rPr>
      <w:rFonts w:eastAsiaTheme="majorEastAsia" w:cstheme="majorBidi"/>
      <w:snapToGrid/>
      <w:sz w:val="20"/>
      <w:lang w:bidi="en-US"/>
    </w:rPr>
  </w:style>
  <w:style w:type="character" w:customStyle="1" w:styleId="TableLeftChar">
    <w:name w:val="Table Left Char"/>
    <w:basedOn w:val="DefaultParagraphFont"/>
    <w:link w:val="TableLeft"/>
    <w:uiPriority w:val="99"/>
    <w:locked/>
    <w:rsid w:val="00DC7E00"/>
    <w:rPr>
      <w:rFonts w:ascii="Calibri" w:eastAsiaTheme="majorEastAsia" w:hAnsi="Calibri" w:cstheme="majorBidi"/>
      <w:szCs w:val="22"/>
      <w:lang w:eastAsia="en-US" w:bidi="en-US"/>
    </w:rPr>
  </w:style>
  <w:style w:type="character" w:customStyle="1" w:styleId="SmallItalics">
    <w:name w:val="Small Italics"/>
    <w:basedOn w:val="DefaultParagraphFont"/>
    <w:uiPriority w:val="4"/>
    <w:qFormat/>
    <w:rsid w:val="00DC7E00"/>
    <w:rPr>
      <w:rFonts w:ascii="Calibri" w:hAnsi="Calibri"/>
      <w:i/>
      <w:sz w:val="20"/>
    </w:rPr>
  </w:style>
  <w:style w:type="paragraph" w:customStyle="1" w:styleId="TableBullets">
    <w:name w:val="Table Bullets"/>
    <w:basedOn w:val="TableLeft"/>
    <w:uiPriority w:val="5"/>
    <w:qFormat/>
    <w:rsid w:val="00DC7E00"/>
    <w:pPr>
      <w:numPr>
        <w:numId w:val="3"/>
      </w:numPr>
      <w:ind w:left="170" w:hanging="170"/>
    </w:pPr>
  </w:style>
  <w:style w:type="paragraph" w:customStyle="1" w:styleId="Default">
    <w:name w:val="Default"/>
    <w:rsid w:val="00095379"/>
    <w:pPr>
      <w:autoSpaceDE w:val="0"/>
      <w:autoSpaceDN w:val="0"/>
      <w:adjustRightInd w:val="0"/>
    </w:pPr>
    <w:rPr>
      <w:color w:val="000000"/>
      <w:sz w:val="24"/>
      <w:szCs w:val="24"/>
      <w:lang w:val="en-US" w:eastAsia="en-US"/>
    </w:rPr>
  </w:style>
  <w:style w:type="character" w:customStyle="1" w:styleId="Small">
    <w:name w:val="Small"/>
    <w:basedOn w:val="DefaultParagraphFont"/>
    <w:uiPriority w:val="4"/>
    <w:qFormat/>
    <w:rsid w:val="00095379"/>
    <w:rPr>
      <w:rFonts w:ascii="Calibri" w:hAnsi="Calibri"/>
      <w:sz w:val="20"/>
    </w:rPr>
  </w:style>
  <w:style w:type="table" w:customStyle="1" w:styleId="TableGrid4">
    <w:name w:val="Table Grid4"/>
    <w:basedOn w:val="TableNormal"/>
    <w:next w:val="TableGrid"/>
    <w:uiPriority w:val="39"/>
    <w:rsid w:val="0009537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95379"/>
    <w:pPr>
      <w:widowControl/>
      <w:spacing w:before="100" w:beforeAutospacing="1" w:after="100" w:afterAutospacing="1"/>
      <w:jc w:val="left"/>
    </w:pPr>
    <w:rPr>
      <w:rFonts w:ascii="Times New Roman" w:hAnsi="Times New Roman" w:cs="Times New Roman"/>
      <w:snapToGrid/>
      <w:sz w:val="22"/>
      <w:szCs w:val="24"/>
      <w:lang w:eastAsia="en-AU"/>
    </w:rPr>
  </w:style>
  <w:style w:type="paragraph" w:customStyle="1" w:styleId="TableCentre">
    <w:name w:val="Table Centre"/>
    <w:basedOn w:val="Normal"/>
    <w:qFormat/>
    <w:rsid w:val="00095379"/>
    <w:pPr>
      <w:widowControl/>
      <w:jc w:val="center"/>
    </w:pPr>
    <w:rPr>
      <w:rFonts w:eastAsiaTheme="majorEastAsia" w:cstheme="majorBidi"/>
      <w:snapToGrid/>
      <w:sz w:val="20"/>
      <w:lang w:bidi="en-US"/>
    </w:rPr>
  </w:style>
  <w:style w:type="table" w:customStyle="1" w:styleId="Submissionstandard11">
    <w:name w:val="Submission standard11"/>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table" w:customStyle="1" w:styleId="Submissionstandard12">
    <w:name w:val="Submission standard12"/>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table" w:customStyle="1" w:styleId="Submissionstandard13">
    <w:name w:val="Submission standard13"/>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character" w:customStyle="1" w:styleId="FontSubscript">
    <w:name w:val="Font Subscript"/>
    <w:basedOn w:val="DefaultParagraphFont"/>
    <w:uiPriority w:val="1"/>
    <w:qFormat/>
    <w:rsid w:val="00095379"/>
    <w:rPr>
      <w:rFonts w:ascii="Sabon" w:hAnsi="Sabon"/>
      <w:sz w:val="22"/>
      <w:vertAlign w:val="subscript"/>
    </w:rPr>
  </w:style>
  <w:style w:type="character" w:customStyle="1" w:styleId="SmallBold">
    <w:name w:val="Small Bold"/>
    <w:basedOn w:val="Small"/>
    <w:uiPriority w:val="4"/>
    <w:qFormat/>
    <w:rsid w:val="00B21B0E"/>
    <w:rPr>
      <w:rFonts w:ascii="Calibri" w:hAnsi="Calibri"/>
      <w:b/>
      <w:sz w:val="20"/>
      <w:lang w:val="en-AU"/>
    </w:rPr>
  </w:style>
  <w:style w:type="paragraph" w:styleId="Bibliography">
    <w:name w:val="Bibliography"/>
    <w:basedOn w:val="Normal"/>
    <w:next w:val="Normal"/>
    <w:uiPriority w:val="37"/>
    <w:unhideWhenUsed/>
    <w:rsid w:val="00B21B0E"/>
    <w:pPr>
      <w:widowControl/>
      <w:spacing w:after="200" w:line="276" w:lineRule="auto"/>
      <w:jc w:val="left"/>
    </w:pPr>
    <w:rPr>
      <w:rFonts w:eastAsiaTheme="majorEastAsia" w:cstheme="majorBidi"/>
      <w:snapToGrid/>
      <w:sz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uiPriority="3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87768"/>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har,Caption2,Caption Char1 Char,Caption Char Char Char,Caption Char1 Char Char Char,Caption Char Char Char Char Char,Caption Char Char1 Char,Caption Char1 Char1,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har Char,Caption2 Char,Caption Char1 Char Char,Caption Char Char Char Char,Caption Char1 Char Char Char Char,Caption Char Char Char Char Char Char,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nhideWhenUsed/>
    <w:rsid w:val="00D2791D"/>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D2791D"/>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D2791D"/>
    <w:rPr>
      <w:vertAlign w:val="superscript"/>
    </w:rPr>
  </w:style>
  <w:style w:type="paragraph" w:customStyle="1" w:styleId="MainBodyText">
    <w:name w:val="Main Body Text"/>
    <w:basedOn w:val="Normal"/>
    <w:link w:val="MainBodyTextChar"/>
    <w:rsid w:val="00D2791D"/>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D2791D"/>
    <w:rPr>
      <w:rFonts w:ascii="Arial" w:hAnsi="Arial"/>
      <w:sz w:val="22"/>
      <w:szCs w:val="22"/>
    </w:rPr>
  </w:style>
  <w:style w:type="character" w:customStyle="1" w:styleId="CaptionFootnoteChar">
    <w:name w:val="Caption Footnote Char"/>
    <w:basedOn w:val="DefaultParagraphFont"/>
    <w:link w:val="CaptionFootnote"/>
    <w:rsid w:val="00AA2FCF"/>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AA2FCF"/>
    <w:pPr>
      <w:widowControl/>
      <w:jc w:val="left"/>
    </w:pPr>
    <w:rPr>
      <w:rFonts w:asciiTheme="minorHAnsi" w:hAnsiTheme="minorHAnsi" w:cs="Times New Roman"/>
      <w:snapToGrid/>
      <w:kern w:val="28"/>
      <w:sz w:val="16"/>
      <w:szCs w:val="24"/>
      <w:lang w:eastAsia="en-GB"/>
    </w:rPr>
  </w:style>
  <w:style w:type="paragraph" w:customStyle="1" w:styleId="TableText0">
    <w:name w:val="Table Text"/>
    <w:basedOn w:val="Normal"/>
    <w:link w:val="TableTextChar0"/>
    <w:qFormat/>
    <w:rsid w:val="00A174C6"/>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A174C6"/>
    <w:rPr>
      <w:rFonts w:ascii="Arial Narrow" w:eastAsiaTheme="minorHAnsi" w:hAnsi="Arial Narrow" w:cstheme="minorBidi"/>
      <w:szCs w:val="22"/>
      <w:lang w:eastAsia="en-US"/>
    </w:rPr>
  </w:style>
  <w:style w:type="paragraph" w:customStyle="1" w:styleId="TableHeading0">
    <w:name w:val="Table Heading"/>
    <w:basedOn w:val="Normal"/>
    <w:qFormat/>
    <w:rsid w:val="00A07D7E"/>
    <w:pPr>
      <w:keepNext/>
      <w:widowControl/>
      <w:spacing w:after="60"/>
      <w:jc w:val="left"/>
    </w:pPr>
    <w:rPr>
      <w:rFonts w:ascii="Arial Narrow" w:eastAsiaTheme="minorHAnsi" w:hAnsi="Arial Narrow" w:cstheme="minorBidi"/>
      <w:b/>
      <w:snapToGrid/>
      <w:sz w:val="20"/>
    </w:rPr>
  </w:style>
  <w:style w:type="paragraph" w:customStyle="1" w:styleId="TableText1">
    <w:name w:val="TableText"/>
    <w:basedOn w:val="Normal"/>
    <w:qFormat/>
    <w:rsid w:val="00AA2E65"/>
    <w:pPr>
      <w:widowControl/>
      <w:spacing w:before="60" w:after="60"/>
      <w:jc w:val="left"/>
    </w:pPr>
    <w:rPr>
      <w:rFonts w:ascii="Arial" w:hAnsi="Arial" w:cs="Times New Roman"/>
      <w:snapToGrid/>
      <w:sz w:val="18"/>
      <w:lang w:eastAsia="en-AU"/>
    </w:rPr>
  </w:style>
  <w:style w:type="table" w:customStyle="1" w:styleId="Submissionstandard">
    <w:name w:val="Submission standard"/>
    <w:basedOn w:val="TableNormal"/>
    <w:uiPriority w:val="99"/>
    <w:qFormat/>
    <w:rsid w:val="00B9449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enlo Regular" w:hAnsi="Menlo Regular"/>
        <w:b/>
        <w:sz w:val="20"/>
      </w:rPr>
      <w:tblPr/>
      <w:tcPr>
        <w:shd w:val="clear" w:color="auto" w:fill="BFBFBF" w:themeFill="background1" w:themeFillShade="BF"/>
      </w:tcPr>
    </w:tblStylePr>
  </w:style>
  <w:style w:type="paragraph" w:customStyle="1" w:styleId="TableTextleftalign">
    <w:name w:val="Table Text left align"/>
    <w:basedOn w:val="Normal"/>
    <w:link w:val="TableTextleftalignChar"/>
    <w:qFormat/>
    <w:rsid w:val="00B94494"/>
    <w:pPr>
      <w:widowControl/>
      <w:jc w:val="left"/>
    </w:pPr>
    <w:rPr>
      <w:rFonts w:cs="Times New Roman"/>
      <w:snapToGrid/>
      <w:sz w:val="18"/>
      <w:szCs w:val="18"/>
    </w:rPr>
  </w:style>
  <w:style w:type="character" w:customStyle="1" w:styleId="TableTextleftalignChar">
    <w:name w:val="Table Text left align Char"/>
    <w:basedOn w:val="DefaultParagraphFont"/>
    <w:link w:val="TableTextleftalign"/>
    <w:rsid w:val="00B94494"/>
    <w:rPr>
      <w:rFonts w:ascii="Calibri" w:hAnsi="Calibri"/>
      <w:sz w:val="18"/>
      <w:szCs w:val="18"/>
      <w:lang w:eastAsia="en-US"/>
    </w:rPr>
  </w:style>
  <w:style w:type="paragraph" w:customStyle="1" w:styleId="TableTextcentred">
    <w:name w:val="Table Text centred"/>
    <w:basedOn w:val="Normal"/>
    <w:link w:val="TableTextcentredChar"/>
    <w:qFormat/>
    <w:rsid w:val="00B94494"/>
    <w:pPr>
      <w:widowControl/>
      <w:jc w:val="center"/>
    </w:pPr>
    <w:rPr>
      <w:rFonts w:cs="Times New Roman"/>
      <w:snapToGrid/>
      <w:sz w:val="18"/>
      <w:szCs w:val="18"/>
    </w:rPr>
  </w:style>
  <w:style w:type="character" w:customStyle="1" w:styleId="TableTextcentredChar">
    <w:name w:val="Table Text centred Char"/>
    <w:basedOn w:val="DefaultParagraphFont"/>
    <w:link w:val="TableTextcentred"/>
    <w:rsid w:val="00B94494"/>
    <w:rPr>
      <w:rFonts w:ascii="Calibri" w:hAnsi="Calibri"/>
      <w:sz w:val="18"/>
      <w:szCs w:val="18"/>
      <w:lang w:eastAsia="en-US"/>
    </w:rPr>
  </w:style>
  <w:style w:type="character" w:styleId="IntenseEmphasis">
    <w:name w:val="Intense Emphasis"/>
    <w:uiPriority w:val="21"/>
    <w:qFormat/>
    <w:rsid w:val="00D04BC4"/>
    <w:rPr>
      <w:b/>
      <w:bCs/>
      <w:i/>
      <w:iCs/>
    </w:rPr>
  </w:style>
  <w:style w:type="paragraph" w:customStyle="1" w:styleId="TableLeft">
    <w:name w:val="Table Left"/>
    <w:basedOn w:val="Normal"/>
    <w:link w:val="TableLeftChar"/>
    <w:uiPriority w:val="99"/>
    <w:qFormat/>
    <w:rsid w:val="00DC7E00"/>
    <w:pPr>
      <w:widowControl/>
      <w:jc w:val="left"/>
    </w:pPr>
    <w:rPr>
      <w:rFonts w:eastAsiaTheme="majorEastAsia" w:cstheme="majorBidi"/>
      <w:snapToGrid/>
      <w:sz w:val="20"/>
      <w:lang w:bidi="en-US"/>
    </w:rPr>
  </w:style>
  <w:style w:type="character" w:customStyle="1" w:styleId="TableLeftChar">
    <w:name w:val="Table Left Char"/>
    <w:basedOn w:val="DefaultParagraphFont"/>
    <w:link w:val="TableLeft"/>
    <w:uiPriority w:val="99"/>
    <w:locked/>
    <w:rsid w:val="00DC7E00"/>
    <w:rPr>
      <w:rFonts w:ascii="Calibri" w:eastAsiaTheme="majorEastAsia" w:hAnsi="Calibri" w:cstheme="majorBidi"/>
      <w:szCs w:val="22"/>
      <w:lang w:eastAsia="en-US" w:bidi="en-US"/>
    </w:rPr>
  </w:style>
  <w:style w:type="character" w:customStyle="1" w:styleId="SmallItalics">
    <w:name w:val="Small Italics"/>
    <w:basedOn w:val="DefaultParagraphFont"/>
    <w:uiPriority w:val="4"/>
    <w:qFormat/>
    <w:rsid w:val="00DC7E00"/>
    <w:rPr>
      <w:rFonts w:ascii="Calibri" w:hAnsi="Calibri"/>
      <w:i/>
      <w:sz w:val="20"/>
    </w:rPr>
  </w:style>
  <w:style w:type="paragraph" w:customStyle="1" w:styleId="TableBullets">
    <w:name w:val="Table Bullets"/>
    <w:basedOn w:val="TableLeft"/>
    <w:uiPriority w:val="5"/>
    <w:qFormat/>
    <w:rsid w:val="00DC7E00"/>
    <w:pPr>
      <w:numPr>
        <w:numId w:val="3"/>
      </w:numPr>
      <w:ind w:left="170" w:hanging="170"/>
    </w:pPr>
  </w:style>
  <w:style w:type="paragraph" w:customStyle="1" w:styleId="Default">
    <w:name w:val="Default"/>
    <w:rsid w:val="00095379"/>
    <w:pPr>
      <w:autoSpaceDE w:val="0"/>
      <w:autoSpaceDN w:val="0"/>
      <w:adjustRightInd w:val="0"/>
    </w:pPr>
    <w:rPr>
      <w:color w:val="000000"/>
      <w:sz w:val="24"/>
      <w:szCs w:val="24"/>
      <w:lang w:val="en-US" w:eastAsia="en-US"/>
    </w:rPr>
  </w:style>
  <w:style w:type="character" w:customStyle="1" w:styleId="Small">
    <w:name w:val="Small"/>
    <w:basedOn w:val="DefaultParagraphFont"/>
    <w:uiPriority w:val="4"/>
    <w:qFormat/>
    <w:rsid w:val="00095379"/>
    <w:rPr>
      <w:rFonts w:ascii="Calibri" w:hAnsi="Calibri"/>
      <w:sz w:val="20"/>
    </w:rPr>
  </w:style>
  <w:style w:type="table" w:customStyle="1" w:styleId="TableGrid4">
    <w:name w:val="Table Grid4"/>
    <w:basedOn w:val="TableNormal"/>
    <w:next w:val="TableGrid"/>
    <w:uiPriority w:val="39"/>
    <w:rsid w:val="0009537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95379"/>
    <w:pPr>
      <w:widowControl/>
      <w:spacing w:before="100" w:beforeAutospacing="1" w:after="100" w:afterAutospacing="1"/>
      <w:jc w:val="left"/>
    </w:pPr>
    <w:rPr>
      <w:rFonts w:ascii="Times New Roman" w:hAnsi="Times New Roman" w:cs="Times New Roman"/>
      <w:snapToGrid/>
      <w:sz w:val="22"/>
      <w:szCs w:val="24"/>
      <w:lang w:eastAsia="en-AU"/>
    </w:rPr>
  </w:style>
  <w:style w:type="paragraph" w:customStyle="1" w:styleId="TableCentre">
    <w:name w:val="Table Centre"/>
    <w:basedOn w:val="Normal"/>
    <w:qFormat/>
    <w:rsid w:val="00095379"/>
    <w:pPr>
      <w:widowControl/>
      <w:jc w:val="center"/>
    </w:pPr>
    <w:rPr>
      <w:rFonts w:eastAsiaTheme="majorEastAsia" w:cstheme="majorBidi"/>
      <w:snapToGrid/>
      <w:sz w:val="20"/>
      <w:lang w:bidi="en-US"/>
    </w:rPr>
  </w:style>
  <w:style w:type="table" w:customStyle="1" w:styleId="Submissionstandard11">
    <w:name w:val="Submission standard11"/>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table" w:customStyle="1" w:styleId="Submissionstandard12">
    <w:name w:val="Submission standard12"/>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table" w:customStyle="1" w:styleId="Submissionstandard13">
    <w:name w:val="Submission standard13"/>
    <w:basedOn w:val="TableNormal"/>
    <w:uiPriority w:val="99"/>
    <w:qFormat/>
    <w:rsid w:val="00095379"/>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KodchiangUPC" w:hAnsi="KodchiangUPC"/>
        <w:b/>
        <w:sz w:val="20"/>
      </w:rPr>
      <w:tblPr/>
      <w:tcPr>
        <w:shd w:val="clear" w:color="auto" w:fill="BFBFBF" w:themeFill="background1" w:themeFillShade="BF"/>
      </w:tcPr>
    </w:tblStylePr>
  </w:style>
  <w:style w:type="character" w:customStyle="1" w:styleId="FontSubscript">
    <w:name w:val="Font Subscript"/>
    <w:basedOn w:val="DefaultParagraphFont"/>
    <w:uiPriority w:val="1"/>
    <w:qFormat/>
    <w:rsid w:val="00095379"/>
    <w:rPr>
      <w:rFonts w:ascii="Sabon" w:hAnsi="Sabon"/>
      <w:sz w:val="22"/>
      <w:vertAlign w:val="subscript"/>
    </w:rPr>
  </w:style>
  <w:style w:type="character" w:customStyle="1" w:styleId="SmallBold">
    <w:name w:val="Small Bold"/>
    <w:basedOn w:val="Small"/>
    <w:uiPriority w:val="4"/>
    <w:qFormat/>
    <w:rsid w:val="00B21B0E"/>
    <w:rPr>
      <w:rFonts w:ascii="Calibri" w:hAnsi="Calibri"/>
      <w:b/>
      <w:sz w:val="20"/>
      <w:lang w:val="en-AU"/>
    </w:rPr>
  </w:style>
  <w:style w:type="paragraph" w:styleId="Bibliography">
    <w:name w:val="Bibliography"/>
    <w:basedOn w:val="Normal"/>
    <w:next w:val="Normal"/>
    <w:uiPriority w:val="37"/>
    <w:unhideWhenUsed/>
    <w:rsid w:val="00B21B0E"/>
    <w:pPr>
      <w:widowControl/>
      <w:spacing w:after="200" w:line="276" w:lineRule="auto"/>
      <w:jc w:val="left"/>
    </w:pPr>
    <w:rPr>
      <w:rFonts w:eastAsiaTheme="majorEastAsia" w:cstheme="majorBidi"/>
      <w:snapToGrid/>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037">
      <w:bodyDiv w:val="1"/>
      <w:marLeft w:val="0"/>
      <w:marRight w:val="0"/>
      <w:marTop w:val="0"/>
      <w:marBottom w:val="0"/>
      <w:divBdr>
        <w:top w:val="none" w:sz="0" w:space="0" w:color="auto"/>
        <w:left w:val="none" w:sz="0" w:space="0" w:color="auto"/>
        <w:bottom w:val="none" w:sz="0" w:space="0" w:color="auto"/>
        <w:right w:val="none" w:sz="0" w:space="0" w:color="auto"/>
      </w:divBdr>
    </w:div>
    <w:div w:id="16275809">
      <w:bodyDiv w:val="1"/>
      <w:marLeft w:val="0"/>
      <w:marRight w:val="0"/>
      <w:marTop w:val="0"/>
      <w:marBottom w:val="0"/>
      <w:divBdr>
        <w:top w:val="none" w:sz="0" w:space="0" w:color="auto"/>
        <w:left w:val="none" w:sz="0" w:space="0" w:color="auto"/>
        <w:bottom w:val="none" w:sz="0" w:space="0" w:color="auto"/>
        <w:right w:val="none" w:sz="0" w:space="0" w:color="auto"/>
      </w:divBdr>
    </w:div>
    <w:div w:id="20593809">
      <w:bodyDiv w:val="1"/>
      <w:marLeft w:val="0"/>
      <w:marRight w:val="0"/>
      <w:marTop w:val="0"/>
      <w:marBottom w:val="0"/>
      <w:divBdr>
        <w:top w:val="none" w:sz="0" w:space="0" w:color="auto"/>
        <w:left w:val="none" w:sz="0" w:space="0" w:color="auto"/>
        <w:bottom w:val="none" w:sz="0" w:space="0" w:color="auto"/>
        <w:right w:val="none" w:sz="0" w:space="0" w:color="auto"/>
      </w:divBdr>
    </w:div>
    <w:div w:id="43453665">
      <w:bodyDiv w:val="1"/>
      <w:marLeft w:val="0"/>
      <w:marRight w:val="0"/>
      <w:marTop w:val="0"/>
      <w:marBottom w:val="0"/>
      <w:divBdr>
        <w:top w:val="none" w:sz="0" w:space="0" w:color="auto"/>
        <w:left w:val="none" w:sz="0" w:space="0" w:color="auto"/>
        <w:bottom w:val="none" w:sz="0" w:space="0" w:color="auto"/>
        <w:right w:val="none" w:sz="0" w:space="0" w:color="auto"/>
      </w:divBdr>
    </w:div>
    <w:div w:id="59445020">
      <w:bodyDiv w:val="1"/>
      <w:marLeft w:val="0"/>
      <w:marRight w:val="0"/>
      <w:marTop w:val="0"/>
      <w:marBottom w:val="0"/>
      <w:divBdr>
        <w:top w:val="none" w:sz="0" w:space="0" w:color="auto"/>
        <w:left w:val="none" w:sz="0" w:space="0" w:color="auto"/>
        <w:bottom w:val="none" w:sz="0" w:space="0" w:color="auto"/>
        <w:right w:val="none" w:sz="0" w:space="0" w:color="auto"/>
      </w:divBdr>
    </w:div>
    <w:div w:id="62140592">
      <w:bodyDiv w:val="1"/>
      <w:marLeft w:val="0"/>
      <w:marRight w:val="0"/>
      <w:marTop w:val="0"/>
      <w:marBottom w:val="0"/>
      <w:divBdr>
        <w:top w:val="none" w:sz="0" w:space="0" w:color="auto"/>
        <w:left w:val="none" w:sz="0" w:space="0" w:color="auto"/>
        <w:bottom w:val="none" w:sz="0" w:space="0" w:color="auto"/>
        <w:right w:val="none" w:sz="0" w:space="0" w:color="auto"/>
      </w:divBdr>
    </w:div>
    <w:div w:id="75328164">
      <w:bodyDiv w:val="1"/>
      <w:marLeft w:val="0"/>
      <w:marRight w:val="0"/>
      <w:marTop w:val="0"/>
      <w:marBottom w:val="0"/>
      <w:divBdr>
        <w:top w:val="none" w:sz="0" w:space="0" w:color="auto"/>
        <w:left w:val="none" w:sz="0" w:space="0" w:color="auto"/>
        <w:bottom w:val="none" w:sz="0" w:space="0" w:color="auto"/>
        <w:right w:val="none" w:sz="0" w:space="0" w:color="auto"/>
      </w:divBdr>
    </w:div>
    <w:div w:id="78136646">
      <w:bodyDiv w:val="1"/>
      <w:marLeft w:val="0"/>
      <w:marRight w:val="0"/>
      <w:marTop w:val="0"/>
      <w:marBottom w:val="0"/>
      <w:divBdr>
        <w:top w:val="none" w:sz="0" w:space="0" w:color="auto"/>
        <w:left w:val="none" w:sz="0" w:space="0" w:color="auto"/>
        <w:bottom w:val="none" w:sz="0" w:space="0" w:color="auto"/>
        <w:right w:val="none" w:sz="0" w:space="0" w:color="auto"/>
      </w:divBdr>
    </w:div>
    <w:div w:id="115948025">
      <w:bodyDiv w:val="1"/>
      <w:marLeft w:val="0"/>
      <w:marRight w:val="0"/>
      <w:marTop w:val="0"/>
      <w:marBottom w:val="0"/>
      <w:divBdr>
        <w:top w:val="none" w:sz="0" w:space="0" w:color="auto"/>
        <w:left w:val="none" w:sz="0" w:space="0" w:color="auto"/>
        <w:bottom w:val="none" w:sz="0" w:space="0" w:color="auto"/>
        <w:right w:val="none" w:sz="0" w:space="0" w:color="auto"/>
      </w:divBdr>
    </w:div>
    <w:div w:id="116722679">
      <w:bodyDiv w:val="1"/>
      <w:marLeft w:val="0"/>
      <w:marRight w:val="0"/>
      <w:marTop w:val="0"/>
      <w:marBottom w:val="0"/>
      <w:divBdr>
        <w:top w:val="none" w:sz="0" w:space="0" w:color="auto"/>
        <w:left w:val="none" w:sz="0" w:space="0" w:color="auto"/>
        <w:bottom w:val="none" w:sz="0" w:space="0" w:color="auto"/>
        <w:right w:val="none" w:sz="0" w:space="0" w:color="auto"/>
      </w:divBdr>
    </w:div>
    <w:div w:id="123817732">
      <w:bodyDiv w:val="1"/>
      <w:marLeft w:val="0"/>
      <w:marRight w:val="0"/>
      <w:marTop w:val="0"/>
      <w:marBottom w:val="0"/>
      <w:divBdr>
        <w:top w:val="none" w:sz="0" w:space="0" w:color="auto"/>
        <w:left w:val="none" w:sz="0" w:space="0" w:color="auto"/>
        <w:bottom w:val="none" w:sz="0" w:space="0" w:color="auto"/>
        <w:right w:val="none" w:sz="0" w:space="0" w:color="auto"/>
      </w:divBdr>
    </w:div>
    <w:div w:id="135145538">
      <w:bodyDiv w:val="1"/>
      <w:marLeft w:val="0"/>
      <w:marRight w:val="0"/>
      <w:marTop w:val="0"/>
      <w:marBottom w:val="0"/>
      <w:divBdr>
        <w:top w:val="none" w:sz="0" w:space="0" w:color="auto"/>
        <w:left w:val="none" w:sz="0" w:space="0" w:color="auto"/>
        <w:bottom w:val="none" w:sz="0" w:space="0" w:color="auto"/>
        <w:right w:val="none" w:sz="0" w:space="0" w:color="auto"/>
      </w:divBdr>
    </w:div>
    <w:div w:id="137303340">
      <w:bodyDiv w:val="1"/>
      <w:marLeft w:val="0"/>
      <w:marRight w:val="0"/>
      <w:marTop w:val="0"/>
      <w:marBottom w:val="0"/>
      <w:divBdr>
        <w:top w:val="none" w:sz="0" w:space="0" w:color="auto"/>
        <w:left w:val="none" w:sz="0" w:space="0" w:color="auto"/>
        <w:bottom w:val="none" w:sz="0" w:space="0" w:color="auto"/>
        <w:right w:val="none" w:sz="0" w:space="0" w:color="auto"/>
      </w:divBdr>
    </w:div>
    <w:div w:id="186604884">
      <w:bodyDiv w:val="1"/>
      <w:marLeft w:val="0"/>
      <w:marRight w:val="0"/>
      <w:marTop w:val="0"/>
      <w:marBottom w:val="0"/>
      <w:divBdr>
        <w:top w:val="none" w:sz="0" w:space="0" w:color="auto"/>
        <w:left w:val="none" w:sz="0" w:space="0" w:color="auto"/>
        <w:bottom w:val="none" w:sz="0" w:space="0" w:color="auto"/>
        <w:right w:val="none" w:sz="0" w:space="0" w:color="auto"/>
      </w:divBdr>
    </w:div>
    <w:div w:id="195242569">
      <w:bodyDiv w:val="1"/>
      <w:marLeft w:val="0"/>
      <w:marRight w:val="0"/>
      <w:marTop w:val="0"/>
      <w:marBottom w:val="0"/>
      <w:divBdr>
        <w:top w:val="none" w:sz="0" w:space="0" w:color="auto"/>
        <w:left w:val="none" w:sz="0" w:space="0" w:color="auto"/>
        <w:bottom w:val="none" w:sz="0" w:space="0" w:color="auto"/>
        <w:right w:val="none" w:sz="0" w:space="0" w:color="auto"/>
      </w:divBdr>
    </w:div>
    <w:div w:id="207182778">
      <w:bodyDiv w:val="1"/>
      <w:marLeft w:val="0"/>
      <w:marRight w:val="0"/>
      <w:marTop w:val="0"/>
      <w:marBottom w:val="0"/>
      <w:divBdr>
        <w:top w:val="none" w:sz="0" w:space="0" w:color="auto"/>
        <w:left w:val="none" w:sz="0" w:space="0" w:color="auto"/>
        <w:bottom w:val="none" w:sz="0" w:space="0" w:color="auto"/>
        <w:right w:val="none" w:sz="0" w:space="0" w:color="auto"/>
      </w:divBdr>
    </w:div>
    <w:div w:id="211037638">
      <w:bodyDiv w:val="1"/>
      <w:marLeft w:val="0"/>
      <w:marRight w:val="0"/>
      <w:marTop w:val="0"/>
      <w:marBottom w:val="0"/>
      <w:divBdr>
        <w:top w:val="none" w:sz="0" w:space="0" w:color="auto"/>
        <w:left w:val="none" w:sz="0" w:space="0" w:color="auto"/>
        <w:bottom w:val="none" w:sz="0" w:space="0" w:color="auto"/>
        <w:right w:val="none" w:sz="0" w:space="0" w:color="auto"/>
      </w:divBdr>
    </w:div>
    <w:div w:id="220096514">
      <w:bodyDiv w:val="1"/>
      <w:marLeft w:val="0"/>
      <w:marRight w:val="0"/>
      <w:marTop w:val="0"/>
      <w:marBottom w:val="0"/>
      <w:divBdr>
        <w:top w:val="none" w:sz="0" w:space="0" w:color="auto"/>
        <w:left w:val="none" w:sz="0" w:space="0" w:color="auto"/>
        <w:bottom w:val="none" w:sz="0" w:space="0" w:color="auto"/>
        <w:right w:val="none" w:sz="0" w:space="0" w:color="auto"/>
      </w:divBdr>
    </w:div>
    <w:div w:id="236327882">
      <w:bodyDiv w:val="1"/>
      <w:marLeft w:val="0"/>
      <w:marRight w:val="0"/>
      <w:marTop w:val="0"/>
      <w:marBottom w:val="0"/>
      <w:divBdr>
        <w:top w:val="none" w:sz="0" w:space="0" w:color="auto"/>
        <w:left w:val="none" w:sz="0" w:space="0" w:color="auto"/>
        <w:bottom w:val="none" w:sz="0" w:space="0" w:color="auto"/>
        <w:right w:val="none" w:sz="0" w:space="0" w:color="auto"/>
      </w:divBdr>
    </w:div>
    <w:div w:id="246963296">
      <w:bodyDiv w:val="1"/>
      <w:marLeft w:val="0"/>
      <w:marRight w:val="0"/>
      <w:marTop w:val="0"/>
      <w:marBottom w:val="0"/>
      <w:divBdr>
        <w:top w:val="none" w:sz="0" w:space="0" w:color="auto"/>
        <w:left w:val="none" w:sz="0" w:space="0" w:color="auto"/>
        <w:bottom w:val="none" w:sz="0" w:space="0" w:color="auto"/>
        <w:right w:val="none" w:sz="0" w:space="0" w:color="auto"/>
      </w:divBdr>
    </w:div>
    <w:div w:id="342169541">
      <w:bodyDiv w:val="1"/>
      <w:marLeft w:val="0"/>
      <w:marRight w:val="0"/>
      <w:marTop w:val="0"/>
      <w:marBottom w:val="0"/>
      <w:divBdr>
        <w:top w:val="none" w:sz="0" w:space="0" w:color="auto"/>
        <w:left w:val="none" w:sz="0" w:space="0" w:color="auto"/>
        <w:bottom w:val="none" w:sz="0" w:space="0" w:color="auto"/>
        <w:right w:val="none" w:sz="0" w:space="0" w:color="auto"/>
      </w:divBdr>
    </w:div>
    <w:div w:id="347029167">
      <w:bodyDiv w:val="1"/>
      <w:marLeft w:val="0"/>
      <w:marRight w:val="0"/>
      <w:marTop w:val="0"/>
      <w:marBottom w:val="0"/>
      <w:divBdr>
        <w:top w:val="none" w:sz="0" w:space="0" w:color="auto"/>
        <w:left w:val="none" w:sz="0" w:space="0" w:color="auto"/>
        <w:bottom w:val="none" w:sz="0" w:space="0" w:color="auto"/>
        <w:right w:val="none" w:sz="0" w:space="0" w:color="auto"/>
      </w:divBdr>
    </w:div>
    <w:div w:id="349650448">
      <w:bodyDiv w:val="1"/>
      <w:marLeft w:val="0"/>
      <w:marRight w:val="0"/>
      <w:marTop w:val="0"/>
      <w:marBottom w:val="0"/>
      <w:divBdr>
        <w:top w:val="none" w:sz="0" w:space="0" w:color="auto"/>
        <w:left w:val="none" w:sz="0" w:space="0" w:color="auto"/>
        <w:bottom w:val="none" w:sz="0" w:space="0" w:color="auto"/>
        <w:right w:val="none" w:sz="0" w:space="0" w:color="auto"/>
      </w:divBdr>
    </w:div>
    <w:div w:id="374811320">
      <w:bodyDiv w:val="1"/>
      <w:marLeft w:val="0"/>
      <w:marRight w:val="0"/>
      <w:marTop w:val="0"/>
      <w:marBottom w:val="0"/>
      <w:divBdr>
        <w:top w:val="none" w:sz="0" w:space="0" w:color="auto"/>
        <w:left w:val="none" w:sz="0" w:space="0" w:color="auto"/>
        <w:bottom w:val="none" w:sz="0" w:space="0" w:color="auto"/>
        <w:right w:val="none" w:sz="0" w:space="0" w:color="auto"/>
      </w:divBdr>
    </w:div>
    <w:div w:id="389117135">
      <w:bodyDiv w:val="1"/>
      <w:marLeft w:val="0"/>
      <w:marRight w:val="0"/>
      <w:marTop w:val="0"/>
      <w:marBottom w:val="0"/>
      <w:divBdr>
        <w:top w:val="none" w:sz="0" w:space="0" w:color="auto"/>
        <w:left w:val="none" w:sz="0" w:space="0" w:color="auto"/>
        <w:bottom w:val="none" w:sz="0" w:space="0" w:color="auto"/>
        <w:right w:val="none" w:sz="0" w:space="0" w:color="auto"/>
      </w:divBdr>
    </w:div>
    <w:div w:id="397095241">
      <w:bodyDiv w:val="1"/>
      <w:marLeft w:val="0"/>
      <w:marRight w:val="0"/>
      <w:marTop w:val="0"/>
      <w:marBottom w:val="0"/>
      <w:divBdr>
        <w:top w:val="none" w:sz="0" w:space="0" w:color="auto"/>
        <w:left w:val="none" w:sz="0" w:space="0" w:color="auto"/>
        <w:bottom w:val="none" w:sz="0" w:space="0" w:color="auto"/>
        <w:right w:val="none" w:sz="0" w:space="0" w:color="auto"/>
      </w:divBdr>
    </w:div>
    <w:div w:id="403720228">
      <w:bodyDiv w:val="1"/>
      <w:marLeft w:val="0"/>
      <w:marRight w:val="0"/>
      <w:marTop w:val="0"/>
      <w:marBottom w:val="0"/>
      <w:divBdr>
        <w:top w:val="none" w:sz="0" w:space="0" w:color="auto"/>
        <w:left w:val="none" w:sz="0" w:space="0" w:color="auto"/>
        <w:bottom w:val="none" w:sz="0" w:space="0" w:color="auto"/>
        <w:right w:val="none" w:sz="0" w:space="0" w:color="auto"/>
      </w:divBdr>
    </w:div>
    <w:div w:id="421755328">
      <w:bodyDiv w:val="1"/>
      <w:marLeft w:val="0"/>
      <w:marRight w:val="0"/>
      <w:marTop w:val="0"/>
      <w:marBottom w:val="0"/>
      <w:divBdr>
        <w:top w:val="none" w:sz="0" w:space="0" w:color="auto"/>
        <w:left w:val="none" w:sz="0" w:space="0" w:color="auto"/>
        <w:bottom w:val="none" w:sz="0" w:space="0" w:color="auto"/>
        <w:right w:val="none" w:sz="0" w:space="0" w:color="auto"/>
      </w:divBdr>
    </w:div>
    <w:div w:id="444273093">
      <w:bodyDiv w:val="1"/>
      <w:marLeft w:val="0"/>
      <w:marRight w:val="0"/>
      <w:marTop w:val="0"/>
      <w:marBottom w:val="0"/>
      <w:divBdr>
        <w:top w:val="none" w:sz="0" w:space="0" w:color="auto"/>
        <w:left w:val="none" w:sz="0" w:space="0" w:color="auto"/>
        <w:bottom w:val="none" w:sz="0" w:space="0" w:color="auto"/>
        <w:right w:val="none" w:sz="0" w:space="0" w:color="auto"/>
      </w:divBdr>
    </w:div>
    <w:div w:id="446974713">
      <w:bodyDiv w:val="1"/>
      <w:marLeft w:val="0"/>
      <w:marRight w:val="0"/>
      <w:marTop w:val="0"/>
      <w:marBottom w:val="0"/>
      <w:divBdr>
        <w:top w:val="none" w:sz="0" w:space="0" w:color="auto"/>
        <w:left w:val="none" w:sz="0" w:space="0" w:color="auto"/>
        <w:bottom w:val="none" w:sz="0" w:space="0" w:color="auto"/>
        <w:right w:val="none" w:sz="0" w:space="0" w:color="auto"/>
      </w:divBdr>
    </w:div>
    <w:div w:id="452140200">
      <w:bodyDiv w:val="1"/>
      <w:marLeft w:val="0"/>
      <w:marRight w:val="0"/>
      <w:marTop w:val="0"/>
      <w:marBottom w:val="0"/>
      <w:divBdr>
        <w:top w:val="none" w:sz="0" w:space="0" w:color="auto"/>
        <w:left w:val="none" w:sz="0" w:space="0" w:color="auto"/>
        <w:bottom w:val="none" w:sz="0" w:space="0" w:color="auto"/>
        <w:right w:val="none" w:sz="0" w:space="0" w:color="auto"/>
      </w:divBdr>
    </w:div>
    <w:div w:id="487095833">
      <w:bodyDiv w:val="1"/>
      <w:marLeft w:val="0"/>
      <w:marRight w:val="0"/>
      <w:marTop w:val="0"/>
      <w:marBottom w:val="0"/>
      <w:divBdr>
        <w:top w:val="none" w:sz="0" w:space="0" w:color="auto"/>
        <w:left w:val="none" w:sz="0" w:space="0" w:color="auto"/>
        <w:bottom w:val="none" w:sz="0" w:space="0" w:color="auto"/>
        <w:right w:val="none" w:sz="0" w:space="0" w:color="auto"/>
      </w:divBdr>
    </w:div>
    <w:div w:id="497113706">
      <w:bodyDiv w:val="1"/>
      <w:marLeft w:val="0"/>
      <w:marRight w:val="0"/>
      <w:marTop w:val="0"/>
      <w:marBottom w:val="0"/>
      <w:divBdr>
        <w:top w:val="none" w:sz="0" w:space="0" w:color="auto"/>
        <w:left w:val="none" w:sz="0" w:space="0" w:color="auto"/>
        <w:bottom w:val="none" w:sz="0" w:space="0" w:color="auto"/>
        <w:right w:val="none" w:sz="0" w:space="0" w:color="auto"/>
      </w:divBdr>
    </w:div>
    <w:div w:id="509875025">
      <w:bodyDiv w:val="1"/>
      <w:marLeft w:val="0"/>
      <w:marRight w:val="0"/>
      <w:marTop w:val="0"/>
      <w:marBottom w:val="0"/>
      <w:divBdr>
        <w:top w:val="none" w:sz="0" w:space="0" w:color="auto"/>
        <w:left w:val="none" w:sz="0" w:space="0" w:color="auto"/>
        <w:bottom w:val="none" w:sz="0" w:space="0" w:color="auto"/>
        <w:right w:val="none" w:sz="0" w:space="0" w:color="auto"/>
      </w:divBdr>
    </w:div>
    <w:div w:id="511602751">
      <w:bodyDiv w:val="1"/>
      <w:marLeft w:val="0"/>
      <w:marRight w:val="0"/>
      <w:marTop w:val="0"/>
      <w:marBottom w:val="0"/>
      <w:divBdr>
        <w:top w:val="none" w:sz="0" w:space="0" w:color="auto"/>
        <w:left w:val="none" w:sz="0" w:space="0" w:color="auto"/>
        <w:bottom w:val="none" w:sz="0" w:space="0" w:color="auto"/>
        <w:right w:val="none" w:sz="0" w:space="0" w:color="auto"/>
      </w:divBdr>
    </w:div>
    <w:div w:id="512302733">
      <w:bodyDiv w:val="1"/>
      <w:marLeft w:val="0"/>
      <w:marRight w:val="0"/>
      <w:marTop w:val="0"/>
      <w:marBottom w:val="0"/>
      <w:divBdr>
        <w:top w:val="none" w:sz="0" w:space="0" w:color="auto"/>
        <w:left w:val="none" w:sz="0" w:space="0" w:color="auto"/>
        <w:bottom w:val="none" w:sz="0" w:space="0" w:color="auto"/>
        <w:right w:val="none" w:sz="0" w:space="0" w:color="auto"/>
      </w:divBdr>
    </w:div>
    <w:div w:id="527986024">
      <w:bodyDiv w:val="1"/>
      <w:marLeft w:val="0"/>
      <w:marRight w:val="0"/>
      <w:marTop w:val="0"/>
      <w:marBottom w:val="0"/>
      <w:divBdr>
        <w:top w:val="none" w:sz="0" w:space="0" w:color="auto"/>
        <w:left w:val="none" w:sz="0" w:space="0" w:color="auto"/>
        <w:bottom w:val="none" w:sz="0" w:space="0" w:color="auto"/>
        <w:right w:val="none" w:sz="0" w:space="0" w:color="auto"/>
      </w:divBdr>
    </w:div>
    <w:div w:id="530462216">
      <w:bodyDiv w:val="1"/>
      <w:marLeft w:val="0"/>
      <w:marRight w:val="0"/>
      <w:marTop w:val="0"/>
      <w:marBottom w:val="0"/>
      <w:divBdr>
        <w:top w:val="none" w:sz="0" w:space="0" w:color="auto"/>
        <w:left w:val="none" w:sz="0" w:space="0" w:color="auto"/>
        <w:bottom w:val="none" w:sz="0" w:space="0" w:color="auto"/>
        <w:right w:val="none" w:sz="0" w:space="0" w:color="auto"/>
      </w:divBdr>
    </w:div>
    <w:div w:id="538201372">
      <w:bodyDiv w:val="1"/>
      <w:marLeft w:val="0"/>
      <w:marRight w:val="0"/>
      <w:marTop w:val="0"/>
      <w:marBottom w:val="0"/>
      <w:divBdr>
        <w:top w:val="none" w:sz="0" w:space="0" w:color="auto"/>
        <w:left w:val="none" w:sz="0" w:space="0" w:color="auto"/>
        <w:bottom w:val="none" w:sz="0" w:space="0" w:color="auto"/>
        <w:right w:val="none" w:sz="0" w:space="0" w:color="auto"/>
      </w:divBdr>
    </w:div>
    <w:div w:id="545029329">
      <w:bodyDiv w:val="1"/>
      <w:marLeft w:val="0"/>
      <w:marRight w:val="0"/>
      <w:marTop w:val="0"/>
      <w:marBottom w:val="0"/>
      <w:divBdr>
        <w:top w:val="none" w:sz="0" w:space="0" w:color="auto"/>
        <w:left w:val="none" w:sz="0" w:space="0" w:color="auto"/>
        <w:bottom w:val="none" w:sz="0" w:space="0" w:color="auto"/>
        <w:right w:val="none" w:sz="0" w:space="0" w:color="auto"/>
      </w:divBdr>
    </w:div>
    <w:div w:id="662202409">
      <w:bodyDiv w:val="1"/>
      <w:marLeft w:val="0"/>
      <w:marRight w:val="0"/>
      <w:marTop w:val="0"/>
      <w:marBottom w:val="0"/>
      <w:divBdr>
        <w:top w:val="none" w:sz="0" w:space="0" w:color="auto"/>
        <w:left w:val="none" w:sz="0" w:space="0" w:color="auto"/>
        <w:bottom w:val="none" w:sz="0" w:space="0" w:color="auto"/>
        <w:right w:val="none" w:sz="0" w:space="0" w:color="auto"/>
      </w:divBdr>
    </w:div>
    <w:div w:id="668286866">
      <w:bodyDiv w:val="1"/>
      <w:marLeft w:val="0"/>
      <w:marRight w:val="0"/>
      <w:marTop w:val="0"/>
      <w:marBottom w:val="0"/>
      <w:divBdr>
        <w:top w:val="none" w:sz="0" w:space="0" w:color="auto"/>
        <w:left w:val="none" w:sz="0" w:space="0" w:color="auto"/>
        <w:bottom w:val="none" w:sz="0" w:space="0" w:color="auto"/>
        <w:right w:val="none" w:sz="0" w:space="0" w:color="auto"/>
      </w:divBdr>
    </w:div>
    <w:div w:id="691105241">
      <w:bodyDiv w:val="1"/>
      <w:marLeft w:val="0"/>
      <w:marRight w:val="0"/>
      <w:marTop w:val="0"/>
      <w:marBottom w:val="0"/>
      <w:divBdr>
        <w:top w:val="none" w:sz="0" w:space="0" w:color="auto"/>
        <w:left w:val="none" w:sz="0" w:space="0" w:color="auto"/>
        <w:bottom w:val="none" w:sz="0" w:space="0" w:color="auto"/>
        <w:right w:val="none" w:sz="0" w:space="0" w:color="auto"/>
      </w:divBdr>
    </w:div>
    <w:div w:id="691998154">
      <w:bodyDiv w:val="1"/>
      <w:marLeft w:val="0"/>
      <w:marRight w:val="0"/>
      <w:marTop w:val="0"/>
      <w:marBottom w:val="0"/>
      <w:divBdr>
        <w:top w:val="none" w:sz="0" w:space="0" w:color="auto"/>
        <w:left w:val="none" w:sz="0" w:space="0" w:color="auto"/>
        <w:bottom w:val="none" w:sz="0" w:space="0" w:color="auto"/>
        <w:right w:val="none" w:sz="0" w:space="0" w:color="auto"/>
      </w:divBdr>
    </w:div>
    <w:div w:id="696155084">
      <w:bodyDiv w:val="1"/>
      <w:marLeft w:val="0"/>
      <w:marRight w:val="0"/>
      <w:marTop w:val="0"/>
      <w:marBottom w:val="0"/>
      <w:divBdr>
        <w:top w:val="none" w:sz="0" w:space="0" w:color="auto"/>
        <w:left w:val="none" w:sz="0" w:space="0" w:color="auto"/>
        <w:bottom w:val="none" w:sz="0" w:space="0" w:color="auto"/>
        <w:right w:val="none" w:sz="0" w:space="0" w:color="auto"/>
      </w:divBdr>
    </w:div>
    <w:div w:id="711030374">
      <w:bodyDiv w:val="1"/>
      <w:marLeft w:val="0"/>
      <w:marRight w:val="0"/>
      <w:marTop w:val="0"/>
      <w:marBottom w:val="0"/>
      <w:divBdr>
        <w:top w:val="none" w:sz="0" w:space="0" w:color="auto"/>
        <w:left w:val="none" w:sz="0" w:space="0" w:color="auto"/>
        <w:bottom w:val="none" w:sz="0" w:space="0" w:color="auto"/>
        <w:right w:val="none" w:sz="0" w:space="0" w:color="auto"/>
      </w:divBdr>
    </w:div>
    <w:div w:id="725376537">
      <w:bodyDiv w:val="1"/>
      <w:marLeft w:val="0"/>
      <w:marRight w:val="0"/>
      <w:marTop w:val="0"/>
      <w:marBottom w:val="0"/>
      <w:divBdr>
        <w:top w:val="none" w:sz="0" w:space="0" w:color="auto"/>
        <w:left w:val="none" w:sz="0" w:space="0" w:color="auto"/>
        <w:bottom w:val="none" w:sz="0" w:space="0" w:color="auto"/>
        <w:right w:val="none" w:sz="0" w:space="0" w:color="auto"/>
      </w:divBdr>
    </w:div>
    <w:div w:id="750859871">
      <w:bodyDiv w:val="1"/>
      <w:marLeft w:val="0"/>
      <w:marRight w:val="0"/>
      <w:marTop w:val="0"/>
      <w:marBottom w:val="0"/>
      <w:divBdr>
        <w:top w:val="none" w:sz="0" w:space="0" w:color="auto"/>
        <w:left w:val="none" w:sz="0" w:space="0" w:color="auto"/>
        <w:bottom w:val="none" w:sz="0" w:space="0" w:color="auto"/>
        <w:right w:val="none" w:sz="0" w:space="0" w:color="auto"/>
      </w:divBdr>
    </w:div>
    <w:div w:id="760954865">
      <w:bodyDiv w:val="1"/>
      <w:marLeft w:val="0"/>
      <w:marRight w:val="0"/>
      <w:marTop w:val="0"/>
      <w:marBottom w:val="0"/>
      <w:divBdr>
        <w:top w:val="none" w:sz="0" w:space="0" w:color="auto"/>
        <w:left w:val="none" w:sz="0" w:space="0" w:color="auto"/>
        <w:bottom w:val="none" w:sz="0" w:space="0" w:color="auto"/>
        <w:right w:val="none" w:sz="0" w:space="0" w:color="auto"/>
      </w:divBdr>
    </w:div>
    <w:div w:id="774062751">
      <w:bodyDiv w:val="1"/>
      <w:marLeft w:val="0"/>
      <w:marRight w:val="0"/>
      <w:marTop w:val="0"/>
      <w:marBottom w:val="0"/>
      <w:divBdr>
        <w:top w:val="none" w:sz="0" w:space="0" w:color="auto"/>
        <w:left w:val="none" w:sz="0" w:space="0" w:color="auto"/>
        <w:bottom w:val="none" w:sz="0" w:space="0" w:color="auto"/>
        <w:right w:val="none" w:sz="0" w:space="0" w:color="auto"/>
      </w:divBdr>
    </w:div>
    <w:div w:id="774911289">
      <w:bodyDiv w:val="1"/>
      <w:marLeft w:val="0"/>
      <w:marRight w:val="0"/>
      <w:marTop w:val="0"/>
      <w:marBottom w:val="0"/>
      <w:divBdr>
        <w:top w:val="none" w:sz="0" w:space="0" w:color="auto"/>
        <w:left w:val="none" w:sz="0" w:space="0" w:color="auto"/>
        <w:bottom w:val="none" w:sz="0" w:space="0" w:color="auto"/>
        <w:right w:val="none" w:sz="0" w:space="0" w:color="auto"/>
      </w:divBdr>
    </w:div>
    <w:div w:id="795216568">
      <w:bodyDiv w:val="1"/>
      <w:marLeft w:val="0"/>
      <w:marRight w:val="0"/>
      <w:marTop w:val="0"/>
      <w:marBottom w:val="0"/>
      <w:divBdr>
        <w:top w:val="none" w:sz="0" w:space="0" w:color="auto"/>
        <w:left w:val="none" w:sz="0" w:space="0" w:color="auto"/>
        <w:bottom w:val="none" w:sz="0" w:space="0" w:color="auto"/>
        <w:right w:val="none" w:sz="0" w:space="0" w:color="auto"/>
      </w:divBdr>
    </w:div>
    <w:div w:id="818305759">
      <w:bodyDiv w:val="1"/>
      <w:marLeft w:val="0"/>
      <w:marRight w:val="0"/>
      <w:marTop w:val="0"/>
      <w:marBottom w:val="0"/>
      <w:divBdr>
        <w:top w:val="none" w:sz="0" w:space="0" w:color="auto"/>
        <w:left w:val="none" w:sz="0" w:space="0" w:color="auto"/>
        <w:bottom w:val="none" w:sz="0" w:space="0" w:color="auto"/>
        <w:right w:val="none" w:sz="0" w:space="0" w:color="auto"/>
      </w:divBdr>
    </w:div>
    <w:div w:id="819419770">
      <w:bodyDiv w:val="1"/>
      <w:marLeft w:val="0"/>
      <w:marRight w:val="0"/>
      <w:marTop w:val="0"/>
      <w:marBottom w:val="0"/>
      <w:divBdr>
        <w:top w:val="none" w:sz="0" w:space="0" w:color="auto"/>
        <w:left w:val="none" w:sz="0" w:space="0" w:color="auto"/>
        <w:bottom w:val="none" w:sz="0" w:space="0" w:color="auto"/>
        <w:right w:val="none" w:sz="0" w:space="0" w:color="auto"/>
      </w:divBdr>
    </w:div>
    <w:div w:id="885262164">
      <w:bodyDiv w:val="1"/>
      <w:marLeft w:val="0"/>
      <w:marRight w:val="0"/>
      <w:marTop w:val="0"/>
      <w:marBottom w:val="0"/>
      <w:divBdr>
        <w:top w:val="none" w:sz="0" w:space="0" w:color="auto"/>
        <w:left w:val="none" w:sz="0" w:space="0" w:color="auto"/>
        <w:bottom w:val="none" w:sz="0" w:space="0" w:color="auto"/>
        <w:right w:val="none" w:sz="0" w:space="0" w:color="auto"/>
      </w:divBdr>
    </w:div>
    <w:div w:id="913246833">
      <w:bodyDiv w:val="1"/>
      <w:marLeft w:val="0"/>
      <w:marRight w:val="0"/>
      <w:marTop w:val="0"/>
      <w:marBottom w:val="0"/>
      <w:divBdr>
        <w:top w:val="none" w:sz="0" w:space="0" w:color="auto"/>
        <w:left w:val="none" w:sz="0" w:space="0" w:color="auto"/>
        <w:bottom w:val="none" w:sz="0" w:space="0" w:color="auto"/>
        <w:right w:val="none" w:sz="0" w:space="0" w:color="auto"/>
      </w:divBdr>
    </w:div>
    <w:div w:id="913735294">
      <w:bodyDiv w:val="1"/>
      <w:marLeft w:val="0"/>
      <w:marRight w:val="0"/>
      <w:marTop w:val="0"/>
      <w:marBottom w:val="0"/>
      <w:divBdr>
        <w:top w:val="none" w:sz="0" w:space="0" w:color="auto"/>
        <w:left w:val="none" w:sz="0" w:space="0" w:color="auto"/>
        <w:bottom w:val="none" w:sz="0" w:space="0" w:color="auto"/>
        <w:right w:val="none" w:sz="0" w:space="0" w:color="auto"/>
      </w:divBdr>
    </w:div>
    <w:div w:id="960957656">
      <w:bodyDiv w:val="1"/>
      <w:marLeft w:val="0"/>
      <w:marRight w:val="0"/>
      <w:marTop w:val="0"/>
      <w:marBottom w:val="0"/>
      <w:divBdr>
        <w:top w:val="none" w:sz="0" w:space="0" w:color="auto"/>
        <w:left w:val="none" w:sz="0" w:space="0" w:color="auto"/>
        <w:bottom w:val="none" w:sz="0" w:space="0" w:color="auto"/>
        <w:right w:val="none" w:sz="0" w:space="0" w:color="auto"/>
      </w:divBdr>
    </w:div>
    <w:div w:id="969672180">
      <w:bodyDiv w:val="1"/>
      <w:marLeft w:val="0"/>
      <w:marRight w:val="0"/>
      <w:marTop w:val="0"/>
      <w:marBottom w:val="0"/>
      <w:divBdr>
        <w:top w:val="none" w:sz="0" w:space="0" w:color="auto"/>
        <w:left w:val="none" w:sz="0" w:space="0" w:color="auto"/>
        <w:bottom w:val="none" w:sz="0" w:space="0" w:color="auto"/>
        <w:right w:val="none" w:sz="0" w:space="0" w:color="auto"/>
      </w:divBdr>
    </w:div>
    <w:div w:id="978650183">
      <w:bodyDiv w:val="1"/>
      <w:marLeft w:val="0"/>
      <w:marRight w:val="0"/>
      <w:marTop w:val="0"/>
      <w:marBottom w:val="0"/>
      <w:divBdr>
        <w:top w:val="none" w:sz="0" w:space="0" w:color="auto"/>
        <w:left w:val="none" w:sz="0" w:space="0" w:color="auto"/>
        <w:bottom w:val="none" w:sz="0" w:space="0" w:color="auto"/>
        <w:right w:val="none" w:sz="0" w:space="0" w:color="auto"/>
      </w:divBdr>
    </w:div>
    <w:div w:id="1034768434">
      <w:bodyDiv w:val="1"/>
      <w:marLeft w:val="0"/>
      <w:marRight w:val="0"/>
      <w:marTop w:val="0"/>
      <w:marBottom w:val="0"/>
      <w:divBdr>
        <w:top w:val="none" w:sz="0" w:space="0" w:color="auto"/>
        <w:left w:val="none" w:sz="0" w:space="0" w:color="auto"/>
        <w:bottom w:val="none" w:sz="0" w:space="0" w:color="auto"/>
        <w:right w:val="none" w:sz="0" w:space="0" w:color="auto"/>
      </w:divBdr>
    </w:div>
    <w:div w:id="1039547848">
      <w:bodyDiv w:val="1"/>
      <w:marLeft w:val="0"/>
      <w:marRight w:val="0"/>
      <w:marTop w:val="0"/>
      <w:marBottom w:val="0"/>
      <w:divBdr>
        <w:top w:val="none" w:sz="0" w:space="0" w:color="auto"/>
        <w:left w:val="none" w:sz="0" w:space="0" w:color="auto"/>
        <w:bottom w:val="none" w:sz="0" w:space="0" w:color="auto"/>
        <w:right w:val="none" w:sz="0" w:space="0" w:color="auto"/>
      </w:divBdr>
    </w:div>
    <w:div w:id="1054042918">
      <w:bodyDiv w:val="1"/>
      <w:marLeft w:val="0"/>
      <w:marRight w:val="0"/>
      <w:marTop w:val="0"/>
      <w:marBottom w:val="0"/>
      <w:divBdr>
        <w:top w:val="none" w:sz="0" w:space="0" w:color="auto"/>
        <w:left w:val="none" w:sz="0" w:space="0" w:color="auto"/>
        <w:bottom w:val="none" w:sz="0" w:space="0" w:color="auto"/>
        <w:right w:val="none" w:sz="0" w:space="0" w:color="auto"/>
      </w:divBdr>
    </w:div>
    <w:div w:id="1060791871">
      <w:bodyDiv w:val="1"/>
      <w:marLeft w:val="0"/>
      <w:marRight w:val="0"/>
      <w:marTop w:val="0"/>
      <w:marBottom w:val="0"/>
      <w:divBdr>
        <w:top w:val="none" w:sz="0" w:space="0" w:color="auto"/>
        <w:left w:val="none" w:sz="0" w:space="0" w:color="auto"/>
        <w:bottom w:val="none" w:sz="0" w:space="0" w:color="auto"/>
        <w:right w:val="none" w:sz="0" w:space="0" w:color="auto"/>
      </w:divBdr>
    </w:div>
    <w:div w:id="1069881277">
      <w:bodyDiv w:val="1"/>
      <w:marLeft w:val="0"/>
      <w:marRight w:val="0"/>
      <w:marTop w:val="0"/>
      <w:marBottom w:val="0"/>
      <w:divBdr>
        <w:top w:val="none" w:sz="0" w:space="0" w:color="auto"/>
        <w:left w:val="none" w:sz="0" w:space="0" w:color="auto"/>
        <w:bottom w:val="none" w:sz="0" w:space="0" w:color="auto"/>
        <w:right w:val="none" w:sz="0" w:space="0" w:color="auto"/>
      </w:divBdr>
    </w:div>
    <w:div w:id="1156189768">
      <w:bodyDiv w:val="1"/>
      <w:marLeft w:val="0"/>
      <w:marRight w:val="0"/>
      <w:marTop w:val="0"/>
      <w:marBottom w:val="0"/>
      <w:divBdr>
        <w:top w:val="none" w:sz="0" w:space="0" w:color="auto"/>
        <w:left w:val="none" w:sz="0" w:space="0" w:color="auto"/>
        <w:bottom w:val="none" w:sz="0" w:space="0" w:color="auto"/>
        <w:right w:val="none" w:sz="0" w:space="0" w:color="auto"/>
      </w:divBdr>
    </w:div>
    <w:div w:id="1174878685">
      <w:bodyDiv w:val="1"/>
      <w:marLeft w:val="0"/>
      <w:marRight w:val="0"/>
      <w:marTop w:val="0"/>
      <w:marBottom w:val="0"/>
      <w:divBdr>
        <w:top w:val="none" w:sz="0" w:space="0" w:color="auto"/>
        <w:left w:val="none" w:sz="0" w:space="0" w:color="auto"/>
        <w:bottom w:val="none" w:sz="0" w:space="0" w:color="auto"/>
        <w:right w:val="none" w:sz="0" w:space="0" w:color="auto"/>
      </w:divBdr>
    </w:div>
    <w:div w:id="1177425153">
      <w:bodyDiv w:val="1"/>
      <w:marLeft w:val="0"/>
      <w:marRight w:val="0"/>
      <w:marTop w:val="0"/>
      <w:marBottom w:val="0"/>
      <w:divBdr>
        <w:top w:val="none" w:sz="0" w:space="0" w:color="auto"/>
        <w:left w:val="none" w:sz="0" w:space="0" w:color="auto"/>
        <w:bottom w:val="none" w:sz="0" w:space="0" w:color="auto"/>
        <w:right w:val="none" w:sz="0" w:space="0" w:color="auto"/>
      </w:divBdr>
    </w:div>
    <w:div w:id="1177503551">
      <w:bodyDiv w:val="1"/>
      <w:marLeft w:val="0"/>
      <w:marRight w:val="0"/>
      <w:marTop w:val="0"/>
      <w:marBottom w:val="0"/>
      <w:divBdr>
        <w:top w:val="none" w:sz="0" w:space="0" w:color="auto"/>
        <w:left w:val="none" w:sz="0" w:space="0" w:color="auto"/>
        <w:bottom w:val="none" w:sz="0" w:space="0" w:color="auto"/>
        <w:right w:val="none" w:sz="0" w:space="0" w:color="auto"/>
      </w:divBdr>
    </w:div>
    <w:div w:id="1192301435">
      <w:bodyDiv w:val="1"/>
      <w:marLeft w:val="0"/>
      <w:marRight w:val="0"/>
      <w:marTop w:val="0"/>
      <w:marBottom w:val="0"/>
      <w:divBdr>
        <w:top w:val="none" w:sz="0" w:space="0" w:color="auto"/>
        <w:left w:val="none" w:sz="0" w:space="0" w:color="auto"/>
        <w:bottom w:val="none" w:sz="0" w:space="0" w:color="auto"/>
        <w:right w:val="none" w:sz="0" w:space="0" w:color="auto"/>
      </w:divBdr>
    </w:div>
    <w:div w:id="1193373827">
      <w:bodyDiv w:val="1"/>
      <w:marLeft w:val="0"/>
      <w:marRight w:val="0"/>
      <w:marTop w:val="0"/>
      <w:marBottom w:val="0"/>
      <w:divBdr>
        <w:top w:val="none" w:sz="0" w:space="0" w:color="auto"/>
        <w:left w:val="none" w:sz="0" w:space="0" w:color="auto"/>
        <w:bottom w:val="none" w:sz="0" w:space="0" w:color="auto"/>
        <w:right w:val="none" w:sz="0" w:space="0" w:color="auto"/>
      </w:divBdr>
    </w:div>
    <w:div w:id="1206478836">
      <w:bodyDiv w:val="1"/>
      <w:marLeft w:val="0"/>
      <w:marRight w:val="0"/>
      <w:marTop w:val="0"/>
      <w:marBottom w:val="0"/>
      <w:divBdr>
        <w:top w:val="none" w:sz="0" w:space="0" w:color="auto"/>
        <w:left w:val="none" w:sz="0" w:space="0" w:color="auto"/>
        <w:bottom w:val="none" w:sz="0" w:space="0" w:color="auto"/>
        <w:right w:val="none" w:sz="0" w:space="0" w:color="auto"/>
      </w:divBdr>
    </w:div>
    <w:div w:id="1220938273">
      <w:bodyDiv w:val="1"/>
      <w:marLeft w:val="0"/>
      <w:marRight w:val="0"/>
      <w:marTop w:val="0"/>
      <w:marBottom w:val="0"/>
      <w:divBdr>
        <w:top w:val="none" w:sz="0" w:space="0" w:color="auto"/>
        <w:left w:val="none" w:sz="0" w:space="0" w:color="auto"/>
        <w:bottom w:val="none" w:sz="0" w:space="0" w:color="auto"/>
        <w:right w:val="none" w:sz="0" w:space="0" w:color="auto"/>
      </w:divBdr>
    </w:div>
    <w:div w:id="1234394660">
      <w:bodyDiv w:val="1"/>
      <w:marLeft w:val="0"/>
      <w:marRight w:val="0"/>
      <w:marTop w:val="0"/>
      <w:marBottom w:val="0"/>
      <w:divBdr>
        <w:top w:val="none" w:sz="0" w:space="0" w:color="auto"/>
        <w:left w:val="none" w:sz="0" w:space="0" w:color="auto"/>
        <w:bottom w:val="none" w:sz="0" w:space="0" w:color="auto"/>
        <w:right w:val="none" w:sz="0" w:space="0" w:color="auto"/>
      </w:divBdr>
    </w:div>
    <w:div w:id="1256397840">
      <w:bodyDiv w:val="1"/>
      <w:marLeft w:val="0"/>
      <w:marRight w:val="0"/>
      <w:marTop w:val="0"/>
      <w:marBottom w:val="0"/>
      <w:divBdr>
        <w:top w:val="none" w:sz="0" w:space="0" w:color="auto"/>
        <w:left w:val="none" w:sz="0" w:space="0" w:color="auto"/>
        <w:bottom w:val="none" w:sz="0" w:space="0" w:color="auto"/>
        <w:right w:val="none" w:sz="0" w:space="0" w:color="auto"/>
      </w:divBdr>
    </w:div>
    <w:div w:id="1257976247">
      <w:bodyDiv w:val="1"/>
      <w:marLeft w:val="0"/>
      <w:marRight w:val="0"/>
      <w:marTop w:val="0"/>
      <w:marBottom w:val="0"/>
      <w:divBdr>
        <w:top w:val="none" w:sz="0" w:space="0" w:color="auto"/>
        <w:left w:val="none" w:sz="0" w:space="0" w:color="auto"/>
        <w:bottom w:val="none" w:sz="0" w:space="0" w:color="auto"/>
        <w:right w:val="none" w:sz="0" w:space="0" w:color="auto"/>
      </w:divBdr>
    </w:div>
    <w:div w:id="1264849549">
      <w:bodyDiv w:val="1"/>
      <w:marLeft w:val="0"/>
      <w:marRight w:val="0"/>
      <w:marTop w:val="0"/>
      <w:marBottom w:val="0"/>
      <w:divBdr>
        <w:top w:val="none" w:sz="0" w:space="0" w:color="auto"/>
        <w:left w:val="none" w:sz="0" w:space="0" w:color="auto"/>
        <w:bottom w:val="none" w:sz="0" w:space="0" w:color="auto"/>
        <w:right w:val="none" w:sz="0" w:space="0" w:color="auto"/>
      </w:divBdr>
    </w:div>
    <w:div w:id="1287814874">
      <w:bodyDiv w:val="1"/>
      <w:marLeft w:val="0"/>
      <w:marRight w:val="0"/>
      <w:marTop w:val="0"/>
      <w:marBottom w:val="0"/>
      <w:divBdr>
        <w:top w:val="none" w:sz="0" w:space="0" w:color="auto"/>
        <w:left w:val="none" w:sz="0" w:space="0" w:color="auto"/>
        <w:bottom w:val="none" w:sz="0" w:space="0" w:color="auto"/>
        <w:right w:val="none" w:sz="0" w:space="0" w:color="auto"/>
      </w:divBdr>
    </w:div>
    <w:div w:id="1321273319">
      <w:bodyDiv w:val="1"/>
      <w:marLeft w:val="0"/>
      <w:marRight w:val="0"/>
      <w:marTop w:val="0"/>
      <w:marBottom w:val="0"/>
      <w:divBdr>
        <w:top w:val="none" w:sz="0" w:space="0" w:color="auto"/>
        <w:left w:val="none" w:sz="0" w:space="0" w:color="auto"/>
        <w:bottom w:val="none" w:sz="0" w:space="0" w:color="auto"/>
        <w:right w:val="none" w:sz="0" w:space="0" w:color="auto"/>
      </w:divBdr>
    </w:div>
    <w:div w:id="1330984123">
      <w:bodyDiv w:val="1"/>
      <w:marLeft w:val="0"/>
      <w:marRight w:val="0"/>
      <w:marTop w:val="0"/>
      <w:marBottom w:val="0"/>
      <w:divBdr>
        <w:top w:val="none" w:sz="0" w:space="0" w:color="auto"/>
        <w:left w:val="none" w:sz="0" w:space="0" w:color="auto"/>
        <w:bottom w:val="none" w:sz="0" w:space="0" w:color="auto"/>
        <w:right w:val="none" w:sz="0" w:space="0" w:color="auto"/>
      </w:divBdr>
    </w:div>
    <w:div w:id="1362362858">
      <w:bodyDiv w:val="1"/>
      <w:marLeft w:val="0"/>
      <w:marRight w:val="0"/>
      <w:marTop w:val="0"/>
      <w:marBottom w:val="0"/>
      <w:divBdr>
        <w:top w:val="none" w:sz="0" w:space="0" w:color="auto"/>
        <w:left w:val="none" w:sz="0" w:space="0" w:color="auto"/>
        <w:bottom w:val="none" w:sz="0" w:space="0" w:color="auto"/>
        <w:right w:val="none" w:sz="0" w:space="0" w:color="auto"/>
      </w:divBdr>
    </w:div>
    <w:div w:id="1372656361">
      <w:bodyDiv w:val="1"/>
      <w:marLeft w:val="0"/>
      <w:marRight w:val="0"/>
      <w:marTop w:val="0"/>
      <w:marBottom w:val="0"/>
      <w:divBdr>
        <w:top w:val="none" w:sz="0" w:space="0" w:color="auto"/>
        <w:left w:val="none" w:sz="0" w:space="0" w:color="auto"/>
        <w:bottom w:val="none" w:sz="0" w:space="0" w:color="auto"/>
        <w:right w:val="none" w:sz="0" w:space="0" w:color="auto"/>
      </w:divBdr>
    </w:div>
    <w:div w:id="1402950890">
      <w:bodyDiv w:val="1"/>
      <w:marLeft w:val="0"/>
      <w:marRight w:val="0"/>
      <w:marTop w:val="0"/>
      <w:marBottom w:val="0"/>
      <w:divBdr>
        <w:top w:val="none" w:sz="0" w:space="0" w:color="auto"/>
        <w:left w:val="none" w:sz="0" w:space="0" w:color="auto"/>
        <w:bottom w:val="none" w:sz="0" w:space="0" w:color="auto"/>
        <w:right w:val="none" w:sz="0" w:space="0" w:color="auto"/>
      </w:divBdr>
    </w:div>
    <w:div w:id="1409615138">
      <w:bodyDiv w:val="1"/>
      <w:marLeft w:val="0"/>
      <w:marRight w:val="0"/>
      <w:marTop w:val="0"/>
      <w:marBottom w:val="0"/>
      <w:divBdr>
        <w:top w:val="none" w:sz="0" w:space="0" w:color="auto"/>
        <w:left w:val="none" w:sz="0" w:space="0" w:color="auto"/>
        <w:bottom w:val="none" w:sz="0" w:space="0" w:color="auto"/>
        <w:right w:val="none" w:sz="0" w:space="0" w:color="auto"/>
      </w:divBdr>
    </w:div>
    <w:div w:id="1451433341">
      <w:bodyDiv w:val="1"/>
      <w:marLeft w:val="0"/>
      <w:marRight w:val="0"/>
      <w:marTop w:val="0"/>
      <w:marBottom w:val="0"/>
      <w:divBdr>
        <w:top w:val="none" w:sz="0" w:space="0" w:color="auto"/>
        <w:left w:val="none" w:sz="0" w:space="0" w:color="auto"/>
        <w:bottom w:val="none" w:sz="0" w:space="0" w:color="auto"/>
        <w:right w:val="none" w:sz="0" w:space="0" w:color="auto"/>
      </w:divBdr>
    </w:div>
    <w:div w:id="1470125546">
      <w:bodyDiv w:val="1"/>
      <w:marLeft w:val="0"/>
      <w:marRight w:val="0"/>
      <w:marTop w:val="0"/>
      <w:marBottom w:val="0"/>
      <w:divBdr>
        <w:top w:val="none" w:sz="0" w:space="0" w:color="auto"/>
        <w:left w:val="none" w:sz="0" w:space="0" w:color="auto"/>
        <w:bottom w:val="none" w:sz="0" w:space="0" w:color="auto"/>
        <w:right w:val="none" w:sz="0" w:space="0" w:color="auto"/>
      </w:divBdr>
    </w:div>
    <w:div w:id="1473904984">
      <w:bodyDiv w:val="1"/>
      <w:marLeft w:val="0"/>
      <w:marRight w:val="0"/>
      <w:marTop w:val="0"/>
      <w:marBottom w:val="0"/>
      <w:divBdr>
        <w:top w:val="none" w:sz="0" w:space="0" w:color="auto"/>
        <w:left w:val="none" w:sz="0" w:space="0" w:color="auto"/>
        <w:bottom w:val="none" w:sz="0" w:space="0" w:color="auto"/>
        <w:right w:val="none" w:sz="0" w:space="0" w:color="auto"/>
      </w:divBdr>
    </w:div>
    <w:div w:id="1480657626">
      <w:bodyDiv w:val="1"/>
      <w:marLeft w:val="0"/>
      <w:marRight w:val="0"/>
      <w:marTop w:val="0"/>
      <w:marBottom w:val="0"/>
      <w:divBdr>
        <w:top w:val="none" w:sz="0" w:space="0" w:color="auto"/>
        <w:left w:val="none" w:sz="0" w:space="0" w:color="auto"/>
        <w:bottom w:val="none" w:sz="0" w:space="0" w:color="auto"/>
        <w:right w:val="none" w:sz="0" w:space="0" w:color="auto"/>
      </w:divBdr>
    </w:div>
    <w:div w:id="1492217096">
      <w:bodyDiv w:val="1"/>
      <w:marLeft w:val="0"/>
      <w:marRight w:val="0"/>
      <w:marTop w:val="0"/>
      <w:marBottom w:val="0"/>
      <w:divBdr>
        <w:top w:val="none" w:sz="0" w:space="0" w:color="auto"/>
        <w:left w:val="none" w:sz="0" w:space="0" w:color="auto"/>
        <w:bottom w:val="none" w:sz="0" w:space="0" w:color="auto"/>
        <w:right w:val="none" w:sz="0" w:space="0" w:color="auto"/>
      </w:divBdr>
    </w:div>
    <w:div w:id="1515026601">
      <w:bodyDiv w:val="1"/>
      <w:marLeft w:val="0"/>
      <w:marRight w:val="0"/>
      <w:marTop w:val="0"/>
      <w:marBottom w:val="0"/>
      <w:divBdr>
        <w:top w:val="none" w:sz="0" w:space="0" w:color="auto"/>
        <w:left w:val="none" w:sz="0" w:space="0" w:color="auto"/>
        <w:bottom w:val="none" w:sz="0" w:space="0" w:color="auto"/>
        <w:right w:val="none" w:sz="0" w:space="0" w:color="auto"/>
      </w:divBdr>
    </w:div>
    <w:div w:id="1517579078">
      <w:bodyDiv w:val="1"/>
      <w:marLeft w:val="0"/>
      <w:marRight w:val="0"/>
      <w:marTop w:val="0"/>
      <w:marBottom w:val="0"/>
      <w:divBdr>
        <w:top w:val="none" w:sz="0" w:space="0" w:color="auto"/>
        <w:left w:val="none" w:sz="0" w:space="0" w:color="auto"/>
        <w:bottom w:val="none" w:sz="0" w:space="0" w:color="auto"/>
        <w:right w:val="none" w:sz="0" w:space="0" w:color="auto"/>
      </w:divBdr>
    </w:div>
    <w:div w:id="1525633684">
      <w:bodyDiv w:val="1"/>
      <w:marLeft w:val="0"/>
      <w:marRight w:val="0"/>
      <w:marTop w:val="0"/>
      <w:marBottom w:val="0"/>
      <w:divBdr>
        <w:top w:val="none" w:sz="0" w:space="0" w:color="auto"/>
        <w:left w:val="none" w:sz="0" w:space="0" w:color="auto"/>
        <w:bottom w:val="none" w:sz="0" w:space="0" w:color="auto"/>
        <w:right w:val="none" w:sz="0" w:space="0" w:color="auto"/>
      </w:divBdr>
    </w:div>
    <w:div w:id="1542664471">
      <w:bodyDiv w:val="1"/>
      <w:marLeft w:val="0"/>
      <w:marRight w:val="0"/>
      <w:marTop w:val="0"/>
      <w:marBottom w:val="0"/>
      <w:divBdr>
        <w:top w:val="none" w:sz="0" w:space="0" w:color="auto"/>
        <w:left w:val="none" w:sz="0" w:space="0" w:color="auto"/>
        <w:bottom w:val="none" w:sz="0" w:space="0" w:color="auto"/>
        <w:right w:val="none" w:sz="0" w:space="0" w:color="auto"/>
      </w:divBdr>
    </w:div>
    <w:div w:id="1544633807">
      <w:bodyDiv w:val="1"/>
      <w:marLeft w:val="0"/>
      <w:marRight w:val="0"/>
      <w:marTop w:val="0"/>
      <w:marBottom w:val="0"/>
      <w:divBdr>
        <w:top w:val="none" w:sz="0" w:space="0" w:color="auto"/>
        <w:left w:val="none" w:sz="0" w:space="0" w:color="auto"/>
        <w:bottom w:val="none" w:sz="0" w:space="0" w:color="auto"/>
        <w:right w:val="none" w:sz="0" w:space="0" w:color="auto"/>
      </w:divBdr>
    </w:div>
    <w:div w:id="1545411196">
      <w:bodyDiv w:val="1"/>
      <w:marLeft w:val="0"/>
      <w:marRight w:val="0"/>
      <w:marTop w:val="0"/>
      <w:marBottom w:val="0"/>
      <w:divBdr>
        <w:top w:val="none" w:sz="0" w:space="0" w:color="auto"/>
        <w:left w:val="none" w:sz="0" w:space="0" w:color="auto"/>
        <w:bottom w:val="none" w:sz="0" w:space="0" w:color="auto"/>
        <w:right w:val="none" w:sz="0" w:space="0" w:color="auto"/>
      </w:divBdr>
    </w:div>
    <w:div w:id="1636830495">
      <w:bodyDiv w:val="1"/>
      <w:marLeft w:val="0"/>
      <w:marRight w:val="0"/>
      <w:marTop w:val="0"/>
      <w:marBottom w:val="0"/>
      <w:divBdr>
        <w:top w:val="none" w:sz="0" w:space="0" w:color="auto"/>
        <w:left w:val="none" w:sz="0" w:space="0" w:color="auto"/>
        <w:bottom w:val="none" w:sz="0" w:space="0" w:color="auto"/>
        <w:right w:val="none" w:sz="0" w:space="0" w:color="auto"/>
      </w:divBdr>
    </w:div>
    <w:div w:id="1686246823">
      <w:bodyDiv w:val="1"/>
      <w:marLeft w:val="0"/>
      <w:marRight w:val="0"/>
      <w:marTop w:val="0"/>
      <w:marBottom w:val="0"/>
      <w:divBdr>
        <w:top w:val="none" w:sz="0" w:space="0" w:color="auto"/>
        <w:left w:val="none" w:sz="0" w:space="0" w:color="auto"/>
        <w:bottom w:val="none" w:sz="0" w:space="0" w:color="auto"/>
        <w:right w:val="none" w:sz="0" w:space="0" w:color="auto"/>
      </w:divBdr>
    </w:div>
    <w:div w:id="1687443969">
      <w:bodyDiv w:val="1"/>
      <w:marLeft w:val="0"/>
      <w:marRight w:val="0"/>
      <w:marTop w:val="0"/>
      <w:marBottom w:val="0"/>
      <w:divBdr>
        <w:top w:val="none" w:sz="0" w:space="0" w:color="auto"/>
        <w:left w:val="none" w:sz="0" w:space="0" w:color="auto"/>
        <w:bottom w:val="none" w:sz="0" w:space="0" w:color="auto"/>
        <w:right w:val="none" w:sz="0" w:space="0" w:color="auto"/>
      </w:divBdr>
    </w:div>
    <w:div w:id="1717511738">
      <w:bodyDiv w:val="1"/>
      <w:marLeft w:val="0"/>
      <w:marRight w:val="0"/>
      <w:marTop w:val="0"/>
      <w:marBottom w:val="0"/>
      <w:divBdr>
        <w:top w:val="none" w:sz="0" w:space="0" w:color="auto"/>
        <w:left w:val="none" w:sz="0" w:space="0" w:color="auto"/>
        <w:bottom w:val="none" w:sz="0" w:space="0" w:color="auto"/>
        <w:right w:val="none" w:sz="0" w:space="0" w:color="auto"/>
      </w:divBdr>
    </w:div>
    <w:div w:id="1721325929">
      <w:bodyDiv w:val="1"/>
      <w:marLeft w:val="0"/>
      <w:marRight w:val="0"/>
      <w:marTop w:val="0"/>
      <w:marBottom w:val="0"/>
      <w:divBdr>
        <w:top w:val="none" w:sz="0" w:space="0" w:color="auto"/>
        <w:left w:val="none" w:sz="0" w:space="0" w:color="auto"/>
        <w:bottom w:val="none" w:sz="0" w:space="0" w:color="auto"/>
        <w:right w:val="none" w:sz="0" w:space="0" w:color="auto"/>
      </w:divBdr>
    </w:div>
    <w:div w:id="1733388813">
      <w:bodyDiv w:val="1"/>
      <w:marLeft w:val="0"/>
      <w:marRight w:val="0"/>
      <w:marTop w:val="0"/>
      <w:marBottom w:val="0"/>
      <w:divBdr>
        <w:top w:val="none" w:sz="0" w:space="0" w:color="auto"/>
        <w:left w:val="none" w:sz="0" w:space="0" w:color="auto"/>
        <w:bottom w:val="none" w:sz="0" w:space="0" w:color="auto"/>
        <w:right w:val="none" w:sz="0" w:space="0" w:color="auto"/>
      </w:divBdr>
    </w:div>
    <w:div w:id="1736973982">
      <w:bodyDiv w:val="1"/>
      <w:marLeft w:val="0"/>
      <w:marRight w:val="0"/>
      <w:marTop w:val="0"/>
      <w:marBottom w:val="0"/>
      <w:divBdr>
        <w:top w:val="none" w:sz="0" w:space="0" w:color="auto"/>
        <w:left w:val="none" w:sz="0" w:space="0" w:color="auto"/>
        <w:bottom w:val="none" w:sz="0" w:space="0" w:color="auto"/>
        <w:right w:val="none" w:sz="0" w:space="0" w:color="auto"/>
      </w:divBdr>
    </w:div>
    <w:div w:id="1755316237">
      <w:bodyDiv w:val="1"/>
      <w:marLeft w:val="0"/>
      <w:marRight w:val="0"/>
      <w:marTop w:val="0"/>
      <w:marBottom w:val="0"/>
      <w:divBdr>
        <w:top w:val="none" w:sz="0" w:space="0" w:color="auto"/>
        <w:left w:val="none" w:sz="0" w:space="0" w:color="auto"/>
        <w:bottom w:val="none" w:sz="0" w:space="0" w:color="auto"/>
        <w:right w:val="none" w:sz="0" w:space="0" w:color="auto"/>
      </w:divBdr>
    </w:div>
    <w:div w:id="1764298998">
      <w:bodyDiv w:val="1"/>
      <w:marLeft w:val="0"/>
      <w:marRight w:val="0"/>
      <w:marTop w:val="0"/>
      <w:marBottom w:val="0"/>
      <w:divBdr>
        <w:top w:val="none" w:sz="0" w:space="0" w:color="auto"/>
        <w:left w:val="none" w:sz="0" w:space="0" w:color="auto"/>
        <w:bottom w:val="none" w:sz="0" w:space="0" w:color="auto"/>
        <w:right w:val="none" w:sz="0" w:space="0" w:color="auto"/>
      </w:divBdr>
    </w:div>
    <w:div w:id="1768892423">
      <w:bodyDiv w:val="1"/>
      <w:marLeft w:val="0"/>
      <w:marRight w:val="0"/>
      <w:marTop w:val="0"/>
      <w:marBottom w:val="0"/>
      <w:divBdr>
        <w:top w:val="none" w:sz="0" w:space="0" w:color="auto"/>
        <w:left w:val="none" w:sz="0" w:space="0" w:color="auto"/>
        <w:bottom w:val="none" w:sz="0" w:space="0" w:color="auto"/>
        <w:right w:val="none" w:sz="0" w:space="0" w:color="auto"/>
      </w:divBdr>
    </w:div>
    <w:div w:id="1776097050">
      <w:bodyDiv w:val="1"/>
      <w:marLeft w:val="0"/>
      <w:marRight w:val="0"/>
      <w:marTop w:val="0"/>
      <w:marBottom w:val="0"/>
      <w:divBdr>
        <w:top w:val="none" w:sz="0" w:space="0" w:color="auto"/>
        <w:left w:val="none" w:sz="0" w:space="0" w:color="auto"/>
        <w:bottom w:val="none" w:sz="0" w:space="0" w:color="auto"/>
        <w:right w:val="none" w:sz="0" w:space="0" w:color="auto"/>
      </w:divBdr>
    </w:div>
    <w:div w:id="1789009135">
      <w:bodyDiv w:val="1"/>
      <w:marLeft w:val="0"/>
      <w:marRight w:val="0"/>
      <w:marTop w:val="0"/>
      <w:marBottom w:val="0"/>
      <w:divBdr>
        <w:top w:val="none" w:sz="0" w:space="0" w:color="auto"/>
        <w:left w:val="none" w:sz="0" w:space="0" w:color="auto"/>
        <w:bottom w:val="none" w:sz="0" w:space="0" w:color="auto"/>
        <w:right w:val="none" w:sz="0" w:space="0" w:color="auto"/>
      </w:divBdr>
    </w:div>
    <w:div w:id="1800371333">
      <w:bodyDiv w:val="1"/>
      <w:marLeft w:val="0"/>
      <w:marRight w:val="0"/>
      <w:marTop w:val="0"/>
      <w:marBottom w:val="0"/>
      <w:divBdr>
        <w:top w:val="none" w:sz="0" w:space="0" w:color="auto"/>
        <w:left w:val="none" w:sz="0" w:space="0" w:color="auto"/>
        <w:bottom w:val="none" w:sz="0" w:space="0" w:color="auto"/>
        <w:right w:val="none" w:sz="0" w:space="0" w:color="auto"/>
      </w:divBdr>
    </w:div>
    <w:div w:id="1802382708">
      <w:bodyDiv w:val="1"/>
      <w:marLeft w:val="0"/>
      <w:marRight w:val="0"/>
      <w:marTop w:val="0"/>
      <w:marBottom w:val="0"/>
      <w:divBdr>
        <w:top w:val="none" w:sz="0" w:space="0" w:color="auto"/>
        <w:left w:val="none" w:sz="0" w:space="0" w:color="auto"/>
        <w:bottom w:val="none" w:sz="0" w:space="0" w:color="auto"/>
        <w:right w:val="none" w:sz="0" w:space="0" w:color="auto"/>
      </w:divBdr>
    </w:div>
    <w:div w:id="1815218322">
      <w:bodyDiv w:val="1"/>
      <w:marLeft w:val="0"/>
      <w:marRight w:val="0"/>
      <w:marTop w:val="0"/>
      <w:marBottom w:val="0"/>
      <w:divBdr>
        <w:top w:val="none" w:sz="0" w:space="0" w:color="auto"/>
        <w:left w:val="none" w:sz="0" w:space="0" w:color="auto"/>
        <w:bottom w:val="none" w:sz="0" w:space="0" w:color="auto"/>
        <w:right w:val="none" w:sz="0" w:space="0" w:color="auto"/>
      </w:divBdr>
    </w:div>
    <w:div w:id="1833790576">
      <w:bodyDiv w:val="1"/>
      <w:marLeft w:val="0"/>
      <w:marRight w:val="0"/>
      <w:marTop w:val="0"/>
      <w:marBottom w:val="0"/>
      <w:divBdr>
        <w:top w:val="none" w:sz="0" w:space="0" w:color="auto"/>
        <w:left w:val="none" w:sz="0" w:space="0" w:color="auto"/>
        <w:bottom w:val="none" w:sz="0" w:space="0" w:color="auto"/>
        <w:right w:val="none" w:sz="0" w:space="0" w:color="auto"/>
      </w:divBdr>
    </w:div>
    <w:div w:id="1873179109">
      <w:bodyDiv w:val="1"/>
      <w:marLeft w:val="0"/>
      <w:marRight w:val="0"/>
      <w:marTop w:val="0"/>
      <w:marBottom w:val="0"/>
      <w:divBdr>
        <w:top w:val="none" w:sz="0" w:space="0" w:color="auto"/>
        <w:left w:val="none" w:sz="0" w:space="0" w:color="auto"/>
        <w:bottom w:val="none" w:sz="0" w:space="0" w:color="auto"/>
        <w:right w:val="none" w:sz="0" w:space="0" w:color="auto"/>
      </w:divBdr>
    </w:div>
    <w:div w:id="1874154688">
      <w:bodyDiv w:val="1"/>
      <w:marLeft w:val="0"/>
      <w:marRight w:val="0"/>
      <w:marTop w:val="0"/>
      <w:marBottom w:val="0"/>
      <w:divBdr>
        <w:top w:val="none" w:sz="0" w:space="0" w:color="auto"/>
        <w:left w:val="none" w:sz="0" w:space="0" w:color="auto"/>
        <w:bottom w:val="none" w:sz="0" w:space="0" w:color="auto"/>
        <w:right w:val="none" w:sz="0" w:space="0" w:color="auto"/>
      </w:divBdr>
    </w:div>
    <w:div w:id="1892576608">
      <w:bodyDiv w:val="1"/>
      <w:marLeft w:val="0"/>
      <w:marRight w:val="0"/>
      <w:marTop w:val="0"/>
      <w:marBottom w:val="0"/>
      <w:divBdr>
        <w:top w:val="none" w:sz="0" w:space="0" w:color="auto"/>
        <w:left w:val="none" w:sz="0" w:space="0" w:color="auto"/>
        <w:bottom w:val="none" w:sz="0" w:space="0" w:color="auto"/>
        <w:right w:val="none" w:sz="0" w:space="0" w:color="auto"/>
      </w:divBdr>
    </w:div>
    <w:div w:id="1908150111">
      <w:bodyDiv w:val="1"/>
      <w:marLeft w:val="0"/>
      <w:marRight w:val="0"/>
      <w:marTop w:val="0"/>
      <w:marBottom w:val="0"/>
      <w:divBdr>
        <w:top w:val="none" w:sz="0" w:space="0" w:color="auto"/>
        <w:left w:val="none" w:sz="0" w:space="0" w:color="auto"/>
        <w:bottom w:val="none" w:sz="0" w:space="0" w:color="auto"/>
        <w:right w:val="none" w:sz="0" w:space="0" w:color="auto"/>
      </w:divBdr>
    </w:div>
    <w:div w:id="1909145155">
      <w:bodyDiv w:val="1"/>
      <w:marLeft w:val="0"/>
      <w:marRight w:val="0"/>
      <w:marTop w:val="0"/>
      <w:marBottom w:val="0"/>
      <w:divBdr>
        <w:top w:val="none" w:sz="0" w:space="0" w:color="auto"/>
        <w:left w:val="none" w:sz="0" w:space="0" w:color="auto"/>
        <w:bottom w:val="none" w:sz="0" w:space="0" w:color="auto"/>
        <w:right w:val="none" w:sz="0" w:space="0" w:color="auto"/>
      </w:divBdr>
    </w:div>
    <w:div w:id="1918056669">
      <w:bodyDiv w:val="1"/>
      <w:marLeft w:val="0"/>
      <w:marRight w:val="0"/>
      <w:marTop w:val="0"/>
      <w:marBottom w:val="0"/>
      <w:divBdr>
        <w:top w:val="none" w:sz="0" w:space="0" w:color="auto"/>
        <w:left w:val="none" w:sz="0" w:space="0" w:color="auto"/>
        <w:bottom w:val="none" w:sz="0" w:space="0" w:color="auto"/>
        <w:right w:val="none" w:sz="0" w:space="0" w:color="auto"/>
      </w:divBdr>
    </w:div>
    <w:div w:id="1957642485">
      <w:bodyDiv w:val="1"/>
      <w:marLeft w:val="0"/>
      <w:marRight w:val="0"/>
      <w:marTop w:val="0"/>
      <w:marBottom w:val="0"/>
      <w:divBdr>
        <w:top w:val="none" w:sz="0" w:space="0" w:color="auto"/>
        <w:left w:val="none" w:sz="0" w:space="0" w:color="auto"/>
        <w:bottom w:val="none" w:sz="0" w:space="0" w:color="auto"/>
        <w:right w:val="none" w:sz="0" w:space="0" w:color="auto"/>
      </w:divBdr>
    </w:div>
    <w:div w:id="2010253696">
      <w:bodyDiv w:val="1"/>
      <w:marLeft w:val="0"/>
      <w:marRight w:val="0"/>
      <w:marTop w:val="0"/>
      <w:marBottom w:val="0"/>
      <w:divBdr>
        <w:top w:val="none" w:sz="0" w:space="0" w:color="auto"/>
        <w:left w:val="none" w:sz="0" w:space="0" w:color="auto"/>
        <w:bottom w:val="none" w:sz="0" w:space="0" w:color="auto"/>
        <w:right w:val="none" w:sz="0" w:space="0" w:color="auto"/>
      </w:divBdr>
    </w:div>
    <w:div w:id="2010408165">
      <w:bodyDiv w:val="1"/>
      <w:marLeft w:val="0"/>
      <w:marRight w:val="0"/>
      <w:marTop w:val="0"/>
      <w:marBottom w:val="0"/>
      <w:divBdr>
        <w:top w:val="none" w:sz="0" w:space="0" w:color="auto"/>
        <w:left w:val="none" w:sz="0" w:space="0" w:color="auto"/>
        <w:bottom w:val="none" w:sz="0" w:space="0" w:color="auto"/>
        <w:right w:val="none" w:sz="0" w:space="0" w:color="auto"/>
      </w:divBdr>
    </w:div>
    <w:div w:id="2020154873">
      <w:bodyDiv w:val="1"/>
      <w:marLeft w:val="0"/>
      <w:marRight w:val="0"/>
      <w:marTop w:val="0"/>
      <w:marBottom w:val="0"/>
      <w:divBdr>
        <w:top w:val="none" w:sz="0" w:space="0" w:color="auto"/>
        <w:left w:val="none" w:sz="0" w:space="0" w:color="auto"/>
        <w:bottom w:val="none" w:sz="0" w:space="0" w:color="auto"/>
        <w:right w:val="none" w:sz="0" w:space="0" w:color="auto"/>
      </w:divBdr>
    </w:div>
    <w:div w:id="2045012087">
      <w:bodyDiv w:val="1"/>
      <w:marLeft w:val="0"/>
      <w:marRight w:val="0"/>
      <w:marTop w:val="0"/>
      <w:marBottom w:val="0"/>
      <w:divBdr>
        <w:top w:val="none" w:sz="0" w:space="0" w:color="auto"/>
        <w:left w:val="none" w:sz="0" w:space="0" w:color="auto"/>
        <w:bottom w:val="none" w:sz="0" w:space="0" w:color="auto"/>
        <w:right w:val="none" w:sz="0" w:space="0" w:color="auto"/>
      </w:divBdr>
    </w:div>
    <w:div w:id="2062097663">
      <w:bodyDiv w:val="1"/>
      <w:marLeft w:val="0"/>
      <w:marRight w:val="0"/>
      <w:marTop w:val="0"/>
      <w:marBottom w:val="0"/>
      <w:divBdr>
        <w:top w:val="none" w:sz="0" w:space="0" w:color="auto"/>
        <w:left w:val="none" w:sz="0" w:space="0" w:color="auto"/>
        <w:bottom w:val="none" w:sz="0" w:space="0" w:color="auto"/>
        <w:right w:val="none" w:sz="0" w:space="0" w:color="auto"/>
      </w:divBdr>
    </w:div>
    <w:div w:id="2062122244">
      <w:bodyDiv w:val="1"/>
      <w:marLeft w:val="0"/>
      <w:marRight w:val="0"/>
      <w:marTop w:val="0"/>
      <w:marBottom w:val="0"/>
      <w:divBdr>
        <w:top w:val="none" w:sz="0" w:space="0" w:color="auto"/>
        <w:left w:val="none" w:sz="0" w:space="0" w:color="auto"/>
        <w:bottom w:val="none" w:sz="0" w:space="0" w:color="auto"/>
        <w:right w:val="none" w:sz="0" w:space="0" w:color="auto"/>
      </w:divBdr>
    </w:div>
    <w:div w:id="2073848688">
      <w:bodyDiv w:val="1"/>
      <w:marLeft w:val="0"/>
      <w:marRight w:val="0"/>
      <w:marTop w:val="0"/>
      <w:marBottom w:val="0"/>
      <w:divBdr>
        <w:top w:val="none" w:sz="0" w:space="0" w:color="auto"/>
        <w:left w:val="none" w:sz="0" w:space="0" w:color="auto"/>
        <w:bottom w:val="none" w:sz="0" w:space="0" w:color="auto"/>
        <w:right w:val="none" w:sz="0" w:space="0" w:color="auto"/>
      </w:divBdr>
    </w:div>
    <w:div w:id="2074423272">
      <w:bodyDiv w:val="1"/>
      <w:marLeft w:val="0"/>
      <w:marRight w:val="0"/>
      <w:marTop w:val="0"/>
      <w:marBottom w:val="0"/>
      <w:divBdr>
        <w:top w:val="none" w:sz="0" w:space="0" w:color="auto"/>
        <w:left w:val="none" w:sz="0" w:space="0" w:color="auto"/>
        <w:bottom w:val="none" w:sz="0" w:space="0" w:color="auto"/>
        <w:right w:val="none" w:sz="0" w:space="0" w:color="auto"/>
      </w:divBdr>
    </w:div>
    <w:div w:id="214291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features/meningococcal/index.html" TargetMode="External"/><Relationship Id="rId1" Type="http://schemas.openxmlformats.org/officeDocument/2006/relationships/hyperlink" Target="http://www9.health.gov.au/cda/source/rpt_5_se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Dep18</b:Tag>
    <b:SourceType>InternetSite</b:SourceType>
    <b:Guid>{1555C29C-3CA1-47B2-B6B3-CBF937545297}</b:Guid>
    <b:Title>Meningococcal W Disease</b:Title>
    <b:InternetSiteTitle>The Department of Health</b:InternetSiteTitle>
    <b:Year>2018</b:Year>
    <b:Month>February</b:Month>
    <b:Day>7</b:Day>
    <b:URL>http://www.health.gov.au/internet/main/publishing.nsf/Content/ohp-meningococcal-W.htm</b:URL>
    <b:Author>
      <b:Author>
        <b:NameList>
          <b:Person>
            <b:Last>Department of Health</b:Last>
          </b:Person>
        </b:NameList>
      </b:Author>
    </b:Author>
    <b:RefOrder>2</b:RefOrder>
  </b:Source>
  <b:Source>
    <b:Tag>CDN17</b:Tag>
    <b:SourceType>DocumentFromInternetSite</b:SourceType>
    <b:Guid>{864DBA24-002E-4D41-99B5-B405F1ABB643}</b:Guid>
    <b:Author>
      <b:Author>
        <b:NameList>
          <b:Person>
            <b:Last>CDNA</b:Last>
          </b:Person>
        </b:NameList>
      </b:Author>
    </b:Author>
    <b:Title>Invasive Meningococcal Disease. CDNA National Guidelines for Public Health Units. Version 2</b:Title>
    <b:InternetSiteTitle>Department of Health</b:InternetSiteTitle>
    <b:Year>2017</b:Year>
    <b:Month>March </b:Month>
    <b:URL>http://www.health.gov.au/internet/main/publishing.nsf/content/0A31EEC4953B7E6FCA257DA3000D19DD/$File/IMD-SoNG.pdf</b:URL>
    <b:RefOrder>3</b:RefOrder>
  </b:Source>
  <b:Source>
    <b:Tag>Hun18</b:Tag>
    <b:SourceType>DocumentFromInternetSite</b:SourceType>
    <b:Guid>{99FC2A71-3707-44CE-8D7D-2256398E8200}</b:Guid>
    <b:Year>2018</b:Year>
    <b:InternetSiteTitle>http://www.health.gov.au</b:InternetSiteTitle>
    <b:Month>February</b:Month>
    <b:Day>2</b:Day>
    <b:URL>http://www.health.gov.au/internet/ministers/publishing.nsf/Content/health-mediarel-yr2018-hunt016.htm</b:URL>
    <b:Author>
      <b:Author>
        <b:NameList>
          <b:Person>
            <b:Last>Hunt</b:Last>
            <b:First>Greg</b:First>
          </b:Person>
        </b:NameList>
      </b:Author>
    </b:Author>
    <b:RefOrder>4</b:RefOrder>
  </b:Source>
  <b:Source>
    <b:Tag>PBA18</b:Tag>
    <b:SourceType>Report</b:SourceType>
    <b:Guid>{373EB30E-E0E6-48F5-A916-3C277ADA0729}</b:Guid>
    <b:Author>
      <b:Author>
        <b:NameList>
          <b:Person>
            <b:Last>PBAC</b:Last>
          </b:Person>
        </b:NameList>
      </b:Author>
    </b:Author>
    <b:Title>Pharmaceutical Benefits Advisory Committee (PBAC) Meeting Agenda. March 2018</b:Title>
    <b:Year>2018</b:Year>
    <b:Publisher>Department of Health</b:Publisher>
    <b:City>Canberra</b:City>
    <b:RefOrder>5</b:RefOrder>
  </b:Source>
  <b:Source>
    <b:Tag>Coh17</b:Tag>
    <b:SourceType>JournalArticle</b:SourceType>
    <b:Guid>{BB66F1C9-1657-4C06-A596-6A41DFDF7F00}</b:Guid>
    <b:Title>Effectiveness and duration of protection of one dose of a meningococcal conjugate vaccine</b:Title>
    <b:Year>2017</b:Year>
    <b:Author>
      <b:Author>
        <b:NameList>
          <b:Person>
            <b:Last>Cohn</b:Last>
            <b:First>A</b:First>
            <b:Middle>C</b:Middle>
          </b:Person>
          <b:Person>
            <b:Last>MacNeil</b:Last>
            <b:First>J</b:First>
            <b:Middle>R</b:Middle>
          </b:Person>
          <b:Person>
            <b:Last>Harrison</b:Last>
            <b:First>L</b:First>
            <b:Middle>H</b:Middle>
          </b:Person>
        </b:NameList>
      </b:Author>
    </b:Author>
    <b:JournalName>Pediatrics</b:JournalName>
    <b:Pages>e20162193</b:Pages>
    <b:Volume>139</b:Volume>
    <b:Issue>2</b:Issue>
    <b:RefOrder>1</b:RefOrder>
  </b:Source>
  <b:Source>
    <b:Tag>ATA18</b:Tag>
    <b:SourceType>Report</b:SourceType>
    <b:Guid>{0A2E739B-D97D-4C24-9A1F-27FDB761064F}</b:Guid>
    <b:Title>ATAGI Pre-submission advice</b:Title>
    <b:Year>2018</b:Year>
    <b:Author>
      <b:Author>
        <b:Corporate>ATAGI</b:Corporate>
      </b:Author>
    </b:Author>
    <b:Publisher>ATAGI</b:Publisher>
    <b:RefOrder>6</b:RefOrder>
  </b:Source>
</b:Sources>
</file>

<file path=customXml/itemProps1.xml><?xml version="1.0" encoding="utf-8"?>
<ds:datastoreItem xmlns:ds="http://schemas.openxmlformats.org/officeDocument/2006/customXml" ds:itemID="{2B617DE1-5E5F-4D14-871A-FB81B418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10755</Words>
  <Characters>61570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2018-10-09T00:49:00Z</dcterms:created>
  <dcterms:modified xsi:type="dcterms:W3CDTF">2018-10-18T03:21:00Z</dcterms:modified>
</cp:coreProperties>
</file>