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6E" w:rsidRPr="002B66AB" w:rsidRDefault="0077731C" w:rsidP="0041236E">
      <w:pPr>
        <w:jc w:val="left"/>
        <w:rPr>
          <w:b/>
          <w:sz w:val="36"/>
          <w:szCs w:val="36"/>
        </w:rPr>
      </w:pPr>
      <w:r w:rsidRPr="002B66AB">
        <w:rPr>
          <w:b/>
          <w:sz w:val="36"/>
          <w:szCs w:val="36"/>
        </w:rPr>
        <w:t>5.08</w:t>
      </w:r>
      <w:r w:rsidR="00B60939" w:rsidRPr="002B66AB">
        <w:rPr>
          <w:b/>
          <w:sz w:val="36"/>
          <w:szCs w:val="36"/>
        </w:rPr>
        <w:tab/>
      </w:r>
      <w:r w:rsidR="0041236E" w:rsidRPr="002B66AB">
        <w:rPr>
          <w:b/>
          <w:sz w:val="36"/>
          <w:szCs w:val="36"/>
        </w:rPr>
        <w:t>LUMACAFTOR with IVAC</w:t>
      </w:r>
      <w:r w:rsidR="002B66AB" w:rsidRPr="002B66AB">
        <w:rPr>
          <w:b/>
          <w:sz w:val="36"/>
          <w:szCs w:val="36"/>
        </w:rPr>
        <w:t>A</w:t>
      </w:r>
      <w:r w:rsidR="0041236E" w:rsidRPr="002B66AB">
        <w:rPr>
          <w:b/>
          <w:sz w:val="36"/>
          <w:szCs w:val="36"/>
        </w:rPr>
        <w:t xml:space="preserve">FTOR, </w:t>
      </w:r>
    </w:p>
    <w:p w:rsidR="0041236E" w:rsidRPr="002B66AB" w:rsidRDefault="0041236E" w:rsidP="004D0AEC">
      <w:pPr>
        <w:ind w:left="720"/>
        <w:jc w:val="left"/>
        <w:rPr>
          <w:b/>
          <w:sz w:val="36"/>
          <w:szCs w:val="36"/>
        </w:rPr>
      </w:pPr>
      <w:r w:rsidRPr="002B66AB">
        <w:rPr>
          <w:b/>
          <w:sz w:val="36"/>
          <w:szCs w:val="36"/>
        </w:rPr>
        <w:t xml:space="preserve">Tablet containing </w:t>
      </w:r>
      <w:proofErr w:type="spellStart"/>
      <w:r w:rsidRPr="002B66AB">
        <w:rPr>
          <w:b/>
          <w:sz w:val="36"/>
          <w:szCs w:val="36"/>
        </w:rPr>
        <w:t>lumacaftor</w:t>
      </w:r>
      <w:proofErr w:type="spellEnd"/>
      <w:r w:rsidRPr="002B66AB">
        <w:rPr>
          <w:b/>
          <w:sz w:val="36"/>
          <w:szCs w:val="36"/>
        </w:rPr>
        <w:t xml:space="preserve"> 100 mg with </w:t>
      </w:r>
      <w:proofErr w:type="spellStart"/>
      <w:r w:rsidRPr="002B66AB">
        <w:rPr>
          <w:b/>
          <w:sz w:val="36"/>
          <w:szCs w:val="36"/>
        </w:rPr>
        <w:t>ivacaftor</w:t>
      </w:r>
      <w:proofErr w:type="spellEnd"/>
      <w:r w:rsidRPr="002B66AB">
        <w:rPr>
          <w:b/>
          <w:sz w:val="36"/>
          <w:szCs w:val="36"/>
        </w:rPr>
        <w:t xml:space="preserve"> </w:t>
      </w:r>
      <w:r w:rsidR="00515350">
        <w:rPr>
          <w:b/>
          <w:sz w:val="36"/>
          <w:szCs w:val="36"/>
        </w:rPr>
        <w:br/>
      </w:r>
      <w:r w:rsidRPr="002B66AB">
        <w:rPr>
          <w:b/>
          <w:sz w:val="36"/>
          <w:szCs w:val="36"/>
        </w:rPr>
        <w:t xml:space="preserve">125 mg, </w:t>
      </w:r>
    </w:p>
    <w:p w:rsidR="0041236E" w:rsidRPr="002B66AB" w:rsidRDefault="0041236E" w:rsidP="004D0AEC">
      <w:pPr>
        <w:ind w:firstLine="720"/>
        <w:jc w:val="left"/>
        <w:rPr>
          <w:b/>
          <w:sz w:val="36"/>
          <w:szCs w:val="36"/>
        </w:rPr>
      </w:pPr>
      <w:proofErr w:type="spellStart"/>
      <w:r w:rsidRPr="002B66AB">
        <w:rPr>
          <w:b/>
          <w:sz w:val="36"/>
          <w:szCs w:val="36"/>
        </w:rPr>
        <w:t>Orkambi</w:t>
      </w:r>
      <w:proofErr w:type="spellEnd"/>
      <w:r w:rsidRPr="002B66AB">
        <w:rPr>
          <w:b/>
          <w:sz w:val="36"/>
          <w:szCs w:val="36"/>
        </w:rPr>
        <w:t xml:space="preserve">®, </w:t>
      </w:r>
    </w:p>
    <w:p w:rsidR="00091D02" w:rsidRPr="002B66AB" w:rsidRDefault="0041236E" w:rsidP="004D0AEC">
      <w:pPr>
        <w:ind w:firstLine="720"/>
        <w:rPr>
          <w:b/>
          <w:sz w:val="36"/>
          <w:szCs w:val="36"/>
        </w:rPr>
      </w:pPr>
      <w:r w:rsidRPr="002B66AB">
        <w:rPr>
          <w:b/>
          <w:sz w:val="36"/>
          <w:szCs w:val="36"/>
        </w:rPr>
        <w:t>Vertex Pharmaceuticals (Australia) Pty Ltd</w:t>
      </w:r>
    </w:p>
    <w:p w:rsidR="00BA2337" w:rsidRPr="002B66AB" w:rsidRDefault="00BA2337" w:rsidP="005E7B11">
      <w:pPr>
        <w:pStyle w:val="ListParagraph"/>
        <w:widowControl/>
        <w:numPr>
          <w:ilvl w:val="0"/>
          <w:numId w:val="45"/>
        </w:numPr>
        <w:spacing w:before="240" w:after="120"/>
        <w:ind w:hanging="720"/>
        <w:jc w:val="left"/>
        <w:outlineLvl w:val="0"/>
        <w:rPr>
          <w:rFonts w:asciiTheme="minorHAnsi" w:hAnsiTheme="minorHAnsi"/>
          <w:b/>
          <w:sz w:val="32"/>
          <w:szCs w:val="32"/>
        </w:rPr>
      </w:pPr>
      <w:r w:rsidRPr="002B66AB">
        <w:rPr>
          <w:rFonts w:asciiTheme="minorHAnsi" w:hAnsiTheme="minorHAnsi"/>
          <w:b/>
          <w:sz w:val="32"/>
          <w:szCs w:val="32"/>
        </w:rPr>
        <w:t>Purpose of Application</w:t>
      </w:r>
    </w:p>
    <w:p w:rsidR="00002990" w:rsidRDefault="009D7B72" w:rsidP="00002990">
      <w:pPr>
        <w:pStyle w:val="ListParagraph"/>
        <w:numPr>
          <w:ilvl w:val="1"/>
          <w:numId w:val="45"/>
        </w:numPr>
        <w:ind w:hanging="720"/>
      </w:pPr>
      <w:bookmarkStart w:id="0" w:name="_Toc511665470"/>
      <w:r w:rsidRPr="002B66AB">
        <w:t xml:space="preserve">The submission presented an application for Section 100 (Highly Specialised Drugs Program) listing for </w:t>
      </w:r>
      <w:proofErr w:type="spellStart"/>
      <w:r w:rsidRPr="002B66AB">
        <w:t>lumacaftor</w:t>
      </w:r>
      <w:proofErr w:type="spellEnd"/>
      <w:r w:rsidRPr="002B66AB">
        <w:t xml:space="preserve"> 100 mg with </w:t>
      </w:r>
      <w:proofErr w:type="spellStart"/>
      <w:r w:rsidRPr="002B66AB">
        <w:t>ivacaftor</w:t>
      </w:r>
      <w:proofErr w:type="spellEnd"/>
      <w:r w:rsidRPr="002B66AB">
        <w:t xml:space="preserve"> 125 mg in a fixed dose combination (</w:t>
      </w:r>
      <w:proofErr w:type="spellStart"/>
      <w:r w:rsidRPr="002B66AB">
        <w:t>lumacaftor</w:t>
      </w:r>
      <w:proofErr w:type="spellEnd"/>
      <w:r w:rsidRPr="002B66AB">
        <w:t>/</w:t>
      </w:r>
      <w:proofErr w:type="spellStart"/>
      <w:r w:rsidRPr="002B66AB">
        <w:t>ivacaftor</w:t>
      </w:r>
      <w:proofErr w:type="spellEnd"/>
      <w:r w:rsidRPr="002B66AB">
        <w:t>) for the treatment of patients with cystic fibrosis (CF) aged 6–11 years who are homozygous for the F508del mutation in the CF transmembrane conductance regulator (CFTR) gene. The key components of the submission are presented in Table 1.</w:t>
      </w:r>
    </w:p>
    <w:p w:rsidR="009D7B72" w:rsidRPr="002B66AB" w:rsidRDefault="009D7B72" w:rsidP="00002990">
      <w:pPr>
        <w:pStyle w:val="ListParagraph"/>
        <w:numPr>
          <w:ilvl w:val="1"/>
          <w:numId w:val="45"/>
        </w:numPr>
        <w:ind w:hanging="720"/>
      </w:pPr>
      <w:r w:rsidRPr="002B66AB">
        <w:t xml:space="preserve">This is the first submission for </w:t>
      </w:r>
      <w:proofErr w:type="spellStart"/>
      <w:r w:rsidRPr="002B66AB">
        <w:t>lumacaftor</w:t>
      </w:r>
      <w:proofErr w:type="spellEnd"/>
      <w:r w:rsidRPr="002B66AB">
        <w:t>/</w:t>
      </w:r>
      <w:proofErr w:type="spellStart"/>
      <w:r w:rsidRPr="002B66AB">
        <w:t>ivacaftor</w:t>
      </w:r>
      <w:proofErr w:type="spellEnd"/>
      <w:r w:rsidRPr="002B66AB">
        <w:t xml:space="preserve"> for this indication in this age group. </w:t>
      </w:r>
      <w:proofErr w:type="spellStart"/>
      <w:r w:rsidRPr="002B66AB">
        <w:t>Lumacaftor</w:t>
      </w:r>
      <w:proofErr w:type="spellEnd"/>
      <w:r w:rsidRPr="002B66AB">
        <w:t xml:space="preserve"> 200 mg/</w:t>
      </w:r>
      <w:proofErr w:type="spellStart"/>
      <w:r w:rsidRPr="002B66AB">
        <w:t>ivacaftor</w:t>
      </w:r>
      <w:proofErr w:type="spellEnd"/>
      <w:r w:rsidRPr="002B66AB">
        <w:t xml:space="preserve"> 125 mg for the treatment of CF in patients aged 12 years and older who are homozygous for the F508del mutation in the CFTR gene was first considered by the PBAC in March 2016. A minor resubmission was considered in November 2016, and a major resubmission was considered and rejected in July 2017. A subsequent resubmission was lodged in April 2018.</w:t>
      </w:r>
    </w:p>
    <w:p w:rsidR="009D7B72" w:rsidRPr="002B66AB" w:rsidRDefault="009D7B72" w:rsidP="00002990">
      <w:pPr>
        <w:pStyle w:val="ListParagraph"/>
        <w:numPr>
          <w:ilvl w:val="1"/>
          <w:numId w:val="45"/>
        </w:numPr>
        <w:ind w:hanging="720"/>
      </w:pPr>
      <w:r w:rsidRPr="002B66AB">
        <w:t xml:space="preserve">The submission presented one pivotal trial comparing </w:t>
      </w:r>
      <w:proofErr w:type="spellStart"/>
      <w:r w:rsidRPr="002B66AB">
        <w:t>lumacaftor</w:t>
      </w:r>
      <w:proofErr w:type="spellEnd"/>
      <w:r w:rsidRPr="002B66AB">
        <w:t>/</w:t>
      </w:r>
      <w:proofErr w:type="spellStart"/>
      <w:r w:rsidRPr="002B66AB">
        <w:t>ivacaftor</w:t>
      </w:r>
      <w:proofErr w:type="spellEnd"/>
      <w:r w:rsidRPr="002B66AB">
        <w:t xml:space="preserve"> with placebo in children 6-11 years, and a cost-utility analysis (CUA) of </w:t>
      </w:r>
      <w:proofErr w:type="spellStart"/>
      <w:r w:rsidRPr="002B66AB">
        <w:t>lumacaftor</w:t>
      </w:r>
      <w:proofErr w:type="spellEnd"/>
      <w:r w:rsidRPr="002B66AB">
        <w:t>/</w:t>
      </w:r>
      <w:proofErr w:type="spellStart"/>
      <w:r w:rsidRPr="002B66AB">
        <w:t>ivacaftor</w:t>
      </w:r>
      <w:proofErr w:type="spellEnd"/>
      <w:r w:rsidRPr="002B66AB">
        <w:t xml:space="preserve"> + Best Supportive Care (BSC) versus BSC alone for its use in all children 2 and over with an F508</w:t>
      </w:r>
      <w:r w:rsidRPr="002B66AB">
        <w:rPr>
          <w:i/>
        </w:rPr>
        <w:t>del</w:t>
      </w:r>
      <w:r w:rsidRPr="002B66AB">
        <w:t xml:space="preserve"> mutation in the CFTR gene. In accordance with the TGA registration status of the product and TGA-PBAC parallel process arrangements, consideration of the evidence for this submission was restricted to children 6 and over.</w:t>
      </w:r>
    </w:p>
    <w:p w:rsidR="009D7B72" w:rsidRPr="002B66AB" w:rsidRDefault="009D7B72" w:rsidP="009D7B72">
      <w:pPr>
        <w:keepNext/>
        <w:rPr>
          <w:rFonts w:ascii="Arial Narrow" w:hAnsi="Arial Narrow"/>
          <w:b/>
          <w:bCs/>
          <w:sz w:val="20"/>
          <w:szCs w:val="20"/>
        </w:rPr>
      </w:pPr>
      <w:r w:rsidRPr="002B66AB">
        <w:rPr>
          <w:rFonts w:ascii="Arial Narrow" w:hAnsi="Arial Narrow"/>
          <w:b/>
          <w:bCs/>
          <w:sz w:val="20"/>
          <w:szCs w:val="20"/>
        </w:rPr>
        <w:t xml:space="preserve">Table </w:t>
      </w:r>
      <w:r w:rsidR="006F480C" w:rsidRPr="002B66AB">
        <w:rPr>
          <w:rFonts w:ascii="Arial Narrow" w:hAnsi="Arial Narrow"/>
          <w:b/>
          <w:bCs/>
          <w:noProof/>
          <w:sz w:val="20"/>
          <w:szCs w:val="20"/>
        </w:rPr>
        <w:t>1</w:t>
      </w:r>
      <w:r w:rsidRPr="002B66AB">
        <w:rPr>
          <w:rFonts w:ascii="Arial Narrow" w:hAnsi="Arial Narrow"/>
          <w:b/>
          <w:bCs/>
          <w:sz w:val="20"/>
          <w:szCs w:val="20"/>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2B66AB" w:rsidRPr="002B66AB" w:rsidTr="00B558F0">
        <w:trPr>
          <w:cantSplit/>
          <w:tblHeader/>
        </w:trPr>
        <w:tc>
          <w:tcPr>
            <w:tcW w:w="1696" w:type="dxa"/>
            <w:shd w:val="clear" w:color="auto" w:fill="auto"/>
          </w:tcPr>
          <w:p w:rsidR="009D7B72" w:rsidRPr="002B66AB" w:rsidRDefault="009D7B72" w:rsidP="009D7B72">
            <w:pPr>
              <w:keepNext/>
              <w:widowControl/>
              <w:jc w:val="left"/>
              <w:rPr>
                <w:rFonts w:ascii="Arial Narrow" w:hAnsi="Arial Narrow" w:cs="Times New Roman"/>
                <w:b/>
                <w:snapToGrid/>
                <w:sz w:val="20"/>
                <w:szCs w:val="20"/>
              </w:rPr>
            </w:pPr>
            <w:r w:rsidRPr="002B66AB">
              <w:rPr>
                <w:rFonts w:ascii="Arial Narrow" w:hAnsi="Arial Narrow" w:cs="Times New Roman"/>
                <w:b/>
                <w:snapToGrid/>
                <w:sz w:val="20"/>
              </w:rPr>
              <w:t>Component</w:t>
            </w:r>
          </w:p>
        </w:tc>
        <w:tc>
          <w:tcPr>
            <w:tcW w:w="7484" w:type="dxa"/>
            <w:shd w:val="clear" w:color="auto" w:fill="auto"/>
          </w:tcPr>
          <w:p w:rsidR="009D7B72" w:rsidRPr="002B66AB" w:rsidRDefault="009D7B72" w:rsidP="009D7B72">
            <w:pPr>
              <w:keepNext/>
              <w:widowControl/>
              <w:jc w:val="center"/>
              <w:rPr>
                <w:rFonts w:ascii="Arial Narrow" w:hAnsi="Arial Narrow" w:cs="Times New Roman"/>
                <w:b/>
                <w:snapToGrid/>
                <w:sz w:val="20"/>
              </w:rPr>
            </w:pPr>
            <w:r w:rsidRPr="002B66AB">
              <w:rPr>
                <w:rFonts w:ascii="Arial Narrow" w:hAnsi="Arial Narrow" w:cs="Times New Roman"/>
                <w:b/>
                <w:snapToGrid/>
                <w:sz w:val="20"/>
              </w:rPr>
              <w:t>Description</w:t>
            </w:r>
          </w:p>
        </w:tc>
      </w:tr>
      <w:tr w:rsidR="002B66AB" w:rsidRPr="002B66AB" w:rsidTr="00B558F0">
        <w:trPr>
          <w:cantSplit/>
        </w:trPr>
        <w:tc>
          <w:tcPr>
            <w:tcW w:w="1696"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Population</w:t>
            </w:r>
          </w:p>
        </w:tc>
        <w:tc>
          <w:tcPr>
            <w:tcW w:w="7484"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CF patients aged 6–11 years who are homozygous for the F508del mutation in the CFTR gene.</w:t>
            </w:r>
          </w:p>
        </w:tc>
      </w:tr>
      <w:tr w:rsidR="002B66AB" w:rsidRPr="002B66AB" w:rsidTr="00B558F0">
        <w:trPr>
          <w:cantSplit/>
        </w:trPr>
        <w:tc>
          <w:tcPr>
            <w:tcW w:w="1696"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Intervention</w:t>
            </w:r>
          </w:p>
        </w:tc>
        <w:tc>
          <w:tcPr>
            <w:tcW w:w="7484"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Two tablets (containing </w:t>
            </w:r>
            <w:proofErr w:type="spellStart"/>
            <w:r w:rsidRPr="002B66AB">
              <w:rPr>
                <w:rFonts w:ascii="Arial Narrow" w:hAnsi="Arial Narrow" w:cs="Times New Roman"/>
                <w:snapToGrid/>
                <w:sz w:val="20"/>
              </w:rPr>
              <w:t>lumacaftor</w:t>
            </w:r>
            <w:proofErr w:type="spellEnd"/>
            <w:r w:rsidRPr="002B66AB">
              <w:rPr>
                <w:rFonts w:ascii="Arial Narrow" w:hAnsi="Arial Narrow" w:cs="Times New Roman"/>
                <w:snapToGrid/>
                <w:sz w:val="20"/>
              </w:rPr>
              <w:t xml:space="preserve"> 100 mg/</w:t>
            </w:r>
            <w:proofErr w:type="spellStart"/>
            <w:r w:rsidRPr="002B66AB">
              <w:rPr>
                <w:rFonts w:ascii="Arial Narrow" w:hAnsi="Arial Narrow" w:cs="Times New Roman"/>
                <w:snapToGrid/>
                <w:sz w:val="20"/>
              </w:rPr>
              <w:t>ivacaftor</w:t>
            </w:r>
            <w:proofErr w:type="spellEnd"/>
            <w:r w:rsidRPr="002B66AB">
              <w:rPr>
                <w:rFonts w:ascii="Arial Narrow" w:hAnsi="Arial Narrow" w:cs="Times New Roman"/>
                <w:snapToGrid/>
                <w:sz w:val="20"/>
              </w:rPr>
              <w:t xml:space="preserve"> 125 mg) taken orally every 12 hours with total daily dose of 400 mg for </w:t>
            </w:r>
            <w:proofErr w:type="spellStart"/>
            <w:r w:rsidRPr="002B66AB">
              <w:rPr>
                <w:rFonts w:ascii="Arial Narrow" w:hAnsi="Arial Narrow" w:cs="Times New Roman"/>
                <w:snapToGrid/>
                <w:sz w:val="20"/>
              </w:rPr>
              <w:t>lumacaftor</w:t>
            </w:r>
            <w:proofErr w:type="spellEnd"/>
            <w:r w:rsidRPr="002B66AB">
              <w:rPr>
                <w:rFonts w:ascii="Arial Narrow" w:hAnsi="Arial Narrow" w:cs="Times New Roman"/>
                <w:snapToGrid/>
                <w:sz w:val="20"/>
              </w:rPr>
              <w:t xml:space="preserve"> and 500 mg for </w:t>
            </w:r>
            <w:proofErr w:type="spellStart"/>
            <w:r w:rsidRPr="002B66AB">
              <w:rPr>
                <w:rFonts w:ascii="Arial Narrow" w:hAnsi="Arial Narrow" w:cs="Times New Roman"/>
                <w:snapToGrid/>
                <w:sz w:val="20"/>
              </w:rPr>
              <w:t>ivacaftor</w:t>
            </w:r>
            <w:proofErr w:type="spellEnd"/>
            <w:r w:rsidRPr="002B66AB">
              <w:rPr>
                <w:rFonts w:ascii="Arial Narrow" w:hAnsi="Arial Narrow" w:cs="Times New Roman"/>
                <w:snapToGrid/>
                <w:sz w:val="20"/>
              </w:rPr>
              <w:t>.</w:t>
            </w:r>
          </w:p>
        </w:tc>
      </w:tr>
      <w:tr w:rsidR="002B66AB" w:rsidRPr="002B66AB" w:rsidTr="00B558F0">
        <w:trPr>
          <w:cantSplit/>
        </w:trPr>
        <w:tc>
          <w:tcPr>
            <w:tcW w:w="1696"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Comparator</w:t>
            </w:r>
          </w:p>
        </w:tc>
        <w:tc>
          <w:tcPr>
            <w:tcW w:w="7484"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Best Supportive Care </w:t>
            </w:r>
          </w:p>
        </w:tc>
      </w:tr>
      <w:tr w:rsidR="002B66AB" w:rsidRPr="002B66AB" w:rsidTr="00B558F0">
        <w:trPr>
          <w:cantSplit/>
        </w:trPr>
        <w:tc>
          <w:tcPr>
            <w:tcW w:w="1696"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Outcomes</w:t>
            </w:r>
          </w:p>
        </w:tc>
        <w:tc>
          <w:tcPr>
            <w:tcW w:w="7484"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Primary outcome: LCI</w:t>
            </w:r>
            <w:r w:rsidRPr="002B66AB">
              <w:rPr>
                <w:rFonts w:ascii="Arial Narrow" w:hAnsi="Arial Narrow" w:cs="Times New Roman"/>
                <w:snapToGrid/>
                <w:sz w:val="20"/>
                <w:vertAlign w:val="subscript"/>
              </w:rPr>
              <w:t>2.5</w:t>
            </w:r>
            <w:r w:rsidRPr="002B66AB">
              <w:rPr>
                <w:rFonts w:ascii="Arial Narrow" w:hAnsi="Arial Narrow" w:cs="Times New Roman"/>
                <w:snapToGrid/>
                <w:sz w:val="20"/>
              </w:rPr>
              <w:t>.</w:t>
            </w:r>
          </w:p>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Secondary outcomes: ppFEV1, sweat chloride, nutritional status (BMI, BMI-for-age z-score, weight, weight-for-age z-score, height, height-for-age z-score, stature, stature-for-height), LCI</w:t>
            </w:r>
            <w:r w:rsidRPr="002B66AB">
              <w:rPr>
                <w:rFonts w:ascii="Arial Narrow" w:hAnsi="Arial Narrow" w:cs="Times New Roman"/>
                <w:snapToGrid/>
                <w:sz w:val="20"/>
                <w:vertAlign w:val="subscript"/>
              </w:rPr>
              <w:t>5.0</w:t>
            </w:r>
            <w:r w:rsidRPr="002B66AB">
              <w:rPr>
                <w:rFonts w:ascii="Arial Narrow" w:hAnsi="Arial Narrow" w:cs="Times New Roman"/>
                <w:snapToGrid/>
                <w:sz w:val="20"/>
              </w:rPr>
              <w:t>, pulmonary exacerbation and quality of life (CFQ-R Respiratory Domain Score)</w:t>
            </w:r>
          </w:p>
        </w:tc>
      </w:tr>
      <w:tr w:rsidR="002B66AB" w:rsidRPr="002B66AB" w:rsidTr="00B558F0">
        <w:trPr>
          <w:cantSplit/>
        </w:trPr>
        <w:tc>
          <w:tcPr>
            <w:tcW w:w="1696"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Clinical claim</w:t>
            </w:r>
          </w:p>
        </w:tc>
        <w:tc>
          <w:tcPr>
            <w:tcW w:w="7484" w:type="dxa"/>
            <w:shd w:val="clear" w:color="auto" w:fill="auto"/>
          </w:tcPr>
          <w:p w:rsidR="009D7B72" w:rsidRPr="002B66AB" w:rsidRDefault="009D7B72" w:rsidP="009D7B72">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In CF patients aged 6-11 years who are homozygous for the F508del mutation, </w:t>
            </w:r>
            <w:proofErr w:type="spellStart"/>
            <w:r w:rsidRPr="002B66AB">
              <w:rPr>
                <w:rFonts w:ascii="Arial Narrow" w:hAnsi="Arial Narrow" w:cs="Times New Roman"/>
                <w:snapToGrid/>
                <w:sz w:val="20"/>
              </w:rPr>
              <w:t>lumacaftor</w:t>
            </w:r>
            <w:proofErr w:type="spellEnd"/>
            <w:r w:rsidRPr="002B66AB">
              <w:rPr>
                <w:rFonts w:ascii="Arial Narrow" w:hAnsi="Arial Narrow" w:cs="Times New Roman"/>
                <w:snapToGrid/>
                <w:sz w:val="20"/>
              </w:rPr>
              <w:t>/</w:t>
            </w:r>
            <w:proofErr w:type="spellStart"/>
            <w:r w:rsidRPr="002B66AB">
              <w:rPr>
                <w:rFonts w:ascii="Arial Narrow" w:hAnsi="Arial Narrow" w:cs="Times New Roman"/>
                <w:snapToGrid/>
                <w:sz w:val="20"/>
              </w:rPr>
              <w:t>ivacaftor</w:t>
            </w:r>
            <w:proofErr w:type="spellEnd"/>
            <w:r w:rsidRPr="002B66AB">
              <w:rPr>
                <w:rFonts w:ascii="Arial Narrow" w:hAnsi="Arial Narrow" w:cs="Times New Roman"/>
                <w:snapToGrid/>
                <w:sz w:val="20"/>
              </w:rPr>
              <w:t xml:space="preserve"> plus BSC is superior in terms of effectiveness compared with BSC alone and non-inferior in terms of safety compared to BSC alone.</w:t>
            </w:r>
          </w:p>
        </w:tc>
      </w:tr>
    </w:tbl>
    <w:p w:rsidR="009D7B72" w:rsidRPr="002B66AB" w:rsidRDefault="009D7B72" w:rsidP="009D7B72">
      <w:pPr>
        <w:rPr>
          <w:rFonts w:ascii="Arial Narrow" w:hAnsi="Arial Narrow"/>
          <w:sz w:val="18"/>
        </w:rPr>
      </w:pPr>
      <w:r w:rsidRPr="002B66AB">
        <w:rPr>
          <w:rFonts w:ascii="Arial Narrow" w:hAnsi="Arial Narrow"/>
          <w:sz w:val="18"/>
        </w:rPr>
        <w:t>Abbreviations: BMI = body mass index; BSC=best supportive care CF=cystic fibrosis; CFQ-R=Cystic Fibrosis Questionnaire-Revised; CFTR=cystic fibrosis transmembrane conductance regulator; FE-1=faecal elastase 1; FEV=forced expiratory volume; IRT=</w:t>
      </w:r>
      <w:proofErr w:type="spellStart"/>
      <w:r w:rsidRPr="002B66AB">
        <w:rPr>
          <w:rFonts w:ascii="Arial Narrow" w:hAnsi="Arial Narrow"/>
          <w:sz w:val="18"/>
        </w:rPr>
        <w:t>immunoreactive</w:t>
      </w:r>
      <w:proofErr w:type="spellEnd"/>
      <w:r w:rsidRPr="002B66AB">
        <w:rPr>
          <w:rFonts w:ascii="Arial Narrow" w:hAnsi="Arial Narrow"/>
          <w:sz w:val="18"/>
        </w:rPr>
        <w:t xml:space="preserve"> trypsinogen; LCI2.5=lung clearance index at 2.5% of starting concentration; ppFEV1= percent predicted forced expiratory volume in one second; TSQM=Treatment Satisfaction Questionnaire for Medication.</w:t>
      </w:r>
    </w:p>
    <w:p w:rsidR="009D7B72" w:rsidRPr="002B66AB" w:rsidRDefault="009D7B72" w:rsidP="009D7B72">
      <w:pPr>
        <w:rPr>
          <w:rFonts w:ascii="Arial Narrow" w:hAnsi="Arial Narrow"/>
          <w:sz w:val="18"/>
        </w:rPr>
      </w:pPr>
      <w:r w:rsidRPr="002B66AB">
        <w:rPr>
          <w:rFonts w:ascii="Arial Narrow" w:hAnsi="Arial Narrow"/>
          <w:sz w:val="18"/>
        </w:rPr>
        <w:t>Source: Table 1.1.1, p.30 of the submission.</w:t>
      </w:r>
    </w:p>
    <w:p w:rsidR="009D7B72" w:rsidRPr="00002990" w:rsidRDefault="009D7B72" w:rsidP="005E7B11">
      <w:pPr>
        <w:pStyle w:val="ListParagraph"/>
        <w:widowControl/>
        <w:numPr>
          <w:ilvl w:val="0"/>
          <w:numId w:val="45"/>
        </w:numPr>
        <w:spacing w:before="240" w:after="120"/>
        <w:ind w:hanging="720"/>
        <w:jc w:val="left"/>
        <w:outlineLvl w:val="0"/>
        <w:rPr>
          <w:rFonts w:asciiTheme="minorHAnsi" w:hAnsiTheme="minorHAnsi"/>
          <w:b/>
          <w:sz w:val="32"/>
          <w:szCs w:val="32"/>
        </w:rPr>
      </w:pPr>
      <w:bookmarkStart w:id="1" w:name="_Toc514246218"/>
      <w:r w:rsidRPr="003F465C">
        <w:rPr>
          <w:rFonts w:asciiTheme="minorHAnsi" w:hAnsiTheme="minorHAnsi"/>
          <w:b/>
          <w:sz w:val="32"/>
          <w:szCs w:val="32"/>
        </w:rPr>
        <w:lastRenderedPageBreak/>
        <w:t>Requested listing</w:t>
      </w:r>
      <w:bookmarkEnd w:id="1"/>
    </w:p>
    <w:p w:rsidR="009D7B72" w:rsidRPr="002B66AB" w:rsidRDefault="009D7B72" w:rsidP="00002990">
      <w:pPr>
        <w:pStyle w:val="ListParagraph"/>
        <w:numPr>
          <w:ilvl w:val="1"/>
          <w:numId w:val="45"/>
        </w:numPr>
        <w:ind w:hanging="720"/>
      </w:pPr>
      <w:r w:rsidRPr="002B66AB">
        <w:t xml:space="preserve">This submission requested PBS listing for </w:t>
      </w:r>
      <w:proofErr w:type="spellStart"/>
      <w:r w:rsidRPr="002B66AB">
        <w:t>lumacaftor</w:t>
      </w:r>
      <w:proofErr w:type="spellEnd"/>
      <w:r w:rsidRPr="002B66AB">
        <w:t>/</w:t>
      </w:r>
      <w:proofErr w:type="spellStart"/>
      <w:r w:rsidRPr="002B66AB">
        <w:t>ivacaftor</w:t>
      </w:r>
      <w:proofErr w:type="spellEnd"/>
      <w:r w:rsidRPr="002B66AB">
        <w:t xml:space="preserve"> (</w:t>
      </w:r>
      <w:proofErr w:type="spellStart"/>
      <w:r w:rsidRPr="002B66AB">
        <w:t>Orkambi</w:t>
      </w:r>
      <w:r w:rsidRPr="002B66AB">
        <w:rPr>
          <w:vertAlign w:val="superscript"/>
        </w:rPr>
        <w:t>TM</w:t>
      </w:r>
      <w:proofErr w:type="spellEnd"/>
      <w:r w:rsidRPr="002B66AB">
        <w:t xml:space="preserve">) in CF patients aged 6–11 years who are homozygous for the F508del mutation in the CFTR gene (see </w:t>
      </w:r>
      <w:r w:rsidR="006F480C" w:rsidRPr="002B66AB">
        <w:t>Table 2</w:t>
      </w:r>
      <w:r w:rsidRPr="002B66AB">
        <w:t>).</w:t>
      </w:r>
    </w:p>
    <w:p w:rsidR="009D7B72" w:rsidRPr="002B66AB" w:rsidRDefault="009D7B72" w:rsidP="009D7B72">
      <w:pPr>
        <w:keepNext/>
        <w:rPr>
          <w:rFonts w:ascii="Arial Narrow" w:hAnsi="Arial Narrow"/>
          <w:b/>
          <w:bCs/>
          <w:sz w:val="20"/>
          <w:szCs w:val="20"/>
        </w:rPr>
      </w:pPr>
      <w:bookmarkStart w:id="2" w:name="_Ref511371400"/>
      <w:r w:rsidRPr="002B66AB">
        <w:rPr>
          <w:rFonts w:ascii="Arial Narrow" w:hAnsi="Arial Narrow"/>
          <w:b/>
          <w:bCs/>
          <w:sz w:val="20"/>
          <w:szCs w:val="20"/>
        </w:rPr>
        <w:t xml:space="preserve">Table </w:t>
      </w:r>
      <w:r w:rsidR="006F480C" w:rsidRPr="002B66AB">
        <w:rPr>
          <w:rFonts w:ascii="Arial Narrow" w:hAnsi="Arial Narrow"/>
          <w:b/>
          <w:bCs/>
          <w:noProof/>
          <w:sz w:val="20"/>
          <w:szCs w:val="20"/>
        </w:rPr>
        <w:t>2</w:t>
      </w:r>
      <w:bookmarkEnd w:id="2"/>
      <w:r w:rsidRPr="002B66AB">
        <w:rPr>
          <w:rFonts w:ascii="Arial Narrow" w:hAnsi="Arial Narrow"/>
          <w:b/>
          <w:bCs/>
          <w:sz w:val="20"/>
          <w:szCs w:val="20"/>
        </w:rPr>
        <w:t>: Summary of proposed listing</w:t>
      </w:r>
    </w:p>
    <w:tbl>
      <w:tblPr>
        <w:tblW w:w="4977" w:type="pct"/>
        <w:tblInd w:w="28" w:type="dxa"/>
        <w:tblCellMar>
          <w:left w:w="28" w:type="dxa"/>
          <w:right w:w="28" w:type="dxa"/>
        </w:tblCellMar>
        <w:tblLook w:val="0000" w:firstRow="0" w:lastRow="0" w:firstColumn="0" w:lastColumn="0" w:noHBand="0" w:noVBand="0"/>
      </w:tblPr>
      <w:tblGrid>
        <w:gridCol w:w="1442"/>
        <w:gridCol w:w="1899"/>
        <w:gridCol w:w="1067"/>
        <w:gridCol w:w="823"/>
        <w:gridCol w:w="1497"/>
        <w:gridCol w:w="841"/>
        <w:gridCol w:w="1472"/>
      </w:tblGrid>
      <w:tr w:rsidR="002B66AB" w:rsidRPr="002B66AB" w:rsidTr="00B558F0">
        <w:trPr>
          <w:cantSplit/>
          <w:trHeight w:val="463"/>
        </w:trPr>
        <w:tc>
          <w:tcPr>
            <w:tcW w:w="1848" w:type="pct"/>
            <w:gridSpan w:val="2"/>
            <w:tcBorders>
              <w:top w:val="single" w:sz="4" w:space="0" w:color="auto"/>
              <w:bottom w:val="single" w:sz="4" w:space="0" w:color="auto"/>
            </w:tcBorders>
            <w:vAlign w:val="center"/>
          </w:tcPr>
          <w:p w:rsidR="009D7B72" w:rsidRPr="002B66AB" w:rsidRDefault="009D7B72" w:rsidP="009D7B72">
            <w:pPr>
              <w:keepNext/>
              <w:jc w:val="left"/>
              <w:rPr>
                <w:rFonts w:ascii="Arial Narrow" w:hAnsi="Arial Narrow"/>
                <w:b/>
                <w:sz w:val="20"/>
              </w:rPr>
            </w:pPr>
            <w:r w:rsidRPr="002B66AB">
              <w:rPr>
                <w:rFonts w:ascii="Arial Narrow" w:hAnsi="Arial Narrow"/>
                <w:b/>
                <w:sz w:val="20"/>
              </w:rPr>
              <w:t>Name, Restriction,</w:t>
            </w:r>
          </w:p>
          <w:p w:rsidR="009D7B72" w:rsidRPr="002B66AB" w:rsidRDefault="009D7B72" w:rsidP="009D7B72">
            <w:pPr>
              <w:keepNext/>
              <w:jc w:val="left"/>
              <w:rPr>
                <w:rFonts w:ascii="Arial Narrow" w:hAnsi="Arial Narrow"/>
                <w:b/>
                <w:sz w:val="20"/>
              </w:rPr>
            </w:pPr>
            <w:r w:rsidRPr="002B66AB">
              <w:rPr>
                <w:rFonts w:ascii="Arial Narrow" w:hAnsi="Arial Narrow"/>
                <w:b/>
                <w:sz w:val="20"/>
              </w:rPr>
              <w:t>Manner of administration and form</w:t>
            </w:r>
          </w:p>
        </w:tc>
        <w:tc>
          <w:tcPr>
            <w:tcW w:w="590" w:type="pct"/>
            <w:tcBorders>
              <w:top w:val="single" w:sz="4" w:space="0" w:color="auto"/>
              <w:bottom w:val="single" w:sz="4" w:space="0" w:color="auto"/>
            </w:tcBorders>
            <w:vAlign w:val="center"/>
          </w:tcPr>
          <w:p w:rsidR="009D7B72" w:rsidRPr="002B66AB" w:rsidRDefault="009D7B72" w:rsidP="009D7B72">
            <w:pPr>
              <w:keepNext/>
              <w:jc w:val="center"/>
              <w:rPr>
                <w:rFonts w:ascii="Arial Narrow" w:hAnsi="Arial Narrow"/>
                <w:b/>
                <w:sz w:val="20"/>
              </w:rPr>
            </w:pPr>
            <w:r w:rsidRPr="002B66AB">
              <w:rPr>
                <w:rFonts w:ascii="Arial Narrow" w:hAnsi="Arial Narrow"/>
                <w:b/>
                <w:sz w:val="20"/>
              </w:rPr>
              <w:t>Max.</w:t>
            </w:r>
          </w:p>
          <w:p w:rsidR="009D7B72" w:rsidRPr="002B66AB" w:rsidRDefault="009D7B72" w:rsidP="009D7B72">
            <w:pPr>
              <w:keepNext/>
              <w:jc w:val="center"/>
              <w:rPr>
                <w:rFonts w:ascii="Arial Narrow" w:hAnsi="Arial Narrow"/>
                <w:b/>
                <w:sz w:val="20"/>
              </w:rPr>
            </w:pPr>
            <w:r w:rsidRPr="002B66AB">
              <w:rPr>
                <w:rFonts w:ascii="Arial Narrow" w:hAnsi="Arial Narrow"/>
                <w:b/>
                <w:sz w:val="20"/>
              </w:rPr>
              <w:t xml:space="preserve">Qty </w:t>
            </w:r>
          </w:p>
        </w:tc>
        <w:tc>
          <w:tcPr>
            <w:tcW w:w="455" w:type="pct"/>
            <w:tcBorders>
              <w:top w:val="single" w:sz="4" w:space="0" w:color="auto"/>
              <w:bottom w:val="single" w:sz="4" w:space="0" w:color="auto"/>
            </w:tcBorders>
            <w:vAlign w:val="center"/>
          </w:tcPr>
          <w:p w:rsidR="009D7B72" w:rsidRPr="002B66AB" w:rsidRDefault="009D7B72" w:rsidP="009D7B72">
            <w:pPr>
              <w:keepNext/>
              <w:jc w:val="center"/>
              <w:rPr>
                <w:rFonts w:ascii="Arial Narrow" w:hAnsi="Arial Narrow"/>
                <w:b/>
                <w:sz w:val="20"/>
              </w:rPr>
            </w:pPr>
            <w:r w:rsidRPr="002B66AB">
              <w:rPr>
                <w:rFonts w:ascii="Arial Narrow" w:hAnsi="Arial Narrow" w:cs="Times New Roman"/>
                <w:b/>
                <w:sz w:val="20"/>
              </w:rPr>
              <w:t>№</w:t>
            </w:r>
            <w:r w:rsidRPr="002B66AB">
              <w:rPr>
                <w:rFonts w:ascii="Arial Narrow" w:hAnsi="Arial Narrow"/>
                <w:b/>
                <w:sz w:val="20"/>
              </w:rPr>
              <w:t>.of</w:t>
            </w:r>
          </w:p>
          <w:p w:rsidR="009D7B72" w:rsidRPr="002B66AB" w:rsidRDefault="009D7B72" w:rsidP="009D7B72">
            <w:pPr>
              <w:keepNext/>
              <w:jc w:val="center"/>
              <w:rPr>
                <w:rFonts w:ascii="Arial Narrow" w:hAnsi="Arial Narrow"/>
                <w:b/>
                <w:sz w:val="20"/>
              </w:rPr>
            </w:pPr>
            <w:r w:rsidRPr="002B66AB">
              <w:rPr>
                <w:rFonts w:ascii="Arial Narrow" w:hAnsi="Arial Narrow"/>
                <w:b/>
                <w:sz w:val="20"/>
              </w:rPr>
              <w:t>Rpts</w:t>
            </w:r>
          </w:p>
        </w:tc>
        <w:tc>
          <w:tcPr>
            <w:tcW w:w="828" w:type="pct"/>
            <w:tcBorders>
              <w:top w:val="single" w:sz="4" w:space="0" w:color="auto"/>
              <w:bottom w:val="single" w:sz="4" w:space="0" w:color="auto"/>
            </w:tcBorders>
            <w:vAlign w:val="center"/>
          </w:tcPr>
          <w:p w:rsidR="009D7B72" w:rsidRPr="002B66AB" w:rsidRDefault="009D7B72" w:rsidP="009D7B72">
            <w:pPr>
              <w:keepNext/>
              <w:jc w:val="center"/>
              <w:rPr>
                <w:rFonts w:ascii="Arial Narrow" w:hAnsi="Arial Narrow"/>
                <w:b/>
                <w:sz w:val="20"/>
              </w:rPr>
            </w:pPr>
            <w:r w:rsidRPr="002B66AB">
              <w:rPr>
                <w:rFonts w:ascii="Arial Narrow" w:hAnsi="Arial Narrow"/>
                <w:b/>
                <w:sz w:val="20"/>
              </w:rPr>
              <w:t xml:space="preserve">Dispensed Price for Max. Qty </w:t>
            </w:r>
          </w:p>
        </w:tc>
        <w:tc>
          <w:tcPr>
            <w:tcW w:w="1279" w:type="pct"/>
            <w:gridSpan w:val="2"/>
            <w:tcBorders>
              <w:top w:val="single" w:sz="4" w:space="0" w:color="auto"/>
              <w:bottom w:val="single" w:sz="4" w:space="0" w:color="auto"/>
            </w:tcBorders>
            <w:vAlign w:val="center"/>
          </w:tcPr>
          <w:p w:rsidR="009D7B72" w:rsidRPr="002B66AB" w:rsidRDefault="009D7B72" w:rsidP="009D7B72">
            <w:pPr>
              <w:keepNext/>
              <w:jc w:val="center"/>
              <w:rPr>
                <w:rFonts w:ascii="Arial Narrow" w:hAnsi="Arial Narrow"/>
                <w:b/>
                <w:sz w:val="20"/>
                <w:lang w:val="fr-FR"/>
              </w:rPr>
            </w:pPr>
            <w:r w:rsidRPr="002B66AB">
              <w:rPr>
                <w:rFonts w:ascii="Arial Narrow" w:hAnsi="Arial Narrow"/>
                <w:b/>
                <w:sz w:val="20"/>
              </w:rPr>
              <w:t>Proprietary Name and Manufacturer</w:t>
            </w:r>
          </w:p>
        </w:tc>
      </w:tr>
      <w:tr w:rsidR="002B66AB" w:rsidRPr="002B66AB" w:rsidTr="00B558F0">
        <w:trPr>
          <w:cantSplit/>
          <w:trHeight w:val="567"/>
        </w:trPr>
        <w:tc>
          <w:tcPr>
            <w:tcW w:w="1848" w:type="pct"/>
            <w:gridSpan w:val="2"/>
            <w:vAlign w:val="center"/>
          </w:tcPr>
          <w:p w:rsidR="009D7B72" w:rsidRPr="002B66AB" w:rsidRDefault="009D7B72" w:rsidP="009D7B72">
            <w:pPr>
              <w:keepNext/>
              <w:jc w:val="left"/>
              <w:rPr>
                <w:rFonts w:ascii="Arial Narrow" w:hAnsi="Arial Narrow"/>
                <w:sz w:val="20"/>
                <w:lang w:val="nn-NO"/>
              </w:rPr>
            </w:pPr>
            <w:r w:rsidRPr="002B66AB">
              <w:rPr>
                <w:rFonts w:ascii="Arial Narrow" w:hAnsi="Arial Narrow"/>
                <w:sz w:val="20"/>
                <w:lang w:val="nn-NO"/>
              </w:rPr>
              <w:t xml:space="preserve">lumacaftor 100 mg/ ivacaftor 125 mg </w:t>
            </w:r>
          </w:p>
          <w:p w:rsidR="009D7B72" w:rsidRPr="002B66AB" w:rsidRDefault="009D7B72" w:rsidP="009D7B72">
            <w:pPr>
              <w:keepNext/>
              <w:jc w:val="left"/>
              <w:rPr>
                <w:rFonts w:ascii="Arial Narrow" w:hAnsi="Arial Narrow"/>
                <w:sz w:val="20"/>
                <w:lang w:val="nn-NO"/>
              </w:rPr>
            </w:pPr>
            <w:r w:rsidRPr="002B66AB">
              <w:rPr>
                <w:rFonts w:ascii="Arial Narrow" w:hAnsi="Arial Narrow"/>
                <w:sz w:val="20"/>
                <w:lang w:val="nn-NO"/>
              </w:rPr>
              <w:t>tablets</w:t>
            </w:r>
          </w:p>
        </w:tc>
        <w:tc>
          <w:tcPr>
            <w:tcW w:w="590" w:type="pct"/>
            <w:vAlign w:val="center"/>
          </w:tcPr>
          <w:p w:rsidR="009D7B72" w:rsidRPr="002B66AB" w:rsidRDefault="009D7B72" w:rsidP="009D7B72">
            <w:pPr>
              <w:keepNext/>
              <w:jc w:val="center"/>
              <w:rPr>
                <w:rFonts w:ascii="Arial Narrow" w:hAnsi="Arial Narrow"/>
                <w:sz w:val="20"/>
              </w:rPr>
            </w:pPr>
            <w:r w:rsidRPr="002B66AB">
              <w:rPr>
                <w:rFonts w:ascii="Arial Narrow" w:hAnsi="Arial Narrow"/>
                <w:sz w:val="20"/>
              </w:rPr>
              <w:t>Pack containing 112 tablets</w:t>
            </w:r>
          </w:p>
        </w:tc>
        <w:tc>
          <w:tcPr>
            <w:tcW w:w="455" w:type="pct"/>
            <w:vAlign w:val="center"/>
          </w:tcPr>
          <w:p w:rsidR="009D7B72" w:rsidRPr="002B66AB" w:rsidRDefault="009D7B72" w:rsidP="009D7B72">
            <w:pPr>
              <w:keepNext/>
              <w:jc w:val="center"/>
              <w:rPr>
                <w:rFonts w:ascii="Arial Narrow" w:hAnsi="Arial Narrow"/>
                <w:sz w:val="20"/>
              </w:rPr>
            </w:pPr>
            <w:r w:rsidRPr="002B66AB">
              <w:rPr>
                <w:rFonts w:ascii="Arial Narrow" w:hAnsi="Arial Narrow"/>
                <w:sz w:val="20"/>
              </w:rPr>
              <w:t>5</w:t>
            </w:r>
          </w:p>
        </w:tc>
        <w:tc>
          <w:tcPr>
            <w:tcW w:w="828" w:type="pct"/>
            <w:vAlign w:val="center"/>
          </w:tcPr>
          <w:p w:rsidR="009D7B72" w:rsidRPr="002B66AB" w:rsidRDefault="009D7B72" w:rsidP="009D7B72">
            <w:pPr>
              <w:keepNext/>
              <w:jc w:val="center"/>
              <w:rPr>
                <w:rFonts w:ascii="Arial Narrow" w:hAnsi="Arial Narrow"/>
                <w:sz w:val="20"/>
              </w:rPr>
            </w:pPr>
            <w:r w:rsidRPr="002B66AB">
              <w:rPr>
                <w:rFonts w:ascii="Arial Narrow" w:hAnsi="Arial Narrow"/>
                <w:sz w:val="20"/>
              </w:rPr>
              <w:t>$</w:t>
            </w:r>
            <w:r w:rsidR="00D155AC">
              <w:rPr>
                <w:rFonts w:ascii="Arial Narrow" w:hAnsi="Arial Narrow"/>
                <w:noProof/>
                <w:color w:val="000000"/>
                <w:sz w:val="20"/>
                <w:highlight w:val="black"/>
              </w:rPr>
              <w:t>'''''''''''''''''</w:t>
            </w:r>
          </w:p>
        </w:tc>
        <w:tc>
          <w:tcPr>
            <w:tcW w:w="465" w:type="pct"/>
            <w:vAlign w:val="center"/>
          </w:tcPr>
          <w:p w:rsidR="009D7B72" w:rsidRPr="002B66AB" w:rsidRDefault="009D7B72" w:rsidP="009D7B72">
            <w:pPr>
              <w:keepNext/>
              <w:jc w:val="center"/>
              <w:rPr>
                <w:rFonts w:ascii="Arial Narrow" w:hAnsi="Arial Narrow"/>
                <w:sz w:val="20"/>
              </w:rPr>
            </w:pPr>
            <w:proofErr w:type="spellStart"/>
            <w:r w:rsidRPr="002B66AB">
              <w:rPr>
                <w:rFonts w:ascii="Arial Narrow" w:hAnsi="Arial Narrow"/>
                <w:sz w:val="20"/>
              </w:rPr>
              <w:t>Orkambi</w:t>
            </w:r>
            <w:proofErr w:type="spellEnd"/>
            <w:r w:rsidRPr="002B66AB">
              <w:rPr>
                <w:rFonts w:ascii="Arial Narrow" w:hAnsi="Arial Narrow"/>
                <w:sz w:val="20"/>
              </w:rPr>
              <w:t>™</w:t>
            </w:r>
          </w:p>
        </w:tc>
        <w:tc>
          <w:tcPr>
            <w:tcW w:w="814" w:type="pct"/>
            <w:vAlign w:val="center"/>
          </w:tcPr>
          <w:p w:rsidR="009D7B72" w:rsidRPr="002B66AB" w:rsidRDefault="009D7B72" w:rsidP="009D7B72">
            <w:pPr>
              <w:keepNext/>
              <w:jc w:val="center"/>
              <w:rPr>
                <w:rFonts w:ascii="Arial Narrow" w:hAnsi="Arial Narrow"/>
                <w:sz w:val="20"/>
              </w:rPr>
            </w:pPr>
            <w:r w:rsidRPr="002B66AB">
              <w:rPr>
                <w:rFonts w:ascii="Arial Narrow" w:hAnsi="Arial Narrow"/>
                <w:sz w:val="20"/>
              </w:rPr>
              <w:t>Vertex Pharmaceuticals (Australia) Pty Ltd</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Category/Program:</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Section 100 Highly Specialized Drug Program</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PBS indication:</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Treatment of cystic fibrosis in patients aged ≥2 years who are homozygous for the F508del mutation in the CFTR gene.</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Treatment phase:</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Initial</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Restriction:</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Authority Required</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Treatment criteria:</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Patients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AND</w:t>
            </w:r>
          </w:p>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Patient must be homozygous for the F508del mutation in the CFTR gene</w:t>
            </w:r>
          </w:p>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AND</w:t>
            </w:r>
          </w:p>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The treatment must be given concomitantly with standard therapy for this condition.</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Clinical criteria:</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Treatment of cystic fibrosis in patients who are homozygous for the F508del mutation in the CFTR gene.</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Population criteria:</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szCs w:val="24"/>
                <w:lang w:eastAsia="en-AU"/>
              </w:rPr>
            </w:pPr>
            <w:r w:rsidRPr="002B66AB">
              <w:rPr>
                <w:rFonts w:ascii="Arial Narrow" w:hAnsi="Arial Narrow" w:cs="Times New Roman"/>
                <w:snapToGrid/>
                <w:sz w:val="20"/>
                <w:szCs w:val="24"/>
                <w:lang w:eastAsia="en-AU"/>
              </w:rPr>
              <w:t>Patients must be aged ≥2 years.</w:t>
            </w:r>
          </w:p>
        </w:tc>
      </w:tr>
      <w:tr w:rsidR="002B66AB" w:rsidRPr="002B66AB" w:rsidTr="00B5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797" w:type="pct"/>
            <w:tcBorders>
              <w:top w:val="single" w:sz="4" w:space="0" w:color="auto"/>
              <w:left w:val="single" w:sz="4" w:space="0" w:color="auto"/>
              <w:bottom w:val="single" w:sz="4" w:space="0" w:color="auto"/>
              <w:right w:val="single" w:sz="4" w:space="0" w:color="auto"/>
            </w:tcBorders>
            <w:hideMark/>
          </w:tcPr>
          <w:p w:rsidR="009D7B72" w:rsidRPr="002B66AB" w:rsidRDefault="009D7B72" w:rsidP="009D7B72">
            <w:pPr>
              <w:widowControl/>
              <w:jc w:val="left"/>
              <w:rPr>
                <w:rFonts w:ascii="Arial Narrow" w:hAnsi="Arial Narrow" w:cs="Times New Roman"/>
                <w:snapToGrid/>
                <w:sz w:val="20"/>
                <w:lang w:eastAsia="en-AU"/>
              </w:rPr>
            </w:pPr>
            <w:r w:rsidRPr="002B66AB">
              <w:rPr>
                <w:rFonts w:ascii="Arial Narrow" w:hAnsi="Arial Narrow" w:cs="Times New Roman"/>
                <w:snapToGrid/>
                <w:sz w:val="20"/>
                <w:lang w:eastAsia="en-AU"/>
              </w:rPr>
              <w:t>Prescriber criteria:</w:t>
            </w:r>
          </w:p>
        </w:tc>
        <w:tc>
          <w:tcPr>
            <w:tcW w:w="4203" w:type="pct"/>
            <w:gridSpan w:val="6"/>
            <w:tcBorders>
              <w:top w:val="single" w:sz="4" w:space="0" w:color="auto"/>
              <w:left w:val="single" w:sz="4" w:space="0" w:color="auto"/>
              <w:bottom w:val="single" w:sz="4" w:space="0" w:color="auto"/>
              <w:right w:val="single" w:sz="4" w:space="0" w:color="auto"/>
            </w:tcBorders>
          </w:tcPr>
          <w:p w:rsidR="009D7B72" w:rsidRPr="002B66AB" w:rsidRDefault="009D7B72" w:rsidP="009D7B72">
            <w:pPr>
              <w:widowControl/>
              <w:jc w:val="left"/>
              <w:rPr>
                <w:rFonts w:ascii="Arial Narrow" w:hAnsi="Arial Narrow" w:cs="Times New Roman"/>
                <w:snapToGrid/>
                <w:sz w:val="20"/>
                <w:szCs w:val="24"/>
                <w:lang w:eastAsia="en-AU"/>
              </w:rPr>
            </w:pPr>
            <w:r w:rsidRPr="002B66AB">
              <w:rPr>
                <w:rFonts w:ascii="Arial Narrow" w:hAnsi="Arial Narrow" w:cs="Times New Roman"/>
                <w:snapToGrid/>
                <w:sz w:val="20"/>
                <w:szCs w:val="24"/>
                <w:lang w:eastAsia="en-AU"/>
              </w:rPr>
              <w:t>The authority application must be in writing and must include:</w:t>
            </w:r>
          </w:p>
          <w:p w:rsidR="009D7B72" w:rsidRPr="002B66AB" w:rsidRDefault="009D7B72" w:rsidP="009D7B72">
            <w:pPr>
              <w:widowControl/>
              <w:jc w:val="left"/>
              <w:rPr>
                <w:rFonts w:ascii="Arial Narrow" w:hAnsi="Arial Narrow" w:cs="Times New Roman"/>
                <w:snapToGrid/>
                <w:sz w:val="20"/>
                <w:szCs w:val="24"/>
                <w:lang w:eastAsia="en-AU"/>
              </w:rPr>
            </w:pPr>
            <w:r w:rsidRPr="002B66AB">
              <w:rPr>
                <w:rFonts w:ascii="Arial Narrow" w:hAnsi="Arial Narrow" w:cs="Times New Roman"/>
                <w:snapToGrid/>
                <w:sz w:val="20"/>
                <w:szCs w:val="24"/>
                <w:lang w:eastAsia="en-AU"/>
              </w:rPr>
              <w:t>(1) a completed authority prescription form; and</w:t>
            </w:r>
          </w:p>
          <w:p w:rsidR="009D7B72" w:rsidRPr="002B66AB" w:rsidRDefault="009D7B72" w:rsidP="009D7B72">
            <w:pPr>
              <w:widowControl/>
              <w:jc w:val="left"/>
              <w:rPr>
                <w:rFonts w:ascii="Arial Narrow" w:hAnsi="Arial Narrow" w:cs="Times New Roman"/>
                <w:snapToGrid/>
                <w:sz w:val="20"/>
                <w:szCs w:val="24"/>
                <w:lang w:eastAsia="en-AU"/>
              </w:rPr>
            </w:pPr>
            <w:r w:rsidRPr="002B66AB">
              <w:rPr>
                <w:rFonts w:ascii="Arial Narrow" w:hAnsi="Arial Narrow" w:cs="Times New Roman"/>
                <w:snapToGrid/>
                <w:sz w:val="20"/>
                <w:szCs w:val="24"/>
                <w:lang w:eastAsia="en-AU"/>
              </w:rPr>
              <w:t xml:space="preserve">(2) a completed Cystic Fibrosis </w:t>
            </w:r>
            <w:proofErr w:type="spellStart"/>
            <w:r w:rsidRPr="002B66AB">
              <w:rPr>
                <w:rFonts w:ascii="Arial Narrow" w:hAnsi="Arial Narrow" w:cs="Times New Roman"/>
                <w:snapToGrid/>
                <w:sz w:val="20"/>
                <w:szCs w:val="24"/>
                <w:lang w:eastAsia="en-AU"/>
              </w:rPr>
              <w:t>Lumacaftor</w:t>
            </w:r>
            <w:proofErr w:type="spellEnd"/>
            <w:r w:rsidRPr="002B66AB">
              <w:rPr>
                <w:rFonts w:ascii="Arial Narrow" w:hAnsi="Arial Narrow" w:cs="Times New Roman"/>
                <w:snapToGrid/>
                <w:sz w:val="20"/>
                <w:szCs w:val="24"/>
                <w:lang w:eastAsia="en-AU"/>
              </w:rPr>
              <w:t xml:space="preserve"> with </w:t>
            </w:r>
            <w:proofErr w:type="spellStart"/>
            <w:r w:rsidRPr="002B66AB">
              <w:rPr>
                <w:rFonts w:ascii="Arial Narrow" w:hAnsi="Arial Narrow" w:cs="Times New Roman"/>
                <w:snapToGrid/>
                <w:sz w:val="20"/>
                <w:szCs w:val="24"/>
                <w:lang w:eastAsia="en-AU"/>
              </w:rPr>
              <w:t>Ivacaftor</w:t>
            </w:r>
            <w:proofErr w:type="spellEnd"/>
            <w:r w:rsidRPr="002B66AB">
              <w:rPr>
                <w:rFonts w:ascii="Arial Narrow" w:hAnsi="Arial Narrow" w:cs="Times New Roman"/>
                <w:snapToGrid/>
                <w:sz w:val="20"/>
                <w:szCs w:val="24"/>
                <w:lang w:eastAsia="en-AU"/>
              </w:rPr>
              <w:t xml:space="preserve"> Authority Application Supporting Information Form; and</w:t>
            </w:r>
          </w:p>
          <w:p w:rsidR="009D7B72" w:rsidRPr="002B66AB" w:rsidRDefault="009D7B72" w:rsidP="009D7B72">
            <w:pPr>
              <w:widowControl/>
              <w:jc w:val="left"/>
              <w:rPr>
                <w:rFonts w:ascii="Arial Narrow" w:hAnsi="Arial Narrow" w:cs="Times New Roman"/>
                <w:snapToGrid/>
                <w:sz w:val="20"/>
                <w:szCs w:val="24"/>
                <w:lang w:eastAsia="en-AU"/>
              </w:rPr>
            </w:pPr>
            <w:r w:rsidRPr="002B66AB">
              <w:rPr>
                <w:rFonts w:ascii="Arial Narrow" w:hAnsi="Arial Narrow" w:cs="Times New Roman"/>
                <w:snapToGrid/>
                <w:sz w:val="20"/>
                <w:szCs w:val="24"/>
                <w:lang w:eastAsia="en-AU"/>
              </w:rPr>
              <w:t>(3) a signed patient acknowledgement; or an acknowledgement signed by a parent or authorized guardian; if applicable; and</w:t>
            </w:r>
          </w:p>
          <w:p w:rsidR="009D7B72" w:rsidRPr="002B66AB" w:rsidRDefault="009D7B72" w:rsidP="009D7B72">
            <w:pPr>
              <w:widowControl/>
              <w:jc w:val="left"/>
              <w:rPr>
                <w:rFonts w:ascii="Arial Narrow" w:hAnsi="Arial Narrow" w:cs="Times New Roman"/>
                <w:snapToGrid/>
                <w:sz w:val="20"/>
                <w:szCs w:val="24"/>
                <w:lang w:eastAsia="en-AU"/>
              </w:rPr>
            </w:pPr>
            <w:r w:rsidRPr="002B66AB">
              <w:rPr>
                <w:rFonts w:ascii="Arial Narrow" w:hAnsi="Arial Narrow" w:cs="Times New Roman"/>
                <w:snapToGrid/>
                <w:sz w:val="20"/>
                <w:szCs w:val="24"/>
                <w:lang w:eastAsia="en-AU"/>
              </w:rPr>
              <w:t>(4) a copy of the pathology report detailing the molecular testing for the patient being homozygous for the F508del mutation on the CFTR gene</w:t>
            </w:r>
          </w:p>
        </w:tc>
      </w:tr>
    </w:tbl>
    <w:p w:rsidR="009D7B72" w:rsidRPr="002B66AB" w:rsidRDefault="009D7B72" w:rsidP="009D7B72">
      <w:pPr>
        <w:rPr>
          <w:rFonts w:ascii="Arial Narrow" w:hAnsi="Arial Narrow"/>
          <w:sz w:val="18"/>
          <w:szCs w:val="18"/>
        </w:rPr>
      </w:pPr>
      <w:r w:rsidRPr="002B66AB">
        <w:rPr>
          <w:rFonts w:ascii="Arial Narrow" w:hAnsi="Arial Narrow"/>
          <w:sz w:val="18"/>
          <w:szCs w:val="18"/>
        </w:rPr>
        <w:t>Abbreviations: CFTR=Cystic Fibrosis transmembrane conductance regulator; PBS=</w:t>
      </w:r>
      <w:r w:rsidRPr="002B66AB">
        <w:t xml:space="preserve"> </w:t>
      </w:r>
      <w:r w:rsidRPr="002B66AB">
        <w:rPr>
          <w:rFonts w:ascii="Arial Narrow" w:hAnsi="Arial Narrow"/>
          <w:sz w:val="18"/>
          <w:szCs w:val="18"/>
        </w:rPr>
        <w:t>Pharmaceutical Benefits Scheme</w:t>
      </w:r>
    </w:p>
    <w:p w:rsidR="009D7B72" w:rsidRPr="002B66AB" w:rsidRDefault="009D7B72" w:rsidP="009D7B72">
      <w:pPr>
        <w:rPr>
          <w:rFonts w:ascii="Arial Narrow" w:hAnsi="Arial Narrow"/>
          <w:sz w:val="18"/>
          <w:szCs w:val="18"/>
        </w:rPr>
      </w:pPr>
      <w:r w:rsidRPr="002B66AB">
        <w:rPr>
          <w:rFonts w:ascii="Arial Narrow" w:hAnsi="Arial Narrow"/>
          <w:sz w:val="18"/>
          <w:szCs w:val="18"/>
        </w:rPr>
        <w:t xml:space="preserve">Source: Table 1.4.2, p.58 of the submission. </w:t>
      </w:r>
    </w:p>
    <w:bookmarkEnd w:id="0"/>
    <w:p w:rsidR="00444150" w:rsidRPr="002B66AB" w:rsidRDefault="00444150" w:rsidP="00F07269">
      <w:pPr>
        <w:rPr>
          <w:i/>
        </w:rPr>
      </w:pPr>
    </w:p>
    <w:p w:rsidR="005D162C" w:rsidRPr="00002990" w:rsidRDefault="005D162C" w:rsidP="00002990">
      <w:pPr>
        <w:rPr>
          <w:i/>
        </w:rPr>
      </w:pPr>
      <w:r w:rsidRPr="002B66AB">
        <w:rPr>
          <w:i/>
        </w:rPr>
        <w:t>For more detail on PBAC’s view, see section 7 PBAC outcome.</w:t>
      </w:r>
    </w:p>
    <w:p w:rsidR="004D2A05" w:rsidRPr="00002990" w:rsidRDefault="00EA40FE" w:rsidP="005E7B11">
      <w:pPr>
        <w:pStyle w:val="ListParagraph"/>
        <w:widowControl/>
        <w:numPr>
          <w:ilvl w:val="0"/>
          <w:numId w:val="45"/>
        </w:numPr>
        <w:spacing w:before="240" w:after="120"/>
        <w:ind w:hanging="720"/>
        <w:jc w:val="left"/>
        <w:outlineLvl w:val="0"/>
        <w:rPr>
          <w:rFonts w:asciiTheme="minorHAnsi" w:hAnsiTheme="minorHAnsi"/>
          <w:b/>
          <w:sz w:val="32"/>
          <w:szCs w:val="32"/>
        </w:rPr>
      </w:pPr>
      <w:bookmarkStart w:id="3" w:name="_Toc511665472"/>
      <w:r w:rsidRPr="003F465C">
        <w:rPr>
          <w:rFonts w:asciiTheme="minorHAnsi" w:hAnsiTheme="minorHAnsi"/>
          <w:b/>
          <w:sz w:val="32"/>
          <w:szCs w:val="32"/>
        </w:rPr>
        <w:t>Background</w:t>
      </w:r>
      <w:bookmarkEnd w:id="3"/>
    </w:p>
    <w:p w:rsidR="00EA40FE" w:rsidRPr="00002990" w:rsidRDefault="00EA40FE" w:rsidP="005E14E8">
      <w:pPr>
        <w:spacing w:before="240" w:after="120"/>
        <w:outlineLvl w:val="1"/>
        <w:rPr>
          <w:b/>
          <w:i/>
          <w:sz w:val="28"/>
          <w:szCs w:val="28"/>
        </w:rPr>
      </w:pPr>
      <w:r w:rsidRPr="002B66AB">
        <w:rPr>
          <w:b/>
          <w:i/>
          <w:sz w:val="28"/>
          <w:szCs w:val="28"/>
        </w:rPr>
        <w:t>Registration status</w:t>
      </w:r>
    </w:p>
    <w:p w:rsidR="009D7B72" w:rsidRPr="002B66AB" w:rsidRDefault="009D7B72" w:rsidP="00002990">
      <w:pPr>
        <w:pStyle w:val="ListParagraph"/>
        <w:numPr>
          <w:ilvl w:val="1"/>
          <w:numId w:val="45"/>
        </w:numPr>
        <w:ind w:hanging="720"/>
      </w:pPr>
      <w:r w:rsidRPr="002B66AB">
        <w:rPr>
          <w:rFonts w:eastAsia="Calibri"/>
          <w:b/>
        </w:rPr>
        <w:t>TGA status</w:t>
      </w:r>
      <w:r w:rsidR="005E7B11">
        <w:t xml:space="preserve">: </w:t>
      </w:r>
      <w:r w:rsidRPr="002B66AB">
        <w:t>The submission was made under TGA-PBAC Parallel Process. At the time of PBAC consideration, the TGA delegate had indicated an intention to approve for registration</w:t>
      </w:r>
      <w:r w:rsidR="00263CDE" w:rsidRPr="002B66AB">
        <w:t>,</w:t>
      </w:r>
      <w:r w:rsidRPr="002B66AB">
        <w:t xml:space="preserve"> subject to the sponsor committing to ‘facilitating the provision of long term efficacy and safety date from use in the Australian Health Care setting’.</w:t>
      </w:r>
    </w:p>
    <w:p w:rsidR="009D7B72" w:rsidRPr="002B66AB" w:rsidRDefault="009D7B72" w:rsidP="00002990">
      <w:pPr>
        <w:pStyle w:val="ListParagraph"/>
        <w:numPr>
          <w:ilvl w:val="1"/>
          <w:numId w:val="45"/>
        </w:numPr>
        <w:ind w:hanging="720"/>
      </w:pPr>
      <w:r w:rsidRPr="002B66AB">
        <w:t xml:space="preserve">At the time of submission to the PBAC, a TGA application had not been lodged for </w:t>
      </w:r>
      <w:proofErr w:type="spellStart"/>
      <w:r w:rsidRPr="002B66AB">
        <w:t>lumacaftor</w:t>
      </w:r>
      <w:proofErr w:type="spellEnd"/>
      <w:r w:rsidRPr="002B66AB">
        <w:t>/</w:t>
      </w:r>
      <w:proofErr w:type="spellStart"/>
      <w:r w:rsidRPr="002B66AB">
        <w:t>ivacaftor</w:t>
      </w:r>
      <w:proofErr w:type="spellEnd"/>
      <w:r w:rsidR="00263CDE" w:rsidRPr="002B66AB">
        <w:t xml:space="preserve"> </w:t>
      </w:r>
      <w:r w:rsidRPr="002B66AB">
        <w:t xml:space="preserve">in patients aged 2-5 years. </w:t>
      </w:r>
    </w:p>
    <w:p w:rsidR="00EA40FE" w:rsidRPr="00002990" w:rsidRDefault="00EA40FE" w:rsidP="005E14E8">
      <w:pPr>
        <w:widowControl/>
        <w:spacing w:before="240" w:after="120"/>
        <w:outlineLvl w:val="1"/>
        <w:rPr>
          <w:b/>
          <w:i/>
          <w:sz w:val="28"/>
          <w:szCs w:val="28"/>
        </w:rPr>
      </w:pPr>
      <w:r w:rsidRPr="002B66AB">
        <w:rPr>
          <w:b/>
          <w:i/>
          <w:sz w:val="28"/>
          <w:szCs w:val="28"/>
        </w:rPr>
        <w:lastRenderedPageBreak/>
        <w:t>Previous PBAC consideration</w:t>
      </w:r>
    </w:p>
    <w:p w:rsidR="000174A2" w:rsidRPr="002B66AB" w:rsidRDefault="00EA40FE" w:rsidP="00002990">
      <w:pPr>
        <w:pStyle w:val="ListParagraph"/>
        <w:numPr>
          <w:ilvl w:val="1"/>
          <w:numId w:val="45"/>
        </w:numPr>
        <w:ind w:hanging="720"/>
      </w:pPr>
      <w:r w:rsidRPr="002B66AB">
        <w:t>Th</w:t>
      </w:r>
      <w:r w:rsidR="000174A2" w:rsidRPr="002B66AB">
        <w:t xml:space="preserve">is is the first time the PBAC has considered a submission for </w:t>
      </w:r>
      <w:proofErr w:type="spellStart"/>
      <w:r w:rsidR="000174A2" w:rsidRPr="002B66AB">
        <w:t>lumacaftor</w:t>
      </w:r>
      <w:proofErr w:type="spellEnd"/>
      <w:r w:rsidR="000174A2" w:rsidRPr="002B66AB">
        <w:t>/</w:t>
      </w:r>
      <w:proofErr w:type="spellStart"/>
      <w:r w:rsidR="000174A2" w:rsidRPr="002B66AB">
        <w:t>ivacaftor</w:t>
      </w:r>
      <w:proofErr w:type="spellEnd"/>
      <w:r w:rsidR="000174A2" w:rsidRPr="002B66AB">
        <w:t xml:space="preserve"> for this age group.</w:t>
      </w:r>
      <w:r w:rsidRPr="002B66AB">
        <w:t xml:space="preserve"> </w:t>
      </w:r>
    </w:p>
    <w:p w:rsidR="005D162C" w:rsidRPr="002B66AB" w:rsidRDefault="000174A2" w:rsidP="00EA40FE">
      <w:pPr>
        <w:pStyle w:val="ListParagraph"/>
        <w:numPr>
          <w:ilvl w:val="1"/>
          <w:numId w:val="45"/>
        </w:numPr>
        <w:ind w:hanging="720"/>
      </w:pPr>
      <w:r w:rsidRPr="002B66AB">
        <w:t xml:space="preserve">The PBAC has considered submissions for </w:t>
      </w:r>
      <w:proofErr w:type="spellStart"/>
      <w:r w:rsidRPr="002B66AB">
        <w:t>lumacaftor</w:t>
      </w:r>
      <w:proofErr w:type="spellEnd"/>
      <w:r w:rsidRPr="002B66AB">
        <w:t>/</w:t>
      </w:r>
      <w:proofErr w:type="spellStart"/>
      <w:r w:rsidRPr="002B66AB">
        <w:t>ivacaftor</w:t>
      </w:r>
      <w:proofErr w:type="spellEnd"/>
      <w:r w:rsidRPr="002B66AB">
        <w:t xml:space="preserve"> for use in patie</w:t>
      </w:r>
      <w:r w:rsidR="00263CDE" w:rsidRPr="002B66AB">
        <w:t>nts aged 12 years and older on three</w:t>
      </w:r>
      <w:r w:rsidRPr="002B66AB">
        <w:t xml:space="preserve"> separate occasions.  The PBAC consider</w:t>
      </w:r>
      <w:r w:rsidR="00263CDE" w:rsidRPr="002B66AB">
        <w:t>e</w:t>
      </w:r>
      <w:r w:rsidRPr="002B66AB">
        <w:t>d a fo</w:t>
      </w:r>
      <w:r w:rsidR="00101203" w:rsidRPr="002B66AB">
        <w:t>u</w:t>
      </w:r>
      <w:r w:rsidRPr="002B66AB">
        <w:t xml:space="preserve">rth submission for </w:t>
      </w:r>
      <w:proofErr w:type="spellStart"/>
      <w:r w:rsidRPr="002B66AB">
        <w:t>lumacaftor</w:t>
      </w:r>
      <w:proofErr w:type="spellEnd"/>
      <w:r w:rsidRPr="002B66AB">
        <w:t>/</w:t>
      </w:r>
      <w:proofErr w:type="spellStart"/>
      <w:r w:rsidRPr="002B66AB">
        <w:t>ivacaftor</w:t>
      </w:r>
      <w:proofErr w:type="spellEnd"/>
      <w:r w:rsidRPr="002B66AB">
        <w:t xml:space="preserve"> </w:t>
      </w:r>
      <w:r w:rsidR="00263CDE" w:rsidRPr="002B66AB">
        <w:t xml:space="preserve">for the 12+ age group concurrently with this submission. </w:t>
      </w:r>
      <w:r w:rsidRPr="002B66AB">
        <w:t xml:space="preserve">See </w:t>
      </w:r>
      <w:r w:rsidR="00B203DA">
        <w:t>public summary document (PSD)</w:t>
      </w:r>
      <w:r w:rsidRPr="002B66AB">
        <w:t xml:space="preserve"> for item 7.10</w:t>
      </w:r>
      <w:r w:rsidR="00B203DA">
        <w:t xml:space="preserve"> from July 2018</w:t>
      </w:r>
      <w:r w:rsidRPr="002B66AB">
        <w:t>.</w:t>
      </w:r>
    </w:p>
    <w:p w:rsidR="00EA40FE" w:rsidRPr="003F465C" w:rsidRDefault="00EA40FE" w:rsidP="005E7B11">
      <w:pPr>
        <w:pStyle w:val="ListParagraph"/>
        <w:widowControl/>
        <w:numPr>
          <w:ilvl w:val="0"/>
          <w:numId w:val="45"/>
        </w:numPr>
        <w:spacing w:before="240" w:after="120"/>
        <w:ind w:hanging="720"/>
        <w:jc w:val="left"/>
        <w:outlineLvl w:val="0"/>
        <w:rPr>
          <w:rFonts w:asciiTheme="minorHAnsi" w:hAnsiTheme="minorHAnsi"/>
          <w:b/>
          <w:sz w:val="32"/>
          <w:szCs w:val="32"/>
        </w:rPr>
      </w:pPr>
      <w:bookmarkStart w:id="4" w:name="_Toc511665473"/>
      <w:r w:rsidRPr="003F465C">
        <w:rPr>
          <w:rFonts w:asciiTheme="minorHAnsi" w:hAnsiTheme="minorHAnsi"/>
          <w:b/>
          <w:sz w:val="32"/>
          <w:szCs w:val="32"/>
        </w:rPr>
        <w:t>Population and disease</w:t>
      </w:r>
      <w:bookmarkStart w:id="5" w:name="_GoBack"/>
      <w:bookmarkEnd w:id="4"/>
      <w:bookmarkEnd w:id="5"/>
    </w:p>
    <w:p w:rsidR="00C8772D" w:rsidRPr="002B66AB" w:rsidRDefault="00C8772D" w:rsidP="00002990">
      <w:pPr>
        <w:pStyle w:val="ListParagraph"/>
        <w:numPr>
          <w:ilvl w:val="1"/>
          <w:numId w:val="45"/>
        </w:numPr>
        <w:ind w:hanging="720"/>
      </w:pPr>
      <w:r w:rsidRPr="002B66AB">
        <w:t>CF is a rare, genetic, systemic disease caused by a mutation in the CFTR gene that encodes an epithelial chloride channel, the CFTR protein. The failure to regulate chloride transport in the lungs, pancreas, intestinal tract, biliary tract, sweat glands, and reproductive tract results in the multi-system pathology typically exhibited by children with CF early in life. Patients with CF are pancreatic insufficient from an early age. The most common mutation in Australia is F508</w:t>
      </w:r>
      <w:r w:rsidRPr="002B66AB">
        <w:rPr>
          <w:i/>
        </w:rPr>
        <w:t>del</w:t>
      </w:r>
      <w:r w:rsidRPr="002B66AB">
        <w:t xml:space="preserve"> (which results in deletion of phenylalanine in the CFTR protein), which is present in at least one allele in approximately 90% of CF patients. Approximately 50% of CF patients are homozygous for the F508</w:t>
      </w:r>
      <w:r w:rsidRPr="002B66AB">
        <w:rPr>
          <w:i/>
        </w:rPr>
        <w:t>del</w:t>
      </w:r>
      <w:r w:rsidRPr="002B66AB">
        <w:t xml:space="preserve"> mutation in Australia. </w:t>
      </w:r>
    </w:p>
    <w:p w:rsidR="00EA40FE" w:rsidRPr="003F465C" w:rsidRDefault="00EA40FE" w:rsidP="005E7B11">
      <w:pPr>
        <w:pStyle w:val="ListParagraph"/>
        <w:widowControl/>
        <w:numPr>
          <w:ilvl w:val="0"/>
          <w:numId w:val="45"/>
        </w:numPr>
        <w:spacing w:before="240" w:after="120"/>
        <w:ind w:hanging="720"/>
        <w:jc w:val="left"/>
        <w:outlineLvl w:val="0"/>
        <w:rPr>
          <w:rFonts w:asciiTheme="minorHAnsi" w:hAnsiTheme="minorHAnsi"/>
          <w:b/>
          <w:sz w:val="32"/>
          <w:szCs w:val="32"/>
        </w:rPr>
      </w:pPr>
      <w:bookmarkStart w:id="6" w:name="_Toc511665474"/>
      <w:r w:rsidRPr="003F465C">
        <w:rPr>
          <w:rFonts w:asciiTheme="minorHAnsi" w:hAnsiTheme="minorHAnsi"/>
          <w:b/>
          <w:sz w:val="32"/>
          <w:szCs w:val="32"/>
        </w:rPr>
        <w:t>Comparator</w:t>
      </w:r>
      <w:bookmarkEnd w:id="6"/>
    </w:p>
    <w:p w:rsidR="00C8772D" w:rsidRPr="002B66AB" w:rsidRDefault="00EA40FE" w:rsidP="00002990">
      <w:pPr>
        <w:pStyle w:val="ListParagraph"/>
        <w:numPr>
          <w:ilvl w:val="1"/>
          <w:numId w:val="45"/>
        </w:numPr>
        <w:ind w:hanging="720"/>
      </w:pPr>
      <w:r w:rsidRPr="002B66AB">
        <w:t xml:space="preserve">The </w:t>
      </w:r>
      <w:r w:rsidR="00C8772D" w:rsidRPr="002B66AB">
        <w:t>PBAC accepted best supportive care (BSC) as nominated by the submission, as the comparator. The PBAC previously accepted that BSC is the appropriate comparator for the 12+ population.</w:t>
      </w:r>
    </w:p>
    <w:p w:rsidR="00EA40FE" w:rsidRPr="003F465C" w:rsidRDefault="00EA40FE" w:rsidP="005E7B11">
      <w:pPr>
        <w:pStyle w:val="ListParagraph"/>
        <w:widowControl/>
        <w:numPr>
          <w:ilvl w:val="0"/>
          <w:numId w:val="45"/>
        </w:numPr>
        <w:spacing w:before="240" w:after="120"/>
        <w:ind w:hanging="720"/>
        <w:jc w:val="left"/>
        <w:outlineLvl w:val="0"/>
        <w:rPr>
          <w:rFonts w:asciiTheme="minorHAnsi" w:hAnsiTheme="minorHAnsi"/>
          <w:b/>
          <w:sz w:val="32"/>
          <w:szCs w:val="32"/>
        </w:rPr>
      </w:pPr>
      <w:bookmarkStart w:id="7" w:name="_Toc511665475"/>
      <w:r w:rsidRPr="003F465C">
        <w:rPr>
          <w:rFonts w:asciiTheme="minorHAnsi" w:hAnsiTheme="minorHAnsi"/>
          <w:b/>
          <w:sz w:val="32"/>
          <w:szCs w:val="32"/>
        </w:rPr>
        <w:t>Consideration of the evidence</w:t>
      </w:r>
      <w:bookmarkEnd w:id="7"/>
    </w:p>
    <w:p w:rsidR="009A77E5" w:rsidRPr="002B66AB" w:rsidRDefault="009A77E5" w:rsidP="005E7B11">
      <w:pPr>
        <w:spacing w:before="240" w:after="120" w:line="276" w:lineRule="auto"/>
        <w:outlineLvl w:val="1"/>
        <w:rPr>
          <w:rFonts w:asciiTheme="minorHAnsi" w:hAnsiTheme="minorHAnsi"/>
          <w:b/>
          <w:bCs/>
          <w:i/>
          <w:sz w:val="28"/>
          <w:szCs w:val="28"/>
          <w:lang w:eastAsia="en-AU"/>
        </w:rPr>
      </w:pPr>
      <w:r w:rsidRPr="002B66AB">
        <w:rPr>
          <w:rFonts w:asciiTheme="minorHAnsi" w:hAnsiTheme="minorHAnsi"/>
          <w:b/>
          <w:bCs/>
          <w:i/>
          <w:sz w:val="28"/>
          <w:szCs w:val="28"/>
          <w:lang w:eastAsia="en-AU"/>
        </w:rPr>
        <w:t>Sponsor hearing</w:t>
      </w:r>
    </w:p>
    <w:p w:rsidR="00C8772D" w:rsidRPr="002B66AB" w:rsidRDefault="00C8772D" w:rsidP="00002990">
      <w:pPr>
        <w:pStyle w:val="ListParagraph"/>
        <w:numPr>
          <w:ilvl w:val="1"/>
          <w:numId w:val="45"/>
        </w:numPr>
        <w:ind w:hanging="720"/>
        <w:rPr>
          <w:rFonts w:asciiTheme="minorHAnsi" w:hAnsiTheme="minorHAnsi" w:cstheme="minorHAnsi"/>
          <w:snapToGrid/>
          <w:szCs w:val="24"/>
          <w:lang w:eastAsia="en-AU"/>
        </w:rPr>
      </w:pPr>
      <w:bookmarkStart w:id="8" w:name="_Toc492390269"/>
      <w:bookmarkStart w:id="9" w:name="_Toc511665476"/>
      <w:r w:rsidRPr="00002990">
        <w:t>The</w:t>
      </w:r>
      <w:r w:rsidRPr="002B66AB">
        <w:rPr>
          <w:rFonts w:asciiTheme="minorHAnsi" w:hAnsiTheme="minorHAnsi" w:cstheme="minorHAnsi"/>
          <w:bCs/>
          <w:szCs w:val="24"/>
          <w:lang w:eastAsia="en-AU"/>
        </w:rPr>
        <w:t xml:space="preserve"> sponsor requested a combined hearing for both </w:t>
      </w:r>
      <w:proofErr w:type="spellStart"/>
      <w:r w:rsidRPr="002B66AB">
        <w:rPr>
          <w:rFonts w:asciiTheme="minorHAnsi" w:hAnsiTheme="minorHAnsi" w:cstheme="minorHAnsi"/>
          <w:bCs/>
          <w:szCs w:val="24"/>
          <w:lang w:eastAsia="en-AU"/>
        </w:rPr>
        <w:t>lumacaftor</w:t>
      </w:r>
      <w:proofErr w:type="spellEnd"/>
      <w:r w:rsidRPr="002B66AB">
        <w:rPr>
          <w:rFonts w:asciiTheme="minorHAnsi" w:hAnsiTheme="minorHAnsi" w:cstheme="minorHAnsi"/>
          <w:bCs/>
          <w:szCs w:val="24"/>
          <w:lang w:eastAsia="en-AU"/>
        </w:rPr>
        <w:t xml:space="preserve"> with </w:t>
      </w:r>
      <w:proofErr w:type="spellStart"/>
      <w:r w:rsidRPr="002B66AB">
        <w:rPr>
          <w:rFonts w:asciiTheme="minorHAnsi" w:hAnsiTheme="minorHAnsi" w:cstheme="minorHAnsi"/>
          <w:bCs/>
          <w:szCs w:val="24"/>
          <w:lang w:eastAsia="en-AU"/>
        </w:rPr>
        <w:t>ivacaftor</w:t>
      </w:r>
      <w:proofErr w:type="spellEnd"/>
      <w:r w:rsidRPr="002B66AB">
        <w:rPr>
          <w:rFonts w:asciiTheme="minorHAnsi" w:hAnsiTheme="minorHAnsi" w:cstheme="minorHAnsi"/>
          <w:bCs/>
          <w:szCs w:val="24"/>
          <w:lang w:eastAsia="en-AU"/>
        </w:rPr>
        <w:t xml:space="preserve"> submissions (patients aged 6 – 11 years [item 5.08] and patients aged 12 years and o</w:t>
      </w:r>
      <w:r w:rsidRPr="002B66AB">
        <w:rPr>
          <w:rFonts w:asciiTheme="minorHAnsi" w:hAnsiTheme="minorHAnsi" w:cstheme="minorHAnsi"/>
          <w:bCs/>
          <w:snapToGrid/>
          <w:szCs w:val="24"/>
          <w:lang w:eastAsia="en-AU"/>
        </w:rPr>
        <w:t>lder</w:t>
      </w:r>
      <w:r w:rsidRPr="002B66AB">
        <w:rPr>
          <w:rFonts w:asciiTheme="minorHAnsi" w:hAnsiTheme="minorHAnsi" w:cstheme="minorHAnsi"/>
          <w:bCs/>
          <w:szCs w:val="24"/>
          <w:lang w:eastAsia="en-AU"/>
        </w:rPr>
        <w:t xml:space="preserve"> – [item 7.10]). The presentation focussed predominantly on treatment outcomes in younger patients (aged 6 - 11 years); however, the clinician noted the benefits of treatment with </w:t>
      </w:r>
      <w:proofErr w:type="spellStart"/>
      <w:r w:rsidRPr="002B66AB">
        <w:rPr>
          <w:rFonts w:asciiTheme="minorHAnsi" w:hAnsiTheme="minorHAnsi" w:cstheme="minorHAnsi"/>
          <w:bCs/>
          <w:szCs w:val="24"/>
          <w:lang w:eastAsia="en-AU"/>
        </w:rPr>
        <w:t>lumacaftor</w:t>
      </w:r>
      <w:proofErr w:type="spellEnd"/>
      <w:r w:rsidRPr="002B66AB">
        <w:rPr>
          <w:rFonts w:asciiTheme="minorHAnsi" w:hAnsiTheme="minorHAnsi" w:cstheme="minorHAnsi"/>
          <w:bCs/>
          <w:szCs w:val="24"/>
          <w:lang w:eastAsia="en-AU"/>
        </w:rPr>
        <w:t>/</w:t>
      </w:r>
      <w:proofErr w:type="spellStart"/>
      <w:r w:rsidRPr="002B66AB">
        <w:rPr>
          <w:rFonts w:asciiTheme="minorHAnsi" w:hAnsiTheme="minorHAnsi" w:cstheme="minorHAnsi"/>
          <w:bCs/>
          <w:szCs w:val="24"/>
          <w:lang w:eastAsia="en-AU"/>
        </w:rPr>
        <w:t>ivacaftor</w:t>
      </w:r>
      <w:proofErr w:type="spellEnd"/>
      <w:r w:rsidRPr="002B66AB">
        <w:rPr>
          <w:rFonts w:asciiTheme="minorHAnsi" w:hAnsiTheme="minorHAnsi" w:cstheme="minorHAnsi"/>
          <w:bCs/>
          <w:szCs w:val="24"/>
          <w:lang w:eastAsia="en-AU"/>
        </w:rPr>
        <w:t xml:space="preserve"> in both age groups. The clinician stressed the importance of early treatment in CF to prevent or delay lung damage and </w:t>
      </w:r>
      <w:r w:rsidRPr="002B66AB">
        <w:rPr>
          <w:rFonts w:asciiTheme="minorHAnsi" w:hAnsiTheme="minorHAnsi" w:cstheme="minorHAnsi"/>
          <w:snapToGrid/>
          <w:szCs w:val="24"/>
          <w:lang w:eastAsia="en-AU"/>
        </w:rPr>
        <w:t xml:space="preserve">reduce the rate of decline in lung function; </w:t>
      </w:r>
      <w:r w:rsidR="000E11BF">
        <w:rPr>
          <w:rFonts w:asciiTheme="minorHAnsi" w:hAnsiTheme="minorHAnsi" w:cstheme="minorHAnsi"/>
          <w:snapToGrid/>
          <w:szCs w:val="24"/>
          <w:lang w:eastAsia="en-AU"/>
        </w:rPr>
        <w:t>noting that l</w:t>
      </w:r>
      <w:r w:rsidR="00880267">
        <w:rPr>
          <w:rFonts w:asciiTheme="minorHAnsi" w:hAnsiTheme="minorHAnsi" w:cstheme="minorHAnsi"/>
          <w:snapToGrid/>
          <w:szCs w:val="24"/>
          <w:lang w:eastAsia="en-AU"/>
        </w:rPr>
        <w:t xml:space="preserve">ung function declines over time, </w:t>
      </w:r>
      <w:r w:rsidR="000E11BF">
        <w:rPr>
          <w:rFonts w:asciiTheme="minorHAnsi" w:hAnsiTheme="minorHAnsi" w:cstheme="minorHAnsi"/>
          <w:snapToGrid/>
          <w:szCs w:val="24"/>
          <w:lang w:eastAsia="en-AU"/>
        </w:rPr>
        <w:t>particularly</w:t>
      </w:r>
      <w:r w:rsidR="00880267">
        <w:rPr>
          <w:rFonts w:asciiTheme="minorHAnsi" w:hAnsiTheme="minorHAnsi" w:cstheme="minorHAnsi"/>
          <w:snapToGrid/>
          <w:szCs w:val="24"/>
          <w:lang w:eastAsia="en-AU"/>
        </w:rPr>
        <w:t xml:space="preserve"> </w:t>
      </w:r>
      <w:r w:rsidR="000E11BF">
        <w:rPr>
          <w:rFonts w:asciiTheme="minorHAnsi" w:hAnsiTheme="minorHAnsi" w:cstheme="minorHAnsi"/>
          <w:snapToGrid/>
          <w:szCs w:val="24"/>
          <w:lang w:eastAsia="en-AU"/>
        </w:rPr>
        <w:t>beyond the age of 10</w:t>
      </w:r>
      <w:r w:rsidR="00880267">
        <w:rPr>
          <w:rFonts w:asciiTheme="minorHAnsi" w:hAnsiTheme="minorHAnsi" w:cstheme="minorHAnsi"/>
          <w:snapToGrid/>
          <w:szCs w:val="24"/>
          <w:lang w:eastAsia="en-AU"/>
        </w:rPr>
        <w:t>,</w:t>
      </w:r>
      <w:r w:rsidR="000E11BF">
        <w:rPr>
          <w:rFonts w:asciiTheme="minorHAnsi" w:hAnsiTheme="minorHAnsi" w:cstheme="minorHAnsi"/>
          <w:snapToGrid/>
          <w:szCs w:val="24"/>
          <w:lang w:eastAsia="en-AU"/>
        </w:rPr>
        <w:t xml:space="preserve"> and that changes that occur to the lungs between the ages of 5 – 12 can be reversible. The clinician considered that the </w:t>
      </w:r>
      <w:r w:rsidR="00880267">
        <w:rPr>
          <w:rFonts w:asciiTheme="minorHAnsi" w:hAnsiTheme="minorHAnsi" w:cstheme="minorHAnsi"/>
          <w:snapToGrid/>
          <w:szCs w:val="24"/>
          <w:lang w:eastAsia="en-AU"/>
        </w:rPr>
        <w:t>Lung Clearance Index (LCI) was a useful outcome measure that allows changes to be observed in early lung disease and in response to a question from the PBAC</w:t>
      </w:r>
      <w:r w:rsidR="009E1C3C">
        <w:rPr>
          <w:rFonts w:asciiTheme="minorHAnsi" w:hAnsiTheme="minorHAnsi" w:cstheme="minorHAnsi"/>
          <w:snapToGrid/>
          <w:szCs w:val="24"/>
          <w:lang w:eastAsia="en-AU"/>
        </w:rPr>
        <w:t xml:space="preserve">, </w:t>
      </w:r>
      <w:r w:rsidR="00880267">
        <w:rPr>
          <w:rFonts w:asciiTheme="minorHAnsi" w:hAnsiTheme="minorHAnsi" w:cstheme="minorHAnsi"/>
          <w:snapToGrid/>
          <w:szCs w:val="24"/>
          <w:lang w:eastAsia="en-AU"/>
        </w:rPr>
        <w:t xml:space="preserve">indicated that a 15% change in LCI was thought to be clinically </w:t>
      </w:r>
      <w:r w:rsidR="009E1C3C">
        <w:rPr>
          <w:rFonts w:asciiTheme="minorHAnsi" w:hAnsiTheme="minorHAnsi" w:cstheme="minorHAnsi"/>
          <w:snapToGrid/>
          <w:szCs w:val="24"/>
          <w:lang w:eastAsia="en-AU"/>
        </w:rPr>
        <w:t>meaningful</w:t>
      </w:r>
      <w:r w:rsidR="00880267">
        <w:rPr>
          <w:rFonts w:asciiTheme="minorHAnsi" w:hAnsiTheme="minorHAnsi" w:cstheme="minorHAnsi"/>
          <w:snapToGrid/>
          <w:szCs w:val="24"/>
          <w:lang w:eastAsia="en-AU"/>
        </w:rPr>
        <w:t xml:space="preserve">. The PBAC noted that </w:t>
      </w:r>
      <w:r w:rsidR="00CB0423">
        <w:rPr>
          <w:rFonts w:asciiTheme="minorHAnsi" w:hAnsiTheme="minorHAnsi" w:cstheme="minorHAnsi"/>
          <w:snapToGrid/>
          <w:szCs w:val="24"/>
          <w:lang w:eastAsia="en-AU"/>
        </w:rPr>
        <w:t xml:space="preserve">the absolute change in LCI observed in Study 109 </w:t>
      </w:r>
      <w:r w:rsidR="00EE48A9">
        <w:rPr>
          <w:rFonts w:asciiTheme="minorHAnsi" w:hAnsiTheme="minorHAnsi" w:cstheme="minorHAnsi"/>
          <w:snapToGrid/>
          <w:szCs w:val="24"/>
          <w:lang w:eastAsia="en-AU"/>
        </w:rPr>
        <w:t xml:space="preserve">(10%) </w:t>
      </w:r>
      <w:r w:rsidR="00CB0423">
        <w:rPr>
          <w:rFonts w:asciiTheme="minorHAnsi" w:hAnsiTheme="minorHAnsi" w:cstheme="minorHAnsi"/>
          <w:snapToGrid/>
          <w:szCs w:val="24"/>
          <w:lang w:eastAsia="en-AU"/>
        </w:rPr>
        <w:t>was less than 15%</w:t>
      </w:r>
      <w:r w:rsidR="00EE48A9">
        <w:rPr>
          <w:rFonts w:asciiTheme="minorHAnsi" w:hAnsiTheme="minorHAnsi" w:cstheme="minorHAnsi"/>
          <w:snapToGrid/>
          <w:szCs w:val="24"/>
          <w:lang w:eastAsia="en-AU"/>
        </w:rPr>
        <w:t xml:space="preserve">. </w:t>
      </w:r>
    </w:p>
    <w:p w:rsidR="00C8772D" w:rsidRPr="002B66AB" w:rsidRDefault="00C8772D" w:rsidP="00002990">
      <w:pPr>
        <w:pStyle w:val="ListParagraph"/>
        <w:numPr>
          <w:ilvl w:val="1"/>
          <w:numId w:val="45"/>
        </w:numPr>
        <w:ind w:hanging="720"/>
        <w:rPr>
          <w:rFonts w:asciiTheme="minorHAnsi" w:hAnsiTheme="minorHAnsi" w:cstheme="minorHAnsi"/>
          <w:snapToGrid/>
          <w:szCs w:val="24"/>
          <w:lang w:eastAsia="en-AU"/>
        </w:rPr>
      </w:pPr>
      <w:r w:rsidRPr="002B66AB">
        <w:rPr>
          <w:rFonts w:asciiTheme="minorHAnsi" w:hAnsiTheme="minorHAnsi" w:cstheme="minorHAnsi"/>
          <w:snapToGrid/>
          <w:szCs w:val="24"/>
          <w:lang w:eastAsia="en-AU"/>
        </w:rPr>
        <w:lastRenderedPageBreak/>
        <w:t>In response to a question from the PBAC in relation to the availability of data on</w:t>
      </w:r>
      <w:r w:rsidR="006D3154" w:rsidRPr="002B66AB">
        <w:rPr>
          <w:rFonts w:asciiTheme="minorHAnsi" w:hAnsiTheme="minorHAnsi" w:cstheme="minorHAnsi"/>
          <w:snapToGrid/>
          <w:szCs w:val="24"/>
          <w:lang w:eastAsia="en-AU"/>
        </w:rPr>
        <w:t xml:space="preserve"> the use of </w:t>
      </w:r>
      <w:proofErr w:type="spellStart"/>
      <w:r w:rsidR="006D3154" w:rsidRPr="002B66AB">
        <w:rPr>
          <w:rFonts w:asciiTheme="minorHAnsi" w:hAnsiTheme="minorHAnsi" w:cstheme="minorHAnsi"/>
          <w:snapToGrid/>
          <w:szCs w:val="24"/>
          <w:lang w:eastAsia="en-AU"/>
        </w:rPr>
        <w:t>lumacaftor</w:t>
      </w:r>
      <w:proofErr w:type="spellEnd"/>
      <w:r w:rsidR="006D3154" w:rsidRPr="002B66AB">
        <w:rPr>
          <w:rFonts w:asciiTheme="minorHAnsi" w:hAnsiTheme="minorHAnsi" w:cstheme="minorHAnsi"/>
          <w:snapToGrid/>
          <w:szCs w:val="24"/>
          <w:lang w:eastAsia="en-AU"/>
        </w:rPr>
        <w:t>/</w:t>
      </w:r>
      <w:proofErr w:type="spellStart"/>
      <w:r w:rsidR="006D3154" w:rsidRPr="002B66AB">
        <w:rPr>
          <w:rFonts w:asciiTheme="minorHAnsi" w:hAnsiTheme="minorHAnsi" w:cstheme="minorHAnsi"/>
          <w:snapToGrid/>
          <w:szCs w:val="24"/>
          <w:lang w:eastAsia="en-AU"/>
        </w:rPr>
        <w:t>ivacaftor</w:t>
      </w:r>
      <w:proofErr w:type="spellEnd"/>
      <w:r w:rsidR="006D3154" w:rsidRPr="002B66AB">
        <w:rPr>
          <w:rFonts w:asciiTheme="minorHAnsi" w:hAnsiTheme="minorHAnsi" w:cstheme="minorHAnsi"/>
          <w:snapToGrid/>
          <w:szCs w:val="24"/>
          <w:lang w:eastAsia="en-AU"/>
        </w:rPr>
        <w:t xml:space="preserve"> </w:t>
      </w:r>
      <w:r w:rsidRPr="002B66AB">
        <w:rPr>
          <w:rFonts w:asciiTheme="minorHAnsi" w:hAnsiTheme="minorHAnsi" w:cstheme="minorHAnsi"/>
          <w:snapToGrid/>
          <w:szCs w:val="24"/>
          <w:lang w:eastAsia="en-AU"/>
        </w:rPr>
        <w:t>for periods of longer than 24 weeks, the clinician indicated that</w:t>
      </w:r>
      <w:r w:rsidR="006D3154" w:rsidRPr="002B66AB">
        <w:rPr>
          <w:rFonts w:asciiTheme="minorHAnsi" w:hAnsiTheme="minorHAnsi" w:cstheme="minorHAnsi"/>
          <w:snapToGrid/>
          <w:szCs w:val="24"/>
          <w:lang w:eastAsia="en-AU"/>
        </w:rPr>
        <w:t xml:space="preserve"> such</w:t>
      </w:r>
      <w:r w:rsidRPr="002B66AB">
        <w:rPr>
          <w:rFonts w:asciiTheme="minorHAnsi" w:hAnsiTheme="minorHAnsi" w:cstheme="minorHAnsi"/>
          <w:snapToGrid/>
          <w:szCs w:val="24"/>
          <w:lang w:eastAsia="en-AU"/>
        </w:rPr>
        <w:t xml:space="preserve"> data w</w:t>
      </w:r>
      <w:r w:rsidR="006D3154" w:rsidRPr="002B66AB">
        <w:rPr>
          <w:rFonts w:asciiTheme="minorHAnsi" w:hAnsiTheme="minorHAnsi" w:cstheme="minorHAnsi"/>
          <w:snapToGrid/>
          <w:szCs w:val="24"/>
          <w:lang w:eastAsia="en-AU"/>
        </w:rPr>
        <w:t>ere</w:t>
      </w:r>
      <w:r w:rsidRPr="002B66AB">
        <w:rPr>
          <w:rFonts w:asciiTheme="minorHAnsi" w:hAnsiTheme="minorHAnsi" w:cstheme="minorHAnsi"/>
          <w:snapToGrid/>
          <w:szCs w:val="24"/>
          <w:lang w:eastAsia="en-AU"/>
        </w:rPr>
        <w:t xml:space="preserve"> now available.  </w:t>
      </w:r>
    </w:p>
    <w:p w:rsidR="00E7641D" w:rsidRPr="002B66AB" w:rsidRDefault="009A77E5" w:rsidP="00002990">
      <w:pPr>
        <w:pStyle w:val="ListParagraph"/>
        <w:numPr>
          <w:ilvl w:val="1"/>
          <w:numId w:val="45"/>
        </w:numPr>
        <w:ind w:hanging="720"/>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The </w:t>
      </w:r>
      <w:r w:rsidR="00E7641D" w:rsidRPr="002B66AB">
        <w:rPr>
          <w:rFonts w:asciiTheme="minorHAnsi" w:hAnsiTheme="minorHAnsi" w:cstheme="minorHAnsi"/>
          <w:snapToGrid/>
          <w:szCs w:val="24"/>
          <w:lang w:eastAsia="en-AU"/>
        </w:rPr>
        <w:t>PBAC noted that a 96 week open label extension study (Study VX15-809-110</w:t>
      </w:r>
      <w:r w:rsidR="006D3154" w:rsidRPr="002B66AB">
        <w:rPr>
          <w:rFonts w:asciiTheme="minorHAnsi" w:hAnsiTheme="minorHAnsi" w:cstheme="minorHAnsi"/>
          <w:snapToGrid/>
          <w:szCs w:val="24"/>
          <w:lang w:eastAsia="en-AU"/>
        </w:rPr>
        <w:t>,</w:t>
      </w:r>
      <w:r w:rsidR="00E7641D" w:rsidRPr="002B66AB">
        <w:rPr>
          <w:rFonts w:asciiTheme="minorHAnsi" w:hAnsiTheme="minorHAnsi" w:cstheme="minorHAnsi"/>
          <w:snapToGrid/>
          <w:szCs w:val="24"/>
          <w:lang w:eastAsia="en-AU"/>
        </w:rPr>
        <w:t xml:space="preserve"> also referred to as Study 110) in 6 – 11 year olds is </w:t>
      </w:r>
      <w:r w:rsidR="006D3154" w:rsidRPr="002B66AB">
        <w:rPr>
          <w:rFonts w:asciiTheme="minorHAnsi" w:hAnsiTheme="minorHAnsi" w:cstheme="minorHAnsi"/>
          <w:snapToGrid/>
          <w:szCs w:val="24"/>
          <w:lang w:eastAsia="en-AU"/>
        </w:rPr>
        <w:t>underway</w:t>
      </w:r>
      <w:r w:rsidR="00E7641D" w:rsidRPr="002B66AB">
        <w:rPr>
          <w:rFonts w:asciiTheme="minorHAnsi" w:hAnsiTheme="minorHAnsi" w:cstheme="minorHAnsi"/>
          <w:snapToGrid/>
          <w:szCs w:val="24"/>
          <w:lang w:eastAsia="en-AU"/>
        </w:rPr>
        <w:t>, and that preliminary data from that study was presented at the 31st Annual North American Cystic Fibrosis Conference, Indianapolis, Indiana, November 2-4, 2017 (</w:t>
      </w:r>
      <w:proofErr w:type="spellStart"/>
      <w:r w:rsidR="00E7641D" w:rsidRPr="002B66AB">
        <w:rPr>
          <w:rFonts w:asciiTheme="minorHAnsi" w:hAnsiTheme="minorHAnsi" w:cstheme="minorHAnsi"/>
          <w:snapToGrid/>
          <w:szCs w:val="24"/>
          <w:lang w:eastAsia="en-AU"/>
        </w:rPr>
        <w:t>Chilvers</w:t>
      </w:r>
      <w:proofErr w:type="spellEnd"/>
      <w:r w:rsidR="00E7641D" w:rsidRPr="002B66AB">
        <w:rPr>
          <w:rFonts w:asciiTheme="minorHAnsi" w:hAnsiTheme="minorHAnsi" w:cstheme="minorHAnsi"/>
          <w:snapToGrid/>
          <w:szCs w:val="24"/>
          <w:lang w:eastAsia="en-AU"/>
        </w:rPr>
        <w:t xml:space="preserve"> M 2017</w:t>
      </w:r>
      <w:r w:rsidR="00F2021A" w:rsidRPr="002B66AB">
        <w:rPr>
          <w:rStyle w:val="FootnoteReference"/>
          <w:rFonts w:asciiTheme="minorHAnsi" w:hAnsiTheme="minorHAnsi" w:cstheme="minorHAnsi"/>
          <w:snapToGrid/>
          <w:szCs w:val="24"/>
          <w:lang w:eastAsia="en-AU"/>
        </w:rPr>
        <w:footnoteReference w:id="1"/>
      </w:r>
      <w:r w:rsidR="00E7641D" w:rsidRPr="002B66AB">
        <w:rPr>
          <w:rFonts w:asciiTheme="minorHAnsi" w:hAnsiTheme="minorHAnsi" w:cstheme="minorHAnsi"/>
          <w:snapToGrid/>
          <w:szCs w:val="24"/>
          <w:lang w:eastAsia="en-AU"/>
        </w:rPr>
        <w:t xml:space="preserve">, PBAC </w:t>
      </w:r>
      <w:r w:rsidR="006D3154" w:rsidRPr="002B66AB">
        <w:rPr>
          <w:rFonts w:asciiTheme="minorHAnsi" w:hAnsiTheme="minorHAnsi" w:cstheme="minorHAnsi"/>
          <w:snapToGrid/>
          <w:szCs w:val="24"/>
          <w:lang w:eastAsia="en-AU"/>
        </w:rPr>
        <w:t>July 2018 S</w:t>
      </w:r>
      <w:r w:rsidR="00E7641D" w:rsidRPr="002B66AB">
        <w:rPr>
          <w:rFonts w:asciiTheme="minorHAnsi" w:hAnsiTheme="minorHAnsi" w:cstheme="minorHAnsi"/>
          <w:snapToGrid/>
          <w:szCs w:val="24"/>
          <w:lang w:eastAsia="en-AU"/>
        </w:rPr>
        <w:t>ubmission</w:t>
      </w:r>
      <w:r w:rsidR="006D3154" w:rsidRPr="002B66AB">
        <w:rPr>
          <w:rFonts w:asciiTheme="minorHAnsi" w:hAnsiTheme="minorHAnsi" w:cstheme="minorHAnsi"/>
          <w:snapToGrid/>
          <w:szCs w:val="24"/>
          <w:lang w:eastAsia="en-AU"/>
        </w:rPr>
        <w:t>,</w:t>
      </w:r>
      <w:r w:rsidR="00E7641D" w:rsidRPr="002B66AB">
        <w:rPr>
          <w:rFonts w:asciiTheme="minorHAnsi" w:hAnsiTheme="minorHAnsi" w:cstheme="minorHAnsi"/>
          <w:snapToGrid/>
          <w:szCs w:val="24"/>
          <w:lang w:eastAsia="en-AU"/>
        </w:rPr>
        <w:t xml:space="preserve"> Section 2, Attachments).  According to the information including in the poster, at the time of its preparation, all but one of 239 subjects had completed 72 weeks of study treatment.</w:t>
      </w:r>
    </w:p>
    <w:p w:rsidR="00F2021A" w:rsidRPr="002B66AB" w:rsidRDefault="00E7641D" w:rsidP="00002990">
      <w:pPr>
        <w:pStyle w:val="ListParagraph"/>
        <w:numPr>
          <w:ilvl w:val="1"/>
          <w:numId w:val="45"/>
        </w:numPr>
        <w:ind w:hanging="720"/>
        <w:rPr>
          <w:rFonts w:asciiTheme="minorHAnsi" w:hAnsiTheme="minorHAnsi" w:cstheme="minorHAnsi"/>
          <w:snapToGrid/>
          <w:szCs w:val="24"/>
          <w:lang w:eastAsia="en-AU"/>
        </w:rPr>
      </w:pPr>
      <w:r w:rsidRPr="00002990">
        <w:t>The</w:t>
      </w:r>
      <w:r w:rsidRPr="002B66AB">
        <w:rPr>
          <w:rFonts w:asciiTheme="minorHAnsi" w:hAnsiTheme="minorHAnsi" w:cstheme="minorHAnsi"/>
          <w:snapToGrid/>
          <w:szCs w:val="24"/>
          <w:lang w:eastAsia="en-AU"/>
        </w:rPr>
        <w:t xml:space="preserve"> PBAC noted its ESC had requested further information on the expected completion date of Study 110, but the sponsor did not provide this information in its pre-PBAC response.  However, the PBAC noted that the US clinical trials website reports August 2018 as the expected study completion</w:t>
      </w:r>
      <w:r w:rsidR="009A77E5" w:rsidRPr="002B66AB">
        <w:rPr>
          <w:rFonts w:asciiTheme="minorHAnsi" w:hAnsiTheme="minorHAnsi" w:cstheme="minorHAnsi"/>
          <w:snapToGrid/>
          <w:szCs w:val="24"/>
          <w:lang w:eastAsia="en-AU"/>
        </w:rPr>
        <w:t xml:space="preserve"> </w:t>
      </w:r>
      <w:r w:rsidRPr="002B66AB">
        <w:rPr>
          <w:rFonts w:asciiTheme="minorHAnsi" w:hAnsiTheme="minorHAnsi" w:cstheme="minorHAnsi"/>
          <w:snapToGrid/>
          <w:szCs w:val="24"/>
          <w:lang w:eastAsia="en-AU"/>
        </w:rPr>
        <w:t xml:space="preserve">date </w:t>
      </w:r>
      <w:r w:rsidR="009A77E5" w:rsidRPr="002B66AB">
        <w:rPr>
          <w:rFonts w:asciiTheme="minorHAnsi" w:hAnsiTheme="minorHAnsi" w:cstheme="minorHAnsi"/>
          <w:snapToGrid/>
          <w:szCs w:val="24"/>
          <w:lang w:eastAsia="en-AU"/>
        </w:rPr>
        <w:t>(</w:t>
      </w:r>
      <w:r w:rsidRPr="002B66AB">
        <w:rPr>
          <w:rFonts w:asciiTheme="minorHAnsi" w:hAnsiTheme="minorHAnsi" w:cstheme="minorHAnsi"/>
          <w:snapToGrid/>
          <w:szCs w:val="24"/>
          <w:lang w:eastAsia="en-AU"/>
        </w:rPr>
        <w:t>https://clinicaltrials.gov/ct2/show/NCT02544451?term=VX15-809-110&amp;rank=1)</w:t>
      </w:r>
      <w:r w:rsidR="009A77E5" w:rsidRPr="002B66AB">
        <w:rPr>
          <w:rFonts w:asciiTheme="minorHAnsi" w:hAnsiTheme="minorHAnsi" w:cstheme="minorHAnsi"/>
          <w:snapToGrid/>
          <w:szCs w:val="24"/>
          <w:lang w:eastAsia="en-AU"/>
        </w:rPr>
        <w:t>.</w:t>
      </w:r>
      <w:r w:rsidR="006D3154" w:rsidRPr="002B66AB">
        <w:rPr>
          <w:rFonts w:asciiTheme="minorHAnsi" w:hAnsiTheme="minorHAnsi" w:cstheme="minorHAnsi"/>
          <w:snapToGrid/>
          <w:szCs w:val="24"/>
          <w:lang w:eastAsia="en-AU"/>
        </w:rPr>
        <w:t xml:space="preserve"> </w:t>
      </w:r>
      <w:r w:rsidRPr="002B66AB">
        <w:rPr>
          <w:rFonts w:asciiTheme="minorHAnsi" w:hAnsiTheme="minorHAnsi" w:cstheme="minorHAnsi"/>
          <w:snapToGrid/>
          <w:szCs w:val="24"/>
          <w:lang w:eastAsia="en-AU"/>
        </w:rPr>
        <w:t xml:space="preserve"> </w:t>
      </w:r>
      <w:r w:rsidR="006F480C" w:rsidRPr="002B66AB">
        <w:rPr>
          <w:rFonts w:asciiTheme="minorHAnsi" w:hAnsiTheme="minorHAnsi" w:cstheme="minorHAnsi"/>
          <w:snapToGrid/>
          <w:szCs w:val="24"/>
          <w:lang w:eastAsia="en-AU"/>
        </w:rPr>
        <w:t xml:space="preserve">An </w:t>
      </w:r>
      <w:r w:rsidRPr="002B66AB">
        <w:rPr>
          <w:rFonts w:asciiTheme="minorHAnsi" w:hAnsiTheme="minorHAnsi" w:cstheme="minorHAnsi"/>
          <w:snapToGrid/>
          <w:szCs w:val="24"/>
          <w:lang w:eastAsia="en-AU"/>
        </w:rPr>
        <w:t>August 2018 study completion date is also consistent with the last patient study visit for the studies that preceded Study 110 (and from which patients in Study 110 were drawn)</w:t>
      </w:r>
      <w:r w:rsidR="009A77E5" w:rsidRPr="002B66AB">
        <w:rPr>
          <w:rFonts w:asciiTheme="minorHAnsi" w:hAnsiTheme="minorHAnsi" w:cstheme="minorHAnsi"/>
          <w:snapToGrid/>
          <w:szCs w:val="24"/>
          <w:lang w:eastAsia="en-AU"/>
        </w:rPr>
        <w:t xml:space="preserve"> having taken</w:t>
      </w:r>
      <w:r w:rsidRPr="002B66AB">
        <w:rPr>
          <w:rFonts w:asciiTheme="minorHAnsi" w:hAnsiTheme="minorHAnsi" w:cstheme="minorHAnsi"/>
          <w:snapToGrid/>
          <w:szCs w:val="24"/>
          <w:lang w:eastAsia="en-AU"/>
        </w:rPr>
        <w:t xml:space="preserve"> place o</w:t>
      </w:r>
      <w:r w:rsidR="009A77E5" w:rsidRPr="002B66AB">
        <w:rPr>
          <w:rFonts w:asciiTheme="minorHAnsi" w:hAnsiTheme="minorHAnsi" w:cstheme="minorHAnsi"/>
          <w:snapToGrid/>
          <w:szCs w:val="24"/>
          <w:lang w:eastAsia="en-AU"/>
        </w:rPr>
        <w:t>n</w:t>
      </w:r>
      <w:r w:rsidRPr="002B66AB">
        <w:rPr>
          <w:rFonts w:asciiTheme="minorHAnsi" w:hAnsiTheme="minorHAnsi" w:cstheme="minorHAnsi"/>
          <w:snapToGrid/>
          <w:szCs w:val="24"/>
          <w:lang w:eastAsia="en-AU"/>
        </w:rPr>
        <w:t xml:space="preserve"> 20 September 2016 (CSR Protocol VX14-809-109, 18 January 2017). </w:t>
      </w:r>
    </w:p>
    <w:p w:rsidR="009A77E5" w:rsidRPr="002B66AB" w:rsidRDefault="009A77E5" w:rsidP="009F2127">
      <w:pPr>
        <w:pStyle w:val="ListParagraph"/>
        <w:numPr>
          <w:ilvl w:val="1"/>
          <w:numId w:val="45"/>
        </w:numPr>
        <w:spacing w:after="0"/>
        <w:ind w:hanging="720"/>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The PBAC further noted that</w:t>
      </w:r>
      <w:r w:rsidR="006D3154" w:rsidRPr="002B66AB">
        <w:rPr>
          <w:rFonts w:asciiTheme="minorHAnsi" w:hAnsiTheme="minorHAnsi" w:cstheme="minorHAnsi"/>
          <w:snapToGrid/>
          <w:szCs w:val="24"/>
          <w:lang w:eastAsia="en-AU"/>
        </w:rPr>
        <w:t xml:space="preserve"> the US clinical trials website</w:t>
      </w:r>
      <w:r w:rsidRPr="002B66AB">
        <w:rPr>
          <w:rFonts w:asciiTheme="minorHAnsi" w:hAnsiTheme="minorHAnsi" w:cstheme="minorHAnsi"/>
          <w:snapToGrid/>
          <w:szCs w:val="24"/>
          <w:lang w:eastAsia="en-AU"/>
        </w:rPr>
        <w:t xml:space="preserve"> reports that the following outcome measures have been included in Study 110. </w:t>
      </w:r>
    </w:p>
    <w:p w:rsidR="009A77E5" w:rsidRPr="002B66AB" w:rsidRDefault="009A77E5" w:rsidP="009F2127">
      <w:pPr>
        <w:shd w:val="clear" w:color="auto" w:fill="FFFFFF"/>
        <w:ind w:firstLine="357"/>
        <w:rPr>
          <w:rFonts w:asciiTheme="minorHAnsi" w:hAnsiTheme="minorHAnsi" w:cstheme="minorHAnsi"/>
          <w:snapToGrid/>
          <w:szCs w:val="24"/>
          <w:lang w:eastAsia="en-AU"/>
        </w:rPr>
      </w:pPr>
    </w:p>
    <w:p w:rsidR="009A77E5" w:rsidRPr="002B66AB" w:rsidRDefault="009A77E5" w:rsidP="00444150">
      <w:pPr>
        <w:shd w:val="clear" w:color="auto" w:fill="FFFFFF"/>
        <w:ind w:firstLine="709"/>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Primary Outcome Measures:</w:t>
      </w:r>
    </w:p>
    <w:p w:rsidR="00F2021A" w:rsidRPr="002B66AB" w:rsidRDefault="00F2021A" w:rsidP="00F2021A">
      <w:pPr>
        <w:shd w:val="clear" w:color="auto" w:fill="FFFFFF"/>
        <w:ind w:firstLine="360"/>
        <w:rPr>
          <w:rFonts w:asciiTheme="minorHAnsi" w:hAnsiTheme="minorHAnsi" w:cstheme="minorHAnsi"/>
          <w:snapToGrid/>
          <w:szCs w:val="24"/>
          <w:lang w:eastAsia="en-AU"/>
        </w:rPr>
      </w:pPr>
    </w:p>
    <w:p w:rsidR="009A77E5" w:rsidRPr="002B66AB" w:rsidRDefault="009A77E5" w:rsidP="00444150">
      <w:pPr>
        <w:widowControl/>
        <w:numPr>
          <w:ilvl w:val="0"/>
          <w:numId w:val="39"/>
        </w:numPr>
        <w:shd w:val="clear" w:color="auto" w:fill="FFFFFF"/>
        <w:tabs>
          <w:tab w:val="clear" w:pos="720"/>
          <w:tab w:val="num" w:pos="1276"/>
        </w:tabs>
        <w:ind w:left="1276" w:hanging="567"/>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Treatment Cohort: Assess safety and tolerability of long term treatment of </w:t>
      </w:r>
      <w:proofErr w:type="spellStart"/>
      <w:r w:rsidRPr="002B66AB">
        <w:rPr>
          <w:rFonts w:asciiTheme="minorHAnsi" w:hAnsiTheme="minorHAnsi" w:cstheme="minorHAnsi"/>
          <w:snapToGrid/>
          <w:szCs w:val="24"/>
          <w:lang w:eastAsia="en-AU"/>
        </w:rPr>
        <w:t>lumacaftor</w:t>
      </w:r>
      <w:proofErr w:type="spellEnd"/>
      <w:r w:rsidRPr="002B66AB">
        <w:rPr>
          <w:rFonts w:asciiTheme="minorHAnsi" w:hAnsiTheme="minorHAnsi" w:cstheme="minorHAnsi"/>
          <w:snapToGrid/>
          <w:szCs w:val="24"/>
          <w:lang w:eastAsia="en-AU"/>
        </w:rPr>
        <w:t xml:space="preserve"> in combination with </w:t>
      </w:r>
      <w:proofErr w:type="spellStart"/>
      <w:r w:rsidRPr="002B66AB">
        <w:rPr>
          <w:rFonts w:asciiTheme="minorHAnsi" w:hAnsiTheme="minorHAnsi" w:cstheme="minorHAnsi"/>
          <w:snapToGrid/>
          <w:szCs w:val="24"/>
          <w:lang w:eastAsia="en-AU"/>
        </w:rPr>
        <w:t>ivacaftor</w:t>
      </w:r>
      <w:proofErr w:type="spellEnd"/>
      <w:r w:rsidRPr="002B66AB">
        <w:rPr>
          <w:rFonts w:asciiTheme="minorHAnsi" w:hAnsiTheme="minorHAnsi" w:cstheme="minorHAnsi"/>
          <w:snapToGrid/>
          <w:szCs w:val="24"/>
          <w:lang w:eastAsia="en-AU"/>
        </w:rPr>
        <w:t>, based on treatment emergent adverse events and changes in clinical laboratory valu</w:t>
      </w:r>
      <w:r w:rsidR="006D3154" w:rsidRPr="002B66AB">
        <w:rPr>
          <w:rFonts w:asciiTheme="minorHAnsi" w:hAnsiTheme="minorHAnsi" w:cstheme="minorHAnsi"/>
          <w:snapToGrid/>
          <w:szCs w:val="24"/>
          <w:lang w:eastAsia="en-AU"/>
        </w:rPr>
        <w:t>es, vital signs, and spirometry.</w:t>
      </w:r>
    </w:p>
    <w:p w:rsidR="00D40602" w:rsidRPr="002B66AB" w:rsidRDefault="00D40602" w:rsidP="00444150">
      <w:pPr>
        <w:widowControl/>
        <w:shd w:val="clear" w:color="auto" w:fill="FFFFFF"/>
        <w:tabs>
          <w:tab w:val="num" w:pos="1276"/>
        </w:tabs>
        <w:ind w:hanging="11"/>
        <w:jc w:val="left"/>
        <w:rPr>
          <w:rFonts w:asciiTheme="minorHAnsi" w:hAnsiTheme="minorHAnsi" w:cstheme="minorHAnsi"/>
          <w:snapToGrid/>
          <w:szCs w:val="24"/>
          <w:lang w:eastAsia="en-AU"/>
        </w:rPr>
      </w:pPr>
    </w:p>
    <w:p w:rsidR="009A77E5" w:rsidRPr="002B66AB" w:rsidRDefault="00444150" w:rsidP="00444150">
      <w:pPr>
        <w:widowControl/>
        <w:shd w:val="clear" w:color="auto" w:fill="FFFFFF"/>
        <w:tabs>
          <w:tab w:val="num" w:pos="1276"/>
        </w:tabs>
        <w:ind w:left="709" w:hanging="720"/>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ab/>
      </w:r>
      <w:r w:rsidR="009A77E5" w:rsidRPr="002B66AB">
        <w:rPr>
          <w:rFonts w:asciiTheme="minorHAnsi" w:hAnsiTheme="minorHAnsi" w:cstheme="minorHAnsi"/>
          <w:snapToGrid/>
          <w:szCs w:val="24"/>
          <w:lang w:eastAsia="en-AU"/>
        </w:rPr>
        <w:t>Secondary Outcome Measures:</w:t>
      </w:r>
    </w:p>
    <w:p w:rsidR="00F2021A" w:rsidRPr="002B66AB" w:rsidRDefault="00F2021A" w:rsidP="00444150">
      <w:pPr>
        <w:widowControl/>
        <w:shd w:val="clear" w:color="auto" w:fill="FFFFFF"/>
        <w:tabs>
          <w:tab w:val="num" w:pos="1276"/>
        </w:tabs>
        <w:ind w:hanging="11"/>
        <w:jc w:val="left"/>
        <w:rPr>
          <w:rFonts w:asciiTheme="minorHAnsi" w:hAnsiTheme="minorHAnsi" w:cstheme="minorHAnsi"/>
          <w:snapToGrid/>
          <w:szCs w:val="24"/>
          <w:lang w:eastAsia="en-AU"/>
        </w:rPr>
      </w:pP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Treatment Cohort: Absolute change in Lung Clearance Index 2.5 (LCI2.5) (subjects from Study 109 and the Study </w:t>
      </w:r>
      <w:r w:rsidR="006D3154" w:rsidRPr="002B66AB">
        <w:rPr>
          <w:rFonts w:asciiTheme="minorHAnsi" w:hAnsiTheme="minorHAnsi" w:cstheme="minorHAnsi"/>
          <w:snapToGrid/>
          <w:szCs w:val="24"/>
          <w:lang w:eastAsia="en-AU"/>
        </w:rPr>
        <w:t xml:space="preserve">011B LCI </w:t>
      </w:r>
      <w:proofErr w:type="spellStart"/>
      <w:r w:rsidR="006D3154" w:rsidRPr="002B66AB">
        <w:rPr>
          <w:rFonts w:asciiTheme="minorHAnsi" w:hAnsiTheme="minorHAnsi" w:cstheme="minorHAnsi"/>
          <w:snapToGrid/>
          <w:szCs w:val="24"/>
          <w:lang w:eastAsia="en-AU"/>
        </w:rPr>
        <w:t>Substudy</w:t>
      </w:r>
      <w:proofErr w:type="spellEnd"/>
      <w:r w:rsidR="006D3154" w:rsidRPr="002B66AB">
        <w:rPr>
          <w:rFonts w:asciiTheme="minorHAnsi" w:hAnsiTheme="minorHAnsi" w:cstheme="minorHAnsi"/>
          <w:snapToGrid/>
          <w:szCs w:val="24"/>
          <w:lang w:eastAsia="en-AU"/>
        </w:rPr>
        <w:t xml:space="preserve"> only)</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w:t>
      </w:r>
      <w:r w:rsidR="006D3154" w:rsidRPr="002B66AB">
        <w:rPr>
          <w:rFonts w:asciiTheme="minorHAnsi" w:hAnsiTheme="minorHAnsi" w:cstheme="minorHAnsi"/>
          <w:snapToGrid/>
          <w:szCs w:val="24"/>
          <w:lang w:eastAsia="en-AU"/>
        </w:rPr>
        <w:t>hange in sweat chloride</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change i</w:t>
      </w:r>
      <w:r w:rsidR="006D3154" w:rsidRPr="002B66AB">
        <w:rPr>
          <w:rFonts w:asciiTheme="minorHAnsi" w:hAnsiTheme="minorHAnsi" w:cstheme="minorHAnsi"/>
          <w:snapToGrid/>
          <w:szCs w:val="24"/>
          <w:lang w:eastAsia="en-AU"/>
        </w:rPr>
        <w:t>n body mass index (BMI)</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change in Cystic Fibrosis Questionnaire Revised (CFQ-R) respirat</w:t>
      </w:r>
      <w:r w:rsidR="006D3154" w:rsidRPr="002B66AB">
        <w:rPr>
          <w:rFonts w:asciiTheme="minorHAnsi" w:hAnsiTheme="minorHAnsi" w:cstheme="minorHAnsi"/>
          <w:snapToGrid/>
          <w:szCs w:val="24"/>
          <w:lang w:eastAsia="en-AU"/>
        </w:rPr>
        <w:t>ory domain score</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Observational Cohort: Safety, as determined by serious adverse event</w:t>
      </w:r>
      <w:r w:rsidR="006D3154" w:rsidRPr="002B66AB">
        <w:rPr>
          <w:rFonts w:asciiTheme="minorHAnsi" w:hAnsiTheme="minorHAnsi" w:cstheme="minorHAnsi"/>
          <w:snapToGrid/>
          <w:szCs w:val="24"/>
          <w:lang w:eastAsia="en-AU"/>
        </w:rPr>
        <w:t>s (SAEs)</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Treatment Cohort: Absolute change in Lung Clearance Index 5.0 (LCI5.0) (subjects from Study 109 and the Study </w:t>
      </w:r>
      <w:r w:rsidR="006D3154" w:rsidRPr="002B66AB">
        <w:rPr>
          <w:rFonts w:asciiTheme="minorHAnsi" w:hAnsiTheme="minorHAnsi" w:cstheme="minorHAnsi"/>
          <w:snapToGrid/>
          <w:szCs w:val="24"/>
          <w:lang w:eastAsia="en-AU"/>
        </w:rPr>
        <w:t xml:space="preserve">011B LCI </w:t>
      </w:r>
      <w:proofErr w:type="spellStart"/>
      <w:r w:rsidR="006D3154" w:rsidRPr="002B66AB">
        <w:rPr>
          <w:rFonts w:asciiTheme="minorHAnsi" w:hAnsiTheme="minorHAnsi" w:cstheme="minorHAnsi"/>
          <w:snapToGrid/>
          <w:szCs w:val="24"/>
          <w:lang w:eastAsia="en-AU"/>
        </w:rPr>
        <w:t>Substudy</w:t>
      </w:r>
      <w:proofErr w:type="spellEnd"/>
      <w:r w:rsidR="006D3154" w:rsidRPr="002B66AB">
        <w:rPr>
          <w:rFonts w:asciiTheme="minorHAnsi" w:hAnsiTheme="minorHAnsi" w:cstheme="minorHAnsi"/>
          <w:snapToGrid/>
          <w:szCs w:val="24"/>
          <w:lang w:eastAsia="en-AU"/>
        </w:rPr>
        <w:t xml:space="preserve"> only)</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lastRenderedPageBreak/>
        <w:t>Treatment Cohort: Absolute change in percent predicted forced expiratory volu</w:t>
      </w:r>
      <w:r w:rsidR="006D3154" w:rsidRPr="002B66AB">
        <w:rPr>
          <w:rFonts w:asciiTheme="minorHAnsi" w:hAnsiTheme="minorHAnsi" w:cstheme="minorHAnsi"/>
          <w:snapToGrid/>
          <w:szCs w:val="24"/>
          <w:lang w:eastAsia="en-AU"/>
        </w:rPr>
        <w:t>me in 1 second (ppFEV1)</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Relative change in</w:t>
      </w:r>
      <w:r w:rsidR="006D3154" w:rsidRPr="002B66AB">
        <w:rPr>
          <w:rFonts w:asciiTheme="minorHAnsi" w:hAnsiTheme="minorHAnsi" w:cstheme="minorHAnsi"/>
          <w:snapToGrid/>
          <w:szCs w:val="24"/>
          <w:lang w:eastAsia="en-AU"/>
        </w:rPr>
        <w:t xml:space="preserve"> ppFEV1 </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change in body mass inde</w:t>
      </w:r>
      <w:r w:rsidR="006D3154" w:rsidRPr="002B66AB">
        <w:rPr>
          <w:rFonts w:asciiTheme="minorHAnsi" w:hAnsiTheme="minorHAnsi" w:cstheme="minorHAnsi"/>
          <w:snapToGrid/>
          <w:szCs w:val="24"/>
          <w:lang w:eastAsia="en-AU"/>
        </w:rPr>
        <w:t>x (BMI)-for-age-z-score</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w:t>
      </w:r>
      <w:r w:rsidR="006D3154" w:rsidRPr="002B66AB">
        <w:rPr>
          <w:rFonts w:asciiTheme="minorHAnsi" w:hAnsiTheme="minorHAnsi" w:cstheme="minorHAnsi"/>
          <w:snapToGrid/>
          <w:szCs w:val="24"/>
          <w:lang w:eastAsia="en-AU"/>
        </w:rPr>
        <w:t>solute change in weight</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change in</w:t>
      </w:r>
      <w:r w:rsidR="006D3154" w:rsidRPr="002B66AB">
        <w:rPr>
          <w:rFonts w:asciiTheme="minorHAnsi" w:hAnsiTheme="minorHAnsi" w:cstheme="minorHAnsi"/>
          <w:snapToGrid/>
          <w:szCs w:val="24"/>
          <w:lang w:eastAsia="en-AU"/>
        </w:rPr>
        <w:t xml:space="preserve"> weight-for-age-z-score</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w:t>
      </w:r>
      <w:r w:rsidR="006D3154" w:rsidRPr="002B66AB">
        <w:rPr>
          <w:rFonts w:asciiTheme="minorHAnsi" w:hAnsiTheme="minorHAnsi" w:cstheme="minorHAnsi"/>
          <w:snapToGrid/>
          <w:szCs w:val="24"/>
          <w:lang w:eastAsia="en-AU"/>
        </w:rPr>
        <w:t>solute change in height</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change in height-</w:t>
      </w:r>
      <w:r w:rsidR="006D3154" w:rsidRPr="002B66AB">
        <w:rPr>
          <w:rFonts w:asciiTheme="minorHAnsi" w:hAnsiTheme="minorHAnsi" w:cstheme="minorHAnsi"/>
          <w:snapToGrid/>
          <w:szCs w:val="24"/>
          <w:lang w:eastAsia="en-AU"/>
        </w:rPr>
        <w:t>for-age-z-score</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Absolute change in Treatment Satisfaction Questionnaire for Me</w:t>
      </w:r>
      <w:r w:rsidR="00D360BC" w:rsidRPr="002B66AB">
        <w:rPr>
          <w:rFonts w:asciiTheme="minorHAnsi" w:hAnsiTheme="minorHAnsi" w:cstheme="minorHAnsi"/>
          <w:snapToGrid/>
          <w:szCs w:val="24"/>
          <w:lang w:eastAsia="en-AU"/>
        </w:rPr>
        <w:t xml:space="preserve">dication (TSQM) domains </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Time-to-first pulmonary exacerbation</w:t>
      </w:r>
      <w:r w:rsidR="00D360BC" w:rsidRPr="002B66AB">
        <w:rPr>
          <w:rFonts w:asciiTheme="minorHAnsi" w:hAnsiTheme="minorHAnsi" w:cstheme="minorHAnsi"/>
          <w:snapToGrid/>
          <w:szCs w:val="24"/>
          <w:lang w:eastAsia="en-AU"/>
        </w:rPr>
        <w:t xml:space="preserve"> (subjects from Study 109 only)</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Treatment Cohort: Event of having at least 1 pulmonary exacerbation (subjects from Study 109 </w:t>
      </w:r>
      <w:r w:rsidR="00D360BC" w:rsidRPr="002B66AB">
        <w:rPr>
          <w:rFonts w:asciiTheme="minorHAnsi" w:hAnsiTheme="minorHAnsi" w:cstheme="minorHAnsi"/>
          <w:snapToGrid/>
          <w:szCs w:val="24"/>
          <w:lang w:eastAsia="en-AU"/>
        </w:rPr>
        <w:t>only)</w:t>
      </w:r>
    </w:p>
    <w:p w:rsidR="009A77E5" w:rsidRPr="002B66AB" w:rsidRDefault="009A77E5" w:rsidP="00444150">
      <w:pPr>
        <w:widowControl/>
        <w:numPr>
          <w:ilvl w:val="0"/>
          <w:numId w:val="40"/>
        </w:numPr>
        <w:shd w:val="clear" w:color="auto" w:fill="FFFFFF"/>
        <w:tabs>
          <w:tab w:val="clear" w:pos="731"/>
          <w:tab w:val="num" w:pos="1276"/>
        </w:tabs>
        <w:ind w:left="1276" w:hanging="573"/>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Number of pulmonary exacerbations (subj</w:t>
      </w:r>
      <w:r w:rsidR="00682304" w:rsidRPr="002B66AB">
        <w:rPr>
          <w:rFonts w:asciiTheme="minorHAnsi" w:hAnsiTheme="minorHAnsi" w:cstheme="minorHAnsi"/>
          <w:snapToGrid/>
          <w:szCs w:val="24"/>
          <w:lang w:eastAsia="en-AU"/>
        </w:rPr>
        <w:t>ects from Study 109 only)</w:t>
      </w:r>
    </w:p>
    <w:p w:rsidR="009A77E5" w:rsidRPr="002B66AB" w:rsidRDefault="009A77E5" w:rsidP="00444150">
      <w:pPr>
        <w:widowControl/>
        <w:numPr>
          <w:ilvl w:val="0"/>
          <w:numId w:val="40"/>
        </w:numPr>
        <w:shd w:val="clear" w:color="auto" w:fill="FFFFFF"/>
        <w:tabs>
          <w:tab w:val="clear" w:pos="731"/>
          <w:tab w:val="num" w:pos="1276"/>
        </w:tabs>
        <w:ind w:left="1276" w:hanging="567"/>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Treatment Cohort: Rate of change in LCI2.5 (subjects from Study 109 and the Study </w:t>
      </w:r>
      <w:r w:rsidR="00682304" w:rsidRPr="002B66AB">
        <w:rPr>
          <w:rFonts w:asciiTheme="minorHAnsi" w:hAnsiTheme="minorHAnsi" w:cstheme="minorHAnsi"/>
          <w:snapToGrid/>
          <w:szCs w:val="24"/>
          <w:lang w:eastAsia="en-AU"/>
        </w:rPr>
        <w:t xml:space="preserve">011B LCI </w:t>
      </w:r>
      <w:proofErr w:type="spellStart"/>
      <w:r w:rsidR="00682304" w:rsidRPr="002B66AB">
        <w:rPr>
          <w:rFonts w:asciiTheme="minorHAnsi" w:hAnsiTheme="minorHAnsi" w:cstheme="minorHAnsi"/>
          <w:snapToGrid/>
          <w:szCs w:val="24"/>
          <w:lang w:eastAsia="en-AU"/>
        </w:rPr>
        <w:t>Substudy</w:t>
      </w:r>
      <w:proofErr w:type="spellEnd"/>
      <w:r w:rsidR="00682304" w:rsidRPr="002B66AB">
        <w:rPr>
          <w:rFonts w:asciiTheme="minorHAnsi" w:hAnsiTheme="minorHAnsi" w:cstheme="minorHAnsi"/>
          <w:snapToGrid/>
          <w:szCs w:val="24"/>
          <w:lang w:eastAsia="en-AU"/>
        </w:rPr>
        <w:t xml:space="preserve"> only)</w:t>
      </w:r>
    </w:p>
    <w:p w:rsidR="009A77E5" w:rsidRPr="002B66AB" w:rsidRDefault="009A77E5" w:rsidP="00444150">
      <w:pPr>
        <w:widowControl/>
        <w:numPr>
          <w:ilvl w:val="0"/>
          <w:numId w:val="40"/>
        </w:numPr>
        <w:shd w:val="clear" w:color="auto" w:fill="FFFFFF"/>
        <w:tabs>
          <w:tab w:val="clear" w:pos="731"/>
          <w:tab w:val="num" w:pos="1276"/>
        </w:tabs>
        <w:ind w:left="1276" w:hanging="567"/>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 xml:space="preserve">Treatment Cohort: Rate of change in LCI5.0 (subjects from Study 109 and the Study </w:t>
      </w:r>
      <w:r w:rsidR="00682304" w:rsidRPr="002B66AB">
        <w:rPr>
          <w:rFonts w:asciiTheme="minorHAnsi" w:hAnsiTheme="minorHAnsi" w:cstheme="minorHAnsi"/>
          <w:snapToGrid/>
          <w:szCs w:val="24"/>
          <w:lang w:eastAsia="en-AU"/>
        </w:rPr>
        <w:t xml:space="preserve">011B LCI </w:t>
      </w:r>
      <w:proofErr w:type="spellStart"/>
      <w:r w:rsidR="00682304" w:rsidRPr="002B66AB">
        <w:rPr>
          <w:rFonts w:asciiTheme="minorHAnsi" w:hAnsiTheme="minorHAnsi" w:cstheme="minorHAnsi"/>
          <w:snapToGrid/>
          <w:szCs w:val="24"/>
          <w:lang w:eastAsia="en-AU"/>
        </w:rPr>
        <w:t>Substudy</w:t>
      </w:r>
      <w:proofErr w:type="spellEnd"/>
      <w:r w:rsidR="00682304" w:rsidRPr="002B66AB">
        <w:rPr>
          <w:rFonts w:asciiTheme="minorHAnsi" w:hAnsiTheme="minorHAnsi" w:cstheme="minorHAnsi"/>
          <w:snapToGrid/>
          <w:szCs w:val="24"/>
          <w:lang w:eastAsia="en-AU"/>
        </w:rPr>
        <w:t xml:space="preserve"> only).</w:t>
      </w:r>
    </w:p>
    <w:p w:rsidR="009A77E5" w:rsidRPr="002B66AB" w:rsidRDefault="009A77E5" w:rsidP="00002990">
      <w:pPr>
        <w:widowControl/>
        <w:numPr>
          <w:ilvl w:val="0"/>
          <w:numId w:val="40"/>
        </w:numPr>
        <w:shd w:val="clear" w:color="auto" w:fill="FFFFFF"/>
        <w:tabs>
          <w:tab w:val="clear" w:pos="731"/>
          <w:tab w:val="num" w:pos="1276"/>
        </w:tabs>
        <w:spacing w:after="240"/>
        <w:ind w:left="1276" w:hanging="567"/>
        <w:jc w:val="left"/>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Treatment Cohort: R</w:t>
      </w:r>
      <w:r w:rsidR="00682304" w:rsidRPr="002B66AB">
        <w:rPr>
          <w:rFonts w:asciiTheme="minorHAnsi" w:hAnsiTheme="minorHAnsi" w:cstheme="minorHAnsi"/>
          <w:snapToGrid/>
          <w:szCs w:val="24"/>
          <w:lang w:eastAsia="en-AU"/>
        </w:rPr>
        <w:t>ate of change in ppFEV1.</w:t>
      </w:r>
    </w:p>
    <w:p w:rsidR="00D40602" w:rsidRPr="002B66AB" w:rsidRDefault="00D40602" w:rsidP="00002990">
      <w:pPr>
        <w:pStyle w:val="ListParagraph"/>
        <w:numPr>
          <w:ilvl w:val="1"/>
          <w:numId w:val="45"/>
        </w:numPr>
        <w:ind w:hanging="720"/>
        <w:rPr>
          <w:rFonts w:asciiTheme="minorHAnsi" w:hAnsiTheme="minorHAnsi" w:cstheme="minorHAnsi"/>
          <w:snapToGrid/>
          <w:szCs w:val="24"/>
          <w:lang w:eastAsia="en-AU"/>
        </w:rPr>
      </w:pPr>
      <w:r w:rsidRPr="002B66AB">
        <w:rPr>
          <w:rFonts w:asciiTheme="minorHAnsi" w:hAnsiTheme="minorHAnsi" w:cstheme="minorHAnsi"/>
          <w:snapToGrid/>
          <w:szCs w:val="24"/>
          <w:lang w:eastAsia="en-AU"/>
        </w:rPr>
        <w:t>The PBAC noted the sponsor’s commitment in the pre-PBAC response to providing the data from Study 110 when finalised.</w:t>
      </w:r>
    </w:p>
    <w:p w:rsidR="00682304" w:rsidRPr="002B66AB" w:rsidRDefault="00682304" w:rsidP="00002990">
      <w:pPr>
        <w:pStyle w:val="ListParagraph"/>
        <w:numPr>
          <w:ilvl w:val="1"/>
          <w:numId w:val="45"/>
        </w:numPr>
        <w:ind w:hanging="720"/>
        <w:rPr>
          <w:rFonts w:asciiTheme="minorHAnsi" w:hAnsiTheme="minorHAnsi" w:cstheme="minorHAnsi"/>
          <w:snapToGrid/>
          <w:szCs w:val="24"/>
          <w:lang w:eastAsia="en-AU"/>
        </w:rPr>
      </w:pPr>
      <w:r w:rsidRPr="00002990">
        <w:t>The</w:t>
      </w:r>
      <w:r w:rsidRPr="002B66AB">
        <w:rPr>
          <w:rFonts w:asciiTheme="minorHAnsi" w:hAnsiTheme="minorHAnsi" w:cstheme="minorHAnsi"/>
          <w:snapToGrid/>
          <w:szCs w:val="24"/>
          <w:lang w:eastAsia="en-AU"/>
        </w:rPr>
        <w:t xml:space="preserve"> PBAC considered it appropriate</w:t>
      </w:r>
      <w:r w:rsidR="006F480C" w:rsidRPr="002B66AB">
        <w:rPr>
          <w:rFonts w:asciiTheme="minorHAnsi" w:hAnsiTheme="minorHAnsi" w:cstheme="minorHAnsi"/>
          <w:snapToGrid/>
          <w:szCs w:val="24"/>
          <w:lang w:eastAsia="en-AU"/>
        </w:rPr>
        <w:t xml:space="preserve"> </w:t>
      </w:r>
      <w:r w:rsidRPr="002B66AB">
        <w:rPr>
          <w:rFonts w:asciiTheme="minorHAnsi" w:hAnsiTheme="minorHAnsi" w:cstheme="minorHAnsi"/>
          <w:snapToGrid/>
          <w:szCs w:val="24"/>
          <w:lang w:eastAsia="en-AU"/>
        </w:rPr>
        <w:t xml:space="preserve">for the sponsor to provide further outcome data for </w:t>
      </w:r>
      <w:proofErr w:type="spellStart"/>
      <w:r w:rsidRPr="002B66AB">
        <w:rPr>
          <w:rFonts w:asciiTheme="minorHAnsi" w:hAnsiTheme="minorHAnsi" w:cstheme="minorHAnsi"/>
          <w:snapToGrid/>
          <w:szCs w:val="24"/>
          <w:lang w:eastAsia="en-AU"/>
        </w:rPr>
        <w:t>ivacaftor</w:t>
      </w:r>
      <w:proofErr w:type="spellEnd"/>
      <w:r w:rsidRPr="002B66AB">
        <w:rPr>
          <w:rFonts w:asciiTheme="minorHAnsi" w:hAnsiTheme="minorHAnsi" w:cstheme="minorHAnsi"/>
          <w:snapToGrid/>
          <w:szCs w:val="24"/>
          <w:lang w:eastAsia="en-AU"/>
        </w:rPr>
        <w:t>/</w:t>
      </w:r>
      <w:proofErr w:type="spellStart"/>
      <w:r w:rsidRPr="002B66AB">
        <w:rPr>
          <w:rFonts w:asciiTheme="minorHAnsi" w:hAnsiTheme="minorHAnsi" w:cstheme="minorHAnsi"/>
          <w:snapToGrid/>
          <w:szCs w:val="24"/>
          <w:lang w:eastAsia="en-AU"/>
        </w:rPr>
        <w:t>lumacaftor</w:t>
      </w:r>
      <w:proofErr w:type="spellEnd"/>
      <w:r w:rsidRPr="002B66AB">
        <w:rPr>
          <w:rFonts w:asciiTheme="minorHAnsi" w:hAnsiTheme="minorHAnsi" w:cstheme="minorHAnsi"/>
          <w:snapToGrid/>
          <w:szCs w:val="24"/>
          <w:lang w:eastAsia="en-AU"/>
        </w:rPr>
        <w:t xml:space="preserve"> in the 6 – 11 age </w:t>
      </w:r>
      <w:proofErr w:type="gramStart"/>
      <w:r w:rsidRPr="002B66AB">
        <w:rPr>
          <w:rFonts w:asciiTheme="minorHAnsi" w:hAnsiTheme="minorHAnsi" w:cstheme="minorHAnsi"/>
          <w:snapToGrid/>
          <w:szCs w:val="24"/>
          <w:lang w:eastAsia="en-AU"/>
        </w:rPr>
        <w:t>group</w:t>
      </w:r>
      <w:proofErr w:type="gramEnd"/>
      <w:r w:rsidRPr="002B66AB">
        <w:rPr>
          <w:rFonts w:asciiTheme="minorHAnsi" w:hAnsiTheme="minorHAnsi" w:cstheme="minorHAnsi"/>
          <w:snapToGrid/>
          <w:szCs w:val="24"/>
          <w:lang w:eastAsia="en-AU"/>
        </w:rPr>
        <w:t xml:space="preserve"> for the PBAC’s consideration</w:t>
      </w:r>
      <w:r w:rsidR="00101203" w:rsidRPr="002B66AB">
        <w:rPr>
          <w:rFonts w:asciiTheme="minorHAnsi" w:hAnsiTheme="minorHAnsi" w:cstheme="minorHAnsi"/>
          <w:snapToGrid/>
          <w:szCs w:val="24"/>
          <w:lang w:eastAsia="en-AU"/>
        </w:rPr>
        <w:t>,</w:t>
      </w:r>
      <w:r w:rsidR="00101203" w:rsidRPr="002B66AB">
        <w:t xml:space="preserve"> </w:t>
      </w:r>
      <w:r w:rsidR="00101203" w:rsidRPr="002B66AB">
        <w:rPr>
          <w:rFonts w:asciiTheme="minorHAnsi" w:hAnsiTheme="minorHAnsi" w:cstheme="minorHAnsi"/>
          <w:snapToGrid/>
          <w:szCs w:val="24"/>
          <w:lang w:eastAsia="en-AU"/>
        </w:rPr>
        <w:t>particularly in the context of a long term treatment for young children which has the potential to cause adverse events</w:t>
      </w:r>
      <w:r w:rsidRPr="002B66AB">
        <w:rPr>
          <w:rFonts w:asciiTheme="minorHAnsi" w:hAnsiTheme="minorHAnsi" w:cstheme="minorHAnsi"/>
          <w:snapToGrid/>
          <w:szCs w:val="24"/>
          <w:lang w:eastAsia="en-AU"/>
        </w:rPr>
        <w:t xml:space="preserve">.  In this context, the PBAC noted that a full report of the planned interim analysis of Study 110 (as referred to in </w:t>
      </w:r>
      <w:proofErr w:type="spellStart"/>
      <w:r w:rsidRPr="002B66AB">
        <w:rPr>
          <w:rFonts w:asciiTheme="minorHAnsi" w:hAnsiTheme="minorHAnsi" w:cstheme="minorHAnsi"/>
          <w:snapToGrid/>
          <w:szCs w:val="24"/>
          <w:lang w:eastAsia="en-AU"/>
        </w:rPr>
        <w:t>Chilvers</w:t>
      </w:r>
      <w:proofErr w:type="spellEnd"/>
      <w:r w:rsidRPr="002B66AB">
        <w:rPr>
          <w:rFonts w:asciiTheme="minorHAnsi" w:hAnsiTheme="minorHAnsi" w:cstheme="minorHAnsi"/>
          <w:snapToGrid/>
          <w:szCs w:val="24"/>
          <w:lang w:eastAsia="en-AU"/>
        </w:rPr>
        <w:t>, M 2017) should now be available and that data for the full study period should be available in the near future.</w:t>
      </w:r>
    </w:p>
    <w:p w:rsidR="00C8772D" w:rsidRPr="002B66AB" w:rsidRDefault="00C8772D" w:rsidP="005E7B11">
      <w:pPr>
        <w:widowControl/>
        <w:spacing w:before="240" w:after="120" w:line="276" w:lineRule="auto"/>
        <w:jc w:val="left"/>
        <w:outlineLvl w:val="1"/>
        <w:rPr>
          <w:rFonts w:asciiTheme="minorHAnsi" w:hAnsiTheme="minorHAnsi"/>
          <w:b/>
          <w:bCs/>
          <w:i/>
          <w:sz w:val="28"/>
          <w:szCs w:val="28"/>
          <w:lang w:eastAsia="en-AU"/>
        </w:rPr>
      </w:pPr>
      <w:r w:rsidRPr="002B66AB">
        <w:rPr>
          <w:rFonts w:asciiTheme="minorHAnsi" w:hAnsiTheme="minorHAnsi"/>
          <w:b/>
          <w:bCs/>
          <w:i/>
          <w:sz w:val="28"/>
          <w:szCs w:val="28"/>
          <w:lang w:eastAsia="en-AU"/>
        </w:rPr>
        <w:t>Consumer comments</w:t>
      </w:r>
    </w:p>
    <w:p w:rsidR="00C8772D" w:rsidRPr="002B66AB" w:rsidRDefault="00C8772D" w:rsidP="00431133">
      <w:pPr>
        <w:pStyle w:val="ListParagraph"/>
        <w:numPr>
          <w:ilvl w:val="1"/>
          <w:numId w:val="45"/>
        </w:numPr>
        <w:ind w:hanging="720"/>
        <w:rPr>
          <w:rFonts w:asciiTheme="minorHAnsi" w:hAnsiTheme="minorHAnsi"/>
          <w:bCs/>
          <w:szCs w:val="24"/>
          <w:lang w:eastAsia="en-AU"/>
        </w:rPr>
      </w:pPr>
      <w:r w:rsidRPr="002B66AB">
        <w:rPr>
          <w:rFonts w:asciiTheme="minorHAnsi" w:hAnsiTheme="minorHAnsi"/>
          <w:bCs/>
          <w:szCs w:val="24"/>
          <w:lang w:eastAsia="en-AU"/>
        </w:rPr>
        <w:t xml:space="preserve">The PBAC noted and welcomed the input from individuals (3980), health care professionals (45) and organisations (5) via the Consumer Comments facility on the PBS website for both </w:t>
      </w:r>
      <w:proofErr w:type="spellStart"/>
      <w:r w:rsidRPr="002B66AB">
        <w:rPr>
          <w:rFonts w:asciiTheme="minorHAnsi" w:hAnsiTheme="minorHAnsi" w:cstheme="minorHAnsi"/>
          <w:bCs/>
          <w:szCs w:val="24"/>
          <w:lang w:eastAsia="en-AU"/>
        </w:rPr>
        <w:t>lumacaftor</w:t>
      </w:r>
      <w:proofErr w:type="spellEnd"/>
      <w:r w:rsidRPr="002B66AB">
        <w:rPr>
          <w:rFonts w:asciiTheme="minorHAnsi" w:hAnsiTheme="minorHAnsi" w:cstheme="minorHAnsi"/>
          <w:bCs/>
          <w:szCs w:val="24"/>
          <w:lang w:eastAsia="en-AU"/>
        </w:rPr>
        <w:t xml:space="preserve"> with </w:t>
      </w:r>
      <w:proofErr w:type="spellStart"/>
      <w:r w:rsidRPr="002B66AB">
        <w:rPr>
          <w:rFonts w:asciiTheme="minorHAnsi" w:hAnsiTheme="minorHAnsi" w:cstheme="minorHAnsi"/>
          <w:bCs/>
          <w:szCs w:val="24"/>
          <w:lang w:eastAsia="en-AU"/>
        </w:rPr>
        <w:t>ivacaftor</w:t>
      </w:r>
      <w:proofErr w:type="spellEnd"/>
      <w:r w:rsidRPr="002B66AB">
        <w:rPr>
          <w:rFonts w:asciiTheme="minorHAnsi" w:hAnsiTheme="minorHAnsi" w:cstheme="minorHAnsi"/>
          <w:bCs/>
          <w:szCs w:val="24"/>
          <w:lang w:eastAsia="en-AU"/>
        </w:rPr>
        <w:t xml:space="preserve"> submissions combined (patients aged 6 – 11 years [item 5.08] and patients aged 12 years and o</w:t>
      </w:r>
      <w:r w:rsidRPr="002B66AB">
        <w:rPr>
          <w:rFonts w:asciiTheme="minorHAnsi" w:hAnsiTheme="minorHAnsi" w:cstheme="minorHAnsi"/>
          <w:bCs/>
          <w:snapToGrid/>
          <w:szCs w:val="24"/>
          <w:lang w:eastAsia="en-AU"/>
        </w:rPr>
        <w:t>lder</w:t>
      </w:r>
      <w:r w:rsidRPr="002B66AB">
        <w:rPr>
          <w:rFonts w:asciiTheme="minorHAnsi" w:hAnsiTheme="minorHAnsi" w:cstheme="minorHAnsi"/>
          <w:bCs/>
          <w:szCs w:val="24"/>
          <w:lang w:eastAsia="en-AU"/>
        </w:rPr>
        <w:t xml:space="preserve"> – [item 7.10]).</w:t>
      </w:r>
      <w:r w:rsidRPr="002B66AB">
        <w:rPr>
          <w:rFonts w:asciiTheme="minorHAnsi" w:hAnsiTheme="minorHAnsi"/>
          <w:bCs/>
          <w:szCs w:val="24"/>
          <w:lang w:eastAsia="en-AU"/>
        </w:rPr>
        <w:t xml:space="preserve">  </w:t>
      </w:r>
      <w:r w:rsidRPr="002B66AB">
        <w:rPr>
          <w:rFonts w:asciiTheme="minorHAnsi" w:hAnsiTheme="minorHAnsi" w:cs="Times New Roman"/>
          <w:snapToGrid/>
          <w:szCs w:val="24"/>
          <w:lang w:eastAsia="en-AU"/>
        </w:rPr>
        <w:t xml:space="preserve">The comments described a range of benefits of treatment with </w:t>
      </w:r>
      <w:proofErr w:type="spellStart"/>
      <w:r w:rsidRPr="002B66AB">
        <w:rPr>
          <w:rFonts w:asciiTheme="minorHAnsi" w:hAnsiTheme="minorHAnsi" w:cs="Times New Roman"/>
          <w:snapToGrid/>
          <w:szCs w:val="24"/>
          <w:lang w:eastAsia="en-AU"/>
        </w:rPr>
        <w:t>lumacaftor</w:t>
      </w:r>
      <w:proofErr w:type="spellEnd"/>
      <w:r w:rsidRPr="002B66AB">
        <w:rPr>
          <w:rFonts w:asciiTheme="minorHAnsi" w:hAnsiTheme="minorHAnsi" w:cs="Times New Roman"/>
          <w:snapToGrid/>
          <w:szCs w:val="24"/>
          <w:lang w:eastAsia="en-AU"/>
        </w:rPr>
        <w:t>/</w:t>
      </w:r>
      <w:proofErr w:type="spellStart"/>
      <w:r w:rsidRPr="002B66AB">
        <w:rPr>
          <w:rFonts w:asciiTheme="minorHAnsi" w:hAnsiTheme="minorHAnsi" w:cs="Times New Roman"/>
          <w:snapToGrid/>
          <w:szCs w:val="24"/>
          <w:lang w:eastAsia="en-AU"/>
        </w:rPr>
        <w:t>ivacaftor</w:t>
      </w:r>
      <w:proofErr w:type="spellEnd"/>
      <w:r w:rsidRPr="002B66AB">
        <w:rPr>
          <w:rFonts w:asciiTheme="minorHAnsi" w:hAnsiTheme="minorHAnsi" w:cs="Times New Roman"/>
          <w:snapToGrid/>
          <w:szCs w:val="24"/>
          <w:lang w:eastAsia="en-AU"/>
        </w:rPr>
        <w:t xml:space="preserve">, including improvement in lung function, reduction in chest infections and exacerbations, weight gain, fewer hospital visits, fewer medications to be consumed on a daily basis, slowing disease progression, and improvement in quality of life. The comments noted that the very high cost of the drug on the private market puts it out of the financial reach of Australian patients and a number of comments expressed </w:t>
      </w:r>
      <w:r w:rsidRPr="002B66AB">
        <w:rPr>
          <w:rFonts w:asciiTheme="minorHAnsi" w:hAnsiTheme="minorHAnsi" w:cs="Times New Roman"/>
          <w:snapToGrid/>
          <w:szCs w:val="24"/>
          <w:lang w:eastAsia="en-AU"/>
        </w:rPr>
        <w:lastRenderedPageBreak/>
        <w:t xml:space="preserve">frustration that </w:t>
      </w:r>
      <w:proofErr w:type="spellStart"/>
      <w:r w:rsidRPr="002B66AB">
        <w:rPr>
          <w:rFonts w:asciiTheme="minorHAnsi" w:hAnsiTheme="minorHAnsi" w:cs="Times New Roman"/>
          <w:snapToGrid/>
          <w:szCs w:val="24"/>
          <w:lang w:eastAsia="en-AU"/>
        </w:rPr>
        <w:t>lumacaftor</w:t>
      </w:r>
      <w:proofErr w:type="spellEnd"/>
      <w:r w:rsidRPr="002B66AB">
        <w:rPr>
          <w:rFonts w:asciiTheme="minorHAnsi" w:hAnsiTheme="minorHAnsi" w:cs="Times New Roman"/>
          <w:snapToGrid/>
          <w:szCs w:val="24"/>
          <w:lang w:eastAsia="en-AU"/>
        </w:rPr>
        <w:t>/</w:t>
      </w:r>
      <w:proofErr w:type="spellStart"/>
      <w:r w:rsidRPr="002B66AB">
        <w:rPr>
          <w:rFonts w:asciiTheme="minorHAnsi" w:hAnsiTheme="minorHAnsi" w:cs="Times New Roman"/>
          <w:snapToGrid/>
          <w:szCs w:val="24"/>
          <w:lang w:eastAsia="en-AU"/>
        </w:rPr>
        <w:t>ivacaftor</w:t>
      </w:r>
      <w:proofErr w:type="spellEnd"/>
      <w:r w:rsidRPr="002B66AB">
        <w:rPr>
          <w:rFonts w:asciiTheme="minorHAnsi" w:hAnsiTheme="minorHAnsi" w:cs="Times New Roman"/>
          <w:snapToGrid/>
          <w:szCs w:val="24"/>
          <w:lang w:eastAsia="en-AU"/>
        </w:rPr>
        <w:t xml:space="preserve"> has not yet been recommended for listing, despite a number of submissions being made to the PBAC. </w:t>
      </w:r>
    </w:p>
    <w:p w:rsidR="00C8772D" w:rsidRPr="002B66AB" w:rsidRDefault="00C8772D" w:rsidP="00431133">
      <w:pPr>
        <w:pStyle w:val="ListParagraph"/>
        <w:numPr>
          <w:ilvl w:val="1"/>
          <w:numId w:val="45"/>
        </w:numPr>
        <w:ind w:hanging="720"/>
        <w:rPr>
          <w:rFonts w:asciiTheme="minorHAnsi" w:hAnsiTheme="minorHAnsi"/>
          <w:bCs/>
          <w:szCs w:val="24"/>
          <w:lang w:eastAsia="en-AU"/>
        </w:rPr>
      </w:pPr>
      <w:r w:rsidRPr="002B66AB">
        <w:rPr>
          <w:rFonts w:asciiTheme="minorHAnsi" w:hAnsiTheme="minorHAnsi"/>
          <w:bCs/>
          <w:szCs w:val="24"/>
          <w:lang w:eastAsia="en-AU"/>
        </w:rPr>
        <w:t>The PBAC noted the advice received from the Cystic Fibrosis Centre Directors (representing interests from the Cystic Fibrosis</w:t>
      </w:r>
      <w:r w:rsidRPr="002B66AB">
        <w:rPr>
          <w:rFonts w:ascii="Arial" w:hAnsi="Arial"/>
          <w:snapToGrid/>
          <w:sz w:val="23"/>
          <w:szCs w:val="23"/>
          <w:lang w:eastAsia="en-AU"/>
        </w:rPr>
        <w:t xml:space="preserve"> </w:t>
      </w:r>
      <w:r w:rsidRPr="002B66AB">
        <w:rPr>
          <w:rFonts w:asciiTheme="minorHAnsi" w:hAnsiTheme="minorHAnsi" w:cstheme="minorHAnsi"/>
          <w:snapToGrid/>
          <w:szCs w:val="24"/>
          <w:lang w:eastAsia="en-AU"/>
        </w:rPr>
        <w:t>Specialist Interest Group of the Thoracic Society of Australia and New Zealand, and Cystic Fibrosis Australia)</w:t>
      </w:r>
      <w:r w:rsidR="00CB0423">
        <w:rPr>
          <w:rFonts w:asciiTheme="minorHAnsi" w:hAnsiTheme="minorHAnsi" w:cstheme="minorHAnsi"/>
          <w:snapToGrid/>
          <w:szCs w:val="24"/>
          <w:lang w:eastAsia="en-AU"/>
        </w:rPr>
        <w:t>, Cystic Fibrosis Australia</w:t>
      </w:r>
      <w:r w:rsidRPr="002B66AB">
        <w:rPr>
          <w:rFonts w:asciiTheme="minorHAnsi" w:hAnsiTheme="minorHAnsi" w:cstheme="minorHAnsi"/>
          <w:snapToGrid/>
          <w:szCs w:val="24"/>
          <w:lang w:eastAsia="en-AU"/>
        </w:rPr>
        <w:t xml:space="preserve"> and Cystic Fibrosis SA.</w:t>
      </w:r>
      <w:r w:rsidRPr="002B66AB">
        <w:rPr>
          <w:rFonts w:asciiTheme="minorHAnsi" w:hAnsiTheme="minorHAnsi" w:cstheme="minorHAnsi"/>
          <w:bCs/>
          <w:szCs w:val="24"/>
          <w:lang w:eastAsia="en-AU"/>
        </w:rPr>
        <w:t xml:space="preserve">  </w:t>
      </w:r>
      <w:r w:rsidRPr="002B66AB">
        <w:rPr>
          <w:rFonts w:asciiTheme="minorHAnsi" w:hAnsiTheme="minorHAnsi"/>
          <w:bCs/>
          <w:szCs w:val="24"/>
          <w:lang w:eastAsia="en-AU"/>
        </w:rPr>
        <w:t xml:space="preserve">The PBAC specifically noted the advice that the use of </w:t>
      </w:r>
      <w:proofErr w:type="spellStart"/>
      <w:r w:rsidRPr="002B66AB">
        <w:rPr>
          <w:rFonts w:asciiTheme="minorHAnsi" w:hAnsiTheme="minorHAnsi"/>
          <w:bCs/>
          <w:szCs w:val="24"/>
          <w:lang w:eastAsia="en-AU"/>
        </w:rPr>
        <w:t>lumacaftor</w:t>
      </w:r>
      <w:proofErr w:type="spellEnd"/>
      <w:r w:rsidRPr="002B66AB">
        <w:rPr>
          <w:rFonts w:asciiTheme="minorHAnsi" w:hAnsiTheme="minorHAnsi"/>
          <w:bCs/>
          <w:szCs w:val="24"/>
          <w:lang w:eastAsia="en-AU"/>
        </w:rPr>
        <w:t>/</w:t>
      </w:r>
      <w:proofErr w:type="spellStart"/>
      <w:r w:rsidRPr="002B66AB">
        <w:rPr>
          <w:rFonts w:asciiTheme="minorHAnsi" w:hAnsiTheme="minorHAnsi"/>
          <w:bCs/>
          <w:szCs w:val="24"/>
          <w:lang w:eastAsia="en-AU"/>
        </w:rPr>
        <w:t>ivacaftor</w:t>
      </w:r>
      <w:proofErr w:type="spellEnd"/>
      <w:r w:rsidRPr="002B66AB">
        <w:rPr>
          <w:rFonts w:asciiTheme="minorHAnsi" w:hAnsiTheme="minorHAnsi"/>
          <w:bCs/>
          <w:szCs w:val="24"/>
          <w:lang w:eastAsia="en-AU"/>
        </w:rPr>
        <w:t xml:space="preserve"> may halt or slow decline in lung function; reduce hospital stays, IV treatments and hospitalisation costs; and improve nutritional status and quality of life. The advice received from the </w:t>
      </w:r>
      <w:r w:rsidRPr="002B66AB">
        <w:rPr>
          <w:rFonts w:asciiTheme="minorHAnsi" w:hAnsiTheme="minorHAnsi" w:cstheme="minorHAnsi"/>
          <w:bCs/>
          <w:szCs w:val="24"/>
          <w:lang w:eastAsia="en-AU"/>
        </w:rPr>
        <w:t xml:space="preserve">Cystic Fibrosis Centre Directors also noted that in the experience of </w:t>
      </w:r>
      <w:r w:rsidRPr="002B66AB">
        <w:rPr>
          <w:rFonts w:asciiTheme="minorHAnsi" w:hAnsiTheme="minorHAnsi" w:cstheme="minorHAnsi"/>
          <w:snapToGrid/>
          <w:szCs w:val="24"/>
          <w:lang w:eastAsia="en-AU"/>
        </w:rPr>
        <w:t>Australian CF physicians who have used this drug in trials and on the compassionate Special Access Scheme, patients have experienced a reduction in acute respiratory exacerbations. The advice states that “acute respiratory exacerbations in CF result in worsening of lung function, permanent loss of lung function and decreased survival” and that “any therapy that reduces the rate of acute exacerbations is likely therefore to have a very beneficial effect on the clinical course of patients with CF.”</w:t>
      </w:r>
      <w:r w:rsidRPr="002B66AB">
        <w:rPr>
          <w:rFonts w:asciiTheme="minorHAnsi" w:hAnsiTheme="minorHAnsi"/>
          <w:bCs/>
          <w:szCs w:val="24"/>
          <w:lang w:eastAsia="en-AU"/>
        </w:rPr>
        <w:t xml:space="preserve"> The PBAC noted that although this advice was supportive of the evidence provided in the submission, the authors were not able to provide data from Australian patients to substantiate these observations ahead of PBAC consideration.</w:t>
      </w:r>
    </w:p>
    <w:bookmarkEnd w:id="8"/>
    <w:p w:rsidR="00EA40FE" w:rsidRPr="002B66AB" w:rsidRDefault="00EA40FE" w:rsidP="005E7B11">
      <w:pPr>
        <w:pStyle w:val="Heading2"/>
        <w:tabs>
          <w:tab w:val="left" w:pos="1926"/>
        </w:tabs>
        <w:spacing w:before="240" w:after="120"/>
      </w:pPr>
      <w:r w:rsidRPr="002B66AB">
        <w:t>Clinical trials</w:t>
      </w:r>
      <w:bookmarkEnd w:id="9"/>
    </w:p>
    <w:p w:rsidR="00E705FC" w:rsidRPr="002B66AB" w:rsidRDefault="00E705FC" w:rsidP="00431133">
      <w:pPr>
        <w:pStyle w:val="ListParagraph"/>
        <w:numPr>
          <w:ilvl w:val="1"/>
          <w:numId w:val="45"/>
        </w:numPr>
        <w:ind w:hanging="720"/>
      </w:pPr>
      <w:r w:rsidRPr="002B66AB">
        <w:t xml:space="preserve">The submission was based on one randomised clinical trial comparing </w:t>
      </w:r>
      <w:proofErr w:type="spellStart"/>
      <w:r w:rsidRPr="002B66AB">
        <w:t>lumacaftor</w:t>
      </w:r>
      <w:proofErr w:type="spellEnd"/>
      <w:r w:rsidRPr="002B66AB">
        <w:t>/</w:t>
      </w:r>
      <w:proofErr w:type="spellStart"/>
      <w:r w:rsidRPr="002B66AB">
        <w:t>ivacaftor</w:t>
      </w:r>
      <w:proofErr w:type="spellEnd"/>
      <w:r w:rsidRPr="002B66AB">
        <w:t xml:space="preserve"> to placebo, Study 109 (VX15-809-109). In addition, one supplementary supportive open-label, two part study (Study 011) was included.</w:t>
      </w:r>
    </w:p>
    <w:p w:rsidR="00E705FC" w:rsidRPr="002B66AB" w:rsidRDefault="00E705FC" w:rsidP="00431133">
      <w:pPr>
        <w:pStyle w:val="ListParagraph"/>
        <w:numPr>
          <w:ilvl w:val="1"/>
          <w:numId w:val="45"/>
        </w:numPr>
        <w:ind w:hanging="720"/>
        <w:rPr>
          <w:rFonts w:cs="Calibri"/>
          <w:snapToGrid/>
          <w:szCs w:val="24"/>
          <w:lang w:val="en-US" w:eastAsia="en-AU"/>
        </w:rPr>
      </w:pPr>
      <w:r w:rsidRPr="002B66AB">
        <w:rPr>
          <w:rFonts w:cs="Calibri"/>
          <w:snapToGrid/>
          <w:szCs w:val="24"/>
          <w:lang w:val="en-US" w:eastAsia="en-AU"/>
        </w:rPr>
        <w:t>The submission excluded one potentially relevant study, Study 110, on the basis that it was currently ongoing and complete data were not yet available.</w:t>
      </w:r>
      <w:r w:rsidRPr="002B66AB">
        <w:t xml:space="preserve"> </w:t>
      </w:r>
      <w:r w:rsidR="00682304" w:rsidRPr="002B66AB">
        <w:t>At noted above, the PBAC considered that d</w:t>
      </w:r>
      <w:proofErr w:type="spellStart"/>
      <w:r w:rsidRPr="002B66AB">
        <w:rPr>
          <w:rFonts w:cs="Calibri"/>
          <w:snapToGrid/>
          <w:szCs w:val="24"/>
          <w:lang w:val="en-US" w:eastAsia="en-AU"/>
        </w:rPr>
        <w:t>ata</w:t>
      </w:r>
      <w:proofErr w:type="spellEnd"/>
      <w:r w:rsidRPr="002B66AB">
        <w:rPr>
          <w:rFonts w:cs="Calibri"/>
          <w:snapToGrid/>
          <w:szCs w:val="24"/>
          <w:lang w:val="en-US" w:eastAsia="en-AU"/>
        </w:rPr>
        <w:t xml:space="preserve"> from this study would provide important information on the efficacy and safety of </w:t>
      </w:r>
      <w:proofErr w:type="spellStart"/>
      <w:r w:rsidRPr="002B66AB">
        <w:rPr>
          <w:rFonts w:cs="Calibri"/>
          <w:snapToGrid/>
          <w:szCs w:val="24"/>
          <w:lang w:val="en-US" w:eastAsia="en-AU"/>
        </w:rPr>
        <w:t>lumacaftor</w:t>
      </w:r>
      <w:proofErr w:type="spellEnd"/>
      <w:r w:rsidRPr="002B66AB">
        <w:rPr>
          <w:rFonts w:cs="Calibri"/>
          <w:snapToGrid/>
          <w:szCs w:val="24"/>
          <w:lang w:val="en-US" w:eastAsia="en-AU"/>
        </w:rPr>
        <w:t>/</w:t>
      </w:r>
      <w:proofErr w:type="spellStart"/>
      <w:r w:rsidRPr="002B66AB">
        <w:rPr>
          <w:rFonts w:cs="Calibri"/>
          <w:snapToGrid/>
          <w:szCs w:val="24"/>
          <w:lang w:val="en-US" w:eastAsia="en-AU"/>
        </w:rPr>
        <w:t>ivac</w:t>
      </w:r>
      <w:r w:rsidR="00D92CD4">
        <w:rPr>
          <w:rFonts w:cs="Calibri"/>
          <w:snapToGrid/>
          <w:szCs w:val="24"/>
          <w:lang w:val="en-US" w:eastAsia="en-AU"/>
        </w:rPr>
        <w:t>aftor</w:t>
      </w:r>
      <w:proofErr w:type="spellEnd"/>
      <w:r w:rsidR="00D92CD4">
        <w:rPr>
          <w:rFonts w:cs="Calibri"/>
          <w:snapToGrid/>
          <w:szCs w:val="24"/>
          <w:lang w:val="en-US" w:eastAsia="en-AU"/>
        </w:rPr>
        <w:t xml:space="preserve"> in patients 6 – 11 years.</w:t>
      </w:r>
    </w:p>
    <w:p w:rsidR="00E705FC" w:rsidRPr="002B66AB" w:rsidRDefault="00E705FC" w:rsidP="00431133">
      <w:pPr>
        <w:pStyle w:val="ListParagraph"/>
        <w:numPr>
          <w:ilvl w:val="1"/>
          <w:numId w:val="45"/>
        </w:numPr>
        <w:ind w:hanging="720"/>
        <w:rPr>
          <w:rFonts w:asciiTheme="minorHAnsi" w:hAnsiTheme="minorHAnsi" w:cstheme="minorHAnsi"/>
          <w:szCs w:val="24"/>
        </w:rPr>
      </w:pPr>
      <w:r w:rsidRPr="002B66AB">
        <w:rPr>
          <w:rFonts w:asciiTheme="minorHAnsi" w:hAnsiTheme="minorHAnsi" w:cstheme="minorHAnsi"/>
          <w:snapToGrid/>
          <w:szCs w:val="24"/>
          <w:lang w:val="en-US" w:eastAsia="en-AU"/>
        </w:rPr>
        <w:t xml:space="preserve">Details of the trials presented in the submission are provided in </w:t>
      </w:r>
      <w:r w:rsidR="006F480C" w:rsidRPr="002B66AB">
        <w:rPr>
          <w:rFonts w:asciiTheme="minorHAnsi" w:hAnsiTheme="minorHAnsi" w:cstheme="minorHAnsi"/>
          <w:bCs/>
          <w:szCs w:val="24"/>
        </w:rPr>
        <w:t xml:space="preserve">Table </w:t>
      </w:r>
      <w:r w:rsidR="006F480C" w:rsidRPr="002B66AB">
        <w:rPr>
          <w:rFonts w:asciiTheme="minorHAnsi" w:hAnsiTheme="minorHAnsi" w:cstheme="minorHAnsi"/>
          <w:bCs/>
          <w:noProof/>
          <w:szCs w:val="24"/>
        </w:rPr>
        <w:t>3</w:t>
      </w:r>
      <w:r w:rsidR="00D92CD4">
        <w:rPr>
          <w:rFonts w:asciiTheme="minorHAnsi" w:hAnsiTheme="minorHAnsi" w:cstheme="minorHAnsi"/>
          <w:snapToGrid/>
          <w:szCs w:val="24"/>
          <w:lang w:val="en-US" w:eastAsia="en-AU"/>
        </w:rPr>
        <w:t>.</w:t>
      </w:r>
    </w:p>
    <w:p w:rsidR="009F2127" w:rsidRDefault="009F2127">
      <w:pPr>
        <w:widowControl/>
        <w:jc w:val="left"/>
        <w:rPr>
          <w:rFonts w:ascii="Arial Narrow" w:hAnsi="Arial Narrow"/>
          <w:b/>
          <w:bCs/>
          <w:sz w:val="20"/>
          <w:szCs w:val="20"/>
        </w:rPr>
      </w:pPr>
      <w:bookmarkStart w:id="10" w:name="_Ref511371842"/>
      <w:r>
        <w:rPr>
          <w:rFonts w:ascii="Arial Narrow" w:hAnsi="Arial Narrow"/>
          <w:b/>
          <w:bCs/>
          <w:sz w:val="20"/>
          <w:szCs w:val="20"/>
        </w:rPr>
        <w:br w:type="page"/>
      </w:r>
    </w:p>
    <w:p w:rsidR="00E705FC" w:rsidRPr="002B66AB" w:rsidRDefault="00E705FC" w:rsidP="00E705FC">
      <w:pPr>
        <w:keepNext/>
        <w:rPr>
          <w:rFonts w:ascii="Arial Narrow" w:hAnsi="Arial Narrow"/>
          <w:b/>
          <w:bCs/>
          <w:sz w:val="20"/>
          <w:szCs w:val="20"/>
        </w:rPr>
      </w:pPr>
      <w:r w:rsidRPr="002B66AB">
        <w:rPr>
          <w:rFonts w:ascii="Arial Narrow" w:hAnsi="Arial Narrow"/>
          <w:b/>
          <w:bCs/>
          <w:sz w:val="20"/>
          <w:szCs w:val="20"/>
        </w:rPr>
        <w:lastRenderedPageBreak/>
        <w:t xml:space="preserve">Table </w:t>
      </w:r>
      <w:r w:rsidR="006F480C" w:rsidRPr="002B66AB">
        <w:rPr>
          <w:rFonts w:ascii="Arial Narrow" w:hAnsi="Arial Narrow"/>
          <w:b/>
          <w:bCs/>
          <w:noProof/>
          <w:sz w:val="20"/>
          <w:szCs w:val="20"/>
        </w:rPr>
        <w:t>3</w:t>
      </w:r>
      <w:bookmarkEnd w:id="10"/>
      <w:r w:rsidRPr="002B66AB">
        <w:rPr>
          <w:rFonts w:ascii="Arial Narrow" w:hAnsi="Arial Narrow"/>
          <w:b/>
          <w:bCs/>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2B66AB" w:rsidRPr="002B66AB" w:rsidTr="00B558F0">
        <w:trPr>
          <w:tblHeader/>
        </w:trPr>
        <w:tc>
          <w:tcPr>
            <w:tcW w:w="796" w:type="pct"/>
            <w:vAlign w:val="center"/>
          </w:tcPr>
          <w:p w:rsidR="00E705FC" w:rsidRPr="002B66AB" w:rsidRDefault="00E705FC" w:rsidP="00B558F0">
            <w:pPr>
              <w:widowControl/>
              <w:jc w:val="left"/>
              <w:rPr>
                <w:rFonts w:ascii="Arial Narrow" w:hAnsi="Arial Narrow" w:cs="Times New Roman"/>
                <w:b/>
                <w:snapToGrid/>
                <w:sz w:val="20"/>
              </w:rPr>
            </w:pPr>
            <w:r w:rsidRPr="002B66AB">
              <w:rPr>
                <w:rFonts w:ascii="Arial Narrow" w:hAnsi="Arial Narrow" w:cs="Times New Roman"/>
                <w:b/>
                <w:snapToGrid/>
                <w:sz w:val="20"/>
              </w:rPr>
              <w:t>Trial ID</w:t>
            </w:r>
          </w:p>
        </w:tc>
        <w:tc>
          <w:tcPr>
            <w:tcW w:w="3027" w:type="pct"/>
            <w:vAlign w:val="center"/>
          </w:tcPr>
          <w:p w:rsidR="00E705FC" w:rsidRPr="002B66AB" w:rsidRDefault="00E705FC" w:rsidP="00B558F0">
            <w:pPr>
              <w:widowControl/>
              <w:jc w:val="center"/>
              <w:rPr>
                <w:rFonts w:ascii="Arial Narrow" w:hAnsi="Arial Narrow" w:cs="Times New Roman"/>
                <w:b/>
                <w:snapToGrid/>
                <w:sz w:val="20"/>
              </w:rPr>
            </w:pPr>
            <w:r w:rsidRPr="002B66AB">
              <w:rPr>
                <w:rFonts w:ascii="Arial Narrow" w:hAnsi="Arial Narrow" w:cs="Times New Roman"/>
                <w:b/>
                <w:snapToGrid/>
                <w:sz w:val="20"/>
              </w:rPr>
              <w:t>Protocol title/ Publication title</w:t>
            </w:r>
          </w:p>
        </w:tc>
        <w:tc>
          <w:tcPr>
            <w:tcW w:w="1177" w:type="pct"/>
            <w:vAlign w:val="center"/>
          </w:tcPr>
          <w:p w:rsidR="00E705FC" w:rsidRPr="002B66AB" w:rsidRDefault="00E705FC" w:rsidP="00B558F0">
            <w:pPr>
              <w:widowControl/>
              <w:jc w:val="center"/>
              <w:rPr>
                <w:rFonts w:ascii="Arial Narrow" w:hAnsi="Arial Narrow" w:cs="Times New Roman"/>
                <w:b/>
                <w:snapToGrid/>
                <w:sz w:val="20"/>
              </w:rPr>
            </w:pPr>
            <w:r w:rsidRPr="002B66AB">
              <w:rPr>
                <w:rFonts w:ascii="Arial Narrow" w:hAnsi="Arial Narrow" w:cs="Times New Roman"/>
                <w:b/>
                <w:snapToGrid/>
                <w:sz w:val="20"/>
              </w:rPr>
              <w:t>Publication citation</w:t>
            </w:r>
          </w:p>
        </w:tc>
      </w:tr>
      <w:tr w:rsidR="002B66AB" w:rsidRPr="002B66AB" w:rsidTr="00B558F0">
        <w:tc>
          <w:tcPr>
            <w:tcW w:w="796" w:type="pct"/>
            <w:tcBorders>
              <w:bottom w:val="nil"/>
            </w:tcBorders>
            <w:vAlign w:val="center"/>
          </w:tcPr>
          <w:p w:rsidR="00E705FC" w:rsidRPr="002B66AB" w:rsidRDefault="00E705FC" w:rsidP="00B558F0">
            <w:pPr>
              <w:widowControl/>
              <w:jc w:val="left"/>
              <w:rPr>
                <w:rFonts w:ascii="Times" w:hAnsi="Times" w:cs="Times New Roman"/>
                <w:snapToGrid/>
                <w:sz w:val="20"/>
              </w:rPr>
            </w:pPr>
          </w:p>
        </w:tc>
        <w:tc>
          <w:tcPr>
            <w:tcW w:w="3027" w:type="pct"/>
            <w:tcBorders>
              <w:bottom w:val="nil"/>
            </w:tcBorders>
            <w:vAlign w:val="center"/>
          </w:tcPr>
          <w:p w:rsidR="00E705FC" w:rsidRPr="002B66AB" w:rsidRDefault="00E705FC" w:rsidP="00B558F0">
            <w:pPr>
              <w:widowControl/>
              <w:jc w:val="left"/>
              <w:rPr>
                <w:rFonts w:ascii="Arial Narrow" w:hAnsi="Arial Narrow" w:cs="Times New Roman"/>
                <w:snapToGrid/>
                <w:sz w:val="20"/>
                <w:szCs w:val="18"/>
              </w:rPr>
            </w:pPr>
            <w:r w:rsidRPr="002B66AB">
              <w:rPr>
                <w:rFonts w:ascii="Arial Narrow" w:hAnsi="Arial Narrow" w:cs="Times New Roman"/>
                <w:snapToGrid/>
                <w:sz w:val="20"/>
                <w:szCs w:val="18"/>
              </w:rPr>
              <w:t xml:space="preserve">A Randomized, Double-blind, Placebo-controlled </w:t>
            </w:r>
            <w:proofErr w:type="spellStart"/>
            <w:r w:rsidRPr="002B66AB">
              <w:rPr>
                <w:rFonts w:ascii="Arial Narrow" w:hAnsi="Arial Narrow" w:cs="Times New Roman"/>
                <w:snapToGrid/>
                <w:sz w:val="20"/>
                <w:szCs w:val="18"/>
              </w:rPr>
              <w:t>Multicenter</w:t>
            </w:r>
            <w:proofErr w:type="spellEnd"/>
            <w:r w:rsidRPr="002B66AB">
              <w:rPr>
                <w:rFonts w:ascii="Arial Narrow" w:hAnsi="Arial Narrow" w:cs="Times New Roman"/>
                <w:snapToGrid/>
                <w:sz w:val="20"/>
                <w:szCs w:val="18"/>
              </w:rPr>
              <w:t>,</w:t>
            </w:r>
            <w:r w:rsidRPr="002B66AB">
              <w:rPr>
                <w:rFonts w:ascii="Arial Narrow" w:hAnsi="Arial Narrow" w:cs="Times New Roman"/>
                <w:snapToGrid/>
                <w:sz w:val="20"/>
              </w:rPr>
              <w:t xml:space="preserve"> </w:t>
            </w:r>
            <w:r w:rsidRPr="002B66AB">
              <w:rPr>
                <w:rFonts w:ascii="Arial Narrow" w:hAnsi="Arial Narrow" w:cs="Times New Roman"/>
                <w:snapToGrid/>
                <w:sz w:val="20"/>
                <w:szCs w:val="18"/>
              </w:rPr>
              <w:t xml:space="preserve">Parallel group, Phase 3 Study of </w:t>
            </w:r>
            <w:proofErr w:type="spellStart"/>
            <w:r w:rsidRPr="002B66AB">
              <w:rPr>
                <w:rFonts w:ascii="Arial Narrow" w:hAnsi="Arial Narrow" w:cs="Times New Roman"/>
                <w:snapToGrid/>
                <w:sz w:val="20"/>
                <w:szCs w:val="18"/>
              </w:rPr>
              <w:t>lumacaftor</w:t>
            </w:r>
            <w:proofErr w:type="spellEnd"/>
            <w:r w:rsidRPr="002B66AB">
              <w:rPr>
                <w:rFonts w:ascii="Arial Narrow" w:hAnsi="Arial Narrow" w:cs="Times New Roman"/>
                <w:snapToGrid/>
                <w:sz w:val="20"/>
                <w:szCs w:val="18"/>
              </w:rPr>
              <w:t xml:space="preserve"> in combination with </w:t>
            </w:r>
            <w:proofErr w:type="spellStart"/>
            <w:r w:rsidRPr="002B66AB">
              <w:rPr>
                <w:rFonts w:ascii="Arial Narrow" w:hAnsi="Arial Narrow" w:cs="Times New Roman"/>
                <w:snapToGrid/>
                <w:sz w:val="20"/>
                <w:szCs w:val="18"/>
              </w:rPr>
              <w:t>ivacaftor</w:t>
            </w:r>
            <w:proofErr w:type="spellEnd"/>
            <w:r w:rsidRPr="002B66AB">
              <w:rPr>
                <w:rFonts w:ascii="Arial Narrow" w:hAnsi="Arial Narrow" w:cs="Times New Roman"/>
                <w:snapToGrid/>
                <w:sz w:val="20"/>
                <w:szCs w:val="18"/>
              </w:rPr>
              <w:t xml:space="preserve"> in Patients 6 through 11 Years  with Treatment-naive Cystic Fibrosis, Homozygous for the F508del-CFTR Mutation</w:t>
            </w:r>
          </w:p>
        </w:tc>
        <w:tc>
          <w:tcPr>
            <w:tcW w:w="1177" w:type="pct"/>
            <w:tcBorders>
              <w:bottom w:val="nil"/>
            </w:tcBorders>
            <w:vAlign w:val="center"/>
          </w:tcPr>
          <w:p w:rsidR="00E705FC" w:rsidRPr="002B66AB" w:rsidRDefault="00E705FC" w:rsidP="00B558F0">
            <w:pPr>
              <w:widowControl/>
              <w:jc w:val="left"/>
              <w:rPr>
                <w:rFonts w:ascii="Arial Narrow" w:hAnsi="Arial Narrow" w:cs="Times New Roman"/>
                <w:snapToGrid/>
                <w:sz w:val="20"/>
              </w:rPr>
            </w:pPr>
            <w:r w:rsidRPr="002B66AB">
              <w:rPr>
                <w:rFonts w:ascii="Arial Narrow" w:hAnsi="Arial Narrow" w:cs="Times New Roman"/>
                <w:snapToGrid/>
                <w:sz w:val="20"/>
              </w:rPr>
              <w:t>January 2017</w:t>
            </w:r>
          </w:p>
        </w:tc>
      </w:tr>
      <w:tr w:rsidR="002B66AB" w:rsidRPr="002B66AB" w:rsidTr="00B558F0">
        <w:tc>
          <w:tcPr>
            <w:tcW w:w="796" w:type="pct"/>
            <w:tcBorders>
              <w:top w:val="nil"/>
              <w:bottom w:val="nil"/>
            </w:tcBorders>
            <w:vAlign w:val="center"/>
          </w:tcPr>
          <w:p w:rsidR="00E705FC" w:rsidRPr="002B66AB" w:rsidRDefault="00E705FC" w:rsidP="00B558F0">
            <w:pPr>
              <w:widowControl/>
              <w:jc w:val="left"/>
              <w:rPr>
                <w:rFonts w:ascii="Arial Narrow" w:hAnsi="Arial Narrow" w:cs="Times New Roman"/>
                <w:snapToGrid/>
                <w:sz w:val="20"/>
              </w:rPr>
            </w:pPr>
            <w:r w:rsidRPr="002B66AB">
              <w:rPr>
                <w:rFonts w:ascii="Arial Narrow" w:hAnsi="Arial Narrow" w:cs="Times New Roman"/>
                <w:snapToGrid/>
                <w:sz w:val="20"/>
              </w:rPr>
              <w:t>Study 109</w:t>
            </w:r>
          </w:p>
        </w:tc>
        <w:tc>
          <w:tcPr>
            <w:tcW w:w="3027" w:type="pct"/>
            <w:tcBorders>
              <w:top w:val="nil"/>
              <w:bottom w:val="nil"/>
            </w:tcBorders>
            <w:vAlign w:val="center"/>
          </w:tcPr>
          <w:p w:rsidR="00E705FC" w:rsidRPr="002B66AB" w:rsidRDefault="00E705FC" w:rsidP="00B558F0">
            <w:pPr>
              <w:widowControl/>
              <w:jc w:val="left"/>
              <w:rPr>
                <w:rFonts w:ascii="Arial Narrow" w:hAnsi="Arial Narrow" w:cs="Times New Roman"/>
                <w:snapToGrid/>
                <w:sz w:val="20"/>
                <w:szCs w:val="18"/>
                <w:lang w:eastAsia="en-AU"/>
              </w:rPr>
            </w:pPr>
            <w:r w:rsidRPr="002B66AB">
              <w:rPr>
                <w:rFonts w:ascii="Arial Narrow" w:hAnsi="Arial Narrow" w:cs="Times New Roman"/>
                <w:snapToGrid/>
                <w:sz w:val="20"/>
                <w:szCs w:val="18"/>
                <w:lang w:val="nn-NO" w:eastAsia="en-AU"/>
              </w:rPr>
              <w:t xml:space="preserve">Ratjen F, Hug C, Marigowda M, et al. </w:t>
            </w:r>
            <w:r w:rsidRPr="002B66AB">
              <w:rPr>
                <w:rFonts w:ascii="Arial Narrow" w:hAnsi="Arial Narrow" w:cs="Times New Roman"/>
                <w:snapToGrid/>
                <w:sz w:val="20"/>
                <w:szCs w:val="18"/>
                <w:lang w:eastAsia="en-AU"/>
              </w:rPr>
              <w:t xml:space="preserve">Efficacy and safety of </w:t>
            </w:r>
            <w:proofErr w:type="spellStart"/>
            <w:r w:rsidRPr="002B66AB">
              <w:rPr>
                <w:rFonts w:ascii="Arial Narrow" w:hAnsi="Arial Narrow" w:cs="Times New Roman"/>
                <w:snapToGrid/>
                <w:sz w:val="20"/>
                <w:szCs w:val="18"/>
                <w:lang w:eastAsia="en-AU"/>
              </w:rPr>
              <w:t>lumacaftor</w:t>
            </w:r>
            <w:proofErr w:type="spellEnd"/>
            <w:r w:rsidRPr="002B66AB">
              <w:rPr>
                <w:rFonts w:ascii="Arial Narrow" w:hAnsi="Arial Narrow" w:cs="Times New Roman"/>
                <w:snapToGrid/>
                <w:sz w:val="20"/>
                <w:szCs w:val="18"/>
                <w:lang w:eastAsia="en-AU"/>
              </w:rPr>
              <w:t xml:space="preserve"> and </w:t>
            </w:r>
            <w:proofErr w:type="spellStart"/>
            <w:r w:rsidRPr="002B66AB">
              <w:rPr>
                <w:rFonts w:ascii="Arial Narrow" w:hAnsi="Arial Narrow" w:cs="Times New Roman"/>
                <w:snapToGrid/>
                <w:sz w:val="20"/>
                <w:szCs w:val="18"/>
                <w:lang w:eastAsia="en-AU"/>
              </w:rPr>
              <w:t>ivacaftor</w:t>
            </w:r>
            <w:proofErr w:type="spellEnd"/>
            <w:r w:rsidRPr="002B66AB">
              <w:rPr>
                <w:rFonts w:ascii="Arial Narrow" w:hAnsi="Arial Narrow" w:cs="Times New Roman"/>
                <w:snapToGrid/>
                <w:sz w:val="20"/>
                <w:szCs w:val="18"/>
                <w:lang w:eastAsia="en-AU"/>
              </w:rPr>
              <w:t xml:space="preserve"> in subjects aged 6–11 years with cystic fibrosis homozygous for F508del-CFTR: a randomized, placebo-controlled phase 3 trial.</w:t>
            </w:r>
          </w:p>
        </w:tc>
        <w:tc>
          <w:tcPr>
            <w:tcW w:w="1177" w:type="pct"/>
            <w:tcBorders>
              <w:top w:val="nil"/>
              <w:bottom w:val="nil"/>
            </w:tcBorders>
            <w:vAlign w:val="center"/>
          </w:tcPr>
          <w:p w:rsidR="00E705FC" w:rsidRPr="002B66AB" w:rsidRDefault="00E705FC" w:rsidP="00B558F0">
            <w:pPr>
              <w:widowControl/>
              <w:jc w:val="left"/>
              <w:rPr>
                <w:rFonts w:ascii="Arial Narrow" w:hAnsi="Arial Narrow" w:cs="Times New Roman"/>
                <w:snapToGrid/>
                <w:sz w:val="20"/>
                <w:szCs w:val="18"/>
                <w:lang w:eastAsia="en-AU"/>
              </w:rPr>
            </w:pPr>
            <w:r w:rsidRPr="002B66AB">
              <w:rPr>
                <w:rFonts w:ascii="Arial Narrow" w:hAnsi="Arial Narrow" w:cs="Times New Roman"/>
                <w:snapToGrid/>
                <w:sz w:val="20"/>
                <w:szCs w:val="18"/>
                <w:lang w:eastAsia="en-AU"/>
              </w:rPr>
              <w:t>The Lancet Respiratory Medicine. 2017; 5(7): 557–567</w:t>
            </w:r>
          </w:p>
        </w:tc>
      </w:tr>
      <w:tr w:rsidR="002B66AB" w:rsidRPr="002B66AB" w:rsidTr="00B558F0">
        <w:tc>
          <w:tcPr>
            <w:tcW w:w="796" w:type="pct"/>
            <w:tcBorders>
              <w:top w:val="nil"/>
              <w:bottom w:val="nil"/>
            </w:tcBorders>
            <w:vAlign w:val="center"/>
          </w:tcPr>
          <w:p w:rsidR="00E705FC" w:rsidRPr="002B66AB" w:rsidRDefault="00E705FC" w:rsidP="00B558F0">
            <w:pPr>
              <w:widowControl/>
              <w:jc w:val="left"/>
              <w:rPr>
                <w:rFonts w:ascii="Arial Narrow" w:hAnsi="Arial Narrow" w:cs="Times New Roman"/>
                <w:snapToGrid/>
                <w:sz w:val="20"/>
              </w:rPr>
            </w:pPr>
          </w:p>
        </w:tc>
        <w:tc>
          <w:tcPr>
            <w:tcW w:w="3027" w:type="pct"/>
            <w:tcBorders>
              <w:top w:val="nil"/>
              <w:bottom w:val="nil"/>
            </w:tcBorders>
            <w:vAlign w:val="center"/>
          </w:tcPr>
          <w:p w:rsidR="00E705FC" w:rsidRPr="002B66AB" w:rsidRDefault="00E705FC" w:rsidP="00B558F0">
            <w:pPr>
              <w:widowControl/>
              <w:jc w:val="left"/>
              <w:rPr>
                <w:rFonts w:ascii="Arial Narrow" w:hAnsi="Arial Narrow" w:cs="Times New Roman"/>
                <w:snapToGrid/>
                <w:sz w:val="20"/>
                <w:szCs w:val="18"/>
                <w:lang w:val="en-US" w:eastAsia="en-AU"/>
              </w:rPr>
            </w:pPr>
            <w:r w:rsidRPr="002B66AB">
              <w:rPr>
                <w:rFonts w:ascii="Arial Narrow" w:hAnsi="Arial Narrow" w:cs="Times New Roman"/>
                <w:snapToGrid/>
                <w:sz w:val="20"/>
                <w:szCs w:val="18"/>
                <w:lang w:val="en-US" w:eastAsia="en-AU"/>
              </w:rPr>
              <w:t xml:space="preserve">Brody AS, Nagle SK, Owen CA, et al. Effect of </w:t>
            </w:r>
            <w:proofErr w:type="spellStart"/>
            <w:r w:rsidRPr="002B66AB">
              <w:rPr>
                <w:rFonts w:ascii="Arial Narrow" w:hAnsi="Arial Narrow" w:cs="Times New Roman"/>
                <w:snapToGrid/>
                <w:sz w:val="20"/>
                <w:szCs w:val="18"/>
                <w:lang w:val="en-US" w:eastAsia="en-AU"/>
              </w:rPr>
              <w:t>lumacaftor</w:t>
            </w:r>
            <w:proofErr w:type="spellEnd"/>
            <w:r w:rsidRPr="002B66AB">
              <w:rPr>
                <w:rFonts w:ascii="Arial Narrow" w:hAnsi="Arial Narrow" w:cs="Times New Roman"/>
                <w:snapToGrid/>
                <w:sz w:val="20"/>
                <w:szCs w:val="18"/>
                <w:lang w:val="en-US" w:eastAsia="en-AU"/>
              </w:rPr>
              <w:t>/</w:t>
            </w:r>
            <w:proofErr w:type="spellStart"/>
            <w:r w:rsidRPr="002B66AB">
              <w:rPr>
                <w:rFonts w:ascii="Arial Narrow" w:hAnsi="Arial Narrow" w:cs="Times New Roman"/>
                <w:snapToGrid/>
                <w:sz w:val="20"/>
                <w:szCs w:val="18"/>
                <w:lang w:val="en-US" w:eastAsia="en-AU"/>
              </w:rPr>
              <w:t>ivacaftor</w:t>
            </w:r>
            <w:proofErr w:type="spellEnd"/>
            <w:r w:rsidRPr="002B66AB">
              <w:rPr>
                <w:rFonts w:ascii="Arial Narrow" w:hAnsi="Arial Narrow" w:cs="Times New Roman"/>
                <w:snapToGrid/>
                <w:sz w:val="20"/>
                <w:szCs w:val="18"/>
                <w:lang w:val="en-US" w:eastAsia="en-AU"/>
              </w:rPr>
              <w:t xml:space="preserve"> on total, bronchiectasis, and air trapping computed tomography scores in children with Cystic Fibrosis Homozygous for F508del: Exploratory imaging </w:t>
            </w:r>
            <w:proofErr w:type="spellStart"/>
            <w:r w:rsidRPr="002B66AB">
              <w:rPr>
                <w:rFonts w:ascii="Arial Narrow" w:hAnsi="Arial Narrow" w:cs="Times New Roman"/>
                <w:snapToGrid/>
                <w:sz w:val="20"/>
                <w:szCs w:val="18"/>
                <w:lang w:val="en-US" w:eastAsia="en-AU"/>
              </w:rPr>
              <w:t>substudy</w:t>
            </w:r>
            <w:proofErr w:type="spellEnd"/>
          </w:p>
          <w:p w:rsidR="00E705FC" w:rsidRPr="002B66AB" w:rsidRDefault="00E705FC" w:rsidP="00B558F0">
            <w:pPr>
              <w:widowControl/>
              <w:jc w:val="left"/>
              <w:rPr>
                <w:rFonts w:ascii="Arial Narrow" w:hAnsi="Arial Narrow" w:cs="Times New Roman"/>
                <w:snapToGrid/>
                <w:sz w:val="20"/>
                <w:szCs w:val="18"/>
                <w:lang w:val="en-US" w:eastAsia="en-AU"/>
              </w:rPr>
            </w:pPr>
            <w:r w:rsidRPr="002B66AB">
              <w:rPr>
                <w:rFonts w:ascii="Arial Narrow" w:hAnsi="Arial Narrow" w:cs="Times New Roman"/>
                <w:snapToGrid/>
                <w:sz w:val="20"/>
              </w:rPr>
              <w:t xml:space="preserve">Nagle SK, Brody AS, Woods J, et al. Feasibility of ultrashort echo time magnetic resonance imaging to evaluate the effect of </w:t>
            </w:r>
            <w:proofErr w:type="spellStart"/>
            <w:r w:rsidRPr="002B66AB">
              <w:rPr>
                <w:rFonts w:ascii="Arial Narrow" w:hAnsi="Arial Narrow" w:cs="Times New Roman"/>
                <w:snapToGrid/>
                <w:sz w:val="20"/>
              </w:rPr>
              <w:t>lumacaftor</w:t>
            </w:r>
            <w:proofErr w:type="spellEnd"/>
            <w:r w:rsidRPr="002B66AB">
              <w:rPr>
                <w:rFonts w:ascii="Arial Narrow" w:hAnsi="Arial Narrow" w:cs="Times New Roman"/>
                <w:snapToGrid/>
                <w:sz w:val="20"/>
              </w:rPr>
              <w:t>/</w:t>
            </w:r>
            <w:proofErr w:type="spellStart"/>
            <w:r w:rsidRPr="002B66AB">
              <w:rPr>
                <w:rFonts w:ascii="Arial Narrow" w:hAnsi="Arial Narrow" w:cs="Times New Roman"/>
                <w:snapToGrid/>
                <w:sz w:val="20"/>
              </w:rPr>
              <w:t>ivacaftor</w:t>
            </w:r>
            <w:proofErr w:type="spellEnd"/>
            <w:r w:rsidRPr="002B66AB">
              <w:rPr>
                <w:rFonts w:ascii="Arial Narrow" w:hAnsi="Arial Narrow" w:cs="Times New Roman"/>
                <w:snapToGrid/>
                <w:sz w:val="20"/>
              </w:rPr>
              <w:t xml:space="preserve"> therapy in children with cystic fibrosis homozygous for F508del</w:t>
            </w:r>
          </w:p>
        </w:tc>
        <w:tc>
          <w:tcPr>
            <w:tcW w:w="1177" w:type="pct"/>
            <w:tcBorders>
              <w:top w:val="nil"/>
              <w:bottom w:val="nil"/>
            </w:tcBorders>
            <w:vAlign w:val="center"/>
          </w:tcPr>
          <w:p w:rsidR="00E705FC" w:rsidRPr="002B66AB" w:rsidRDefault="00E705FC" w:rsidP="00B558F0">
            <w:pPr>
              <w:widowControl/>
              <w:jc w:val="left"/>
              <w:rPr>
                <w:rFonts w:ascii="Arial Narrow" w:hAnsi="Arial Narrow" w:cs="Times New Roman"/>
                <w:snapToGrid/>
                <w:sz w:val="20"/>
                <w:szCs w:val="18"/>
                <w:lang w:val="en-US" w:eastAsia="en-AU"/>
              </w:rPr>
            </w:pPr>
            <w:r w:rsidRPr="002B66AB">
              <w:rPr>
                <w:rFonts w:ascii="Arial Narrow" w:hAnsi="Arial Narrow" w:cs="Times New Roman"/>
                <w:snapToGrid/>
                <w:sz w:val="20"/>
                <w:szCs w:val="18"/>
                <w:lang w:val="en-US" w:eastAsia="en-AU"/>
              </w:rPr>
              <w:t>North American Cystic Fibrosis Conference, Indianapolis, USA, 2017.</w:t>
            </w:r>
          </w:p>
          <w:p w:rsidR="00E705FC" w:rsidRPr="002B66AB" w:rsidRDefault="00E705FC" w:rsidP="00B558F0">
            <w:pPr>
              <w:widowControl/>
              <w:jc w:val="left"/>
              <w:rPr>
                <w:rFonts w:ascii="Arial Narrow" w:hAnsi="Arial Narrow" w:cs="Times New Roman"/>
                <w:snapToGrid/>
                <w:sz w:val="20"/>
                <w:szCs w:val="18"/>
                <w:lang w:val="en-US" w:eastAsia="en-AU"/>
              </w:rPr>
            </w:pPr>
            <w:r w:rsidRPr="002B66AB">
              <w:rPr>
                <w:rFonts w:ascii="Arial Narrow" w:hAnsi="Arial Narrow" w:cs="Times New Roman"/>
                <w:snapToGrid/>
                <w:sz w:val="20"/>
              </w:rPr>
              <w:t>North American Cystic Fibrosis Conference, Indianapolis, USA, 2017</w:t>
            </w:r>
          </w:p>
        </w:tc>
      </w:tr>
      <w:tr w:rsidR="002B66AB" w:rsidRPr="002B66AB" w:rsidTr="00B558F0">
        <w:tc>
          <w:tcPr>
            <w:tcW w:w="796" w:type="pct"/>
            <w:tcBorders>
              <w:bottom w:val="nil"/>
            </w:tcBorders>
            <w:vAlign w:val="center"/>
          </w:tcPr>
          <w:p w:rsidR="00E705FC" w:rsidRPr="002B66AB" w:rsidRDefault="00E705FC" w:rsidP="00B558F0">
            <w:pPr>
              <w:widowControl/>
              <w:jc w:val="left"/>
              <w:rPr>
                <w:rFonts w:ascii="Times" w:hAnsi="Times" w:cs="Times New Roman"/>
                <w:snapToGrid/>
                <w:sz w:val="20"/>
              </w:rPr>
            </w:pPr>
            <w:r w:rsidRPr="002B66AB">
              <w:rPr>
                <w:rFonts w:ascii="Arial Narrow" w:hAnsi="Arial Narrow" w:cs="Times New Roman"/>
                <w:snapToGrid/>
                <w:sz w:val="20"/>
              </w:rPr>
              <w:t>Study 011</w:t>
            </w:r>
          </w:p>
        </w:tc>
        <w:tc>
          <w:tcPr>
            <w:tcW w:w="3027" w:type="pct"/>
            <w:tcBorders>
              <w:bottom w:val="nil"/>
            </w:tcBorders>
            <w:vAlign w:val="center"/>
          </w:tcPr>
          <w:p w:rsidR="00E705FC" w:rsidRPr="002B66AB" w:rsidRDefault="00E705FC" w:rsidP="00B558F0">
            <w:pPr>
              <w:widowControl/>
              <w:jc w:val="left"/>
              <w:rPr>
                <w:rFonts w:ascii="Arial Narrow" w:hAnsi="Arial Narrow" w:cs="Times New Roman"/>
                <w:snapToGrid/>
                <w:sz w:val="20"/>
                <w:szCs w:val="18"/>
              </w:rPr>
            </w:pPr>
            <w:r w:rsidRPr="002B66AB">
              <w:rPr>
                <w:rFonts w:ascii="Arial Narrow" w:hAnsi="Arial Narrow" w:cs="Times New Roman"/>
                <w:snapToGrid/>
                <w:sz w:val="20"/>
                <w:szCs w:val="18"/>
              </w:rPr>
              <w:t xml:space="preserve">An Open-label, Phase 3 Study to Evaluate the Pharmacokinetics, Safety and Tolerability of </w:t>
            </w:r>
            <w:proofErr w:type="spellStart"/>
            <w:r w:rsidRPr="002B66AB">
              <w:rPr>
                <w:rFonts w:ascii="Arial Narrow" w:hAnsi="Arial Narrow" w:cs="Times New Roman"/>
                <w:snapToGrid/>
                <w:sz w:val="20"/>
                <w:szCs w:val="18"/>
              </w:rPr>
              <w:t>Lumacaftor</w:t>
            </w:r>
            <w:proofErr w:type="spellEnd"/>
            <w:r w:rsidRPr="002B66AB">
              <w:rPr>
                <w:rFonts w:ascii="Arial Narrow" w:hAnsi="Arial Narrow" w:cs="Times New Roman"/>
                <w:snapToGrid/>
                <w:sz w:val="20"/>
                <w:szCs w:val="18"/>
              </w:rPr>
              <w:t xml:space="preserve"> in Combination with </w:t>
            </w:r>
            <w:proofErr w:type="spellStart"/>
            <w:r w:rsidRPr="002B66AB">
              <w:rPr>
                <w:rFonts w:ascii="Arial Narrow" w:hAnsi="Arial Narrow" w:cs="Times New Roman"/>
                <w:snapToGrid/>
                <w:sz w:val="20"/>
                <w:szCs w:val="18"/>
              </w:rPr>
              <w:t>Ivacaftor</w:t>
            </w:r>
            <w:proofErr w:type="spellEnd"/>
            <w:r w:rsidRPr="002B66AB">
              <w:rPr>
                <w:rFonts w:ascii="Arial Narrow" w:hAnsi="Arial Narrow" w:cs="Times New Roman"/>
                <w:snapToGrid/>
                <w:sz w:val="20"/>
                <w:szCs w:val="18"/>
              </w:rPr>
              <w:t xml:space="preserve"> in Patients 6 Through 11 Years of Age With Cystic Fibrosis, Homozygous for the</w:t>
            </w:r>
          </w:p>
          <w:p w:rsidR="00E705FC" w:rsidRPr="002B66AB" w:rsidRDefault="00E705FC" w:rsidP="00B558F0">
            <w:pPr>
              <w:widowControl/>
              <w:jc w:val="left"/>
              <w:rPr>
                <w:rFonts w:ascii="Times" w:hAnsi="Times" w:cs="Times New Roman"/>
                <w:snapToGrid/>
                <w:sz w:val="20"/>
                <w:lang w:val="en-US"/>
              </w:rPr>
            </w:pPr>
            <w:r w:rsidRPr="002B66AB">
              <w:rPr>
                <w:rFonts w:ascii="Arial Narrow" w:hAnsi="Arial Narrow" w:cs="Times New Roman"/>
                <w:snapToGrid/>
                <w:sz w:val="20"/>
                <w:szCs w:val="18"/>
              </w:rPr>
              <w:t xml:space="preserve">F508del-CFTR Mutation </w:t>
            </w:r>
          </w:p>
        </w:tc>
        <w:tc>
          <w:tcPr>
            <w:tcW w:w="1177" w:type="pct"/>
            <w:tcBorders>
              <w:bottom w:val="nil"/>
            </w:tcBorders>
            <w:vAlign w:val="center"/>
          </w:tcPr>
          <w:p w:rsidR="00E705FC" w:rsidRPr="002B66AB" w:rsidRDefault="00E705FC" w:rsidP="00B558F0">
            <w:pPr>
              <w:widowControl/>
              <w:jc w:val="left"/>
              <w:rPr>
                <w:rFonts w:ascii="Arial Narrow" w:hAnsi="Arial Narrow" w:cs="Times New Roman"/>
                <w:snapToGrid/>
                <w:sz w:val="20"/>
              </w:rPr>
            </w:pPr>
            <w:r w:rsidRPr="002B66AB">
              <w:rPr>
                <w:rFonts w:ascii="Arial Narrow" w:hAnsi="Arial Narrow" w:cs="Times New Roman"/>
                <w:snapToGrid/>
                <w:sz w:val="20"/>
              </w:rPr>
              <w:t>March 2016.</w:t>
            </w:r>
          </w:p>
        </w:tc>
      </w:tr>
      <w:tr w:rsidR="002B66AB" w:rsidRPr="002B66AB" w:rsidTr="00B558F0">
        <w:tc>
          <w:tcPr>
            <w:tcW w:w="796" w:type="pct"/>
            <w:tcBorders>
              <w:top w:val="nil"/>
              <w:bottom w:val="single" w:sz="4" w:space="0" w:color="auto"/>
            </w:tcBorders>
            <w:vAlign w:val="center"/>
          </w:tcPr>
          <w:p w:rsidR="00E705FC" w:rsidRPr="002B66AB" w:rsidRDefault="00E705FC" w:rsidP="00B558F0">
            <w:pPr>
              <w:widowControl/>
              <w:jc w:val="left"/>
              <w:rPr>
                <w:rFonts w:ascii="Arial Narrow" w:hAnsi="Arial Narrow" w:cs="Times New Roman"/>
                <w:snapToGrid/>
                <w:sz w:val="20"/>
              </w:rPr>
            </w:pPr>
          </w:p>
        </w:tc>
        <w:tc>
          <w:tcPr>
            <w:tcW w:w="3027" w:type="pct"/>
            <w:tcBorders>
              <w:top w:val="nil"/>
              <w:bottom w:val="single" w:sz="4" w:space="0" w:color="auto"/>
            </w:tcBorders>
            <w:vAlign w:val="center"/>
          </w:tcPr>
          <w:p w:rsidR="00E705FC" w:rsidRPr="002B66AB" w:rsidRDefault="00E705FC" w:rsidP="00B558F0">
            <w:pPr>
              <w:widowControl/>
              <w:jc w:val="left"/>
              <w:rPr>
                <w:rFonts w:ascii="Arial Narrow" w:hAnsi="Arial Narrow" w:cs="Times New Roman"/>
                <w:snapToGrid/>
                <w:sz w:val="20"/>
                <w:szCs w:val="18"/>
              </w:rPr>
            </w:pPr>
            <w:proofErr w:type="spellStart"/>
            <w:r w:rsidRPr="002B66AB">
              <w:rPr>
                <w:rFonts w:ascii="Arial Narrow" w:hAnsi="Arial Narrow" w:cs="Times New Roman"/>
                <w:snapToGrid/>
                <w:sz w:val="20"/>
                <w:szCs w:val="18"/>
              </w:rPr>
              <w:t>Chilvers</w:t>
            </w:r>
            <w:proofErr w:type="spellEnd"/>
            <w:r w:rsidRPr="002B66AB">
              <w:rPr>
                <w:rFonts w:ascii="Arial Narrow" w:hAnsi="Arial Narrow" w:cs="Times New Roman"/>
                <w:snapToGrid/>
                <w:sz w:val="20"/>
                <w:szCs w:val="18"/>
              </w:rPr>
              <w:t xml:space="preserve"> M, Tian S, </w:t>
            </w:r>
            <w:proofErr w:type="spellStart"/>
            <w:r w:rsidRPr="002B66AB">
              <w:rPr>
                <w:rFonts w:ascii="Arial Narrow" w:hAnsi="Arial Narrow" w:cs="Times New Roman"/>
                <w:snapToGrid/>
                <w:sz w:val="20"/>
                <w:szCs w:val="18"/>
              </w:rPr>
              <w:t>Marigowda</w:t>
            </w:r>
            <w:proofErr w:type="spellEnd"/>
            <w:r w:rsidRPr="002B66AB">
              <w:rPr>
                <w:rFonts w:ascii="Arial Narrow" w:hAnsi="Arial Narrow" w:cs="Times New Roman"/>
                <w:snapToGrid/>
                <w:sz w:val="20"/>
                <w:szCs w:val="18"/>
              </w:rPr>
              <w:t xml:space="preserve"> G, et al. An open-label extension (EXT) study of </w:t>
            </w:r>
            <w:proofErr w:type="spellStart"/>
            <w:r w:rsidRPr="002B66AB">
              <w:rPr>
                <w:rFonts w:ascii="Arial Narrow" w:hAnsi="Arial Narrow" w:cs="Times New Roman"/>
                <w:snapToGrid/>
                <w:sz w:val="20"/>
                <w:szCs w:val="18"/>
              </w:rPr>
              <w:t>lumacaftor</w:t>
            </w:r>
            <w:proofErr w:type="spellEnd"/>
            <w:r w:rsidRPr="002B66AB">
              <w:rPr>
                <w:rFonts w:ascii="Arial Narrow" w:hAnsi="Arial Narrow" w:cs="Times New Roman"/>
                <w:snapToGrid/>
                <w:sz w:val="20"/>
                <w:szCs w:val="18"/>
              </w:rPr>
              <w:t>/</w:t>
            </w:r>
            <w:proofErr w:type="spellStart"/>
            <w:r w:rsidRPr="002B66AB">
              <w:rPr>
                <w:rFonts w:ascii="Arial Narrow" w:hAnsi="Arial Narrow" w:cs="Times New Roman"/>
                <w:snapToGrid/>
                <w:sz w:val="20"/>
                <w:szCs w:val="18"/>
              </w:rPr>
              <w:t>ivacaftor</w:t>
            </w:r>
            <w:proofErr w:type="spellEnd"/>
            <w:r w:rsidRPr="002B66AB">
              <w:rPr>
                <w:rFonts w:ascii="Arial Narrow" w:hAnsi="Arial Narrow" w:cs="Times New Roman"/>
                <w:snapToGrid/>
                <w:sz w:val="20"/>
                <w:szCs w:val="18"/>
              </w:rPr>
              <w:t xml:space="preserve"> (LUM/IVA) therapy in subjects aged 6 to 11 years with cystic fibrosis (CF) homozygous for F508del-CFTR.</w:t>
            </w:r>
          </w:p>
        </w:tc>
        <w:tc>
          <w:tcPr>
            <w:tcW w:w="1177" w:type="pct"/>
            <w:tcBorders>
              <w:top w:val="nil"/>
              <w:bottom w:val="single" w:sz="4" w:space="0" w:color="auto"/>
            </w:tcBorders>
            <w:vAlign w:val="center"/>
          </w:tcPr>
          <w:p w:rsidR="00E705FC" w:rsidRPr="002B66AB" w:rsidRDefault="00E705FC" w:rsidP="00B558F0">
            <w:pPr>
              <w:widowControl/>
              <w:jc w:val="left"/>
              <w:rPr>
                <w:rFonts w:ascii="Arial Narrow" w:hAnsi="Arial Narrow" w:cs="Times New Roman"/>
                <w:snapToGrid/>
                <w:sz w:val="20"/>
              </w:rPr>
            </w:pPr>
            <w:r w:rsidRPr="002B66AB">
              <w:rPr>
                <w:rFonts w:ascii="Arial Narrow" w:hAnsi="Arial Narrow" w:cs="Times New Roman"/>
                <w:snapToGrid/>
                <w:sz w:val="20"/>
              </w:rPr>
              <w:t>British Thoracic Society Winter Meeting, United Kingdom, 2017. Thorax. 2017; 72(</w:t>
            </w:r>
            <w:proofErr w:type="spellStart"/>
            <w:r w:rsidRPr="002B66AB">
              <w:rPr>
                <w:rFonts w:ascii="Arial Narrow" w:hAnsi="Arial Narrow" w:cs="Times New Roman"/>
                <w:snapToGrid/>
                <w:sz w:val="20"/>
              </w:rPr>
              <w:t>Suppl</w:t>
            </w:r>
            <w:proofErr w:type="spellEnd"/>
            <w:r w:rsidRPr="002B66AB">
              <w:rPr>
                <w:rFonts w:ascii="Arial Narrow" w:hAnsi="Arial Narrow" w:cs="Times New Roman"/>
                <w:snapToGrid/>
                <w:sz w:val="20"/>
              </w:rPr>
              <w:t xml:space="preserve"> 3): A58</w:t>
            </w:r>
          </w:p>
        </w:tc>
      </w:tr>
    </w:tbl>
    <w:p w:rsidR="00E705FC" w:rsidRPr="002B66AB" w:rsidRDefault="00E705FC" w:rsidP="00E705FC">
      <w:pPr>
        <w:rPr>
          <w:rFonts w:ascii="Arial Narrow" w:hAnsi="Arial Narrow"/>
          <w:sz w:val="20"/>
        </w:rPr>
      </w:pPr>
      <w:r w:rsidRPr="002B66AB">
        <w:rPr>
          <w:rFonts w:ascii="Arial Narrow" w:hAnsi="Arial Narrow"/>
          <w:sz w:val="18"/>
        </w:rPr>
        <w:t>Source: Table 2.1.3, p.63-64 of the submission.</w:t>
      </w:r>
    </w:p>
    <w:p w:rsidR="00E705FC" w:rsidRPr="002B66AB" w:rsidRDefault="00E705FC" w:rsidP="00E705FC">
      <w:pPr>
        <w:widowControl/>
      </w:pPr>
    </w:p>
    <w:p w:rsidR="00E705FC" w:rsidRPr="002B66AB" w:rsidRDefault="00E705FC"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zCs w:val="24"/>
        </w:rPr>
        <w:t xml:space="preserve"> key features of the direct randomised trial(s) are summarised in </w:t>
      </w:r>
      <w:r w:rsidR="006F480C" w:rsidRPr="002B66AB">
        <w:rPr>
          <w:rFonts w:asciiTheme="minorHAnsi" w:hAnsiTheme="minorHAnsi" w:cstheme="minorHAnsi"/>
          <w:bCs/>
          <w:szCs w:val="24"/>
        </w:rPr>
        <w:t xml:space="preserve">Table </w:t>
      </w:r>
      <w:r w:rsidR="006F480C" w:rsidRPr="002B66AB">
        <w:rPr>
          <w:rFonts w:asciiTheme="minorHAnsi" w:hAnsiTheme="minorHAnsi" w:cstheme="minorHAnsi"/>
          <w:bCs/>
          <w:noProof/>
          <w:szCs w:val="24"/>
        </w:rPr>
        <w:t>4</w:t>
      </w:r>
      <w:r w:rsidRPr="002B66AB">
        <w:rPr>
          <w:rFonts w:asciiTheme="minorHAnsi" w:hAnsiTheme="minorHAnsi" w:cstheme="minorHAnsi"/>
          <w:szCs w:val="24"/>
        </w:rPr>
        <w:t>.</w:t>
      </w:r>
    </w:p>
    <w:p w:rsidR="00E705FC" w:rsidRPr="002B66AB" w:rsidRDefault="00E705FC" w:rsidP="00E705FC">
      <w:pPr>
        <w:keepNext/>
        <w:rPr>
          <w:rFonts w:ascii="Arial Narrow" w:hAnsi="Arial Narrow"/>
          <w:b/>
          <w:sz w:val="20"/>
          <w:szCs w:val="16"/>
        </w:rPr>
      </w:pPr>
      <w:bookmarkStart w:id="11" w:name="_Ref511371898"/>
      <w:r w:rsidRPr="002B66AB">
        <w:rPr>
          <w:rFonts w:ascii="Arial Narrow" w:hAnsi="Arial Narrow"/>
          <w:b/>
          <w:bCs/>
          <w:sz w:val="20"/>
          <w:szCs w:val="20"/>
        </w:rPr>
        <w:t xml:space="preserve">Table </w:t>
      </w:r>
      <w:r w:rsidR="006F480C" w:rsidRPr="002B66AB">
        <w:rPr>
          <w:rFonts w:ascii="Arial Narrow" w:hAnsi="Arial Narrow"/>
          <w:b/>
          <w:bCs/>
          <w:noProof/>
          <w:sz w:val="20"/>
          <w:szCs w:val="20"/>
        </w:rPr>
        <w:t>4</w:t>
      </w:r>
      <w:bookmarkEnd w:id="11"/>
      <w:r w:rsidRPr="002B66AB">
        <w:rPr>
          <w:rFonts w:ascii="Arial Narrow" w:hAnsi="Arial Narrow"/>
          <w:b/>
          <w:sz w:val="20"/>
          <w:szCs w:val="16"/>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3"/>
        <w:gridCol w:w="714"/>
        <w:gridCol w:w="1143"/>
        <w:gridCol w:w="999"/>
        <w:gridCol w:w="1426"/>
        <w:gridCol w:w="2547"/>
        <w:gridCol w:w="1401"/>
      </w:tblGrid>
      <w:tr w:rsidR="002B66AB" w:rsidRPr="002B66AB" w:rsidTr="00B558F0">
        <w:tc>
          <w:tcPr>
            <w:tcW w:w="470" w:type="pct"/>
            <w:shd w:val="clear" w:color="auto" w:fill="auto"/>
            <w:vAlign w:val="center"/>
          </w:tcPr>
          <w:p w:rsidR="00E705FC" w:rsidRPr="002B66AB" w:rsidRDefault="00E705FC" w:rsidP="00B558F0">
            <w:pPr>
              <w:keepNext/>
              <w:jc w:val="left"/>
              <w:rPr>
                <w:rFonts w:ascii="Arial Narrow" w:hAnsi="Arial Narrow" w:cs="Times New Roman"/>
                <w:b/>
                <w:snapToGrid/>
                <w:sz w:val="20"/>
                <w:lang w:val="en-US"/>
              </w:rPr>
            </w:pPr>
            <w:r w:rsidRPr="002B66AB">
              <w:rPr>
                <w:rFonts w:ascii="Arial Narrow" w:hAnsi="Arial Narrow" w:cs="Times New Roman"/>
                <w:b/>
                <w:snapToGrid/>
                <w:sz w:val="20"/>
                <w:lang w:val="en-US"/>
              </w:rPr>
              <w:t>Trial</w:t>
            </w:r>
          </w:p>
        </w:tc>
        <w:tc>
          <w:tcPr>
            <w:tcW w:w="393" w:type="pct"/>
            <w:shd w:val="clear" w:color="auto" w:fill="auto"/>
            <w:vAlign w:val="center"/>
          </w:tcPr>
          <w:p w:rsidR="00E705FC" w:rsidRPr="002B66AB" w:rsidRDefault="00E705FC" w:rsidP="00B558F0">
            <w:pPr>
              <w:keepNext/>
              <w:jc w:val="center"/>
              <w:rPr>
                <w:rFonts w:ascii="Arial Narrow" w:hAnsi="Arial Narrow" w:cs="Times New Roman"/>
                <w:b/>
                <w:snapToGrid/>
                <w:sz w:val="20"/>
                <w:lang w:val="en-US"/>
              </w:rPr>
            </w:pPr>
            <w:r w:rsidRPr="002B66AB">
              <w:rPr>
                <w:rFonts w:ascii="Arial Narrow" w:hAnsi="Arial Narrow" w:cs="Times New Roman"/>
                <w:b/>
                <w:snapToGrid/>
                <w:sz w:val="20"/>
                <w:lang w:val="en-US"/>
              </w:rPr>
              <w:t>N</w:t>
            </w:r>
          </w:p>
        </w:tc>
        <w:tc>
          <w:tcPr>
            <w:tcW w:w="629" w:type="pct"/>
            <w:shd w:val="clear" w:color="auto" w:fill="auto"/>
            <w:vAlign w:val="center"/>
          </w:tcPr>
          <w:p w:rsidR="00E705FC" w:rsidRPr="002B66AB" w:rsidRDefault="00E705FC" w:rsidP="00B558F0">
            <w:pPr>
              <w:keepNext/>
              <w:jc w:val="center"/>
              <w:rPr>
                <w:rFonts w:ascii="Arial Narrow" w:hAnsi="Arial Narrow" w:cs="Times New Roman"/>
                <w:b/>
                <w:snapToGrid/>
                <w:sz w:val="20"/>
                <w:lang w:val="en-US"/>
              </w:rPr>
            </w:pPr>
            <w:r w:rsidRPr="002B66AB">
              <w:rPr>
                <w:rFonts w:ascii="Arial Narrow" w:hAnsi="Arial Narrow" w:cs="Times New Roman"/>
                <w:b/>
                <w:snapToGrid/>
                <w:sz w:val="20"/>
                <w:lang w:val="en-US"/>
              </w:rPr>
              <w:t>Design/ duration</w:t>
            </w:r>
          </w:p>
        </w:tc>
        <w:tc>
          <w:tcPr>
            <w:tcW w:w="550" w:type="pct"/>
            <w:shd w:val="clear" w:color="auto" w:fill="auto"/>
            <w:vAlign w:val="center"/>
          </w:tcPr>
          <w:p w:rsidR="00E705FC" w:rsidRPr="002B66AB" w:rsidRDefault="00E705FC" w:rsidP="00B558F0">
            <w:pPr>
              <w:keepNext/>
              <w:jc w:val="center"/>
              <w:rPr>
                <w:rFonts w:ascii="Arial Narrow" w:hAnsi="Arial Narrow" w:cs="Times New Roman"/>
                <w:b/>
                <w:snapToGrid/>
                <w:sz w:val="20"/>
                <w:lang w:val="en-US"/>
              </w:rPr>
            </w:pPr>
            <w:r w:rsidRPr="002B66AB">
              <w:rPr>
                <w:rFonts w:ascii="Arial Narrow" w:hAnsi="Arial Narrow" w:cs="Times New Roman"/>
                <w:b/>
                <w:snapToGrid/>
                <w:sz w:val="20"/>
                <w:lang w:val="en-US"/>
              </w:rPr>
              <w:t>Risk of bias</w:t>
            </w:r>
          </w:p>
        </w:tc>
        <w:tc>
          <w:tcPr>
            <w:tcW w:w="785" w:type="pct"/>
            <w:shd w:val="clear" w:color="auto" w:fill="auto"/>
            <w:vAlign w:val="center"/>
          </w:tcPr>
          <w:p w:rsidR="00E705FC" w:rsidRPr="002B66AB" w:rsidRDefault="00E705FC" w:rsidP="00B558F0">
            <w:pPr>
              <w:keepNext/>
              <w:jc w:val="center"/>
              <w:rPr>
                <w:rFonts w:ascii="Arial Narrow" w:hAnsi="Arial Narrow" w:cs="Times New Roman"/>
                <w:b/>
                <w:snapToGrid/>
                <w:sz w:val="20"/>
                <w:lang w:val="en-US"/>
              </w:rPr>
            </w:pPr>
            <w:r w:rsidRPr="002B66AB">
              <w:rPr>
                <w:rFonts w:ascii="Arial Narrow" w:hAnsi="Arial Narrow" w:cs="Times New Roman"/>
                <w:b/>
                <w:snapToGrid/>
                <w:sz w:val="20"/>
                <w:lang w:val="en-US"/>
              </w:rPr>
              <w:t>Patient population</w:t>
            </w:r>
          </w:p>
        </w:tc>
        <w:tc>
          <w:tcPr>
            <w:tcW w:w="1402" w:type="pct"/>
            <w:shd w:val="clear" w:color="auto" w:fill="auto"/>
            <w:vAlign w:val="center"/>
          </w:tcPr>
          <w:p w:rsidR="00E705FC" w:rsidRPr="002B66AB" w:rsidRDefault="00E705FC" w:rsidP="00B558F0">
            <w:pPr>
              <w:keepNext/>
              <w:jc w:val="center"/>
              <w:rPr>
                <w:rFonts w:ascii="Arial Narrow" w:hAnsi="Arial Narrow" w:cs="Times New Roman"/>
                <w:b/>
                <w:snapToGrid/>
                <w:sz w:val="20"/>
                <w:lang w:val="en-US"/>
              </w:rPr>
            </w:pPr>
            <w:r w:rsidRPr="002B66AB">
              <w:rPr>
                <w:rFonts w:ascii="Arial Narrow" w:hAnsi="Arial Narrow" w:cs="Times New Roman"/>
                <w:b/>
                <w:snapToGrid/>
                <w:sz w:val="20"/>
                <w:lang w:val="en-US"/>
              </w:rPr>
              <w:t>Outcomes</w:t>
            </w:r>
          </w:p>
        </w:tc>
        <w:tc>
          <w:tcPr>
            <w:tcW w:w="771" w:type="pct"/>
            <w:shd w:val="clear" w:color="auto" w:fill="auto"/>
            <w:vAlign w:val="center"/>
          </w:tcPr>
          <w:p w:rsidR="00E705FC" w:rsidRPr="002B66AB" w:rsidRDefault="00E705FC" w:rsidP="00B558F0">
            <w:pPr>
              <w:keepNext/>
              <w:jc w:val="center"/>
              <w:rPr>
                <w:rFonts w:ascii="Arial Narrow" w:hAnsi="Arial Narrow" w:cs="Times New Roman"/>
                <w:b/>
                <w:snapToGrid/>
                <w:sz w:val="20"/>
                <w:lang w:val="en-US"/>
              </w:rPr>
            </w:pPr>
            <w:r w:rsidRPr="002B66AB">
              <w:rPr>
                <w:rFonts w:ascii="Arial Narrow" w:hAnsi="Arial Narrow" w:cs="Times New Roman"/>
                <w:b/>
                <w:snapToGrid/>
                <w:sz w:val="20"/>
                <w:lang w:val="en-US"/>
              </w:rPr>
              <w:t>Use in modelled evaluation</w:t>
            </w:r>
          </w:p>
        </w:tc>
      </w:tr>
      <w:tr w:rsidR="002B66AB" w:rsidRPr="002B66AB" w:rsidTr="00B558F0">
        <w:tc>
          <w:tcPr>
            <w:tcW w:w="5000" w:type="pct"/>
            <w:gridSpan w:val="7"/>
            <w:shd w:val="clear" w:color="auto" w:fill="auto"/>
            <w:vAlign w:val="center"/>
          </w:tcPr>
          <w:p w:rsidR="00E705FC" w:rsidRPr="002B66AB" w:rsidRDefault="00E705FC" w:rsidP="00B558F0">
            <w:pPr>
              <w:keepNext/>
              <w:jc w:val="left"/>
              <w:rPr>
                <w:rFonts w:ascii="Arial Narrow" w:hAnsi="Arial Narrow" w:cs="Times New Roman"/>
                <w:b/>
                <w:snapToGrid/>
                <w:sz w:val="20"/>
                <w:lang w:val="en-US"/>
              </w:rPr>
            </w:pPr>
            <w:proofErr w:type="spellStart"/>
            <w:r w:rsidRPr="002B66AB">
              <w:rPr>
                <w:rFonts w:ascii="Arial Narrow" w:hAnsi="Arial Narrow" w:cs="Times New Roman"/>
                <w:b/>
                <w:snapToGrid/>
                <w:sz w:val="20"/>
                <w:lang w:val="en-US"/>
              </w:rPr>
              <w:t>Lumacaftor</w:t>
            </w:r>
            <w:proofErr w:type="spellEnd"/>
            <w:r w:rsidRPr="002B66AB">
              <w:rPr>
                <w:rFonts w:ascii="Arial Narrow" w:hAnsi="Arial Narrow" w:cs="Times New Roman"/>
                <w:b/>
                <w:snapToGrid/>
                <w:sz w:val="20"/>
                <w:lang w:val="en-US"/>
              </w:rPr>
              <w:t>/</w:t>
            </w:r>
            <w:proofErr w:type="spellStart"/>
            <w:r w:rsidRPr="002B66AB">
              <w:rPr>
                <w:rFonts w:ascii="Arial Narrow" w:hAnsi="Arial Narrow" w:cs="Times New Roman"/>
                <w:b/>
                <w:snapToGrid/>
                <w:sz w:val="20"/>
                <w:lang w:val="en-US"/>
              </w:rPr>
              <w:t>ivacaftor</w:t>
            </w:r>
            <w:proofErr w:type="spellEnd"/>
            <w:r w:rsidRPr="002B66AB">
              <w:rPr>
                <w:rFonts w:ascii="Arial Narrow" w:hAnsi="Arial Narrow" w:cs="Times New Roman"/>
                <w:b/>
                <w:snapToGrid/>
                <w:sz w:val="20"/>
                <w:lang w:val="en-US"/>
              </w:rPr>
              <w:t xml:space="preserve"> vs. placebo</w:t>
            </w:r>
          </w:p>
        </w:tc>
      </w:tr>
      <w:tr w:rsidR="002B66AB" w:rsidRPr="002B66AB" w:rsidTr="00B558F0">
        <w:tc>
          <w:tcPr>
            <w:tcW w:w="470"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Study 109</w:t>
            </w:r>
          </w:p>
        </w:tc>
        <w:tc>
          <w:tcPr>
            <w:tcW w:w="393" w:type="pct"/>
            <w:shd w:val="clear" w:color="auto" w:fill="auto"/>
            <w:vAlign w:val="center"/>
          </w:tcPr>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204</w:t>
            </w:r>
          </w:p>
        </w:tc>
        <w:tc>
          <w:tcPr>
            <w:tcW w:w="629" w:type="pct"/>
            <w:shd w:val="clear" w:color="auto" w:fill="auto"/>
            <w:vAlign w:val="center"/>
          </w:tcPr>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R, DB</w:t>
            </w:r>
          </w:p>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24 weeks</w:t>
            </w:r>
          </w:p>
        </w:tc>
        <w:tc>
          <w:tcPr>
            <w:tcW w:w="550"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Low</w:t>
            </w:r>
          </w:p>
        </w:tc>
        <w:tc>
          <w:tcPr>
            <w:tcW w:w="785"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CF patients aged 6–11 years who are homozygous for the F508del mutation in the CFTR gene</w:t>
            </w:r>
          </w:p>
        </w:tc>
        <w:tc>
          <w:tcPr>
            <w:tcW w:w="1402"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Primary: LCI</w:t>
            </w:r>
            <w:r w:rsidRPr="002B66AB">
              <w:rPr>
                <w:rFonts w:ascii="Arial Narrow" w:hAnsi="Arial Narrow" w:cs="Times New Roman"/>
                <w:snapToGrid/>
                <w:sz w:val="20"/>
                <w:vertAlign w:val="subscript"/>
                <w:lang w:val="en-US"/>
              </w:rPr>
              <w:t>2.5</w:t>
            </w:r>
          </w:p>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Secondary:; ppFEV</w:t>
            </w:r>
            <w:r w:rsidRPr="002B66AB">
              <w:rPr>
                <w:rFonts w:ascii="Arial Narrow" w:hAnsi="Arial Narrow" w:cs="Times New Roman"/>
                <w:snapToGrid/>
                <w:sz w:val="20"/>
                <w:vertAlign w:val="subscript"/>
                <w:lang w:val="en-US"/>
              </w:rPr>
              <w:t>1</w:t>
            </w:r>
            <w:r w:rsidRPr="002B66AB">
              <w:rPr>
                <w:rFonts w:ascii="Arial Narrow" w:hAnsi="Arial Narrow" w:cs="Times New Roman"/>
                <w:snapToGrid/>
                <w:sz w:val="20"/>
                <w:lang w:val="en-US"/>
              </w:rPr>
              <w:t>; nutritional status;</w:t>
            </w:r>
          </w:p>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LCI</w:t>
            </w:r>
            <w:r w:rsidRPr="002B66AB">
              <w:rPr>
                <w:rFonts w:ascii="Arial Narrow" w:hAnsi="Arial Narrow" w:cs="Times New Roman"/>
                <w:snapToGrid/>
                <w:sz w:val="20"/>
                <w:vertAlign w:val="subscript"/>
                <w:lang w:val="en-US"/>
              </w:rPr>
              <w:t>5.</w:t>
            </w:r>
            <w:r w:rsidRPr="002B66AB">
              <w:rPr>
                <w:rFonts w:ascii="Arial Narrow" w:hAnsi="Arial Narrow" w:cs="Times New Roman"/>
                <w:snapToGrid/>
                <w:sz w:val="20"/>
                <w:lang w:val="en-US"/>
              </w:rPr>
              <w:t xml:space="preserve">0; sweat chloride,; </w:t>
            </w:r>
          </w:p>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CFQ-R Respiratory Domain Score; Pulmonary exacerbation TSQM domain score; FEV1; IRT</w:t>
            </w:r>
          </w:p>
        </w:tc>
        <w:tc>
          <w:tcPr>
            <w:tcW w:w="771" w:type="pct"/>
            <w:shd w:val="clear" w:color="auto" w:fill="auto"/>
            <w:vAlign w:val="center"/>
          </w:tcPr>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ppFEV</w:t>
            </w:r>
            <w:r w:rsidRPr="002B66AB">
              <w:rPr>
                <w:rFonts w:ascii="Arial Narrow" w:hAnsi="Arial Narrow" w:cs="Times New Roman"/>
                <w:snapToGrid/>
                <w:sz w:val="20"/>
                <w:vertAlign w:val="subscript"/>
                <w:lang w:val="en-US"/>
              </w:rPr>
              <w:t>1</w:t>
            </w:r>
          </w:p>
        </w:tc>
      </w:tr>
      <w:tr w:rsidR="002B66AB" w:rsidRPr="002B66AB" w:rsidTr="00B558F0">
        <w:tc>
          <w:tcPr>
            <w:tcW w:w="470"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Study 011</w:t>
            </w:r>
          </w:p>
        </w:tc>
        <w:tc>
          <w:tcPr>
            <w:tcW w:w="393" w:type="pct"/>
            <w:shd w:val="clear" w:color="auto" w:fill="auto"/>
            <w:vAlign w:val="center"/>
          </w:tcPr>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68</w:t>
            </w:r>
          </w:p>
        </w:tc>
        <w:tc>
          <w:tcPr>
            <w:tcW w:w="629" w:type="pct"/>
            <w:shd w:val="clear" w:color="auto" w:fill="auto"/>
            <w:vAlign w:val="center"/>
          </w:tcPr>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OL</w:t>
            </w:r>
          </w:p>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26 weeks</w:t>
            </w:r>
          </w:p>
        </w:tc>
        <w:tc>
          <w:tcPr>
            <w:tcW w:w="550"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High due to lack of blinding</w:t>
            </w:r>
          </w:p>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 xml:space="preserve">Low for other types of bias </w:t>
            </w:r>
          </w:p>
        </w:tc>
        <w:tc>
          <w:tcPr>
            <w:tcW w:w="785"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CF patients aged 6–11 years who are homozygous for the F508del mutation in the CFTR gene</w:t>
            </w:r>
          </w:p>
        </w:tc>
        <w:tc>
          <w:tcPr>
            <w:tcW w:w="1402" w:type="pct"/>
            <w:shd w:val="clear" w:color="auto" w:fill="auto"/>
            <w:vAlign w:val="center"/>
          </w:tcPr>
          <w:p w:rsidR="00E705FC" w:rsidRPr="002B66AB" w:rsidRDefault="00E705FC" w:rsidP="00B558F0">
            <w:pPr>
              <w:keepNext/>
              <w:jc w:val="left"/>
              <w:rPr>
                <w:rFonts w:ascii="Arial Narrow" w:hAnsi="Arial Narrow" w:cs="Times New Roman"/>
                <w:snapToGrid/>
                <w:sz w:val="20"/>
                <w:lang w:val="en-US"/>
              </w:rPr>
            </w:pPr>
            <w:r w:rsidRPr="002B66AB">
              <w:rPr>
                <w:rFonts w:ascii="Arial Narrow" w:hAnsi="Arial Narrow" w:cs="Times New Roman"/>
                <w:snapToGrid/>
                <w:sz w:val="20"/>
                <w:lang w:val="en-US"/>
              </w:rPr>
              <w:t>Secondary endpoints: sweat chloride ; BMI and BMI for age z score; weight and weight for age z score; height and height for age z score; CFQ-R respiratory domain score; TSQM; ppFEV1</w:t>
            </w:r>
          </w:p>
        </w:tc>
        <w:tc>
          <w:tcPr>
            <w:tcW w:w="771" w:type="pct"/>
            <w:shd w:val="clear" w:color="auto" w:fill="auto"/>
            <w:vAlign w:val="center"/>
          </w:tcPr>
          <w:p w:rsidR="00E705FC" w:rsidRPr="002B66AB" w:rsidRDefault="00E705FC" w:rsidP="00B558F0">
            <w:pPr>
              <w:keepNext/>
              <w:jc w:val="center"/>
              <w:rPr>
                <w:rFonts w:ascii="Arial Narrow" w:hAnsi="Arial Narrow" w:cs="Times New Roman"/>
                <w:snapToGrid/>
                <w:sz w:val="20"/>
                <w:lang w:val="en-US"/>
              </w:rPr>
            </w:pPr>
            <w:r w:rsidRPr="002B66AB">
              <w:rPr>
                <w:rFonts w:ascii="Arial Narrow" w:hAnsi="Arial Narrow" w:cs="Times New Roman"/>
                <w:snapToGrid/>
                <w:sz w:val="20"/>
                <w:lang w:val="en-US"/>
              </w:rPr>
              <w:t>Not used</w:t>
            </w:r>
          </w:p>
        </w:tc>
      </w:tr>
    </w:tbl>
    <w:p w:rsidR="00E705FC" w:rsidRPr="002B66AB" w:rsidRDefault="00E705FC" w:rsidP="00E705FC">
      <w:pPr>
        <w:keepNext/>
        <w:rPr>
          <w:rFonts w:ascii="Arial Narrow" w:hAnsi="Arial Narrow"/>
          <w:sz w:val="18"/>
        </w:rPr>
      </w:pPr>
      <w:r w:rsidRPr="002B66AB">
        <w:rPr>
          <w:rFonts w:ascii="Arial Narrow" w:hAnsi="Arial Narrow"/>
          <w:sz w:val="18"/>
        </w:rPr>
        <w:t>Abbreviations: DB=double blind; OL=open label; R=randomised.</w:t>
      </w:r>
    </w:p>
    <w:p w:rsidR="00E705FC" w:rsidRPr="002B66AB" w:rsidRDefault="00E705FC" w:rsidP="00E705FC">
      <w:pPr>
        <w:rPr>
          <w:rFonts w:ascii="Arial Narrow" w:hAnsi="Arial Narrow"/>
          <w:sz w:val="20"/>
        </w:rPr>
      </w:pPr>
      <w:r w:rsidRPr="002B66AB">
        <w:rPr>
          <w:rFonts w:ascii="Arial Narrow" w:hAnsi="Arial Narrow"/>
          <w:sz w:val="18"/>
        </w:rPr>
        <w:t xml:space="preserve">Source: Compiled during the evaluation. </w:t>
      </w:r>
      <w:proofErr w:type="gramStart"/>
      <w:r w:rsidRPr="002B66AB">
        <w:rPr>
          <w:rFonts w:ascii="Arial Narrow" w:hAnsi="Arial Narrow"/>
          <w:sz w:val="18"/>
        </w:rPr>
        <w:t>CSR 109 and CSR 011.</w:t>
      </w:r>
      <w:proofErr w:type="gramEnd"/>
    </w:p>
    <w:p w:rsidR="00E705FC" w:rsidRPr="002B66AB" w:rsidRDefault="00E705FC" w:rsidP="00E705FC"/>
    <w:p w:rsidR="00E705FC" w:rsidRPr="002B66AB" w:rsidRDefault="00E705FC" w:rsidP="00431133">
      <w:pPr>
        <w:pStyle w:val="ListParagraph"/>
        <w:numPr>
          <w:ilvl w:val="1"/>
          <w:numId w:val="45"/>
        </w:numPr>
        <w:ind w:hanging="720"/>
      </w:pPr>
      <w:r w:rsidRPr="002B66AB">
        <w:t xml:space="preserve">The LCI is a surrogate outcome that measures the number </w:t>
      </w:r>
      <w:r w:rsidR="006F480C" w:rsidRPr="002B66AB">
        <w:t xml:space="preserve">of </w:t>
      </w:r>
      <w:r w:rsidRPr="002B66AB">
        <w:t>lung turnovers needed to reduce the marker gas concentration to the pre-defined fraction of the starting concentration. The primary outcome in Study 109 used LCI</w:t>
      </w:r>
      <w:r w:rsidRPr="002B66AB">
        <w:rPr>
          <w:vertAlign w:val="subscript"/>
        </w:rPr>
        <w:t xml:space="preserve">2.5 </w:t>
      </w:r>
      <w:r w:rsidRPr="002B66AB">
        <w:t xml:space="preserve">to demonstrate the number of turnovers to reach the concentration of 2.5% of the marker gas. </w:t>
      </w:r>
    </w:p>
    <w:p w:rsidR="00682304" w:rsidRPr="002B66AB" w:rsidRDefault="00E705FC" w:rsidP="00431133">
      <w:pPr>
        <w:pStyle w:val="ListParagraph"/>
        <w:numPr>
          <w:ilvl w:val="1"/>
          <w:numId w:val="45"/>
        </w:numPr>
        <w:ind w:hanging="720"/>
      </w:pPr>
      <w:r w:rsidRPr="002B66AB">
        <w:t xml:space="preserve">The submission nominated a minimum clinically important difference (MCID) for the primary outcome of </w:t>
      </w:r>
      <w:proofErr w:type="gramStart"/>
      <w:r w:rsidRPr="002B66AB">
        <w:t>LCI</w:t>
      </w:r>
      <w:r w:rsidRPr="002B66AB">
        <w:rPr>
          <w:vertAlign w:val="subscript"/>
        </w:rPr>
        <w:t>2.5</w:t>
      </w:r>
      <w:r w:rsidRPr="002B66AB">
        <w:t>,</w:t>
      </w:r>
      <w:proofErr w:type="gramEnd"/>
      <w:r w:rsidRPr="002B66AB">
        <w:t xml:space="preserve"> and for the secondary outcome of CFQ-R for Study 109. </w:t>
      </w:r>
      <w:r w:rsidRPr="002B66AB">
        <w:lastRenderedPageBreak/>
        <w:t>The proposed MCID for LCI</w:t>
      </w:r>
      <w:r w:rsidRPr="002B66AB">
        <w:rPr>
          <w:vertAlign w:val="subscript"/>
        </w:rPr>
        <w:t xml:space="preserve">2.5 </w:t>
      </w:r>
      <w:r w:rsidRPr="002B66AB">
        <w:t>was a change in response of 0.5-1.0 units. The MCID for LCI</w:t>
      </w:r>
      <w:r w:rsidRPr="002B66AB">
        <w:rPr>
          <w:vertAlign w:val="subscript"/>
        </w:rPr>
        <w:t xml:space="preserve">2.5 </w:t>
      </w:r>
      <w:r w:rsidRPr="002B66AB">
        <w:t>was based on feedback from the Vertex Advisory Board (4 board members). There is no established, externally validated, MCID for LCI. It is uncertain how the improvement in LCI</w:t>
      </w:r>
      <w:r w:rsidRPr="002B66AB">
        <w:rPr>
          <w:vertAlign w:val="subscript"/>
        </w:rPr>
        <w:t xml:space="preserve">2.5 </w:t>
      </w:r>
      <w:r w:rsidRPr="002B66AB">
        <w:t>affects survival. The LCI</w:t>
      </w:r>
      <w:r w:rsidRPr="002B66AB">
        <w:rPr>
          <w:vertAlign w:val="subscript"/>
        </w:rPr>
        <w:t xml:space="preserve">2.5 </w:t>
      </w:r>
      <w:r w:rsidRPr="002B66AB">
        <w:t>was not used as a primary outcome in previou</w:t>
      </w:r>
      <w:r w:rsidR="00682304" w:rsidRPr="002B66AB">
        <w:t>s submissions and</w:t>
      </w:r>
      <w:r w:rsidRPr="002B66AB">
        <w:t xml:space="preserve"> was not used in the economic model</w:t>
      </w:r>
      <w:r w:rsidR="00682304" w:rsidRPr="002B66AB">
        <w:t xml:space="preserve"> in the current submission</w:t>
      </w:r>
      <w:r w:rsidR="00D92CD4">
        <w:t>.</w:t>
      </w:r>
    </w:p>
    <w:p w:rsidR="00E705FC" w:rsidRPr="002B66AB" w:rsidRDefault="00E705FC" w:rsidP="00431133">
      <w:pPr>
        <w:pStyle w:val="ListParagraph"/>
        <w:numPr>
          <w:ilvl w:val="1"/>
          <w:numId w:val="45"/>
        </w:numPr>
        <w:ind w:hanging="720"/>
      </w:pPr>
      <w:r w:rsidRPr="00431133">
        <w:t>In</w:t>
      </w:r>
      <w:r w:rsidRPr="002B66AB">
        <w:rPr>
          <w:szCs w:val="24"/>
        </w:rPr>
        <w:t xml:space="preserve"> the </w:t>
      </w:r>
      <w:r w:rsidR="00D92CD4">
        <w:rPr>
          <w:szCs w:val="24"/>
        </w:rPr>
        <w:t>Pre-Sub-Committee Response (</w:t>
      </w:r>
      <w:r w:rsidRPr="002B66AB">
        <w:rPr>
          <w:szCs w:val="24"/>
        </w:rPr>
        <w:t>PSCR</w:t>
      </w:r>
      <w:r w:rsidR="00D92CD4">
        <w:rPr>
          <w:szCs w:val="24"/>
        </w:rPr>
        <w:t>)</w:t>
      </w:r>
      <w:r w:rsidRPr="002B66AB">
        <w:rPr>
          <w:szCs w:val="24"/>
        </w:rPr>
        <w:t xml:space="preserve"> the spons</w:t>
      </w:r>
      <w:r w:rsidR="00654280" w:rsidRPr="002B66AB">
        <w:rPr>
          <w:szCs w:val="24"/>
        </w:rPr>
        <w:t>o</w:t>
      </w:r>
      <w:r w:rsidRPr="002B66AB">
        <w:rPr>
          <w:szCs w:val="24"/>
        </w:rPr>
        <w:t>r stated that it</w:t>
      </w:r>
      <w:r w:rsidR="00682304" w:rsidRPr="002B66AB">
        <w:rPr>
          <w:szCs w:val="24"/>
        </w:rPr>
        <w:t xml:space="preserve"> selected LCI as the primary out</w:t>
      </w:r>
      <w:r w:rsidRPr="002B66AB">
        <w:rPr>
          <w:szCs w:val="24"/>
        </w:rPr>
        <w:t xml:space="preserve">come based on clinical and scientific advice; and noted advice received from the European Medicines Agency Committee for Medicinal Products for Human Use (EMA CHMP) that </w:t>
      </w:r>
      <w:r w:rsidRPr="002B66AB">
        <w:rPr>
          <w:rFonts w:asciiTheme="minorHAnsi" w:hAnsiTheme="minorHAnsi" w:cstheme="minorHAnsi"/>
        </w:rPr>
        <w:t>“The CHMP agrees that LCI can provide a more sensitive outcome measure than FEV</w:t>
      </w:r>
      <w:r w:rsidRPr="002B66AB">
        <w:rPr>
          <w:rFonts w:asciiTheme="minorHAnsi" w:hAnsiTheme="minorHAnsi" w:cstheme="minorHAnsi"/>
          <w:vertAlign w:val="subscript"/>
        </w:rPr>
        <w:t>1</w:t>
      </w:r>
      <w:r w:rsidRPr="002B66AB">
        <w:rPr>
          <w:rFonts w:asciiTheme="minorHAnsi" w:hAnsiTheme="minorHAnsi" w:cstheme="minorHAnsi"/>
        </w:rPr>
        <w:t xml:space="preserve"> in early lung disease such as that present in the majority of patients who are 6 to 11 years of age, thereafter agree with the use of LCI as a measurement of lung function to evaluate the efficacy of LUM/IVA combination therapy in this target population”</w:t>
      </w:r>
      <w:r w:rsidRPr="002B66AB">
        <w:rPr>
          <w:szCs w:val="24"/>
        </w:rPr>
        <w:t>.</w:t>
      </w:r>
    </w:p>
    <w:p w:rsidR="00E705FC" w:rsidRPr="002B66AB" w:rsidRDefault="00E705FC" w:rsidP="00431133">
      <w:pPr>
        <w:pStyle w:val="ListParagraph"/>
        <w:numPr>
          <w:ilvl w:val="1"/>
          <w:numId w:val="45"/>
        </w:numPr>
        <w:ind w:hanging="720"/>
      </w:pPr>
      <w:r w:rsidRPr="00431133">
        <w:t>The</w:t>
      </w:r>
      <w:r w:rsidRPr="002B66AB">
        <w:rPr>
          <w:szCs w:val="24"/>
        </w:rPr>
        <w:t xml:space="preserve"> PBAC agreed with its ESC that the use of the LCI as the primary endpoint in the clinical studies may be reasonable, but noted that there was uncertainty in: the clinical implications of changes observed; the longer-term benefits of these changes; and the relationship of these changes to </w:t>
      </w:r>
      <w:r w:rsidR="004565C4" w:rsidRPr="002B66AB">
        <w:rPr>
          <w:szCs w:val="24"/>
        </w:rPr>
        <w:t xml:space="preserve">patient </w:t>
      </w:r>
      <w:r w:rsidRPr="002B66AB">
        <w:rPr>
          <w:szCs w:val="24"/>
        </w:rPr>
        <w:t>relevant outcomes.  The PBAC did not accept the sponsor’s apparent assertion that by making these observations it would “</w:t>
      </w:r>
      <w:r w:rsidRPr="002B66AB">
        <w:rPr>
          <w:i/>
          <w:szCs w:val="24"/>
        </w:rPr>
        <w:t>effectively penalise the younger children for the very presence of an additional lung function outcome in their pivotal trial</w:t>
      </w:r>
      <w:r w:rsidRPr="002B66AB">
        <w:rPr>
          <w:szCs w:val="24"/>
        </w:rPr>
        <w:t>”</w:t>
      </w:r>
      <w:r w:rsidR="00EC56C0">
        <w:rPr>
          <w:szCs w:val="24"/>
        </w:rPr>
        <w:t>.</w:t>
      </w:r>
    </w:p>
    <w:p w:rsidR="00E705FC" w:rsidRPr="002B66AB" w:rsidRDefault="00E705FC" w:rsidP="00431133">
      <w:pPr>
        <w:pStyle w:val="ListParagraph"/>
        <w:numPr>
          <w:ilvl w:val="1"/>
          <w:numId w:val="45"/>
        </w:numPr>
        <w:ind w:hanging="720"/>
      </w:pPr>
      <w:r w:rsidRPr="002B66AB">
        <w:t>The PBAC noted that the outcome of ppFEV</w:t>
      </w:r>
      <w:r w:rsidRPr="002B66AB">
        <w:rPr>
          <w:vertAlign w:val="subscript"/>
        </w:rPr>
        <w:t>1</w:t>
      </w:r>
      <w:r w:rsidRPr="002B66AB">
        <w:t>, typically used as a key outcome in the management and research of CF,</w:t>
      </w:r>
      <w:r w:rsidRPr="002B66AB">
        <w:rPr>
          <w:vertAlign w:val="subscript"/>
        </w:rPr>
        <w:t xml:space="preserve"> </w:t>
      </w:r>
      <w:r w:rsidRPr="002B66AB">
        <w:t xml:space="preserve">was a secondary outcome in Study 109, and is the only outcome </w:t>
      </w:r>
      <w:r w:rsidR="00682304" w:rsidRPr="002B66AB">
        <w:t>f</w:t>
      </w:r>
      <w:r w:rsidRPr="002B66AB">
        <w:t>rom Study 109</w:t>
      </w:r>
      <w:r w:rsidR="00682304" w:rsidRPr="002B66AB">
        <w:t xml:space="preserve"> used</w:t>
      </w:r>
      <w:r w:rsidRPr="002B66AB">
        <w:t xml:space="preserve"> to estimate the treatment effect in the economic model. </w:t>
      </w:r>
    </w:p>
    <w:p w:rsidR="00E705FC" w:rsidRPr="002B66AB" w:rsidRDefault="00E705FC" w:rsidP="005E7B11">
      <w:pPr>
        <w:pStyle w:val="Heading2"/>
        <w:spacing w:before="240" w:after="120"/>
      </w:pPr>
      <w:bookmarkStart w:id="12" w:name="_Toc514246224"/>
      <w:r w:rsidRPr="002B66AB">
        <w:t>Comparative effectiveness</w:t>
      </w:r>
      <w:bookmarkEnd w:id="12"/>
    </w:p>
    <w:p w:rsidR="00E705FC" w:rsidRPr="002B66AB" w:rsidRDefault="00E705FC" w:rsidP="00431133">
      <w:pPr>
        <w:pStyle w:val="ListParagraph"/>
        <w:numPr>
          <w:ilvl w:val="1"/>
          <w:numId w:val="45"/>
        </w:numPr>
        <w:ind w:hanging="720"/>
        <w:rPr>
          <w:rFonts w:asciiTheme="minorHAnsi" w:hAnsiTheme="minorHAnsi" w:cstheme="minorHAnsi"/>
          <w:snapToGrid/>
          <w:szCs w:val="24"/>
          <w:lang w:val="en-US" w:eastAsia="en-AU"/>
        </w:rPr>
      </w:pPr>
      <w:r w:rsidRPr="002B66AB">
        <w:rPr>
          <w:rFonts w:asciiTheme="minorHAnsi" w:hAnsiTheme="minorHAnsi" w:cstheme="minorHAnsi"/>
          <w:snapToGrid/>
          <w:szCs w:val="24"/>
          <w:lang w:val="en-US" w:eastAsia="en-AU"/>
        </w:rPr>
        <w:t xml:space="preserve">The </w:t>
      </w:r>
      <w:r w:rsidR="00682304" w:rsidRPr="00431133">
        <w:t>results</w:t>
      </w:r>
      <w:r w:rsidR="00682304" w:rsidRPr="002B66AB">
        <w:rPr>
          <w:rFonts w:asciiTheme="minorHAnsi" w:hAnsiTheme="minorHAnsi" w:cstheme="minorHAnsi"/>
          <w:snapToGrid/>
          <w:szCs w:val="24"/>
          <w:lang w:val="en-US" w:eastAsia="en-AU"/>
        </w:rPr>
        <w:t xml:space="preserve"> for the </w:t>
      </w:r>
      <w:r w:rsidRPr="002B66AB">
        <w:rPr>
          <w:rFonts w:asciiTheme="minorHAnsi" w:hAnsiTheme="minorHAnsi" w:cstheme="minorHAnsi"/>
          <w:snapToGrid/>
          <w:szCs w:val="24"/>
          <w:lang w:val="en-US" w:eastAsia="en-AU"/>
        </w:rPr>
        <w:t>primar</w:t>
      </w:r>
      <w:r w:rsidR="00682304" w:rsidRPr="002B66AB">
        <w:rPr>
          <w:rFonts w:asciiTheme="minorHAnsi" w:hAnsiTheme="minorHAnsi" w:cstheme="minorHAnsi"/>
          <w:snapToGrid/>
          <w:szCs w:val="24"/>
          <w:lang w:val="en-US" w:eastAsia="en-AU"/>
        </w:rPr>
        <w:t>y efficacy outcome in Study 109 are</w:t>
      </w:r>
      <w:r w:rsidRPr="002B66AB">
        <w:rPr>
          <w:rFonts w:asciiTheme="minorHAnsi" w:hAnsiTheme="minorHAnsi" w:cstheme="minorHAnsi"/>
          <w:snapToGrid/>
          <w:szCs w:val="24"/>
          <w:lang w:val="en-US" w:eastAsia="en-AU"/>
        </w:rPr>
        <w:t xml:space="preserve"> presented in </w:t>
      </w:r>
      <w:r w:rsidR="006F480C" w:rsidRPr="002B66AB">
        <w:rPr>
          <w:rFonts w:asciiTheme="minorHAnsi" w:hAnsiTheme="minorHAnsi" w:cstheme="minorHAnsi"/>
          <w:bCs/>
          <w:szCs w:val="24"/>
        </w:rPr>
        <w:t xml:space="preserve">Table </w:t>
      </w:r>
      <w:r w:rsidR="006F480C" w:rsidRPr="002B66AB">
        <w:rPr>
          <w:rFonts w:asciiTheme="minorHAnsi" w:hAnsiTheme="minorHAnsi" w:cstheme="minorHAnsi"/>
          <w:bCs/>
          <w:noProof/>
          <w:szCs w:val="24"/>
        </w:rPr>
        <w:t>5</w:t>
      </w:r>
      <w:r w:rsidRPr="002B66AB">
        <w:rPr>
          <w:rFonts w:asciiTheme="minorHAnsi" w:hAnsiTheme="minorHAnsi" w:cstheme="minorHAnsi"/>
          <w:snapToGrid/>
          <w:szCs w:val="24"/>
          <w:lang w:val="en-US" w:eastAsia="en-AU"/>
        </w:rPr>
        <w:t>. The results of Study 109 showed a statistically significant difference of -1.09 units in LCI</w:t>
      </w:r>
      <w:r w:rsidRPr="002B66AB">
        <w:rPr>
          <w:rFonts w:asciiTheme="minorHAnsi" w:hAnsiTheme="minorHAnsi" w:cstheme="minorHAnsi"/>
          <w:snapToGrid/>
          <w:szCs w:val="24"/>
          <w:vertAlign w:val="subscript"/>
          <w:lang w:val="en-US" w:eastAsia="en-AU"/>
        </w:rPr>
        <w:t>2.5</w:t>
      </w:r>
      <w:r w:rsidRPr="002B66AB">
        <w:rPr>
          <w:rFonts w:asciiTheme="minorHAnsi" w:hAnsiTheme="minorHAnsi" w:cstheme="minorHAnsi"/>
          <w:snapToGrid/>
          <w:szCs w:val="24"/>
          <w:lang w:val="en-US" w:eastAsia="en-AU"/>
        </w:rPr>
        <w:t xml:space="preserve"> in those treated with </w:t>
      </w:r>
      <w:proofErr w:type="spellStart"/>
      <w:r w:rsidRPr="002B66AB">
        <w:rPr>
          <w:rFonts w:asciiTheme="minorHAnsi" w:hAnsiTheme="minorHAnsi" w:cstheme="minorHAnsi"/>
          <w:snapToGrid/>
          <w:szCs w:val="24"/>
          <w:lang w:val="en-US" w:eastAsia="en-AU"/>
        </w:rPr>
        <w:t>lumacaftor</w:t>
      </w:r>
      <w:proofErr w:type="spellEnd"/>
      <w:r w:rsidRPr="002B66AB">
        <w:rPr>
          <w:rFonts w:asciiTheme="minorHAnsi" w:hAnsiTheme="minorHAnsi" w:cstheme="minorHAnsi"/>
          <w:snapToGrid/>
          <w:szCs w:val="24"/>
          <w:lang w:val="en-US" w:eastAsia="en-AU"/>
        </w:rPr>
        <w:t>/</w:t>
      </w:r>
      <w:proofErr w:type="spellStart"/>
      <w:r w:rsidRPr="002B66AB">
        <w:rPr>
          <w:rFonts w:asciiTheme="minorHAnsi" w:hAnsiTheme="minorHAnsi" w:cstheme="minorHAnsi"/>
          <w:snapToGrid/>
          <w:szCs w:val="24"/>
          <w:lang w:val="en-US" w:eastAsia="en-AU"/>
        </w:rPr>
        <w:t>ivacaftor</w:t>
      </w:r>
      <w:proofErr w:type="spellEnd"/>
      <w:r w:rsidRPr="002B66AB">
        <w:rPr>
          <w:rFonts w:asciiTheme="minorHAnsi" w:hAnsiTheme="minorHAnsi" w:cstheme="minorHAnsi"/>
          <w:snapToGrid/>
          <w:szCs w:val="24"/>
          <w:lang w:val="en-US" w:eastAsia="en-AU"/>
        </w:rPr>
        <w:t xml:space="preserve"> compared with placebo.</w:t>
      </w:r>
      <w:r w:rsidRPr="002B66AB">
        <w:rPr>
          <w:rFonts w:asciiTheme="minorHAnsi" w:hAnsiTheme="minorHAnsi" w:cstheme="minorHAnsi"/>
          <w:szCs w:val="24"/>
        </w:rPr>
        <w:t xml:space="preserve"> </w:t>
      </w:r>
      <w:r w:rsidRPr="002B66AB">
        <w:rPr>
          <w:rFonts w:asciiTheme="minorHAnsi" w:hAnsiTheme="minorHAnsi" w:cstheme="minorHAnsi"/>
        </w:rPr>
        <w:t>Part B of the supportive study, Study 011, included an LCI sub-study which reported an absolute change in LCI</w:t>
      </w:r>
      <w:r w:rsidRPr="002B66AB">
        <w:rPr>
          <w:rFonts w:asciiTheme="minorHAnsi" w:hAnsiTheme="minorHAnsi" w:cstheme="minorHAnsi"/>
          <w:vertAlign w:val="subscript"/>
        </w:rPr>
        <w:t>2.5</w:t>
      </w:r>
      <w:r w:rsidRPr="002B66AB">
        <w:rPr>
          <w:rFonts w:asciiTheme="minorHAnsi" w:hAnsiTheme="minorHAnsi" w:cstheme="minorHAnsi"/>
        </w:rPr>
        <w:t xml:space="preserve"> from baseline of -0.97 units in those treated with </w:t>
      </w:r>
      <w:proofErr w:type="spellStart"/>
      <w:r w:rsidRPr="002B66AB">
        <w:rPr>
          <w:rFonts w:asciiTheme="minorHAnsi" w:hAnsiTheme="minorHAnsi" w:cstheme="minorHAnsi"/>
        </w:rPr>
        <w:t>lumacaftor</w:t>
      </w:r>
      <w:proofErr w:type="spellEnd"/>
      <w:r w:rsidRPr="002B66AB">
        <w:rPr>
          <w:rFonts w:asciiTheme="minorHAnsi" w:hAnsiTheme="minorHAnsi" w:cstheme="minorHAnsi"/>
        </w:rPr>
        <w:t>/</w:t>
      </w:r>
      <w:proofErr w:type="spellStart"/>
      <w:r w:rsidRPr="002B66AB">
        <w:rPr>
          <w:rFonts w:asciiTheme="minorHAnsi" w:hAnsiTheme="minorHAnsi" w:cstheme="minorHAnsi"/>
        </w:rPr>
        <w:t>ivacaftor</w:t>
      </w:r>
      <w:proofErr w:type="spellEnd"/>
      <w:r w:rsidRPr="002B66AB">
        <w:rPr>
          <w:rFonts w:asciiTheme="minorHAnsi" w:hAnsiTheme="minorHAnsi" w:cstheme="minorHAnsi"/>
        </w:rPr>
        <w:t xml:space="preserve"> compared with placebo.</w:t>
      </w:r>
    </w:p>
    <w:p w:rsidR="00E705FC" w:rsidRPr="002B66AB" w:rsidRDefault="00E705FC" w:rsidP="00E705FC">
      <w:pPr>
        <w:keepNext/>
        <w:rPr>
          <w:rFonts w:ascii="Arial Narrow" w:hAnsi="Arial Narrow"/>
          <w:b/>
          <w:bCs/>
          <w:sz w:val="20"/>
          <w:szCs w:val="16"/>
        </w:rPr>
      </w:pPr>
      <w:bookmarkStart w:id="13" w:name="_Ref511047235"/>
      <w:r w:rsidRPr="002B66AB">
        <w:rPr>
          <w:rFonts w:ascii="Arial Narrow" w:hAnsi="Arial Narrow"/>
          <w:b/>
          <w:bCs/>
          <w:sz w:val="20"/>
          <w:szCs w:val="20"/>
        </w:rPr>
        <w:lastRenderedPageBreak/>
        <w:t xml:space="preserve">Table </w:t>
      </w:r>
      <w:r w:rsidR="006F480C" w:rsidRPr="002B66AB">
        <w:rPr>
          <w:rFonts w:ascii="Arial Narrow" w:hAnsi="Arial Narrow"/>
          <w:b/>
          <w:bCs/>
          <w:noProof/>
          <w:sz w:val="20"/>
          <w:szCs w:val="20"/>
        </w:rPr>
        <w:t>5</w:t>
      </w:r>
      <w:bookmarkEnd w:id="13"/>
      <w:r w:rsidRPr="002B66AB">
        <w:rPr>
          <w:rFonts w:ascii="Arial Narrow" w:hAnsi="Arial Narrow"/>
          <w:bCs/>
          <w:sz w:val="20"/>
          <w:szCs w:val="20"/>
        </w:rPr>
        <w:t>:</w:t>
      </w:r>
      <w:r w:rsidRPr="002B66AB">
        <w:rPr>
          <w:rFonts w:ascii="Arial Narrow" w:hAnsi="Arial Narrow"/>
          <w:b/>
          <w:bCs/>
          <w:sz w:val="20"/>
          <w:szCs w:val="16"/>
        </w:rPr>
        <w:t xml:space="preserve"> Absolute change from baseline in LCI</w:t>
      </w:r>
      <w:r w:rsidRPr="002B66AB">
        <w:rPr>
          <w:rFonts w:ascii="Arial Narrow" w:hAnsi="Arial Narrow"/>
          <w:b/>
          <w:bCs/>
          <w:sz w:val="20"/>
          <w:szCs w:val="16"/>
          <w:vertAlign w:val="subscript"/>
        </w:rPr>
        <w:t xml:space="preserve">2.5 </w:t>
      </w:r>
      <w:r w:rsidRPr="002B66AB">
        <w:rPr>
          <w:rFonts w:ascii="Arial Narrow" w:hAnsi="Arial Narrow"/>
          <w:b/>
          <w:bCs/>
          <w:sz w:val="20"/>
          <w:szCs w:val="16"/>
        </w:rPr>
        <w:t>at week 24 by MMRM based on FAS in Study 109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0"/>
        <w:gridCol w:w="3143"/>
        <w:gridCol w:w="3090"/>
      </w:tblGrid>
      <w:tr w:rsidR="002B66AB" w:rsidRPr="002B66AB" w:rsidTr="00B558F0">
        <w:trPr>
          <w:trHeight w:val="414"/>
          <w:tblHeader/>
        </w:trPr>
        <w:tc>
          <w:tcPr>
            <w:tcW w:w="1569" w:type="pct"/>
            <w:vMerge w:val="restart"/>
            <w:vAlign w:val="center"/>
          </w:tcPr>
          <w:p w:rsidR="00E705FC" w:rsidRPr="002B66AB" w:rsidRDefault="00E705FC" w:rsidP="00B558F0">
            <w:pPr>
              <w:keepNext/>
              <w:jc w:val="left"/>
              <w:rPr>
                <w:rFonts w:ascii="Arial Narrow" w:hAnsi="Arial Narrow" w:cs="Times New Roman"/>
                <w:b/>
                <w:snapToGrid/>
                <w:sz w:val="20"/>
              </w:rPr>
            </w:pPr>
            <w:r w:rsidRPr="002B66AB">
              <w:rPr>
                <w:rFonts w:ascii="Arial Narrow" w:hAnsi="Arial Narrow" w:cs="Times New Roman"/>
                <w:b/>
                <w:snapToGrid/>
                <w:sz w:val="20"/>
              </w:rPr>
              <w:t>LCI</w:t>
            </w:r>
            <w:r w:rsidRPr="002B66AB">
              <w:rPr>
                <w:rFonts w:ascii="Arial Narrow" w:hAnsi="Arial Narrow" w:cs="Times New Roman"/>
                <w:b/>
                <w:snapToGrid/>
                <w:sz w:val="20"/>
                <w:vertAlign w:val="subscript"/>
              </w:rPr>
              <w:t xml:space="preserve">2.5 </w:t>
            </w:r>
            <w:r w:rsidRPr="002B66AB">
              <w:rPr>
                <w:rFonts w:ascii="Arial Narrow" w:hAnsi="Arial Narrow" w:cs="Times New Roman"/>
                <w:b/>
                <w:snapToGrid/>
                <w:sz w:val="20"/>
              </w:rPr>
              <w:t>(units)</w:t>
            </w:r>
          </w:p>
        </w:tc>
        <w:tc>
          <w:tcPr>
            <w:tcW w:w="3431" w:type="pct"/>
            <w:gridSpan w:val="2"/>
            <w:vAlign w:val="center"/>
          </w:tcPr>
          <w:p w:rsidR="00E705FC" w:rsidRPr="002B66AB" w:rsidRDefault="00E705FC" w:rsidP="00B558F0">
            <w:pPr>
              <w:keepNext/>
              <w:jc w:val="center"/>
              <w:rPr>
                <w:rFonts w:ascii="Arial Narrow" w:hAnsi="Arial Narrow" w:cs="Times New Roman"/>
                <w:b/>
                <w:snapToGrid/>
                <w:sz w:val="20"/>
              </w:rPr>
            </w:pPr>
            <w:r w:rsidRPr="002B66AB">
              <w:rPr>
                <w:rFonts w:ascii="Arial Narrow" w:hAnsi="Arial Narrow" w:cs="Times New Roman"/>
                <w:b/>
                <w:snapToGrid/>
                <w:sz w:val="20"/>
              </w:rPr>
              <w:t>Study 109</w:t>
            </w:r>
          </w:p>
        </w:tc>
      </w:tr>
      <w:tr w:rsidR="002B66AB" w:rsidRPr="002B66AB" w:rsidTr="00B558F0">
        <w:trPr>
          <w:trHeight w:val="414"/>
          <w:tblHeader/>
        </w:trPr>
        <w:tc>
          <w:tcPr>
            <w:tcW w:w="1569" w:type="pct"/>
            <w:vMerge/>
            <w:vAlign w:val="center"/>
          </w:tcPr>
          <w:p w:rsidR="00E705FC" w:rsidRPr="002B66AB" w:rsidRDefault="00E705FC" w:rsidP="00B558F0">
            <w:pPr>
              <w:keepNext/>
              <w:jc w:val="left"/>
              <w:rPr>
                <w:rFonts w:ascii="Arial Narrow" w:hAnsi="Arial Narrow" w:cs="Times New Roman"/>
                <w:b/>
                <w:snapToGrid/>
                <w:sz w:val="20"/>
              </w:rPr>
            </w:pPr>
          </w:p>
        </w:tc>
        <w:tc>
          <w:tcPr>
            <w:tcW w:w="1730" w:type="pct"/>
            <w:vAlign w:val="center"/>
          </w:tcPr>
          <w:p w:rsidR="00E705FC" w:rsidRPr="002B66AB" w:rsidRDefault="00E705FC" w:rsidP="00B558F0">
            <w:pPr>
              <w:keepNext/>
              <w:jc w:val="center"/>
              <w:rPr>
                <w:rFonts w:ascii="Arial Narrow" w:hAnsi="Arial Narrow" w:cs="Times New Roman"/>
                <w:b/>
                <w:snapToGrid/>
                <w:sz w:val="20"/>
              </w:rPr>
            </w:pPr>
            <w:proofErr w:type="spellStart"/>
            <w:r w:rsidRPr="002B66AB">
              <w:rPr>
                <w:rFonts w:ascii="Arial Narrow" w:hAnsi="Arial Narrow" w:cs="Times New Roman"/>
                <w:b/>
                <w:snapToGrid/>
                <w:sz w:val="20"/>
              </w:rPr>
              <w:t>Lumacaftor</w:t>
            </w:r>
            <w:proofErr w:type="spellEnd"/>
            <w:r w:rsidRPr="002B66AB">
              <w:rPr>
                <w:rFonts w:ascii="Arial Narrow" w:hAnsi="Arial Narrow" w:cs="Times New Roman"/>
                <w:b/>
                <w:snapToGrid/>
                <w:sz w:val="20"/>
              </w:rPr>
              <w:t xml:space="preserve"> 200 mg q12h/ </w:t>
            </w:r>
            <w:proofErr w:type="spellStart"/>
            <w:r w:rsidRPr="002B66AB">
              <w:rPr>
                <w:rFonts w:ascii="Arial Narrow" w:hAnsi="Arial Narrow" w:cs="Times New Roman"/>
                <w:b/>
                <w:snapToGrid/>
                <w:sz w:val="20"/>
              </w:rPr>
              <w:t>ivacaftor</w:t>
            </w:r>
            <w:proofErr w:type="spellEnd"/>
            <w:r w:rsidRPr="002B66AB">
              <w:rPr>
                <w:rFonts w:ascii="Arial Narrow" w:hAnsi="Arial Narrow" w:cs="Times New Roman"/>
                <w:b/>
                <w:snapToGrid/>
                <w:sz w:val="20"/>
              </w:rPr>
              <w:t xml:space="preserve"> 250 mg q12h (N=103)</w:t>
            </w:r>
          </w:p>
        </w:tc>
        <w:tc>
          <w:tcPr>
            <w:tcW w:w="1701" w:type="pct"/>
            <w:vAlign w:val="center"/>
          </w:tcPr>
          <w:p w:rsidR="00E705FC" w:rsidRPr="002B66AB" w:rsidRDefault="00E705FC" w:rsidP="00B558F0">
            <w:pPr>
              <w:keepNext/>
              <w:jc w:val="center"/>
              <w:rPr>
                <w:rFonts w:ascii="Arial Narrow" w:hAnsi="Arial Narrow" w:cs="Times New Roman"/>
                <w:b/>
                <w:snapToGrid/>
                <w:sz w:val="20"/>
              </w:rPr>
            </w:pPr>
            <w:r w:rsidRPr="002B66AB">
              <w:rPr>
                <w:rFonts w:ascii="Arial Narrow" w:hAnsi="Arial Narrow" w:cs="Times New Roman"/>
                <w:b/>
                <w:snapToGrid/>
                <w:sz w:val="20"/>
              </w:rPr>
              <w:t>Placebo (N=101)</w:t>
            </w:r>
          </w:p>
        </w:tc>
      </w:tr>
      <w:tr w:rsidR="002B66AB" w:rsidRPr="002B66AB" w:rsidTr="00B558F0">
        <w:tc>
          <w:tcPr>
            <w:tcW w:w="5000" w:type="pct"/>
            <w:gridSpan w:val="3"/>
            <w:vAlign w:val="center"/>
          </w:tcPr>
          <w:p w:rsidR="00E705FC" w:rsidRPr="002B66AB" w:rsidRDefault="00E705FC" w:rsidP="00B558F0">
            <w:pPr>
              <w:keepNext/>
              <w:jc w:val="left"/>
              <w:rPr>
                <w:rFonts w:ascii="Arial Narrow" w:hAnsi="Arial Narrow" w:cs="Times New Roman"/>
                <w:snapToGrid/>
                <w:sz w:val="20"/>
                <w:vertAlign w:val="superscript"/>
              </w:rPr>
            </w:pPr>
            <w:proofErr w:type="spellStart"/>
            <w:r w:rsidRPr="002B66AB">
              <w:rPr>
                <w:rFonts w:ascii="Arial Narrow" w:hAnsi="Arial Narrow" w:cs="Times New Roman"/>
                <w:snapToGrid/>
                <w:sz w:val="20"/>
              </w:rPr>
              <w:t>Baseline</w:t>
            </w:r>
            <w:r w:rsidRPr="002B66AB">
              <w:rPr>
                <w:rFonts w:ascii="Arial Narrow" w:hAnsi="Arial Narrow" w:cs="Times New Roman"/>
                <w:snapToGrid/>
                <w:sz w:val="20"/>
                <w:vertAlign w:val="superscript"/>
              </w:rPr>
              <w:t>a</w:t>
            </w:r>
            <w:proofErr w:type="spellEnd"/>
          </w:p>
        </w:tc>
      </w:tr>
      <w:tr w:rsidR="002B66AB" w:rsidRPr="002B66AB" w:rsidTr="00B558F0">
        <w:tc>
          <w:tcPr>
            <w:tcW w:w="1569" w:type="pct"/>
            <w:vAlign w:val="center"/>
          </w:tcPr>
          <w:p w:rsidR="00E705FC" w:rsidRPr="002B66AB" w:rsidRDefault="00E705FC" w:rsidP="00B558F0">
            <w:pPr>
              <w:keepNext/>
              <w:jc w:val="left"/>
              <w:rPr>
                <w:rFonts w:ascii="Arial Narrow" w:hAnsi="Arial Narrow" w:cs="Times New Roman"/>
                <w:snapToGrid/>
                <w:sz w:val="20"/>
              </w:rPr>
            </w:pPr>
            <w:r w:rsidRPr="002B66AB">
              <w:rPr>
                <w:rFonts w:ascii="Arial Narrow" w:hAnsi="Arial Narrow" w:cs="Times New Roman"/>
                <w:snapToGrid/>
                <w:sz w:val="20"/>
              </w:rPr>
              <w:t>Mean (SD)</w:t>
            </w:r>
          </w:p>
        </w:tc>
        <w:tc>
          <w:tcPr>
            <w:tcW w:w="1730" w:type="pct"/>
            <w:vAlign w:val="center"/>
          </w:tcPr>
          <w:p w:rsidR="00E705FC" w:rsidRPr="002B66AB" w:rsidRDefault="00E705FC" w:rsidP="00B558F0">
            <w:pPr>
              <w:keepNext/>
              <w:jc w:val="center"/>
              <w:rPr>
                <w:rFonts w:ascii="Arial Narrow" w:hAnsi="Arial Narrow" w:cs="Times New Roman"/>
                <w:snapToGrid/>
                <w:sz w:val="20"/>
              </w:rPr>
            </w:pPr>
            <w:r w:rsidRPr="002B66AB">
              <w:rPr>
                <w:rFonts w:ascii="Arial Narrow" w:hAnsi="Arial Narrow" w:cs="Times New Roman"/>
                <w:snapToGrid/>
                <w:sz w:val="20"/>
              </w:rPr>
              <w:t>10.30 (2.36)</w:t>
            </w:r>
          </w:p>
        </w:tc>
        <w:tc>
          <w:tcPr>
            <w:tcW w:w="1701" w:type="pct"/>
            <w:vAlign w:val="center"/>
          </w:tcPr>
          <w:p w:rsidR="00E705FC" w:rsidRPr="002B66AB" w:rsidRDefault="00E705FC" w:rsidP="00B558F0">
            <w:pPr>
              <w:keepNext/>
              <w:jc w:val="center"/>
              <w:rPr>
                <w:rFonts w:ascii="Arial Narrow" w:hAnsi="Arial Narrow" w:cs="Times New Roman"/>
                <w:snapToGrid/>
                <w:sz w:val="20"/>
              </w:rPr>
            </w:pPr>
            <w:r w:rsidRPr="002B66AB">
              <w:rPr>
                <w:rFonts w:ascii="Arial Narrow" w:hAnsi="Arial Narrow" w:cs="Times New Roman"/>
                <w:snapToGrid/>
                <w:sz w:val="20"/>
              </w:rPr>
              <w:t>10.26 (2.24)</w:t>
            </w:r>
          </w:p>
        </w:tc>
      </w:tr>
      <w:tr w:rsidR="002B66AB" w:rsidRPr="002B66AB" w:rsidTr="00B558F0">
        <w:tc>
          <w:tcPr>
            <w:tcW w:w="5000" w:type="pct"/>
            <w:gridSpan w:val="3"/>
            <w:vAlign w:val="center"/>
          </w:tcPr>
          <w:p w:rsidR="00E705FC" w:rsidRPr="002B66AB" w:rsidRDefault="00E705FC" w:rsidP="00B558F0">
            <w:pPr>
              <w:keepNext/>
              <w:jc w:val="left"/>
              <w:rPr>
                <w:rFonts w:ascii="Arial Narrow" w:hAnsi="Arial Narrow" w:cs="Times New Roman"/>
                <w:snapToGrid/>
                <w:sz w:val="20"/>
              </w:rPr>
            </w:pPr>
            <w:r w:rsidRPr="002B66AB">
              <w:rPr>
                <w:rFonts w:ascii="Arial Narrow" w:hAnsi="Arial Narrow" w:cs="Times New Roman"/>
                <w:snapToGrid/>
                <w:sz w:val="20"/>
              </w:rPr>
              <w:t>Absolute change through Week 24</w:t>
            </w:r>
          </w:p>
        </w:tc>
      </w:tr>
      <w:tr w:rsidR="002B66AB" w:rsidRPr="002B66AB" w:rsidTr="00B558F0">
        <w:tc>
          <w:tcPr>
            <w:tcW w:w="1569" w:type="pct"/>
            <w:vAlign w:val="center"/>
          </w:tcPr>
          <w:p w:rsidR="00E705FC" w:rsidRPr="002B66AB" w:rsidRDefault="00E705FC" w:rsidP="00B558F0">
            <w:pPr>
              <w:keepNext/>
              <w:jc w:val="left"/>
              <w:rPr>
                <w:rFonts w:ascii="Arial Narrow" w:hAnsi="Arial Narrow" w:cs="Times New Roman"/>
                <w:snapToGrid/>
                <w:sz w:val="20"/>
              </w:rPr>
            </w:pPr>
            <w:r w:rsidRPr="002B66AB">
              <w:rPr>
                <w:rFonts w:ascii="Arial Narrow" w:hAnsi="Arial Narrow" w:cs="Times New Roman"/>
                <w:snapToGrid/>
                <w:sz w:val="20"/>
              </w:rPr>
              <w:t>LS Mean (SE)</w:t>
            </w:r>
          </w:p>
        </w:tc>
        <w:tc>
          <w:tcPr>
            <w:tcW w:w="1730" w:type="pct"/>
            <w:vAlign w:val="center"/>
          </w:tcPr>
          <w:p w:rsidR="00E705FC" w:rsidRPr="002B66AB" w:rsidRDefault="00E705FC" w:rsidP="00B558F0">
            <w:pPr>
              <w:keepNext/>
              <w:jc w:val="center"/>
              <w:rPr>
                <w:rFonts w:ascii="Arial Narrow" w:hAnsi="Arial Narrow" w:cs="Times New Roman"/>
                <w:snapToGrid/>
                <w:sz w:val="20"/>
              </w:rPr>
            </w:pPr>
            <w:r w:rsidRPr="002B66AB">
              <w:rPr>
                <w:rFonts w:ascii="Arial Narrow" w:hAnsi="Arial Narrow" w:cs="Times New Roman"/>
                <w:snapToGrid/>
                <w:sz w:val="20"/>
              </w:rPr>
              <w:t>-1.01 (0.13)</w:t>
            </w:r>
          </w:p>
        </w:tc>
        <w:tc>
          <w:tcPr>
            <w:tcW w:w="1701" w:type="pct"/>
            <w:vAlign w:val="center"/>
          </w:tcPr>
          <w:p w:rsidR="00E705FC" w:rsidRPr="002B66AB" w:rsidRDefault="00E705FC" w:rsidP="00B558F0">
            <w:pPr>
              <w:keepNext/>
              <w:jc w:val="center"/>
              <w:rPr>
                <w:rFonts w:ascii="Arial Narrow" w:hAnsi="Arial Narrow" w:cs="Times New Roman"/>
                <w:snapToGrid/>
                <w:sz w:val="20"/>
              </w:rPr>
            </w:pPr>
            <w:r w:rsidRPr="002B66AB">
              <w:rPr>
                <w:rFonts w:ascii="Arial Narrow" w:hAnsi="Arial Narrow" w:cs="Times New Roman"/>
                <w:snapToGrid/>
                <w:sz w:val="20"/>
              </w:rPr>
              <w:t>0.08 (0.13)</w:t>
            </w:r>
          </w:p>
        </w:tc>
      </w:tr>
      <w:tr w:rsidR="002B66AB" w:rsidRPr="002B66AB" w:rsidTr="00B558F0">
        <w:tc>
          <w:tcPr>
            <w:tcW w:w="1569" w:type="pct"/>
            <w:vAlign w:val="center"/>
          </w:tcPr>
          <w:p w:rsidR="00E705FC" w:rsidRPr="002B66AB" w:rsidRDefault="00E705FC" w:rsidP="00B558F0">
            <w:pPr>
              <w:keepNext/>
              <w:jc w:val="left"/>
              <w:rPr>
                <w:rFonts w:ascii="Arial Narrow" w:hAnsi="Arial Narrow" w:cs="Times New Roman"/>
                <w:b/>
                <w:snapToGrid/>
                <w:sz w:val="20"/>
              </w:rPr>
            </w:pPr>
            <w:r w:rsidRPr="002B66AB">
              <w:rPr>
                <w:rFonts w:ascii="Arial Narrow" w:hAnsi="Arial Narrow" w:cs="Times New Roman"/>
                <w:b/>
                <w:snapToGrid/>
                <w:sz w:val="20"/>
              </w:rPr>
              <w:t>LS mean difference (95% CI)</w:t>
            </w:r>
          </w:p>
        </w:tc>
        <w:tc>
          <w:tcPr>
            <w:tcW w:w="3431" w:type="pct"/>
            <w:gridSpan w:val="2"/>
            <w:vAlign w:val="center"/>
          </w:tcPr>
          <w:p w:rsidR="00E705FC" w:rsidRPr="002B66AB" w:rsidRDefault="00E705FC" w:rsidP="00B558F0">
            <w:pPr>
              <w:keepNext/>
              <w:jc w:val="center"/>
              <w:rPr>
                <w:rFonts w:ascii="Arial Narrow" w:hAnsi="Arial Narrow" w:cs="Times New Roman"/>
                <w:b/>
                <w:snapToGrid/>
                <w:sz w:val="20"/>
              </w:rPr>
            </w:pPr>
            <w:r w:rsidRPr="002B66AB">
              <w:rPr>
                <w:rFonts w:ascii="Arial Narrow" w:hAnsi="Arial Narrow" w:cs="Times New Roman"/>
                <w:b/>
                <w:snapToGrid/>
                <w:sz w:val="20"/>
              </w:rPr>
              <w:t>-1.09 (-1.43, -0.75)</w:t>
            </w:r>
          </w:p>
        </w:tc>
      </w:tr>
      <w:tr w:rsidR="002B66AB" w:rsidRPr="002B66AB" w:rsidTr="00B558F0">
        <w:tc>
          <w:tcPr>
            <w:tcW w:w="1569" w:type="pct"/>
            <w:vAlign w:val="center"/>
          </w:tcPr>
          <w:p w:rsidR="00E705FC" w:rsidRPr="002B66AB" w:rsidRDefault="00E705FC" w:rsidP="00B558F0">
            <w:pPr>
              <w:keepNext/>
              <w:jc w:val="left"/>
              <w:rPr>
                <w:rFonts w:ascii="Arial Narrow" w:hAnsi="Arial Narrow" w:cs="Times New Roman"/>
                <w:b/>
                <w:snapToGrid/>
                <w:sz w:val="20"/>
              </w:rPr>
            </w:pPr>
            <w:r w:rsidRPr="002B66AB">
              <w:rPr>
                <w:rFonts w:ascii="Arial Narrow" w:hAnsi="Arial Narrow" w:cs="Times New Roman"/>
                <w:b/>
                <w:snapToGrid/>
                <w:sz w:val="20"/>
              </w:rPr>
              <w:t xml:space="preserve">P value </w:t>
            </w:r>
          </w:p>
        </w:tc>
        <w:tc>
          <w:tcPr>
            <w:tcW w:w="3431" w:type="pct"/>
            <w:gridSpan w:val="2"/>
            <w:vAlign w:val="center"/>
          </w:tcPr>
          <w:p w:rsidR="00E705FC" w:rsidRPr="002B66AB" w:rsidRDefault="00E705FC" w:rsidP="00B558F0">
            <w:pPr>
              <w:keepNext/>
              <w:jc w:val="center"/>
              <w:rPr>
                <w:rFonts w:ascii="Arial Narrow" w:hAnsi="Arial Narrow" w:cs="Times New Roman"/>
                <w:b/>
                <w:snapToGrid/>
                <w:sz w:val="20"/>
              </w:rPr>
            </w:pPr>
            <w:r w:rsidRPr="002B66AB">
              <w:rPr>
                <w:rFonts w:ascii="Arial Narrow" w:hAnsi="Arial Narrow" w:cs="Times New Roman"/>
                <w:b/>
                <w:snapToGrid/>
                <w:sz w:val="20"/>
              </w:rPr>
              <w:t>&lt;0.0001</w:t>
            </w:r>
          </w:p>
        </w:tc>
      </w:tr>
    </w:tbl>
    <w:p w:rsidR="00E705FC" w:rsidRPr="002B66AB" w:rsidRDefault="00E705FC" w:rsidP="00E705FC">
      <w:pPr>
        <w:pStyle w:val="TableFooter"/>
      </w:pPr>
      <w:r w:rsidRPr="002B66AB">
        <w:t>Abbreviations: CI=confidence interval; FAS=full analysis set; LS=least squares; MMRM=mixed model repeated measures; LCI2.5=lung clearance index 2.5; q12h=every 12 hours; q12h=every 12 hours SD=standard deviation; SE=standard error.</w:t>
      </w:r>
    </w:p>
    <w:p w:rsidR="00E705FC" w:rsidRPr="002B66AB" w:rsidRDefault="00E705FC" w:rsidP="00E705FC">
      <w:pPr>
        <w:pStyle w:val="TableFooter"/>
      </w:pPr>
      <w:r w:rsidRPr="002B66AB">
        <w:t xml:space="preserve">Note: </w:t>
      </w:r>
      <w:proofErr w:type="gramStart"/>
      <w:r w:rsidRPr="002B66AB">
        <w:rPr>
          <w:vertAlign w:val="superscript"/>
        </w:rPr>
        <w:t xml:space="preserve">a </w:t>
      </w:r>
      <w:r w:rsidRPr="002B66AB">
        <w:t>includes</w:t>
      </w:r>
      <w:proofErr w:type="gramEnd"/>
      <w:r w:rsidRPr="002B66AB">
        <w:t xml:space="preserve"> all patients without any post-baseline assessments. </w:t>
      </w:r>
    </w:p>
    <w:p w:rsidR="00E705FC" w:rsidRPr="002B66AB" w:rsidRDefault="00E705FC" w:rsidP="00E705FC">
      <w:pPr>
        <w:pStyle w:val="TableFooter"/>
      </w:pPr>
      <w:r w:rsidRPr="002B66AB">
        <w:t>Source: Table 2.1.15 p.86 of the submission</w:t>
      </w:r>
    </w:p>
    <w:p w:rsidR="00E705FC" w:rsidRPr="002B66AB" w:rsidRDefault="00E705FC" w:rsidP="00E705FC"/>
    <w:p w:rsidR="00654280" w:rsidRPr="002B66AB" w:rsidRDefault="00654280" w:rsidP="00431133">
      <w:pPr>
        <w:pStyle w:val="ListParagraph"/>
        <w:numPr>
          <w:ilvl w:val="1"/>
          <w:numId w:val="45"/>
        </w:numPr>
        <w:ind w:hanging="720"/>
        <w:rPr>
          <w:rFonts w:asciiTheme="minorHAnsi" w:hAnsiTheme="minorHAnsi" w:cstheme="minorHAnsi"/>
          <w:snapToGrid/>
          <w:szCs w:val="24"/>
          <w:lang w:val="en-US" w:eastAsia="en-AU"/>
        </w:rPr>
      </w:pPr>
      <w:r w:rsidRPr="00431133">
        <w:t>The</w:t>
      </w:r>
      <w:r w:rsidRPr="002B66AB">
        <w:rPr>
          <w:rFonts w:asciiTheme="minorHAnsi" w:hAnsiTheme="minorHAnsi" w:cstheme="minorHAnsi"/>
          <w:snapToGrid/>
          <w:szCs w:val="24"/>
          <w:lang w:val="en-US" w:eastAsia="en-AU"/>
        </w:rPr>
        <w:t xml:space="preserve"> PBAC noted the sponsor</w:t>
      </w:r>
      <w:r w:rsidR="00444150" w:rsidRPr="002B66AB">
        <w:rPr>
          <w:rFonts w:asciiTheme="minorHAnsi" w:hAnsiTheme="minorHAnsi" w:cstheme="minorHAnsi"/>
          <w:snapToGrid/>
          <w:szCs w:val="24"/>
          <w:lang w:val="en-US" w:eastAsia="en-AU"/>
        </w:rPr>
        <w:t>’</w:t>
      </w:r>
      <w:r w:rsidRPr="002B66AB">
        <w:rPr>
          <w:rFonts w:asciiTheme="minorHAnsi" w:hAnsiTheme="minorHAnsi" w:cstheme="minorHAnsi"/>
          <w:snapToGrid/>
          <w:szCs w:val="24"/>
          <w:lang w:val="en-US" w:eastAsia="en-AU"/>
        </w:rPr>
        <w:t xml:space="preserve">s comments in the pre-PBAC response </w:t>
      </w:r>
    </w:p>
    <w:p w:rsidR="00654280" w:rsidRPr="002B66AB" w:rsidRDefault="00654280" w:rsidP="00654280">
      <w:pPr>
        <w:widowControl/>
        <w:spacing w:after="160"/>
        <w:ind w:left="709"/>
        <w:rPr>
          <w:rFonts w:asciiTheme="minorHAnsi" w:hAnsiTheme="minorHAnsi" w:cstheme="minorHAnsi"/>
          <w:snapToGrid/>
          <w:szCs w:val="24"/>
          <w:lang w:val="en-US" w:eastAsia="en-AU"/>
        </w:rPr>
      </w:pPr>
      <w:r w:rsidRPr="002B66AB">
        <w:rPr>
          <w:rFonts w:asciiTheme="minorHAnsi" w:hAnsiTheme="minorHAnsi" w:cstheme="minorHAnsi"/>
          <w:i/>
          <w:snapToGrid/>
          <w:szCs w:val="24"/>
          <w:lang w:val="en-US" w:eastAsia="en-AU"/>
        </w:rPr>
        <w:t xml:space="preserve">“Furthermore, regarding the MCID construct, it may be informative for the PBAC members to contrast the magnitude of the LCI improvement seen with LUM/IVA® treatment in just 24 weeks of the pivotal trial (1.09 unit </w:t>
      </w:r>
      <w:proofErr w:type="gramStart"/>
      <w:r w:rsidRPr="002B66AB">
        <w:rPr>
          <w:rFonts w:asciiTheme="minorHAnsi" w:hAnsiTheme="minorHAnsi" w:cstheme="minorHAnsi"/>
          <w:i/>
          <w:snapToGrid/>
          <w:szCs w:val="24"/>
          <w:lang w:val="en-US" w:eastAsia="en-AU"/>
        </w:rPr>
        <w:t>improvement</w:t>
      </w:r>
      <w:proofErr w:type="gramEnd"/>
      <w:r w:rsidRPr="002B66AB">
        <w:rPr>
          <w:rFonts w:asciiTheme="minorHAnsi" w:hAnsiTheme="minorHAnsi" w:cstheme="minorHAnsi"/>
          <w:i/>
          <w:snapToGrid/>
          <w:szCs w:val="24"/>
          <w:lang w:val="en-US" w:eastAsia="en-AU"/>
        </w:rPr>
        <w:t xml:space="preserve"> in 24 weeks) with that reported as CF natural history by </w:t>
      </w:r>
      <w:proofErr w:type="spellStart"/>
      <w:r w:rsidRPr="002B66AB">
        <w:rPr>
          <w:rFonts w:asciiTheme="minorHAnsi" w:hAnsiTheme="minorHAnsi" w:cstheme="minorHAnsi"/>
          <w:i/>
          <w:snapToGrid/>
          <w:szCs w:val="24"/>
          <w:lang w:val="en-US" w:eastAsia="en-AU"/>
        </w:rPr>
        <w:t>Stanojevic</w:t>
      </w:r>
      <w:proofErr w:type="spellEnd"/>
      <w:r w:rsidRPr="002B66AB">
        <w:rPr>
          <w:rFonts w:asciiTheme="minorHAnsi" w:hAnsiTheme="minorHAnsi" w:cstheme="minorHAnsi"/>
          <w:i/>
          <w:snapToGrid/>
          <w:szCs w:val="24"/>
          <w:lang w:val="en-US" w:eastAsia="en-AU"/>
        </w:rPr>
        <w:t xml:space="preserve">, Davis et al, 2017. They report the annual decline in LCI in 2.5 to 6-year old patients to be 0.4 units/year — equating approximately 0.18 </w:t>
      </w:r>
      <w:proofErr w:type="gramStart"/>
      <w:r w:rsidRPr="002B66AB">
        <w:rPr>
          <w:rFonts w:asciiTheme="minorHAnsi" w:hAnsiTheme="minorHAnsi" w:cstheme="minorHAnsi"/>
          <w:i/>
          <w:snapToGrid/>
          <w:szCs w:val="24"/>
          <w:lang w:val="en-US" w:eastAsia="en-AU"/>
        </w:rPr>
        <w:t>unit</w:t>
      </w:r>
      <w:proofErr w:type="gramEnd"/>
      <w:r w:rsidRPr="002B66AB">
        <w:rPr>
          <w:rFonts w:asciiTheme="minorHAnsi" w:hAnsiTheme="minorHAnsi" w:cstheme="minorHAnsi"/>
          <w:i/>
          <w:snapToGrid/>
          <w:szCs w:val="24"/>
          <w:lang w:val="en-US" w:eastAsia="en-AU"/>
        </w:rPr>
        <w:t xml:space="preserve"> worsening in 24 weeks. We trust the PBAC can reasonably interpret the clinical meaningfulness of a directional difference in the context of expected natural history”</w:t>
      </w:r>
      <w:r w:rsidRPr="002B66AB">
        <w:rPr>
          <w:rFonts w:asciiTheme="minorHAnsi" w:hAnsiTheme="minorHAnsi" w:cstheme="minorHAnsi"/>
          <w:snapToGrid/>
          <w:szCs w:val="24"/>
          <w:lang w:val="en-US" w:eastAsia="en-AU"/>
        </w:rPr>
        <w:t xml:space="preserve"> </w:t>
      </w:r>
    </w:p>
    <w:p w:rsidR="00654280" w:rsidRPr="002B66AB" w:rsidRDefault="00654280" w:rsidP="00431133">
      <w:pPr>
        <w:pStyle w:val="ListParagraph"/>
        <w:numPr>
          <w:ilvl w:val="1"/>
          <w:numId w:val="45"/>
        </w:numPr>
        <w:ind w:hanging="720"/>
        <w:rPr>
          <w:rFonts w:asciiTheme="minorHAnsi" w:hAnsiTheme="minorHAnsi" w:cstheme="minorHAnsi"/>
          <w:snapToGrid/>
          <w:szCs w:val="24"/>
          <w:lang w:val="en-US" w:eastAsia="en-AU"/>
        </w:rPr>
      </w:pPr>
      <w:r w:rsidRPr="00431133">
        <w:t>The</w:t>
      </w:r>
      <w:r w:rsidRPr="002B66AB">
        <w:rPr>
          <w:rFonts w:asciiTheme="minorHAnsi" w:hAnsiTheme="minorHAnsi" w:cstheme="minorHAnsi"/>
          <w:snapToGrid/>
          <w:szCs w:val="24"/>
          <w:lang w:val="en-US" w:eastAsia="en-AU"/>
        </w:rPr>
        <w:t xml:space="preserve"> PBAC further noted that in contrast to the results reported by </w:t>
      </w:r>
      <w:proofErr w:type="spellStart"/>
      <w:r w:rsidRPr="002B66AB">
        <w:rPr>
          <w:rFonts w:asciiTheme="minorHAnsi" w:hAnsiTheme="minorHAnsi" w:cstheme="minorHAnsi"/>
          <w:snapToGrid/>
          <w:szCs w:val="24"/>
          <w:lang w:val="en-US" w:eastAsia="en-AU"/>
        </w:rPr>
        <w:t>Stanojevic</w:t>
      </w:r>
      <w:proofErr w:type="spellEnd"/>
      <w:r w:rsidRPr="002B66AB">
        <w:rPr>
          <w:rFonts w:asciiTheme="minorHAnsi" w:hAnsiTheme="minorHAnsi" w:cstheme="minorHAnsi"/>
          <w:snapToGrid/>
          <w:szCs w:val="24"/>
          <w:lang w:val="en-US" w:eastAsia="en-AU"/>
        </w:rPr>
        <w:t xml:space="preserve">, the mean worsening in LCI in the placebo treated group on study 109 was 0.08 units. </w:t>
      </w:r>
    </w:p>
    <w:p w:rsidR="00654280" w:rsidRPr="002B66AB" w:rsidRDefault="00654280" w:rsidP="00431133">
      <w:pPr>
        <w:pStyle w:val="ListParagraph"/>
        <w:numPr>
          <w:ilvl w:val="1"/>
          <w:numId w:val="45"/>
        </w:numPr>
        <w:ind w:hanging="720"/>
        <w:rPr>
          <w:rFonts w:asciiTheme="minorHAnsi" w:hAnsiTheme="minorHAnsi" w:cstheme="minorHAnsi"/>
          <w:snapToGrid/>
          <w:szCs w:val="24"/>
          <w:lang w:val="en-US" w:eastAsia="en-AU"/>
        </w:rPr>
      </w:pPr>
      <w:r w:rsidRPr="002B66AB">
        <w:rPr>
          <w:rFonts w:asciiTheme="minorHAnsi" w:hAnsiTheme="minorHAnsi" w:cstheme="minorHAnsi"/>
          <w:snapToGrid/>
          <w:szCs w:val="24"/>
          <w:lang w:val="en-US" w:eastAsia="en-AU"/>
        </w:rPr>
        <w:t xml:space="preserve">The PBAC agreed that the directional change in LCI observed over 24 weeks in </w:t>
      </w:r>
      <w:proofErr w:type="spellStart"/>
      <w:r w:rsidRPr="002B66AB">
        <w:rPr>
          <w:rFonts w:asciiTheme="minorHAnsi" w:hAnsiTheme="minorHAnsi" w:cstheme="minorHAnsi"/>
          <w:snapToGrid/>
          <w:szCs w:val="24"/>
          <w:lang w:val="en-US" w:eastAsia="en-AU"/>
        </w:rPr>
        <w:t>lumacaftor</w:t>
      </w:r>
      <w:proofErr w:type="spellEnd"/>
      <w:r w:rsidRPr="002B66AB">
        <w:rPr>
          <w:rFonts w:asciiTheme="minorHAnsi" w:hAnsiTheme="minorHAnsi" w:cstheme="minorHAnsi"/>
          <w:snapToGrid/>
          <w:szCs w:val="24"/>
          <w:lang w:val="en-US" w:eastAsia="en-AU"/>
        </w:rPr>
        <w:t>/</w:t>
      </w:r>
      <w:proofErr w:type="spellStart"/>
      <w:r w:rsidRPr="002B66AB">
        <w:rPr>
          <w:rFonts w:asciiTheme="minorHAnsi" w:hAnsiTheme="minorHAnsi" w:cstheme="minorHAnsi"/>
          <w:snapToGrid/>
          <w:szCs w:val="24"/>
          <w:lang w:val="en-US" w:eastAsia="en-AU"/>
        </w:rPr>
        <w:t>ivacaftor</w:t>
      </w:r>
      <w:proofErr w:type="spellEnd"/>
      <w:r w:rsidRPr="002B66AB">
        <w:rPr>
          <w:rFonts w:asciiTheme="minorHAnsi" w:hAnsiTheme="minorHAnsi" w:cstheme="minorHAnsi"/>
          <w:snapToGrid/>
          <w:szCs w:val="24"/>
          <w:lang w:val="en-US" w:eastAsia="en-AU"/>
        </w:rPr>
        <w:t xml:space="preserve"> in Study 109 was positive but remained uncertain what this change would mean in terms of the overall heal</w:t>
      </w:r>
      <w:r w:rsidR="00682304" w:rsidRPr="002B66AB">
        <w:rPr>
          <w:rFonts w:asciiTheme="minorHAnsi" w:hAnsiTheme="minorHAnsi" w:cstheme="minorHAnsi"/>
          <w:snapToGrid/>
          <w:szCs w:val="24"/>
          <w:lang w:val="en-US" w:eastAsia="en-AU"/>
        </w:rPr>
        <w:t xml:space="preserve">th </w:t>
      </w:r>
      <w:r w:rsidRPr="002B66AB">
        <w:rPr>
          <w:rFonts w:asciiTheme="minorHAnsi" w:hAnsiTheme="minorHAnsi" w:cstheme="minorHAnsi"/>
          <w:snapToGrid/>
          <w:szCs w:val="24"/>
          <w:lang w:val="en-US" w:eastAsia="en-AU"/>
        </w:rPr>
        <w:t>of this patient cohort over the longer term.</w:t>
      </w:r>
    </w:p>
    <w:p w:rsidR="00E705FC" w:rsidRPr="002B66AB" w:rsidRDefault="00E705FC" w:rsidP="00431133">
      <w:pPr>
        <w:pStyle w:val="ListParagraph"/>
        <w:numPr>
          <w:ilvl w:val="1"/>
          <w:numId w:val="45"/>
        </w:numPr>
        <w:ind w:hanging="720"/>
        <w:rPr>
          <w:rFonts w:asciiTheme="minorHAnsi" w:hAnsiTheme="minorHAnsi" w:cstheme="minorHAnsi"/>
          <w:snapToGrid/>
          <w:szCs w:val="24"/>
          <w:lang w:val="en-US" w:eastAsia="en-AU"/>
        </w:rPr>
      </w:pPr>
      <w:r w:rsidRPr="00431133">
        <w:t>The</w:t>
      </w:r>
      <w:r w:rsidRPr="002B66AB">
        <w:rPr>
          <w:rFonts w:asciiTheme="minorHAnsi" w:hAnsiTheme="minorHAnsi" w:cstheme="minorHAnsi"/>
          <w:snapToGrid/>
          <w:szCs w:val="24"/>
          <w:lang w:val="en-US" w:eastAsia="en-AU"/>
        </w:rPr>
        <w:t xml:space="preserve"> absolute and relative changes in ppFEV</w:t>
      </w:r>
      <w:r w:rsidRPr="002B66AB">
        <w:rPr>
          <w:rFonts w:asciiTheme="minorHAnsi" w:hAnsiTheme="minorHAnsi" w:cstheme="minorHAnsi"/>
          <w:snapToGrid/>
          <w:szCs w:val="24"/>
          <w:vertAlign w:val="subscript"/>
          <w:lang w:val="en-US" w:eastAsia="en-AU"/>
        </w:rPr>
        <w:t>1</w:t>
      </w:r>
      <w:r w:rsidRPr="002B66AB">
        <w:rPr>
          <w:rFonts w:asciiTheme="minorHAnsi" w:hAnsiTheme="minorHAnsi" w:cstheme="minorHAnsi"/>
          <w:snapToGrid/>
          <w:szCs w:val="24"/>
          <w:lang w:val="en-US" w:eastAsia="en-AU"/>
        </w:rPr>
        <w:t xml:space="preserve"> at week 24 were statistically significant and showed 3% and 3.8% improvements in </w:t>
      </w:r>
      <w:r w:rsidRPr="002B66AB">
        <w:rPr>
          <w:rFonts w:asciiTheme="minorHAnsi" w:hAnsiTheme="minorHAnsi" w:cstheme="minorHAnsi"/>
          <w:snapToGrid/>
          <w:szCs w:val="24"/>
          <w:lang w:eastAsia="en-AU"/>
        </w:rPr>
        <w:t>favour</w:t>
      </w:r>
      <w:r w:rsidRPr="002B66AB">
        <w:rPr>
          <w:rFonts w:asciiTheme="minorHAnsi" w:hAnsiTheme="minorHAnsi" w:cstheme="minorHAnsi"/>
          <w:snapToGrid/>
          <w:szCs w:val="24"/>
          <w:lang w:val="en-US" w:eastAsia="en-AU"/>
        </w:rPr>
        <w:t xml:space="preserve"> of </w:t>
      </w:r>
      <w:proofErr w:type="spellStart"/>
      <w:r w:rsidRPr="002B66AB">
        <w:rPr>
          <w:rFonts w:asciiTheme="minorHAnsi" w:hAnsiTheme="minorHAnsi" w:cstheme="minorHAnsi"/>
          <w:snapToGrid/>
          <w:szCs w:val="24"/>
          <w:lang w:val="en-US" w:eastAsia="en-AU"/>
        </w:rPr>
        <w:t>lumacaftor</w:t>
      </w:r>
      <w:proofErr w:type="spellEnd"/>
      <w:r w:rsidRPr="002B66AB">
        <w:rPr>
          <w:rFonts w:asciiTheme="minorHAnsi" w:hAnsiTheme="minorHAnsi" w:cstheme="minorHAnsi"/>
          <w:snapToGrid/>
          <w:szCs w:val="24"/>
          <w:lang w:val="en-US" w:eastAsia="en-AU"/>
        </w:rPr>
        <w:t>/</w:t>
      </w:r>
      <w:proofErr w:type="spellStart"/>
      <w:r w:rsidRPr="002B66AB">
        <w:rPr>
          <w:rFonts w:asciiTheme="minorHAnsi" w:hAnsiTheme="minorHAnsi" w:cstheme="minorHAnsi"/>
          <w:snapToGrid/>
          <w:szCs w:val="24"/>
          <w:lang w:val="en-US" w:eastAsia="en-AU"/>
        </w:rPr>
        <w:t>ivacaftor</w:t>
      </w:r>
      <w:proofErr w:type="spellEnd"/>
      <w:r w:rsidRPr="002B66AB">
        <w:rPr>
          <w:rFonts w:asciiTheme="minorHAnsi" w:hAnsiTheme="minorHAnsi" w:cstheme="minorHAnsi"/>
          <w:snapToGrid/>
          <w:szCs w:val="24"/>
          <w:lang w:val="en-US" w:eastAsia="en-AU"/>
        </w:rPr>
        <w:t xml:space="preserve"> respectively (see </w:t>
      </w:r>
      <w:r w:rsidR="006F480C" w:rsidRPr="002B66AB">
        <w:rPr>
          <w:rFonts w:asciiTheme="minorHAnsi" w:hAnsiTheme="minorHAnsi" w:cstheme="minorHAnsi"/>
          <w:szCs w:val="24"/>
        </w:rPr>
        <w:t xml:space="preserve">Table </w:t>
      </w:r>
      <w:r w:rsidR="006F480C" w:rsidRPr="002B66AB">
        <w:rPr>
          <w:rFonts w:asciiTheme="minorHAnsi" w:hAnsiTheme="minorHAnsi" w:cstheme="minorHAnsi"/>
          <w:noProof/>
          <w:szCs w:val="24"/>
        </w:rPr>
        <w:t>6</w:t>
      </w:r>
      <w:r w:rsidRPr="002B66AB">
        <w:rPr>
          <w:rFonts w:asciiTheme="minorHAnsi" w:hAnsiTheme="minorHAnsi" w:cstheme="minorHAnsi"/>
          <w:snapToGrid/>
          <w:szCs w:val="24"/>
          <w:lang w:val="en-US" w:eastAsia="en-AU"/>
        </w:rPr>
        <w:t xml:space="preserve">). </w:t>
      </w:r>
    </w:p>
    <w:p w:rsidR="009F2127" w:rsidRDefault="009F2127">
      <w:pPr>
        <w:widowControl/>
        <w:jc w:val="left"/>
        <w:rPr>
          <w:rFonts w:ascii="Arial Narrow" w:hAnsi="Arial Narrow"/>
          <w:b/>
          <w:bCs/>
          <w:sz w:val="20"/>
          <w:szCs w:val="20"/>
        </w:rPr>
      </w:pPr>
      <w:bookmarkStart w:id="14" w:name="_Ref511048126"/>
      <w:r>
        <w:rPr>
          <w:rFonts w:ascii="Arial Narrow" w:hAnsi="Arial Narrow"/>
          <w:b/>
          <w:bCs/>
          <w:sz w:val="20"/>
          <w:szCs w:val="20"/>
        </w:rPr>
        <w:br w:type="page"/>
      </w:r>
    </w:p>
    <w:p w:rsidR="00E705FC" w:rsidRPr="002B66AB" w:rsidRDefault="00E705FC" w:rsidP="00E705FC">
      <w:pPr>
        <w:rPr>
          <w:rFonts w:ascii="Arial Narrow" w:hAnsi="Arial Narrow"/>
          <w:b/>
          <w:bCs/>
          <w:sz w:val="20"/>
          <w:szCs w:val="16"/>
        </w:rPr>
      </w:pPr>
      <w:r w:rsidRPr="000A4985">
        <w:rPr>
          <w:rFonts w:ascii="Arial Narrow" w:hAnsi="Arial Narrow"/>
          <w:b/>
          <w:bCs/>
          <w:sz w:val="20"/>
          <w:szCs w:val="20"/>
        </w:rPr>
        <w:lastRenderedPageBreak/>
        <w:t xml:space="preserve">Table </w:t>
      </w:r>
      <w:r w:rsidR="006F480C" w:rsidRPr="000A4985">
        <w:rPr>
          <w:rFonts w:ascii="Arial Narrow" w:hAnsi="Arial Narrow"/>
          <w:b/>
          <w:bCs/>
          <w:noProof/>
          <w:sz w:val="20"/>
          <w:szCs w:val="20"/>
        </w:rPr>
        <w:t>6</w:t>
      </w:r>
      <w:bookmarkEnd w:id="14"/>
      <w:r w:rsidRPr="000A4985">
        <w:rPr>
          <w:rFonts w:ascii="Arial Narrow" w:hAnsi="Arial Narrow"/>
          <w:b/>
          <w:bCs/>
          <w:sz w:val="20"/>
          <w:szCs w:val="20"/>
        </w:rPr>
        <w:t>: Absolute</w:t>
      </w:r>
      <w:r w:rsidRPr="002B66AB">
        <w:rPr>
          <w:rFonts w:ascii="Arial Narrow" w:hAnsi="Arial Narrow"/>
          <w:b/>
          <w:bCs/>
          <w:sz w:val="20"/>
          <w:szCs w:val="16"/>
        </w:rPr>
        <w:t xml:space="preserve"> change from baseline in secondary lung function outcomes (ppFEV</w:t>
      </w:r>
      <w:r w:rsidRPr="002B66AB">
        <w:rPr>
          <w:rFonts w:ascii="Arial Narrow" w:hAnsi="Arial Narrow"/>
          <w:b/>
          <w:bCs/>
          <w:sz w:val="20"/>
          <w:szCs w:val="16"/>
          <w:vertAlign w:val="subscript"/>
        </w:rPr>
        <w:t>1</w:t>
      </w:r>
      <w:r w:rsidRPr="002B66AB">
        <w:rPr>
          <w:rFonts w:ascii="Arial Narrow" w:hAnsi="Arial Narrow"/>
          <w:b/>
          <w:bCs/>
          <w:sz w:val="20"/>
          <w:szCs w:val="16"/>
        </w:rPr>
        <w:t>) in Study 109</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808"/>
        <w:gridCol w:w="534"/>
        <w:gridCol w:w="2275"/>
      </w:tblGrid>
      <w:tr w:rsidR="002B66AB" w:rsidRPr="002B66AB" w:rsidTr="00B558F0">
        <w:trPr>
          <w:trHeight w:val="414"/>
          <w:tblHeader/>
        </w:trPr>
        <w:tc>
          <w:tcPr>
            <w:tcW w:w="1926" w:type="pct"/>
            <w:vAlign w:val="center"/>
          </w:tcPr>
          <w:p w:rsidR="00E705FC" w:rsidRPr="002B66AB" w:rsidRDefault="00E705FC" w:rsidP="00B558F0">
            <w:pPr>
              <w:keepNext/>
              <w:rPr>
                <w:rFonts w:ascii="Arial Narrow" w:hAnsi="Arial Narrow"/>
                <w:b/>
                <w:sz w:val="20"/>
                <w:szCs w:val="20"/>
                <w:vertAlign w:val="subscript"/>
              </w:rPr>
            </w:pPr>
            <w:r w:rsidRPr="002B66AB">
              <w:rPr>
                <w:rFonts w:ascii="Arial Narrow" w:hAnsi="Arial Narrow"/>
                <w:b/>
                <w:sz w:val="20"/>
                <w:szCs w:val="20"/>
              </w:rPr>
              <w:t>ppFEV</w:t>
            </w:r>
            <w:r w:rsidRPr="002B66AB">
              <w:rPr>
                <w:rFonts w:ascii="Arial Narrow" w:hAnsi="Arial Narrow"/>
                <w:b/>
                <w:sz w:val="20"/>
                <w:szCs w:val="20"/>
                <w:vertAlign w:val="subscript"/>
              </w:rPr>
              <w:t>1</w:t>
            </w:r>
          </w:p>
        </w:tc>
        <w:tc>
          <w:tcPr>
            <w:tcW w:w="1829" w:type="pct"/>
            <w:gridSpan w:val="2"/>
            <w:vAlign w:val="center"/>
          </w:tcPr>
          <w:p w:rsidR="00E705FC" w:rsidRPr="002B66AB" w:rsidRDefault="00E705FC" w:rsidP="00B558F0">
            <w:pPr>
              <w:keepNext/>
              <w:jc w:val="center"/>
              <w:rPr>
                <w:rFonts w:ascii="Arial Narrow" w:hAnsi="Arial Narrow"/>
                <w:b/>
                <w:sz w:val="20"/>
                <w:szCs w:val="20"/>
              </w:rPr>
            </w:pPr>
            <w:proofErr w:type="spellStart"/>
            <w:r w:rsidRPr="002B66AB">
              <w:rPr>
                <w:rFonts w:ascii="Arial Narrow" w:hAnsi="Arial Narrow"/>
                <w:b/>
                <w:sz w:val="20"/>
                <w:szCs w:val="20"/>
              </w:rPr>
              <w:t>Lumacaftor</w:t>
            </w:r>
            <w:proofErr w:type="spellEnd"/>
            <w:r w:rsidRPr="002B66AB">
              <w:rPr>
                <w:rFonts w:ascii="Arial Narrow" w:hAnsi="Arial Narrow"/>
                <w:b/>
                <w:sz w:val="20"/>
                <w:szCs w:val="20"/>
              </w:rPr>
              <w:t xml:space="preserve"> 200 mg q12h/ </w:t>
            </w:r>
            <w:proofErr w:type="spellStart"/>
            <w:r w:rsidRPr="002B66AB">
              <w:rPr>
                <w:rFonts w:ascii="Arial Narrow" w:hAnsi="Arial Narrow"/>
                <w:b/>
                <w:sz w:val="20"/>
                <w:szCs w:val="20"/>
              </w:rPr>
              <w:t>ivacaftor</w:t>
            </w:r>
            <w:proofErr w:type="spellEnd"/>
            <w:r w:rsidRPr="002B66AB">
              <w:rPr>
                <w:rFonts w:ascii="Arial Narrow" w:hAnsi="Arial Narrow"/>
                <w:b/>
                <w:sz w:val="20"/>
                <w:szCs w:val="20"/>
              </w:rPr>
              <w:t xml:space="preserve"> 250 mg q12h</w:t>
            </w:r>
          </w:p>
          <w:p w:rsidR="00E705FC" w:rsidRPr="002B66AB" w:rsidRDefault="00E705FC" w:rsidP="00B558F0">
            <w:pPr>
              <w:keepNext/>
              <w:jc w:val="center"/>
              <w:rPr>
                <w:rFonts w:ascii="Arial Narrow" w:hAnsi="Arial Narrow"/>
                <w:b/>
                <w:sz w:val="20"/>
                <w:szCs w:val="20"/>
              </w:rPr>
            </w:pPr>
            <w:r w:rsidRPr="002B66AB">
              <w:rPr>
                <w:rFonts w:ascii="Arial Narrow" w:hAnsi="Arial Narrow"/>
                <w:b/>
                <w:sz w:val="20"/>
                <w:szCs w:val="20"/>
              </w:rPr>
              <w:t>N=103</w:t>
            </w:r>
          </w:p>
        </w:tc>
        <w:tc>
          <w:tcPr>
            <w:tcW w:w="1245" w:type="pct"/>
            <w:vAlign w:val="center"/>
          </w:tcPr>
          <w:p w:rsidR="00E705FC" w:rsidRPr="002B66AB" w:rsidRDefault="00E705FC" w:rsidP="00B558F0">
            <w:pPr>
              <w:keepNext/>
              <w:rPr>
                <w:rFonts w:ascii="Arial Narrow" w:hAnsi="Arial Narrow"/>
                <w:b/>
                <w:sz w:val="20"/>
                <w:szCs w:val="20"/>
              </w:rPr>
            </w:pPr>
            <w:r w:rsidRPr="002B66AB">
              <w:rPr>
                <w:rFonts w:ascii="Arial Narrow" w:hAnsi="Arial Narrow"/>
                <w:b/>
                <w:sz w:val="20"/>
                <w:szCs w:val="20"/>
              </w:rPr>
              <w:t>Placebo (N=101)</w:t>
            </w:r>
          </w:p>
        </w:tc>
      </w:tr>
      <w:tr w:rsidR="002B66AB" w:rsidRPr="002B66AB" w:rsidTr="00B558F0">
        <w:tc>
          <w:tcPr>
            <w:tcW w:w="5000" w:type="pct"/>
            <w:gridSpan w:val="4"/>
            <w:tcBorders>
              <w:bottom w:val="single" w:sz="4" w:space="0" w:color="auto"/>
            </w:tcBorders>
            <w:vAlign w:val="center"/>
          </w:tcPr>
          <w:p w:rsidR="00E705FC" w:rsidRPr="002B66AB" w:rsidRDefault="00E705FC" w:rsidP="00B558F0">
            <w:pPr>
              <w:rPr>
                <w:rFonts w:ascii="Arial Narrow" w:hAnsi="Arial Narrow"/>
                <w:b/>
                <w:sz w:val="20"/>
                <w:szCs w:val="20"/>
              </w:rPr>
            </w:pPr>
            <w:r w:rsidRPr="002B66AB">
              <w:rPr>
                <w:rFonts w:ascii="Arial Narrow" w:hAnsi="Arial Narrow"/>
                <w:b/>
                <w:sz w:val="20"/>
                <w:szCs w:val="20"/>
              </w:rPr>
              <w:t>MMRM analysis of absolute change in ppFEV</w:t>
            </w:r>
            <w:r w:rsidRPr="002B66AB">
              <w:rPr>
                <w:rFonts w:ascii="Arial Narrow" w:hAnsi="Arial Narrow"/>
                <w:b/>
                <w:sz w:val="20"/>
                <w:szCs w:val="20"/>
                <w:vertAlign w:val="subscript"/>
              </w:rPr>
              <w:t>1</w:t>
            </w:r>
            <w:r w:rsidRPr="002B66AB">
              <w:rPr>
                <w:rFonts w:ascii="Arial Narrow" w:hAnsi="Arial Narrow"/>
                <w:b/>
                <w:sz w:val="20"/>
                <w:szCs w:val="20"/>
              </w:rPr>
              <w:t xml:space="preserve"> from baseline through Week 24 (FAS)</w:t>
            </w:r>
          </w:p>
        </w:tc>
      </w:tr>
      <w:tr w:rsidR="002B66AB" w:rsidRPr="002B66AB" w:rsidTr="00B558F0">
        <w:tc>
          <w:tcPr>
            <w:tcW w:w="1926" w:type="pct"/>
            <w:tcBorders>
              <w:right w:val="nil"/>
            </w:tcBorders>
            <w:vAlign w:val="center"/>
          </w:tcPr>
          <w:p w:rsidR="00E705FC" w:rsidRPr="002B66AB" w:rsidRDefault="00E705FC" w:rsidP="00B558F0">
            <w:pPr>
              <w:rPr>
                <w:rFonts w:ascii="Arial Narrow" w:hAnsi="Arial Narrow"/>
                <w:sz w:val="20"/>
                <w:szCs w:val="20"/>
                <w:vertAlign w:val="superscript"/>
              </w:rPr>
            </w:pPr>
            <w:proofErr w:type="spellStart"/>
            <w:r w:rsidRPr="002B66AB">
              <w:rPr>
                <w:rFonts w:ascii="Arial Narrow" w:hAnsi="Arial Narrow"/>
                <w:sz w:val="20"/>
                <w:szCs w:val="20"/>
              </w:rPr>
              <w:t>Baseline</w:t>
            </w:r>
            <w:r w:rsidRPr="002B66AB">
              <w:rPr>
                <w:rFonts w:ascii="Arial Narrow" w:hAnsi="Arial Narrow"/>
                <w:sz w:val="20"/>
                <w:szCs w:val="20"/>
                <w:vertAlign w:val="superscript"/>
              </w:rPr>
              <w:t>a</w:t>
            </w:r>
            <w:proofErr w:type="spellEnd"/>
          </w:p>
        </w:tc>
        <w:tc>
          <w:tcPr>
            <w:tcW w:w="1829" w:type="pct"/>
            <w:gridSpan w:val="2"/>
            <w:tcBorders>
              <w:left w:val="nil"/>
              <w:right w:val="nil"/>
            </w:tcBorders>
            <w:vAlign w:val="center"/>
          </w:tcPr>
          <w:p w:rsidR="00E705FC" w:rsidRPr="002B66AB" w:rsidRDefault="00E705FC" w:rsidP="00B558F0">
            <w:pPr>
              <w:rPr>
                <w:rFonts w:ascii="Arial Narrow" w:hAnsi="Arial Narrow"/>
                <w:sz w:val="20"/>
                <w:szCs w:val="20"/>
              </w:rPr>
            </w:pPr>
          </w:p>
        </w:tc>
        <w:tc>
          <w:tcPr>
            <w:tcW w:w="1245" w:type="pct"/>
            <w:tcBorders>
              <w:left w:val="nil"/>
            </w:tcBorders>
            <w:vAlign w:val="center"/>
          </w:tcPr>
          <w:p w:rsidR="00E705FC" w:rsidRPr="002B66AB" w:rsidRDefault="00E705FC" w:rsidP="00B558F0">
            <w:pPr>
              <w:rPr>
                <w:rFonts w:ascii="Arial Narrow" w:hAnsi="Arial Narrow"/>
                <w:sz w:val="20"/>
                <w:szCs w:val="20"/>
              </w:rPr>
            </w:pPr>
          </w:p>
        </w:tc>
      </w:tr>
      <w:tr w:rsidR="002B66AB" w:rsidRPr="002B66AB" w:rsidTr="00B558F0">
        <w:tc>
          <w:tcPr>
            <w:tcW w:w="1926" w:type="pct"/>
            <w:tcBorders>
              <w:bottom w:val="single" w:sz="4" w:space="0" w:color="auto"/>
            </w:tcBorders>
            <w:vAlign w:val="center"/>
          </w:tcPr>
          <w:p w:rsidR="00E705FC" w:rsidRPr="002B66AB" w:rsidRDefault="00E705FC" w:rsidP="00B558F0">
            <w:pPr>
              <w:rPr>
                <w:rFonts w:ascii="Arial Narrow" w:hAnsi="Arial Narrow"/>
                <w:sz w:val="20"/>
                <w:szCs w:val="20"/>
              </w:rPr>
            </w:pPr>
            <w:r w:rsidRPr="002B66AB">
              <w:rPr>
                <w:rFonts w:ascii="Arial Narrow" w:hAnsi="Arial Narrow"/>
                <w:sz w:val="20"/>
                <w:szCs w:val="20"/>
              </w:rPr>
              <w:t>Mean (SD)</w:t>
            </w:r>
          </w:p>
        </w:tc>
        <w:tc>
          <w:tcPr>
            <w:tcW w:w="1829" w:type="pct"/>
            <w:gridSpan w:val="2"/>
            <w:tcBorders>
              <w:bottom w:val="single" w:sz="4" w:space="0" w:color="auto"/>
            </w:tcBorders>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88.8 (13.7)</w:t>
            </w:r>
          </w:p>
        </w:tc>
        <w:tc>
          <w:tcPr>
            <w:tcW w:w="1245" w:type="pct"/>
            <w:tcBorders>
              <w:bottom w:val="single" w:sz="4" w:space="0" w:color="auto"/>
            </w:tcBorders>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90.7 (10.8)</w:t>
            </w:r>
          </w:p>
        </w:tc>
      </w:tr>
      <w:tr w:rsidR="002B66AB" w:rsidRPr="002B66AB" w:rsidTr="00B558F0">
        <w:tc>
          <w:tcPr>
            <w:tcW w:w="1926" w:type="pct"/>
            <w:tcBorders>
              <w:right w:val="nil"/>
            </w:tcBorders>
            <w:vAlign w:val="center"/>
          </w:tcPr>
          <w:p w:rsidR="00E705FC" w:rsidRPr="002B66AB" w:rsidRDefault="00E705FC" w:rsidP="00B558F0">
            <w:pPr>
              <w:rPr>
                <w:rFonts w:ascii="Arial Narrow" w:hAnsi="Arial Narrow"/>
                <w:sz w:val="20"/>
                <w:szCs w:val="20"/>
              </w:rPr>
            </w:pPr>
            <w:r w:rsidRPr="002B66AB">
              <w:rPr>
                <w:rFonts w:ascii="Arial Narrow" w:hAnsi="Arial Narrow"/>
                <w:sz w:val="20"/>
                <w:szCs w:val="20"/>
              </w:rPr>
              <w:t>Absolute change through Week 24</w:t>
            </w:r>
          </w:p>
        </w:tc>
        <w:tc>
          <w:tcPr>
            <w:tcW w:w="1829" w:type="pct"/>
            <w:gridSpan w:val="2"/>
            <w:tcBorders>
              <w:left w:val="nil"/>
              <w:right w:val="nil"/>
            </w:tcBorders>
            <w:vAlign w:val="center"/>
          </w:tcPr>
          <w:p w:rsidR="00E705FC" w:rsidRPr="002B66AB" w:rsidRDefault="00E705FC" w:rsidP="00B558F0">
            <w:pPr>
              <w:jc w:val="center"/>
              <w:rPr>
                <w:rFonts w:ascii="Arial Narrow" w:hAnsi="Arial Narrow"/>
                <w:sz w:val="20"/>
                <w:szCs w:val="20"/>
              </w:rPr>
            </w:pPr>
          </w:p>
        </w:tc>
        <w:tc>
          <w:tcPr>
            <w:tcW w:w="1245" w:type="pct"/>
            <w:tcBorders>
              <w:left w:val="nil"/>
            </w:tcBorders>
            <w:vAlign w:val="center"/>
          </w:tcPr>
          <w:p w:rsidR="00E705FC" w:rsidRPr="002B66AB" w:rsidRDefault="00E705FC" w:rsidP="00B558F0">
            <w:pPr>
              <w:jc w:val="center"/>
              <w:rPr>
                <w:rFonts w:ascii="Arial Narrow" w:hAnsi="Arial Narrow"/>
                <w:sz w:val="20"/>
                <w:szCs w:val="20"/>
              </w:rPr>
            </w:pPr>
          </w:p>
        </w:tc>
      </w:tr>
      <w:tr w:rsidR="002B66AB" w:rsidRPr="002B66AB" w:rsidTr="00B558F0">
        <w:tc>
          <w:tcPr>
            <w:tcW w:w="1926" w:type="pct"/>
            <w:vAlign w:val="center"/>
          </w:tcPr>
          <w:p w:rsidR="00E705FC" w:rsidRPr="002B66AB" w:rsidRDefault="00E705FC" w:rsidP="00B558F0">
            <w:pPr>
              <w:rPr>
                <w:rFonts w:ascii="Arial Narrow" w:hAnsi="Arial Narrow"/>
                <w:sz w:val="20"/>
                <w:szCs w:val="20"/>
              </w:rPr>
            </w:pPr>
            <w:r w:rsidRPr="002B66AB">
              <w:rPr>
                <w:rFonts w:ascii="Arial Narrow" w:hAnsi="Arial Narrow"/>
                <w:sz w:val="20"/>
                <w:szCs w:val="20"/>
              </w:rPr>
              <w:t>LS Mean (SE)</w:t>
            </w:r>
          </w:p>
        </w:tc>
        <w:tc>
          <w:tcPr>
            <w:tcW w:w="1829" w:type="pct"/>
            <w:gridSpan w:val="2"/>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2.5 (0.9)</w:t>
            </w:r>
          </w:p>
        </w:tc>
        <w:tc>
          <w:tcPr>
            <w:tcW w:w="1245" w:type="pct"/>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-0.5 (0.9)</w:t>
            </w:r>
          </w:p>
        </w:tc>
      </w:tr>
      <w:tr w:rsidR="002B66AB" w:rsidRPr="002B66AB" w:rsidTr="00B558F0">
        <w:tc>
          <w:tcPr>
            <w:tcW w:w="1926" w:type="pct"/>
            <w:vAlign w:val="center"/>
          </w:tcPr>
          <w:p w:rsidR="00E705FC" w:rsidRPr="002B66AB" w:rsidRDefault="00E705FC" w:rsidP="00B558F0">
            <w:pPr>
              <w:rPr>
                <w:rFonts w:ascii="Arial Narrow" w:hAnsi="Arial Narrow"/>
                <w:b/>
                <w:sz w:val="20"/>
                <w:szCs w:val="20"/>
              </w:rPr>
            </w:pPr>
            <w:r w:rsidRPr="002B66AB">
              <w:rPr>
                <w:rFonts w:ascii="Arial Narrow" w:hAnsi="Arial Narrow"/>
                <w:b/>
                <w:sz w:val="20"/>
                <w:szCs w:val="20"/>
              </w:rPr>
              <w:t>LS mean difference (95% CI)</w:t>
            </w:r>
          </w:p>
        </w:tc>
        <w:tc>
          <w:tcPr>
            <w:tcW w:w="3074" w:type="pct"/>
            <w:gridSpan w:val="3"/>
            <w:vAlign w:val="center"/>
          </w:tcPr>
          <w:p w:rsidR="00E705FC" w:rsidRPr="002B66AB" w:rsidRDefault="00E705FC" w:rsidP="00B558F0">
            <w:pPr>
              <w:jc w:val="center"/>
              <w:rPr>
                <w:rFonts w:ascii="Arial Narrow" w:hAnsi="Arial Narrow"/>
                <w:b/>
                <w:sz w:val="20"/>
                <w:szCs w:val="20"/>
              </w:rPr>
            </w:pPr>
            <w:r w:rsidRPr="002B66AB">
              <w:rPr>
                <w:rFonts w:ascii="Arial Narrow" w:hAnsi="Arial Narrow"/>
                <w:b/>
                <w:sz w:val="20"/>
                <w:szCs w:val="20"/>
              </w:rPr>
              <w:t>3.0 (0.5, 5.5)</w:t>
            </w:r>
          </w:p>
        </w:tc>
      </w:tr>
      <w:tr w:rsidR="002B66AB" w:rsidRPr="002B66AB" w:rsidTr="00B558F0">
        <w:tc>
          <w:tcPr>
            <w:tcW w:w="1926" w:type="pct"/>
            <w:vAlign w:val="center"/>
          </w:tcPr>
          <w:p w:rsidR="00E705FC" w:rsidRPr="002B66AB" w:rsidRDefault="00E705FC" w:rsidP="00B558F0">
            <w:pPr>
              <w:rPr>
                <w:rFonts w:ascii="Arial Narrow" w:hAnsi="Arial Narrow"/>
                <w:b/>
                <w:sz w:val="20"/>
                <w:szCs w:val="20"/>
              </w:rPr>
            </w:pPr>
            <w:r w:rsidRPr="002B66AB">
              <w:rPr>
                <w:rFonts w:ascii="Arial Narrow" w:hAnsi="Arial Narrow"/>
                <w:b/>
                <w:sz w:val="20"/>
                <w:szCs w:val="20"/>
              </w:rPr>
              <w:t xml:space="preserve">P value </w:t>
            </w:r>
          </w:p>
        </w:tc>
        <w:tc>
          <w:tcPr>
            <w:tcW w:w="3074" w:type="pct"/>
            <w:gridSpan w:val="3"/>
            <w:vAlign w:val="center"/>
          </w:tcPr>
          <w:p w:rsidR="00E705FC" w:rsidRPr="002B66AB" w:rsidRDefault="00E705FC" w:rsidP="00B558F0">
            <w:pPr>
              <w:jc w:val="center"/>
              <w:rPr>
                <w:rFonts w:ascii="Arial Narrow" w:hAnsi="Arial Narrow"/>
                <w:b/>
                <w:sz w:val="20"/>
                <w:szCs w:val="20"/>
              </w:rPr>
            </w:pPr>
            <w:r w:rsidRPr="002B66AB">
              <w:rPr>
                <w:rFonts w:ascii="Arial Narrow" w:hAnsi="Arial Narrow"/>
                <w:b/>
                <w:sz w:val="20"/>
                <w:szCs w:val="20"/>
              </w:rPr>
              <w:t>0.0195</w:t>
            </w:r>
          </w:p>
        </w:tc>
      </w:tr>
      <w:tr w:rsidR="002B66AB" w:rsidRPr="002B66AB" w:rsidTr="00B558F0">
        <w:tc>
          <w:tcPr>
            <w:tcW w:w="5000" w:type="pct"/>
            <w:gridSpan w:val="4"/>
            <w:tcBorders>
              <w:bottom w:val="single" w:sz="4" w:space="0" w:color="auto"/>
            </w:tcBorders>
            <w:vAlign w:val="center"/>
          </w:tcPr>
          <w:p w:rsidR="00E705FC" w:rsidRPr="002B66AB" w:rsidRDefault="00E705FC" w:rsidP="00B558F0">
            <w:pPr>
              <w:jc w:val="left"/>
              <w:rPr>
                <w:rFonts w:ascii="Arial Narrow" w:hAnsi="Arial Narrow"/>
                <w:b/>
                <w:sz w:val="20"/>
                <w:szCs w:val="20"/>
              </w:rPr>
            </w:pPr>
            <w:r w:rsidRPr="002B66AB">
              <w:rPr>
                <w:rFonts w:ascii="Arial Narrow" w:hAnsi="Arial Narrow"/>
                <w:b/>
                <w:sz w:val="20"/>
                <w:szCs w:val="20"/>
              </w:rPr>
              <w:t>MMRM analysis of relative change in ppFEV1 from baseline through Week 24 (FAS)</w:t>
            </w:r>
          </w:p>
        </w:tc>
      </w:tr>
      <w:tr w:rsidR="002B66AB" w:rsidRPr="002B66AB" w:rsidTr="00B558F0">
        <w:tc>
          <w:tcPr>
            <w:tcW w:w="1926" w:type="pct"/>
            <w:tcBorders>
              <w:right w:val="nil"/>
            </w:tcBorders>
            <w:vAlign w:val="center"/>
          </w:tcPr>
          <w:p w:rsidR="00E705FC" w:rsidRPr="002B66AB" w:rsidRDefault="00E705FC" w:rsidP="00B558F0">
            <w:pPr>
              <w:rPr>
                <w:rFonts w:ascii="Arial Narrow" w:hAnsi="Arial Narrow"/>
                <w:sz w:val="20"/>
                <w:szCs w:val="20"/>
                <w:vertAlign w:val="superscript"/>
              </w:rPr>
            </w:pPr>
            <w:proofErr w:type="spellStart"/>
            <w:r w:rsidRPr="002B66AB">
              <w:rPr>
                <w:rFonts w:ascii="Arial Narrow" w:hAnsi="Arial Narrow"/>
                <w:sz w:val="20"/>
                <w:szCs w:val="20"/>
              </w:rPr>
              <w:t>Baseline</w:t>
            </w:r>
            <w:r w:rsidRPr="002B66AB">
              <w:rPr>
                <w:rFonts w:ascii="Arial Narrow" w:hAnsi="Arial Narrow"/>
                <w:sz w:val="20"/>
                <w:szCs w:val="20"/>
                <w:vertAlign w:val="superscript"/>
              </w:rPr>
              <w:t>a</w:t>
            </w:r>
            <w:proofErr w:type="spellEnd"/>
          </w:p>
        </w:tc>
        <w:tc>
          <w:tcPr>
            <w:tcW w:w="3074" w:type="pct"/>
            <w:gridSpan w:val="3"/>
            <w:tcBorders>
              <w:left w:val="nil"/>
            </w:tcBorders>
            <w:vAlign w:val="center"/>
          </w:tcPr>
          <w:p w:rsidR="00E705FC" w:rsidRPr="002B66AB" w:rsidRDefault="00E705FC" w:rsidP="00B558F0">
            <w:pPr>
              <w:jc w:val="center"/>
              <w:rPr>
                <w:rFonts w:ascii="Arial Narrow" w:hAnsi="Arial Narrow"/>
                <w:sz w:val="20"/>
                <w:szCs w:val="20"/>
              </w:rPr>
            </w:pPr>
          </w:p>
        </w:tc>
      </w:tr>
      <w:tr w:rsidR="002B66AB" w:rsidRPr="002B66AB" w:rsidTr="00B558F0">
        <w:tc>
          <w:tcPr>
            <w:tcW w:w="1926" w:type="pct"/>
            <w:tcBorders>
              <w:bottom w:val="single" w:sz="4" w:space="0" w:color="auto"/>
            </w:tcBorders>
            <w:vAlign w:val="center"/>
          </w:tcPr>
          <w:p w:rsidR="00E705FC" w:rsidRPr="002B66AB" w:rsidRDefault="00E705FC" w:rsidP="00B558F0">
            <w:pPr>
              <w:jc w:val="left"/>
              <w:rPr>
                <w:rFonts w:ascii="Arial Narrow" w:hAnsi="Arial Narrow"/>
                <w:sz w:val="20"/>
                <w:szCs w:val="20"/>
              </w:rPr>
            </w:pPr>
            <w:r w:rsidRPr="002B66AB">
              <w:rPr>
                <w:rFonts w:ascii="Arial Narrow" w:hAnsi="Arial Narrow"/>
                <w:sz w:val="20"/>
                <w:szCs w:val="20"/>
              </w:rPr>
              <w:t>Mean (SD)</w:t>
            </w:r>
          </w:p>
        </w:tc>
        <w:tc>
          <w:tcPr>
            <w:tcW w:w="1537" w:type="pct"/>
            <w:tcBorders>
              <w:bottom w:val="single" w:sz="4" w:space="0" w:color="auto"/>
            </w:tcBorders>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1.5 (11.1)</w:t>
            </w:r>
          </w:p>
        </w:tc>
        <w:tc>
          <w:tcPr>
            <w:tcW w:w="1537" w:type="pct"/>
            <w:gridSpan w:val="2"/>
            <w:tcBorders>
              <w:bottom w:val="single" w:sz="4" w:space="0" w:color="auto"/>
            </w:tcBorders>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-1.7 (7.8)</w:t>
            </w:r>
          </w:p>
        </w:tc>
      </w:tr>
      <w:tr w:rsidR="002B66AB" w:rsidRPr="002B66AB" w:rsidTr="00B558F0">
        <w:tc>
          <w:tcPr>
            <w:tcW w:w="1926" w:type="pct"/>
            <w:tcBorders>
              <w:right w:val="nil"/>
            </w:tcBorders>
            <w:vAlign w:val="center"/>
          </w:tcPr>
          <w:p w:rsidR="00E705FC" w:rsidRPr="002B66AB" w:rsidRDefault="00E705FC" w:rsidP="00B558F0">
            <w:pPr>
              <w:rPr>
                <w:rFonts w:ascii="Arial Narrow" w:hAnsi="Arial Narrow"/>
                <w:sz w:val="20"/>
                <w:szCs w:val="20"/>
              </w:rPr>
            </w:pPr>
            <w:r w:rsidRPr="002B66AB">
              <w:rPr>
                <w:rFonts w:ascii="Arial Narrow" w:hAnsi="Arial Narrow"/>
                <w:sz w:val="20"/>
                <w:szCs w:val="20"/>
              </w:rPr>
              <w:t>Relative change through week 24</w:t>
            </w:r>
          </w:p>
        </w:tc>
        <w:tc>
          <w:tcPr>
            <w:tcW w:w="1537" w:type="pct"/>
            <w:tcBorders>
              <w:left w:val="nil"/>
              <w:right w:val="nil"/>
            </w:tcBorders>
            <w:vAlign w:val="center"/>
          </w:tcPr>
          <w:p w:rsidR="00E705FC" w:rsidRPr="002B66AB" w:rsidRDefault="00E705FC" w:rsidP="00B558F0">
            <w:pPr>
              <w:jc w:val="center"/>
              <w:rPr>
                <w:rFonts w:ascii="Arial Narrow" w:hAnsi="Arial Narrow"/>
                <w:sz w:val="20"/>
                <w:szCs w:val="20"/>
              </w:rPr>
            </w:pPr>
          </w:p>
        </w:tc>
        <w:tc>
          <w:tcPr>
            <w:tcW w:w="1537" w:type="pct"/>
            <w:gridSpan w:val="2"/>
            <w:tcBorders>
              <w:left w:val="nil"/>
            </w:tcBorders>
            <w:vAlign w:val="center"/>
          </w:tcPr>
          <w:p w:rsidR="00E705FC" w:rsidRPr="002B66AB" w:rsidRDefault="00E705FC" w:rsidP="00B558F0">
            <w:pPr>
              <w:jc w:val="center"/>
              <w:rPr>
                <w:rFonts w:ascii="Arial Narrow" w:hAnsi="Arial Narrow"/>
                <w:sz w:val="20"/>
                <w:szCs w:val="20"/>
              </w:rPr>
            </w:pPr>
          </w:p>
        </w:tc>
      </w:tr>
      <w:tr w:rsidR="002B66AB" w:rsidRPr="002B66AB" w:rsidTr="00B558F0">
        <w:tc>
          <w:tcPr>
            <w:tcW w:w="1926" w:type="pct"/>
            <w:vAlign w:val="center"/>
          </w:tcPr>
          <w:p w:rsidR="00E705FC" w:rsidRPr="002B66AB" w:rsidRDefault="00E705FC" w:rsidP="00B558F0">
            <w:pPr>
              <w:rPr>
                <w:rFonts w:ascii="Arial Narrow" w:hAnsi="Arial Narrow"/>
                <w:sz w:val="20"/>
                <w:szCs w:val="20"/>
              </w:rPr>
            </w:pPr>
            <w:r w:rsidRPr="002B66AB">
              <w:rPr>
                <w:rFonts w:ascii="Arial Narrow" w:hAnsi="Arial Narrow"/>
                <w:sz w:val="20"/>
                <w:szCs w:val="20"/>
              </w:rPr>
              <w:t>LS Mean (SE)</w:t>
            </w:r>
          </w:p>
        </w:tc>
        <w:tc>
          <w:tcPr>
            <w:tcW w:w="1537" w:type="pct"/>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3.8 (1.2)</w:t>
            </w:r>
          </w:p>
        </w:tc>
        <w:tc>
          <w:tcPr>
            <w:tcW w:w="1537" w:type="pct"/>
            <w:gridSpan w:val="2"/>
            <w:vAlign w:val="center"/>
          </w:tcPr>
          <w:p w:rsidR="00E705FC" w:rsidRPr="002B66AB" w:rsidRDefault="00E705FC" w:rsidP="00B558F0">
            <w:pPr>
              <w:jc w:val="center"/>
              <w:rPr>
                <w:rFonts w:ascii="Arial Narrow" w:hAnsi="Arial Narrow"/>
                <w:sz w:val="20"/>
                <w:szCs w:val="20"/>
              </w:rPr>
            </w:pPr>
            <w:r w:rsidRPr="002B66AB">
              <w:rPr>
                <w:rFonts w:ascii="Arial Narrow" w:hAnsi="Arial Narrow"/>
                <w:sz w:val="20"/>
                <w:szCs w:val="20"/>
              </w:rPr>
              <w:t>0.0 (1.2)</w:t>
            </w:r>
          </w:p>
        </w:tc>
      </w:tr>
      <w:tr w:rsidR="002B66AB" w:rsidRPr="002B66AB" w:rsidTr="00B558F0">
        <w:tc>
          <w:tcPr>
            <w:tcW w:w="1926" w:type="pct"/>
            <w:vAlign w:val="center"/>
          </w:tcPr>
          <w:p w:rsidR="00E705FC" w:rsidRPr="002B66AB" w:rsidRDefault="00E705FC" w:rsidP="00B558F0">
            <w:pPr>
              <w:rPr>
                <w:rFonts w:ascii="Arial Narrow" w:hAnsi="Arial Narrow"/>
                <w:b/>
                <w:sz w:val="20"/>
                <w:szCs w:val="20"/>
              </w:rPr>
            </w:pPr>
            <w:r w:rsidRPr="002B66AB">
              <w:rPr>
                <w:rFonts w:ascii="Arial Narrow" w:hAnsi="Arial Narrow"/>
                <w:b/>
                <w:sz w:val="20"/>
                <w:szCs w:val="20"/>
              </w:rPr>
              <w:t xml:space="preserve">LS mean difference (95% CI) </w:t>
            </w:r>
          </w:p>
        </w:tc>
        <w:tc>
          <w:tcPr>
            <w:tcW w:w="3074" w:type="pct"/>
            <w:gridSpan w:val="3"/>
            <w:vAlign w:val="center"/>
          </w:tcPr>
          <w:p w:rsidR="00E705FC" w:rsidRPr="002B66AB" w:rsidRDefault="00E705FC" w:rsidP="00B558F0">
            <w:pPr>
              <w:jc w:val="center"/>
              <w:rPr>
                <w:rFonts w:ascii="Arial Narrow" w:hAnsi="Arial Narrow"/>
                <w:b/>
                <w:sz w:val="20"/>
                <w:szCs w:val="20"/>
              </w:rPr>
            </w:pPr>
            <w:r w:rsidRPr="002B66AB">
              <w:rPr>
                <w:rFonts w:ascii="Arial Narrow" w:hAnsi="Arial Narrow"/>
                <w:b/>
                <w:sz w:val="20"/>
                <w:szCs w:val="20"/>
              </w:rPr>
              <w:t>3.8 (0.7, 7.0)</w:t>
            </w:r>
          </w:p>
        </w:tc>
      </w:tr>
      <w:tr w:rsidR="002B66AB" w:rsidRPr="002B66AB" w:rsidTr="00B558F0">
        <w:tc>
          <w:tcPr>
            <w:tcW w:w="1926" w:type="pct"/>
            <w:vAlign w:val="center"/>
          </w:tcPr>
          <w:p w:rsidR="00E705FC" w:rsidRPr="002B66AB" w:rsidRDefault="00E705FC" w:rsidP="00B558F0">
            <w:pPr>
              <w:rPr>
                <w:rFonts w:ascii="Arial Narrow" w:hAnsi="Arial Narrow"/>
                <w:b/>
                <w:sz w:val="20"/>
                <w:szCs w:val="20"/>
              </w:rPr>
            </w:pPr>
            <w:r w:rsidRPr="002B66AB">
              <w:rPr>
                <w:rFonts w:ascii="Arial Narrow" w:hAnsi="Arial Narrow"/>
                <w:b/>
                <w:sz w:val="20"/>
                <w:szCs w:val="20"/>
              </w:rPr>
              <w:t xml:space="preserve">P value </w:t>
            </w:r>
          </w:p>
        </w:tc>
        <w:tc>
          <w:tcPr>
            <w:tcW w:w="3074" w:type="pct"/>
            <w:gridSpan w:val="3"/>
            <w:vAlign w:val="center"/>
          </w:tcPr>
          <w:p w:rsidR="00E705FC" w:rsidRPr="002B66AB" w:rsidRDefault="00E705FC" w:rsidP="00B558F0">
            <w:pPr>
              <w:jc w:val="center"/>
              <w:rPr>
                <w:rFonts w:ascii="Arial Narrow" w:hAnsi="Arial Narrow"/>
                <w:b/>
                <w:sz w:val="20"/>
                <w:szCs w:val="20"/>
              </w:rPr>
            </w:pPr>
            <w:r w:rsidRPr="002B66AB">
              <w:rPr>
                <w:rFonts w:ascii="Arial Narrow" w:hAnsi="Arial Narrow"/>
                <w:b/>
                <w:sz w:val="20"/>
                <w:szCs w:val="20"/>
              </w:rPr>
              <w:t>0.0174</w:t>
            </w:r>
          </w:p>
        </w:tc>
      </w:tr>
    </w:tbl>
    <w:p w:rsidR="00E705FC" w:rsidRPr="002B66AB" w:rsidRDefault="00E705FC" w:rsidP="00E705FC">
      <w:pPr>
        <w:rPr>
          <w:rFonts w:ascii="Arial Narrow" w:hAnsi="Arial Narrow"/>
          <w:sz w:val="18"/>
        </w:rPr>
      </w:pPr>
      <w:r w:rsidRPr="002B66AB">
        <w:rPr>
          <w:rFonts w:ascii="Arial Narrow" w:eastAsia="Calibri" w:hAnsi="Arial Narrow"/>
          <w:sz w:val="18"/>
        </w:rPr>
        <w:t>Abbreviations: CI=confidence interval; FAS=full analysis set; LS=least squares; MMRM=mixed model repeated measures; ppFEV1=percent predicted forced expiratory volume in one second; LCI</w:t>
      </w:r>
      <w:r w:rsidRPr="002B66AB">
        <w:rPr>
          <w:rFonts w:ascii="Arial Narrow" w:eastAsia="Calibri" w:hAnsi="Arial Narrow"/>
          <w:sz w:val="18"/>
          <w:vertAlign w:val="subscript"/>
        </w:rPr>
        <w:t>2.5</w:t>
      </w:r>
      <w:r w:rsidRPr="002B66AB">
        <w:rPr>
          <w:rFonts w:ascii="Arial Narrow" w:eastAsia="Calibri" w:hAnsi="Arial Narrow"/>
          <w:sz w:val="18"/>
        </w:rPr>
        <w:t>=lung clearance index 2.5; q12h=every 12 hours SD=standard deviation; SE=standard error</w:t>
      </w:r>
    </w:p>
    <w:p w:rsidR="00E705FC" w:rsidRPr="002B66AB" w:rsidRDefault="00E705FC" w:rsidP="00E705FC">
      <w:pPr>
        <w:shd w:val="clear" w:color="auto" w:fill="FFFFFF" w:themeFill="background1"/>
        <w:rPr>
          <w:rFonts w:ascii="Arial Narrow" w:hAnsi="Arial Narrow"/>
          <w:sz w:val="18"/>
        </w:rPr>
      </w:pPr>
      <w:r w:rsidRPr="002B66AB">
        <w:rPr>
          <w:rFonts w:ascii="Arial Narrow" w:hAnsi="Arial Narrow"/>
          <w:sz w:val="20"/>
        </w:rPr>
        <w:t xml:space="preserve">Note: </w:t>
      </w:r>
      <w:r w:rsidRPr="002B66AB">
        <w:rPr>
          <w:rFonts w:ascii="Arial Narrow" w:hAnsi="Arial Narrow"/>
          <w:sz w:val="20"/>
          <w:vertAlign w:val="superscript"/>
        </w:rPr>
        <w:t xml:space="preserve">a </w:t>
      </w:r>
      <w:r w:rsidRPr="002B66AB">
        <w:rPr>
          <w:rFonts w:ascii="Arial Narrow" w:hAnsi="Arial Narrow"/>
          <w:sz w:val="18"/>
          <w:szCs w:val="18"/>
        </w:rPr>
        <w:t>includes all patients without any post-baseline assessments</w:t>
      </w:r>
      <w:r w:rsidRPr="002B66AB">
        <w:rPr>
          <w:rFonts w:ascii="Arial Narrow" w:hAnsi="Arial Narrow"/>
          <w:sz w:val="18"/>
        </w:rPr>
        <w:t xml:space="preserve"> </w:t>
      </w:r>
    </w:p>
    <w:p w:rsidR="00E705FC" w:rsidRPr="002B66AB" w:rsidRDefault="00E705FC" w:rsidP="00E705FC">
      <w:pPr>
        <w:rPr>
          <w:rFonts w:ascii="Arial Narrow" w:hAnsi="Arial Narrow"/>
          <w:sz w:val="18"/>
        </w:rPr>
      </w:pPr>
      <w:r w:rsidRPr="002B66AB">
        <w:rPr>
          <w:rFonts w:ascii="Arial Narrow" w:hAnsi="Arial Narrow"/>
          <w:sz w:val="18"/>
        </w:rPr>
        <w:t>Source: Table 2.1.17, p. 91 of the submission</w:t>
      </w:r>
    </w:p>
    <w:p w:rsidR="00727B1D" w:rsidRPr="002B66AB" w:rsidRDefault="00727B1D" w:rsidP="00E705FC">
      <w:pPr>
        <w:rPr>
          <w:rFonts w:ascii="Arial Narrow" w:hAnsi="Arial Narrow"/>
          <w:sz w:val="18"/>
        </w:rPr>
      </w:pPr>
    </w:p>
    <w:p w:rsidR="00E705FC" w:rsidRPr="002B66AB" w:rsidRDefault="00E705FC"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zCs w:val="24"/>
        </w:rPr>
        <w:t xml:space="preserve"> results from Study 109 showed no statistically significant difference between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w:t>
      </w:r>
      <w:proofErr w:type="gramStart"/>
      <w:r w:rsidRPr="002B66AB">
        <w:rPr>
          <w:rFonts w:asciiTheme="minorHAnsi" w:hAnsiTheme="minorHAnsi" w:cstheme="minorHAnsi"/>
          <w:szCs w:val="24"/>
        </w:rPr>
        <w:t>or</w:t>
      </w:r>
      <w:proofErr w:type="gramEnd"/>
      <w:r w:rsidRPr="002B66AB">
        <w:rPr>
          <w:rFonts w:asciiTheme="minorHAnsi" w:hAnsiTheme="minorHAnsi" w:cstheme="minorHAnsi"/>
          <w:szCs w:val="24"/>
        </w:rPr>
        <w:t xml:space="preserve"> placebo in either the number of pulmonary exacerbations (</w:t>
      </w:r>
      <w:proofErr w:type="spellStart"/>
      <w:r w:rsidRPr="002B66AB">
        <w:rPr>
          <w:rFonts w:asciiTheme="minorHAnsi" w:hAnsiTheme="minorHAnsi" w:cstheme="minorHAnsi"/>
          <w:szCs w:val="24"/>
        </w:rPr>
        <w:t>PEx</w:t>
      </w:r>
      <w:proofErr w:type="spellEnd"/>
      <w:r w:rsidRPr="002B66AB">
        <w:rPr>
          <w:rFonts w:asciiTheme="minorHAnsi" w:hAnsiTheme="minorHAnsi" w:cstheme="minorHAnsi"/>
          <w:szCs w:val="24"/>
        </w:rPr>
        <w:t xml:space="preserve">) or the proportion of patients having at least one </w:t>
      </w:r>
      <w:proofErr w:type="spellStart"/>
      <w:r w:rsidRPr="002B66AB">
        <w:rPr>
          <w:rFonts w:asciiTheme="minorHAnsi" w:hAnsiTheme="minorHAnsi" w:cstheme="minorHAnsi"/>
          <w:szCs w:val="24"/>
        </w:rPr>
        <w:t>PEx</w:t>
      </w:r>
      <w:proofErr w:type="spellEnd"/>
      <w:r w:rsidRPr="002B66AB">
        <w:rPr>
          <w:rFonts w:asciiTheme="minorHAnsi" w:hAnsiTheme="minorHAnsi" w:cstheme="minorHAnsi"/>
          <w:szCs w:val="24"/>
        </w:rPr>
        <w:t xml:space="preserve"> over 24 weeks. </w:t>
      </w:r>
      <w:r w:rsidR="00727B1D" w:rsidRPr="002B66AB">
        <w:rPr>
          <w:rFonts w:asciiTheme="minorHAnsi" w:hAnsiTheme="minorHAnsi" w:cstheme="minorHAnsi"/>
          <w:szCs w:val="24"/>
        </w:rPr>
        <w:t>The evaluation noted that t</w:t>
      </w:r>
      <w:r w:rsidRPr="002B66AB">
        <w:rPr>
          <w:rFonts w:asciiTheme="minorHAnsi" w:hAnsiTheme="minorHAnsi" w:cstheme="minorHAnsi"/>
          <w:szCs w:val="24"/>
        </w:rPr>
        <w:t xml:space="preserve">hese results should be interpreted with caution due to the small number of patients with events. Previously (July 2017), the PBAC had been informed by the sponsor that avoidance of </w:t>
      </w:r>
      <w:proofErr w:type="spellStart"/>
      <w:r w:rsidRPr="002B66AB">
        <w:rPr>
          <w:rFonts w:asciiTheme="minorHAnsi" w:hAnsiTheme="minorHAnsi" w:cstheme="minorHAnsi"/>
          <w:szCs w:val="24"/>
        </w:rPr>
        <w:t>PEx</w:t>
      </w:r>
      <w:proofErr w:type="spellEnd"/>
      <w:r w:rsidRPr="002B66AB">
        <w:rPr>
          <w:rFonts w:asciiTheme="minorHAnsi" w:hAnsiTheme="minorHAnsi" w:cstheme="minorHAnsi"/>
          <w:szCs w:val="24"/>
        </w:rPr>
        <w:t xml:space="preserve"> was a major clinical benefit of the use of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in patients aged 12 and over with the F508</w:t>
      </w:r>
      <w:r w:rsidRPr="002B66AB">
        <w:rPr>
          <w:rFonts w:asciiTheme="minorHAnsi" w:hAnsiTheme="minorHAnsi" w:cstheme="minorHAnsi"/>
          <w:i/>
          <w:szCs w:val="24"/>
        </w:rPr>
        <w:t>del</w:t>
      </w:r>
      <w:r w:rsidRPr="002B66AB">
        <w:rPr>
          <w:rFonts w:asciiTheme="minorHAnsi" w:hAnsiTheme="minorHAnsi" w:cstheme="minorHAnsi"/>
          <w:szCs w:val="24"/>
        </w:rPr>
        <w:t xml:space="preserve"> mutation in the CFTR gene. It is feasible that the absence of such an effect in Study 109 is due to a lower baseline risk of </w:t>
      </w:r>
      <w:proofErr w:type="spellStart"/>
      <w:r w:rsidRPr="002B66AB">
        <w:rPr>
          <w:rFonts w:asciiTheme="minorHAnsi" w:hAnsiTheme="minorHAnsi" w:cstheme="minorHAnsi"/>
          <w:szCs w:val="24"/>
        </w:rPr>
        <w:t>PEx</w:t>
      </w:r>
      <w:proofErr w:type="spellEnd"/>
      <w:r w:rsidRPr="002B66AB">
        <w:rPr>
          <w:rFonts w:asciiTheme="minorHAnsi" w:hAnsiTheme="minorHAnsi" w:cstheme="minorHAnsi"/>
          <w:szCs w:val="24"/>
        </w:rPr>
        <w:t xml:space="preserve"> in this population due to better baseline lung health, relative to older populations, but this has not been substantiated.</w:t>
      </w:r>
    </w:p>
    <w:p w:rsidR="00E705FC" w:rsidRPr="002B66AB" w:rsidRDefault="00E705FC"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zCs w:val="24"/>
        </w:rPr>
        <w:t xml:space="preserve"> absolute change in the CFQ-R domain at week 24 showed no statistically significant difference between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and placebo. The submission noted that there was a within group improvement in CFQ-R domain scores for both treatment groups, but this did not achieve statistical significance (p=0.063). This apparent lack in difference in CFQ-R scores is reflected in a lack of difference in patient reported acceptability of effectiveness, safety, convenience, or overall satisfaction associated with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p>
    <w:p w:rsidR="00E705FC" w:rsidRPr="002B66AB" w:rsidRDefault="00E705FC" w:rsidP="00431133">
      <w:pPr>
        <w:pStyle w:val="ListParagraph"/>
        <w:numPr>
          <w:ilvl w:val="1"/>
          <w:numId w:val="45"/>
        </w:numPr>
        <w:ind w:hanging="720"/>
        <w:rPr>
          <w:rFonts w:asciiTheme="minorHAnsi" w:hAnsiTheme="minorHAnsi" w:cstheme="minorHAnsi"/>
          <w:szCs w:val="24"/>
        </w:rPr>
      </w:pPr>
      <w:r w:rsidRPr="00431133">
        <w:t>There</w:t>
      </w:r>
      <w:r w:rsidRPr="002B66AB">
        <w:rPr>
          <w:rFonts w:asciiTheme="minorHAnsi" w:hAnsiTheme="minorHAnsi" w:cstheme="minorHAnsi"/>
          <w:szCs w:val="24"/>
        </w:rPr>
        <w:t xml:space="preserve"> was a statistically significant reduction in LCI</w:t>
      </w:r>
      <w:r w:rsidRPr="002B66AB">
        <w:rPr>
          <w:rFonts w:asciiTheme="minorHAnsi" w:hAnsiTheme="minorHAnsi" w:cstheme="minorHAnsi"/>
          <w:szCs w:val="24"/>
          <w:vertAlign w:val="subscript"/>
        </w:rPr>
        <w:t xml:space="preserve">5.0 </w:t>
      </w:r>
      <w:r w:rsidRPr="002B66AB">
        <w:rPr>
          <w:rFonts w:asciiTheme="minorHAnsi" w:hAnsiTheme="minorHAnsi" w:cstheme="minorHAnsi"/>
          <w:szCs w:val="24"/>
        </w:rPr>
        <w:t xml:space="preserve">for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compared with placebo of -0.44 week 24. </w:t>
      </w:r>
    </w:p>
    <w:p w:rsidR="00E705FC" w:rsidRPr="002B66AB" w:rsidRDefault="00E705FC"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zCs w:val="24"/>
        </w:rPr>
        <w:t xml:space="preserve"> results showed a statistically significant reduction in absolute sweat chloride for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compared with placebo </w:t>
      </w:r>
      <w:proofErr w:type="gramStart"/>
      <w:r w:rsidRPr="002B66AB">
        <w:rPr>
          <w:rFonts w:asciiTheme="minorHAnsi" w:hAnsiTheme="minorHAnsi" w:cstheme="minorHAnsi"/>
          <w:szCs w:val="24"/>
        </w:rPr>
        <w:t>of</w:t>
      </w:r>
      <w:r w:rsidR="000174A2" w:rsidRPr="002B66AB">
        <w:rPr>
          <w:rFonts w:asciiTheme="minorHAnsi" w:hAnsiTheme="minorHAnsi" w:cstheme="minorHAnsi"/>
          <w:szCs w:val="24"/>
        </w:rPr>
        <w:t xml:space="preserve"> </w:t>
      </w:r>
      <w:r w:rsidR="00E2023E">
        <w:rPr>
          <w:rFonts w:asciiTheme="minorHAnsi" w:hAnsiTheme="minorHAnsi" w:cstheme="minorHAnsi"/>
          <w:szCs w:val="24"/>
        </w:rPr>
        <w:t xml:space="preserve">20.8 </w:t>
      </w:r>
      <w:proofErr w:type="spellStart"/>
      <w:r w:rsidR="00E2023E">
        <w:rPr>
          <w:rFonts w:asciiTheme="minorHAnsi" w:hAnsiTheme="minorHAnsi" w:cstheme="minorHAnsi"/>
          <w:szCs w:val="24"/>
        </w:rPr>
        <w:t>mmol</w:t>
      </w:r>
      <w:proofErr w:type="spellEnd"/>
      <w:r w:rsidR="00E2023E">
        <w:rPr>
          <w:rFonts w:asciiTheme="minorHAnsi" w:hAnsiTheme="minorHAnsi" w:cstheme="minorHAnsi"/>
          <w:szCs w:val="24"/>
        </w:rPr>
        <w:t xml:space="preserve">/L at day 15 and </w:t>
      </w:r>
      <w:r w:rsidR="00D70628">
        <w:rPr>
          <w:rFonts w:asciiTheme="minorHAnsi" w:hAnsiTheme="minorHAnsi" w:cstheme="minorHAnsi"/>
          <w:szCs w:val="24"/>
        </w:rPr>
        <w:br/>
      </w:r>
      <w:r w:rsidR="00E2023E">
        <w:rPr>
          <w:rFonts w:asciiTheme="minorHAnsi" w:hAnsiTheme="minorHAnsi" w:cstheme="minorHAnsi"/>
          <w:szCs w:val="24"/>
        </w:rPr>
        <w:t xml:space="preserve">24.9 </w:t>
      </w:r>
      <w:proofErr w:type="spellStart"/>
      <w:r w:rsidRPr="002B66AB">
        <w:rPr>
          <w:rFonts w:asciiTheme="minorHAnsi" w:hAnsiTheme="minorHAnsi" w:cstheme="minorHAnsi"/>
          <w:szCs w:val="24"/>
        </w:rPr>
        <w:t>mmol</w:t>
      </w:r>
      <w:proofErr w:type="spellEnd"/>
      <w:r w:rsidRPr="002B66AB">
        <w:rPr>
          <w:rFonts w:asciiTheme="minorHAnsi" w:hAnsiTheme="minorHAnsi" w:cstheme="minorHAnsi"/>
          <w:szCs w:val="24"/>
        </w:rPr>
        <w:t>/L</w:t>
      </w:r>
      <w:proofErr w:type="gramEnd"/>
      <w:r w:rsidRPr="002B66AB">
        <w:rPr>
          <w:rFonts w:asciiTheme="minorHAnsi" w:hAnsiTheme="minorHAnsi" w:cstheme="minorHAnsi"/>
          <w:szCs w:val="24"/>
        </w:rPr>
        <w:t xml:space="preserve"> at week 24.</w:t>
      </w:r>
      <w:r w:rsidRPr="002B66AB">
        <w:t xml:space="preserve"> </w:t>
      </w:r>
    </w:p>
    <w:p w:rsidR="00E705FC" w:rsidRPr="002B66AB" w:rsidRDefault="00E705FC"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zCs w:val="24"/>
        </w:rPr>
        <w:t xml:space="preserve"> impact of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on BMI and BMI for age z scores at week 24 was </w:t>
      </w:r>
      <w:r w:rsidRPr="002B66AB">
        <w:rPr>
          <w:rFonts w:asciiTheme="minorHAnsi" w:hAnsiTheme="minorHAnsi" w:cstheme="minorHAnsi"/>
          <w:szCs w:val="24"/>
        </w:rPr>
        <w:lastRenderedPageBreak/>
        <w:t>not statistically significantly different from placebo.</w:t>
      </w:r>
      <w:r w:rsidRPr="002B66AB">
        <w:t xml:space="preserve"> </w:t>
      </w:r>
      <w:r w:rsidRPr="002B66AB">
        <w:rPr>
          <w:rFonts w:asciiTheme="minorHAnsi" w:hAnsiTheme="minorHAnsi" w:cstheme="minorHAnsi"/>
          <w:szCs w:val="24"/>
        </w:rPr>
        <w:t>Similarly, the impact of treatment on weight, weight for age Z-scores, height and height for age Z-scores at week 24 was not statistically significantly different from placebo.</w:t>
      </w:r>
    </w:p>
    <w:p w:rsidR="00E705FC" w:rsidRPr="002B66AB" w:rsidRDefault="00E705FC" w:rsidP="00431133">
      <w:pPr>
        <w:pStyle w:val="ListParagraph"/>
        <w:numPr>
          <w:ilvl w:val="1"/>
          <w:numId w:val="45"/>
        </w:numPr>
        <w:ind w:hanging="720"/>
      </w:pPr>
      <w:r w:rsidRPr="002B66AB">
        <w:t xml:space="preserve">The PSCR </w:t>
      </w:r>
      <w:r w:rsidR="00727B1D" w:rsidRPr="002B66AB">
        <w:t>and pre-PBAC responses</w:t>
      </w:r>
      <w:r w:rsidRPr="002B66AB">
        <w:t xml:space="preserve"> argued that although there is currently no longer-term data available for 6-11 year old patients, the </w:t>
      </w:r>
      <w:r w:rsidRPr="002B66AB">
        <w:rPr>
          <w:rFonts w:asciiTheme="minorHAnsi" w:hAnsiTheme="minorHAnsi" w:cstheme="minorHAnsi"/>
        </w:rPr>
        <w:t>magnitude of the ppFEV</w:t>
      </w:r>
      <w:r w:rsidRPr="002B66AB">
        <w:rPr>
          <w:rFonts w:asciiTheme="minorHAnsi" w:hAnsiTheme="minorHAnsi" w:cstheme="minorHAnsi"/>
          <w:vertAlign w:val="subscript"/>
        </w:rPr>
        <w:t>1</w:t>
      </w:r>
      <w:r w:rsidRPr="002B66AB">
        <w:rPr>
          <w:rFonts w:asciiTheme="minorHAnsi" w:hAnsiTheme="minorHAnsi" w:cstheme="minorHAnsi"/>
        </w:rPr>
        <w:t xml:space="preserve"> improvement at week 24 (3.0%) is similar to that observed in the ≥12-year old patients (2.8%); and therefore it is anticipated that efficacy would follow a similar pattern to that observed in the ≥12-year old patients who are homozygous for the F508del mutation. The PSCR further stated that that “the main objective of CF treatment is to minimise the </w:t>
      </w:r>
      <w:r w:rsidRPr="002B66AB">
        <w:rPr>
          <w:rFonts w:asciiTheme="minorHAnsi" w:hAnsiTheme="minorHAnsi" w:cstheme="minorHAnsi"/>
          <w:u w:val="single"/>
        </w:rPr>
        <w:t>rate</w:t>
      </w:r>
      <w:r w:rsidRPr="002B66AB">
        <w:rPr>
          <w:rFonts w:asciiTheme="minorHAnsi" w:hAnsiTheme="minorHAnsi" w:cstheme="minorHAnsi"/>
        </w:rPr>
        <w:t xml:space="preserve"> of deterioration over time” and that although not directly applicable to patients aged 6-11 years, the reduction in the rate of decline of ppFEV</w:t>
      </w:r>
      <w:r w:rsidRPr="002B66AB">
        <w:rPr>
          <w:rFonts w:asciiTheme="minorHAnsi" w:hAnsiTheme="minorHAnsi" w:cstheme="minorHAnsi"/>
          <w:vertAlign w:val="subscript"/>
        </w:rPr>
        <w:t>1</w:t>
      </w:r>
      <w:r w:rsidRPr="002B66AB">
        <w:rPr>
          <w:rFonts w:asciiTheme="minorHAnsi" w:hAnsiTheme="minorHAnsi" w:cstheme="minorHAnsi"/>
        </w:rPr>
        <w:t xml:space="preserve"> observed in patients aged 12+ (42%), 12 – 17 years (45%) and ≥18-year (41%), suggests that “the longer-term impact of </w:t>
      </w:r>
      <w:proofErr w:type="spellStart"/>
      <w:r w:rsidRPr="002B66AB">
        <w:rPr>
          <w:rFonts w:asciiTheme="minorHAnsi" w:hAnsiTheme="minorHAnsi" w:cstheme="minorHAnsi"/>
        </w:rPr>
        <w:t>Orkambi</w:t>
      </w:r>
      <w:proofErr w:type="spellEnd"/>
      <w:r w:rsidRPr="002B66AB">
        <w:rPr>
          <w:rFonts w:asciiTheme="minorHAnsi" w:hAnsiTheme="minorHAnsi" w:cstheme="minorHAnsi"/>
        </w:rPr>
        <w:t xml:space="preserve"> of slowing the trajectory of FEV</w:t>
      </w:r>
      <w:r w:rsidRPr="002B66AB">
        <w:rPr>
          <w:rFonts w:asciiTheme="minorHAnsi" w:hAnsiTheme="minorHAnsi" w:cstheme="minorHAnsi"/>
          <w:vertAlign w:val="subscript"/>
        </w:rPr>
        <w:t>1</w:t>
      </w:r>
      <w:r w:rsidRPr="002B66AB">
        <w:rPr>
          <w:rFonts w:asciiTheme="minorHAnsi" w:hAnsiTheme="minorHAnsi" w:cstheme="minorHAnsi"/>
        </w:rPr>
        <w:t xml:space="preserve"> over time is consistent across age groups”. </w:t>
      </w:r>
    </w:p>
    <w:p w:rsidR="00D40602" w:rsidRPr="002B66AB" w:rsidRDefault="00D40602" w:rsidP="00431133">
      <w:pPr>
        <w:pStyle w:val="ListParagraph"/>
        <w:numPr>
          <w:ilvl w:val="1"/>
          <w:numId w:val="45"/>
        </w:numPr>
        <w:ind w:hanging="720"/>
      </w:pPr>
      <w:r w:rsidRPr="002B66AB">
        <w:t xml:space="preserve">The PBAC considered that overall, the data available for </w:t>
      </w:r>
      <w:proofErr w:type="spellStart"/>
      <w:r w:rsidRPr="002B66AB">
        <w:t>lumacaftor</w:t>
      </w:r>
      <w:proofErr w:type="spellEnd"/>
      <w:r w:rsidRPr="002B66AB">
        <w:t>/</w:t>
      </w:r>
      <w:proofErr w:type="spellStart"/>
      <w:r w:rsidRPr="002B66AB">
        <w:t>ivacaftor</w:t>
      </w:r>
      <w:proofErr w:type="spellEnd"/>
      <w:r w:rsidRPr="002B66AB">
        <w:t xml:space="preserve"> in the 6-11 age group are supportive of a benefit from treatment, particularly in terms of LCI and ppFEV1, but considered that the impact of </w:t>
      </w:r>
      <w:proofErr w:type="spellStart"/>
      <w:r w:rsidRPr="002B66AB">
        <w:t>lumacaftor</w:t>
      </w:r>
      <w:proofErr w:type="spellEnd"/>
      <w:r w:rsidRPr="002B66AB">
        <w:t>/</w:t>
      </w:r>
      <w:proofErr w:type="spellStart"/>
      <w:r w:rsidRPr="002B66AB">
        <w:t>ivacaftor</w:t>
      </w:r>
      <w:proofErr w:type="spellEnd"/>
      <w:r w:rsidRPr="002B66AB">
        <w:t xml:space="preserve"> on improvements in long-term lung function and survival was uncertain. </w:t>
      </w:r>
    </w:p>
    <w:p w:rsidR="00B628E9" w:rsidRPr="002B66AB" w:rsidRDefault="00EA40FE" w:rsidP="00417133">
      <w:pPr>
        <w:pStyle w:val="Heading2"/>
        <w:spacing w:before="240" w:after="120"/>
      </w:pPr>
      <w:bookmarkStart w:id="15" w:name="_Toc511665478"/>
      <w:r w:rsidRPr="002B66AB">
        <w:t>Comparative harms</w:t>
      </w:r>
      <w:bookmarkEnd w:id="15"/>
    </w:p>
    <w:p w:rsidR="00CA5EFD" w:rsidRPr="002B66AB" w:rsidRDefault="00CA5EFD" w:rsidP="00431133">
      <w:pPr>
        <w:pStyle w:val="ListParagraph"/>
        <w:numPr>
          <w:ilvl w:val="1"/>
          <w:numId w:val="45"/>
        </w:numPr>
        <w:ind w:hanging="720"/>
      </w:pPr>
      <w:r w:rsidRPr="002B66AB">
        <w:t xml:space="preserve">A summary of the adverse events for </w:t>
      </w:r>
      <w:proofErr w:type="spellStart"/>
      <w:r w:rsidRPr="002B66AB">
        <w:t>lumacaftor</w:t>
      </w:r>
      <w:proofErr w:type="spellEnd"/>
      <w:r w:rsidRPr="002B66AB">
        <w:t>/</w:t>
      </w:r>
      <w:proofErr w:type="spellStart"/>
      <w:r w:rsidRPr="002B66AB">
        <w:t>ivacaftor</w:t>
      </w:r>
      <w:proofErr w:type="spellEnd"/>
      <w:r w:rsidRPr="002B66AB">
        <w:t xml:space="preserve"> versus placebo is presented in </w:t>
      </w:r>
      <w:r w:rsidR="006F480C" w:rsidRPr="002B66AB">
        <w:t>Table 7</w:t>
      </w:r>
      <w:r w:rsidRPr="002B66AB">
        <w:t xml:space="preserve">. Based on the relative risks estimated during the evaluation (see Table 8), there were no categories of AEs that occurred statistically significantly more frequently with </w:t>
      </w:r>
      <w:proofErr w:type="spellStart"/>
      <w:r w:rsidRPr="002B66AB">
        <w:t>lumacaftor</w:t>
      </w:r>
      <w:proofErr w:type="spellEnd"/>
      <w:r w:rsidRPr="002B66AB">
        <w:t>/</w:t>
      </w:r>
      <w:proofErr w:type="spellStart"/>
      <w:r w:rsidRPr="002B66AB">
        <w:t>ivacaftor</w:t>
      </w:r>
      <w:proofErr w:type="spellEnd"/>
      <w:r w:rsidRPr="002B66AB">
        <w:t xml:space="preserve"> compared with placebo. With respect to specific events, there was a higher risk of productive cough (RR=2.94 (95%CI 1.22, 7.11)) among patients treated with </w:t>
      </w:r>
      <w:proofErr w:type="spellStart"/>
      <w:r w:rsidRPr="002B66AB">
        <w:t>lumacaftor</w:t>
      </w:r>
      <w:proofErr w:type="spellEnd"/>
      <w:r w:rsidRPr="002B66AB">
        <w:t>/</w:t>
      </w:r>
      <w:proofErr w:type="spellStart"/>
      <w:r w:rsidRPr="002B66AB">
        <w:t>ivacaftor</w:t>
      </w:r>
      <w:proofErr w:type="spellEnd"/>
      <w:r w:rsidRPr="002B66AB">
        <w:t xml:space="preserve"> compared with placebo, but no difference in the risk of infections and infestations. There </w:t>
      </w:r>
      <w:r w:rsidR="006F480C" w:rsidRPr="002B66AB">
        <w:t xml:space="preserve">was </w:t>
      </w:r>
      <w:r w:rsidR="00FA43FD" w:rsidRPr="002B66AB">
        <w:t>very lim</w:t>
      </w:r>
      <w:r w:rsidR="006F480C" w:rsidRPr="002B66AB">
        <w:t>i</w:t>
      </w:r>
      <w:r w:rsidR="00FA43FD" w:rsidRPr="002B66AB">
        <w:t>ted</w:t>
      </w:r>
      <w:r w:rsidRPr="002B66AB">
        <w:t xml:space="preserve"> long-term evidence supporting safety of </w:t>
      </w:r>
      <w:proofErr w:type="spellStart"/>
      <w:r w:rsidRPr="002B66AB">
        <w:t>lumacaftor</w:t>
      </w:r>
      <w:proofErr w:type="spellEnd"/>
      <w:r w:rsidRPr="002B66AB">
        <w:t>/</w:t>
      </w:r>
      <w:proofErr w:type="spellStart"/>
      <w:r w:rsidRPr="002B66AB">
        <w:t>ivacaftor</w:t>
      </w:r>
      <w:proofErr w:type="spellEnd"/>
      <w:r w:rsidRPr="002B66AB">
        <w:t xml:space="preserve"> for treatment of CF in patients aged 6-11 years beyond the 24 weeks reported in Study 109</w:t>
      </w:r>
      <w:r w:rsidR="00FA43FD" w:rsidRPr="002B66AB">
        <w:t xml:space="preserve"> (</w:t>
      </w:r>
      <w:proofErr w:type="spellStart"/>
      <w:r w:rsidR="00FA43FD" w:rsidRPr="002B66AB">
        <w:t>Chilvers</w:t>
      </w:r>
      <w:proofErr w:type="spellEnd"/>
      <w:r w:rsidR="00FA43FD" w:rsidRPr="002B66AB">
        <w:t xml:space="preserve"> M 2017, poster)</w:t>
      </w:r>
      <w:r w:rsidRPr="002B66AB">
        <w:t>.</w:t>
      </w:r>
    </w:p>
    <w:p w:rsidR="00F22C48" w:rsidRDefault="00F22C48">
      <w:pPr>
        <w:widowControl/>
        <w:jc w:val="left"/>
        <w:rPr>
          <w:rFonts w:ascii="Arial Narrow" w:hAnsi="Arial Narrow"/>
          <w:b/>
          <w:bCs/>
          <w:sz w:val="20"/>
          <w:szCs w:val="20"/>
        </w:rPr>
      </w:pPr>
      <w:bookmarkStart w:id="16" w:name="_Ref511049010"/>
      <w:r>
        <w:rPr>
          <w:rFonts w:ascii="Arial Narrow" w:hAnsi="Arial Narrow"/>
          <w:b/>
          <w:bCs/>
          <w:sz w:val="20"/>
          <w:szCs w:val="20"/>
        </w:rPr>
        <w:br w:type="page"/>
      </w:r>
    </w:p>
    <w:p w:rsidR="00CA5EFD" w:rsidRPr="002B66AB" w:rsidRDefault="00CA5EFD" w:rsidP="00CA5EFD">
      <w:pPr>
        <w:keepNext/>
        <w:rPr>
          <w:rFonts w:ascii="Arial Narrow" w:hAnsi="Arial Narrow"/>
          <w:b/>
          <w:bCs/>
          <w:sz w:val="20"/>
          <w:szCs w:val="20"/>
        </w:rPr>
      </w:pPr>
      <w:r w:rsidRPr="002B66AB">
        <w:rPr>
          <w:rFonts w:ascii="Arial Narrow" w:hAnsi="Arial Narrow"/>
          <w:b/>
          <w:bCs/>
          <w:sz w:val="20"/>
          <w:szCs w:val="20"/>
        </w:rPr>
        <w:lastRenderedPageBreak/>
        <w:t xml:space="preserve">Table </w:t>
      </w:r>
      <w:r w:rsidR="006F480C" w:rsidRPr="002B66AB">
        <w:rPr>
          <w:rFonts w:ascii="Arial Narrow" w:hAnsi="Arial Narrow"/>
          <w:b/>
          <w:bCs/>
          <w:noProof/>
          <w:sz w:val="20"/>
          <w:szCs w:val="20"/>
        </w:rPr>
        <w:t>7</w:t>
      </w:r>
      <w:bookmarkEnd w:id="16"/>
      <w:r w:rsidRPr="002B66AB">
        <w:rPr>
          <w:rFonts w:ascii="Arial Narrow" w:hAnsi="Arial Narrow"/>
          <w:b/>
          <w:bCs/>
          <w:sz w:val="20"/>
          <w:szCs w:val="20"/>
        </w:rPr>
        <w:t>: Summary of key adverse events in the trials</w:t>
      </w:r>
    </w:p>
    <w:tbl>
      <w:tblPr>
        <w:tblStyle w:val="HTATableshaded1"/>
        <w:tblW w:w="5000" w:type="pct"/>
        <w:tblInd w:w="-5" w:type="dxa"/>
        <w:tblCellMar>
          <w:left w:w="28" w:type="dxa"/>
          <w:right w:w="28" w:type="dxa"/>
        </w:tblCellMar>
        <w:tblLook w:val="04A0" w:firstRow="1" w:lastRow="0" w:firstColumn="1" w:lastColumn="0" w:noHBand="0" w:noVBand="1"/>
        <w:tblCaption w:val="Table 7: Summary of key adverse events in the trials"/>
      </w:tblPr>
      <w:tblGrid>
        <w:gridCol w:w="4284"/>
        <w:gridCol w:w="2285"/>
        <w:gridCol w:w="999"/>
        <w:gridCol w:w="1515"/>
      </w:tblGrid>
      <w:tr w:rsidR="002B66AB" w:rsidRPr="002B66AB" w:rsidTr="00D92CD4">
        <w:trPr>
          <w:cnfStyle w:val="100000000000" w:firstRow="1" w:lastRow="0" w:firstColumn="0" w:lastColumn="0" w:oddVBand="0" w:evenVBand="0" w:oddHBand="0" w:evenHBand="0" w:firstRowFirstColumn="0" w:firstRowLastColumn="0" w:lastRowFirstColumn="0" w:lastRowLastColumn="0"/>
          <w:trHeight w:val="57"/>
          <w:tblHeader/>
        </w:trPr>
        <w:tc>
          <w:tcPr>
            <w:tcW w:w="4253" w:type="dxa"/>
          </w:tcPr>
          <w:p w:rsidR="00CA5EFD" w:rsidRPr="002B66AB" w:rsidRDefault="00CA5EFD" w:rsidP="00B558F0">
            <w:pPr>
              <w:keepNext/>
              <w:spacing w:before="0" w:after="0"/>
              <w:jc w:val="center"/>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Study 109</w:t>
            </w:r>
          </w:p>
        </w:tc>
        <w:tc>
          <w:tcPr>
            <w:tcW w:w="2268" w:type="dxa"/>
          </w:tcPr>
          <w:p w:rsidR="00CA5EFD" w:rsidRPr="002B66AB" w:rsidRDefault="00CA5EFD" w:rsidP="00B558F0">
            <w:pPr>
              <w:keepNext/>
              <w:spacing w:before="0" w:after="0"/>
              <w:jc w:val="center"/>
              <w:rPr>
                <w:rFonts w:ascii="Arial Narrow" w:hAnsi="Arial Narrow" w:cs="Times New Roman"/>
                <w:b/>
                <w:snapToGrid/>
                <w:sz w:val="20"/>
                <w:szCs w:val="20"/>
                <w:lang w:val="de-DE" w:eastAsia="en-AU"/>
              </w:rPr>
            </w:pPr>
            <w:r w:rsidRPr="002B66AB">
              <w:rPr>
                <w:rFonts w:ascii="Arial Narrow" w:hAnsi="Arial Narrow" w:cs="Times New Roman"/>
                <w:b/>
                <w:snapToGrid/>
                <w:sz w:val="20"/>
                <w:szCs w:val="20"/>
                <w:lang w:val="de-DE" w:eastAsia="en-AU"/>
              </w:rPr>
              <w:t>Lumacaftor 200 mg q12h/ ivacaftor 250 mg q12h</w:t>
            </w:r>
          </w:p>
          <w:p w:rsidR="00CA5EFD" w:rsidRPr="002B66AB" w:rsidRDefault="00CA5EFD" w:rsidP="00B558F0">
            <w:pPr>
              <w:keepNext/>
              <w:spacing w:before="0" w:after="0"/>
              <w:jc w:val="center"/>
              <w:rPr>
                <w:rFonts w:ascii="Arial Narrow" w:hAnsi="Arial Narrow" w:cs="Times New Roman"/>
                <w:snapToGrid/>
                <w:sz w:val="20"/>
                <w:szCs w:val="20"/>
                <w:lang w:val="de-DE" w:eastAsia="en-AU"/>
              </w:rPr>
            </w:pPr>
            <w:r w:rsidRPr="002B66AB">
              <w:rPr>
                <w:rFonts w:ascii="Arial Narrow" w:hAnsi="Arial Narrow" w:cs="Times New Roman"/>
                <w:b/>
                <w:snapToGrid/>
                <w:sz w:val="20"/>
                <w:szCs w:val="20"/>
                <w:lang w:val="de-DE" w:eastAsia="en-AU"/>
              </w:rPr>
              <w:t xml:space="preserve">N=103 </w:t>
            </w:r>
          </w:p>
        </w:tc>
        <w:tc>
          <w:tcPr>
            <w:tcW w:w="992" w:type="dxa"/>
          </w:tcPr>
          <w:p w:rsidR="00CA5EFD" w:rsidRPr="002B66AB" w:rsidRDefault="00CA5EFD" w:rsidP="00B558F0">
            <w:pPr>
              <w:keepNext/>
              <w:spacing w:before="0" w:after="0"/>
              <w:jc w:val="center"/>
              <w:rPr>
                <w:rFonts w:ascii="Arial Narrow" w:hAnsi="Arial Narrow" w:cs="Times New Roman"/>
                <w:b/>
                <w:snapToGrid/>
                <w:sz w:val="20"/>
                <w:szCs w:val="20"/>
                <w:lang w:val="de-DE" w:eastAsia="en-AU"/>
              </w:rPr>
            </w:pPr>
            <w:r w:rsidRPr="002B66AB">
              <w:rPr>
                <w:rFonts w:ascii="Arial Narrow" w:hAnsi="Arial Narrow" w:cs="Times New Roman"/>
                <w:b/>
                <w:snapToGrid/>
                <w:sz w:val="20"/>
                <w:szCs w:val="20"/>
                <w:lang w:val="de-DE" w:eastAsia="en-AU"/>
              </w:rPr>
              <w:t>Placebo</w:t>
            </w:r>
          </w:p>
          <w:p w:rsidR="00CA5EFD" w:rsidRPr="002B66AB" w:rsidRDefault="00CA5EFD" w:rsidP="00B558F0">
            <w:pPr>
              <w:keepNext/>
              <w:spacing w:before="0" w:after="0"/>
              <w:jc w:val="center"/>
              <w:rPr>
                <w:rFonts w:ascii="Arial Narrow" w:hAnsi="Arial Narrow" w:cs="Times New Roman"/>
                <w:b/>
                <w:snapToGrid/>
                <w:sz w:val="20"/>
                <w:szCs w:val="20"/>
                <w:highlight w:val="yellow"/>
                <w:lang w:val="de-DE" w:eastAsia="en-AU"/>
              </w:rPr>
            </w:pPr>
            <w:r w:rsidRPr="002B66AB">
              <w:rPr>
                <w:rFonts w:ascii="Arial Narrow" w:hAnsi="Arial Narrow" w:cs="Times New Roman"/>
                <w:b/>
                <w:snapToGrid/>
                <w:sz w:val="20"/>
                <w:szCs w:val="20"/>
                <w:lang w:val="de-DE" w:eastAsia="en-AU"/>
              </w:rPr>
              <w:t>N=101</w:t>
            </w:r>
          </w:p>
        </w:tc>
        <w:tc>
          <w:tcPr>
            <w:tcW w:w="1504" w:type="dxa"/>
          </w:tcPr>
          <w:p w:rsidR="00CA5EFD" w:rsidRPr="002B66AB" w:rsidRDefault="00CA5EFD" w:rsidP="00B558F0">
            <w:pPr>
              <w:keepNext/>
              <w:spacing w:before="0" w:after="0"/>
              <w:jc w:val="center"/>
              <w:rPr>
                <w:rFonts w:ascii="Arial Narrow" w:hAnsi="Arial Narrow" w:cs="Times New Roman"/>
                <w:b/>
                <w:snapToGrid/>
                <w:sz w:val="20"/>
                <w:szCs w:val="20"/>
                <w:highlight w:val="yellow"/>
                <w:lang w:val="de-DE" w:eastAsia="en-AU"/>
              </w:rPr>
            </w:pPr>
            <w:r w:rsidRPr="002B66AB">
              <w:rPr>
                <w:rFonts w:ascii="Arial Narrow" w:hAnsi="Arial Narrow" w:cs="Times New Roman"/>
                <w:b/>
                <w:snapToGrid/>
                <w:sz w:val="20"/>
                <w:szCs w:val="20"/>
                <w:lang w:val="de-DE" w:eastAsia="en-AU"/>
              </w:rPr>
              <w:t>RR (95% CI)*</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Total number of AEs</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573</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562</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N/A</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any AEs n (%)</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98 (95.1)</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98 (97.0)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0.98 (0.927, 1.036)</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AEs by maximum severity</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N/A</w:t>
            </w:r>
          </w:p>
        </w:tc>
      </w:tr>
      <w:tr w:rsidR="002B66AB" w:rsidRPr="002B66AB" w:rsidTr="00B558F0">
        <w:trPr>
          <w:trHeight w:val="57"/>
        </w:trPr>
        <w:tc>
          <w:tcPr>
            <w:tcW w:w="4253" w:type="dxa"/>
          </w:tcPr>
          <w:p w:rsidR="00CA5EFD" w:rsidRPr="002B66AB" w:rsidRDefault="00CA5EFD" w:rsidP="00B558F0">
            <w:pPr>
              <w:widowControl/>
              <w:spacing w:before="0" w:after="0"/>
              <w:ind w:left="179"/>
              <w:jc w:val="left"/>
              <w:rPr>
                <w:rFonts w:ascii="Arial Narrow" w:hAnsi="Arial Narrow" w:cs="Times New Roman"/>
                <w:snapToGrid/>
                <w:sz w:val="20"/>
                <w:szCs w:val="20"/>
                <w:lang w:val="en-US" w:eastAsia="en-AU"/>
              </w:rPr>
            </w:pPr>
            <w:r w:rsidRPr="002B66AB">
              <w:rPr>
                <w:rFonts w:ascii="Arial Narrow" w:hAnsi="Arial Narrow" w:cs="Times New Roman"/>
                <w:snapToGrid/>
                <w:sz w:val="20"/>
                <w:szCs w:val="20"/>
                <w:lang w:val="en-US" w:eastAsia="en-AU"/>
              </w:rPr>
              <w:t>Mild</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46 (44.7)</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41 (40.6)</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0.87 (0.635, 1.202)</w:t>
            </w:r>
          </w:p>
        </w:tc>
      </w:tr>
      <w:tr w:rsidR="002B66AB" w:rsidRPr="002B66AB" w:rsidTr="00B558F0">
        <w:trPr>
          <w:trHeight w:val="57"/>
        </w:trPr>
        <w:tc>
          <w:tcPr>
            <w:tcW w:w="4253" w:type="dxa"/>
          </w:tcPr>
          <w:p w:rsidR="00CA5EFD" w:rsidRPr="002B66AB" w:rsidRDefault="00CA5EFD" w:rsidP="00B558F0">
            <w:pPr>
              <w:widowControl/>
              <w:spacing w:before="0" w:after="0"/>
              <w:ind w:left="179"/>
              <w:jc w:val="left"/>
              <w:rPr>
                <w:rFonts w:ascii="Arial Narrow" w:hAnsi="Arial Narrow" w:cs="Times New Roman"/>
                <w:snapToGrid/>
                <w:sz w:val="20"/>
                <w:szCs w:val="20"/>
                <w:lang w:val="en-US" w:eastAsia="en-AU"/>
              </w:rPr>
            </w:pPr>
            <w:r w:rsidRPr="002B66AB">
              <w:rPr>
                <w:rFonts w:ascii="Arial Narrow" w:hAnsi="Arial Narrow" w:cs="Times New Roman"/>
                <w:snapToGrid/>
                <w:sz w:val="20"/>
                <w:szCs w:val="20"/>
                <w:lang w:val="en-US" w:eastAsia="en-AU"/>
              </w:rPr>
              <w:t>Moderate</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49 (47.6)</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49 (48.5)</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0.98 (0.737, 1.304)</w:t>
            </w:r>
          </w:p>
        </w:tc>
      </w:tr>
      <w:tr w:rsidR="002B66AB" w:rsidRPr="002B66AB" w:rsidTr="00B558F0">
        <w:trPr>
          <w:trHeight w:val="57"/>
        </w:trPr>
        <w:tc>
          <w:tcPr>
            <w:tcW w:w="4253" w:type="dxa"/>
          </w:tcPr>
          <w:p w:rsidR="00CA5EFD" w:rsidRPr="002B66AB" w:rsidRDefault="00CA5EFD" w:rsidP="00B558F0">
            <w:pPr>
              <w:widowControl/>
              <w:spacing w:before="0" w:after="0"/>
              <w:ind w:left="179"/>
              <w:jc w:val="left"/>
              <w:rPr>
                <w:rFonts w:ascii="Arial Narrow" w:hAnsi="Arial Narrow" w:cs="Times New Roman"/>
                <w:snapToGrid/>
                <w:sz w:val="20"/>
                <w:szCs w:val="20"/>
                <w:lang w:val="en-US" w:eastAsia="en-AU"/>
              </w:rPr>
            </w:pPr>
            <w:r w:rsidRPr="002B66AB">
              <w:rPr>
                <w:rFonts w:ascii="Arial Narrow" w:hAnsi="Arial Narrow" w:cs="Times New Roman"/>
                <w:snapToGrid/>
                <w:sz w:val="20"/>
                <w:szCs w:val="20"/>
                <w:lang w:val="en-US" w:eastAsia="en-AU"/>
              </w:rPr>
              <w:t>Severe</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3 (2.9)</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8 (7.9)</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0.65 (0.111, 3.830)</w:t>
            </w:r>
          </w:p>
        </w:tc>
      </w:tr>
      <w:tr w:rsidR="002B66AB" w:rsidRPr="002B66AB" w:rsidTr="00B558F0">
        <w:trPr>
          <w:trHeight w:val="57"/>
        </w:trPr>
        <w:tc>
          <w:tcPr>
            <w:tcW w:w="4253" w:type="dxa"/>
          </w:tcPr>
          <w:p w:rsidR="00CA5EFD" w:rsidRPr="002B66AB" w:rsidRDefault="00CA5EFD" w:rsidP="00B558F0">
            <w:pPr>
              <w:widowControl/>
              <w:spacing w:before="0" w:after="0"/>
              <w:ind w:left="179"/>
              <w:jc w:val="left"/>
              <w:rPr>
                <w:rFonts w:ascii="Arial Narrow" w:hAnsi="Arial Narrow" w:cs="Times New Roman"/>
                <w:snapToGrid/>
                <w:sz w:val="20"/>
                <w:szCs w:val="20"/>
                <w:lang w:val="en-US" w:eastAsia="en-AU"/>
              </w:rPr>
            </w:pPr>
            <w:r w:rsidRPr="002B66AB">
              <w:rPr>
                <w:rFonts w:ascii="Arial Narrow" w:hAnsi="Arial Narrow" w:cs="Times New Roman"/>
                <w:snapToGrid/>
                <w:sz w:val="20"/>
                <w:szCs w:val="20"/>
                <w:lang w:val="en-US" w:eastAsia="en-AU"/>
              </w:rPr>
              <w:t>Life-threatening</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N/A</w:t>
            </w:r>
          </w:p>
        </w:tc>
      </w:tr>
      <w:tr w:rsidR="002B66AB" w:rsidRPr="002B66AB" w:rsidTr="00B558F0">
        <w:trPr>
          <w:trHeight w:val="57"/>
        </w:trPr>
        <w:tc>
          <w:tcPr>
            <w:tcW w:w="4253" w:type="dxa"/>
          </w:tcPr>
          <w:p w:rsidR="00CA5EFD" w:rsidRPr="002B66AB" w:rsidRDefault="00CA5EFD" w:rsidP="00B558F0">
            <w:pPr>
              <w:widowControl/>
              <w:spacing w:before="0" w:after="0"/>
              <w:ind w:left="179"/>
              <w:jc w:val="left"/>
              <w:rPr>
                <w:rFonts w:ascii="Arial Narrow" w:hAnsi="Arial Narrow" w:cs="Times New Roman"/>
                <w:snapToGrid/>
                <w:sz w:val="20"/>
                <w:szCs w:val="20"/>
                <w:lang w:val="en-US" w:eastAsia="en-AU"/>
              </w:rPr>
            </w:pPr>
            <w:r w:rsidRPr="002B66AB">
              <w:rPr>
                <w:rFonts w:ascii="Arial Narrow" w:hAnsi="Arial Narrow" w:cs="Times New Roman"/>
                <w:snapToGrid/>
                <w:sz w:val="20"/>
                <w:szCs w:val="20"/>
                <w:lang w:val="en-US" w:eastAsia="en-AU"/>
              </w:rPr>
              <w:t>Missing</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N/A</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AEs leading to treatment discontinuation n (%)</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3 (2.9)</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2 (2.0)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0.65 (0.111, 3.830)</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AEs leading to treatment interruption n (%)</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9 (8.7)</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3 (3.0)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0.33 (0.091, 1.172)</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SAEs n (%)</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13 (12.6)</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11 (10.9)</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0.83 (0.390, 1.764)</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related SAEs n (%)</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2 (1.9)</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3 (3.0)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1.47 (0.251, 8.618)</w:t>
            </w:r>
          </w:p>
        </w:tc>
      </w:tr>
      <w:tr w:rsidR="002B66AB" w:rsidRPr="002B66AB" w:rsidTr="00B558F0">
        <w:trPr>
          <w:trHeight w:val="57"/>
        </w:trPr>
        <w:tc>
          <w:tcPr>
            <w:tcW w:w="4253" w:type="dxa"/>
          </w:tcPr>
          <w:p w:rsidR="00CA5EFD" w:rsidRPr="002B66AB" w:rsidRDefault="00CA5EFD" w:rsidP="00B558F0">
            <w:pPr>
              <w:widowControl/>
              <w:spacing w:before="0" w:after="0"/>
              <w:jc w:val="left"/>
              <w:rPr>
                <w:rFonts w:ascii="Arial Narrow" w:hAnsi="Arial Narrow" w:cs="Times New Roman"/>
                <w:b/>
                <w:snapToGrid/>
                <w:sz w:val="20"/>
                <w:szCs w:val="20"/>
                <w:lang w:val="en-US" w:eastAsia="en-AU"/>
              </w:rPr>
            </w:pPr>
            <w:r w:rsidRPr="002B66AB">
              <w:rPr>
                <w:rFonts w:ascii="Arial Narrow" w:hAnsi="Arial Narrow" w:cs="Times New Roman"/>
                <w:b/>
                <w:snapToGrid/>
                <w:sz w:val="20"/>
                <w:szCs w:val="20"/>
                <w:lang w:val="en-US" w:eastAsia="en-AU"/>
              </w:rPr>
              <w:t>Patients with AEs leading to death n (%)</w:t>
            </w:r>
          </w:p>
        </w:tc>
        <w:tc>
          <w:tcPr>
            <w:tcW w:w="2268"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0</w:t>
            </w:r>
          </w:p>
        </w:tc>
        <w:tc>
          <w:tcPr>
            <w:tcW w:w="992" w:type="dxa"/>
          </w:tcPr>
          <w:p w:rsidR="00CA5EFD" w:rsidRPr="002B66AB" w:rsidRDefault="00CA5EFD" w:rsidP="00B558F0">
            <w:pPr>
              <w:widowControl/>
              <w:spacing w:before="0" w:after="0"/>
              <w:jc w:val="center"/>
              <w:rPr>
                <w:rFonts w:ascii="Arial Narrow" w:hAnsi="Arial Narrow" w:cs="Times New Roman"/>
                <w:snapToGrid/>
                <w:sz w:val="20"/>
                <w:szCs w:val="20"/>
                <w:highlight w:val="yellow"/>
                <w:lang w:val="de-DE" w:eastAsia="en-AU"/>
              </w:rPr>
            </w:pPr>
            <w:r w:rsidRPr="002B66AB">
              <w:rPr>
                <w:rFonts w:ascii="Arial Narrow" w:hAnsi="Arial Narrow" w:cs="Times New Roman"/>
                <w:snapToGrid/>
                <w:sz w:val="20"/>
                <w:szCs w:val="20"/>
                <w:lang w:val="de-DE" w:eastAsia="en-AU"/>
              </w:rPr>
              <w:t>0</w:t>
            </w:r>
          </w:p>
        </w:tc>
        <w:tc>
          <w:tcPr>
            <w:tcW w:w="1504" w:type="dxa"/>
          </w:tcPr>
          <w:p w:rsidR="00CA5EFD" w:rsidRPr="002B66AB" w:rsidRDefault="00CA5EFD" w:rsidP="00B558F0">
            <w:pPr>
              <w:widowControl/>
              <w:spacing w:before="0" w:after="0"/>
              <w:jc w:val="center"/>
              <w:rPr>
                <w:rFonts w:ascii="Arial Narrow" w:hAnsi="Arial Narrow" w:cs="Times New Roman"/>
                <w:snapToGrid/>
                <w:sz w:val="20"/>
                <w:szCs w:val="20"/>
                <w:lang w:val="de-DE" w:eastAsia="en-AU"/>
              </w:rPr>
            </w:pPr>
            <w:r w:rsidRPr="002B66AB">
              <w:rPr>
                <w:rFonts w:ascii="Arial Narrow" w:hAnsi="Arial Narrow" w:cs="Times New Roman"/>
                <w:snapToGrid/>
                <w:sz w:val="20"/>
                <w:szCs w:val="20"/>
                <w:lang w:val="de-DE" w:eastAsia="en-AU"/>
              </w:rPr>
              <w:t>N/A</w:t>
            </w:r>
          </w:p>
        </w:tc>
      </w:tr>
    </w:tbl>
    <w:p w:rsidR="00CA5EFD" w:rsidRPr="002B66AB" w:rsidRDefault="00CA5EFD" w:rsidP="00CA5EFD">
      <w:pPr>
        <w:rPr>
          <w:rFonts w:ascii="Arial Narrow" w:eastAsia="Calibri" w:hAnsi="Arial Narrow"/>
          <w:sz w:val="18"/>
        </w:rPr>
      </w:pPr>
      <w:r w:rsidRPr="002B66AB">
        <w:rPr>
          <w:rFonts w:ascii="Arial Narrow" w:eastAsia="Calibri" w:hAnsi="Arial Narrow"/>
          <w:sz w:val="18"/>
        </w:rPr>
        <w:t xml:space="preserve">Abbreviations: AEs=adverse events; </w:t>
      </w:r>
      <w:proofErr w:type="spellStart"/>
      <w:r w:rsidRPr="002B66AB">
        <w:rPr>
          <w:rFonts w:ascii="Arial Narrow" w:eastAsia="Calibri" w:hAnsi="Arial Narrow"/>
          <w:sz w:val="18"/>
        </w:rPr>
        <w:t>MedDRA</w:t>
      </w:r>
      <w:proofErr w:type="spellEnd"/>
      <w:r w:rsidRPr="002B66AB">
        <w:rPr>
          <w:rFonts w:ascii="Arial Narrow" w:eastAsia="Calibri" w:hAnsi="Arial Narrow"/>
          <w:sz w:val="18"/>
        </w:rPr>
        <w:t>=Medical Dictionary for Regulatory Activities; N=total sample size; n=number of patients; PT=preferred term; SAEs=serious adverse events; SOC=system organ class.</w:t>
      </w:r>
    </w:p>
    <w:p w:rsidR="00CA5EFD" w:rsidRPr="002B66AB" w:rsidRDefault="00CA5EFD" w:rsidP="00CA5EFD">
      <w:pPr>
        <w:rPr>
          <w:rFonts w:ascii="Arial Narrow" w:eastAsia="Calibri" w:hAnsi="Arial Narrow"/>
          <w:sz w:val="18"/>
        </w:rPr>
      </w:pPr>
      <w:r w:rsidRPr="002B66AB">
        <w:rPr>
          <w:rFonts w:ascii="Arial Narrow" w:eastAsia="Calibri" w:hAnsi="Arial Narrow"/>
          <w:sz w:val="18"/>
        </w:rPr>
        <w:t xml:space="preserve">Notes: *Calculated values. RR not provided by the submission. </w:t>
      </w:r>
    </w:p>
    <w:p w:rsidR="00CA5EFD" w:rsidRPr="002B66AB" w:rsidRDefault="00CA5EFD" w:rsidP="00CA5EFD">
      <w:pPr>
        <w:rPr>
          <w:rFonts w:ascii="Arial Narrow" w:hAnsi="Arial Narrow"/>
          <w:sz w:val="20"/>
        </w:rPr>
      </w:pPr>
      <w:r w:rsidRPr="002B66AB">
        <w:rPr>
          <w:rFonts w:ascii="Arial Narrow" w:hAnsi="Arial Narrow"/>
          <w:sz w:val="18"/>
        </w:rPr>
        <w:t>Source: Table 2.1.24 p 105 of the submission</w:t>
      </w:r>
    </w:p>
    <w:p w:rsidR="00CA5EFD" w:rsidRPr="002B66AB" w:rsidRDefault="00CA5EFD" w:rsidP="00CA5EFD">
      <w:pPr>
        <w:widowControl/>
        <w:rPr>
          <w:highlight w:val="yellow"/>
        </w:rPr>
      </w:pPr>
    </w:p>
    <w:p w:rsidR="00CA5EFD" w:rsidRPr="002B66AB" w:rsidRDefault="00CA5EFD" w:rsidP="00431133">
      <w:pPr>
        <w:pStyle w:val="ListParagraph"/>
        <w:numPr>
          <w:ilvl w:val="1"/>
          <w:numId w:val="45"/>
        </w:numPr>
        <w:ind w:hanging="720"/>
      </w:pPr>
      <w:r w:rsidRPr="002B66AB">
        <w:t xml:space="preserve">On the basis of the direct evidence from Study 109 presented by the submission the frequency of adverse events being reported was comparable between </w:t>
      </w:r>
      <w:proofErr w:type="spellStart"/>
      <w:r w:rsidRPr="002B66AB">
        <w:t>lumacaftor</w:t>
      </w:r>
      <w:proofErr w:type="spellEnd"/>
      <w:r w:rsidRPr="002B66AB">
        <w:t>/</w:t>
      </w:r>
      <w:proofErr w:type="spellStart"/>
      <w:r w:rsidRPr="002B66AB">
        <w:t>ivacaftor</w:t>
      </w:r>
      <w:proofErr w:type="spellEnd"/>
      <w:r w:rsidRPr="002B66AB">
        <w:t xml:space="preserve"> and placebo groups. The most common AE in patients who received </w:t>
      </w:r>
      <w:proofErr w:type="spellStart"/>
      <w:r w:rsidRPr="002B66AB">
        <w:t>lumacaftor</w:t>
      </w:r>
      <w:proofErr w:type="spellEnd"/>
      <w:r w:rsidRPr="002B66AB">
        <w:t>/</w:t>
      </w:r>
      <w:proofErr w:type="spellStart"/>
      <w:r w:rsidRPr="002B66AB">
        <w:t>ivacaftor</w:t>
      </w:r>
      <w:proofErr w:type="spellEnd"/>
      <w:r w:rsidRPr="002B66AB">
        <w:t xml:space="preserve"> were cough (44.7% compared to 46.5%), infective pulmonary exacerbation (19.4%), productive cough (17.5% compared to 5.9%), nasal congestion (16.5% compared to 7.9), oropharyngeal pain (14.6% compared to 9.9%), pyrexia (14.6% compared to 19.8%), upper respiratory tract infection (12.6% compared to 9.9%) and headache (12.6 compared to 8.9). A total of 5 (2.5%) patients had SAEs considered related (related or possibly related, as determined by the investigator) to the study drug (3 (3.0%) in placebo and 2 (1.9%) in </w:t>
      </w:r>
      <w:proofErr w:type="spellStart"/>
      <w:r w:rsidRPr="002B66AB">
        <w:t>lumacaftor</w:t>
      </w:r>
      <w:proofErr w:type="spellEnd"/>
      <w:r w:rsidRPr="002B66AB">
        <w:t>/</w:t>
      </w:r>
      <w:proofErr w:type="spellStart"/>
      <w:r w:rsidRPr="002B66AB">
        <w:t>ivacaftor</w:t>
      </w:r>
      <w:proofErr w:type="spellEnd"/>
      <w:r w:rsidRPr="002B66AB">
        <w:t xml:space="preserve"> group).</w:t>
      </w:r>
    </w:p>
    <w:p w:rsidR="00CA5EFD" w:rsidRPr="008874D4" w:rsidRDefault="00CA5EFD" w:rsidP="00417133">
      <w:pPr>
        <w:pStyle w:val="Heading2"/>
        <w:spacing w:before="240" w:after="120"/>
      </w:pPr>
      <w:bookmarkStart w:id="17" w:name="_Toc514246226"/>
      <w:r w:rsidRPr="008874D4">
        <w:t>Benefits/harms</w:t>
      </w:r>
      <w:bookmarkEnd w:id="17"/>
    </w:p>
    <w:p w:rsidR="00CA5EFD" w:rsidRPr="002B66AB" w:rsidRDefault="00CA5EFD" w:rsidP="00431133">
      <w:pPr>
        <w:pStyle w:val="ListParagraph"/>
        <w:numPr>
          <w:ilvl w:val="1"/>
          <w:numId w:val="45"/>
        </w:numPr>
        <w:ind w:hanging="720"/>
      </w:pPr>
      <w:r w:rsidRPr="002B66AB">
        <w:t xml:space="preserve">A summary of the comparative benefits and harms for </w:t>
      </w:r>
      <w:proofErr w:type="spellStart"/>
      <w:r w:rsidRPr="002B66AB">
        <w:t>lumacaftor</w:t>
      </w:r>
      <w:proofErr w:type="spellEnd"/>
      <w:r w:rsidRPr="002B66AB">
        <w:t>/</w:t>
      </w:r>
      <w:proofErr w:type="spellStart"/>
      <w:r w:rsidRPr="002B66AB">
        <w:t>ivacaftor</w:t>
      </w:r>
      <w:proofErr w:type="spellEnd"/>
      <w:r w:rsidRPr="002B66AB">
        <w:t xml:space="preserve"> versus </w:t>
      </w:r>
      <w:r w:rsidRPr="002B66AB">
        <w:rPr>
          <w:rFonts w:asciiTheme="minorHAnsi" w:hAnsiTheme="minorHAnsi" w:cstheme="minorHAnsi"/>
          <w:szCs w:val="24"/>
        </w:rPr>
        <w:t xml:space="preserve">placebo in children 6-11 years of age is presented in </w:t>
      </w:r>
      <w:r w:rsidR="00F22C48">
        <w:rPr>
          <w:rFonts w:asciiTheme="minorHAnsi" w:hAnsiTheme="minorHAnsi" w:cstheme="minorHAnsi"/>
          <w:szCs w:val="24"/>
        </w:rPr>
        <w:t xml:space="preserve">Table </w:t>
      </w:r>
      <w:r w:rsidR="006F480C" w:rsidRPr="002B66AB">
        <w:rPr>
          <w:rFonts w:asciiTheme="minorHAnsi" w:hAnsiTheme="minorHAnsi" w:cstheme="minorHAnsi"/>
          <w:szCs w:val="24"/>
        </w:rPr>
        <w:t>8</w:t>
      </w:r>
      <w:r w:rsidR="00D92CD4">
        <w:t>.</w:t>
      </w:r>
    </w:p>
    <w:p w:rsidR="00F22C48" w:rsidRDefault="00F22C48">
      <w:pPr>
        <w:widowControl/>
        <w:jc w:val="left"/>
        <w:rPr>
          <w:rFonts w:ascii="Arial Narrow" w:hAnsi="Arial Narrow"/>
          <w:b/>
          <w:bCs/>
          <w:sz w:val="20"/>
          <w:szCs w:val="20"/>
        </w:rPr>
      </w:pPr>
      <w:r>
        <w:rPr>
          <w:rFonts w:ascii="Arial Narrow" w:hAnsi="Arial Narrow"/>
          <w:b/>
          <w:bCs/>
          <w:sz w:val="20"/>
          <w:szCs w:val="20"/>
        </w:rPr>
        <w:br w:type="page"/>
      </w:r>
    </w:p>
    <w:p w:rsidR="00CA5EFD" w:rsidRPr="002B66AB" w:rsidRDefault="00CA5EFD" w:rsidP="00CA5EFD">
      <w:pPr>
        <w:rPr>
          <w:rFonts w:ascii="Arial Narrow" w:hAnsi="Arial Narrow"/>
          <w:b/>
          <w:bCs/>
          <w:sz w:val="20"/>
          <w:szCs w:val="20"/>
        </w:rPr>
      </w:pPr>
      <w:r w:rsidRPr="002B66AB">
        <w:rPr>
          <w:rFonts w:ascii="Arial Narrow" w:hAnsi="Arial Narrow"/>
          <w:b/>
          <w:bCs/>
          <w:sz w:val="20"/>
          <w:szCs w:val="20"/>
        </w:rPr>
        <w:lastRenderedPageBreak/>
        <w:t xml:space="preserve">Table </w:t>
      </w:r>
      <w:r w:rsidR="006F480C" w:rsidRPr="002B66AB">
        <w:rPr>
          <w:rFonts w:ascii="Arial Narrow" w:hAnsi="Arial Narrow"/>
          <w:b/>
          <w:bCs/>
          <w:noProof/>
          <w:sz w:val="20"/>
          <w:szCs w:val="20"/>
        </w:rPr>
        <w:t>8</w:t>
      </w:r>
      <w:r w:rsidRPr="002B66AB">
        <w:rPr>
          <w:rFonts w:ascii="Arial Narrow" w:hAnsi="Arial Narrow"/>
          <w:b/>
          <w:bCs/>
          <w:sz w:val="20"/>
          <w:szCs w:val="20"/>
        </w:rPr>
        <w:t xml:space="preserve">: Summary of comparative benefits and harms for </w:t>
      </w:r>
      <w:proofErr w:type="spellStart"/>
      <w:r w:rsidRPr="002B66AB">
        <w:rPr>
          <w:rFonts w:ascii="Arial Narrow" w:hAnsi="Arial Narrow"/>
          <w:b/>
          <w:bCs/>
          <w:sz w:val="20"/>
          <w:szCs w:val="20"/>
        </w:rPr>
        <w:t>lumacaftor</w:t>
      </w:r>
      <w:proofErr w:type="spellEnd"/>
      <w:r w:rsidRPr="002B66AB">
        <w:rPr>
          <w:rFonts w:ascii="Arial Narrow" w:hAnsi="Arial Narrow"/>
          <w:b/>
          <w:bCs/>
          <w:sz w:val="20"/>
          <w:szCs w:val="20"/>
        </w:rPr>
        <w:t>/</w:t>
      </w:r>
      <w:proofErr w:type="spellStart"/>
      <w:r w:rsidRPr="002B66AB">
        <w:rPr>
          <w:rFonts w:ascii="Arial Narrow" w:hAnsi="Arial Narrow"/>
          <w:b/>
          <w:bCs/>
          <w:sz w:val="20"/>
          <w:szCs w:val="20"/>
        </w:rPr>
        <w:t>ivacaftor</w:t>
      </w:r>
      <w:proofErr w:type="spellEnd"/>
      <w:r w:rsidRPr="002B66AB">
        <w:rPr>
          <w:rFonts w:ascii="Arial Narrow" w:hAnsi="Arial Narrow"/>
          <w:b/>
          <w:bCs/>
          <w:sz w:val="20"/>
          <w:szCs w:val="20"/>
        </w:rPr>
        <w:t xml:space="preserve"> and placebo </w:t>
      </w:r>
    </w:p>
    <w:tbl>
      <w:tblPr>
        <w:tblW w:w="5000" w:type="pct"/>
        <w:tblLayout w:type="fixed"/>
        <w:tblCellMar>
          <w:left w:w="28" w:type="dxa"/>
          <w:right w:w="28" w:type="dxa"/>
        </w:tblCellMar>
        <w:tblLook w:val="04A0" w:firstRow="1" w:lastRow="0" w:firstColumn="1" w:lastColumn="0" w:noHBand="0" w:noVBand="1"/>
      </w:tblPr>
      <w:tblGrid>
        <w:gridCol w:w="1150"/>
        <w:gridCol w:w="9"/>
        <w:gridCol w:w="7"/>
        <w:gridCol w:w="694"/>
        <w:gridCol w:w="443"/>
        <w:gridCol w:w="7"/>
        <w:gridCol w:w="547"/>
        <w:gridCol w:w="739"/>
        <w:gridCol w:w="271"/>
        <w:gridCol w:w="845"/>
        <w:gridCol w:w="451"/>
        <w:gridCol w:w="550"/>
        <w:gridCol w:w="590"/>
        <w:gridCol w:w="407"/>
        <w:gridCol w:w="965"/>
        <w:gridCol w:w="1408"/>
      </w:tblGrid>
      <w:tr w:rsidR="002B66AB" w:rsidRPr="002B66AB" w:rsidTr="00B558F0">
        <w:tc>
          <w:tcPr>
            <w:tcW w:w="5000" w:type="pct"/>
            <w:gridSpan w:val="16"/>
            <w:tcBorders>
              <w:top w:val="single" w:sz="4" w:space="0" w:color="auto"/>
              <w:left w:val="single" w:sz="4" w:space="0" w:color="auto"/>
              <w:bottom w:val="double" w:sz="4" w:space="0" w:color="auto"/>
              <w:right w:val="single" w:sz="4" w:space="0" w:color="auto"/>
            </w:tcBorders>
            <w:shd w:val="clear" w:color="auto" w:fill="auto"/>
            <w:vAlign w:val="center"/>
          </w:tcPr>
          <w:p w:rsidR="00CA5EFD" w:rsidRPr="002B66AB" w:rsidRDefault="00CA5EFD" w:rsidP="00B558F0">
            <w:pPr>
              <w:rPr>
                <w:rFonts w:ascii="Arial Narrow" w:hAnsi="Arial Narrow"/>
                <w:b/>
                <w:sz w:val="20"/>
                <w:szCs w:val="18"/>
              </w:rPr>
            </w:pPr>
            <w:r w:rsidRPr="002B66AB">
              <w:rPr>
                <w:rFonts w:ascii="Arial Narrow" w:hAnsi="Arial Narrow"/>
                <w:b/>
                <w:sz w:val="20"/>
                <w:szCs w:val="18"/>
              </w:rPr>
              <w:t>Benefits</w:t>
            </w:r>
          </w:p>
        </w:tc>
      </w:tr>
      <w:tr w:rsidR="002B66AB" w:rsidRPr="002B66AB" w:rsidTr="00B558F0">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b/>
                <w:sz w:val="20"/>
                <w:szCs w:val="18"/>
              </w:rPr>
            </w:pPr>
            <w:r w:rsidRPr="002B66AB">
              <w:rPr>
                <w:rFonts w:ascii="Arial Narrow" w:hAnsi="Arial Narrow"/>
                <w:b/>
                <w:sz w:val="20"/>
                <w:szCs w:val="18"/>
              </w:rPr>
              <w:t>Absolute change from baseline in LCI</w:t>
            </w:r>
            <w:r w:rsidRPr="002B66AB">
              <w:rPr>
                <w:rFonts w:ascii="Arial Narrow" w:hAnsi="Arial Narrow"/>
                <w:b/>
                <w:sz w:val="20"/>
                <w:szCs w:val="18"/>
                <w:vertAlign w:val="subscript"/>
              </w:rPr>
              <w:t>2.5</w:t>
            </w:r>
            <w:r w:rsidRPr="002B66AB">
              <w:rPr>
                <w:rFonts w:ascii="Arial Narrow" w:hAnsi="Arial Narrow"/>
                <w:b/>
                <w:sz w:val="20"/>
                <w:szCs w:val="18"/>
              </w:rPr>
              <w:t xml:space="preserve"> at 24 weeks</w:t>
            </w:r>
          </w:p>
        </w:tc>
      </w:tr>
      <w:tr w:rsidR="002B66AB" w:rsidRPr="002B66AB" w:rsidTr="00B558F0">
        <w:trPr>
          <w:trHeight w:val="225"/>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Study 109</w:t>
            </w:r>
          </w:p>
        </w:tc>
        <w:tc>
          <w:tcPr>
            <w:tcW w:w="1496" w:type="pct"/>
            <w:gridSpan w:val="8"/>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proofErr w:type="spellStart"/>
            <w:r w:rsidRPr="002B66AB">
              <w:rPr>
                <w:rFonts w:ascii="Arial Narrow" w:hAnsi="Arial Narrow"/>
                <w:b/>
                <w:sz w:val="20"/>
                <w:szCs w:val="18"/>
              </w:rPr>
              <w:t>Lumacaftor</w:t>
            </w:r>
            <w:proofErr w:type="spellEnd"/>
            <w:r w:rsidRPr="002B66AB">
              <w:rPr>
                <w:rFonts w:ascii="Arial Narrow" w:hAnsi="Arial Narrow"/>
                <w:b/>
                <w:sz w:val="20"/>
                <w:szCs w:val="18"/>
              </w:rPr>
              <w:t>/</w:t>
            </w:r>
            <w:proofErr w:type="spellStart"/>
            <w:r w:rsidRPr="002B66AB">
              <w:rPr>
                <w:rFonts w:ascii="Arial Narrow" w:hAnsi="Arial Narrow"/>
                <w:b/>
                <w:sz w:val="20"/>
                <w:szCs w:val="18"/>
              </w:rPr>
              <w:t>ivacaftor</w:t>
            </w:r>
            <w:proofErr w:type="spellEnd"/>
            <w:r w:rsidRPr="002B66AB">
              <w:rPr>
                <w:rFonts w:ascii="Arial Narrow" w:hAnsi="Arial Narrow"/>
                <w:b/>
                <w:sz w:val="20"/>
                <w:szCs w:val="18"/>
              </w:rPr>
              <w:t xml:space="preserve"> </w:t>
            </w:r>
          </w:p>
        </w:tc>
        <w:tc>
          <w:tcPr>
            <w:tcW w:w="1565" w:type="pct"/>
            <w:gridSpan w:val="5"/>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b/>
                <w:sz w:val="20"/>
                <w:szCs w:val="18"/>
              </w:rPr>
              <w:t>Placebo</w:t>
            </w:r>
          </w:p>
        </w:tc>
        <w:tc>
          <w:tcPr>
            <w:tcW w:w="1306" w:type="pct"/>
            <w:gridSpan w:val="2"/>
            <w:vMerge w:val="restar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 xml:space="preserve">Mean difference*: </w:t>
            </w:r>
          </w:p>
          <w:p w:rsidR="00CA5EFD" w:rsidRPr="002B66AB" w:rsidRDefault="00CA5EFD" w:rsidP="00B558F0">
            <w:pPr>
              <w:jc w:val="center"/>
              <w:rPr>
                <w:rFonts w:ascii="Arial Narrow" w:hAnsi="Arial Narrow"/>
                <w:b/>
                <w:sz w:val="20"/>
                <w:szCs w:val="18"/>
              </w:rPr>
            </w:pPr>
            <w:proofErr w:type="spellStart"/>
            <w:r w:rsidRPr="002B66AB">
              <w:rPr>
                <w:rFonts w:ascii="Arial Narrow" w:hAnsi="Arial Narrow"/>
                <w:b/>
                <w:sz w:val="20"/>
                <w:szCs w:val="18"/>
              </w:rPr>
              <w:t>Lumacaftor</w:t>
            </w:r>
            <w:proofErr w:type="spellEnd"/>
            <w:r w:rsidRPr="002B66AB">
              <w:rPr>
                <w:rFonts w:ascii="Arial Narrow" w:hAnsi="Arial Narrow"/>
                <w:b/>
                <w:sz w:val="20"/>
                <w:szCs w:val="18"/>
              </w:rPr>
              <w:t>/</w:t>
            </w:r>
            <w:proofErr w:type="spellStart"/>
            <w:r w:rsidRPr="002B66AB">
              <w:rPr>
                <w:rFonts w:ascii="Arial Narrow" w:hAnsi="Arial Narrow"/>
                <w:b/>
                <w:sz w:val="20"/>
                <w:szCs w:val="18"/>
              </w:rPr>
              <w:t>ivacaftor</w:t>
            </w:r>
            <w:proofErr w:type="spellEnd"/>
            <w:r w:rsidRPr="002B66AB">
              <w:rPr>
                <w:rFonts w:ascii="Arial Narrow" w:hAnsi="Arial Narrow"/>
                <w:b/>
                <w:sz w:val="20"/>
                <w:szCs w:val="18"/>
              </w:rPr>
              <w:t xml:space="preserve"> vs. placebo</w:t>
            </w:r>
          </w:p>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(95% CI)</w:t>
            </w:r>
          </w:p>
        </w:tc>
      </w:tr>
      <w:tr w:rsidR="002B66AB" w:rsidRPr="002B66AB" w:rsidTr="00B558F0">
        <w:trPr>
          <w:trHeight w:val="22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N</w:t>
            </w:r>
          </w:p>
        </w:tc>
        <w:tc>
          <w:tcPr>
            <w:tcW w:w="549"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vertAlign w:val="subscript"/>
              </w:rPr>
            </w:pPr>
            <w:r w:rsidRPr="002B66AB">
              <w:rPr>
                <w:rFonts w:ascii="Arial Narrow" w:hAnsi="Arial Narrow"/>
                <w:b/>
                <w:sz w:val="20"/>
                <w:szCs w:val="18"/>
              </w:rPr>
              <w:t>Mean ∆ baseline LCI</w:t>
            </w:r>
            <w:r w:rsidRPr="002B66AB">
              <w:rPr>
                <w:rFonts w:ascii="Arial Narrow" w:hAnsi="Arial Narrow"/>
                <w:b/>
                <w:sz w:val="20"/>
                <w:szCs w:val="18"/>
                <w:vertAlign w:val="subscript"/>
              </w:rPr>
              <w:t>2.5</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SD</w:t>
            </w:r>
          </w:p>
        </w:tc>
        <w:tc>
          <w:tcPr>
            <w:tcW w:w="46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vertAlign w:val="subscript"/>
              </w:rPr>
            </w:pPr>
            <w:r w:rsidRPr="002B66AB">
              <w:rPr>
                <w:rFonts w:ascii="Arial Narrow" w:hAnsi="Arial Narrow"/>
                <w:b/>
                <w:sz w:val="20"/>
                <w:szCs w:val="18"/>
              </w:rPr>
              <w:t>Mean ∆ baseline LCI</w:t>
            </w:r>
            <w:r w:rsidRPr="002B66AB">
              <w:rPr>
                <w:rFonts w:ascii="Arial Narrow" w:hAnsi="Arial Narrow"/>
                <w:b/>
                <w:sz w:val="20"/>
                <w:szCs w:val="18"/>
                <w:vertAlign w:val="subscript"/>
              </w:rPr>
              <w:t>2.5</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SD</w:t>
            </w:r>
          </w:p>
        </w:tc>
        <w:tc>
          <w:tcPr>
            <w:tcW w:w="1306" w:type="pct"/>
            <w:gridSpan w:val="2"/>
            <w:vMerge/>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
        </w:tc>
      </w:tr>
      <w:tr w:rsidR="002B66AB" w:rsidRPr="002B66AB" w:rsidTr="00B558F0">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103</w:t>
            </w:r>
          </w:p>
        </w:tc>
        <w:tc>
          <w:tcPr>
            <w:tcW w:w="549"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 xml:space="preserve">10.30 </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2.36</w:t>
            </w:r>
          </w:p>
        </w:tc>
        <w:tc>
          <w:tcPr>
            <w:tcW w:w="46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101</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10.26</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2.24</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-1.09 (-1.43, -0.75)</w:t>
            </w:r>
          </w:p>
        </w:tc>
      </w:tr>
      <w:tr w:rsidR="002B66AB" w:rsidRPr="002B66AB" w:rsidTr="00B558F0">
        <w:trPr>
          <w:trHeight w:val="22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jc w:val="left"/>
              <w:rPr>
                <w:rFonts w:ascii="Arial Narrow" w:hAnsi="Arial Narrow"/>
                <w:b/>
                <w:sz w:val="20"/>
                <w:szCs w:val="18"/>
                <w:vertAlign w:val="subscript"/>
              </w:rPr>
            </w:pPr>
            <w:r w:rsidRPr="002B66AB">
              <w:rPr>
                <w:rFonts w:ascii="Arial Narrow" w:hAnsi="Arial Narrow"/>
                <w:b/>
                <w:sz w:val="20"/>
                <w:szCs w:val="18"/>
              </w:rPr>
              <w:t>Absolute change from baseline in ppFEV</w:t>
            </w:r>
            <w:r w:rsidRPr="002B66AB">
              <w:rPr>
                <w:rFonts w:ascii="Arial Narrow" w:hAnsi="Arial Narrow"/>
                <w:b/>
                <w:sz w:val="20"/>
                <w:szCs w:val="18"/>
                <w:vertAlign w:val="subscript"/>
              </w:rPr>
              <w:t>1</w:t>
            </w:r>
            <w:r w:rsidRPr="002B66AB">
              <w:rPr>
                <w:rFonts w:ascii="Arial Narrow" w:hAnsi="Arial Narrow"/>
                <w:b/>
                <w:sz w:val="20"/>
                <w:szCs w:val="18"/>
              </w:rPr>
              <w:t xml:space="preserve"> at 24 weeks</w:t>
            </w:r>
          </w:p>
        </w:tc>
      </w:tr>
      <w:tr w:rsidR="002B66AB" w:rsidRPr="002B66AB" w:rsidTr="00B558F0">
        <w:trPr>
          <w:trHeight w:val="225"/>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Study 109</w:t>
            </w:r>
          </w:p>
        </w:tc>
        <w:tc>
          <w:tcPr>
            <w:tcW w:w="1496" w:type="pct"/>
            <w:gridSpan w:val="8"/>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proofErr w:type="spellStart"/>
            <w:r w:rsidRPr="002B66AB">
              <w:rPr>
                <w:rFonts w:ascii="Arial Narrow" w:hAnsi="Arial Narrow"/>
                <w:b/>
                <w:sz w:val="20"/>
                <w:szCs w:val="18"/>
              </w:rPr>
              <w:t>Lumacaftor</w:t>
            </w:r>
            <w:proofErr w:type="spellEnd"/>
            <w:r w:rsidRPr="002B66AB">
              <w:rPr>
                <w:rFonts w:ascii="Arial Narrow" w:hAnsi="Arial Narrow"/>
                <w:b/>
                <w:sz w:val="20"/>
                <w:szCs w:val="18"/>
              </w:rPr>
              <w:t>/</w:t>
            </w:r>
            <w:proofErr w:type="spellStart"/>
            <w:r w:rsidRPr="002B66AB">
              <w:rPr>
                <w:rFonts w:ascii="Arial Narrow" w:hAnsi="Arial Narrow"/>
                <w:b/>
                <w:sz w:val="20"/>
                <w:szCs w:val="18"/>
              </w:rPr>
              <w:t>ivacaftor</w:t>
            </w:r>
            <w:proofErr w:type="spellEnd"/>
            <w:r w:rsidRPr="002B66AB">
              <w:rPr>
                <w:rFonts w:ascii="Arial Narrow" w:hAnsi="Arial Narrow"/>
                <w:b/>
                <w:sz w:val="20"/>
                <w:szCs w:val="18"/>
              </w:rPr>
              <w:t xml:space="preserve"> </w:t>
            </w:r>
          </w:p>
        </w:tc>
        <w:tc>
          <w:tcPr>
            <w:tcW w:w="1565" w:type="pct"/>
            <w:gridSpan w:val="5"/>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b/>
                <w:sz w:val="20"/>
                <w:szCs w:val="18"/>
              </w:rPr>
              <w:t>Placebo</w:t>
            </w:r>
          </w:p>
        </w:tc>
        <w:tc>
          <w:tcPr>
            <w:tcW w:w="1306" w:type="pct"/>
            <w:gridSpan w:val="2"/>
            <w:vMerge w:val="restar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 xml:space="preserve">Mean difference*: </w:t>
            </w:r>
          </w:p>
          <w:p w:rsidR="00CA5EFD" w:rsidRPr="002B66AB" w:rsidRDefault="00CA5EFD" w:rsidP="00B558F0">
            <w:pPr>
              <w:jc w:val="center"/>
              <w:rPr>
                <w:rFonts w:ascii="Arial Narrow" w:hAnsi="Arial Narrow"/>
                <w:b/>
                <w:sz w:val="20"/>
                <w:szCs w:val="18"/>
              </w:rPr>
            </w:pPr>
            <w:proofErr w:type="spellStart"/>
            <w:r w:rsidRPr="002B66AB">
              <w:rPr>
                <w:rFonts w:ascii="Arial Narrow" w:hAnsi="Arial Narrow"/>
                <w:b/>
                <w:sz w:val="20"/>
                <w:szCs w:val="18"/>
              </w:rPr>
              <w:t>Lumacaftor</w:t>
            </w:r>
            <w:proofErr w:type="spellEnd"/>
            <w:r w:rsidRPr="002B66AB">
              <w:rPr>
                <w:rFonts w:ascii="Arial Narrow" w:hAnsi="Arial Narrow"/>
                <w:b/>
                <w:sz w:val="20"/>
                <w:szCs w:val="18"/>
              </w:rPr>
              <w:t>/</w:t>
            </w:r>
            <w:proofErr w:type="spellStart"/>
            <w:r w:rsidRPr="002B66AB">
              <w:rPr>
                <w:rFonts w:ascii="Arial Narrow" w:hAnsi="Arial Narrow"/>
                <w:b/>
                <w:sz w:val="20"/>
                <w:szCs w:val="18"/>
              </w:rPr>
              <w:t>ivacaftor</w:t>
            </w:r>
            <w:proofErr w:type="spellEnd"/>
            <w:r w:rsidRPr="002B66AB">
              <w:rPr>
                <w:rFonts w:ascii="Arial Narrow" w:hAnsi="Arial Narrow"/>
                <w:b/>
                <w:sz w:val="20"/>
                <w:szCs w:val="18"/>
              </w:rPr>
              <w:t xml:space="preserve"> vs. placebo</w:t>
            </w:r>
          </w:p>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(95% CI)</w:t>
            </w:r>
          </w:p>
        </w:tc>
      </w:tr>
      <w:tr w:rsidR="002B66AB" w:rsidRPr="002B66AB" w:rsidTr="00B558F0">
        <w:trPr>
          <w:trHeight w:val="22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N</w:t>
            </w:r>
          </w:p>
        </w:tc>
        <w:tc>
          <w:tcPr>
            <w:tcW w:w="549"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vertAlign w:val="subscript"/>
              </w:rPr>
            </w:pPr>
            <w:r w:rsidRPr="002B66AB">
              <w:rPr>
                <w:rFonts w:ascii="Arial Narrow" w:hAnsi="Arial Narrow"/>
                <w:b/>
                <w:sz w:val="20"/>
                <w:szCs w:val="18"/>
              </w:rPr>
              <w:t>Mean ∆ baseline ppFEV</w:t>
            </w:r>
            <w:r w:rsidRPr="002B66AB">
              <w:rPr>
                <w:rFonts w:ascii="Arial Narrow" w:hAnsi="Arial Narrow"/>
                <w:b/>
                <w:sz w:val="20"/>
                <w:szCs w:val="18"/>
                <w:vertAlign w:val="subscript"/>
              </w:rPr>
              <w:t>1</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SD</w:t>
            </w:r>
          </w:p>
        </w:tc>
        <w:tc>
          <w:tcPr>
            <w:tcW w:w="46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vertAlign w:val="subscript"/>
              </w:rPr>
            </w:pPr>
            <w:r w:rsidRPr="002B66AB">
              <w:rPr>
                <w:rFonts w:ascii="Arial Narrow" w:hAnsi="Arial Narrow"/>
                <w:b/>
                <w:sz w:val="20"/>
                <w:szCs w:val="18"/>
              </w:rPr>
              <w:t>Mean ∆ baseline ppFEV</w:t>
            </w:r>
            <w:r w:rsidRPr="002B66AB">
              <w:rPr>
                <w:rFonts w:ascii="Arial Narrow" w:hAnsi="Arial Narrow"/>
                <w:b/>
                <w:sz w:val="20"/>
                <w:szCs w:val="18"/>
                <w:vertAlign w:val="subscript"/>
              </w:rPr>
              <w:t>1</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SD</w:t>
            </w:r>
          </w:p>
        </w:tc>
        <w:tc>
          <w:tcPr>
            <w:tcW w:w="1306" w:type="pct"/>
            <w:gridSpan w:val="2"/>
            <w:vMerge/>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
        </w:tc>
      </w:tr>
      <w:tr w:rsidR="002B66AB" w:rsidRPr="002B66AB" w:rsidTr="00B558F0">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103</w:t>
            </w:r>
          </w:p>
        </w:tc>
        <w:tc>
          <w:tcPr>
            <w:tcW w:w="549"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88.8</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13.7</w:t>
            </w:r>
          </w:p>
        </w:tc>
        <w:tc>
          <w:tcPr>
            <w:tcW w:w="46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101</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 xml:space="preserve">90.7 </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10.8</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3.0 (0.5, 5.5)</w:t>
            </w:r>
          </w:p>
        </w:tc>
      </w:tr>
      <w:tr w:rsidR="002B66AB" w:rsidRPr="002B66AB" w:rsidTr="00B558F0">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b/>
                <w:sz w:val="20"/>
                <w:szCs w:val="18"/>
              </w:rPr>
            </w:pPr>
            <w:r w:rsidRPr="002B66AB">
              <w:rPr>
                <w:rFonts w:ascii="Arial Narrow" w:hAnsi="Arial Narrow"/>
                <w:b/>
                <w:sz w:val="20"/>
                <w:szCs w:val="18"/>
              </w:rPr>
              <w:t xml:space="preserve">Harms </w:t>
            </w:r>
          </w:p>
        </w:tc>
      </w:tr>
      <w:tr w:rsidR="002B66AB" w:rsidRPr="002B66AB" w:rsidTr="00B558F0">
        <w:trPr>
          <w:trHeight w:val="70"/>
        </w:trPr>
        <w:tc>
          <w:tcPr>
            <w:tcW w:w="6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b/>
                <w:sz w:val="20"/>
                <w:szCs w:val="18"/>
              </w:rPr>
            </w:pPr>
          </w:p>
        </w:tc>
        <w:tc>
          <w:tcPr>
            <w:tcW w:w="630" w:type="pct"/>
            <w:gridSpan w:val="3"/>
            <w:vMerge w:val="restar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rPr>
                <w:rFonts w:ascii="Arial Narrow" w:hAnsi="Arial Narrow"/>
                <w:b/>
                <w:sz w:val="20"/>
                <w:szCs w:val="18"/>
              </w:rPr>
            </w:pPr>
            <w:proofErr w:type="spellStart"/>
            <w:r w:rsidRPr="002B66AB">
              <w:rPr>
                <w:rFonts w:ascii="Arial Narrow" w:hAnsi="Arial Narrow"/>
                <w:b/>
                <w:sz w:val="20"/>
                <w:szCs w:val="18"/>
              </w:rPr>
              <w:t>Lumacaftor</w:t>
            </w:r>
            <w:proofErr w:type="spellEnd"/>
            <w:r w:rsidRPr="002B66AB">
              <w:rPr>
                <w:rFonts w:ascii="Arial Narrow" w:hAnsi="Arial Narrow"/>
                <w:b/>
                <w:sz w:val="20"/>
                <w:szCs w:val="18"/>
              </w:rPr>
              <w:t>/</w:t>
            </w:r>
            <w:proofErr w:type="spellStart"/>
            <w:r w:rsidRPr="002B66AB">
              <w:rPr>
                <w:rFonts w:ascii="Arial Narrow" w:hAnsi="Arial Narrow"/>
                <w:b/>
                <w:sz w:val="20"/>
                <w:szCs w:val="18"/>
              </w:rPr>
              <w:t>ivacaftor</w:t>
            </w:r>
            <w:proofErr w:type="spellEnd"/>
            <w:r w:rsidRPr="002B66AB">
              <w:rPr>
                <w:rFonts w:ascii="Arial Narrow" w:hAnsi="Arial Narrow"/>
                <w:b/>
                <w:sz w:val="20"/>
                <w:szCs w:val="18"/>
              </w:rPr>
              <w:t xml:space="preserve"> </w:t>
            </w:r>
          </w:p>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n/N</w:t>
            </w:r>
          </w:p>
        </w:tc>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Placebo</w:t>
            </w:r>
          </w:p>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RR</w:t>
            </w:r>
          </w:p>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 xml:space="preserve">Event rate/100 patients* </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vertAlign w:val="superscript"/>
              </w:rPr>
            </w:pPr>
            <w:proofErr w:type="spellStart"/>
            <w:r w:rsidRPr="002B66AB">
              <w:rPr>
                <w:rFonts w:ascii="Arial Narrow" w:hAnsi="Arial Narrow"/>
                <w:b/>
                <w:sz w:val="20"/>
                <w:szCs w:val="18"/>
              </w:rPr>
              <w:t>RD</w:t>
            </w:r>
            <w:r w:rsidRPr="002B66AB">
              <w:rPr>
                <w:rFonts w:ascii="Arial Narrow" w:hAnsi="Arial Narrow"/>
                <w:b/>
                <w:sz w:val="20"/>
                <w:szCs w:val="18"/>
                <w:vertAlign w:val="superscript"/>
              </w:rPr>
              <w:t>a</w:t>
            </w:r>
            <w:proofErr w:type="spellEnd"/>
          </w:p>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(95% CI)</w:t>
            </w:r>
          </w:p>
        </w:tc>
      </w:tr>
      <w:tr w:rsidR="002B66AB" w:rsidRPr="002B66AB" w:rsidTr="00B558F0">
        <w:trPr>
          <w:trHeight w:val="390"/>
        </w:trPr>
        <w:tc>
          <w:tcPr>
            <w:tcW w:w="63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b/>
                <w:sz w:val="20"/>
                <w:szCs w:val="18"/>
              </w:rPr>
            </w:pPr>
          </w:p>
        </w:tc>
        <w:tc>
          <w:tcPr>
            <w:tcW w:w="630" w:type="pct"/>
            <w:gridSpan w:val="3"/>
            <w:vMerge/>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
        </w:tc>
        <w:tc>
          <w:tcPr>
            <w:tcW w:w="712" w:type="pct"/>
            <w:gridSpan w:val="3"/>
            <w:vMerge/>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roofErr w:type="spellStart"/>
            <w:r w:rsidRPr="002B66AB">
              <w:rPr>
                <w:rFonts w:ascii="Arial Narrow" w:hAnsi="Arial Narrow"/>
                <w:b/>
                <w:sz w:val="20"/>
                <w:szCs w:val="18"/>
              </w:rPr>
              <w:t>Lumacaftor</w:t>
            </w:r>
            <w:proofErr w:type="spellEnd"/>
            <w:r w:rsidRPr="002B66AB">
              <w:rPr>
                <w:rFonts w:ascii="Arial Narrow" w:hAnsi="Arial Narrow"/>
                <w:b/>
                <w:sz w:val="20"/>
                <w:szCs w:val="18"/>
              </w:rPr>
              <w:t>/</w:t>
            </w:r>
            <w:proofErr w:type="spellStart"/>
            <w:r w:rsidRPr="002B66AB">
              <w:rPr>
                <w:rFonts w:ascii="Arial Narrow" w:hAnsi="Arial Narrow"/>
                <w:b/>
                <w:sz w:val="20"/>
                <w:szCs w:val="18"/>
              </w:rPr>
              <w:t>ivacaftor</w:t>
            </w:r>
            <w:proofErr w:type="spellEnd"/>
          </w:p>
        </w:tc>
        <w:tc>
          <w:tcPr>
            <w:tcW w:w="755"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r w:rsidRPr="002B66AB">
              <w:rPr>
                <w:rFonts w:ascii="Arial Narrow" w:hAnsi="Arial Narrow"/>
                <w:b/>
                <w:sz w:val="20"/>
                <w:szCs w:val="18"/>
              </w:rPr>
              <w:t xml:space="preserve">Placebo </w:t>
            </w:r>
          </w:p>
        </w:tc>
        <w:tc>
          <w:tcPr>
            <w:tcW w:w="775" w:type="pct"/>
            <w:vMerge/>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b/>
                <w:sz w:val="20"/>
                <w:szCs w:val="18"/>
              </w:rPr>
            </w:pPr>
          </w:p>
        </w:tc>
      </w:tr>
      <w:tr w:rsidR="002B66AB" w:rsidRPr="002B66AB" w:rsidTr="00B558F0">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b/>
                <w:sz w:val="20"/>
                <w:szCs w:val="18"/>
              </w:rPr>
            </w:pPr>
            <w:r w:rsidRPr="002B66AB">
              <w:rPr>
                <w:rFonts w:ascii="Arial Narrow" w:hAnsi="Arial Narrow"/>
                <w:b/>
                <w:sz w:val="20"/>
                <w:szCs w:val="18"/>
              </w:rPr>
              <w:t>Total number of patients with AEs</w:t>
            </w:r>
          </w:p>
        </w:tc>
      </w:tr>
      <w:tr w:rsidR="002B66AB" w:rsidRPr="002B66AB" w:rsidTr="00B558F0">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Study 109</w:t>
            </w:r>
          </w:p>
        </w:tc>
        <w:tc>
          <w:tcPr>
            <w:tcW w:w="630"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98 /103</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98/101</w:t>
            </w:r>
          </w:p>
        </w:tc>
        <w:tc>
          <w:tcPr>
            <w:tcW w:w="862"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0.98 (0.927, 1.036)</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95.1</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97.0</w:t>
            </w:r>
          </w:p>
        </w:tc>
        <w:tc>
          <w:tcPr>
            <w:tcW w:w="77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-1.88 (-7.19, 3.42)</w:t>
            </w:r>
          </w:p>
        </w:tc>
      </w:tr>
      <w:tr w:rsidR="002B66AB" w:rsidRPr="002B66AB" w:rsidTr="00B558F0">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b/>
                <w:sz w:val="20"/>
                <w:szCs w:val="18"/>
              </w:rPr>
              <w:t>Total number of SAEs</w:t>
            </w:r>
          </w:p>
        </w:tc>
      </w:tr>
      <w:tr w:rsidR="002B66AB" w:rsidRPr="002B66AB" w:rsidTr="00B558F0">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Study 109</w:t>
            </w:r>
          </w:p>
        </w:tc>
        <w:tc>
          <w:tcPr>
            <w:tcW w:w="634" w:type="pct"/>
            <w:gridSpan w:val="4"/>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13/103</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11/101</w:t>
            </w:r>
          </w:p>
        </w:tc>
        <w:tc>
          <w:tcPr>
            <w:tcW w:w="862"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0.83 (0.390, 1.764)</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12.6</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10.9</w:t>
            </w:r>
          </w:p>
        </w:tc>
        <w:tc>
          <w:tcPr>
            <w:tcW w:w="77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szCs w:val="18"/>
              </w:rPr>
            </w:pPr>
            <w:r w:rsidRPr="002B66AB">
              <w:rPr>
                <w:rFonts w:ascii="Arial Narrow" w:hAnsi="Arial Narrow"/>
                <w:sz w:val="20"/>
                <w:szCs w:val="18"/>
              </w:rPr>
              <w:t>1.73 (-7.01, 10.56)</w:t>
            </w:r>
          </w:p>
        </w:tc>
      </w:tr>
      <w:tr w:rsidR="002B66AB" w:rsidRPr="002B66AB" w:rsidTr="00B558F0">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jc w:val="left"/>
              <w:rPr>
                <w:rFonts w:ascii="Arial Narrow" w:hAnsi="Arial Narrow"/>
                <w:b/>
                <w:sz w:val="20"/>
              </w:rPr>
            </w:pPr>
            <w:r w:rsidRPr="002B66AB">
              <w:rPr>
                <w:rFonts w:ascii="Arial Narrow" w:hAnsi="Arial Narrow"/>
                <w:b/>
                <w:sz w:val="20"/>
              </w:rPr>
              <w:t>AEs leading to treatment discontinuation n (%)</w:t>
            </w:r>
          </w:p>
        </w:tc>
      </w:tr>
      <w:tr w:rsidR="002B66AB" w:rsidRPr="002B66AB" w:rsidTr="00B558F0">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Study 109</w:t>
            </w:r>
          </w:p>
        </w:tc>
        <w:tc>
          <w:tcPr>
            <w:tcW w:w="634" w:type="pct"/>
            <w:gridSpan w:val="4"/>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3/103</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2/101</w:t>
            </w:r>
          </w:p>
        </w:tc>
        <w:tc>
          <w:tcPr>
            <w:tcW w:w="862"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1.47 (0.251, 8.618)</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2.91</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1.98</w:t>
            </w:r>
          </w:p>
        </w:tc>
        <w:tc>
          <w:tcPr>
            <w:tcW w:w="77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0.93 (-3.30, 5.17)</w:t>
            </w:r>
          </w:p>
        </w:tc>
      </w:tr>
      <w:tr w:rsidR="002B66AB" w:rsidRPr="002B66AB" w:rsidTr="00B558F0">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rPr>
            </w:pPr>
            <w:r w:rsidRPr="002B66AB">
              <w:rPr>
                <w:rFonts w:ascii="Arial Narrow" w:hAnsi="Arial Narrow"/>
                <w:sz w:val="20"/>
              </w:rPr>
              <w:t xml:space="preserve">AEs related to study drug </w:t>
            </w:r>
          </w:p>
        </w:tc>
      </w:tr>
      <w:tr w:rsidR="002B66AB" w:rsidRPr="002B66AB" w:rsidTr="00B558F0">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EFD" w:rsidRPr="002B66AB" w:rsidRDefault="00CA5EFD" w:rsidP="00B558F0">
            <w:pPr>
              <w:rPr>
                <w:rFonts w:ascii="Arial Narrow" w:hAnsi="Arial Narrow"/>
                <w:sz w:val="20"/>
                <w:szCs w:val="18"/>
              </w:rPr>
            </w:pPr>
            <w:r w:rsidRPr="002B66AB">
              <w:rPr>
                <w:rFonts w:ascii="Arial Narrow" w:hAnsi="Arial Narrow"/>
                <w:sz w:val="20"/>
                <w:szCs w:val="18"/>
              </w:rPr>
              <w:t>Study 109</w:t>
            </w:r>
          </w:p>
        </w:tc>
        <w:tc>
          <w:tcPr>
            <w:tcW w:w="634" w:type="pct"/>
            <w:gridSpan w:val="4"/>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2/103</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3/101</w:t>
            </w:r>
          </w:p>
        </w:tc>
        <w:tc>
          <w:tcPr>
            <w:tcW w:w="862" w:type="pct"/>
            <w:gridSpan w:val="3"/>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0.65 (0.111, 3.830)</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1.94</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2.97</w:t>
            </w:r>
          </w:p>
        </w:tc>
        <w:tc>
          <w:tcPr>
            <w:tcW w:w="775" w:type="pct"/>
            <w:tcBorders>
              <w:top w:val="single" w:sz="4" w:space="0" w:color="auto"/>
              <w:left w:val="single" w:sz="4" w:space="0" w:color="auto"/>
              <w:bottom w:val="single" w:sz="4" w:space="0" w:color="auto"/>
              <w:right w:val="single" w:sz="4" w:space="0" w:color="auto"/>
            </w:tcBorders>
            <w:vAlign w:val="center"/>
          </w:tcPr>
          <w:p w:rsidR="00CA5EFD" w:rsidRPr="002B66AB" w:rsidRDefault="00CA5EFD" w:rsidP="00B558F0">
            <w:pPr>
              <w:jc w:val="center"/>
              <w:rPr>
                <w:rFonts w:ascii="Arial Narrow" w:hAnsi="Arial Narrow"/>
                <w:sz w:val="20"/>
              </w:rPr>
            </w:pPr>
            <w:r w:rsidRPr="002B66AB">
              <w:rPr>
                <w:rFonts w:ascii="Arial Narrow" w:hAnsi="Arial Narrow"/>
                <w:sz w:val="20"/>
              </w:rPr>
              <w:t>-1.03 (-5.28, 3.22)</w:t>
            </w:r>
          </w:p>
        </w:tc>
      </w:tr>
    </w:tbl>
    <w:p w:rsidR="00CA5EFD" w:rsidRPr="002B66AB" w:rsidRDefault="00CA5EFD" w:rsidP="00CA5EFD">
      <w:pPr>
        <w:rPr>
          <w:rFonts w:ascii="Arial Narrow" w:hAnsi="Arial Narrow"/>
          <w:sz w:val="18"/>
        </w:rPr>
      </w:pPr>
      <w:r w:rsidRPr="002B66AB">
        <w:rPr>
          <w:rFonts w:ascii="Arial Narrow" w:hAnsi="Arial Narrow"/>
          <w:sz w:val="18"/>
        </w:rPr>
        <w:t>*Maximum duration of follow-up: Study 109 = 4 weeks</w:t>
      </w:r>
    </w:p>
    <w:p w:rsidR="00CA5EFD" w:rsidRPr="002B66AB" w:rsidRDefault="00CA5EFD" w:rsidP="00CA5EFD">
      <w:pPr>
        <w:rPr>
          <w:rFonts w:ascii="Arial Narrow" w:hAnsi="Arial Narrow"/>
          <w:sz w:val="18"/>
        </w:rPr>
      </w:pPr>
      <w:r w:rsidRPr="002B66AB">
        <w:rPr>
          <w:rFonts w:ascii="Arial Narrow" w:hAnsi="Arial Narrow"/>
          <w:sz w:val="18"/>
        </w:rPr>
        <w:t>Abbreviations: AE = adverse event; CI = confidence interval; FEV</w:t>
      </w:r>
      <w:r w:rsidRPr="002B66AB">
        <w:rPr>
          <w:rFonts w:ascii="Arial Narrow" w:hAnsi="Arial Narrow"/>
          <w:sz w:val="18"/>
          <w:vertAlign w:val="subscript"/>
        </w:rPr>
        <w:t>1</w:t>
      </w:r>
      <w:r w:rsidRPr="002B66AB">
        <w:rPr>
          <w:rFonts w:ascii="Arial Narrow" w:hAnsi="Arial Narrow"/>
          <w:sz w:val="18"/>
        </w:rPr>
        <w:t xml:space="preserve"> = predicted expiratory volume in one second; HR = hazard ratio; LCI =</w:t>
      </w:r>
      <w:r w:rsidRPr="002B66AB">
        <w:t xml:space="preserve"> </w:t>
      </w:r>
      <w:r w:rsidRPr="002B66AB">
        <w:rPr>
          <w:rFonts w:ascii="Arial Narrow" w:hAnsi="Arial Narrow"/>
          <w:sz w:val="18"/>
        </w:rPr>
        <w:t xml:space="preserve">lung clearance index; PBO = placebo pp = percent predicted; RD = risk difference; RR = risk ratio; SAE = serious adverse event; SD = standard deviation; </w:t>
      </w:r>
    </w:p>
    <w:p w:rsidR="00CA5EFD" w:rsidRPr="002B66AB" w:rsidRDefault="00CA5EFD" w:rsidP="00CA5EFD">
      <w:pPr>
        <w:rPr>
          <w:rFonts w:ascii="Arial Narrow" w:hAnsi="Arial Narrow"/>
          <w:sz w:val="18"/>
        </w:rPr>
      </w:pPr>
      <w:r w:rsidRPr="002B66AB">
        <w:rPr>
          <w:rFonts w:ascii="Arial Narrow" w:hAnsi="Arial Narrow"/>
          <w:sz w:val="18"/>
        </w:rPr>
        <w:t xml:space="preserve">Note: </w:t>
      </w:r>
      <w:r w:rsidRPr="002B66AB">
        <w:rPr>
          <w:rFonts w:ascii="Arial Narrow" w:hAnsi="Arial Narrow"/>
          <w:sz w:val="18"/>
          <w:vertAlign w:val="superscript"/>
        </w:rPr>
        <w:t xml:space="preserve">a </w:t>
      </w:r>
      <w:r w:rsidRPr="002B66AB">
        <w:rPr>
          <w:rFonts w:ascii="Arial Narrow" w:hAnsi="Arial Narrow"/>
          <w:sz w:val="18"/>
        </w:rPr>
        <w:t xml:space="preserve">calculated by the Commentary </w:t>
      </w:r>
    </w:p>
    <w:p w:rsidR="00CA5EFD" w:rsidRPr="002B66AB" w:rsidRDefault="00CA5EFD" w:rsidP="00CA5EFD">
      <w:pPr>
        <w:rPr>
          <w:rFonts w:ascii="Arial Narrow" w:hAnsi="Arial Narrow"/>
          <w:sz w:val="20"/>
        </w:rPr>
      </w:pPr>
      <w:r w:rsidRPr="002B66AB">
        <w:rPr>
          <w:rFonts w:ascii="Arial Narrow" w:hAnsi="Arial Narrow"/>
          <w:sz w:val="18"/>
        </w:rPr>
        <w:t>Source: Table 2.1.15 p.86, Table 2.1.17, p. 91, Table 2.1.24 p 105 of the submission</w:t>
      </w:r>
    </w:p>
    <w:p w:rsidR="00CA5EFD" w:rsidRPr="002B66AB" w:rsidRDefault="00CA5EFD" w:rsidP="00CA5EFD"/>
    <w:p w:rsidR="00CA5EFD" w:rsidRPr="002B66AB" w:rsidRDefault="00CA5EFD" w:rsidP="00431133">
      <w:pPr>
        <w:pStyle w:val="ListParagraph"/>
        <w:numPr>
          <w:ilvl w:val="1"/>
          <w:numId w:val="45"/>
        </w:numPr>
        <w:ind w:hanging="720"/>
      </w:pPr>
      <w:r w:rsidRPr="002B66AB">
        <w:t xml:space="preserve">On the basis of direct evidence from Study 109 presented by the submission, the comparison of </w:t>
      </w:r>
      <w:proofErr w:type="spellStart"/>
      <w:r w:rsidRPr="002B66AB">
        <w:t>lumacaftor</w:t>
      </w:r>
      <w:proofErr w:type="spellEnd"/>
      <w:r w:rsidRPr="002B66AB">
        <w:t>/</w:t>
      </w:r>
      <w:proofErr w:type="spellStart"/>
      <w:r w:rsidRPr="002B66AB">
        <w:t>ivacaftor</w:t>
      </w:r>
      <w:proofErr w:type="spellEnd"/>
      <w:r w:rsidRPr="002B66AB">
        <w:t xml:space="preserve"> and placebo resulted in: </w:t>
      </w:r>
    </w:p>
    <w:p w:rsidR="00CA5EFD" w:rsidRPr="002B66AB" w:rsidRDefault="00CA5EFD" w:rsidP="00CA5EFD">
      <w:pPr>
        <w:widowControl/>
        <w:numPr>
          <w:ilvl w:val="0"/>
          <w:numId w:val="41"/>
        </w:numPr>
        <w:spacing w:after="160"/>
      </w:pPr>
      <w:r w:rsidRPr="002B66AB">
        <w:t xml:space="preserve">An improvement of 1.09 units in lung clearance index after 24 weeks of treatment. </w:t>
      </w:r>
    </w:p>
    <w:p w:rsidR="00CA5EFD" w:rsidRPr="002B66AB" w:rsidRDefault="00CA5EFD" w:rsidP="00CA5EFD">
      <w:pPr>
        <w:widowControl/>
        <w:numPr>
          <w:ilvl w:val="0"/>
          <w:numId w:val="41"/>
        </w:numPr>
        <w:spacing w:after="160"/>
      </w:pPr>
      <w:r w:rsidRPr="002B66AB">
        <w:t xml:space="preserve">An increase in the lung capacity (as measured by the percent predicted forced expiratory volume) of 3% after 24 weeks of treatment. </w:t>
      </w:r>
    </w:p>
    <w:p w:rsidR="00CA5EFD" w:rsidRPr="002B66AB" w:rsidRDefault="00CA5EFD" w:rsidP="00CA5EFD">
      <w:pPr>
        <w:widowControl/>
        <w:numPr>
          <w:ilvl w:val="0"/>
          <w:numId w:val="41"/>
        </w:numPr>
        <w:spacing w:after="160"/>
      </w:pPr>
      <w:r w:rsidRPr="002B66AB">
        <w:t>No difference in the likelihood of harm over 24 weeks of treatment.</w:t>
      </w:r>
    </w:p>
    <w:p w:rsidR="00EA40FE" w:rsidRPr="002B66AB" w:rsidRDefault="008A4ABD" w:rsidP="00417133">
      <w:pPr>
        <w:pStyle w:val="Heading2"/>
        <w:spacing w:before="240" w:after="120"/>
      </w:pPr>
      <w:bookmarkStart w:id="18" w:name="_Toc511665480"/>
      <w:r w:rsidRPr="002B66AB">
        <w:t>Clinical</w:t>
      </w:r>
      <w:r w:rsidR="00EA40FE" w:rsidRPr="002B66AB">
        <w:t xml:space="preserve"> claim</w:t>
      </w:r>
      <w:bookmarkEnd w:id="18"/>
    </w:p>
    <w:p w:rsidR="00FA43FD" w:rsidRPr="002B66AB" w:rsidRDefault="00FA43FD" w:rsidP="00431133">
      <w:pPr>
        <w:pStyle w:val="ListParagraph"/>
        <w:numPr>
          <w:ilvl w:val="1"/>
          <w:numId w:val="45"/>
        </w:numPr>
        <w:ind w:hanging="720"/>
      </w:pPr>
      <w:r w:rsidRPr="002B66AB">
        <w:t xml:space="preserve">The submission described </w:t>
      </w:r>
      <w:proofErr w:type="spellStart"/>
      <w:r w:rsidRPr="002B66AB">
        <w:t>lumacaftor</w:t>
      </w:r>
      <w:proofErr w:type="spellEnd"/>
      <w:r w:rsidRPr="002B66AB">
        <w:t>/</w:t>
      </w:r>
      <w:proofErr w:type="spellStart"/>
      <w:r w:rsidRPr="002B66AB">
        <w:t>ivacaftor</w:t>
      </w:r>
      <w:proofErr w:type="spellEnd"/>
      <w:r w:rsidRPr="002B66AB">
        <w:t xml:space="preserve"> as superior in terms of effectiveness compared with BSC and non-inferior in terms of safety compared to BSC. The submission stated that </w:t>
      </w:r>
      <w:proofErr w:type="spellStart"/>
      <w:r w:rsidRPr="002B66AB">
        <w:t>lumacaftor</w:t>
      </w:r>
      <w:proofErr w:type="spellEnd"/>
      <w:r w:rsidRPr="002B66AB">
        <w:t>/</w:t>
      </w:r>
      <w:proofErr w:type="spellStart"/>
      <w:r w:rsidRPr="002B66AB">
        <w:t>ivacaftor</w:t>
      </w:r>
      <w:proofErr w:type="spellEnd"/>
      <w:r w:rsidRPr="002B66AB">
        <w:t xml:space="preserve"> improved key CF treatment outcomes that are associated with prolongation of life expectancy; LCI</w:t>
      </w:r>
      <w:r w:rsidRPr="002B66AB">
        <w:rPr>
          <w:vertAlign w:val="subscript"/>
        </w:rPr>
        <w:t xml:space="preserve">2.5 </w:t>
      </w:r>
      <w:r w:rsidRPr="002B66AB">
        <w:t>and ppFEV</w:t>
      </w:r>
      <w:r w:rsidRPr="002B66AB">
        <w:rPr>
          <w:vertAlign w:val="subscript"/>
        </w:rPr>
        <w:t>1</w:t>
      </w:r>
      <w:r w:rsidRPr="002B66AB">
        <w:t xml:space="preserve">. The submission stated that the safety and efficacy profile of </w:t>
      </w:r>
      <w:proofErr w:type="spellStart"/>
      <w:r w:rsidRPr="002B66AB">
        <w:t>lumacaftor</w:t>
      </w:r>
      <w:proofErr w:type="spellEnd"/>
      <w:r w:rsidRPr="002B66AB">
        <w:t>/</w:t>
      </w:r>
      <w:proofErr w:type="spellStart"/>
      <w:r w:rsidRPr="002B66AB">
        <w:t>ivacaftor</w:t>
      </w:r>
      <w:proofErr w:type="spellEnd"/>
      <w:r w:rsidRPr="002B66AB">
        <w:t xml:space="preserve"> in CF aged 6-11 years is comparable to that observed in other age groups (i.e. CF patients aged ≥12 years).</w:t>
      </w:r>
    </w:p>
    <w:p w:rsidR="00FA43FD" w:rsidRPr="002B66AB" w:rsidRDefault="00FA43FD" w:rsidP="00431133">
      <w:pPr>
        <w:pStyle w:val="ListParagraph"/>
        <w:numPr>
          <w:ilvl w:val="1"/>
          <w:numId w:val="45"/>
        </w:numPr>
        <w:ind w:hanging="720"/>
      </w:pPr>
      <w:r w:rsidRPr="002B66AB">
        <w:lastRenderedPageBreak/>
        <w:t xml:space="preserve">The PBAC </w:t>
      </w:r>
      <w:r w:rsidR="00B628E9" w:rsidRPr="002B66AB">
        <w:t xml:space="preserve">considered </w:t>
      </w:r>
      <w:r w:rsidRPr="002B66AB">
        <w:t>that the therapeutic conclusion presented in the submission was not adequately supported over the longer term for the following reasons:</w:t>
      </w:r>
    </w:p>
    <w:p w:rsidR="00FA43FD" w:rsidRPr="002B66AB" w:rsidRDefault="00FA43FD" w:rsidP="00FA43FD">
      <w:pPr>
        <w:widowControl/>
        <w:numPr>
          <w:ilvl w:val="0"/>
          <w:numId w:val="42"/>
        </w:numPr>
        <w:spacing w:after="160"/>
      </w:pPr>
      <w:r w:rsidRPr="002B66AB">
        <w:t>While the data showed statistically significant differences in the LCI</w:t>
      </w:r>
      <w:r w:rsidRPr="002B66AB">
        <w:rPr>
          <w:vertAlign w:val="subscript"/>
        </w:rPr>
        <w:t>2.5</w:t>
      </w:r>
      <w:r w:rsidRPr="002B66AB">
        <w:t xml:space="preserve"> and ppFEV1 based on 24 weeks of data, the long-term implications of those differences are unknown. This is particularly relevant in light of the data from the PROGRESS study that demonstrated that the modest ppFEV1 increase in </w:t>
      </w:r>
      <w:proofErr w:type="spellStart"/>
      <w:r w:rsidRPr="002B66AB">
        <w:t>lumacaftor</w:t>
      </w:r>
      <w:proofErr w:type="spellEnd"/>
      <w:r w:rsidRPr="002B66AB">
        <w:t>/</w:t>
      </w:r>
      <w:proofErr w:type="spellStart"/>
      <w:r w:rsidRPr="002B66AB">
        <w:t>ivacaftor</w:t>
      </w:r>
      <w:proofErr w:type="spellEnd"/>
      <w:r w:rsidRPr="002B66AB">
        <w:t xml:space="preserve"> treated patients was not maintained in the longer term, with the improvement from baseline not being statistically significant at 120 weeks (PROGRESS). </w:t>
      </w:r>
    </w:p>
    <w:p w:rsidR="00FA43FD" w:rsidRPr="002B66AB" w:rsidRDefault="00FA43FD" w:rsidP="00FA43FD">
      <w:pPr>
        <w:widowControl/>
        <w:numPr>
          <w:ilvl w:val="0"/>
          <w:numId w:val="42"/>
        </w:numPr>
        <w:spacing w:after="160"/>
      </w:pPr>
      <w:r w:rsidRPr="002B66AB">
        <w:t xml:space="preserve">There is no established </w:t>
      </w:r>
      <w:r w:rsidR="0088734E" w:rsidRPr="002B66AB">
        <w:t xml:space="preserve">minimum </w:t>
      </w:r>
      <w:r w:rsidRPr="002B66AB">
        <w:t xml:space="preserve">clinically </w:t>
      </w:r>
      <w:r w:rsidR="0088734E" w:rsidRPr="002B66AB">
        <w:t>important</w:t>
      </w:r>
      <w:r w:rsidRPr="002B66AB">
        <w:t xml:space="preserve"> change in LCI and it is uncertain how improvements in LCI</w:t>
      </w:r>
      <w:r w:rsidRPr="002B66AB">
        <w:rPr>
          <w:vertAlign w:val="subscript"/>
        </w:rPr>
        <w:t xml:space="preserve">2.5 </w:t>
      </w:r>
      <w:r w:rsidRPr="002B66AB">
        <w:t xml:space="preserve">may contribute to patient relevant outcomes that lead to improvements in survival or quality of life. </w:t>
      </w:r>
    </w:p>
    <w:p w:rsidR="00FA43FD" w:rsidRPr="002B66AB" w:rsidRDefault="00FA43FD" w:rsidP="00FA43FD">
      <w:pPr>
        <w:widowControl/>
        <w:numPr>
          <w:ilvl w:val="0"/>
          <w:numId w:val="42"/>
        </w:numPr>
        <w:spacing w:after="160"/>
      </w:pPr>
      <w:r w:rsidRPr="002B66AB">
        <w:t xml:space="preserve">The claim </w:t>
      </w:r>
      <w:proofErr w:type="spellStart"/>
      <w:r w:rsidRPr="002B66AB">
        <w:t>lumacaftor</w:t>
      </w:r>
      <w:proofErr w:type="spellEnd"/>
      <w:r w:rsidRPr="002B66AB">
        <w:t>/</w:t>
      </w:r>
      <w:proofErr w:type="spellStart"/>
      <w:r w:rsidRPr="002B66AB">
        <w:t>ivacaftor</w:t>
      </w:r>
      <w:proofErr w:type="spellEnd"/>
      <w:r w:rsidRPr="002B66AB">
        <w:t xml:space="preserve"> is non-inferior to BSC in terms of comparative safety is not adequately supported, particularly in the absence of long-term data. </w:t>
      </w:r>
    </w:p>
    <w:p w:rsidR="00FA43FD" w:rsidRPr="002B66AB" w:rsidRDefault="00FA43FD" w:rsidP="00417133">
      <w:pPr>
        <w:pStyle w:val="ListParagraph"/>
        <w:numPr>
          <w:ilvl w:val="1"/>
          <w:numId w:val="45"/>
        </w:numPr>
        <w:ind w:hanging="720"/>
      </w:pPr>
      <w:r w:rsidRPr="002B66AB">
        <w:t xml:space="preserve">Thus, while there is evidence of a difference in efficacy in favour of </w:t>
      </w:r>
      <w:proofErr w:type="spellStart"/>
      <w:r w:rsidRPr="002B66AB">
        <w:t>lumacaftor</w:t>
      </w:r>
      <w:proofErr w:type="spellEnd"/>
      <w:r w:rsidRPr="002B66AB">
        <w:t>/</w:t>
      </w:r>
      <w:proofErr w:type="spellStart"/>
      <w:r w:rsidRPr="002B66AB">
        <w:t>ivacaftor</w:t>
      </w:r>
      <w:proofErr w:type="spellEnd"/>
      <w:r w:rsidRPr="002B66AB">
        <w:t xml:space="preserve"> compared with placebo in the short-term, the data </w:t>
      </w:r>
      <w:r w:rsidR="00B628E9" w:rsidRPr="002B66AB">
        <w:t>presented by the submission does</w:t>
      </w:r>
      <w:r w:rsidRPr="002B66AB">
        <w:t xml:space="preserve"> not inform that comparison over the long-term, which is particularly relevant in the c</w:t>
      </w:r>
      <w:r w:rsidR="00B628E9" w:rsidRPr="002B66AB">
        <w:t>onte</w:t>
      </w:r>
      <w:r w:rsidR="006F480C" w:rsidRPr="002B66AB">
        <w:t>x</w:t>
      </w:r>
      <w:r w:rsidR="00B628E9" w:rsidRPr="002B66AB">
        <w:t xml:space="preserve">t of a life-long condition and treatment. </w:t>
      </w:r>
    </w:p>
    <w:p w:rsidR="00B60939" w:rsidRPr="002B66AB" w:rsidRDefault="00B60939" w:rsidP="00417133">
      <w:pPr>
        <w:pStyle w:val="Heading2"/>
        <w:spacing w:before="240" w:after="120"/>
      </w:pPr>
      <w:bookmarkStart w:id="19" w:name="_Toc511665481"/>
      <w:r w:rsidRPr="002B66AB">
        <w:t>Economic analysis</w:t>
      </w:r>
      <w:bookmarkEnd w:id="19"/>
      <w:r w:rsidR="00491B3A" w:rsidRPr="002B66AB">
        <w:t xml:space="preserve"> </w:t>
      </w:r>
    </w:p>
    <w:p w:rsidR="001C71B3" w:rsidRPr="002B66AB" w:rsidRDefault="001C71B3" w:rsidP="00431133">
      <w:pPr>
        <w:pStyle w:val="ListParagraph"/>
        <w:numPr>
          <w:ilvl w:val="1"/>
          <w:numId w:val="45"/>
        </w:numPr>
        <w:ind w:hanging="720"/>
        <w:rPr>
          <w:rFonts w:asciiTheme="minorHAnsi" w:hAnsiTheme="minorHAnsi" w:cstheme="minorHAnsi"/>
          <w:snapToGrid/>
          <w:szCs w:val="24"/>
          <w:lang w:val="en-US" w:eastAsia="en-AU"/>
        </w:rPr>
      </w:pPr>
      <w:r w:rsidRPr="002B66AB">
        <w:rPr>
          <w:rFonts w:cs="Calibri"/>
          <w:snapToGrid/>
          <w:szCs w:val="24"/>
          <w:lang w:val="en-US" w:eastAsia="en-AU"/>
        </w:rPr>
        <w:t xml:space="preserve">The submission presented a cost utility analysis economic evaluation, based on direct randomised trials and implementing a modelled evaluation, comparing </w:t>
      </w:r>
      <w:proofErr w:type="spellStart"/>
      <w:r w:rsidRPr="002B66AB">
        <w:rPr>
          <w:rFonts w:cs="Calibri"/>
          <w:snapToGrid/>
          <w:szCs w:val="24"/>
          <w:lang w:val="en-US" w:eastAsia="en-AU"/>
        </w:rPr>
        <w:t>lumacaftor</w:t>
      </w:r>
      <w:proofErr w:type="spellEnd"/>
      <w:r w:rsidRPr="002B66AB">
        <w:rPr>
          <w:rFonts w:cs="Calibri"/>
          <w:snapToGrid/>
          <w:szCs w:val="24"/>
          <w:lang w:val="en-US" w:eastAsia="en-AU"/>
        </w:rPr>
        <w:t>/</w:t>
      </w:r>
      <w:proofErr w:type="spellStart"/>
      <w:r w:rsidRPr="002B66AB">
        <w:rPr>
          <w:rFonts w:cs="Calibri"/>
          <w:snapToGrid/>
          <w:szCs w:val="24"/>
          <w:lang w:val="en-US" w:eastAsia="en-AU"/>
        </w:rPr>
        <w:t>ivacaftor</w:t>
      </w:r>
      <w:proofErr w:type="spellEnd"/>
      <w:r w:rsidRPr="002B66AB">
        <w:rPr>
          <w:rFonts w:cs="Calibri"/>
          <w:snapToGrid/>
          <w:szCs w:val="24"/>
          <w:lang w:val="en-US" w:eastAsia="en-AU"/>
        </w:rPr>
        <w:t xml:space="preserve"> with BSC. The economic evaluation presented included all patients aged 2 years and older with the F508</w:t>
      </w:r>
      <w:r w:rsidRPr="002B66AB">
        <w:rPr>
          <w:rFonts w:cs="Calibri"/>
          <w:i/>
          <w:snapToGrid/>
          <w:szCs w:val="24"/>
          <w:lang w:val="en-US" w:eastAsia="en-AU"/>
        </w:rPr>
        <w:t>del</w:t>
      </w:r>
      <w:r w:rsidRPr="002B66AB">
        <w:rPr>
          <w:rFonts w:cs="Calibri"/>
          <w:snapToGrid/>
          <w:szCs w:val="24"/>
          <w:lang w:val="en-US" w:eastAsia="en-AU"/>
        </w:rPr>
        <w:t xml:space="preserve"> mutation</w:t>
      </w:r>
      <w:r w:rsidR="00B628E9" w:rsidRPr="002B66AB">
        <w:rPr>
          <w:rFonts w:cs="Calibri"/>
          <w:snapToGrid/>
          <w:szCs w:val="24"/>
          <w:lang w:val="en-US" w:eastAsia="en-AU"/>
        </w:rPr>
        <w:t xml:space="preserve"> (2 – 5, 6-11 and 12+)</w:t>
      </w:r>
      <w:r w:rsidR="00D92CD4">
        <w:rPr>
          <w:rFonts w:cs="Calibri"/>
          <w:snapToGrid/>
          <w:szCs w:val="24"/>
          <w:lang w:val="en-US" w:eastAsia="en-AU"/>
        </w:rPr>
        <w:t>.</w:t>
      </w:r>
    </w:p>
    <w:p w:rsidR="001C71B3" w:rsidRPr="002B66AB" w:rsidRDefault="001C71B3" w:rsidP="00431133">
      <w:pPr>
        <w:pStyle w:val="ListParagraph"/>
        <w:numPr>
          <w:ilvl w:val="1"/>
          <w:numId w:val="45"/>
        </w:numPr>
        <w:ind w:hanging="720"/>
      </w:pPr>
      <w:r w:rsidRPr="002B66AB">
        <w:t xml:space="preserve">While the submission presented a model which incorporated patients 2 years and over, the clinical data presented were for those aged 6-11 only. </w:t>
      </w:r>
      <w:r w:rsidRPr="002B66AB">
        <w:rPr>
          <w:rFonts w:cs="Calibri"/>
          <w:snapToGrid/>
          <w:szCs w:val="24"/>
          <w:lang w:val="en-US" w:eastAsia="en-AU"/>
        </w:rPr>
        <w:t>The economic model</w:t>
      </w:r>
      <w:r w:rsidR="00B628E9" w:rsidRPr="002B66AB">
        <w:rPr>
          <w:rFonts w:cs="Calibri"/>
          <w:snapToGrid/>
          <w:szCs w:val="24"/>
          <w:lang w:val="en-US" w:eastAsia="en-AU"/>
        </w:rPr>
        <w:t xml:space="preserve"> was evaluated</w:t>
      </w:r>
      <w:r w:rsidRPr="002B66AB">
        <w:rPr>
          <w:rFonts w:cs="Calibri"/>
          <w:snapToGrid/>
          <w:szCs w:val="24"/>
          <w:lang w:val="en-US" w:eastAsia="en-AU"/>
        </w:rPr>
        <w:t xml:space="preserve"> for patients aged 6-11 years, and for those 6 and older, or 12 and older by using the ‘patient filter’ functionality provided in </w:t>
      </w:r>
      <w:r w:rsidR="00B628E9" w:rsidRPr="002B66AB">
        <w:rPr>
          <w:rFonts w:cs="Calibri"/>
          <w:snapToGrid/>
          <w:szCs w:val="24"/>
          <w:lang w:val="en-US" w:eastAsia="en-AU"/>
        </w:rPr>
        <w:t>the Excel workbook. A</w:t>
      </w:r>
      <w:r w:rsidRPr="002B66AB">
        <w:rPr>
          <w:rFonts w:cs="Calibri"/>
          <w:snapToGrid/>
          <w:szCs w:val="24"/>
          <w:lang w:val="en-US" w:eastAsia="en-AU"/>
        </w:rPr>
        <w:t xml:space="preserve">spects of the model specification or outputs which were specific to the 2-5 age </w:t>
      </w:r>
      <w:proofErr w:type="gramStart"/>
      <w:r w:rsidRPr="002B66AB">
        <w:rPr>
          <w:rFonts w:cs="Calibri"/>
          <w:snapToGrid/>
          <w:szCs w:val="24"/>
          <w:lang w:val="en-US" w:eastAsia="en-AU"/>
        </w:rPr>
        <w:t>group</w:t>
      </w:r>
      <w:proofErr w:type="gramEnd"/>
      <w:r w:rsidRPr="002B66AB">
        <w:rPr>
          <w:rFonts w:cs="Calibri"/>
          <w:snapToGrid/>
          <w:szCs w:val="24"/>
          <w:lang w:val="en-US" w:eastAsia="en-AU"/>
        </w:rPr>
        <w:t xml:space="preserve"> were not evaluated. </w:t>
      </w:r>
    </w:p>
    <w:p w:rsidR="001C71B3" w:rsidRPr="002B66AB" w:rsidRDefault="001C71B3" w:rsidP="00431133">
      <w:pPr>
        <w:pStyle w:val="ListParagraph"/>
        <w:numPr>
          <w:ilvl w:val="1"/>
          <w:numId w:val="45"/>
        </w:numPr>
        <w:ind w:hanging="720"/>
      </w:pPr>
      <w:r w:rsidRPr="002B66AB">
        <w:t xml:space="preserve">As in previous </w:t>
      </w:r>
      <w:proofErr w:type="spellStart"/>
      <w:r w:rsidRPr="002B66AB">
        <w:t>lumacaftor</w:t>
      </w:r>
      <w:proofErr w:type="spellEnd"/>
      <w:r w:rsidRPr="002B66AB">
        <w:t>/</w:t>
      </w:r>
      <w:proofErr w:type="spellStart"/>
      <w:r w:rsidRPr="002B66AB">
        <w:t>ivacaftor</w:t>
      </w:r>
      <w:proofErr w:type="spellEnd"/>
      <w:r w:rsidRPr="002B66AB">
        <w:t xml:space="preserve"> submissions (March 2016, November 2016 and July 2017) and </w:t>
      </w:r>
      <w:proofErr w:type="spellStart"/>
      <w:r w:rsidRPr="002B66AB">
        <w:t>lumacaftor</w:t>
      </w:r>
      <w:proofErr w:type="spellEnd"/>
      <w:r w:rsidRPr="002B66AB">
        <w:t xml:space="preserve"> monotherapy submissions (July 2013 submission and March 2014 resubmission) the model was based on the Cox-proportional hazard (CPH) survival model described in </w:t>
      </w:r>
      <w:proofErr w:type="spellStart"/>
      <w:r w:rsidRPr="002B66AB">
        <w:t>Liou</w:t>
      </w:r>
      <w:proofErr w:type="spellEnd"/>
      <w:r w:rsidRPr="002B66AB">
        <w:t xml:space="preserve"> et al (2001). The model structure is the same as that previously evaluated by the PBAC. There are some changes to the model inputs (costs, treatment effects) to capture the paediatric population aged ≥ 6 years and the application of </w:t>
      </w:r>
      <w:r w:rsidR="00B628E9" w:rsidRPr="002B66AB">
        <w:t>the submissions’ initially</w:t>
      </w:r>
      <w:r w:rsidRPr="002B66AB">
        <w:t xml:space="preserve"> proposed annual financial cap of $</w:t>
      </w:r>
      <w:r w:rsidR="00D155AC">
        <w:rPr>
          <w:noProof/>
          <w:color w:val="000000"/>
          <w:highlight w:val="black"/>
        </w:rPr>
        <w:t>''''''''''''''</w:t>
      </w:r>
      <w:r w:rsidRPr="002B66AB">
        <w:t xml:space="preserve"> per patient.</w:t>
      </w:r>
    </w:p>
    <w:p w:rsidR="001C71B3" w:rsidRPr="002B66AB" w:rsidRDefault="001C71B3" w:rsidP="00431133">
      <w:pPr>
        <w:pStyle w:val="ListParagraph"/>
        <w:numPr>
          <w:ilvl w:val="1"/>
          <w:numId w:val="45"/>
        </w:numPr>
        <w:ind w:hanging="720"/>
      </w:pPr>
      <w:r w:rsidRPr="002B66AB">
        <w:t xml:space="preserve">Given that the submission presented the same model structure and inputs (for </w:t>
      </w:r>
      <w:r w:rsidRPr="002B66AB">
        <w:lastRenderedPageBreak/>
        <w:t xml:space="preserve">children aged 12 and over) as considered previously by the PBAC, the key model inputs varied by the PBAC in its </w:t>
      </w:r>
      <w:proofErr w:type="spellStart"/>
      <w:r w:rsidRPr="002B66AB">
        <w:t>respecification</w:t>
      </w:r>
      <w:proofErr w:type="spellEnd"/>
      <w:r w:rsidRPr="002B66AB">
        <w:t xml:space="preserve"> of the base case at its July 2017 meeting </w:t>
      </w:r>
      <w:r w:rsidRPr="002B66AB">
        <w:rPr>
          <w:rFonts w:asciiTheme="minorHAnsi" w:hAnsiTheme="minorHAnsi"/>
          <w:szCs w:val="24"/>
        </w:rPr>
        <w:t>(para 6.57, July 2017 PSD),</w:t>
      </w:r>
      <w:r w:rsidRPr="002B66AB">
        <w:t xml:space="preserve"> and how they have been addressed in the current </w:t>
      </w:r>
      <w:r w:rsidRPr="002B66AB">
        <w:rPr>
          <w:rFonts w:asciiTheme="minorHAnsi" w:hAnsiTheme="minorHAnsi" w:cstheme="minorHAnsi"/>
          <w:szCs w:val="24"/>
        </w:rPr>
        <w:t xml:space="preserve">submission, are summarised in </w:t>
      </w:r>
      <w:r w:rsidR="006F480C" w:rsidRPr="002B66AB">
        <w:rPr>
          <w:rFonts w:asciiTheme="minorHAnsi" w:hAnsiTheme="minorHAnsi" w:cstheme="minorHAnsi"/>
          <w:bCs/>
          <w:szCs w:val="24"/>
        </w:rPr>
        <w:t xml:space="preserve">Table </w:t>
      </w:r>
      <w:r w:rsidR="006F480C" w:rsidRPr="002B66AB">
        <w:rPr>
          <w:rFonts w:asciiTheme="minorHAnsi" w:hAnsiTheme="minorHAnsi" w:cstheme="minorHAnsi"/>
          <w:bCs/>
          <w:noProof/>
          <w:szCs w:val="24"/>
        </w:rPr>
        <w:t>9</w:t>
      </w:r>
      <w:r w:rsidRPr="002B66AB">
        <w:t>.</w:t>
      </w:r>
    </w:p>
    <w:p w:rsidR="001C71B3" w:rsidRPr="002B66AB" w:rsidRDefault="001C71B3" w:rsidP="001C71B3">
      <w:pPr>
        <w:keepNext/>
        <w:rPr>
          <w:rFonts w:ascii="Arial Narrow" w:hAnsi="Arial Narrow"/>
          <w:b/>
          <w:bCs/>
          <w:sz w:val="20"/>
          <w:szCs w:val="20"/>
        </w:rPr>
      </w:pPr>
      <w:bookmarkStart w:id="20" w:name="_Ref511372710"/>
      <w:r w:rsidRPr="002B66AB">
        <w:rPr>
          <w:rFonts w:ascii="Arial Narrow" w:hAnsi="Arial Narrow"/>
          <w:b/>
          <w:bCs/>
          <w:sz w:val="20"/>
          <w:szCs w:val="20"/>
        </w:rPr>
        <w:t xml:space="preserve">Table </w:t>
      </w:r>
      <w:r w:rsidR="006F480C" w:rsidRPr="002B66AB">
        <w:rPr>
          <w:rFonts w:ascii="Arial Narrow" w:hAnsi="Arial Narrow"/>
          <w:b/>
          <w:bCs/>
          <w:noProof/>
          <w:sz w:val="20"/>
          <w:szCs w:val="20"/>
        </w:rPr>
        <w:t>9</w:t>
      </w:r>
      <w:bookmarkEnd w:id="20"/>
      <w:r w:rsidRPr="002B66AB">
        <w:rPr>
          <w:rFonts w:ascii="Arial Narrow" w:hAnsi="Arial Narrow"/>
          <w:b/>
          <w:bCs/>
          <w:sz w:val="20"/>
          <w:szCs w:val="20"/>
        </w:rPr>
        <w:t>: Summary of variations made by PBAC to previous model and how they have been considered in this submission</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2"/>
        <w:gridCol w:w="3583"/>
        <w:gridCol w:w="4108"/>
      </w:tblGrid>
      <w:tr w:rsidR="002B66AB" w:rsidRPr="002B66AB" w:rsidTr="002737C4">
        <w:trPr>
          <w:tblHeader/>
        </w:trPr>
        <w:tc>
          <w:tcPr>
            <w:tcW w:w="836" w:type="pct"/>
            <w:shd w:val="clear" w:color="auto" w:fill="auto"/>
            <w:vAlign w:val="center"/>
          </w:tcPr>
          <w:p w:rsidR="001C71B3" w:rsidRPr="002B66AB" w:rsidRDefault="001C71B3" w:rsidP="001C71B3">
            <w:pPr>
              <w:widowControl/>
              <w:jc w:val="left"/>
              <w:rPr>
                <w:rFonts w:ascii="Arial Narrow" w:hAnsi="Arial Narrow" w:cs="Times New Roman"/>
                <w:b/>
                <w:snapToGrid/>
                <w:sz w:val="20"/>
              </w:rPr>
            </w:pPr>
            <w:r w:rsidRPr="002B66AB">
              <w:rPr>
                <w:rFonts w:ascii="Arial Narrow" w:hAnsi="Arial Narrow" w:cs="Times New Roman"/>
                <w:b/>
                <w:snapToGrid/>
                <w:sz w:val="20"/>
              </w:rPr>
              <w:t>Component</w:t>
            </w:r>
          </w:p>
        </w:tc>
        <w:tc>
          <w:tcPr>
            <w:tcW w:w="1940" w:type="pct"/>
            <w:shd w:val="clear" w:color="auto" w:fill="auto"/>
            <w:vAlign w:val="center"/>
          </w:tcPr>
          <w:p w:rsidR="001C71B3" w:rsidRPr="002B66AB" w:rsidRDefault="001C71B3" w:rsidP="001C71B3">
            <w:pPr>
              <w:widowControl/>
              <w:jc w:val="center"/>
              <w:rPr>
                <w:rFonts w:ascii="Arial Narrow" w:hAnsi="Arial Narrow" w:cs="Times New Roman"/>
                <w:b/>
                <w:snapToGrid/>
                <w:sz w:val="20"/>
              </w:rPr>
            </w:pPr>
            <w:r w:rsidRPr="002B66AB">
              <w:rPr>
                <w:rFonts w:ascii="Arial Narrow" w:hAnsi="Arial Narrow" w:cs="Times New Roman"/>
                <w:b/>
                <w:snapToGrid/>
                <w:sz w:val="20"/>
              </w:rPr>
              <w:t>Previous PBAC Preferred Scenarios</w:t>
            </w:r>
          </w:p>
        </w:tc>
        <w:tc>
          <w:tcPr>
            <w:tcW w:w="2224" w:type="pct"/>
          </w:tcPr>
          <w:p w:rsidR="001C71B3" w:rsidRPr="002B66AB" w:rsidRDefault="001C71B3" w:rsidP="001C71B3">
            <w:pPr>
              <w:widowControl/>
              <w:jc w:val="center"/>
              <w:rPr>
                <w:rFonts w:ascii="Arial Narrow" w:hAnsi="Arial Narrow" w:cs="Times New Roman"/>
                <w:b/>
                <w:snapToGrid/>
                <w:sz w:val="20"/>
              </w:rPr>
            </w:pPr>
            <w:r w:rsidRPr="002B66AB">
              <w:rPr>
                <w:rFonts w:ascii="Arial Narrow" w:hAnsi="Arial Narrow" w:cs="Times New Roman"/>
                <w:b/>
                <w:snapToGrid/>
                <w:sz w:val="20"/>
              </w:rPr>
              <w:t>Current Approach</w:t>
            </w:r>
          </w:p>
        </w:tc>
      </w:tr>
      <w:tr w:rsidR="002B66AB" w:rsidRPr="002B66AB" w:rsidTr="002737C4">
        <w:tc>
          <w:tcPr>
            <w:tcW w:w="836" w:type="pct"/>
            <w:shd w:val="clear" w:color="auto" w:fill="auto"/>
            <w:vAlign w:val="center"/>
          </w:tcPr>
          <w:p w:rsidR="001C71B3" w:rsidRPr="002B66AB" w:rsidRDefault="001C71B3" w:rsidP="001C71B3">
            <w:pPr>
              <w:widowControl/>
              <w:jc w:val="left"/>
              <w:rPr>
                <w:rFonts w:ascii="Arial Narrow" w:hAnsi="Arial Narrow" w:cs="Times New Roman"/>
                <w:snapToGrid/>
                <w:sz w:val="20"/>
              </w:rPr>
            </w:pPr>
            <w:proofErr w:type="spellStart"/>
            <w:r w:rsidRPr="002B66AB">
              <w:rPr>
                <w:rFonts w:ascii="Arial Narrow" w:hAnsi="Arial Narrow" w:cs="Times New Roman"/>
                <w:snapToGrid/>
                <w:sz w:val="20"/>
              </w:rPr>
              <w:t>Ivacaftor</w:t>
            </w:r>
            <w:proofErr w:type="spellEnd"/>
            <w:r w:rsidRPr="002B66AB">
              <w:rPr>
                <w:rFonts w:ascii="Arial Narrow" w:hAnsi="Arial Narrow" w:cs="Times New Roman"/>
                <w:snapToGrid/>
                <w:sz w:val="20"/>
              </w:rPr>
              <w:t>/</w:t>
            </w:r>
            <w:proofErr w:type="spellStart"/>
            <w:r w:rsidRPr="002B66AB">
              <w:rPr>
                <w:rFonts w:ascii="Arial Narrow" w:hAnsi="Arial Narrow" w:cs="Times New Roman"/>
                <w:snapToGrid/>
                <w:sz w:val="20"/>
              </w:rPr>
              <w:t>Lumacaftor</w:t>
            </w:r>
            <w:proofErr w:type="spellEnd"/>
            <w:r w:rsidRPr="002B66AB">
              <w:rPr>
                <w:rFonts w:ascii="Arial Narrow" w:hAnsi="Arial Narrow" w:cs="Times New Roman"/>
                <w:snapToGrid/>
                <w:sz w:val="20"/>
              </w:rPr>
              <w:t xml:space="preserve"> cap and price adjustments</w:t>
            </w:r>
          </w:p>
        </w:tc>
        <w:tc>
          <w:tcPr>
            <w:tcW w:w="1940" w:type="pct"/>
            <w:shd w:val="clear" w:color="auto" w:fill="auto"/>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 xml:space="preserve">Removal of the 5% statutory price reduction and </w:t>
            </w:r>
            <w:r w:rsidR="00D155AC">
              <w:rPr>
                <w:rFonts w:ascii="Arial Narrow" w:hAnsi="Arial Narrow" w:cs="Times New Roman"/>
                <w:noProof/>
                <w:snapToGrid/>
                <w:color w:val="000000"/>
                <w:sz w:val="20"/>
                <w:highlight w:val="black"/>
              </w:rPr>
              <w:t>''''''</w:t>
            </w:r>
            <w:r w:rsidRPr="002B66AB">
              <w:rPr>
                <w:rFonts w:ascii="Arial Narrow" w:hAnsi="Arial Narrow" w:cs="Times New Roman"/>
                <w:snapToGrid/>
                <w:sz w:val="20"/>
              </w:rPr>
              <w:t>% generic price reduction.</w:t>
            </w:r>
          </w:p>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Removal of the proposed cap.</w:t>
            </w:r>
          </w:p>
        </w:tc>
        <w:tc>
          <w:tcPr>
            <w:tcW w:w="2224" w:type="pct"/>
          </w:tcPr>
          <w:p w:rsidR="001C71B3" w:rsidRPr="00AF096C" w:rsidRDefault="001C71B3" w:rsidP="001C71B3">
            <w:pPr>
              <w:widowControl/>
              <w:jc w:val="left"/>
              <w:rPr>
                <w:rFonts w:ascii="Arial Narrow" w:hAnsi="Arial Narrow" w:cs="Times New Roman"/>
                <w:snapToGrid/>
                <w:sz w:val="20"/>
              </w:rPr>
            </w:pPr>
            <w:r w:rsidRPr="00AF096C">
              <w:rPr>
                <w:rFonts w:ascii="Arial Narrow" w:hAnsi="Arial Narrow" w:cs="Times New Roman"/>
                <w:snapToGrid/>
                <w:sz w:val="20"/>
              </w:rPr>
              <w:t xml:space="preserve">Price reductions were reinstated. </w:t>
            </w:r>
          </w:p>
          <w:p w:rsidR="001C71B3" w:rsidRPr="00AF096C" w:rsidRDefault="001C71B3" w:rsidP="001C71B3">
            <w:pPr>
              <w:widowControl/>
              <w:jc w:val="left"/>
              <w:rPr>
                <w:rFonts w:ascii="Arial Narrow" w:hAnsi="Arial Narrow" w:cs="Times New Roman"/>
                <w:snapToGrid/>
                <w:sz w:val="20"/>
              </w:rPr>
            </w:pPr>
            <w:proofErr w:type="gramStart"/>
            <w:r w:rsidRPr="00AF096C">
              <w:rPr>
                <w:rFonts w:ascii="Arial Narrow" w:hAnsi="Arial Narrow" w:cs="Times New Roman"/>
                <w:snapToGrid/>
                <w:sz w:val="20"/>
              </w:rPr>
              <w:t>A</w:t>
            </w:r>
            <w:proofErr w:type="gramEnd"/>
            <w:r w:rsidRPr="00AF096C">
              <w:rPr>
                <w:rFonts w:ascii="Arial Narrow" w:hAnsi="Arial Narrow" w:cs="Times New Roman"/>
                <w:snapToGrid/>
                <w:sz w:val="20"/>
              </w:rPr>
              <w:t xml:space="preserve"> utilisation cap resulting in a price of $</w:t>
            </w:r>
            <w:r w:rsidR="00D155AC">
              <w:rPr>
                <w:rFonts w:ascii="Arial Narrow" w:hAnsi="Arial Narrow" w:cs="Times New Roman"/>
                <w:noProof/>
                <w:snapToGrid/>
                <w:color w:val="000000"/>
                <w:sz w:val="20"/>
                <w:highlight w:val="black"/>
              </w:rPr>
              <w:t>''''''''''''''''</w:t>
            </w:r>
            <w:r w:rsidRPr="00AF096C">
              <w:rPr>
                <w:rFonts w:ascii="Arial Narrow" w:hAnsi="Arial Narrow" w:cs="Times New Roman"/>
                <w:snapToGrid/>
                <w:sz w:val="20"/>
              </w:rPr>
              <w:t xml:space="preserve"> per patient per year is utilised.</w:t>
            </w:r>
          </w:p>
          <w:p w:rsidR="001C71B3" w:rsidRPr="00AF096C" w:rsidRDefault="001C71B3" w:rsidP="00211BCA">
            <w:pPr>
              <w:widowControl/>
              <w:jc w:val="left"/>
              <w:rPr>
                <w:rFonts w:ascii="Arial Narrow" w:hAnsi="Arial Narrow" w:cs="Times New Roman"/>
                <w:snapToGrid/>
                <w:sz w:val="20"/>
              </w:rPr>
            </w:pPr>
            <w:r w:rsidRPr="00AF096C">
              <w:rPr>
                <w:rFonts w:ascii="Arial Narrow" w:hAnsi="Arial Narrow" w:cs="Times New Roman"/>
                <w:snapToGrid/>
                <w:sz w:val="20"/>
              </w:rPr>
              <w:t>Removal of price reductions and the cap is tested in sensitivity analyses (Table 1</w:t>
            </w:r>
            <w:r w:rsidR="00211BCA" w:rsidRPr="00AF096C">
              <w:rPr>
                <w:rFonts w:ascii="Arial Narrow" w:hAnsi="Arial Narrow" w:cs="Times New Roman"/>
                <w:snapToGrid/>
                <w:sz w:val="20"/>
              </w:rPr>
              <w:t>3</w:t>
            </w:r>
            <w:r w:rsidRPr="00AF096C">
              <w:rPr>
                <w:rFonts w:ascii="Arial Narrow" w:hAnsi="Arial Narrow" w:cs="Times New Roman"/>
                <w:snapToGrid/>
                <w:sz w:val="20"/>
              </w:rPr>
              <w:t>).</w:t>
            </w:r>
          </w:p>
        </w:tc>
      </w:tr>
      <w:tr w:rsidR="002B66AB" w:rsidRPr="002B66AB" w:rsidTr="002737C4">
        <w:tc>
          <w:tcPr>
            <w:tcW w:w="836" w:type="pct"/>
            <w:shd w:val="clear" w:color="auto" w:fill="auto"/>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Sustained clinical effect</w:t>
            </w:r>
          </w:p>
        </w:tc>
        <w:tc>
          <w:tcPr>
            <w:tcW w:w="1940" w:type="pct"/>
            <w:shd w:val="clear" w:color="auto" w:fill="auto"/>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Assumed that the decline in ppFEV</w:t>
            </w:r>
            <w:r w:rsidRPr="002B66AB">
              <w:rPr>
                <w:rFonts w:ascii="Arial Narrow" w:hAnsi="Arial Narrow" w:cs="Times New Roman"/>
                <w:snapToGrid/>
                <w:sz w:val="20"/>
                <w:vertAlign w:val="subscript"/>
              </w:rPr>
              <w:t>1</w:t>
            </w:r>
            <w:r w:rsidRPr="002B66AB">
              <w:rPr>
                <w:rFonts w:ascii="Arial Narrow" w:hAnsi="Arial Narrow" w:cs="Times New Roman"/>
                <w:snapToGrid/>
                <w:sz w:val="20"/>
              </w:rPr>
              <w:t xml:space="preserve"> for </w:t>
            </w:r>
            <w:proofErr w:type="spellStart"/>
            <w:r w:rsidRPr="002B66AB">
              <w:rPr>
                <w:rFonts w:ascii="Arial Narrow" w:hAnsi="Arial Narrow" w:cs="Times New Roman"/>
                <w:snapToGrid/>
                <w:sz w:val="20"/>
              </w:rPr>
              <w:t>lumacaftor</w:t>
            </w:r>
            <w:proofErr w:type="spellEnd"/>
            <w:r w:rsidRPr="002B66AB">
              <w:rPr>
                <w:rFonts w:ascii="Arial Narrow" w:hAnsi="Arial Narrow" w:cs="Times New Roman"/>
                <w:snapToGrid/>
                <w:sz w:val="20"/>
              </w:rPr>
              <w:t>/</w:t>
            </w:r>
            <w:proofErr w:type="spellStart"/>
            <w:r w:rsidRPr="002B66AB">
              <w:rPr>
                <w:rFonts w:ascii="Arial Narrow" w:hAnsi="Arial Narrow" w:cs="Times New Roman"/>
                <w:snapToGrid/>
                <w:sz w:val="20"/>
              </w:rPr>
              <w:t>ivacaftor</w:t>
            </w:r>
            <w:proofErr w:type="spellEnd"/>
            <w:r w:rsidRPr="002B66AB">
              <w:rPr>
                <w:rFonts w:ascii="Arial Narrow" w:hAnsi="Arial Narrow" w:cs="Times New Roman"/>
                <w:snapToGrid/>
                <w:sz w:val="20"/>
              </w:rPr>
              <w:t xml:space="preserve"> post 24 weeks was 100% of that seen in BSC.</w:t>
            </w:r>
          </w:p>
        </w:tc>
        <w:tc>
          <w:tcPr>
            <w:tcW w:w="2224" w:type="pct"/>
          </w:tcPr>
          <w:p w:rsidR="001C71B3" w:rsidRPr="00AF096C" w:rsidRDefault="001C71B3" w:rsidP="001C71B3">
            <w:pPr>
              <w:widowControl/>
              <w:jc w:val="left"/>
              <w:rPr>
                <w:rFonts w:ascii="Arial Narrow" w:hAnsi="Arial Narrow" w:cs="Times New Roman"/>
                <w:snapToGrid/>
                <w:sz w:val="20"/>
              </w:rPr>
            </w:pPr>
            <w:r w:rsidRPr="00AF096C">
              <w:rPr>
                <w:rFonts w:ascii="Arial Narrow" w:hAnsi="Arial Narrow" w:cs="Times New Roman"/>
                <w:snapToGrid/>
                <w:sz w:val="20"/>
              </w:rPr>
              <w:t>The post 24 week decline in ppFEV</w:t>
            </w:r>
            <w:r w:rsidRPr="00AF096C">
              <w:rPr>
                <w:rFonts w:ascii="Arial Narrow" w:hAnsi="Arial Narrow" w:cs="Times New Roman"/>
                <w:snapToGrid/>
                <w:sz w:val="20"/>
                <w:vertAlign w:val="subscript"/>
              </w:rPr>
              <w:t>1</w:t>
            </w:r>
            <w:r w:rsidRPr="00AF096C">
              <w:rPr>
                <w:rFonts w:ascii="Arial Narrow" w:hAnsi="Arial Narrow" w:cs="Times New Roman"/>
                <w:snapToGrid/>
                <w:sz w:val="20"/>
              </w:rPr>
              <w:t xml:space="preserve"> for </w:t>
            </w:r>
            <w:proofErr w:type="spellStart"/>
            <w:r w:rsidRPr="00AF096C">
              <w:rPr>
                <w:rFonts w:ascii="Arial Narrow" w:hAnsi="Arial Narrow" w:cs="Times New Roman"/>
                <w:snapToGrid/>
                <w:sz w:val="20"/>
              </w:rPr>
              <w:t>lumacaftor</w:t>
            </w:r>
            <w:proofErr w:type="spellEnd"/>
            <w:r w:rsidRPr="00AF096C">
              <w:rPr>
                <w:rFonts w:ascii="Arial Narrow" w:hAnsi="Arial Narrow" w:cs="Times New Roman"/>
                <w:snapToGrid/>
                <w:sz w:val="20"/>
              </w:rPr>
              <w:t>/</w:t>
            </w:r>
            <w:proofErr w:type="spellStart"/>
            <w:r w:rsidRPr="00AF096C">
              <w:rPr>
                <w:rFonts w:ascii="Arial Narrow" w:hAnsi="Arial Narrow" w:cs="Times New Roman"/>
                <w:snapToGrid/>
                <w:sz w:val="20"/>
              </w:rPr>
              <w:t>ivacaftor</w:t>
            </w:r>
            <w:proofErr w:type="spellEnd"/>
            <w:r w:rsidRPr="00AF096C">
              <w:rPr>
                <w:rFonts w:ascii="Arial Narrow" w:hAnsi="Arial Narrow" w:cs="Times New Roman"/>
                <w:snapToGrid/>
                <w:sz w:val="20"/>
              </w:rPr>
              <w:t xml:space="preserve"> was set at </w:t>
            </w:r>
            <w:r w:rsidR="00D155AC">
              <w:rPr>
                <w:rFonts w:ascii="Arial Narrow" w:hAnsi="Arial Narrow" w:cs="Times New Roman"/>
                <w:noProof/>
                <w:snapToGrid/>
                <w:color w:val="000000"/>
                <w:sz w:val="20"/>
                <w:highlight w:val="black"/>
              </w:rPr>
              <w:t>''''''</w:t>
            </w:r>
            <w:r w:rsidRPr="00AF096C">
              <w:rPr>
                <w:rFonts w:ascii="Arial Narrow" w:hAnsi="Arial Narrow" w:cs="Times New Roman"/>
                <w:snapToGrid/>
                <w:sz w:val="20"/>
              </w:rPr>
              <w:t>% of that of BSC.</w:t>
            </w:r>
          </w:p>
          <w:p w:rsidR="001C71B3" w:rsidRPr="00AF096C" w:rsidRDefault="001C71B3" w:rsidP="001C71B3">
            <w:pPr>
              <w:widowControl/>
              <w:jc w:val="left"/>
              <w:rPr>
                <w:rFonts w:ascii="Arial Narrow" w:hAnsi="Arial Narrow" w:cs="Times New Roman"/>
                <w:snapToGrid/>
                <w:sz w:val="20"/>
              </w:rPr>
            </w:pPr>
            <w:r w:rsidRPr="00AF096C">
              <w:rPr>
                <w:rFonts w:ascii="Arial Narrow" w:hAnsi="Arial Narrow" w:cs="Times New Roman"/>
                <w:snapToGrid/>
                <w:sz w:val="20"/>
              </w:rPr>
              <w:t xml:space="preserve">Varied to </w:t>
            </w:r>
            <w:r w:rsidR="00D155AC">
              <w:rPr>
                <w:rFonts w:ascii="Arial Narrow" w:hAnsi="Arial Narrow" w:cs="Times New Roman"/>
                <w:noProof/>
                <w:snapToGrid/>
                <w:color w:val="000000"/>
                <w:sz w:val="20"/>
                <w:highlight w:val="black"/>
              </w:rPr>
              <w:t>''''''</w:t>
            </w:r>
            <w:r w:rsidRPr="00AF096C">
              <w:rPr>
                <w:rFonts w:ascii="Arial Narrow" w:hAnsi="Arial Narrow" w:cs="Times New Roman"/>
                <w:snapToGrid/>
                <w:sz w:val="20"/>
              </w:rPr>
              <w:t xml:space="preserve">%, </w:t>
            </w:r>
            <w:r w:rsidR="00D155AC">
              <w:rPr>
                <w:rFonts w:ascii="Arial Narrow" w:hAnsi="Arial Narrow" w:cs="Times New Roman"/>
                <w:noProof/>
                <w:snapToGrid/>
                <w:color w:val="000000"/>
                <w:sz w:val="20"/>
                <w:highlight w:val="black"/>
              </w:rPr>
              <w:t>'''''''</w:t>
            </w:r>
            <w:r w:rsidRPr="00AF096C">
              <w:rPr>
                <w:rFonts w:ascii="Arial Narrow" w:hAnsi="Arial Narrow" w:cs="Times New Roman"/>
                <w:snapToGrid/>
                <w:sz w:val="20"/>
              </w:rPr>
              <w:t xml:space="preserve">% and </w:t>
            </w:r>
            <w:r w:rsidR="00D155AC">
              <w:rPr>
                <w:rFonts w:ascii="Arial Narrow" w:hAnsi="Arial Narrow" w:cs="Times New Roman"/>
                <w:noProof/>
                <w:snapToGrid/>
                <w:color w:val="000000"/>
                <w:sz w:val="20"/>
                <w:highlight w:val="black"/>
              </w:rPr>
              <w:t>'''''''''</w:t>
            </w:r>
            <w:r w:rsidRPr="00AF096C">
              <w:rPr>
                <w:rFonts w:ascii="Arial Narrow" w:hAnsi="Arial Narrow" w:cs="Times New Roman"/>
                <w:snapToGrid/>
                <w:sz w:val="20"/>
              </w:rPr>
              <w:t xml:space="preserve">% in sensitivity </w:t>
            </w:r>
            <w:proofErr w:type="gramStart"/>
            <w:r w:rsidRPr="00AF096C">
              <w:rPr>
                <w:rFonts w:ascii="Arial Narrow" w:hAnsi="Arial Narrow" w:cs="Times New Roman"/>
                <w:snapToGrid/>
                <w:sz w:val="20"/>
              </w:rPr>
              <w:t xml:space="preserve">analyses  </w:t>
            </w:r>
            <w:r w:rsidR="00211BCA" w:rsidRPr="00AF096C">
              <w:rPr>
                <w:rFonts w:ascii="Arial Narrow" w:hAnsi="Arial Narrow" w:cs="Times New Roman"/>
                <w:snapToGrid/>
                <w:sz w:val="20"/>
              </w:rPr>
              <w:t>(</w:t>
            </w:r>
            <w:proofErr w:type="gramEnd"/>
            <w:r w:rsidR="00211BCA" w:rsidRPr="00AF096C">
              <w:rPr>
                <w:rFonts w:ascii="Arial Narrow" w:hAnsi="Arial Narrow" w:cs="Times New Roman"/>
                <w:snapToGrid/>
                <w:sz w:val="20"/>
              </w:rPr>
              <w:t>Table 13</w:t>
            </w:r>
            <w:r w:rsidRPr="00AF096C">
              <w:rPr>
                <w:rFonts w:ascii="Arial Narrow" w:hAnsi="Arial Narrow" w:cs="Times New Roman"/>
                <w:snapToGrid/>
                <w:sz w:val="20"/>
              </w:rPr>
              <w:t>).</w:t>
            </w:r>
          </w:p>
        </w:tc>
      </w:tr>
      <w:tr w:rsidR="002B66AB" w:rsidRPr="002B66AB" w:rsidTr="002737C4">
        <w:tc>
          <w:tcPr>
            <w:tcW w:w="836" w:type="pct"/>
            <w:shd w:val="clear" w:color="auto" w:fill="auto"/>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Cost reductions due to hospitalisations</w:t>
            </w:r>
          </w:p>
        </w:tc>
        <w:tc>
          <w:tcPr>
            <w:tcW w:w="1940" w:type="pct"/>
            <w:shd w:val="clear" w:color="auto" w:fill="auto"/>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 xml:space="preserve">Assumed that only 75% of CF hospitalisations are due to </w:t>
            </w:r>
            <w:proofErr w:type="spellStart"/>
            <w:r w:rsidRPr="002B66AB">
              <w:rPr>
                <w:rFonts w:ascii="Arial Narrow" w:hAnsi="Arial Narrow" w:cs="Times New Roman"/>
                <w:snapToGrid/>
                <w:sz w:val="20"/>
              </w:rPr>
              <w:t>PEx</w:t>
            </w:r>
            <w:proofErr w:type="spellEnd"/>
            <w:r w:rsidRPr="002B66AB">
              <w:rPr>
                <w:rFonts w:ascii="Arial Narrow" w:hAnsi="Arial Narrow" w:cs="Times New Roman"/>
                <w:snapToGrid/>
                <w:sz w:val="20"/>
              </w:rPr>
              <w:t xml:space="preserve"> and therefore eligible for cost-reductions. </w:t>
            </w:r>
          </w:p>
        </w:tc>
        <w:tc>
          <w:tcPr>
            <w:tcW w:w="2224" w:type="pct"/>
          </w:tcPr>
          <w:p w:rsidR="001C71B3" w:rsidRPr="00AF096C" w:rsidRDefault="001C71B3" w:rsidP="001C71B3">
            <w:pPr>
              <w:widowControl/>
              <w:jc w:val="left"/>
              <w:rPr>
                <w:rFonts w:ascii="Arial Narrow" w:hAnsi="Arial Narrow" w:cs="Times New Roman"/>
                <w:snapToGrid/>
                <w:sz w:val="20"/>
              </w:rPr>
            </w:pPr>
            <w:r w:rsidRPr="00AF096C">
              <w:rPr>
                <w:rFonts w:ascii="Arial Narrow" w:hAnsi="Arial Narrow" w:cs="Times New Roman"/>
                <w:snapToGrid/>
                <w:sz w:val="20"/>
              </w:rPr>
              <w:t xml:space="preserve">Assumed that all CF hospitalisations are due to </w:t>
            </w:r>
            <w:proofErr w:type="spellStart"/>
            <w:r w:rsidRPr="00AF096C">
              <w:rPr>
                <w:rFonts w:ascii="Arial Narrow" w:hAnsi="Arial Narrow" w:cs="Times New Roman"/>
                <w:snapToGrid/>
                <w:sz w:val="20"/>
              </w:rPr>
              <w:t>PEx</w:t>
            </w:r>
            <w:proofErr w:type="spellEnd"/>
            <w:r w:rsidRPr="00AF096C">
              <w:rPr>
                <w:rFonts w:ascii="Arial Narrow" w:hAnsi="Arial Narrow" w:cs="Times New Roman"/>
                <w:snapToGrid/>
                <w:sz w:val="20"/>
              </w:rPr>
              <w:t>, and that there was a reduction of 61% of hospitalisations. Varied to 0% reduction in sensitivity analyses (</w:t>
            </w:r>
            <w:r w:rsidR="00211BCA" w:rsidRPr="00AF096C">
              <w:rPr>
                <w:rFonts w:ascii="Arial Narrow" w:hAnsi="Arial Narrow" w:cs="Times New Roman"/>
                <w:snapToGrid/>
                <w:sz w:val="20"/>
              </w:rPr>
              <w:t>Table 13</w:t>
            </w:r>
            <w:r w:rsidRPr="00AF096C">
              <w:rPr>
                <w:rFonts w:ascii="Arial Narrow" w:hAnsi="Arial Narrow" w:cs="Times New Roman"/>
                <w:snapToGrid/>
                <w:sz w:val="20"/>
              </w:rPr>
              <w:t xml:space="preserve">). </w:t>
            </w:r>
          </w:p>
          <w:p w:rsidR="001C71B3" w:rsidRPr="00AF096C" w:rsidRDefault="001C71B3" w:rsidP="001C71B3">
            <w:pPr>
              <w:widowControl/>
              <w:jc w:val="left"/>
              <w:rPr>
                <w:rFonts w:ascii="Arial Narrow" w:hAnsi="Arial Narrow" w:cs="Times New Roman"/>
                <w:snapToGrid/>
                <w:sz w:val="20"/>
              </w:rPr>
            </w:pPr>
            <w:r w:rsidRPr="00AF096C">
              <w:rPr>
                <w:rFonts w:ascii="Arial Narrow" w:hAnsi="Arial Narrow" w:cs="Times New Roman"/>
                <w:snapToGrid/>
                <w:sz w:val="20"/>
              </w:rPr>
              <w:t xml:space="preserve">The submission also assumed no reduction in </w:t>
            </w:r>
            <w:proofErr w:type="spellStart"/>
            <w:r w:rsidRPr="00AF096C">
              <w:rPr>
                <w:rFonts w:ascii="Arial Narrow" w:hAnsi="Arial Narrow" w:cs="Times New Roman"/>
                <w:snapToGrid/>
                <w:sz w:val="20"/>
              </w:rPr>
              <w:t>PEx</w:t>
            </w:r>
            <w:proofErr w:type="spellEnd"/>
            <w:r w:rsidRPr="00AF096C">
              <w:rPr>
                <w:rFonts w:ascii="Arial Narrow" w:hAnsi="Arial Narrow" w:cs="Times New Roman"/>
                <w:snapToGrid/>
                <w:sz w:val="20"/>
              </w:rPr>
              <w:t xml:space="preserve"> among children 6-11. </w:t>
            </w:r>
          </w:p>
        </w:tc>
      </w:tr>
    </w:tbl>
    <w:p w:rsidR="001C71B3" w:rsidRPr="002B66AB" w:rsidRDefault="001C71B3" w:rsidP="001C71B3">
      <w:pPr>
        <w:rPr>
          <w:rFonts w:ascii="Arial Narrow" w:hAnsi="Arial Narrow"/>
          <w:sz w:val="18"/>
        </w:rPr>
      </w:pPr>
      <w:r w:rsidRPr="002B66AB">
        <w:rPr>
          <w:rFonts w:ascii="Arial Narrow" w:hAnsi="Arial Narrow"/>
          <w:sz w:val="18"/>
        </w:rPr>
        <w:t xml:space="preserve">Abbreviations: BSC=best supportive care; CF=cystic fibrosis; </w:t>
      </w:r>
      <w:proofErr w:type="spellStart"/>
      <w:r w:rsidRPr="002B66AB">
        <w:rPr>
          <w:rFonts w:ascii="Arial Narrow" w:hAnsi="Arial Narrow"/>
          <w:sz w:val="18"/>
        </w:rPr>
        <w:t>PEx</w:t>
      </w:r>
      <w:proofErr w:type="spellEnd"/>
      <w:r w:rsidRPr="002B66AB">
        <w:rPr>
          <w:rFonts w:ascii="Arial Narrow" w:hAnsi="Arial Narrow"/>
          <w:sz w:val="18"/>
        </w:rPr>
        <w:t>=pulmonary exacerbations; ppFEV</w:t>
      </w:r>
      <w:r w:rsidRPr="002B66AB">
        <w:rPr>
          <w:rFonts w:ascii="Arial Narrow" w:hAnsi="Arial Narrow"/>
          <w:sz w:val="18"/>
          <w:vertAlign w:val="subscript"/>
        </w:rPr>
        <w:t>1</w:t>
      </w:r>
      <w:r w:rsidRPr="002B66AB">
        <w:rPr>
          <w:rFonts w:ascii="Arial Narrow" w:hAnsi="Arial Narrow"/>
          <w:sz w:val="18"/>
        </w:rPr>
        <w:t xml:space="preserve"> =percent predicted forced expiratory volume in one second.  </w:t>
      </w:r>
    </w:p>
    <w:p w:rsidR="001C71B3" w:rsidRPr="002B66AB" w:rsidRDefault="001C71B3" w:rsidP="001C71B3">
      <w:pPr>
        <w:rPr>
          <w:rFonts w:ascii="Arial Narrow" w:hAnsi="Arial Narrow"/>
          <w:sz w:val="18"/>
        </w:rPr>
      </w:pPr>
      <w:r w:rsidRPr="002B66AB">
        <w:rPr>
          <w:rFonts w:ascii="Arial Narrow" w:hAnsi="Arial Narrow"/>
          <w:sz w:val="18"/>
        </w:rPr>
        <w:t xml:space="preserve">Source: Compiled during the evaluation from the July 2017 PBAC </w:t>
      </w:r>
      <w:r w:rsidR="00562AF4">
        <w:rPr>
          <w:rFonts w:ascii="Arial Narrow" w:hAnsi="Arial Narrow"/>
          <w:sz w:val="18"/>
        </w:rPr>
        <w:t>Public Summary Document</w:t>
      </w:r>
      <w:r w:rsidRPr="002B66AB">
        <w:rPr>
          <w:rFonts w:ascii="Arial Narrow" w:hAnsi="Arial Narrow"/>
          <w:sz w:val="18"/>
        </w:rPr>
        <w:t xml:space="preserve">, </w:t>
      </w:r>
      <w:proofErr w:type="spellStart"/>
      <w:r w:rsidRPr="002B66AB">
        <w:rPr>
          <w:rFonts w:ascii="Arial Narrow" w:hAnsi="Arial Narrow"/>
          <w:sz w:val="18"/>
        </w:rPr>
        <w:t>Lumacaftor</w:t>
      </w:r>
      <w:proofErr w:type="spellEnd"/>
      <w:r w:rsidRPr="002B66AB">
        <w:rPr>
          <w:rFonts w:ascii="Arial Narrow" w:hAnsi="Arial Narrow"/>
          <w:sz w:val="18"/>
        </w:rPr>
        <w:t>/</w:t>
      </w:r>
      <w:proofErr w:type="spellStart"/>
      <w:r w:rsidRPr="002B66AB">
        <w:rPr>
          <w:rFonts w:ascii="Arial Narrow" w:hAnsi="Arial Narrow"/>
          <w:sz w:val="18"/>
        </w:rPr>
        <w:t>Ivacaftor</w:t>
      </w:r>
      <w:proofErr w:type="spellEnd"/>
      <w:r w:rsidRPr="002B66AB">
        <w:rPr>
          <w:rFonts w:ascii="Arial Narrow" w:hAnsi="Arial Narrow"/>
          <w:sz w:val="18"/>
        </w:rPr>
        <w:t>.</w:t>
      </w:r>
    </w:p>
    <w:p w:rsidR="001C71B3" w:rsidRPr="002B66AB" w:rsidRDefault="001C71B3" w:rsidP="001C71B3"/>
    <w:p w:rsidR="009C7825" w:rsidRPr="002B66AB" w:rsidRDefault="009C7825"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zCs w:val="24"/>
        </w:rPr>
        <w:t xml:space="preserve"> model initially provided with the July 2018 submission adjusted the rate of decline in the </w:t>
      </w:r>
      <w:proofErr w:type="spellStart"/>
      <w:r w:rsidRPr="002B66AB">
        <w:rPr>
          <w:rFonts w:asciiTheme="minorHAnsi" w:hAnsiTheme="minorHAnsi" w:cstheme="minorHAnsi"/>
          <w:szCs w:val="24"/>
        </w:rPr>
        <w:t>lumacaftor</w:t>
      </w:r>
      <w:proofErr w:type="spellEnd"/>
      <w:r w:rsidRPr="002B66AB">
        <w:rPr>
          <w:rFonts w:asciiTheme="minorHAnsi" w:hAnsiTheme="minorHAnsi" w:cstheme="minorHAnsi"/>
          <w:szCs w:val="24"/>
        </w:rPr>
        <w:t>/</w:t>
      </w:r>
      <w:proofErr w:type="spellStart"/>
      <w:r w:rsidRPr="002B66AB">
        <w:rPr>
          <w:rFonts w:asciiTheme="minorHAnsi" w:hAnsiTheme="minorHAnsi" w:cstheme="minorHAnsi"/>
          <w:szCs w:val="24"/>
        </w:rPr>
        <w:t>ivacaftor</w:t>
      </w:r>
      <w:proofErr w:type="spellEnd"/>
      <w:r w:rsidRPr="002B66AB">
        <w:rPr>
          <w:rFonts w:asciiTheme="minorHAnsi" w:hAnsiTheme="minorHAnsi" w:cstheme="minorHAnsi"/>
          <w:szCs w:val="24"/>
        </w:rPr>
        <w:t xml:space="preserve"> treatment group to </w:t>
      </w:r>
      <w:r w:rsidR="00D155AC">
        <w:rPr>
          <w:rFonts w:asciiTheme="minorHAnsi" w:hAnsiTheme="minorHAnsi" w:cstheme="minorHAnsi"/>
          <w:noProof/>
          <w:color w:val="000000"/>
          <w:szCs w:val="24"/>
          <w:highlight w:val="black"/>
        </w:rPr>
        <w:t>'''''</w:t>
      </w:r>
      <w:r w:rsidRPr="00685A94">
        <w:rPr>
          <w:rFonts w:asciiTheme="minorHAnsi" w:hAnsiTheme="minorHAnsi" w:cstheme="minorHAnsi"/>
          <w:szCs w:val="24"/>
        </w:rPr>
        <w:t>% of</w:t>
      </w:r>
      <w:r w:rsidRPr="002B66AB">
        <w:rPr>
          <w:rFonts w:asciiTheme="minorHAnsi" w:hAnsiTheme="minorHAnsi" w:cstheme="minorHAnsi"/>
          <w:szCs w:val="24"/>
        </w:rPr>
        <w:t xml:space="preserve"> that in the BSC group; reinstates the 5% and </w:t>
      </w:r>
      <w:r w:rsidR="00D155AC">
        <w:rPr>
          <w:rFonts w:asciiTheme="minorHAnsi" w:hAnsiTheme="minorHAnsi" w:cstheme="minorHAnsi"/>
          <w:noProof/>
          <w:color w:val="000000"/>
          <w:szCs w:val="24"/>
          <w:highlight w:val="black"/>
        </w:rPr>
        <w:t>''''''</w:t>
      </w:r>
      <w:r w:rsidRPr="002B66AB">
        <w:rPr>
          <w:rFonts w:asciiTheme="minorHAnsi" w:hAnsiTheme="minorHAnsi" w:cstheme="minorHAnsi"/>
          <w:szCs w:val="24"/>
        </w:rPr>
        <w:t xml:space="preserve">% price reductions; and assumes that all CF hospitalisations are due to </w:t>
      </w:r>
      <w:proofErr w:type="spellStart"/>
      <w:r w:rsidRPr="002B66AB">
        <w:rPr>
          <w:rFonts w:asciiTheme="minorHAnsi" w:hAnsiTheme="minorHAnsi" w:cstheme="minorHAnsi"/>
          <w:szCs w:val="24"/>
        </w:rPr>
        <w:t>PEx</w:t>
      </w:r>
      <w:proofErr w:type="spellEnd"/>
      <w:r w:rsidRPr="002B66AB">
        <w:rPr>
          <w:rFonts w:asciiTheme="minorHAnsi" w:hAnsiTheme="minorHAnsi" w:cstheme="minorHAnsi"/>
          <w:szCs w:val="24"/>
        </w:rPr>
        <w:t>, and that there was a reducti</w:t>
      </w:r>
      <w:r w:rsidR="00422F09">
        <w:rPr>
          <w:rFonts w:asciiTheme="minorHAnsi" w:hAnsiTheme="minorHAnsi" w:cstheme="minorHAnsi"/>
          <w:szCs w:val="24"/>
        </w:rPr>
        <w:t xml:space="preserve">on of </w:t>
      </w:r>
      <w:r w:rsidR="00422F09" w:rsidRPr="00B22D7C">
        <w:rPr>
          <w:rFonts w:asciiTheme="minorHAnsi" w:hAnsiTheme="minorHAnsi" w:cstheme="minorHAnsi"/>
          <w:szCs w:val="24"/>
        </w:rPr>
        <w:t>61</w:t>
      </w:r>
      <w:r w:rsidR="00422F09">
        <w:rPr>
          <w:rFonts w:asciiTheme="minorHAnsi" w:hAnsiTheme="minorHAnsi" w:cstheme="minorHAnsi"/>
          <w:szCs w:val="24"/>
        </w:rPr>
        <w:t xml:space="preserve">% of </w:t>
      </w:r>
      <w:r w:rsidR="00FA1488">
        <w:rPr>
          <w:rFonts w:asciiTheme="minorHAnsi" w:hAnsiTheme="minorHAnsi" w:cstheme="minorHAnsi"/>
          <w:szCs w:val="24"/>
        </w:rPr>
        <w:t>hospitalisations</w:t>
      </w:r>
      <w:r w:rsidR="00422F09">
        <w:rPr>
          <w:rFonts w:asciiTheme="minorHAnsi" w:hAnsiTheme="minorHAnsi" w:cstheme="minorHAnsi"/>
          <w:szCs w:val="24"/>
        </w:rPr>
        <w:t>.</w:t>
      </w:r>
    </w:p>
    <w:p w:rsidR="001C71B3" w:rsidRPr="002B66AB" w:rsidRDefault="001C71B3" w:rsidP="00431133">
      <w:pPr>
        <w:pStyle w:val="ListParagraph"/>
        <w:numPr>
          <w:ilvl w:val="1"/>
          <w:numId w:val="45"/>
        </w:numPr>
        <w:ind w:hanging="720"/>
        <w:rPr>
          <w:rFonts w:asciiTheme="minorHAnsi" w:hAnsiTheme="minorHAnsi" w:cstheme="minorHAnsi"/>
          <w:szCs w:val="24"/>
        </w:rPr>
      </w:pPr>
      <w:r w:rsidRPr="00431133">
        <w:t>The</w:t>
      </w:r>
      <w:r w:rsidRPr="002B66AB">
        <w:rPr>
          <w:rFonts w:asciiTheme="minorHAnsi" w:hAnsiTheme="minorHAnsi" w:cstheme="minorHAnsi"/>
          <w:snapToGrid/>
          <w:szCs w:val="24"/>
          <w:lang w:val="en-US" w:eastAsia="en-AU"/>
        </w:rPr>
        <w:t xml:space="preserve"> key components of the economic evaluation are presented in </w:t>
      </w:r>
      <w:r w:rsidR="006F480C" w:rsidRPr="002B66AB">
        <w:rPr>
          <w:rFonts w:asciiTheme="minorHAnsi" w:hAnsiTheme="minorHAnsi" w:cstheme="minorHAnsi"/>
          <w:bCs/>
          <w:szCs w:val="24"/>
        </w:rPr>
        <w:t xml:space="preserve">Table </w:t>
      </w:r>
      <w:r w:rsidR="006F480C" w:rsidRPr="002B66AB">
        <w:rPr>
          <w:rFonts w:asciiTheme="minorHAnsi" w:hAnsiTheme="minorHAnsi" w:cstheme="minorHAnsi"/>
          <w:bCs/>
          <w:noProof/>
          <w:szCs w:val="24"/>
        </w:rPr>
        <w:t>10</w:t>
      </w:r>
      <w:r w:rsidRPr="002B66AB">
        <w:rPr>
          <w:rFonts w:asciiTheme="minorHAnsi" w:hAnsiTheme="minorHAnsi" w:cstheme="minorHAnsi"/>
          <w:snapToGrid/>
          <w:szCs w:val="24"/>
          <w:lang w:val="en-US" w:eastAsia="en-AU"/>
        </w:rPr>
        <w:t>.</w:t>
      </w:r>
    </w:p>
    <w:p w:rsidR="001C71B3" w:rsidRPr="002B66AB" w:rsidRDefault="001C71B3" w:rsidP="001C71B3">
      <w:pPr>
        <w:keepNext/>
        <w:rPr>
          <w:rFonts w:ascii="Arial Narrow" w:hAnsi="Arial Narrow"/>
          <w:b/>
          <w:bCs/>
          <w:sz w:val="20"/>
          <w:szCs w:val="20"/>
        </w:rPr>
      </w:pPr>
      <w:bookmarkStart w:id="21" w:name="_Ref511049196"/>
      <w:r w:rsidRPr="002B66AB">
        <w:rPr>
          <w:rFonts w:ascii="Arial Narrow" w:hAnsi="Arial Narrow"/>
          <w:b/>
          <w:bCs/>
          <w:sz w:val="20"/>
          <w:szCs w:val="20"/>
        </w:rPr>
        <w:t xml:space="preserve">Table </w:t>
      </w:r>
      <w:r w:rsidR="006F480C" w:rsidRPr="002B66AB">
        <w:rPr>
          <w:rFonts w:ascii="Arial Narrow" w:hAnsi="Arial Narrow"/>
          <w:b/>
          <w:bCs/>
          <w:noProof/>
          <w:sz w:val="20"/>
          <w:szCs w:val="20"/>
        </w:rPr>
        <w:t>10</w:t>
      </w:r>
      <w:bookmarkEnd w:id="21"/>
      <w:r w:rsidRPr="002B66AB">
        <w:rPr>
          <w:rFonts w:ascii="Arial Narrow" w:hAnsi="Arial Narrow"/>
          <w:b/>
          <w:bCs/>
          <w:sz w:val="20"/>
          <w:szCs w:val="20"/>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6"/>
        <w:gridCol w:w="6547"/>
      </w:tblGrid>
      <w:tr w:rsidR="002B66AB" w:rsidRPr="002B66AB" w:rsidTr="002737C4">
        <w:trPr>
          <w:tblHeader/>
        </w:trPr>
        <w:tc>
          <w:tcPr>
            <w:tcW w:w="1396" w:type="pct"/>
            <w:shd w:val="clear" w:color="auto" w:fill="auto"/>
            <w:vAlign w:val="center"/>
          </w:tcPr>
          <w:p w:rsidR="001C71B3" w:rsidRPr="002B66AB" w:rsidRDefault="001C71B3" w:rsidP="001C71B3">
            <w:pPr>
              <w:keepNext/>
              <w:widowControl/>
              <w:jc w:val="left"/>
              <w:rPr>
                <w:rFonts w:ascii="Arial Narrow" w:hAnsi="Arial Narrow" w:cs="Times New Roman"/>
                <w:b/>
                <w:snapToGrid/>
                <w:sz w:val="20"/>
              </w:rPr>
            </w:pPr>
            <w:r w:rsidRPr="002B66AB">
              <w:rPr>
                <w:rFonts w:ascii="Arial Narrow" w:hAnsi="Arial Narrow" w:cs="Times New Roman"/>
                <w:b/>
                <w:snapToGrid/>
                <w:sz w:val="20"/>
              </w:rPr>
              <w:t>Component</w:t>
            </w:r>
          </w:p>
        </w:tc>
        <w:tc>
          <w:tcPr>
            <w:tcW w:w="3604" w:type="pct"/>
            <w:shd w:val="clear" w:color="auto" w:fill="auto"/>
            <w:vAlign w:val="center"/>
          </w:tcPr>
          <w:p w:rsidR="001C71B3" w:rsidRPr="002B66AB" w:rsidRDefault="001C71B3" w:rsidP="001C71B3">
            <w:pPr>
              <w:keepNext/>
              <w:widowControl/>
              <w:jc w:val="center"/>
              <w:rPr>
                <w:rFonts w:ascii="Arial Narrow" w:hAnsi="Arial Narrow" w:cs="Times New Roman"/>
                <w:b/>
                <w:snapToGrid/>
                <w:sz w:val="20"/>
              </w:rPr>
            </w:pPr>
            <w:r w:rsidRPr="002B66AB">
              <w:rPr>
                <w:rFonts w:ascii="Arial Narrow" w:hAnsi="Arial Narrow" w:cs="Times New Roman"/>
                <w:b/>
                <w:snapToGrid/>
                <w:sz w:val="20"/>
              </w:rPr>
              <w:t>Summary</w:t>
            </w:r>
          </w:p>
        </w:tc>
      </w:tr>
      <w:tr w:rsidR="002B66AB" w:rsidRPr="002B66AB" w:rsidTr="002737C4">
        <w:tc>
          <w:tcPr>
            <w:tcW w:w="1396"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Time horizon</w:t>
            </w:r>
          </w:p>
        </w:tc>
        <w:tc>
          <w:tcPr>
            <w:tcW w:w="3604"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Lifetime in the modelled base case. </w:t>
            </w:r>
          </w:p>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Patients aged ≥ 12 years: 24 weeks in TRAFFIC/TRANSPORT and PROGRESS (extension to 96 weeks). Patients aged 6-11 years: 24 weeks in Study 109.</w:t>
            </w:r>
          </w:p>
        </w:tc>
      </w:tr>
      <w:tr w:rsidR="002B66AB" w:rsidRPr="002B66AB" w:rsidTr="002737C4">
        <w:tc>
          <w:tcPr>
            <w:tcW w:w="1396"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Outcomes</w:t>
            </w:r>
          </w:p>
        </w:tc>
        <w:tc>
          <w:tcPr>
            <w:tcW w:w="3604"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Quality-adjusted life years.</w:t>
            </w:r>
          </w:p>
        </w:tc>
      </w:tr>
      <w:tr w:rsidR="002B66AB" w:rsidRPr="002B66AB" w:rsidTr="002737C4">
        <w:tc>
          <w:tcPr>
            <w:tcW w:w="1396"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Methods used to generate results</w:t>
            </w:r>
          </w:p>
        </w:tc>
        <w:tc>
          <w:tcPr>
            <w:tcW w:w="3604"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Individual patient microsimulation. </w:t>
            </w:r>
            <w:proofErr w:type="spellStart"/>
            <w:r w:rsidRPr="002B66AB">
              <w:rPr>
                <w:rFonts w:ascii="Arial Narrow" w:hAnsi="Arial Narrow" w:cs="Times New Roman"/>
                <w:snapToGrid/>
                <w:sz w:val="20"/>
              </w:rPr>
              <w:t>Liou</w:t>
            </w:r>
            <w:proofErr w:type="spellEnd"/>
            <w:r w:rsidRPr="002B66AB">
              <w:rPr>
                <w:rFonts w:ascii="Arial Narrow" w:hAnsi="Arial Narrow" w:cs="Times New Roman"/>
                <w:snapToGrid/>
                <w:sz w:val="20"/>
              </w:rPr>
              <w:t xml:space="preserve"> CPH model used to apply the effect of nine risk factors on the baseline hazard of mortality. </w:t>
            </w:r>
          </w:p>
        </w:tc>
      </w:tr>
      <w:tr w:rsidR="002B66AB" w:rsidRPr="002B66AB" w:rsidTr="002737C4">
        <w:tc>
          <w:tcPr>
            <w:tcW w:w="1396"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Health states</w:t>
            </w:r>
          </w:p>
        </w:tc>
        <w:tc>
          <w:tcPr>
            <w:tcW w:w="3604"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As a microsimulation, changes are recorded in the underlying risk factors (as above) for each patient. Utility values are applied to health states based on ppFEV</w:t>
            </w:r>
            <w:r w:rsidRPr="002B66AB">
              <w:rPr>
                <w:rFonts w:ascii="Arial Narrow" w:hAnsi="Arial Narrow" w:cs="Times New Roman"/>
                <w:snapToGrid/>
                <w:sz w:val="20"/>
                <w:vertAlign w:val="subscript"/>
              </w:rPr>
              <w:t>1</w:t>
            </w:r>
            <w:r w:rsidRPr="002B66AB">
              <w:rPr>
                <w:rFonts w:ascii="Arial Narrow" w:hAnsi="Arial Narrow" w:cs="Times New Roman"/>
                <w:snapToGrid/>
                <w:sz w:val="20"/>
              </w:rPr>
              <w:t xml:space="preserve"> status of normal (&gt;90%), mild (70-90%), moderate (40-70%) and severe (&lt;40%).</w:t>
            </w:r>
          </w:p>
        </w:tc>
      </w:tr>
      <w:tr w:rsidR="002B66AB" w:rsidRPr="002B66AB" w:rsidTr="002737C4">
        <w:tc>
          <w:tcPr>
            <w:tcW w:w="1396"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Cycle length</w:t>
            </w:r>
          </w:p>
        </w:tc>
        <w:tc>
          <w:tcPr>
            <w:tcW w:w="3604"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Four weekly </w:t>
            </w:r>
            <w:proofErr w:type="gramStart"/>
            <w:r w:rsidRPr="002B66AB">
              <w:rPr>
                <w:rFonts w:ascii="Arial Narrow" w:hAnsi="Arial Narrow" w:cs="Times New Roman"/>
                <w:snapToGrid/>
                <w:sz w:val="20"/>
              </w:rPr>
              <w:t>cycle</w:t>
            </w:r>
            <w:proofErr w:type="gramEnd"/>
            <w:r w:rsidRPr="002B66AB">
              <w:rPr>
                <w:rFonts w:ascii="Arial Narrow" w:hAnsi="Arial Narrow" w:cs="Times New Roman"/>
                <w:snapToGrid/>
                <w:sz w:val="20"/>
              </w:rPr>
              <w:t xml:space="preserve"> for the initial two years, annual thereafter.</w:t>
            </w:r>
          </w:p>
        </w:tc>
      </w:tr>
      <w:tr w:rsidR="002B66AB" w:rsidRPr="002B66AB" w:rsidTr="002737C4">
        <w:tc>
          <w:tcPr>
            <w:tcW w:w="1396"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Transition probabilities</w:t>
            </w:r>
          </w:p>
        </w:tc>
        <w:tc>
          <w:tcPr>
            <w:tcW w:w="3604" w:type="pct"/>
            <w:shd w:val="clear" w:color="auto" w:fill="auto"/>
            <w:vAlign w:val="center"/>
          </w:tcPr>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Modelled survival using </w:t>
            </w:r>
            <w:proofErr w:type="spellStart"/>
            <w:r w:rsidRPr="002B66AB">
              <w:rPr>
                <w:rFonts w:ascii="Arial Narrow" w:hAnsi="Arial Narrow" w:cs="Times New Roman"/>
                <w:snapToGrid/>
                <w:sz w:val="20"/>
              </w:rPr>
              <w:t>Liou</w:t>
            </w:r>
            <w:proofErr w:type="spellEnd"/>
            <w:r w:rsidRPr="002B66AB">
              <w:rPr>
                <w:rFonts w:ascii="Arial Narrow" w:hAnsi="Arial Narrow" w:cs="Times New Roman"/>
                <w:snapToGrid/>
                <w:sz w:val="20"/>
              </w:rPr>
              <w:t xml:space="preserve"> CPH model. Treatment effects were based on Study 109 (ppFEV</w:t>
            </w:r>
            <w:r w:rsidRPr="002B66AB">
              <w:rPr>
                <w:rFonts w:ascii="Arial Narrow" w:hAnsi="Arial Narrow" w:cs="Times New Roman"/>
                <w:snapToGrid/>
                <w:sz w:val="20"/>
                <w:vertAlign w:val="subscript"/>
              </w:rPr>
              <w:t xml:space="preserve">1 </w:t>
            </w:r>
            <w:r w:rsidRPr="002B66AB">
              <w:rPr>
                <w:rFonts w:ascii="Arial Narrow" w:hAnsi="Arial Narrow" w:cs="Times New Roman"/>
                <w:snapToGrid/>
                <w:sz w:val="20"/>
              </w:rPr>
              <w:t>for patients aged 6-11 years) and TRAFFIC/TRANSPORT (weight-for-age z-score).</w:t>
            </w:r>
          </w:p>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Changes in treatment effect and patient characteristics over time from PROGRESS (decline in ppFEV</w:t>
            </w:r>
            <w:r w:rsidRPr="002B66AB">
              <w:rPr>
                <w:rFonts w:ascii="Arial Narrow" w:hAnsi="Arial Narrow" w:cs="Times New Roman"/>
                <w:snapToGrid/>
                <w:sz w:val="20"/>
                <w:vertAlign w:val="subscript"/>
              </w:rPr>
              <w:t xml:space="preserve">1 </w:t>
            </w:r>
            <w:r w:rsidRPr="002B66AB">
              <w:rPr>
                <w:rFonts w:ascii="Arial Narrow" w:hAnsi="Arial Narrow" w:cs="Times New Roman"/>
                <w:snapToGrid/>
                <w:sz w:val="20"/>
              </w:rPr>
              <w:t>post 24 weeks) and change in weight-for-age z-score.</w:t>
            </w:r>
          </w:p>
          <w:p w:rsidR="001C71B3" w:rsidRPr="002B66AB" w:rsidRDefault="001C71B3" w:rsidP="001C71B3">
            <w:pPr>
              <w:keepNext/>
              <w:widowControl/>
              <w:jc w:val="left"/>
              <w:rPr>
                <w:rFonts w:ascii="Arial Narrow" w:hAnsi="Arial Narrow" w:cs="Times New Roman"/>
                <w:snapToGrid/>
                <w:sz w:val="20"/>
              </w:rPr>
            </w:pPr>
            <w:r w:rsidRPr="002B66AB">
              <w:rPr>
                <w:rFonts w:ascii="Arial Narrow" w:hAnsi="Arial Narrow" w:cs="Times New Roman"/>
                <w:snapToGrid/>
                <w:sz w:val="20"/>
              </w:rPr>
              <w:t xml:space="preserve">Baseline hazard function from Cystic Fibrosis Registry of Ireland 2013. </w:t>
            </w:r>
          </w:p>
        </w:tc>
      </w:tr>
    </w:tbl>
    <w:p w:rsidR="001C71B3" w:rsidRPr="002B66AB" w:rsidRDefault="001C71B3" w:rsidP="001C71B3">
      <w:pPr>
        <w:rPr>
          <w:rFonts w:ascii="Arial Narrow" w:hAnsi="Arial Narrow"/>
          <w:sz w:val="18"/>
        </w:rPr>
      </w:pPr>
      <w:r w:rsidRPr="002B66AB">
        <w:rPr>
          <w:rFonts w:ascii="Arial Narrow" w:hAnsi="Arial Narrow"/>
          <w:sz w:val="18"/>
        </w:rPr>
        <w:t>Abbreviations: CPH = Cox Proportional Hazards; FEV</w:t>
      </w:r>
      <w:r w:rsidRPr="002B66AB">
        <w:rPr>
          <w:rFonts w:ascii="Arial Narrow" w:hAnsi="Arial Narrow"/>
          <w:sz w:val="18"/>
          <w:vertAlign w:val="subscript"/>
        </w:rPr>
        <w:t>1</w:t>
      </w:r>
      <w:r w:rsidRPr="002B66AB">
        <w:rPr>
          <w:rFonts w:ascii="Arial Narrow" w:hAnsi="Arial Narrow"/>
          <w:sz w:val="18"/>
        </w:rPr>
        <w:t xml:space="preserve"> =forced expiratory volume in one second; pp = percent predicted;  </w:t>
      </w:r>
    </w:p>
    <w:p w:rsidR="001C71B3" w:rsidRPr="002B66AB" w:rsidRDefault="001C71B3" w:rsidP="001C71B3">
      <w:pPr>
        <w:rPr>
          <w:rFonts w:ascii="Arial Narrow" w:hAnsi="Arial Narrow"/>
          <w:sz w:val="18"/>
        </w:rPr>
      </w:pPr>
      <w:r w:rsidRPr="002B66AB">
        <w:rPr>
          <w:rFonts w:ascii="Arial Narrow" w:hAnsi="Arial Narrow"/>
          <w:sz w:val="18"/>
        </w:rPr>
        <w:t>Source: Table 3.1.1, p.151 of the submission</w:t>
      </w:r>
    </w:p>
    <w:p w:rsidR="001C71B3" w:rsidRPr="002B66AB" w:rsidRDefault="001C71B3" w:rsidP="001C71B3">
      <w:pPr>
        <w:widowControl/>
      </w:pPr>
    </w:p>
    <w:p w:rsidR="00B628E9" w:rsidRPr="002B66AB" w:rsidRDefault="001C71B3" w:rsidP="00431133">
      <w:pPr>
        <w:pStyle w:val="ListParagraph"/>
        <w:numPr>
          <w:ilvl w:val="1"/>
          <w:numId w:val="45"/>
        </w:numPr>
        <w:ind w:hanging="720"/>
        <w:rPr>
          <w:rFonts w:asciiTheme="minorHAnsi" w:hAnsiTheme="minorHAnsi" w:cstheme="minorHAnsi"/>
          <w:szCs w:val="24"/>
        </w:rPr>
      </w:pPr>
      <w:r w:rsidRPr="002B66AB">
        <w:rPr>
          <w:rFonts w:asciiTheme="minorHAnsi" w:hAnsiTheme="minorHAnsi" w:cstheme="minorHAnsi"/>
          <w:szCs w:val="24"/>
        </w:rPr>
        <w:t>The key drivers of the model are in</w:t>
      </w:r>
      <w:r w:rsidR="00E41E88">
        <w:rPr>
          <w:rFonts w:asciiTheme="minorHAnsi" w:hAnsiTheme="minorHAnsi" w:cstheme="minorHAnsi"/>
          <w:szCs w:val="24"/>
        </w:rPr>
        <w:t xml:space="preserve"> Table 11.</w:t>
      </w:r>
      <w:bookmarkStart w:id="22" w:name="_Ref511210358"/>
    </w:p>
    <w:p w:rsidR="001C71B3" w:rsidRPr="002B66AB" w:rsidRDefault="001C71B3" w:rsidP="000A4985">
      <w:pPr>
        <w:keepNext/>
        <w:widowControl/>
        <w:jc w:val="left"/>
        <w:rPr>
          <w:rFonts w:ascii="Arial Narrow" w:hAnsi="Arial Narrow"/>
          <w:b/>
          <w:bCs/>
          <w:sz w:val="20"/>
          <w:szCs w:val="20"/>
        </w:rPr>
      </w:pPr>
      <w:r w:rsidRPr="002B66AB">
        <w:rPr>
          <w:rFonts w:ascii="Arial Narrow" w:hAnsi="Arial Narrow"/>
          <w:b/>
          <w:bCs/>
          <w:sz w:val="20"/>
          <w:szCs w:val="20"/>
        </w:rPr>
        <w:t xml:space="preserve">Table </w:t>
      </w:r>
      <w:r w:rsidR="006F480C" w:rsidRPr="002B66AB">
        <w:rPr>
          <w:rFonts w:ascii="Arial Narrow" w:hAnsi="Arial Narrow"/>
          <w:b/>
          <w:bCs/>
          <w:noProof/>
          <w:sz w:val="20"/>
          <w:szCs w:val="20"/>
        </w:rPr>
        <w:t>11</w:t>
      </w:r>
      <w:bookmarkEnd w:id="22"/>
      <w:r w:rsidRPr="002B66AB">
        <w:rPr>
          <w:rFonts w:ascii="Arial Narrow" w:eastAsiaTheme="minorHAnsi" w:hAnsi="Arial Narrow" w:cstheme="minorBidi"/>
          <w:b/>
          <w:bCs/>
          <w:snapToGrid/>
          <w:sz w:val="20"/>
          <w:szCs w:val="20"/>
        </w:rPr>
        <w:t>: Key drivers of the model</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5"/>
        <w:gridCol w:w="4375"/>
        <w:gridCol w:w="2158"/>
      </w:tblGrid>
      <w:tr w:rsidR="002B66AB" w:rsidRPr="002B66AB" w:rsidTr="002737C4">
        <w:trPr>
          <w:trHeight w:val="20"/>
          <w:tblHeader/>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b/>
                <w:snapToGrid/>
                <w:sz w:val="20"/>
              </w:rPr>
            </w:pPr>
            <w:r w:rsidRPr="002B66AB">
              <w:rPr>
                <w:rFonts w:ascii="Arial Narrow" w:eastAsiaTheme="minorHAnsi" w:hAnsi="Arial Narrow" w:cstheme="minorBidi"/>
                <w:b/>
                <w:snapToGrid/>
                <w:sz w:val="20"/>
              </w:rPr>
              <w:t>Description</w:t>
            </w:r>
          </w:p>
        </w:tc>
        <w:tc>
          <w:tcPr>
            <w:tcW w:w="2404"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b/>
                <w:snapToGrid/>
                <w:sz w:val="20"/>
              </w:rPr>
            </w:pPr>
            <w:r w:rsidRPr="002B66AB">
              <w:rPr>
                <w:rFonts w:ascii="Arial Narrow" w:eastAsiaTheme="minorHAnsi" w:hAnsi="Arial Narrow" w:cstheme="minorBidi"/>
                <w:b/>
                <w:snapToGrid/>
                <w:sz w:val="20"/>
              </w:rPr>
              <w:t>Method/Value</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b/>
                <w:snapToGrid/>
                <w:sz w:val="20"/>
              </w:rPr>
            </w:pPr>
            <w:r w:rsidRPr="002B66AB">
              <w:rPr>
                <w:rFonts w:ascii="Arial Narrow" w:eastAsiaTheme="minorHAnsi" w:hAnsi="Arial Narrow" w:cstheme="minorBidi"/>
                <w:b/>
                <w:snapToGrid/>
                <w:sz w:val="20"/>
              </w:rPr>
              <w:t>Impact</w:t>
            </w:r>
          </w:p>
        </w:tc>
      </w:tr>
      <w:tr w:rsidR="002B66AB" w:rsidRPr="002B66AB" w:rsidTr="002737C4">
        <w:trPr>
          <w:trHeight w:val="20"/>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Proposed Financial Cap</w:t>
            </w:r>
          </w:p>
        </w:tc>
        <w:tc>
          <w:tcPr>
            <w:tcW w:w="2404"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Annual Cap of $</w:t>
            </w:r>
            <w:r w:rsidR="00D155AC">
              <w:rPr>
                <w:rFonts w:ascii="Arial Narrow" w:eastAsiaTheme="minorHAnsi" w:hAnsi="Arial Narrow" w:cstheme="minorBidi"/>
                <w:noProof/>
                <w:snapToGrid/>
                <w:color w:val="000000"/>
                <w:sz w:val="20"/>
                <w:highlight w:val="black"/>
                <w:lang w:val="en-US"/>
              </w:rPr>
              <w:t>'''''''''''''''''</w:t>
            </w:r>
            <w:r w:rsidRPr="002B66AB">
              <w:rPr>
                <w:rFonts w:ascii="Arial Narrow" w:eastAsiaTheme="minorHAnsi" w:hAnsi="Arial Narrow" w:cstheme="minorBidi"/>
                <w:snapToGrid/>
                <w:sz w:val="20"/>
                <w:lang w:val="en-US"/>
              </w:rPr>
              <w:t xml:space="preserve"> applied for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r w:rsidRPr="002B66AB">
              <w:rPr>
                <w:rFonts w:ascii="Arial Narrow" w:eastAsiaTheme="minorHAnsi" w:hAnsi="Arial Narrow" w:cstheme="minorBidi"/>
                <w:snapToGrid/>
                <w:sz w:val="20"/>
                <w:lang w:val="en-US"/>
              </w:rPr>
              <w:t xml:space="preserve"> drug cost</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High, </w:t>
            </w:r>
            <w:r w:rsidRPr="002B66AB">
              <w:rPr>
                <w:rFonts w:ascii="Arial Narrow" w:eastAsiaTheme="minorHAnsi" w:hAnsi="Arial Narrow" w:cstheme="minorBidi"/>
                <w:snapToGrid/>
                <w:sz w:val="20"/>
              </w:rPr>
              <w:t>favours</w:t>
            </w:r>
            <w:r w:rsidRPr="002B66AB">
              <w:rPr>
                <w:rFonts w:ascii="Arial Narrow" w:eastAsiaTheme="minorHAnsi" w:hAnsi="Arial Narrow" w:cstheme="minorBidi"/>
                <w:snapToGrid/>
                <w:sz w:val="20"/>
                <w:lang w:val="en-US"/>
              </w:rPr>
              <w:t xml:space="preserve">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r w:rsidRPr="002B66AB">
              <w:rPr>
                <w:rFonts w:ascii="Arial Narrow" w:eastAsiaTheme="minorHAnsi" w:hAnsi="Arial Narrow" w:cstheme="minorBidi"/>
                <w:snapToGrid/>
                <w:sz w:val="20"/>
                <w:lang w:val="en-US"/>
              </w:rPr>
              <w:t xml:space="preserve"> </w:t>
            </w:r>
          </w:p>
        </w:tc>
      </w:tr>
      <w:tr w:rsidR="002B66AB" w:rsidRPr="002B66AB" w:rsidTr="002737C4">
        <w:trPr>
          <w:trHeight w:val="20"/>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rPr>
            </w:pPr>
            <w:r w:rsidRPr="002B66AB">
              <w:rPr>
                <w:rFonts w:ascii="Arial Narrow" w:eastAsiaTheme="minorHAnsi" w:hAnsi="Arial Narrow" w:cstheme="minorBidi"/>
                <w:snapToGrid/>
                <w:sz w:val="20"/>
                <w:lang w:val="en-US"/>
              </w:rPr>
              <w:t>Modelled change in pp</w:t>
            </w:r>
            <w:r w:rsidRPr="002B66AB">
              <w:rPr>
                <w:rFonts w:ascii="Arial Narrow" w:eastAsiaTheme="minorHAnsi" w:hAnsi="Arial Narrow" w:cstheme="minorBidi"/>
                <w:snapToGrid/>
                <w:sz w:val="20"/>
                <w:szCs w:val="24"/>
              </w:rPr>
              <w:t>FEV</w:t>
            </w:r>
            <w:r w:rsidRPr="002B66AB">
              <w:rPr>
                <w:rFonts w:ascii="Arial Narrow" w:eastAsiaTheme="minorHAnsi" w:hAnsi="Arial Narrow" w:cstheme="minorBidi"/>
                <w:snapToGrid/>
                <w:sz w:val="20"/>
                <w:szCs w:val="24"/>
                <w:vertAlign w:val="subscript"/>
              </w:rPr>
              <w:t>1</w:t>
            </w:r>
            <w:r w:rsidRPr="002B66AB">
              <w:rPr>
                <w:rFonts w:ascii="Arial Narrow" w:eastAsiaTheme="minorHAnsi" w:hAnsi="Arial Narrow" w:cstheme="minorBidi"/>
                <w:snapToGrid/>
                <w:sz w:val="20"/>
                <w:vertAlign w:val="subscript"/>
                <w:lang w:val="en-US"/>
              </w:rPr>
              <w:t xml:space="preserve"> </w:t>
            </w:r>
            <w:r w:rsidRPr="002B66AB">
              <w:rPr>
                <w:rFonts w:ascii="Arial Narrow" w:eastAsiaTheme="minorHAnsi" w:hAnsi="Arial Narrow" w:cstheme="minorBidi"/>
                <w:snapToGrid/>
                <w:sz w:val="20"/>
                <w:lang w:val="en-US"/>
              </w:rPr>
              <w:t xml:space="preserve">in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r w:rsidRPr="002B66AB">
              <w:rPr>
                <w:rFonts w:ascii="Arial Narrow" w:eastAsiaTheme="minorHAnsi" w:hAnsi="Arial Narrow" w:cstheme="minorBidi"/>
                <w:snapToGrid/>
                <w:sz w:val="20"/>
                <w:lang w:val="en-US"/>
              </w:rPr>
              <w:t xml:space="preserve"> patients.</w:t>
            </w:r>
          </w:p>
        </w:tc>
        <w:tc>
          <w:tcPr>
            <w:tcW w:w="2404"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Treatment effect continued beyond 24 week trial period for life time. Updated data from extension trial PROGRESS were not included in the model. </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High, favours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p>
        </w:tc>
      </w:tr>
      <w:tr w:rsidR="002B66AB" w:rsidRPr="002B66AB" w:rsidTr="002737C4">
        <w:trPr>
          <w:trHeight w:val="20"/>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Modelled change in pp</w:t>
            </w:r>
            <w:r w:rsidRPr="002B66AB">
              <w:rPr>
                <w:rFonts w:ascii="Arial Narrow" w:eastAsiaTheme="minorHAnsi" w:hAnsi="Arial Narrow" w:cstheme="minorBidi"/>
                <w:snapToGrid/>
                <w:sz w:val="20"/>
                <w:szCs w:val="24"/>
              </w:rPr>
              <w:t>FEV</w:t>
            </w:r>
            <w:r w:rsidRPr="002B66AB">
              <w:rPr>
                <w:rFonts w:ascii="Arial Narrow" w:eastAsiaTheme="minorHAnsi" w:hAnsi="Arial Narrow" w:cstheme="minorBidi"/>
                <w:snapToGrid/>
                <w:sz w:val="20"/>
                <w:szCs w:val="24"/>
                <w:vertAlign w:val="subscript"/>
              </w:rPr>
              <w:t>1</w:t>
            </w:r>
            <w:r w:rsidRPr="002B66AB">
              <w:rPr>
                <w:rFonts w:ascii="Arial Narrow" w:eastAsiaTheme="minorHAnsi" w:hAnsi="Arial Narrow" w:cstheme="minorBidi"/>
                <w:snapToGrid/>
                <w:sz w:val="20"/>
                <w:vertAlign w:val="subscript"/>
                <w:lang w:val="en-US"/>
              </w:rPr>
              <w:t xml:space="preserve"> </w:t>
            </w:r>
            <w:r w:rsidRPr="002B66AB">
              <w:rPr>
                <w:rFonts w:ascii="Arial Narrow" w:eastAsiaTheme="minorHAnsi" w:hAnsi="Arial Narrow" w:cstheme="minorBidi"/>
                <w:snapToGrid/>
                <w:sz w:val="20"/>
                <w:lang w:val="en-US"/>
              </w:rPr>
              <w:t>in BSC patients.</w:t>
            </w:r>
          </w:p>
        </w:tc>
        <w:tc>
          <w:tcPr>
            <w:tcW w:w="2404"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Annual decline in pp</w:t>
            </w:r>
            <w:r w:rsidRPr="002B66AB">
              <w:rPr>
                <w:rFonts w:ascii="Arial Narrow" w:eastAsiaTheme="minorHAnsi" w:hAnsi="Arial Narrow" w:cstheme="minorBidi"/>
                <w:snapToGrid/>
                <w:sz w:val="20"/>
                <w:szCs w:val="24"/>
              </w:rPr>
              <w:t>FEV</w:t>
            </w:r>
            <w:r w:rsidRPr="002B66AB">
              <w:rPr>
                <w:rFonts w:ascii="Arial Narrow" w:eastAsiaTheme="minorHAnsi" w:hAnsi="Arial Narrow" w:cstheme="minorBidi"/>
                <w:snapToGrid/>
                <w:sz w:val="20"/>
                <w:szCs w:val="24"/>
                <w:vertAlign w:val="subscript"/>
              </w:rPr>
              <w:t>1</w:t>
            </w:r>
            <w:r w:rsidRPr="002B66AB">
              <w:rPr>
                <w:rFonts w:ascii="Arial Narrow" w:eastAsiaTheme="minorHAnsi" w:hAnsi="Arial Narrow" w:cstheme="minorBidi"/>
                <w:snapToGrid/>
                <w:sz w:val="20"/>
                <w:vertAlign w:val="subscript"/>
                <w:lang w:val="en-US"/>
              </w:rPr>
              <w:t xml:space="preserve"> </w:t>
            </w:r>
            <w:r w:rsidRPr="002B66AB">
              <w:rPr>
                <w:rFonts w:ascii="Arial Narrow" w:eastAsiaTheme="minorHAnsi" w:hAnsi="Arial Narrow" w:cstheme="minorBidi"/>
                <w:snapToGrid/>
                <w:sz w:val="20"/>
                <w:lang w:val="en-US"/>
              </w:rPr>
              <w:t xml:space="preserve">after the first 24 weeks </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High, favours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p>
        </w:tc>
      </w:tr>
      <w:tr w:rsidR="002B66AB" w:rsidRPr="002B66AB" w:rsidTr="002737C4">
        <w:trPr>
          <w:trHeight w:val="20"/>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Assumption of price reduction at patent expiry. </w:t>
            </w:r>
          </w:p>
        </w:tc>
        <w:tc>
          <w:tcPr>
            <w:tcW w:w="2404" w:type="pct"/>
            <w:shd w:val="clear" w:color="auto" w:fill="auto"/>
            <w:vAlign w:val="center"/>
          </w:tcPr>
          <w:p w:rsidR="001C71B3" w:rsidRPr="002B66AB" w:rsidRDefault="00D155AC" w:rsidP="001C71B3">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noProof/>
                <w:snapToGrid/>
                <w:color w:val="000000"/>
                <w:sz w:val="20"/>
                <w:highlight w:val="black"/>
                <w:lang w:val="en-US"/>
              </w:rPr>
              <w:t>''''''</w:t>
            </w:r>
            <w:r w:rsidR="001C71B3" w:rsidRPr="002B66AB">
              <w:rPr>
                <w:rFonts w:ascii="Arial Narrow" w:eastAsiaTheme="minorHAnsi" w:hAnsi="Arial Narrow" w:cstheme="minorBidi"/>
                <w:snapToGrid/>
                <w:sz w:val="20"/>
                <w:lang w:val="en-US"/>
              </w:rPr>
              <w:t xml:space="preserve">% price reduction at end of patent life </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High, favours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p>
        </w:tc>
      </w:tr>
      <w:tr w:rsidR="002B66AB" w:rsidRPr="002B66AB" w:rsidTr="002737C4">
        <w:trPr>
          <w:trHeight w:val="20"/>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Assumption of reduction in PE-related hospitalisation costs for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r w:rsidRPr="002B66AB">
              <w:rPr>
                <w:rFonts w:ascii="Arial Narrow" w:eastAsiaTheme="minorHAnsi" w:hAnsi="Arial Narrow" w:cstheme="minorBidi"/>
                <w:snapToGrid/>
                <w:sz w:val="20"/>
                <w:lang w:val="en-US"/>
              </w:rPr>
              <w:t>.</w:t>
            </w:r>
          </w:p>
        </w:tc>
        <w:tc>
          <w:tcPr>
            <w:tcW w:w="2404" w:type="pct"/>
            <w:shd w:val="clear" w:color="auto" w:fill="auto"/>
            <w:vAlign w:val="center"/>
          </w:tcPr>
          <w:p w:rsidR="001C71B3" w:rsidRPr="002B66AB" w:rsidRDefault="00784862" w:rsidP="001C71B3">
            <w:pPr>
              <w:keepNext/>
              <w:widowControl/>
              <w:spacing w:before="40" w:after="40"/>
              <w:jc w:val="left"/>
              <w:rPr>
                <w:rFonts w:ascii="Arial Narrow" w:eastAsiaTheme="minorHAnsi" w:hAnsi="Arial Narrow" w:cstheme="minorBidi"/>
                <w:i/>
                <w:snapToGrid/>
                <w:sz w:val="20"/>
                <w:lang w:val="en-US"/>
              </w:rPr>
            </w:pPr>
            <w:r w:rsidRPr="00685A94">
              <w:rPr>
                <w:rFonts w:ascii="Arial Narrow" w:eastAsiaTheme="minorHAnsi" w:hAnsi="Arial Narrow" w:cstheme="minorBidi"/>
                <w:snapToGrid/>
                <w:sz w:val="20"/>
                <w:lang w:val="en-US"/>
              </w:rPr>
              <w:t>61</w:t>
            </w:r>
            <w:r w:rsidR="001C71B3" w:rsidRPr="00685A94">
              <w:rPr>
                <w:rFonts w:ascii="Arial Narrow" w:eastAsiaTheme="minorHAnsi" w:hAnsi="Arial Narrow" w:cstheme="minorBidi"/>
                <w:snapToGrid/>
                <w:sz w:val="20"/>
                <w:lang w:val="en-US"/>
              </w:rPr>
              <w:t>% reduction</w:t>
            </w:r>
            <w:r w:rsidR="001C71B3" w:rsidRPr="002B66AB">
              <w:rPr>
                <w:rFonts w:ascii="Arial Narrow" w:eastAsiaTheme="minorHAnsi" w:hAnsi="Arial Narrow" w:cstheme="minorBidi"/>
                <w:snapToGrid/>
                <w:sz w:val="20"/>
                <w:lang w:val="en-US"/>
              </w:rPr>
              <w:t xml:space="preserve"> in PE-related </w:t>
            </w:r>
            <w:r w:rsidR="001C71B3" w:rsidRPr="002B66AB">
              <w:rPr>
                <w:rFonts w:ascii="Arial Narrow" w:eastAsiaTheme="minorHAnsi" w:hAnsi="Arial Narrow" w:cstheme="minorBidi"/>
                <w:snapToGrid/>
                <w:sz w:val="20"/>
              </w:rPr>
              <w:t>hospitalisation</w:t>
            </w:r>
            <w:r w:rsidR="001C71B3" w:rsidRPr="002B66AB">
              <w:rPr>
                <w:rFonts w:ascii="Arial Narrow" w:eastAsiaTheme="minorHAnsi" w:hAnsi="Arial Narrow" w:cstheme="minorBidi"/>
                <w:snapToGrid/>
                <w:sz w:val="20"/>
                <w:lang w:val="en-US"/>
              </w:rPr>
              <w:t xml:space="preserve"> costs; estimated by multiplying </w:t>
            </w:r>
            <w:r w:rsidR="001C71B3" w:rsidRPr="002B66AB">
              <w:rPr>
                <w:rFonts w:ascii="Arial Narrow" w:eastAsiaTheme="minorHAnsi" w:hAnsi="Arial Narrow" w:cstheme="minorBidi"/>
                <w:snapToGrid/>
                <w:sz w:val="20"/>
              </w:rPr>
              <w:t>hospitalisation</w:t>
            </w:r>
            <w:r w:rsidR="001C71B3" w:rsidRPr="002B66AB">
              <w:rPr>
                <w:rFonts w:ascii="Arial Narrow" w:eastAsiaTheme="minorHAnsi" w:hAnsi="Arial Narrow" w:cstheme="minorBidi"/>
                <w:snapToGrid/>
                <w:sz w:val="20"/>
                <w:lang w:val="en-US"/>
              </w:rPr>
              <w:t xml:space="preserve"> costs associated with BSC by 0.61. </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Moderate, favours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p>
        </w:tc>
      </w:tr>
      <w:tr w:rsidR="002B66AB" w:rsidRPr="002B66AB" w:rsidTr="002737C4">
        <w:trPr>
          <w:trHeight w:val="20"/>
        </w:trPr>
        <w:tc>
          <w:tcPr>
            <w:tcW w:w="1409"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Extrapolation of survival</w:t>
            </w:r>
          </w:p>
        </w:tc>
        <w:tc>
          <w:tcPr>
            <w:tcW w:w="2404"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proofErr w:type="spellStart"/>
            <w:r w:rsidRPr="002B66AB">
              <w:rPr>
                <w:rFonts w:ascii="Arial Narrow" w:eastAsiaTheme="minorHAnsi" w:hAnsi="Arial Narrow" w:cstheme="minorBidi"/>
                <w:snapToGrid/>
                <w:sz w:val="20"/>
                <w:lang w:val="en-US"/>
              </w:rPr>
              <w:t>Liou</w:t>
            </w:r>
            <w:proofErr w:type="spellEnd"/>
            <w:r w:rsidRPr="002B66AB">
              <w:rPr>
                <w:rFonts w:ascii="Arial Narrow" w:eastAsiaTheme="minorHAnsi" w:hAnsi="Arial Narrow" w:cstheme="minorBidi"/>
                <w:snapToGrid/>
                <w:sz w:val="20"/>
                <w:lang w:val="en-US"/>
              </w:rPr>
              <w:t xml:space="preserve"> et al (2001), extrapolation of effect of intermediate outcomes on survival. </w:t>
            </w:r>
          </w:p>
        </w:tc>
        <w:tc>
          <w:tcPr>
            <w:tcW w:w="1186" w:type="pct"/>
            <w:shd w:val="clear" w:color="auto" w:fill="auto"/>
            <w:vAlign w:val="center"/>
          </w:tcPr>
          <w:p w:rsidR="001C71B3" w:rsidRPr="002B66AB" w:rsidRDefault="001C71B3" w:rsidP="001C71B3">
            <w:pPr>
              <w:keepNext/>
              <w:widowControl/>
              <w:spacing w:before="40" w:after="40"/>
              <w:jc w:val="left"/>
              <w:rPr>
                <w:rFonts w:ascii="Arial Narrow" w:eastAsiaTheme="minorHAnsi" w:hAnsi="Arial Narrow" w:cstheme="minorBidi"/>
                <w:snapToGrid/>
                <w:sz w:val="20"/>
                <w:lang w:val="en-US"/>
              </w:rPr>
            </w:pPr>
            <w:r w:rsidRPr="002B66AB">
              <w:rPr>
                <w:rFonts w:ascii="Arial Narrow" w:eastAsiaTheme="minorHAnsi" w:hAnsi="Arial Narrow" w:cstheme="minorBidi"/>
                <w:snapToGrid/>
                <w:sz w:val="20"/>
                <w:lang w:val="en-US"/>
              </w:rPr>
              <w:t xml:space="preserve">High, favours </w:t>
            </w:r>
            <w:proofErr w:type="spellStart"/>
            <w:r w:rsidRPr="002B66AB">
              <w:rPr>
                <w:rFonts w:ascii="Arial Narrow" w:eastAsiaTheme="minorHAnsi" w:hAnsi="Arial Narrow" w:cstheme="minorBidi"/>
                <w:snapToGrid/>
                <w:sz w:val="20"/>
                <w:lang w:val="en-US"/>
              </w:rPr>
              <w:t>lumacaftor</w:t>
            </w:r>
            <w:proofErr w:type="spellEnd"/>
            <w:r w:rsidRPr="002B66AB">
              <w:rPr>
                <w:rFonts w:ascii="Arial Narrow" w:eastAsiaTheme="minorHAnsi" w:hAnsi="Arial Narrow" w:cstheme="minorBidi"/>
                <w:snapToGrid/>
                <w:sz w:val="20"/>
                <w:lang w:val="en-US"/>
              </w:rPr>
              <w:t>/</w:t>
            </w:r>
            <w:proofErr w:type="spellStart"/>
            <w:r w:rsidRPr="002B66AB">
              <w:rPr>
                <w:rFonts w:ascii="Arial Narrow" w:eastAsiaTheme="minorHAnsi" w:hAnsi="Arial Narrow" w:cstheme="minorBidi"/>
                <w:snapToGrid/>
                <w:sz w:val="20"/>
                <w:lang w:val="en-US"/>
              </w:rPr>
              <w:t>ivacaftor</w:t>
            </w:r>
            <w:proofErr w:type="spellEnd"/>
          </w:p>
        </w:tc>
      </w:tr>
    </w:tbl>
    <w:p w:rsidR="001C71B3" w:rsidRPr="00F96464" w:rsidRDefault="001C71B3" w:rsidP="001C71B3">
      <w:pPr>
        <w:keepNext/>
        <w:widowControl/>
        <w:jc w:val="left"/>
        <w:rPr>
          <w:rFonts w:ascii="Arial Narrow" w:hAnsi="Arial Narrow"/>
          <w:sz w:val="18"/>
          <w:szCs w:val="18"/>
        </w:rPr>
      </w:pPr>
      <w:r w:rsidRPr="00F96464">
        <w:rPr>
          <w:rFonts w:ascii="Arial Narrow" w:hAnsi="Arial Narrow"/>
          <w:sz w:val="18"/>
          <w:szCs w:val="18"/>
        </w:rPr>
        <w:t>Abbreviations: BSC = best supportive care; PE = pulmonary exacerbation; ppFEV</w:t>
      </w:r>
      <w:r w:rsidRPr="00F96464">
        <w:rPr>
          <w:rFonts w:ascii="Arial Narrow" w:hAnsi="Arial Narrow"/>
          <w:sz w:val="18"/>
          <w:szCs w:val="18"/>
          <w:vertAlign w:val="subscript"/>
        </w:rPr>
        <w:t>1</w:t>
      </w:r>
      <w:r w:rsidRPr="00F96464">
        <w:rPr>
          <w:rFonts w:ascii="Arial Narrow" w:hAnsi="Arial Narrow"/>
          <w:sz w:val="18"/>
          <w:szCs w:val="18"/>
        </w:rPr>
        <w:t>= per cent predicted forced expiratory volume in one second.</w:t>
      </w:r>
    </w:p>
    <w:p w:rsidR="001C71B3" w:rsidRPr="00F96464" w:rsidRDefault="001C71B3" w:rsidP="001C71B3">
      <w:pPr>
        <w:keepNext/>
        <w:widowControl/>
        <w:jc w:val="left"/>
        <w:rPr>
          <w:rFonts w:ascii="Arial Narrow" w:hAnsi="Arial Narrow"/>
          <w:sz w:val="18"/>
          <w:szCs w:val="18"/>
        </w:rPr>
      </w:pPr>
      <w:r w:rsidRPr="00F96464">
        <w:rPr>
          <w:rFonts w:ascii="Arial Narrow" w:hAnsi="Arial Narrow"/>
          <w:sz w:val="18"/>
          <w:szCs w:val="18"/>
        </w:rPr>
        <w:t xml:space="preserve">Source: compiled during the evaluation. </w:t>
      </w:r>
    </w:p>
    <w:p w:rsidR="001C71B3" w:rsidRPr="002B66AB" w:rsidRDefault="001C71B3" w:rsidP="001C71B3">
      <w:pPr>
        <w:widowControl/>
      </w:pPr>
    </w:p>
    <w:p w:rsidR="001C71B3" w:rsidRPr="000B362A" w:rsidRDefault="001C71B3" w:rsidP="00431133">
      <w:pPr>
        <w:pStyle w:val="ListParagraph"/>
        <w:numPr>
          <w:ilvl w:val="1"/>
          <w:numId w:val="45"/>
        </w:numPr>
        <w:ind w:hanging="720"/>
      </w:pPr>
      <w:r w:rsidRPr="000B362A">
        <w:t xml:space="preserve">Results from the economic evaluation with a respecified base case (to reflect use only in those 6 and over) are presented in </w:t>
      </w:r>
      <w:r w:rsidR="006F480C" w:rsidRPr="000B362A">
        <w:rPr>
          <w:rFonts w:asciiTheme="minorHAnsi" w:hAnsiTheme="minorHAnsi" w:cstheme="minorHAnsi"/>
          <w:szCs w:val="24"/>
        </w:rPr>
        <w:t xml:space="preserve">Table </w:t>
      </w:r>
      <w:r w:rsidR="006F480C" w:rsidRPr="000B362A">
        <w:rPr>
          <w:rFonts w:asciiTheme="minorHAnsi" w:hAnsiTheme="minorHAnsi" w:cstheme="minorHAnsi"/>
          <w:noProof/>
          <w:szCs w:val="24"/>
        </w:rPr>
        <w:t>12</w:t>
      </w:r>
      <w:r w:rsidRPr="000B362A">
        <w:rPr>
          <w:rFonts w:asciiTheme="minorHAnsi" w:hAnsiTheme="minorHAnsi" w:cstheme="minorHAnsi"/>
          <w:szCs w:val="24"/>
        </w:rPr>
        <w:t>. These results show that the cost per QALY gained for patients 6 and over was estimated to be $</w:t>
      </w:r>
      <w:r w:rsidR="008D1AE2">
        <w:rPr>
          <w:rFonts w:asciiTheme="minorHAnsi" w:hAnsiTheme="minorHAnsi" w:cstheme="minorHAnsi"/>
          <w:szCs w:val="24"/>
        </w:rPr>
        <w:t>105,000 - $200,000</w:t>
      </w:r>
      <w:r w:rsidRPr="000B362A">
        <w:rPr>
          <w:rFonts w:asciiTheme="minorHAnsi" w:hAnsiTheme="minorHAnsi" w:cstheme="minorHAnsi"/>
          <w:szCs w:val="24"/>
        </w:rPr>
        <w:t>. Restricting the analysis to those aged 6-11 years reduced the ICER to $</w:t>
      </w:r>
      <w:r w:rsidR="008D1AE2">
        <w:rPr>
          <w:rFonts w:asciiTheme="minorHAnsi" w:hAnsiTheme="minorHAnsi" w:cstheme="minorHAnsi"/>
          <w:szCs w:val="24"/>
        </w:rPr>
        <w:t>105,000 - $200,000</w:t>
      </w:r>
      <w:r w:rsidRPr="000B362A">
        <w:rPr>
          <w:rFonts w:asciiTheme="minorHAnsi" w:hAnsiTheme="minorHAnsi" w:cstheme="minorHAnsi"/>
          <w:szCs w:val="24"/>
        </w:rPr>
        <w:t xml:space="preserve"> per QALY, while it increased to $</w:t>
      </w:r>
      <w:r w:rsidR="008D1AE2">
        <w:rPr>
          <w:rFonts w:asciiTheme="minorHAnsi" w:hAnsiTheme="minorHAnsi" w:cstheme="minorHAnsi"/>
          <w:szCs w:val="24"/>
        </w:rPr>
        <w:t>105,000 - $200,00</w:t>
      </w:r>
      <w:r w:rsidR="00DF3441">
        <w:rPr>
          <w:rFonts w:asciiTheme="minorHAnsi" w:hAnsiTheme="minorHAnsi" w:cstheme="minorHAnsi"/>
          <w:szCs w:val="24"/>
        </w:rPr>
        <w:t>0</w:t>
      </w:r>
      <w:r w:rsidRPr="000B362A">
        <w:rPr>
          <w:rFonts w:asciiTheme="minorHAnsi" w:hAnsiTheme="minorHAnsi" w:cstheme="minorHAnsi"/>
          <w:szCs w:val="24"/>
        </w:rPr>
        <w:t xml:space="preserve"> per QALY when restricting the analysis to those 12 and over. These ICERs include the future price </w:t>
      </w:r>
      <w:r w:rsidRPr="008F3B42">
        <w:rPr>
          <w:rFonts w:asciiTheme="minorHAnsi" w:hAnsiTheme="minorHAnsi" w:cstheme="minorHAnsi"/>
          <w:szCs w:val="24"/>
        </w:rPr>
        <w:t xml:space="preserve">reductions (described in </w:t>
      </w:r>
      <w:r w:rsidR="00DF5BBC" w:rsidRPr="008F3B42">
        <w:rPr>
          <w:rFonts w:asciiTheme="minorHAnsi" w:hAnsiTheme="minorHAnsi" w:cstheme="minorHAnsi"/>
          <w:szCs w:val="24"/>
        </w:rPr>
        <w:t>6.</w:t>
      </w:r>
      <w:r w:rsidR="00B432DB" w:rsidRPr="008F3B42">
        <w:rPr>
          <w:rFonts w:asciiTheme="minorHAnsi" w:hAnsiTheme="minorHAnsi" w:cstheme="minorHAnsi"/>
          <w:szCs w:val="24"/>
        </w:rPr>
        <w:t>49</w:t>
      </w:r>
      <w:r w:rsidRPr="008F3B42">
        <w:rPr>
          <w:rFonts w:asciiTheme="minorHAnsi" w:hAnsiTheme="minorHAnsi" w:cstheme="minorHAnsi"/>
          <w:szCs w:val="24"/>
        </w:rPr>
        <w:t xml:space="preserve"> below).</w:t>
      </w:r>
    </w:p>
    <w:p w:rsidR="009F2127" w:rsidRDefault="009F2127">
      <w:pPr>
        <w:widowControl/>
        <w:jc w:val="left"/>
        <w:rPr>
          <w:rFonts w:ascii="Arial Narrow" w:hAnsi="Arial Narrow"/>
          <w:b/>
          <w:bCs/>
          <w:sz w:val="20"/>
          <w:szCs w:val="20"/>
        </w:rPr>
      </w:pPr>
      <w:bookmarkStart w:id="23" w:name="_Ref511217752"/>
      <w:bookmarkStart w:id="24" w:name="_Ref511217748"/>
      <w:r>
        <w:rPr>
          <w:rFonts w:ascii="Arial Narrow" w:hAnsi="Arial Narrow"/>
          <w:b/>
          <w:bCs/>
          <w:sz w:val="20"/>
          <w:szCs w:val="20"/>
        </w:rPr>
        <w:br w:type="page"/>
      </w:r>
    </w:p>
    <w:p w:rsidR="001C71B3" w:rsidRPr="002B66AB" w:rsidRDefault="001C71B3" w:rsidP="001C71B3">
      <w:pPr>
        <w:rPr>
          <w:rFonts w:ascii="Arial Narrow" w:hAnsi="Arial Narrow"/>
          <w:b/>
          <w:bCs/>
          <w:sz w:val="20"/>
          <w:szCs w:val="20"/>
        </w:rPr>
      </w:pPr>
      <w:r w:rsidRPr="002B66AB">
        <w:rPr>
          <w:rFonts w:ascii="Arial Narrow" w:hAnsi="Arial Narrow"/>
          <w:b/>
          <w:bCs/>
          <w:sz w:val="20"/>
          <w:szCs w:val="20"/>
        </w:rPr>
        <w:lastRenderedPageBreak/>
        <w:t xml:space="preserve">Table </w:t>
      </w:r>
      <w:r w:rsidR="006F480C" w:rsidRPr="002B66AB">
        <w:rPr>
          <w:rFonts w:ascii="Arial Narrow" w:hAnsi="Arial Narrow"/>
          <w:b/>
          <w:bCs/>
          <w:noProof/>
          <w:sz w:val="20"/>
          <w:szCs w:val="20"/>
        </w:rPr>
        <w:t>12</w:t>
      </w:r>
      <w:bookmarkEnd w:id="23"/>
      <w:r w:rsidRPr="002B66AB">
        <w:rPr>
          <w:rFonts w:ascii="Arial Narrow" w:hAnsi="Arial Narrow"/>
          <w:b/>
          <w:bCs/>
          <w:sz w:val="20"/>
          <w:szCs w:val="20"/>
        </w:rPr>
        <w:t>: Results of the economic evaluation</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2B66AB" w:rsidRPr="002B66AB" w:rsidTr="002737C4">
        <w:trPr>
          <w:tblHeader/>
        </w:trPr>
        <w:tc>
          <w:tcPr>
            <w:tcW w:w="1529" w:type="pct"/>
            <w:vAlign w:val="center"/>
          </w:tcPr>
          <w:p w:rsidR="001C71B3" w:rsidRPr="002B66AB" w:rsidRDefault="001C71B3" w:rsidP="001C71B3">
            <w:pPr>
              <w:widowControl/>
              <w:jc w:val="left"/>
              <w:rPr>
                <w:rFonts w:ascii="Arial Narrow" w:hAnsi="Arial Narrow" w:cs="Times New Roman"/>
                <w:b/>
                <w:snapToGrid/>
                <w:sz w:val="20"/>
              </w:rPr>
            </w:pPr>
            <w:r w:rsidRPr="002B66AB">
              <w:rPr>
                <w:rFonts w:ascii="Arial Narrow" w:hAnsi="Arial Narrow" w:cs="Times New Roman"/>
                <w:b/>
                <w:snapToGrid/>
                <w:sz w:val="20"/>
              </w:rPr>
              <w:t>Step and component</w:t>
            </w:r>
          </w:p>
        </w:tc>
        <w:tc>
          <w:tcPr>
            <w:tcW w:w="1359" w:type="pct"/>
            <w:vAlign w:val="center"/>
          </w:tcPr>
          <w:p w:rsidR="001C71B3" w:rsidRPr="002B66AB" w:rsidRDefault="001C71B3" w:rsidP="001C71B3">
            <w:pPr>
              <w:widowControl/>
              <w:jc w:val="center"/>
              <w:rPr>
                <w:rFonts w:ascii="Arial Narrow" w:hAnsi="Arial Narrow" w:cs="Times New Roman"/>
                <w:b/>
                <w:snapToGrid/>
                <w:sz w:val="20"/>
              </w:rPr>
            </w:pPr>
            <w:proofErr w:type="spellStart"/>
            <w:r w:rsidRPr="002B66AB">
              <w:rPr>
                <w:rFonts w:ascii="Arial Narrow" w:hAnsi="Arial Narrow" w:cs="Times New Roman"/>
                <w:b/>
                <w:snapToGrid/>
                <w:sz w:val="20"/>
              </w:rPr>
              <w:t>Lumacaftor</w:t>
            </w:r>
            <w:proofErr w:type="spellEnd"/>
            <w:r w:rsidRPr="002B66AB">
              <w:rPr>
                <w:rFonts w:ascii="Arial Narrow" w:hAnsi="Arial Narrow" w:cs="Times New Roman"/>
                <w:b/>
                <w:snapToGrid/>
                <w:sz w:val="20"/>
              </w:rPr>
              <w:t>/</w:t>
            </w:r>
            <w:proofErr w:type="spellStart"/>
            <w:r w:rsidRPr="002B66AB">
              <w:rPr>
                <w:rFonts w:ascii="Arial Narrow" w:hAnsi="Arial Narrow" w:cs="Times New Roman"/>
                <w:b/>
                <w:snapToGrid/>
                <w:sz w:val="20"/>
              </w:rPr>
              <w:t>ivacaftor</w:t>
            </w:r>
            <w:proofErr w:type="spellEnd"/>
          </w:p>
        </w:tc>
        <w:tc>
          <w:tcPr>
            <w:tcW w:w="1274" w:type="pct"/>
            <w:vAlign w:val="center"/>
          </w:tcPr>
          <w:p w:rsidR="001C71B3" w:rsidRPr="002B66AB" w:rsidRDefault="001C71B3" w:rsidP="001C71B3">
            <w:pPr>
              <w:widowControl/>
              <w:jc w:val="center"/>
              <w:rPr>
                <w:rFonts w:ascii="Arial Narrow" w:hAnsi="Arial Narrow" w:cs="Times New Roman"/>
                <w:b/>
                <w:snapToGrid/>
                <w:sz w:val="20"/>
              </w:rPr>
            </w:pPr>
            <w:r w:rsidRPr="002B66AB">
              <w:rPr>
                <w:rFonts w:ascii="Arial Narrow" w:hAnsi="Arial Narrow" w:cs="Times New Roman"/>
                <w:b/>
                <w:snapToGrid/>
                <w:sz w:val="20"/>
              </w:rPr>
              <w:t>Best supportive care</w:t>
            </w:r>
          </w:p>
        </w:tc>
        <w:tc>
          <w:tcPr>
            <w:tcW w:w="838" w:type="pct"/>
            <w:vAlign w:val="center"/>
          </w:tcPr>
          <w:p w:rsidR="001C71B3" w:rsidRPr="002B66AB" w:rsidRDefault="001C71B3" w:rsidP="001C71B3">
            <w:pPr>
              <w:widowControl/>
              <w:jc w:val="center"/>
              <w:rPr>
                <w:rFonts w:ascii="Arial Narrow" w:hAnsi="Arial Narrow" w:cs="Times New Roman"/>
                <w:b/>
                <w:snapToGrid/>
                <w:sz w:val="20"/>
              </w:rPr>
            </w:pPr>
            <w:r w:rsidRPr="002B66AB">
              <w:rPr>
                <w:rFonts w:ascii="Arial Narrow" w:hAnsi="Arial Narrow" w:cs="Times New Roman"/>
                <w:b/>
                <w:snapToGrid/>
                <w:sz w:val="20"/>
              </w:rPr>
              <w:t>Increment</w:t>
            </w:r>
          </w:p>
        </w:tc>
      </w:tr>
      <w:tr w:rsidR="002B66AB" w:rsidRPr="002B66AB" w:rsidTr="002737C4">
        <w:tc>
          <w:tcPr>
            <w:tcW w:w="5000" w:type="pct"/>
            <w:gridSpan w:val="4"/>
            <w:vAlign w:val="center"/>
          </w:tcPr>
          <w:p w:rsidR="001C71B3" w:rsidRPr="002B66AB" w:rsidRDefault="001C71B3" w:rsidP="001C71B3">
            <w:pPr>
              <w:widowControl/>
              <w:jc w:val="left"/>
              <w:rPr>
                <w:rFonts w:ascii="Arial Narrow" w:hAnsi="Arial Narrow" w:cs="Times New Roman"/>
                <w:b/>
                <w:sz w:val="20"/>
              </w:rPr>
            </w:pPr>
            <w:r w:rsidRPr="002B66AB">
              <w:rPr>
                <w:rFonts w:ascii="Arial Narrow" w:hAnsi="Arial Narrow" w:cs="Times New Roman"/>
                <w:b/>
                <w:sz w:val="20"/>
              </w:rPr>
              <w:t>Patients aged 6 years and older, revised base case with cap</w:t>
            </w:r>
          </w:p>
        </w:tc>
      </w:tr>
      <w:tr w:rsidR="002B66AB" w:rsidRPr="002B66AB" w:rsidTr="002737C4">
        <w:tc>
          <w:tcPr>
            <w:tcW w:w="1529" w:type="pct"/>
            <w:vAlign w:val="center"/>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rPr>
              <w:t>Costs</w:t>
            </w:r>
          </w:p>
        </w:tc>
        <w:tc>
          <w:tcPr>
            <w:tcW w:w="1359" w:type="pct"/>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c>
          <w:tcPr>
            <w:tcW w:w="1274" w:type="pct"/>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rPr>
              <w:t>$</w:t>
            </w:r>
            <w:r w:rsidRPr="00D30BF6">
              <w:rPr>
                <w:rFonts w:ascii="Arial Narrow" w:hAnsi="Arial Narrow" w:cs="Times New Roman"/>
                <w:snapToGrid/>
                <w:sz w:val="20"/>
              </w:rPr>
              <w:t>469,441</w:t>
            </w:r>
          </w:p>
        </w:tc>
        <w:tc>
          <w:tcPr>
            <w:tcW w:w="838" w:type="pct"/>
          </w:tcPr>
          <w:p w:rsidR="001C71B3" w:rsidRPr="002B66AB" w:rsidRDefault="001C71B3" w:rsidP="001C71B3">
            <w:pPr>
              <w:widowControl/>
              <w:jc w:val="center"/>
              <w:rPr>
                <w:rFonts w:ascii="Times" w:hAnsi="Times" w:cs="Times New Roman"/>
                <w:snapToGrid/>
                <w:sz w:val="20"/>
                <w:highlight w:val="cyan"/>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1529" w:type="pct"/>
            <w:vAlign w:val="center"/>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rPr>
              <w:t>QALYs</w:t>
            </w:r>
          </w:p>
        </w:tc>
        <w:tc>
          <w:tcPr>
            <w:tcW w:w="1359" w:type="pct"/>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szCs w:val="20"/>
              </w:rPr>
              <w:t>8.30</w:t>
            </w:r>
          </w:p>
        </w:tc>
        <w:tc>
          <w:tcPr>
            <w:tcW w:w="1274" w:type="pct"/>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szCs w:val="20"/>
              </w:rPr>
              <w:t>6.08</w:t>
            </w:r>
          </w:p>
        </w:tc>
        <w:tc>
          <w:tcPr>
            <w:tcW w:w="838" w:type="pct"/>
          </w:tcPr>
          <w:p w:rsidR="001C71B3" w:rsidRPr="002B66AB" w:rsidRDefault="001C71B3" w:rsidP="001C71B3">
            <w:pPr>
              <w:widowControl/>
              <w:jc w:val="center"/>
              <w:rPr>
                <w:rFonts w:ascii="Arial Narrow" w:hAnsi="Arial Narrow" w:cs="Times New Roman"/>
                <w:snapToGrid/>
                <w:sz w:val="20"/>
                <w:highlight w:val="cyan"/>
              </w:rPr>
            </w:pPr>
            <w:r w:rsidRPr="002B66AB">
              <w:rPr>
                <w:rFonts w:ascii="Arial Narrow" w:hAnsi="Arial Narrow" w:cs="Times New Roman"/>
                <w:snapToGrid/>
                <w:sz w:val="20"/>
                <w:szCs w:val="20"/>
              </w:rPr>
              <w:t>2.21</w:t>
            </w:r>
          </w:p>
        </w:tc>
      </w:tr>
      <w:tr w:rsidR="002B66AB" w:rsidRPr="002B66AB" w:rsidTr="002737C4">
        <w:tc>
          <w:tcPr>
            <w:tcW w:w="4162" w:type="pct"/>
            <w:gridSpan w:val="3"/>
            <w:vAlign w:val="center"/>
          </w:tcPr>
          <w:p w:rsidR="001C71B3" w:rsidRPr="002B66AB" w:rsidRDefault="001C71B3" w:rsidP="001C71B3">
            <w:pPr>
              <w:widowControl/>
              <w:jc w:val="left"/>
              <w:rPr>
                <w:rFonts w:ascii="Times" w:hAnsi="Times" w:cs="Times New Roman"/>
                <w:snapToGrid/>
                <w:sz w:val="20"/>
              </w:rPr>
            </w:pPr>
            <w:r w:rsidRPr="002B66AB">
              <w:rPr>
                <w:rFonts w:ascii="Arial Narrow" w:hAnsi="Arial Narrow" w:cs="Times New Roman"/>
                <w:snapToGrid/>
                <w:sz w:val="20"/>
              </w:rPr>
              <w:t xml:space="preserve">Incremental cost/extra QALY gained </w:t>
            </w:r>
          </w:p>
        </w:tc>
        <w:tc>
          <w:tcPr>
            <w:tcW w:w="838" w:type="pct"/>
            <w:vAlign w:val="center"/>
          </w:tcPr>
          <w:p w:rsidR="001C71B3" w:rsidRPr="002B66AB" w:rsidRDefault="001C71B3" w:rsidP="001C71B3">
            <w:pPr>
              <w:widowControl/>
              <w:jc w:val="center"/>
              <w:rPr>
                <w:rFonts w:ascii="Times" w:hAnsi="Times"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5000" w:type="pct"/>
            <w:gridSpan w:val="4"/>
            <w:vAlign w:val="center"/>
          </w:tcPr>
          <w:p w:rsidR="001C71B3" w:rsidRPr="002B66AB" w:rsidRDefault="001C71B3" w:rsidP="001C71B3">
            <w:pPr>
              <w:widowControl/>
              <w:jc w:val="left"/>
              <w:rPr>
                <w:rFonts w:ascii="Arial Narrow" w:hAnsi="Arial Narrow" w:cs="Times New Roman"/>
                <w:b/>
                <w:snapToGrid/>
                <w:sz w:val="20"/>
              </w:rPr>
            </w:pPr>
            <w:r w:rsidRPr="002B66AB">
              <w:rPr>
                <w:rFonts w:ascii="Arial Narrow" w:hAnsi="Arial Narrow" w:cs="Times New Roman"/>
                <w:b/>
                <w:snapToGrid/>
                <w:sz w:val="20"/>
              </w:rPr>
              <w:t xml:space="preserve">Patients aged 6-11 years, scenario with cap </w:t>
            </w: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Costs</w:t>
            </w:r>
          </w:p>
        </w:tc>
        <w:tc>
          <w:tcPr>
            <w:tcW w:w="135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w:t>
            </w:r>
            <w:r w:rsidR="00D155AC">
              <w:rPr>
                <w:rFonts w:ascii="Arial Narrow" w:hAnsi="Arial Narrow" w:cs="Times New Roman"/>
                <w:noProof/>
                <w:color w:val="000000"/>
                <w:sz w:val="20"/>
                <w:highlight w:val="black"/>
              </w:rPr>
              <w:t>''''''''''''''''''</w:t>
            </w:r>
          </w:p>
        </w:tc>
        <w:tc>
          <w:tcPr>
            <w:tcW w:w="1274"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w:t>
            </w:r>
            <w:r w:rsidRPr="00D30BF6">
              <w:rPr>
                <w:rFonts w:ascii="Arial Narrow" w:hAnsi="Arial Narrow" w:cs="Times New Roman"/>
                <w:sz w:val="20"/>
              </w:rPr>
              <w:t>611,930</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QALYs</w:t>
            </w:r>
          </w:p>
        </w:tc>
        <w:tc>
          <w:tcPr>
            <w:tcW w:w="135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13.89</w:t>
            </w:r>
          </w:p>
        </w:tc>
        <w:tc>
          <w:tcPr>
            <w:tcW w:w="1274"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10.70</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3.19</w:t>
            </w:r>
          </w:p>
        </w:tc>
      </w:tr>
      <w:tr w:rsidR="002B66AB" w:rsidRPr="002B66AB" w:rsidTr="002737C4">
        <w:tc>
          <w:tcPr>
            <w:tcW w:w="4162" w:type="pct"/>
            <w:gridSpan w:val="3"/>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Incremental cost/extra QALY gained</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5000" w:type="pct"/>
            <w:gridSpan w:val="4"/>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b/>
                <w:sz w:val="20"/>
              </w:rPr>
              <w:t>Patients aged 6-11 years, scenario without cap</w:t>
            </w: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Costs</w:t>
            </w:r>
          </w:p>
        </w:tc>
        <w:tc>
          <w:tcPr>
            <w:tcW w:w="135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w:t>
            </w:r>
            <w:r w:rsidR="00D155AC">
              <w:rPr>
                <w:rFonts w:ascii="Arial Narrow" w:hAnsi="Arial Narrow" w:cs="Times New Roman"/>
                <w:noProof/>
                <w:color w:val="000000"/>
                <w:sz w:val="20"/>
                <w:highlight w:val="black"/>
              </w:rPr>
              <w:t>'''''''''''''''''''''</w:t>
            </w:r>
          </w:p>
        </w:tc>
        <w:tc>
          <w:tcPr>
            <w:tcW w:w="1274"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w:t>
            </w:r>
            <w:r w:rsidRPr="00D30BF6">
              <w:rPr>
                <w:rFonts w:ascii="Arial Narrow" w:hAnsi="Arial Narrow" w:cs="Times New Roman"/>
                <w:sz w:val="20"/>
              </w:rPr>
              <w:t>611,930</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QALY</w:t>
            </w:r>
          </w:p>
        </w:tc>
        <w:tc>
          <w:tcPr>
            <w:tcW w:w="1359"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13.89</w:t>
            </w:r>
          </w:p>
        </w:tc>
        <w:tc>
          <w:tcPr>
            <w:tcW w:w="1274" w:type="pct"/>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10.70</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3.19</w:t>
            </w:r>
          </w:p>
        </w:tc>
      </w:tr>
      <w:tr w:rsidR="002B66AB" w:rsidRPr="002B66AB" w:rsidTr="002737C4">
        <w:tc>
          <w:tcPr>
            <w:tcW w:w="4162" w:type="pct"/>
            <w:gridSpan w:val="3"/>
            <w:vAlign w:val="center"/>
          </w:tcPr>
          <w:p w:rsidR="001C71B3" w:rsidRPr="002B66AB" w:rsidRDefault="001C71B3" w:rsidP="001C71B3">
            <w:pPr>
              <w:widowControl/>
              <w:jc w:val="left"/>
              <w:rPr>
                <w:rFonts w:ascii="Arial Narrow" w:hAnsi="Arial Narrow" w:cs="Times New Roman"/>
                <w:sz w:val="20"/>
              </w:rPr>
            </w:pPr>
            <w:r w:rsidRPr="002B66AB">
              <w:rPr>
                <w:rFonts w:ascii="Arial Narrow" w:hAnsi="Arial Narrow" w:cs="Times New Roman"/>
                <w:sz w:val="20"/>
              </w:rPr>
              <w:t>Incremental cost/extra QALY gained</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4162" w:type="pct"/>
            <w:gridSpan w:val="3"/>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b/>
                <w:sz w:val="20"/>
              </w:rPr>
              <w:t>Patients aged 12 years and older, scenario with cap</w:t>
            </w:r>
          </w:p>
        </w:tc>
        <w:tc>
          <w:tcPr>
            <w:tcW w:w="838" w:type="pct"/>
            <w:vAlign w:val="center"/>
          </w:tcPr>
          <w:p w:rsidR="001C71B3" w:rsidRPr="002B66AB" w:rsidRDefault="001C71B3" w:rsidP="001C71B3">
            <w:pPr>
              <w:widowControl/>
              <w:jc w:val="center"/>
              <w:rPr>
                <w:rFonts w:ascii="Arial Narrow" w:hAnsi="Arial Narrow" w:cs="Times New Roman"/>
                <w:snapToGrid/>
                <w:sz w:val="20"/>
              </w:rPr>
            </w:pP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Costs</w:t>
            </w:r>
          </w:p>
        </w:tc>
        <w:tc>
          <w:tcPr>
            <w:tcW w:w="1359" w:type="pct"/>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c>
          <w:tcPr>
            <w:tcW w:w="1274" w:type="pct"/>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w:t>
            </w:r>
            <w:r w:rsidRPr="00D30BF6">
              <w:rPr>
                <w:rFonts w:ascii="Arial Narrow" w:hAnsi="Arial Narrow" w:cs="Times New Roman"/>
                <w:snapToGrid/>
                <w:sz w:val="20"/>
              </w:rPr>
              <w:t>437,044</w:t>
            </w:r>
          </w:p>
        </w:tc>
        <w:tc>
          <w:tcPr>
            <w:tcW w:w="838" w:type="pct"/>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QALYs</w:t>
            </w:r>
          </w:p>
        </w:tc>
        <w:tc>
          <w:tcPr>
            <w:tcW w:w="1359" w:type="pct"/>
            <w:tcBorders>
              <w:top w:val="single" w:sz="4" w:space="0" w:color="auto"/>
              <w:left w:val="nil"/>
              <w:bottom w:val="single" w:sz="4" w:space="0" w:color="auto"/>
              <w:right w:val="single" w:sz="4" w:space="0" w:color="auto"/>
            </w:tcBorders>
            <w:shd w:val="clear" w:color="auto" w:fill="auto"/>
            <w:vAlign w:val="bottom"/>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szCs w:val="20"/>
              </w:rPr>
              <w:t>6.91</w:t>
            </w:r>
          </w:p>
        </w:tc>
        <w:tc>
          <w:tcPr>
            <w:tcW w:w="1274" w:type="pct"/>
            <w:tcBorders>
              <w:top w:val="single" w:sz="4" w:space="0" w:color="auto"/>
              <w:left w:val="nil"/>
              <w:bottom w:val="single" w:sz="4" w:space="0" w:color="auto"/>
              <w:right w:val="single" w:sz="4" w:space="0" w:color="auto"/>
            </w:tcBorders>
            <w:shd w:val="clear" w:color="auto" w:fill="auto"/>
            <w:vAlign w:val="bottom"/>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szCs w:val="20"/>
              </w:rPr>
              <w:t>4.94</w:t>
            </w:r>
          </w:p>
        </w:tc>
        <w:tc>
          <w:tcPr>
            <w:tcW w:w="838" w:type="pct"/>
            <w:tcBorders>
              <w:top w:val="single" w:sz="4" w:space="0" w:color="auto"/>
              <w:left w:val="nil"/>
              <w:bottom w:val="single" w:sz="4" w:space="0" w:color="auto"/>
              <w:right w:val="single" w:sz="4" w:space="0" w:color="auto"/>
            </w:tcBorders>
            <w:shd w:val="clear" w:color="auto" w:fill="auto"/>
            <w:vAlign w:val="bottom"/>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szCs w:val="20"/>
              </w:rPr>
              <w:t>1.97</w:t>
            </w:r>
          </w:p>
        </w:tc>
      </w:tr>
      <w:tr w:rsidR="002B66AB" w:rsidRPr="002B66AB" w:rsidTr="002737C4">
        <w:tc>
          <w:tcPr>
            <w:tcW w:w="4162" w:type="pct"/>
            <w:gridSpan w:val="3"/>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Incremental cost/extra QALY gained</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4162" w:type="pct"/>
            <w:gridSpan w:val="3"/>
            <w:vAlign w:val="center"/>
          </w:tcPr>
          <w:p w:rsidR="001C71B3" w:rsidRPr="002B66AB" w:rsidRDefault="001C71B3" w:rsidP="001C71B3">
            <w:pPr>
              <w:widowControl/>
              <w:jc w:val="left"/>
              <w:rPr>
                <w:rFonts w:ascii="Arial Narrow" w:hAnsi="Arial Narrow" w:cs="Times New Roman"/>
                <w:b/>
                <w:snapToGrid/>
                <w:sz w:val="20"/>
              </w:rPr>
            </w:pPr>
            <w:r w:rsidRPr="002B66AB">
              <w:rPr>
                <w:rFonts w:ascii="Arial Narrow" w:hAnsi="Arial Narrow" w:cs="Times New Roman"/>
                <w:b/>
                <w:snapToGrid/>
                <w:sz w:val="20"/>
              </w:rPr>
              <w:t>Patients aged 12 years and older, scenario without cap</w:t>
            </w:r>
          </w:p>
        </w:tc>
        <w:tc>
          <w:tcPr>
            <w:tcW w:w="838" w:type="pct"/>
            <w:vAlign w:val="center"/>
          </w:tcPr>
          <w:p w:rsidR="001C71B3" w:rsidRPr="002B66AB" w:rsidRDefault="001C71B3" w:rsidP="001C71B3">
            <w:pPr>
              <w:widowControl/>
              <w:jc w:val="center"/>
              <w:rPr>
                <w:rFonts w:ascii="Arial Narrow" w:hAnsi="Arial Narrow" w:cs="Times New Roman"/>
                <w:snapToGrid/>
                <w:sz w:val="20"/>
              </w:rPr>
            </w:pP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Costs</w:t>
            </w:r>
          </w:p>
        </w:tc>
        <w:tc>
          <w:tcPr>
            <w:tcW w:w="1359"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c>
          <w:tcPr>
            <w:tcW w:w="1274"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w:t>
            </w:r>
            <w:r w:rsidRPr="00D30BF6">
              <w:rPr>
                <w:rFonts w:ascii="Arial Narrow" w:hAnsi="Arial Narrow" w:cs="Times New Roman"/>
                <w:snapToGrid/>
                <w:sz w:val="20"/>
              </w:rPr>
              <w:t>437,044</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r w:rsidR="002B66AB" w:rsidRPr="002B66AB" w:rsidTr="002737C4">
        <w:tc>
          <w:tcPr>
            <w:tcW w:w="1529"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QALY</w:t>
            </w:r>
          </w:p>
        </w:tc>
        <w:tc>
          <w:tcPr>
            <w:tcW w:w="1359"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6.91</w:t>
            </w:r>
          </w:p>
        </w:tc>
        <w:tc>
          <w:tcPr>
            <w:tcW w:w="1274" w:type="pct"/>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4.94</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1.97</w:t>
            </w:r>
          </w:p>
        </w:tc>
      </w:tr>
      <w:tr w:rsidR="002B66AB" w:rsidRPr="002B66AB" w:rsidTr="002737C4">
        <w:tc>
          <w:tcPr>
            <w:tcW w:w="4162" w:type="pct"/>
            <w:gridSpan w:val="3"/>
            <w:vAlign w:val="center"/>
          </w:tcPr>
          <w:p w:rsidR="001C71B3" w:rsidRPr="002B66AB" w:rsidRDefault="001C71B3" w:rsidP="001C71B3">
            <w:pPr>
              <w:widowControl/>
              <w:jc w:val="left"/>
              <w:rPr>
                <w:rFonts w:ascii="Arial Narrow" w:hAnsi="Arial Narrow" w:cs="Times New Roman"/>
                <w:snapToGrid/>
                <w:sz w:val="20"/>
              </w:rPr>
            </w:pPr>
            <w:r w:rsidRPr="002B66AB">
              <w:rPr>
                <w:rFonts w:ascii="Arial Narrow" w:hAnsi="Arial Narrow" w:cs="Times New Roman"/>
                <w:snapToGrid/>
                <w:sz w:val="20"/>
              </w:rPr>
              <w:t>Incremental cost/extra QALY gained</w:t>
            </w:r>
          </w:p>
        </w:tc>
        <w:tc>
          <w:tcPr>
            <w:tcW w:w="838" w:type="pct"/>
            <w:vAlign w:val="center"/>
          </w:tcPr>
          <w:p w:rsidR="001C71B3" w:rsidRPr="002B66AB" w:rsidRDefault="001C71B3" w:rsidP="001C71B3">
            <w:pPr>
              <w:widowControl/>
              <w:jc w:val="center"/>
              <w:rPr>
                <w:rFonts w:ascii="Arial Narrow" w:hAnsi="Arial Narrow" w:cs="Times New Roman"/>
                <w:snapToGrid/>
                <w:sz w:val="20"/>
              </w:rPr>
            </w:pPr>
            <w:r w:rsidRPr="002B66AB">
              <w:rPr>
                <w:rFonts w:ascii="Arial Narrow" w:hAnsi="Arial Narrow" w:cs="Times New Roman"/>
                <w:snapToGrid/>
                <w:sz w:val="20"/>
              </w:rPr>
              <w:t>$</w:t>
            </w:r>
            <w:r w:rsidR="00D155AC">
              <w:rPr>
                <w:rFonts w:ascii="Arial Narrow" w:hAnsi="Arial Narrow" w:cs="Times New Roman"/>
                <w:noProof/>
                <w:snapToGrid/>
                <w:color w:val="000000"/>
                <w:sz w:val="20"/>
                <w:highlight w:val="black"/>
              </w:rPr>
              <w:t>''''''''''''''''''</w:t>
            </w:r>
          </w:p>
        </w:tc>
      </w:tr>
    </w:tbl>
    <w:p w:rsidR="001C71B3" w:rsidRPr="002B66AB" w:rsidRDefault="001C71B3" w:rsidP="001C71B3">
      <w:pPr>
        <w:rPr>
          <w:rFonts w:ascii="Arial Narrow" w:hAnsi="Arial Narrow"/>
          <w:sz w:val="18"/>
          <w:szCs w:val="18"/>
        </w:rPr>
      </w:pPr>
      <w:r w:rsidRPr="002B66AB">
        <w:rPr>
          <w:rFonts w:ascii="Arial Narrow" w:hAnsi="Arial Narrow"/>
          <w:sz w:val="18"/>
          <w:szCs w:val="18"/>
        </w:rPr>
        <w:t>Abbreviations: QALY=quality adjusted life year.</w:t>
      </w:r>
    </w:p>
    <w:p w:rsidR="001C71B3" w:rsidRPr="002B66AB" w:rsidRDefault="001C71B3" w:rsidP="001C71B3">
      <w:pPr>
        <w:rPr>
          <w:rFonts w:ascii="Arial Narrow" w:hAnsi="Arial Narrow"/>
          <w:sz w:val="18"/>
          <w:szCs w:val="18"/>
        </w:rPr>
      </w:pPr>
      <w:r w:rsidRPr="002B66AB">
        <w:rPr>
          <w:rFonts w:ascii="Arial Narrow" w:hAnsi="Arial Narrow"/>
          <w:sz w:val="18"/>
          <w:szCs w:val="18"/>
        </w:rPr>
        <w:t>Note: Base case ICER from the submission of patients aged 2 years and older is $</w:t>
      </w:r>
      <w:r w:rsidR="00D155AC">
        <w:rPr>
          <w:rFonts w:ascii="Arial Narrow" w:hAnsi="Arial Narrow"/>
          <w:noProof/>
          <w:color w:val="000000"/>
          <w:sz w:val="18"/>
          <w:szCs w:val="18"/>
          <w:highlight w:val="black"/>
        </w:rPr>
        <w:t>'''''''''''''''''</w:t>
      </w:r>
      <w:r w:rsidRPr="002B66AB">
        <w:rPr>
          <w:rFonts w:ascii="Arial Narrow" w:hAnsi="Arial Narrow"/>
          <w:sz w:val="18"/>
          <w:szCs w:val="18"/>
        </w:rPr>
        <w:t xml:space="preserve"> per QALY gained with incremental cost of $</w:t>
      </w:r>
      <w:r w:rsidR="00D155AC">
        <w:rPr>
          <w:rFonts w:ascii="Arial Narrow" w:hAnsi="Arial Narrow"/>
          <w:noProof/>
          <w:color w:val="000000"/>
          <w:sz w:val="18"/>
          <w:szCs w:val="18"/>
          <w:highlight w:val="black"/>
        </w:rPr>
        <w:t>'''''''''''''''''</w:t>
      </w:r>
      <w:r w:rsidRPr="002B66AB">
        <w:rPr>
          <w:rFonts w:ascii="Arial Narrow" w:hAnsi="Arial Narrow"/>
          <w:sz w:val="18"/>
          <w:szCs w:val="18"/>
        </w:rPr>
        <w:t xml:space="preserve"> and incremental QALY of 2.29.</w:t>
      </w:r>
    </w:p>
    <w:p w:rsidR="001C71B3" w:rsidRPr="002B66AB" w:rsidRDefault="001C71B3" w:rsidP="001C71B3">
      <w:pPr>
        <w:rPr>
          <w:rFonts w:ascii="Arial Narrow" w:hAnsi="Arial Narrow"/>
          <w:sz w:val="18"/>
        </w:rPr>
      </w:pPr>
      <w:r w:rsidRPr="002B66AB">
        <w:rPr>
          <w:rFonts w:ascii="Arial Narrow" w:hAnsi="Arial Narrow"/>
          <w:sz w:val="18"/>
        </w:rPr>
        <w:t>Source: Compiled during the evaluation setting the patient filter to patients aged 6 years and older. Excel spreadsheet “</w:t>
      </w:r>
      <w:proofErr w:type="spellStart"/>
      <w:r w:rsidRPr="002B66AB">
        <w:rPr>
          <w:rFonts w:ascii="Arial Narrow" w:hAnsi="Arial Narrow"/>
          <w:sz w:val="18"/>
        </w:rPr>
        <w:t>Orkambi</w:t>
      </w:r>
      <w:proofErr w:type="spellEnd"/>
      <w:r w:rsidRPr="002B66AB">
        <w:rPr>
          <w:rFonts w:ascii="Arial Narrow" w:hAnsi="Arial Narrow"/>
          <w:sz w:val="18"/>
        </w:rPr>
        <w:t xml:space="preserve"> 2+ cost effectiveness model March 2018 FINAL’, sheet ‘Results’.</w:t>
      </w:r>
    </w:p>
    <w:p w:rsidR="001C71B3" w:rsidRPr="002B66AB" w:rsidRDefault="001C71B3" w:rsidP="001C71B3"/>
    <w:p w:rsidR="00A21ABC" w:rsidRDefault="00A21ABC" w:rsidP="00A21ABC">
      <w:r>
        <w:t xml:space="preserve">The redacted table shows ICERs in the range of $105,000/QALY – more than $200,000/QALY. </w:t>
      </w:r>
    </w:p>
    <w:p w:rsidR="00A21ABC" w:rsidRDefault="00A21ABC" w:rsidP="00A21ABC"/>
    <w:p w:rsidR="001C71B3" w:rsidRPr="002B66AB" w:rsidRDefault="001C71B3" w:rsidP="00431133">
      <w:pPr>
        <w:pStyle w:val="ListParagraph"/>
        <w:numPr>
          <w:ilvl w:val="1"/>
          <w:numId w:val="45"/>
        </w:numPr>
        <w:ind w:hanging="720"/>
      </w:pPr>
      <w:r w:rsidRPr="002B66AB">
        <w:t xml:space="preserve">The model </w:t>
      </w:r>
      <w:r w:rsidR="00790825" w:rsidRPr="002B66AB">
        <w:t xml:space="preserve">initially provided with the July 2018 submission </w:t>
      </w:r>
      <w:r w:rsidRPr="002B66AB">
        <w:t>incorporated a decline in ppFEV</w:t>
      </w:r>
      <w:r w:rsidRPr="002B66AB">
        <w:rPr>
          <w:vertAlign w:val="subscript"/>
        </w:rPr>
        <w:t>1</w:t>
      </w:r>
      <w:r w:rsidRPr="002B66AB">
        <w:t xml:space="preserve"> in </w:t>
      </w:r>
      <w:proofErr w:type="spellStart"/>
      <w:r w:rsidRPr="002B66AB">
        <w:t>lumacaftor</w:t>
      </w:r>
      <w:proofErr w:type="spellEnd"/>
      <w:r w:rsidRPr="002B66AB">
        <w:t>/</w:t>
      </w:r>
      <w:proofErr w:type="spellStart"/>
      <w:r w:rsidRPr="002B66AB">
        <w:t>ivacaftor</w:t>
      </w:r>
      <w:proofErr w:type="spellEnd"/>
      <w:r w:rsidRPr="002B66AB">
        <w:t xml:space="preserve"> patients beyond the 24 weeks trial period to life time at a rate of </w:t>
      </w:r>
      <w:r w:rsidR="00D155AC">
        <w:rPr>
          <w:noProof/>
          <w:color w:val="000000"/>
          <w:highlight w:val="black"/>
        </w:rPr>
        <w:t>''''''</w:t>
      </w:r>
      <w:r w:rsidRPr="002B66AB">
        <w:t xml:space="preserve">% of BSC decline (declines of </w:t>
      </w:r>
      <w:r w:rsidR="00D155AC">
        <w:rPr>
          <w:noProof/>
          <w:color w:val="000000"/>
          <w:highlight w:val="black"/>
        </w:rPr>
        <w:t>'''''</w:t>
      </w:r>
      <w:r w:rsidRPr="002B66AB">
        <w:t xml:space="preserve">% and </w:t>
      </w:r>
      <w:r w:rsidR="00D155AC">
        <w:rPr>
          <w:noProof/>
          <w:color w:val="000000"/>
          <w:highlight w:val="black"/>
        </w:rPr>
        <w:t>'''''</w:t>
      </w:r>
      <w:r w:rsidRPr="002B66AB">
        <w:t xml:space="preserve">% were tested in the sensitivity analysis; Table </w:t>
      </w:r>
      <w:r w:rsidR="009B1F1D">
        <w:t>13</w:t>
      </w:r>
      <w:r w:rsidRPr="002B66AB">
        <w:t>). This decline was informed by the longer term ppFEV</w:t>
      </w:r>
      <w:r w:rsidRPr="002B66AB">
        <w:rPr>
          <w:vertAlign w:val="subscript"/>
        </w:rPr>
        <w:t>1</w:t>
      </w:r>
      <w:r w:rsidRPr="002B66AB">
        <w:t xml:space="preserve"> data from the extension trial PROGRESS</w:t>
      </w:r>
      <w:r w:rsidRPr="002B66AB">
        <w:rPr>
          <w:i/>
        </w:rPr>
        <w:t xml:space="preserve">, </w:t>
      </w:r>
      <w:r w:rsidRPr="002B66AB">
        <w:t xml:space="preserve">which showed that patients on </w:t>
      </w:r>
      <w:proofErr w:type="spellStart"/>
      <w:r w:rsidRPr="002B66AB">
        <w:t>lumacaftor</w:t>
      </w:r>
      <w:proofErr w:type="spellEnd"/>
      <w:r w:rsidRPr="002B66AB">
        <w:t>/</w:t>
      </w:r>
      <w:proofErr w:type="spellStart"/>
      <w:r w:rsidRPr="002B66AB">
        <w:t>ivacaftor</w:t>
      </w:r>
      <w:proofErr w:type="spellEnd"/>
      <w:r w:rsidRPr="002B66AB">
        <w:t xml:space="preserve"> had a decline in FEV that was 58% that of matched control group in follow up to 96 weeks. This differs from the July 2017 resubmission of </w:t>
      </w:r>
      <w:proofErr w:type="spellStart"/>
      <w:r w:rsidRPr="002B66AB">
        <w:t>lumacaftor</w:t>
      </w:r>
      <w:proofErr w:type="spellEnd"/>
      <w:r w:rsidRPr="002B66AB">
        <w:t>/</w:t>
      </w:r>
      <w:proofErr w:type="spellStart"/>
      <w:r w:rsidRPr="002B66AB">
        <w:t>ivacaftor</w:t>
      </w:r>
      <w:proofErr w:type="spellEnd"/>
      <w:r w:rsidRPr="002B66AB">
        <w:t xml:space="preserve"> in patients aged 12 years and older as previously it was assumed that there was no decline in ppFEV</w:t>
      </w:r>
      <w:r w:rsidRPr="002B66AB">
        <w:rPr>
          <w:vertAlign w:val="subscript"/>
        </w:rPr>
        <w:t>1</w:t>
      </w:r>
      <w:r w:rsidRPr="002B66AB">
        <w:t xml:space="preserve"> post 24 weeks in the </w:t>
      </w:r>
      <w:proofErr w:type="spellStart"/>
      <w:r w:rsidRPr="002B66AB">
        <w:t>lumacaftor</w:t>
      </w:r>
      <w:proofErr w:type="spellEnd"/>
      <w:r w:rsidRPr="002B66AB">
        <w:t>/</w:t>
      </w:r>
      <w:proofErr w:type="spellStart"/>
      <w:r w:rsidRPr="002B66AB">
        <w:t>ivacaftor</w:t>
      </w:r>
      <w:proofErr w:type="spellEnd"/>
      <w:r w:rsidRPr="002B66AB">
        <w:t xml:space="preserve"> treated patients. </w:t>
      </w:r>
      <w:r w:rsidR="00790825" w:rsidRPr="002B66AB">
        <w:t>S</w:t>
      </w:r>
      <w:r w:rsidRPr="002B66AB">
        <w:t xml:space="preserve">ensitivity analysis setting the decline to 100% of BSC (see Table 14) resulted in an ICER of </w:t>
      </w:r>
      <w:r w:rsidR="008D1AE2">
        <w:t xml:space="preserve">more than </w:t>
      </w:r>
      <w:r w:rsidRPr="002B66AB">
        <w:t>$</w:t>
      </w:r>
      <w:r w:rsidR="008D1AE2">
        <w:t>200,000</w:t>
      </w:r>
      <w:r w:rsidRPr="002B66AB">
        <w:t xml:space="preserve">. </w:t>
      </w:r>
    </w:p>
    <w:p w:rsidR="001C71B3" w:rsidRPr="002B66AB" w:rsidRDefault="001C71B3" w:rsidP="00431133">
      <w:pPr>
        <w:pStyle w:val="ListParagraph"/>
        <w:numPr>
          <w:ilvl w:val="1"/>
          <w:numId w:val="45"/>
        </w:numPr>
        <w:ind w:hanging="720"/>
      </w:pPr>
      <w:r w:rsidRPr="002B66AB">
        <w:t xml:space="preserve">Of the three </w:t>
      </w:r>
      <w:proofErr w:type="gramStart"/>
      <w:r w:rsidRPr="002B66AB">
        <w:t>treatment</w:t>
      </w:r>
      <w:proofErr w:type="gramEnd"/>
      <w:r w:rsidRPr="002B66AB">
        <w:t xml:space="preserve"> effect characteristics captured by the </w:t>
      </w:r>
      <w:proofErr w:type="spellStart"/>
      <w:r w:rsidRPr="002B66AB">
        <w:t>Liou</w:t>
      </w:r>
      <w:proofErr w:type="spellEnd"/>
      <w:r w:rsidRPr="002B66AB">
        <w:t xml:space="preserve"> CPH model, the only input value specific to patients aged 6 to 11 taken from Study 109 was for ppFEV</w:t>
      </w:r>
      <w:r w:rsidRPr="002B66AB">
        <w:rPr>
          <w:vertAlign w:val="subscript"/>
        </w:rPr>
        <w:t>1</w:t>
      </w:r>
      <w:r w:rsidRPr="002B66AB">
        <w:t>. The model assumed that patients aged 6 to 11 years would have the same changes in weight-for-age z-score (which was available from Study 109, where there was no significant difference) as the patients aged 12</w:t>
      </w:r>
      <w:r w:rsidR="00B628E9" w:rsidRPr="002B66AB">
        <w:t xml:space="preserve"> years and older from PROGRESS. </w:t>
      </w:r>
      <w:r w:rsidRPr="002B66AB">
        <w:t xml:space="preserve">Using the weight-for-age z-score from Study 109 (same for </w:t>
      </w:r>
      <w:proofErr w:type="spellStart"/>
      <w:r w:rsidRPr="002B66AB">
        <w:t>lumacaftor</w:t>
      </w:r>
      <w:proofErr w:type="spellEnd"/>
      <w:r w:rsidRPr="002B66AB">
        <w:t>/</w:t>
      </w:r>
      <w:proofErr w:type="spellStart"/>
      <w:r w:rsidRPr="002B66AB">
        <w:t>ivacaftor</w:t>
      </w:r>
      <w:proofErr w:type="spellEnd"/>
      <w:r w:rsidRPr="002B66AB">
        <w:t xml:space="preserve"> and BSC) had minimal impact on the ICER. </w:t>
      </w:r>
    </w:p>
    <w:p w:rsidR="001C71B3" w:rsidRPr="002B66AB" w:rsidRDefault="001C71B3" w:rsidP="00431133">
      <w:pPr>
        <w:pStyle w:val="ListParagraph"/>
        <w:numPr>
          <w:ilvl w:val="1"/>
          <w:numId w:val="45"/>
        </w:numPr>
        <w:ind w:hanging="720"/>
      </w:pPr>
      <w:r w:rsidRPr="002B66AB">
        <w:lastRenderedPageBreak/>
        <w:t xml:space="preserve">The submission assumed that there would be no difference in </w:t>
      </w:r>
      <w:proofErr w:type="spellStart"/>
      <w:r w:rsidRPr="002B66AB">
        <w:t>PEx</w:t>
      </w:r>
      <w:proofErr w:type="spellEnd"/>
      <w:r w:rsidRPr="002B66AB">
        <w:t xml:space="preserve"> for patients aged 6 to 11 years between those treated with BSC and </w:t>
      </w:r>
      <w:proofErr w:type="spellStart"/>
      <w:r w:rsidRPr="002B66AB">
        <w:t>lumacaftor</w:t>
      </w:r>
      <w:proofErr w:type="spellEnd"/>
      <w:r w:rsidRPr="002B66AB">
        <w:t>/</w:t>
      </w:r>
      <w:proofErr w:type="spellStart"/>
      <w:r w:rsidRPr="002B66AB">
        <w:t>ivacaftor</w:t>
      </w:r>
      <w:proofErr w:type="spellEnd"/>
      <w:r w:rsidRPr="002B66AB">
        <w:t xml:space="preserve">. This was appropriate given that Study 109 did not find any statistically significant differences in the number of </w:t>
      </w:r>
      <w:proofErr w:type="spellStart"/>
      <w:r w:rsidRPr="002B66AB">
        <w:t>PEx</w:t>
      </w:r>
      <w:proofErr w:type="spellEnd"/>
      <w:r w:rsidRPr="002B66AB">
        <w:t xml:space="preserve">. However, the </w:t>
      </w:r>
      <w:r w:rsidR="00790825" w:rsidRPr="002B66AB">
        <w:t xml:space="preserve">PBAC </w:t>
      </w:r>
      <w:r w:rsidRPr="002B66AB">
        <w:t xml:space="preserve">noted that the submission applied a 61.5% reduction to hospitalisation-specific disease management costs for the </w:t>
      </w:r>
      <w:proofErr w:type="spellStart"/>
      <w:r w:rsidRPr="002B66AB">
        <w:t>lumacaftor</w:t>
      </w:r>
      <w:proofErr w:type="spellEnd"/>
      <w:r w:rsidRPr="002B66AB">
        <w:t>/</w:t>
      </w:r>
      <w:proofErr w:type="spellStart"/>
      <w:r w:rsidRPr="002B66AB">
        <w:t>ivacaftor</w:t>
      </w:r>
      <w:proofErr w:type="spellEnd"/>
      <w:r w:rsidRPr="002B66AB">
        <w:t xml:space="preserve"> arm of the model for all age groups controlling for ppFEV</w:t>
      </w:r>
      <w:r w:rsidRPr="002B66AB">
        <w:rPr>
          <w:vertAlign w:val="subscript"/>
        </w:rPr>
        <w:t>1,</w:t>
      </w:r>
      <w:r w:rsidRPr="002B66AB">
        <w:t xml:space="preserve"> which was not justified by the evidence presented in the submission. </w:t>
      </w:r>
    </w:p>
    <w:p w:rsidR="001C71B3" w:rsidRPr="002B66AB" w:rsidRDefault="001C71B3" w:rsidP="00431133">
      <w:pPr>
        <w:pStyle w:val="ListParagraph"/>
        <w:numPr>
          <w:ilvl w:val="1"/>
          <w:numId w:val="45"/>
        </w:numPr>
        <w:ind w:hanging="720"/>
      </w:pPr>
      <w:r w:rsidRPr="002B66AB">
        <w:t xml:space="preserve">The submission applied a 5% statutory price reduction after 5 years and a </w:t>
      </w:r>
      <w:r w:rsidR="00D155AC">
        <w:rPr>
          <w:noProof/>
          <w:color w:val="000000"/>
          <w:highlight w:val="black"/>
        </w:rPr>
        <w:t>'''''</w:t>
      </w:r>
      <w:r w:rsidRPr="002B66AB">
        <w:t>% reduction in cost following generic entry after loss of exclusivity date (7.94 years) to this cap. The PBAC has previously considered that the application of such price reductions is inappropriate (paragraph 6.42, July 2017 PSD). The ESC noted that removing these price reductions in the model resulted in an increase to the base case ICER (for patients aged 6 years and over) from $</w:t>
      </w:r>
      <w:r w:rsidR="008D1AE2">
        <w:t>105,000/QALY - $200,000/QALY</w:t>
      </w:r>
      <w:r w:rsidRPr="002B66AB">
        <w:t xml:space="preserve"> to </w:t>
      </w:r>
      <w:r w:rsidR="008D1AE2">
        <w:t xml:space="preserve">more than </w:t>
      </w:r>
      <w:r w:rsidRPr="002B66AB">
        <w:t>$</w:t>
      </w:r>
      <w:r w:rsidR="008D1AE2">
        <w:t>200,000/QALY</w:t>
      </w:r>
      <w:r w:rsidRPr="002B66AB">
        <w:t>. Furth</w:t>
      </w:r>
      <w:r w:rsidR="00D5742B">
        <w:t xml:space="preserve">er, the ESC noted that with </w:t>
      </w:r>
      <w:proofErr w:type="spellStart"/>
      <w:r w:rsidR="00D5742B">
        <w:t>teza</w:t>
      </w:r>
      <w:r w:rsidRPr="002B66AB">
        <w:t>c</w:t>
      </w:r>
      <w:r w:rsidR="00D5742B">
        <w:t>a</w:t>
      </w:r>
      <w:r w:rsidRPr="002B66AB">
        <w:t>ftor</w:t>
      </w:r>
      <w:proofErr w:type="spellEnd"/>
      <w:r w:rsidRPr="002B66AB">
        <w:t>/</w:t>
      </w:r>
      <w:proofErr w:type="spellStart"/>
      <w:r w:rsidRPr="002B66AB">
        <w:t>ivacaftor</w:t>
      </w:r>
      <w:proofErr w:type="spellEnd"/>
      <w:r w:rsidRPr="002B66AB">
        <w:t xml:space="preserve"> on the horizon (recently approved overseas for patients aged 12 years and older and currently under consideration by the TGA) use of </w:t>
      </w:r>
      <w:proofErr w:type="spellStart"/>
      <w:r w:rsidRPr="002B66AB">
        <w:t>lumacaftor</w:t>
      </w:r>
      <w:proofErr w:type="spellEnd"/>
      <w:r w:rsidRPr="002B66AB">
        <w:t xml:space="preserve"> with </w:t>
      </w:r>
      <w:proofErr w:type="spellStart"/>
      <w:r w:rsidRPr="002B66AB">
        <w:t>ivacaftor</w:t>
      </w:r>
      <w:proofErr w:type="spellEnd"/>
      <w:r w:rsidRPr="002B66AB">
        <w:t xml:space="preserve"> post-loss of exclusivity may be displaced by this other combination. </w:t>
      </w:r>
    </w:p>
    <w:p w:rsidR="001C71B3" w:rsidRPr="002B66AB" w:rsidRDefault="001C71B3" w:rsidP="00431133">
      <w:pPr>
        <w:pStyle w:val="ListParagraph"/>
        <w:numPr>
          <w:ilvl w:val="1"/>
          <w:numId w:val="45"/>
        </w:numPr>
        <w:ind w:hanging="720"/>
      </w:pPr>
      <w:r w:rsidRPr="002B66AB">
        <w:t xml:space="preserve">The sensitivity analyses conducted during the evaluation for patients aged 6 years and older which resulted in a variation in the ICER of more than </w:t>
      </w:r>
      <w:r w:rsidR="00D155AC">
        <w:rPr>
          <w:noProof/>
          <w:color w:val="000000"/>
          <w:highlight w:val="black"/>
        </w:rPr>
        <w:t>'''''</w:t>
      </w:r>
      <w:r w:rsidRPr="000978E4">
        <w:t>%</w:t>
      </w:r>
      <w:r w:rsidRPr="002B66AB">
        <w:t xml:space="preserve"> are presented in </w:t>
      </w:r>
      <w:r w:rsidR="006F480C" w:rsidRPr="002B66AB">
        <w:t>Table 13</w:t>
      </w:r>
      <w:r w:rsidRPr="002B66AB">
        <w:t xml:space="preserve"> (and in the tornado diagram at Figure 1). These show that the largest single impact on the ICER was due to the application of the proposed financial cap and associated price reductions (removal of the cap resulting in an ICER of </w:t>
      </w:r>
      <w:r w:rsidR="00A60D67">
        <w:t xml:space="preserve">more than </w:t>
      </w:r>
      <w:r w:rsidRPr="002B66AB">
        <w:t>$</w:t>
      </w:r>
      <w:r w:rsidR="00A60D67">
        <w:t>200,000</w:t>
      </w:r>
      <w:r w:rsidRPr="002B66AB">
        <w:t xml:space="preserve"> per QALY).</w:t>
      </w:r>
    </w:p>
    <w:p w:rsidR="001C71B3" w:rsidRPr="002B66AB" w:rsidRDefault="001C71B3" w:rsidP="001C71B3">
      <w:pPr>
        <w:rPr>
          <w:rFonts w:ascii="Arial Narrow" w:hAnsi="Arial Narrow"/>
          <w:b/>
          <w:bCs/>
          <w:sz w:val="20"/>
          <w:szCs w:val="20"/>
        </w:rPr>
      </w:pPr>
      <w:bookmarkStart w:id="25" w:name="_Ref511218116"/>
      <w:r w:rsidRPr="002B66AB">
        <w:rPr>
          <w:rFonts w:ascii="Arial Narrow" w:hAnsi="Arial Narrow"/>
          <w:b/>
          <w:bCs/>
          <w:sz w:val="20"/>
          <w:szCs w:val="20"/>
        </w:rPr>
        <w:t xml:space="preserve">Table </w:t>
      </w:r>
      <w:r w:rsidR="006F480C" w:rsidRPr="002B66AB">
        <w:rPr>
          <w:rFonts w:ascii="Arial Narrow" w:hAnsi="Arial Narrow"/>
          <w:b/>
          <w:bCs/>
          <w:noProof/>
          <w:sz w:val="20"/>
          <w:szCs w:val="20"/>
        </w:rPr>
        <w:t>13</w:t>
      </w:r>
      <w:bookmarkEnd w:id="25"/>
      <w:r w:rsidRPr="002B66AB">
        <w:rPr>
          <w:rFonts w:ascii="Arial Narrow" w:hAnsi="Arial Narrow"/>
          <w:b/>
          <w:bCs/>
          <w:sz w:val="20"/>
          <w:szCs w:val="20"/>
        </w:rPr>
        <w:t>:  Results of sensitivity analyses, patients aged ≥ 6 years (change of 10% or more).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603"/>
        <w:gridCol w:w="1063"/>
        <w:gridCol w:w="931"/>
        <w:gridCol w:w="1440"/>
      </w:tblGrid>
      <w:tr w:rsidR="002B66AB" w:rsidRPr="002B66AB" w:rsidTr="002737C4">
        <w:trPr>
          <w:trHeight w:val="113"/>
          <w:tblHeader/>
        </w:trPr>
        <w:tc>
          <w:tcPr>
            <w:tcW w:w="3100" w:type="pct"/>
            <w:shd w:val="clear" w:color="auto" w:fill="FFFFFF" w:themeFill="background1"/>
            <w:vAlign w:val="center"/>
          </w:tcPr>
          <w:p w:rsidR="001C71B3" w:rsidRPr="002B66AB" w:rsidRDefault="001C71B3" w:rsidP="001C71B3">
            <w:pPr>
              <w:keepNext/>
              <w:jc w:val="left"/>
              <w:rPr>
                <w:rFonts w:ascii="Arial Narrow" w:hAnsi="Arial Narrow"/>
                <w:b/>
                <w:sz w:val="20"/>
                <w:szCs w:val="20"/>
              </w:rPr>
            </w:pPr>
            <w:r w:rsidRPr="002B66AB">
              <w:rPr>
                <w:rFonts w:ascii="Arial Narrow" w:hAnsi="Arial Narrow"/>
                <w:b/>
                <w:sz w:val="20"/>
                <w:szCs w:val="20"/>
              </w:rPr>
              <w:t>Analysis description</w:t>
            </w:r>
          </w:p>
        </w:tc>
        <w:tc>
          <w:tcPr>
            <w:tcW w:w="588" w:type="pct"/>
            <w:shd w:val="clear" w:color="auto" w:fill="FFFFFF" w:themeFill="background1"/>
            <w:vAlign w:val="center"/>
          </w:tcPr>
          <w:p w:rsidR="001C71B3" w:rsidRPr="002B66AB" w:rsidRDefault="001C71B3" w:rsidP="001C71B3">
            <w:pPr>
              <w:keepNext/>
              <w:jc w:val="center"/>
              <w:rPr>
                <w:rFonts w:ascii="Arial Narrow" w:hAnsi="Arial Narrow"/>
                <w:b/>
                <w:sz w:val="20"/>
                <w:szCs w:val="20"/>
              </w:rPr>
            </w:pPr>
            <w:r w:rsidRPr="002B66AB">
              <w:rPr>
                <w:rFonts w:ascii="Arial Narrow" w:hAnsi="Arial Narrow"/>
                <w:b/>
                <w:sz w:val="20"/>
                <w:szCs w:val="20"/>
              </w:rPr>
              <w:t>Incremental cost ($)</w:t>
            </w:r>
          </w:p>
        </w:tc>
        <w:tc>
          <w:tcPr>
            <w:tcW w:w="515" w:type="pct"/>
            <w:shd w:val="clear" w:color="auto" w:fill="FFFFFF" w:themeFill="background1"/>
            <w:vAlign w:val="center"/>
          </w:tcPr>
          <w:p w:rsidR="001C71B3" w:rsidRPr="002B66AB" w:rsidRDefault="001C71B3" w:rsidP="001C71B3">
            <w:pPr>
              <w:keepNext/>
              <w:jc w:val="center"/>
              <w:rPr>
                <w:rFonts w:ascii="Arial Narrow" w:hAnsi="Arial Narrow"/>
                <w:b/>
                <w:sz w:val="20"/>
                <w:szCs w:val="20"/>
              </w:rPr>
            </w:pPr>
            <w:r w:rsidRPr="002B66AB">
              <w:rPr>
                <w:rFonts w:ascii="Arial Narrow" w:hAnsi="Arial Narrow"/>
                <w:b/>
                <w:sz w:val="20"/>
                <w:szCs w:val="20"/>
              </w:rPr>
              <w:t>Incremental effect (QALYs)</w:t>
            </w:r>
          </w:p>
        </w:tc>
        <w:tc>
          <w:tcPr>
            <w:tcW w:w="797" w:type="pct"/>
            <w:shd w:val="clear" w:color="auto" w:fill="FFFFFF" w:themeFill="background1"/>
            <w:vAlign w:val="center"/>
          </w:tcPr>
          <w:p w:rsidR="001C71B3" w:rsidRPr="002B66AB" w:rsidRDefault="001C71B3" w:rsidP="001C71B3">
            <w:pPr>
              <w:keepNext/>
              <w:jc w:val="center"/>
              <w:rPr>
                <w:rFonts w:ascii="Arial Narrow" w:hAnsi="Arial Narrow"/>
                <w:b/>
                <w:sz w:val="20"/>
                <w:szCs w:val="20"/>
              </w:rPr>
            </w:pPr>
            <w:r w:rsidRPr="002B66AB">
              <w:rPr>
                <w:rFonts w:ascii="Arial Narrow" w:hAnsi="Arial Narrow"/>
                <w:b/>
                <w:sz w:val="20"/>
                <w:szCs w:val="20"/>
              </w:rPr>
              <w:t>ICER (cost per additional QALY gained)</w:t>
            </w:r>
          </w:p>
        </w:tc>
      </w:tr>
      <w:tr w:rsidR="002B66AB" w:rsidRPr="002B66AB" w:rsidTr="002737C4">
        <w:trPr>
          <w:trHeight w:val="113"/>
          <w:tblHeader/>
        </w:trPr>
        <w:tc>
          <w:tcPr>
            <w:tcW w:w="3100" w:type="pct"/>
            <w:tcBorders>
              <w:bottom w:val="single" w:sz="4" w:space="0" w:color="auto"/>
            </w:tcBorders>
            <w:shd w:val="clear" w:color="auto" w:fill="FFFFFF" w:themeFill="background1"/>
            <w:vAlign w:val="center"/>
          </w:tcPr>
          <w:p w:rsidR="001C71B3" w:rsidRPr="002B66AB" w:rsidRDefault="001C71B3" w:rsidP="001C71B3">
            <w:pPr>
              <w:jc w:val="left"/>
              <w:rPr>
                <w:rFonts w:ascii="Arial Narrow" w:hAnsi="Arial Narrow"/>
                <w:sz w:val="20"/>
                <w:szCs w:val="20"/>
              </w:rPr>
            </w:pPr>
            <w:r w:rsidRPr="002B66AB">
              <w:rPr>
                <w:rFonts w:ascii="Arial Narrow" w:hAnsi="Arial Narrow"/>
                <w:sz w:val="20"/>
                <w:szCs w:val="20"/>
              </w:rPr>
              <w:t>Base case for 6 years and older</w:t>
            </w:r>
          </w:p>
        </w:tc>
        <w:tc>
          <w:tcPr>
            <w:tcW w:w="588" w:type="pct"/>
            <w:tcBorders>
              <w:bottom w:val="single" w:sz="4" w:space="0" w:color="auto"/>
            </w:tcBorders>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tcBorders>
              <w:bottom w:val="single" w:sz="4" w:space="0" w:color="auto"/>
            </w:tcBorders>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2.21</w:t>
            </w:r>
          </w:p>
        </w:tc>
        <w:tc>
          <w:tcPr>
            <w:tcW w:w="797" w:type="pct"/>
            <w:tcBorders>
              <w:bottom w:val="single" w:sz="4" w:space="0" w:color="auto"/>
            </w:tcBorders>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tcBorders>
              <w:right w:val="nil"/>
            </w:tcBorders>
            <w:shd w:val="clear" w:color="auto" w:fill="auto"/>
            <w:vAlign w:val="center"/>
          </w:tcPr>
          <w:p w:rsidR="001C71B3" w:rsidRPr="002B66AB" w:rsidRDefault="001C71B3" w:rsidP="001C71B3">
            <w:pPr>
              <w:jc w:val="left"/>
              <w:rPr>
                <w:rFonts w:ascii="Arial Narrow" w:hAnsi="Arial Narrow"/>
                <w:sz w:val="20"/>
                <w:szCs w:val="20"/>
              </w:rPr>
            </w:pPr>
            <w:r w:rsidRPr="002B66AB">
              <w:rPr>
                <w:rFonts w:ascii="Arial Narrow" w:hAnsi="Arial Narrow"/>
                <w:sz w:val="20"/>
                <w:szCs w:val="20"/>
              </w:rPr>
              <w:t>Costs/prices</w:t>
            </w:r>
          </w:p>
        </w:tc>
        <w:tc>
          <w:tcPr>
            <w:tcW w:w="588" w:type="pct"/>
            <w:tcBorders>
              <w:left w:val="nil"/>
              <w:right w:val="nil"/>
            </w:tcBorders>
            <w:shd w:val="clear" w:color="auto" w:fill="FFFFFF" w:themeFill="background1"/>
            <w:vAlign w:val="center"/>
          </w:tcPr>
          <w:p w:rsidR="001C71B3" w:rsidRPr="002B66AB" w:rsidRDefault="001C71B3" w:rsidP="001C71B3">
            <w:pPr>
              <w:jc w:val="center"/>
              <w:rPr>
                <w:rFonts w:ascii="Arial Narrow" w:hAnsi="Arial Narrow"/>
                <w:sz w:val="20"/>
                <w:szCs w:val="20"/>
                <w:highlight w:val="yellow"/>
              </w:rPr>
            </w:pPr>
          </w:p>
        </w:tc>
        <w:tc>
          <w:tcPr>
            <w:tcW w:w="515" w:type="pct"/>
            <w:tcBorders>
              <w:left w:val="nil"/>
              <w:right w:val="nil"/>
            </w:tcBorders>
            <w:shd w:val="clear" w:color="auto" w:fill="FFFFFF" w:themeFill="background1"/>
            <w:vAlign w:val="center"/>
          </w:tcPr>
          <w:p w:rsidR="001C71B3" w:rsidRPr="002B66AB" w:rsidRDefault="001C71B3" w:rsidP="001C71B3">
            <w:pPr>
              <w:jc w:val="center"/>
              <w:rPr>
                <w:rFonts w:ascii="Arial Narrow" w:hAnsi="Arial Narrow"/>
                <w:sz w:val="20"/>
                <w:szCs w:val="20"/>
                <w:highlight w:val="yellow"/>
              </w:rPr>
            </w:pPr>
          </w:p>
        </w:tc>
        <w:tc>
          <w:tcPr>
            <w:tcW w:w="797" w:type="pct"/>
            <w:tcBorders>
              <w:left w:val="nil"/>
            </w:tcBorders>
            <w:shd w:val="clear" w:color="auto" w:fill="FFFFFF" w:themeFill="background1"/>
            <w:vAlign w:val="center"/>
          </w:tcPr>
          <w:p w:rsidR="001C71B3" w:rsidRPr="002B66AB" w:rsidRDefault="001C71B3" w:rsidP="001C71B3">
            <w:pPr>
              <w:jc w:val="center"/>
              <w:rPr>
                <w:rFonts w:ascii="Arial Narrow" w:hAnsi="Arial Narrow"/>
                <w:sz w:val="20"/>
                <w:szCs w:val="20"/>
                <w:highlight w:val="yellow"/>
              </w:rPr>
            </w:pPr>
          </w:p>
        </w:tc>
      </w:tr>
      <w:tr w:rsidR="002B66AB" w:rsidRPr="002B66AB" w:rsidTr="002737C4">
        <w:trPr>
          <w:trHeight w:val="113"/>
        </w:trPr>
        <w:tc>
          <w:tcPr>
            <w:tcW w:w="3100" w:type="pct"/>
            <w:shd w:val="clear" w:color="auto" w:fill="FFFFFF" w:themeFill="background1"/>
            <w:vAlign w:val="center"/>
          </w:tcPr>
          <w:p w:rsidR="001C71B3" w:rsidRPr="002B66AB" w:rsidRDefault="001C71B3" w:rsidP="001C71B3">
            <w:pPr>
              <w:jc w:val="left"/>
              <w:rPr>
                <w:rFonts w:ascii="Arial Narrow" w:hAnsi="Arial Narrow"/>
                <w:sz w:val="20"/>
                <w:szCs w:val="20"/>
              </w:rPr>
            </w:pPr>
            <w:r w:rsidRPr="002B66AB">
              <w:rPr>
                <w:rFonts w:ascii="Arial Narrow" w:hAnsi="Arial Narrow"/>
                <w:sz w:val="20"/>
                <w:szCs w:val="20"/>
              </w:rPr>
              <w:t>No financial cap, use effective price</w:t>
            </w:r>
          </w:p>
        </w:tc>
        <w:tc>
          <w:tcPr>
            <w:tcW w:w="588"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2.21</w:t>
            </w:r>
          </w:p>
        </w:tc>
        <w:tc>
          <w:tcPr>
            <w:tcW w:w="797"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shd w:val="clear" w:color="auto" w:fill="FFFFFF" w:themeFill="background1"/>
            <w:vAlign w:val="center"/>
          </w:tcPr>
          <w:p w:rsidR="001C71B3" w:rsidRPr="002B66AB" w:rsidRDefault="001C71B3" w:rsidP="001C71B3">
            <w:pPr>
              <w:jc w:val="left"/>
              <w:rPr>
                <w:rFonts w:ascii="Arial Narrow" w:hAnsi="Arial Narrow"/>
                <w:sz w:val="20"/>
                <w:szCs w:val="20"/>
              </w:rPr>
            </w:pPr>
            <w:r w:rsidRPr="002B66AB">
              <w:rPr>
                <w:rFonts w:ascii="Arial Narrow" w:hAnsi="Arial Narrow"/>
                <w:sz w:val="20"/>
                <w:szCs w:val="20"/>
              </w:rPr>
              <w:t>No reduction in price due to LOE and no F1 statutory price reduction</w:t>
            </w:r>
          </w:p>
        </w:tc>
        <w:tc>
          <w:tcPr>
            <w:tcW w:w="588"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2.21</w:t>
            </w:r>
          </w:p>
        </w:tc>
        <w:tc>
          <w:tcPr>
            <w:tcW w:w="797"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shd w:val="clear" w:color="auto" w:fill="FFFFFF" w:themeFill="background1"/>
            <w:vAlign w:val="center"/>
          </w:tcPr>
          <w:p w:rsidR="001C71B3" w:rsidRPr="002B66AB" w:rsidRDefault="001C71B3" w:rsidP="001C71B3">
            <w:pPr>
              <w:jc w:val="left"/>
              <w:rPr>
                <w:rFonts w:ascii="Arial Narrow" w:hAnsi="Arial Narrow"/>
                <w:sz w:val="20"/>
                <w:szCs w:val="20"/>
              </w:rPr>
            </w:pPr>
            <w:r w:rsidRPr="002B66AB">
              <w:rPr>
                <w:rFonts w:ascii="Arial Narrow" w:hAnsi="Arial Narrow"/>
                <w:sz w:val="20"/>
                <w:szCs w:val="20"/>
              </w:rPr>
              <w:t xml:space="preserve">No financial cap or price reduction due to LOE or F1 statutory price reduction </w:t>
            </w:r>
          </w:p>
        </w:tc>
        <w:tc>
          <w:tcPr>
            <w:tcW w:w="588"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2.21</w:t>
            </w:r>
          </w:p>
        </w:tc>
        <w:tc>
          <w:tcPr>
            <w:tcW w:w="797"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shd w:val="clear" w:color="auto" w:fill="FFFFFF" w:themeFill="background1"/>
            <w:vAlign w:val="center"/>
          </w:tcPr>
          <w:p w:rsidR="001C71B3" w:rsidRPr="002B66AB" w:rsidRDefault="001C71B3" w:rsidP="001C71B3">
            <w:pPr>
              <w:jc w:val="left"/>
              <w:rPr>
                <w:rFonts w:ascii="Arial Narrow" w:hAnsi="Arial Narrow"/>
                <w:sz w:val="20"/>
                <w:szCs w:val="20"/>
              </w:rPr>
            </w:pPr>
            <w:r w:rsidRPr="002B66AB">
              <w:rPr>
                <w:rFonts w:ascii="Arial Narrow" w:hAnsi="Arial Narrow"/>
                <w:sz w:val="20"/>
                <w:szCs w:val="20"/>
              </w:rPr>
              <w:t xml:space="preserve">Cost of cystic fibrosis disease management in </w:t>
            </w:r>
            <w:proofErr w:type="spellStart"/>
            <w:r w:rsidRPr="002B66AB">
              <w:rPr>
                <w:rFonts w:ascii="Arial Narrow" w:hAnsi="Arial Narrow"/>
                <w:sz w:val="20"/>
                <w:szCs w:val="20"/>
              </w:rPr>
              <w:t>lumacaftor</w:t>
            </w:r>
            <w:proofErr w:type="spellEnd"/>
            <w:r w:rsidRPr="002B66AB">
              <w:rPr>
                <w:rFonts w:ascii="Arial Narrow" w:hAnsi="Arial Narrow"/>
                <w:sz w:val="20"/>
                <w:szCs w:val="20"/>
              </w:rPr>
              <w:t>/</w:t>
            </w:r>
            <w:proofErr w:type="spellStart"/>
            <w:r w:rsidRPr="002B66AB">
              <w:rPr>
                <w:rFonts w:ascii="Arial Narrow" w:hAnsi="Arial Narrow"/>
                <w:sz w:val="20"/>
                <w:szCs w:val="20"/>
              </w:rPr>
              <w:t>ivacaftor</w:t>
            </w:r>
            <w:proofErr w:type="spellEnd"/>
            <w:r w:rsidRPr="002B66AB">
              <w:rPr>
                <w:rFonts w:ascii="Arial Narrow" w:hAnsi="Arial Narrow"/>
                <w:sz w:val="20"/>
                <w:szCs w:val="20"/>
              </w:rPr>
              <w:t xml:space="preserve"> arm same as BSC (set 61.5% to 0% reduction)</w:t>
            </w:r>
          </w:p>
        </w:tc>
        <w:tc>
          <w:tcPr>
            <w:tcW w:w="588"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2.21</w:t>
            </w:r>
          </w:p>
        </w:tc>
        <w:tc>
          <w:tcPr>
            <w:tcW w:w="797" w:type="pct"/>
            <w:shd w:val="clear" w:color="auto" w:fill="FFFFFF" w:themeFill="background1"/>
          </w:tcPr>
          <w:p w:rsidR="001C71B3" w:rsidRPr="002B66AB" w:rsidRDefault="001C71B3" w:rsidP="001C71B3">
            <w:pPr>
              <w:jc w:val="center"/>
              <w:rPr>
                <w:rFonts w:ascii="Arial Narrow" w:hAnsi="Arial Narrow"/>
                <w:sz w:val="20"/>
                <w:szCs w:val="20"/>
                <w:highlight w:val="yellow"/>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tcBorders>
              <w:right w:val="nil"/>
            </w:tcBorders>
            <w:shd w:val="clear" w:color="auto" w:fill="FFFFFF" w:themeFill="background1"/>
          </w:tcPr>
          <w:p w:rsidR="001C71B3" w:rsidRPr="002B66AB" w:rsidRDefault="001C71B3" w:rsidP="001C71B3">
            <w:pPr>
              <w:jc w:val="left"/>
              <w:rPr>
                <w:rFonts w:ascii="Arial Narrow" w:hAnsi="Arial Narrow"/>
                <w:sz w:val="20"/>
                <w:szCs w:val="20"/>
                <w:highlight w:val="yellow"/>
                <w:lang w:val="en-NZ"/>
              </w:rPr>
            </w:pPr>
            <w:r w:rsidRPr="002B66AB">
              <w:rPr>
                <w:rFonts w:ascii="Arial Narrow" w:hAnsi="Arial Narrow"/>
                <w:sz w:val="20"/>
                <w:szCs w:val="20"/>
                <w:lang w:val="en-NZ"/>
              </w:rPr>
              <w:t>Effects</w:t>
            </w:r>
          </w:p>
        </w:tc>
        <w:tc>
          <w:tcPr>
            <w:tcW w:w="588" w:type="pct"/>
            <w:tcBorders>
              <w:left w:val="nil"/>
              <w:right w:val="nil"/>
            </w:tcBorders>
            <w:shd w:val="clear" w:color="auto" w:fill="FFFFFF" w:themeFill="background1"/>
            <w:vAlign w:val="center"/>
          </w:tcPr>
          <w:p w:rsidR="001C71B3" w:rsidRPr="002B66AB" w:rsidRDefault="001C71B3" w:rsidP="001C71B3">
            <w:pPr>
              <w:jc w:val="center"/>
              <w:rPr>
                <w:rFonts w:ascii="Arial Narrow" w:hAnsi="Arial Narrow"/>
                <w:sz w:val="20"/>
                <w:szCs w:val="20"/>
                <w:highlight w:val="yellow"/>
              </w:rPr>
            </w:pPr>
          </w:p>
        </w:tc>
        <w:tc>
          <w:tcPr>
            <w:tcW w:w="515" w:type="pct"/>
            <w:tcBorders>
              <w:left w:val="nil"/>
              <w:right w:val="nil"/>
            </w:tcBorders>
            <w:shd w:val="clear" w:color="auto" w:fill="FFFFFF" w:themeFill="background1"/>
            <w:vAlign w:val="center"/>
          </w:tcPr>
          <w:p w:rsidR="001C71B3" w:rsidRPr="002B66AB" w:rsidRDefault="001C71B3" w:rsidP="001C71B3">
            <w:pPr>
              <w:jc w:val="center"/>
              <w:rPr>
                <w:rFonts w:ascii="Arial Narrow" w:hAnsi="Arial Narrow"/>
                <w:sz w:val="20"/>
                <w:szCs w:val="20"/>
                <w:highlight w:val="yellow"/>
              </w:rPr>
            </w:pPr>
          </w:p>
        </w:tc>
        <w:tc>
          <w:tcPr>
            <w:tcW w:w="797" w:type="pct"/>
            <w:tcBorders>
              <w:left w:val="nil"/>
            </w:tcBorders>
            <w:shd w:val="clear" w:color="auto" w:fill="FFFFFF" w:themeFill="background1"/>
            <w:vAlign w:val="center"/>
          </w:tcPr>
          <w:p w:rsidR="001C71B3" w:rsidRPr="002B66AB" w:rsidRDefault="001C71B3" w:rsidP="001C71B3">
            <w:pPr>
              <w:jc w:val="center"/>
              <w:rPr>
                <w:rFonts w:ascii="Arial Narrow" w:hAnsi="Arial Narrow"/>
                <w:sz w:val="20"/>
                <w:szCs w:val="20"/>
                <w:highlight w:val="yellow"/>
              </w:rPr>
            </w:pPr>
          </w:p>
        </w:tc>
      </w:tr>
      <w:tr w:rsidR="002B66AB" w:rsidRPr="002B66AB" w:rsidTr="002737C4">
        <w:trPr>
          <w:trHeight w:val="113"/>
        </w:trPr>
        <w:tc>
          <w:tcPr>
            <w:tcW w:w="3100" w:type="pct"/>
            <w:shd w:val="clear" w:color="auto" w:fill="FFFFFF" w:themeFill="background1"/>
          </w:tcPr>
          <w:p w:rsidR="001C71B3" w:rsidRPr="002B66AB" w:rsidRDefault="001C71B3" w:rsidP="001C71B3">
            <w:pPr>
              <w:jc w:val="left"/>
              <w:rPr>
                <w:rFonts w:ascii="Arial Narrow" w:hAnsi="Arial Narrow"/>
                <w:sz w:val="20"/>
                <w:szCs w:val="20"/>
                <w:lang w:val="en-NZ"/>
              </w:rPr>
            </w:pPr>
            <w:r w:rsidRPr="002B66AB">
              <w:rPr>
                <w:rFonts w:ascii="Arial Narrow" w:hAnsi="Arial Narrow"/>
                <w:sz w:val="20"/>
                <w:szCs w:val="20"/>
                <w:lang w:val="en-NZ"/>
              </w:rPr>
              <w:t>Set annual decline in pp</w:t>
            </w:r>
            <w:r w:rsidRPr="002B66AB">
              <w:rPr>
                <w:rFonts w:ascii="Arial Narrow" w:hAnsi="Arial Narrow"/>
                <w:sz w:val="20"/>
                <w:szCs w:val="20"/>
              </w:rPr>
              <w:t>FEV</w:t>
            </w:r>
            <w:r w:rsidRPr="002B66AB">
              <w:rPr>
                <w:rFonts w:ascii="Arial Narrow" w:hAnsi="Arial Narrow"/>
                <w:sz w:val="20"/>
                <w:szCs w:val="20"/>
                <w:vertAlign w:val="subscript"/>
              </w:rPr>
              <w:t>1</w:t>
            </w:r>
            <w:r w:rsidRPr="002B66AB">
              <w:rPr>
                <w:rFonts w:ascii="Arial Narrow" w:hAnsi="Arial Narrow"/>
                <w:sz w:val="20"/>
                <w:szCs w:val="20"/>
                <w:lang w:val="en-NZ"/>
              </w:rPr>
              <w:t xml:space="preserve"> in </w:t>
            </w:r>
            <w:proofErr w:type="spellStart"/>
            <w:r w:rsidRPr="002B66AB">
              <w:rPr>
                <w:rFonts w:ascii="Arial Narrow" w:hAnsi="Arial Narrow"/>
                <w:sz w:val="20"/>
                <w:szCs w:val="20"/>
                <w:lang w:val="en-NZ"/>
              </w:rPr>
              <w:t>lumacaftor</w:t>
            </w:r>
            <w:proofErr w:type="spellEnd"/>
            <w:r w:rsidRPr="002B66AB">
              <w:rPr>
                <w:rFonts w:ascii="Arial Narrow" w:hAnsi="Arial Narrow"/>
                <w:sz w:val="20"/>
                <w:szCs w:val="20"/>
                <w:lang w:val="en-NZ"/>
              </w:rPr>
              <w:t>/</w:t>
            </w:r>
            <w:proofErr w:type="spellStart"/>
            <w:r w:rsidRPr="002B66AB">
              <w:rPr>
                <w:rFonts w:ascii="Arial Narrow" w:hAnsi="Arial Narrow"/>
                <w:sz w:val="20"/>
                <w:szCs w:val="20"/>
                <w:lang w:val="en-NZ"/>
              </w:rPr>
              <w:t>ivacaftor</w:t>
            </w:r>
            <w:proofErr w:type="spellEnd"/>
            <w:r w:rsidRPr="002B66AB">
              <w:rPr>
                <w:rFonts w:ascii="Arial Narrow" w:hAnsi="Arial Narrow"/>
                <w:sz w:val="20"/>
                <w:szCs w:val="20"/>
                <w:lang w:val="en-NZ"/>
              </w:rPr>
              <w:t xml:space="preserve"> treated patients to </w:t>
            </w:r>
            <w:r w:rsidR="00D155AC">
              <w:rPr>
                <w:rFonts w:ascii="Arial Narrow" w:hAnsi="Arial Narrow"/>
                <w:noProof/>
                <w:color w:val="000000"/>
                <w:sz w:val="20"/>
                <w:szCs w:val="20"/>
                <w:highlight w:val="black"/>
                <w:lang w:val="en-NZ"/>
              </w:rPr>
              <w:t>''''</w:t>
            </w:r>
            <w:r w:rsidRPr="002B66AB">
              <w:rPr>
                <w:rFonts w:ascii="Arial Narrow" w:hAnsi="Arial Narrow"/>
                <w:sz w:val="20"/>
                <w:szCs w:val="20"/>
                <w:lang w:val="en-NZ"/>
              </w:rPr>
              <w:t>% of BSC</w:t>
            </w:r>
          </w:p>
        </w:tc>
        <w:tc>
          <w:tcPr>
            <w:tcW w:w="588"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4.69</w:t>
            </w:r>
          </w:p>
        </w:tc>
        <w:tc>
          <w:tcPr>
            <w:tcW w:w="797"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shd w:val="clear" w:color="auto" w:fill="FFFFFF" w:themeFill="background1"/>
          </w:tcPr>
          <w:p w:rsidR="001C71B3" w:rsidRPr="002B66AB" w:rsidRDefault="001C71B3" w:rsidP="001C71B3">
            <w:pPr>
              <w:jc w:val="left"/>
              <w:rPr>
                <w:rFonts w:ascii="Arial Narrow" w:hAnsi="Arial Narrow"/>
                <w:sz w:val="20"/>
                <w:szCs w:val="20"/>
                <w:lang w:val="en-NZ"/>
              </w:rPr>
            </w:pPr>
            <w:r w:rsidRPr="002B66AB">
              <w:rPr>
                <w:rFonts w:ascii="Arial Narrow" w:hAnsi="Arial Narrow"/>
                <w:sz w:val="20"/>
                <w:szCs w:val="20"/>
                <w:lang w:val="en-NZ"/>
              </w:rPr>
              <w:t>Set annual decline in pp</w:t>
            </w:r>
            <w:r w:rsidRPr="002B66AB">
              <w:rPr>
                <w:rFonts w:ascii="Arial Narrow" w:hAnsi="Arial Narrow"/>
                <w:sz w:val="20"/>
                <w:szCs w:val="20"/>
              </w:rPr>
              <w:t>FEV</w:t>
            </w:r>
            <w:r w:rsidRPr="002B66AB">
              <w:rPr>
                <w:rFonts w:ascii="Arial Narrow" w:hAnsi="Arial Narrow"/>
                <w:sz w:val="20"/>
                <w:szCs w:val="20"/>
                <w:vertAlign w:val="subscript"/>
              </w:rPr>
              <w:t>1</w:t>
            </w:r>
            <w:r w:rsidRPr="002B66AB">
              <w:rPr>
                <w:rFonts w:ascii="Arial Narrow" w:hAnsi="Arial Narrow"/>
                <w:sz w:val="20"/>
                <w:szCs w:val="20"/>
                <w:lang w:val="en-NZ"/>
              </w:rPr>
              <w:t xml:space="preserve"> in </w:t>
            </w:r>
            <w:proofErr w:type="spellStart"/>
            <w:r w:rsidRPr="002B66AB">
              <w:rPr>
                <w:rFonts w:ascii="Arial Narrow" w:hAnsi="Arial Narrow"/>
                <w:sz w:val="20"/>
                <w:szCs w:val="20"/>
                <w:lang w:val="en-NZ"/>
              </w:rPr>
              <w:t>lumacaftor</w:t>
            </w:r>
            <w:proofErr w:type="spellEnd"/>
            <w:r w:rsidRPr="002B66AB">
              <w:rPr>
                <w:rFonts w:ascii="Arial Narrow" w:hAnsi="Arial Narrow"/>
                <w:sz w:val="20"/>
                <w:szCs w:val="20"/>
                <w:lang w:val="en-NZ"/>
              </w:rPr>
              <w:t>/</w:t>
            </w:r>
            <w:proofErr w:type="spellStart"/>
            <w:r w:rsidRPr="002B66AB">
              <w:rPr>
                <w:rFonts w:ascii="Arial Narrow" w:hAnsi="Arial Narrow"/>
                <w:sz w:val="20"/>
                <w:szCs w:val="20"/>
                <w:lang w:val="en-NZ"/>
              </w:rPr>
              <w:t>ivacaftor</w:t>
            </w:r>
            <w:proofErr w:type="spellEnd"/>
            <w:r w:rsidRPr="002B66AB">
              <w:rPr>
                <w:rFonts w:ascii="Arial Narrow" w:hAnsi="Arial Narrow"/>
                <w:sz w:val="20"/>
                <w:szCs w:val="20"/>
                <w:lang w:val="en-NZ"/>
              </w:rPr>
              <w:t xml:space="preserve"> treated patients to </w:t>
            </w:r>
            <w:r w:rsidR="00D155AC">
              <w:rPr>
                <w:rFonts w:ascii="Arial Narrow" w:hAnsi="Arial Narrow"/>
                <w:noProof/>
                <w:color w:val="000000"/>
                <w:sz w:val="20"/>
                <w:szCs w:val="20"/>
                <w:highlight w:val="black"/>
                <w:lang w:val="en-NZ"/>
              </w:rPr>
              <w:t>'''''</w:t>
            </w:r>
            <w:r w:rsidRPr="002B66AB">
              <w:rPr>
                <w:rFonts w:ascii="Arial Narrow" w:hAnsi="Arial Narrow"/>
                <w:sz w:val="20"/>
                <w:szCs w:val="20"/>
                <w:lang w:val="en-NZ"/>
              </w:rPr>
              <w:t>% of BSC</w:t>
            </w:r>
          </w:p>
        </w:tc>
        <w:tc>
          <w:tcPr>
            <w:tcW w:w="588"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3.35</w:t>
            </w:r>
          </w:p>
        </w:tc>
        <w:tc>
          <w:tcPr>
            <w:tcW w:w="797"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shd w:val="clear" w:color="auto" w:fill="FFFFFF" w:themeFill="background1"/>
          </w:tcPr>
          <w:p w:rsidR="001C71B3" w:rsidRPr="002B66AB" w:rsidRDefault="001C71B3" w:rsidP="001C71B3">
            <w:pPr>
              <w:jc w:val="left"/>
              <w:rPr>
                <w:rFonts w:ascii="Arial Narrow" w:hAnsi="Arial Narrow"/>
                <w:sz w:val="20"/>
                <w:szCs w:val="20"/>
                <w:lang w:val="en-NZ"/>
              </w:rPr>
            </w:pPr>
            <w:r w:rsidRPr="002B66AB">
              <w:rPr>
                <w:rFonts w:ascii="Arial Narrow" w:hAnsi="Arial Narrow"/>
                <w:sz w:val="20"/>
                <w:szCs w:val="20"/>
                <w:lang w:val="en-NZ"/>
              </w:rPr>
              <w:t>Set annual decline in pp</w:t>
            </w:r>
            <w:r w:rsidRPr="002B66AB">
              <w:rPr>
                <w:rFonts w:ascii="Arial Narrow" w:hAnsi="Arial Narrow"/>
                <w:sz w:val="20"/>
                <w:szCs w:val="20"/>
              </w:rPr>
              <w:t>FEV</w:t>
            </w:r>
            <w:r w:rsidRPr="002B66AB">
              <w:rPr>
                <w:rFonts w:ascii="Arial Narrow" w:hAnsi="Arial Narrow"/>
                <w:sz w:val="20"/>
                <w:szCs w:val="20"/>
                <w:vertAlign w:val="subscript"/>
              </w:rPr>
              <w:t>1</w:t>
            </w:r>
            <w:r w:rsidRPr="002B66AB">
              <w:rPr>
                <w:rFonts w:ascii="Arial Narrow" w:hAnsi="Arial Narrow"/>
                <w:sz w:val="20"/>
                <w:szCs w:val="20"/>
                <w:lang w:val="en-NZ"/>
              </w:rPr>
              <w:t xml:space="preserve"> in </w:t>
            </w:r>
            <w:proofErr w:type="spellStart"/>
            <w:r w:rsidRPr="002B66AB">
              <w:rPr>
                <w:rFonts w:ascii="Arial Narrow" w:hAnsi="Arial Narrow"/>
                <w:sz w:val="20"/>
                <w:szCs w:val="20"/>
                <w:lang w:val="en-NZ"/>
              </w:rPr>
              <w:t>lumacaftor</w:t>
            </w:r>
            <w:proofErr w:type="spellEnd"/>
            <w:r w:rsidRPr="002B66AB">
              <w:rPr>
                <w:rFonts w:ascii="Arial Narrow" w:hAnsi="Arial Narrow"/>
                <w:sz w:val="20"/>
                <w:szCs w:val="20"/>
                <w:lang w:val="en-NZ"/>
              </w:rPr>
              <w:t>/</w:t>
            </w:r>
            <w:proofErr w:type="spellStart"/>
            <w:r w:rsidRPr="002B66AB">
              <w:rPr>
                <w:rFonts w:ascii="Arial Narrow" w:hAnsi="Arial Narrow"/>
                <w:sz w:val="20"/>
                <w:szCs w:val="20"/>
                <w:lang w:val="en-NZ"/>
              </w:rPr>
              <w:t>ivacaftor</w:t>
            </w:r>
            <w:proofErr w:type="spellEnd"/>
            <w:r w:rsidRPr="002B66AB">
              <w:rPr>
                <w:rFonts w:ascii="Arial Narrow" w:hAnsi="Arial Narrow"/>
                <w:sz w:val="20"/>
                <w:szCs w:val="20"/>
                <w:lang w:val="en-NZ"/>
              </w:rPr>
              <w:t xml:space="preserve"> treated patients to </w:t>
            </w:r>
            <w:r w:rsidR="00D155AC">
              <w:rPr>
                <w:rFonts w:ascii="Arial Narrow" w:hAnsi="Arial Narrow"/>
                <w:noProof/>
                <w:color w:val="000000"/>
                <w:sz w:val="20"/>
                <w:szCs w:val="20"/>
                <w:highlight w:val="black"/>
                <w:lang w:val="en-NZ"/>
              </w:rPr>
              <w:t>'''''''</w:t>
            </w:r>
            <w:r w:rsidRPr="002B66AB">
              <w:rPr>
                <w:rFonts w:ascii="Arial Narrow" w:hAnsi="Arial Narrow"/>
                <w:sz w:val="20"/>
                <w:szCs w:val="20"/>
                <w:lang w:val="en-NZ"/>
              </w:rPr>
              <w:t>% of BSC</w:t>
            </w:r>
          </w:p>
        </w:tc>
        <w:tc>
          <w:tcPr>
            <w:tcW w:w="588"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1.37</w:t>
            </w:r>
          </w:p>
        </w:tc>
        <w:tc>
          <w:tcPr>
            <w:tcW w:w="797"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r w:rsidR="002B66AB" w:rsidRPr="002B66AB" w:rsidTr="002737C4">
        <w:trPr>
          <w:trHeight w:val="113"/>
        </w:trPr>
        <w:tc>
          <w:tcPr>
            <w:tcW w:w="3100" w:type="pct"/>
            <w:shd w:val="clear" w:color="auto" w:fill="FFFFFF" w:themeFill="background1"/>
          </w:tcPr>
          <w:p w:rsidR="001C71B3" w:rsidRPr="002B66AB" w:rsidRDefault="001C71B3" w:rsidP="001C71B3">
            <w:pPr>
              <w:jc w:val="left"/>
              <w:rPr>
                <w:rFonts w:ascii="Arial Narrow" w:hAnsi="Arial Narrow"/>
                <w:sz w:val="20"/>
                <w:szCs w:val="20"/>
                <w:lang w:val="en-NZ"/>
              </w:rPr>
            </w:pPr>
            <w:r w:rsidRPr="002B66AB">
              <w:rPr>
                <w:rFonts w:ascii="Arial Narrow" w:hAnsi="Arial Narrow"/>
                <w:sz w:val="20"/>
                <w:szCs w:val="20"/>
                <w:lang w:val="en-NZ"/>
              </w:rPr>
              <w:t>Set annual decline in ppFEV</w:t>
            </w:r>
            <w:r w:rsidRPr="002B66AB">
              <w:rPr>
                <w:rFonts w:ascii="Arial Narrow" w:hAnsi="Arial Narrow"/>
                <w:sz w:val="20"/>
                <w:szCs w:val="20"/>
                <w:vertAlign w:val="subscript"/>
                <w:lang w:val="en-NZ"/>
              </w:rPr>
              <w:t>1</w:t>
            </w:r>
            <w:r w:rsidRPr="002B66AB">
              <w:rPr>
                <w:rFonts w:ascii="Arial Narrow" w:hAnsi="Arial Narrow"/>
                <w:sz w:val="20"/>
                <w:szCs w:val="20"/>
                <w:lang w:val="en-NZ"/>
              </w:rPr>
              <w:t xml:space="preserve"> in </w:t>
            </w:r>
            <w:proofErr w:type="spellStart"/>
            <w:r w:rsidRPr="002B66AB">
              <w:rPr>
                <w:rFonts w:ascii="Arial Narrow" w:hAnsi="Arial Narrow"/>
                <w:sz w:val="20"/>
                <w:szCs w:val="20"/>
                <w:lang w:val="en-NZ"/>
              </w:rPr>
              <w:t>lumacaftor</w:t>
            </w:r>
            <w:proofErr w:type="spellEnd"/>
            <w:r w:rsidRPr="002B66AB">
              <w:rPr>
                <w:rFonts w:ascii="Arial Narrow" w:hAnsi="Arial Narrow"/>
                <w:sz w:val="20"/>
                <w:szCs w:val="20"/>
                <w:lang w:val="en-NZ"/>
              </w:rPr>
              <w:t>/</w:t>
            </w:r>
            <w:proofErr w:type="spellStart"/>
            <w:r w:rsidRPr="002B66AB">
              <w:rPr>
                <w:rFonts w:ascii="Arial Narrow" w:hAnsi="Arial Narrow"/>
                <w:sz w:val="20"/>
                <w:szCs w:val="20"/>
                <w:lang w:val="en-NZ"/>
              </w:rPr>
              <w:t>ivacaftor</w:t>
            </w:r>
            <w:proofErr w:type="spellEnd"/>
            <w:r w:rsidRPr="002B66AB">
              <w:rPr>
                <w:rFonts w:ascii="Arial Narrow" w:hAnsi="Arial Narrow"/>
                <w:sz w:val="20"/>
                <w:szCs w:val="20"/>
                <w:lang w:val="en-NZ"/>
              </w:rPr>
              <w:t xml:space="preserve"> treated patients to </w:t>
            </w:r>
            <w:r w:rsidR="00D155AC">
              <w:rPr>
                <w:rFonts w:ascii="Arial Narrow" w:hAnsi="Arial Narrow"/>
                <w:noProof/>
                <w:color w:val="000000"/>
                <w:sz w:val="20"/>
                <w:szCs w:val="20"/>
                <w:highlight w:val="black"/>
                <w:lang w:val="en-NZ"/>
              </w:rPr>
              <w:t>'''''''''</w:t>
            </w:r>
            <w:r w:rsidRPr="002B66AB">
              <w:rPr>
                <w:rFonts w:ascii="Arial Narrow" w:hAnsi="Arial Narrow"/>
                <w:sz w:val="20"/>
                <w:szCs w:val="20"/>
                <w:lang w:val="en-NZ"/>
              </w:rPr>
              <w:t>% of BSC</w:t>
            </w:r>
          </w:p>
        </w:tc>
        <w:tc>
          <w:tcPr>
            <w:tcW w:w="588"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c>
          <w:tcPr>
            <w:tcW w:w="515"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0.73</w:t>
            </w:r>
          </w:p>
        </w:tc>
        <w:tc>
          <w:tcPr>
            <w:tcW w:w="797" w:type="pct"/>
            <w:shd w:val="clear" w:color="auto" w:fill="FFFFFF" w:themeFill="background1"/>
          </w:tcPr>
          <w:p w:rsidR="001C71B3" w:rsidRPr="002B66AB" w:rsidRDefault="001C71B3" w:rsidP="001C71B3">
            <w:pPr>
              <w:jc w:val="center"/>
              <w:rPr>
                <w:rFonts w:ascii="Arial Narrow" w:hAnsi="Arial Narrow"/>
                <w:sz w:val="20"/>
                <w:szCs w:val="20"/>
              </w:rPr>
            </w:pPr>
            <w:r w:rsidRPr="002B66AB">
              <w:rPr>
                <w:rFonts w:ascii="Arial Narrow" w:hAnsi="Arial Narrow"/>
                <w:sz w:val="20"/>
                <w:szCs w:val="20"/>
              </w:rPr>
              <w:t>$</w:t>
            </w:r>
            <w:r w:rsidR="00D155AC">
              <w:rPr>
                <w:rFonts w:ascii="Arial Narrow" w:hAnsi="Arial Narrow"/>
                <w:noProof/>
                <w:color w:val="000000"/>
                <w:sz w:val="20"/>
                <w:szCs w:val="20"/>
                <w:highlight w:val="black"/>
              </w:rPr>
              <w:t>'''''''''''''''''''''</w:t>
            </w:r>
          </w:p>
        </w:tc>
      </w:tr>
    </w:tbl>
    <w:p w:rsidR="001C71B3" w:rsidRPr="002B66AB" w:rsidRDefault="001C71B3" w:rsidP="001C71B3">
      <w:pPr>
        <w:rPr>
          <w:rFonts w:ascii="Arial Narrow" w:hAnsi="Arial Narrow"/>
          <w:sz w:val="18"/>
        </w:rPr>
      </w:pPr>
      <w:r w:rsidRPr="002B66AB">
        <w:rPr>
          <w:rFonts w:ascii="Arial Narrow" w:hAnsi="Arial Narrow"/>
          <w:sz w:val="18"/>
        </w:rPr>
        <w:t>Abbreviation: BSC=best supportive care; FEV</w:t>
      </w:r>
      <w:r w:rsidRPr="002B66AB">
        <w:rPr>
          <w:rFonts w:ascii="Arial Narrow" w:hAnsi="Arial Narrow"/>
          <w:sz w:val="18"/>
          <w:vertAlign w:val="subscript"/>
        </w:rPr>
        <w:t>1</w:t>
      </w:r>
      <w:r w:rsidRPr="002B66AB">
        <w:rPr>
          <w:rFonts w:ascii="Arial Narrow" w:hAnsi="Arial Narrow"/>
          <w:sz w:val="18"/>
        </w:rPr>
        <w:t>=forced expiratory volume in one second; LOE=loss of exclusivity</w:t>
      </w:r>
    </w:p>
    <w:p w:rsidR="001C71B3" w:rsidRPr="002B66AB" w:rsidRDefault="001C71B3" w:rsidP="001C71B3">
      <w:pPr>
        <w:rPr>
          <w:rFonts w:ascii="Arial Narrow" w:hAnsi="Arial Narrow"/>
          <w:sz w:val="18"/>
        </w:rPr>
      </w:pPr>
      <w:r w:rsidRPr="002B66AB">
        <w:rPr>
          <w:rFonts w:ascii="Arial Narrow" w:hAnsi="Arial Narrow"/>
          <w:sz w:val="18"/>
        </w:rPr>
        <w:t>Source: Compiled during the evaluation setting the patient filter to patients aged 6 years and older Excel spreadsheet “</w:t>
      </w:r>
      <w:proofErr w:type="spellStart"/>
      <w:r w:rsidRPr="002B66AB">
        <w:rPr>
          <w:rFonts w:ascii="Arial Narrow" w:hAnsi="Arial Narrow"/>
          <w:sz w:val="18"/>
        </w:rPr>
        <w:t>Orkambi</w:t>
      </w:r>
      <w:proofErr w:type="spellEnd"/>
      <w:r w:rsidRPr="002B66AB">
        <w:rPr>
          <w:rFonts w:ascii="Arial Narrow" w:hAnsi="Arial Narrow"/>
          <w:sz w:val="18"/>
        </w:rPr>
        <w:t xml:space="preserve"> 2+ cost effectiveness model March 2018 FINAL’, sheet ‘Results’.</w:t>
      </w:r>
    </w:p>
    <w:p w:rsidR="00AA5C91" w:rsidRDefault="00AA5C91" w:rsidP="001C71B3">
      <w:pPr>
        <w:rPr>
          <w:rFonts w:ascii="Arial Narrow" w:hAnsi="Arial Narrow"/>
          <w:sz w:val="18"/>
        </w:rPr>
      </w:pPr>
    </w:p>
    <w:p w:rsidR="00AA5C91" w:rsidRDefault="00AA5C91" w:rsidP="00AA5C91">
      <w:pPr>
        <w:rPr>
          <w:rFonts w:ascii="Arial Narrow" w:hAnsi="Arial Narrow"/>
          <w:sz w:val="18"/>
        </w:rPr>
      </w:pPr>
    </w:p>
    <w:p w:rsidR="001C71B3" w:rsidRPr="00AA5C91" w:rsidRDefault="00AA5C91" w:rsidP="00AA5C91">
      <w:r>
        <w:lastRenderedPageBreak/>
        <w:t xml:space="preserve">The redacted table shows ICERs in the range of $75,000/QALY – more than $200,000/QALY. </w:t>
      </w:r>
    </w:p>
    <w:p w:rsidR="009F2127" w:rsidRDefault="009F2127" w:rsidP="001C71B3">
      <w:pPr>
        <w:keepNext/>
        <w:rPr>
          <w:rFonts w:ascii="Arial Narrow" w:hAnsi="Arial Narrow"/>
          <w:b/>
          <w:sz w:val="20"/>
          <w:szCs w:val="20"/>
        </w:rPr>
      </w:pPr>
    </w:p>
    <w:p w:rsidR="001C71B3" w:rsidRPr="002B66AB" w:rsidRDefault="001C71B3" w:rsidP="001C71B3">
      <w:pPr>
        <w:keepNext/>
        <w:rPr>
          <w:rFonts w:ascii="Arial Narrow" w:hAnsi="Arial Narrow"/>
          <w:b/>
          <w:sz w:val="20"/>
          <w:szCs w:val="20"/>
        </w:rPr>
      </w:pPr>
      <w:r w:rsidRPr="002B66AB">
        <w:rPr>
          <w:rFonts w:ascii="Arial Narrow" w:hAnsi="Arial Narrow"/>
          <w:b/>
          <w:sz w:val="20"/>
          <w:szCs w:val="20"/>
        </w:rPr>
        <w:t>Figure 1: Tornado diagram for sensitivity analysis – patients aged 6 years and older (change of 10% or more)</w:t>
      </w:r>
    </w:p>
    <w:p w:rsidR="001C71B3" w:rsidRPr="002B66AB" w:rsidRDefault="00D155AC" w:rsidP="001C71B3">
      <w:pPr>
        <w:keepNext/>
      </w:pPr>
      <w:r>
        <w:rPr>
          <w:noProof/>
          <w:snapToGrid/>
          <w:lang w:eastAsia="en-AU"/>
        </w:rPr>
        <w:drawing>
          <wp:inline distT="0" distB="0" distL="0" distR="0">
            <wp:extent cx="5716905" cy="4065270"/>
            <wp:effectExtent l="0" t="0" r="0" b="0"/>
            <wp:docPr id="2" name="Picture 2" title="Figure 1: Tornado diagram for sensitivity analysis – patients aged 6 years and older (change of 10% or mo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6905" cy="4065270"/>
                    </a:xfrm>
                    <a:prstGeom prst="rect">
                      <a:avLst/>
                    </a:prstGeom>
                  </pic:spPr>
                </pic:pic>
              </a:graphicData>
            </a:graphic>
          </wp:inline>
        </w:drawing>
      </w:r>
    </w:p>
    <w:p w:rsidR="001C71B3" w:rsidRPr="002B66AB" w:rsidRDefault="001C71B3" w:rsidP="001C71B3">
      <w:pPr>
        <w:keepNext/>
        <w:rPr>
          <w:rFonts w:ascii="Arial Narrow" w:hAnsi="Arial Narrow"/>
          <w:sz w:val="18"/>
          <w:szCs w:val="18"/>
        </w:rPr>
      </w:pPr>
      <w:r w:rsidRPr="002B66AB">
        <w:rPr>
          <w:rFonts w:ascii="Arial Narrow" w:hAnsi="Arial Narrow"/>
          <w:sz w:val="18"/>
          <w:szCs w:val="18"/>
        </w:rPr>
        <w:t>Abbreviations: BSC= best supportive care; CPH=Cox proportional hazard; DM=disease management; LOE=loss of exclusivity; PE=pulmonary exacerbation; ppFEV</w:t>
      </w:r>
      <w:r w:rsidRPr="002B66AB">
        <w:rPr>
          <w:rFonts w:ascii="Arial Narrow" w:hAnsi="Arial Narrow"/>
          <w:sz w:val="18"/>
          <w:szCs w:val="18"/>
          <w:vertAlign w:val="subscript"/>
        </w:rPr>
        <w:t>1</w:t>
      </w:r>
      <w:r w:rsidRPr="002B66AB">
        <w:rPr>
          <w:rFonts w:ascii="Arial Narrow" w:hAnsi="Arial Narrow"/>
          <w:sz w:val="18"/>
          <w:szCs w:val="18"/>
        </w:rPr>
        <w:t xml:space="preserve">= percent predicted forced expiratory volume in one second; </w:t>
      </w:r>
    </w:p>
    <w:p w:rsidR="001C71B3" w:rsidRPr="002B66AB" w:rsidRDefault="001C71B3" w:rsidP="001C71B3">
      <w:pPr>
        <w:rPr>
          <w:rFonts w:ascii="Arial Narrow" w:hAnsi="Arial Narrow"/>
          <w:sz w:val="18"/>
          <w:szCs w:val="18"/>
        </w:rPr>
      </w:pPr>
      <w:r w:rsidRPr="002B66AB">
        <w:rPr>
          <w:rFonts w:ascii="Arial Narrow" w:hAnsi="Arial Narrow"/>
          <w:sz w:val="18"/>
          <w:szCs w:val="18"/>
        </w:rPr>
        <w:t xml:space="preserve">Note: Only scenarios with a greater than 10% change in the base ICER were reported. </w:t>
      </w:r>
    </w:p>
    <w:p w:rsidR="001C71B3" w:rsidRPr="002B66AB" w:rsidRDefault="001C71B3" w:rsidP="001C71B3">
      <w:pPr>
        <w:rPr>
          <w:rFonts w:ascii="Arial Narrow" w:hAnsi="Arial Narrow"/>
          <w:sz w:val="18"/>
          <w:szCs w:val="18"/>
        </w:rPr>
      </w:pPr>
      <w:r w:rsidRPr="002B66AB">
        <w:rPr>
          <w:rFonts w:ascii="Arial Narrow" w:hAnsi="Arial Narrow"/>
          <w:sz w:val="18"/>
          <w:szCs w:val="18"/>
        </w:rPr>
        <w:t>Source: Compiled during the evaluation setting the patient filter to patients aged 6 years and older Excel spreadsheet “</w:t>
      </w:r>
      <w:proofErr w:type="spellStart"/>
      <w:r w:rsidRPr="002B66AB">
        <w:rPr>
          <w:rFonts w:ascii="Arial Narrow" w:hAnsi="Arial Narrow"/>
          <w:sz w:val="18"/>
          <w:szCs w:val="18"/>
        </w:rPr>
        <w:t>Orkambi</w:t>
      </w:r>
      <w:proofErr w:type="spellEnd"/>
      <w:r w:rsidRPr="002B66AB">
        <w:rPr>
          <w:rFonts w:ascii="Arial Narrow" w:hAnsi="Arial Narrow"/>
          <w:sz w:val="18"/>
          <w:szCs w:val="18"/>
        </w:rPr>
        <w:t xml:space="preserve"> 2+ cost effectiveness model March 2018 FINAL’, sheet ‘Results’.</w:t>
      </w:r>
    </w:p>
    <w:p w:rsidR="001C71B3" w:rsidRPr="002B66AB" w:rsidRDefault="001C71B3" w:rsidP="001C71B3">
      <w:pPr>
        <w:rPr>
          <w:rFonts w:ascii="Arial Narrow" w:hAnsi="Arial Narrow"/>
          <w:sz w:val="18"/>
          <w:szCs w:val="18"/>
        </w:rPr>
      </w:pPr>
    </w:p>
    <w:p w:rsidR="001C71B3" w:rsidRPr="002B66AB" w:rsidRDefault="00790825" w:rsidP="00431133">
      <w:pPr>
        <w:pStyle w:val="ListParagraph"/>
        <w:numPr>
          <w:ilvl w:val="1"/>
          <w:numId w:val="45"/>
        </w:numPr>
        <w:ind w:hanging="720"/>
        <w:rPr>
          <w:rFonts w:asciiTheme="minorHAnsi" w:hAnsiTheme="minorHAnsi"/>
          <w:szCs w:val="24"/>
        </w:rPr>
      </w:pPr>
      <w:r w:rsidRPr="00431133">
        <w:t>A</w:t>
      </w:r>
      <w:r w:rsidR="001C71B3" w:rsidRPr="00431133">
        <w:t>n</w:t>
      </w:r>
      <w:r w:rsidR="001C71B3" w:rsidRPr="002B66AB">
        <w:rPr>
          <w:rFonts w:asciiTheme="minorHAnsi" w:hAnsiTheme="minorHAnsi"/>
          <w:szCs w:val="24"/>
        </w:rPr>
        <w:t xml:space="preserve"> additional multivariate sensitivity analysis </w:t>
      </w:r>
      <w:r w:rsidRPr="002B66AB">
        <w:rPr>
          <w:rFonts w:asciiTheme="minorHAnsi" w:hAnsiTheme="minorHAnsi"/>
          <w:szCs w:val="24"/>
        </w:rPr>
        <w:t>was conducted for</w:t>
      </w:r>
      <w:r w:rsidR="003B6ED8" w:rsidRPr="002B66AB">
        <w:rPr>
          <w:rFonts w:asciiTheme="minorHAnsi" w:hAnsiTheme="minorHAnsi"/>
          <w:szCs w:val="24"/>
        </w:rPr>
        <w:t xml:space="preserve"> </w:t>
      </w:r>
      <w:r w:rsidR="001C71B3" w:rsidRPr="002B66AB">
        <w:rPr>
          <w:rFonts w:asciiTheme="minorHAnsi" w:hAnsiTheme="minorHAnsi"/>
          <w:szCs w:val="24"/>
        </w:rPr>
        <w:t>patients aged 6 years and older</w:t>
      </w:r>
      <w:r w:rsidR="00AC530A" w:rsidRPr="002B66AB">
        <w:rPr>
          <w:rFonts w:asciiTheme="minorHAnsi" w:hAnsiTheme="minorHAnsi"/>
          <w:szCs w:val="24"/>
        </w:rPr>
        <w:t xml:space="preserve"> to </w:t>
      </w:r>
      <w:r w:rsidR="001C71B3" w:rsidRPr="002B66AB">
        <w:rPr>
          <w:rFonts w:asciiTheme="minorHAnsi" w:hAnsiTheme="minorHAnsi"/>
          <w:szCs w:val="24"/>
        </w:rPr>
        <w:t xml:space="preserve">remove the </w:t>
      </w:r>
      <w:r w:rsidR="001C71B3" w:rsidRPr="002B66AB">
        <w:rPr>
          <w:rFonts w:asciiTheme="minorHAnsi" w:hAnsiTheme="minorHAnsi"/>
          <w:iCs/>
          <w:szCs w:val="24"/>
        </w:rPr>
        <w:t>reduction in hospitalisations due to PE, remove the future price reductions (LOE and F1), and assume parallel FEV</w:t>
      </w:r>
      <w:r w:rsidR="001C71B3" w:rsidRPr="002B66AB">
        <w:rPr>
          <w:rFonts w:asciiTheme="minorHAnsi" w:hAnsiTheme="minorHAnsi"/>
          <w:iCs/>
          <w:szCs w:val="24"/>
          <w:vertAlign w:val="subscript"/>
        </w:rPr>
        <w:t>1</w:t>
      </w:r>
      <w:r w:rsidR="001C71B3" w:rsidRPr="002B66AB">
        <w:rPr>
          <w:rFonts w:asciiTheme="minorHAnsi" w:hAnsiTheme="minorHAnsi"/>
          <w:iCs/>
          <w:szCs w:val="24"/>
        </w:rPr>
        <w:t xml:space="preserve"> decline (100% of BSC) in the both arms</w:t>
      </w:r>
      <w:r w:rsidR="001C71B3" w:rsidRPr="002B66AB">
        <w:rPr>
          <w:rFonts w:asciiTheme="minorHAnsi" w:hAnsiTheme="minorHAnsi"/>
          <w:szCs w:val="24"/>
        </w:rPr>
        <w:t>. This resulted in an ICER of</w:t>
      </w:r>
      <w:r w:rsidR="00A60D67">
        <w:rPr>
          <w:rFonts w:asciiTheme="minorHAnsi" w:hAnsiTheme="minorHAnsi"/>
          <w:szCs w:val="24"/>
        </w:rPr>
        <w:t xml:space="preserve"> more than</w:t>
      </w:r>
      <w:r w:rsidR="001C71B3" w:rsidRPr="002B66AB">
        <w:rPr>
          <w:rFonts w:asciiTheme="minorHAnsi" w:hAnsiTheme="minorHAnsi"/>
          <w:szCs w:val="24"/>
        </w:rPr>
        <w:t xml:space="preserve"> </w:t>
      </w:r>
      <w:r w:rsidR="00CF7DD2">
        <w:rPr>
          <w:rFonts w:asciiTheme="minorHAnsi" w:hAnsiTheme="minorHAnsi"/>
          <w:bCs/>
          <w:iCs/>
          <w:szCs w:val="24"/>
        </w:rPr>
        <w:t>$</w:t>
      </w:r>
      <w:r w:rsidR="00A60D67">
        <w:rPr>
          <w:rFonts w:asciiTheme="minorHAnsi" w:hAnsiTheme="minorHAnsi"/>
          <w:bCs/>
          <w:iCs/>
          <w:szCs w:val="24"/>
        </w:rPr>
        <w:t>200,000</w:t>
      </w:r>
      <w:r w:rsidR="00CF7DD2">
        <w:rPr>
          <w:rFonts w:asciiTheme="minorHAnsi" w:hAnsiTheme="minorHAnsi"/>
          <w:bCs/>
          <w:iCs/>
          <w:szCs w:val="24"/>
        </w:rPr>
        <w:t xml:space="preserve"> (see Table 14</w:t>
      </w:r>
      <w:r w:rsidR="001C71B3" w:rsidRPr="002B66AB">
        <w:rPr>
          <w:rFonts w:asciiTheme="minorHAnsi" w:hAnsiTheme="minorHAnsi"/>
          <w:bCs/>
          <w:iCs/>
          <w:szCs w:val="24"/>
        </w:rPr>
        <w:t>).</w:t>
      </w:r>
      <w:r w:rsidR="001C71B3" w:rsidRPr="002B66AB">
        <w:rPr>
          <w:rFonts w:ascii="Arial Narrow" w:hAnsi="Arial Narrow"/>
          <w:b/>
          <w:bCs/>
          <w:iCs/>
          <w:sz w:val="20"/>
          <w:szCs w:val="20"/>
        </w:rPr>
        <w:t xml:space="preserve"> </w:t>
      </w:r>
    </w:p>
    <w:p w:rsidR="00F22C48" w:rsidRDefault="00F22C48">
      <w:pPr>
        <w:widowControl/>
        <w:jc w:val="left"/>
        <w:rPr>
          <w:rFonts w:ascii="Arial Narrow" w:hAnsi="Arial Narrow"/>
          <w:b/>
          <w:bCs/>
          <w:sz w:val="20"/>
          <w:szCs w:val="20"/>
        </w:rPr>
      </w:pPr>
      <w:r>
        <w:rPr>
          <w:rFonts w:ascii="Arial Narrow" w:hAnsi="Arial Narrow"/>
          <w:b/>
          <w:bCs/>
          <w:sz w:val="20"/>
          <w:szCs w:val="20"/>
        </w:rPr>
        <w:br w:type="page"/>
      </w:r>
    </w:p>
    <w:p w:rsidR="001C71B3" w:rsidRPr="002B66AB" w:rsidRDefault="00CF7DD2" w:rsidP="001C71B3">
      <w:pPr>
        <w:rPr>
          <w:rFonts w:ascii="Arial Narrow" w:hAnsi="Arial Narrow"/>
          <w:b/>
          <w:bCs/>
          <w:sz w:val="20"/>
          <w:szCs w:val="20"/>
        </w:rPr>
      </w:pPr>
      <w:r>
        <w:rPr>
          <w:rFonts w:ascii="Arial Narrow" w:hAnsi="Arial Narrow"/>
          <w:b/>
          <w:bCs/>
          <w:sz w:val="20"/>
          <w:szCs w:val="20"/>
        </w:rPr>
        <w:lastRenderedPageBreak/>
        <w:t>Table 14</w:t>
      </w:r>
      <w:r w:rsidR="00422F09">
        <w:rPr>
          <w:rFonts w:ascii="Arial Narrow" w:hAnsi="Arial Narrow"/>
          <w:b/>
          <w:bCs/>
          <w:sz w:val="20"/>
          <w:szCs w:val="20"/>
        </w:rPr>
        <w:t xml:space="preserve">: </w:t>
      </w:r>
      <w:r w:rsidR="001C71B3" w:rsidRPr="002B66AB">
        <w:rPr>
          <w:rFonts w:ascii="Arial Narrow" w:hAnsi="Arial Narrow"/>
          <w:b/>
          <w:bCs/>
          <w:sz w:val="20"/>
          <w:szCs w:val="20"/>
        </w:rPr>
        <w:t xml:space="preserve">Results of updated sensitivity analyses, patients aged ≥ 6 years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1276"/>
        <w:gridCol w:w="1348"/>
        <w:gridCol w:w="1753"/>
      </w:tblGrid>
      <w:tr w:rsidR="002B66AB" w:rsidRPr="002B66AB" w:rsidTr="002737C4">
        <w:trPr>
          <w:trHeight w:val="300"/>
        </w:trPr>
        <w:tc>
          <w:tcPr>
            <w:tcW w:w="4678" w:type="dxa"/>
            <w:tcMar>
              <w:top w:w="0" w:type="dxa"/>
              <w:left w:w="28" w:type="dxa"/>
              <w:bottom w:w="0" w:type="dxa"/>
              <w:right w:w="28" w:type="dxa"/>
            </w:tcMar>
            <w:hideMark/>
          </w:tcPr>
          <w:p w:rsidR="001C71B3" w:rsidRPr="002B66AB" w:rsidRDefault="001C71B3" w:rsidP="001C71B3">
            <w:pPr>
              <w:rPr>
                <w:rFonts w:ascii="Arial Narrow" w:eastAsiaTheme="minorHAnsi" w:hAnsi="Arial Narrow"/>
                <w:b/>
                <w:bCs/>
                <w:sz w:val="20"/>
                <w:szCs w:val="20"/>
              </w:rPr>
            </w:pPr>
            <w:r w:rsidRPr="002B66AB">
              <w:rPr>
                <w:rFonts w:ascii="Arial Narrow" w:hAnsi="Arial Narrow"/>
                <w:b/>
                <w:bCs/>
                <w:sz w:val="20"/>
                <w:szCs w:val="20"/>
              </w:rPr>
              <w:t>Analysis description (patients aged 6 years and older)</w:t>
            </w:r>
          </w:p>
        </w:tc>
        <w:tc>
          <w:tcPr>
            <w:tcW w:w="1276" w:type="dxa"/>
            <w:tcMar>
              <w:top w:w="0" w:type="dxa"/>
              <w:left w:w="28" w:type="dxa"/>
              <w:bottom w:w="0" w:type="dxa"/>
              <w:right w:w="28" w:type="dxa"/>
            </w:tcMar>
            <w:hideMark/>
          </w:tcPr>
          <w:p w:rsidR="001C71B3" w:rsidRPr="002B66AB" w:rsidRDefault="001C71B3" w:rsidP="001C71B3">
            <w:pPr>
              <w:jc w:val="left"/>
              <w:rPr>
                <w:rFonts w:ascii="Arial Narrow" w:eastAsiaTheme="minorHAnsi" w:hAnsi="Arial Narrow"/>
                <w:b/>
                <w:bCs/>
                <w:sz w:val="20"/>
                <w:szCs w:val="20"/>
              </w:rPr>
            </w:pPr>
            <w:r w:rsidRPr="002B66AB">
              <w:rPr>
                <w:rFonts w:ascii="Arial Narrow" w:hAnsi="Arial Narrow"/>
                <w:b/>
                <w:bCs/>
                <w:sz w:val="20"/>
                <w:szCs w:val="20"/>
              </w:rPr>
              <w:t>Incremental cost ($)</w:t>
            </w:r>
          </w:p>
        </w:tc>
        <w:tc>
          <w:tcPr>
            <w:tcW w:w="1348" w:type="dxa"/>
            <w:tcMar>
              <w:top w:w="0" w:type="dxa"/>
              <w:left w:w="28" w:type="dxa"/>
              <w:bottom w:w="0" w:type="dxa"/>
              <w:right w:w="28" w:type="dxa"/>
            </w:tcMar>
            <w:hideMark/>
          </w:tcPr>
          <w:p w:rsidR="001C71B3" w:rsidRPr="002B66AB" w:rsidRDefault="001C71B3" w:rsidP="001C71B3">
            <w:pPr>
              <w:jc w:val="left"/>
              <w:rPr>
                <w:rFonts w:ascii="Arial Narrow" w:eastAsiaTheme="minorHAnsi" w:hAnsi="Arial Narrow"/>
                <w:b/>
                <w:bCs/>
                <w:sz w:val="20"/>
                <w:szCs w:val="20"/>
              </w:rPr>
            </w:pPr>
            <w:r w:rsidRPr="002B66AB">
              <w:rPr>
                <w:rFonts w:ascii="Arial Narrow" w:hAnsi="Arial Narrow"/>
                <w:b/>
                <w:bCs/>
                <w:sz w:val="20"/>
                <w:szCs w:val="20"/>
              </w:rPr>
              <w:t>Incremental effect (QALYs)</w:t>
            </w:r>
          </w:p>
        </w:tc>
        <w:tc>
          <w:tcPr>
            <w:tcW w:w="1753" w:type="dxa"/>
            <w:tcMar>
              <w:top w:w="0" w:type="dxa"/>
              <w:left w:w="28" w:type="dxa"/>
              <w:bottom w:w="0" w:type="dxa"/>
              <w:right w:w="28" w:type="dxa"/>
            </w:tcMar>
            <w:hideMark/>
          </w:tcPr>
          <w:p w:rsidR="001C71B3" w:rsidRPr="002B66AB" w:rsidRDefault="001C71B3" w:rsidP="001C71B3">
            <w:pPr>
              <w:jc w:val="left"/>
              <w:rPr>
                <w:rFonts w:ascii="Arial Narrow" w:eastAsiaTheme="minorHAnsi" w:hAnsi="Arial Narrow"/>
                <w:b/>
                <w:bCs/>
                <w:sz w:val="20"/>
                <w:szCs w:val="20"/>
              </w:rPr>
            </w:pPr>
            <w:r w:rsidRPr="002B66AB">
              <w:rPr>
                <w:rFonts w:ascii="Arial Narrow" w:hAnsi="Arial Narrow"/>
                <w:b/>
                <w:bCs/>
                <w:sz w:val="20"/>
                <w:szCs w:val="20"/>
              </w:rPr>
              <w:t>ICER (cost per additional QALY gained)</w:t>
            </w:r>
          </w:p>
        </w:tc>
      </w:tr>
      <w:tr w:rsidR="002B66AB" w:rsidRPr="002B66AB" w:rsidTr="002737C4">
        <w:trPr>
          <w:trHeight w:val="171"/>
        </w:trPr>
        <w:tc>
          <w:tcPr>
            <w:tcW w:w="467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Base case for 6 years and older</w:t>
            </w:r>
          </w:p>
        </w:tc>
        <w:tc>
          <w:tcPr>
            <w:tcW w:w="1276"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c>
          <w:tcPr>
            <w:tcW w:w="134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2.21</w:t>
            </w:r>
          </w:p>
        </w:tc>
        <w:tc>
          <w:tcPr>
            <w:tcW w:w="1753"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r>
      <w:tr w:rsidR="002B66AB" w:rsidRPr="002B66AB" w:rsidTr="002737C4">
        <w:trPr>
          <w:trHeight w:val="133"/>
        </w:trPr>
        <w:tc>
          <w:tcPr>
            <w:tcW w:w="9055" w:type="dxa"/>
            <w:gridSpan w:val="4"/>
            <w:tcMar>
              <w:top w:w="0" w:type="dxa"/>
              <w:left w:w="28" w:type="dxa"/>
              <w:bottom w:w="0" w:type="dxa"/>
              <w:right w:w="28" w:type="dxa"/>
            </w:tcMar>
            <w:hideMark/>
          </w:tcPr>
          <w:p w:rsidR="001C71B3" w:rsidRPr="002B66AB" w:rsidRDefault="001C71B3" w:rsidP="001C71B3">
            <w:pPr>
              <w:rPr>
                <w:rFonts w:ascii="Arial Narrow" w:eastAsiaTheme="minorHAnsi" w:hAnsi="Arial Narrow"/>
                <w:b/>
                <w:iCs/>
                <w:sz w:val="20"/>
                <w:szCs w:val="20"/>
              </w:rPr>
            </w:pPr>
            <w:r w:rsidRPr="002B66AB">
              <w:rPr>
                <w:rFonts w:ascii="Arial Narrow" w:hAnsi="Arial Narrow"/>
                <w:b/>
                <w:iCs/>
                <w:sz w:val="20"/>
                <w:szCs w:val="20"/>
              </w:rPr>
              <w:t>Univariate sensitivity analysis</w:t>
            </w:r>
          </w:p>
        </w:tc>
      </w:tr>
      <w:tr w:rsidR="002B66AB" w:rsidRPr="002B66AB" w:rsidTr="002737C4">
        <w:trPr>
          <w:trHeight w:val="300"/>
        </w:trPr>
        <w:tc>
          <w:tcPr>
            <w:tcW w:w="467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Remove the future price reductions (LOE and no F1 statutory price reduction)</w:t>
            </w:r>
          </w:p>
        </w:tc>
        <w:tc>
          <w:tcPr>
            <w:tcW w:w="1276"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c>
          <w:tcPr>
            <w:tcW w:w="134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2.21</w:t>
            </w:r>
          </w:p>
        </w:tc>
        <w:tc>
          <w:tcPr>
            <w:tcW w:w="1753"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r>
      <w:tr w:rsidR="002B66AB" w:rsidRPr="002B66AB" w:rsidTr="002737C4">
        <w:trPr>
          <w:trHeight w:val="300"/>
        </w:trPr>
        <w:tc>
          <w:tcPr>
            <w:tcW w:w="467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Remove the reduction in hospitalisations due to PE so cost of cystic fibrosis disease management same as BSC (set 61.5% to 0% reduction)</w:t>
            </w:r>
          </w:p>
        </w:tc>
        <w:tc>
          <w:tcPr>
            <w:tcW w:w="1276"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c>
          <w:tcPr>
            <w:tcW w:w="134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2.21</w:t>
            </w:r>
          </w:p>
        </w:tc>
        <w:tc>
          <w:tcPr>
            <w:tcW w:w="1753"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r>
      <w:tr w:rsidR="002B66AB" w:rsidRPr="002B66AB" w:rsidTr="002737C4">
        <w:trPr>
          <w:trHeight w:val="300"/>
        </w:trPr>
        <w:tc>
          <w:tcPr>
            <w:tcW w:w="467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lang w:val="en-NZ"/>
              </w:rPr>
              <w:t>Set annual decline in FEV</w:t>
            </w:r>
            <w:r w:rsidRPr="002B66AB">
              <w:rPr>
                <w:rFonts w:ascii="Arial Narrow" w:hAnsi="Arial Narrow"/>
                <w:iCs/>
                <w:sz w:val="20"/>
                <w:szCs w:val="20"/>
                <w:vertAlign w:val="subscript"/>
                <w:lang w:val="en-NZ"/>
              </w:rPr>
              <w:t>1</w:t>
            </w:r>
            <w:r w:rsidRPr="002B66AB">
              <w:rPr>
                <w:rFonts w:ascii="Arial Narrow" w:hAnsi="Arial Narrow"/>
                <w:iCs/>
                <w:sz w:val="20"/>
                <w:szCs w:val="20"/>
                <w:lang w:val="en-NZ"/>
              </w:rPr>
              <w:t xml:space="preserve"> in </w:t>
            </w:r>
            <w:proofErr w:type="spellStart"/>
            <w:r w:rsidRPr="002B66AB">
              <w:rPr>
                <w:rFonts w:ascii="Arial Narrow" w:hAnsi="Arial Narrow"/>
                <w:iCs/>
                <w:sz w:val="20"/>
                <w:szCs w:val="20"/>
                <w:lang w:val="en-NZ"/>
              </w:rPr>
              <w:t>lumacaftor</w:t>
            </w:r>
            <w:proofErr w:type="spellEnd"/>
            <w:r w:rsidRPr="002B66AB">
              <w:rPr>
                <w:rFonts w:ascii="Arial Narrow" w:hAnsi="Arial Narrow"/>
                <w:iCs/>
                <w:sz w:val="20"/>
                <w:szCs w:val="20"/>
                <w:lang w:val="en-NZ"/>
              </w:rPr>
              <w:t>/</w:t>
            </w:r>
            <w:proofErr w:type="spellStart"/>
            <w:r w:rsidRPr="002B66AB">
              <w:rPr>
                <w:rFonts w:ascii="Arial Narrow" w:hAnsi="Arial Narrow"/>
                <w:iCs/>
                <w:sz w:val="20"/>
                <w:szCs w:val="20"/>
                <w:lang w:val="en-NZ"/>
              </w:rPr>
              <w:t>ivacaftor</w:t>
            </w:r>
            <w:proofErr w:type="spellEnd"/>
            <w:r w:rsidRPr="002B66AB">
              <w:rPr>
                <w:rFonts w:ascii="Arial Narrow" w:hAnsi="Arial Narrow"/>
                <w:iCs/>
                <w:sz w:val="20"/>
                <w:szCs w:val="20"/>
                <w:lang w:val="en-NZ"/>
              </w:rPr>
              <w:t xml:space="preserve"> treated patients to 100% of BSC</w:t>
            </w:r>
          </w:p>
        </w:tc>
        <w:tc>
          <w:tcPr>
            <w:tcW w:w="1276"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c>
          <w:tcPr>
            <w:tcW w:w="134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0.73</w:t>
            </w:r>
          </w:p>
        </w:tc>
        <w:tc>
          <w:tcPr>
            <w:tcW w:w="1753"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r>
      <w:tr w:rsidR="002B66AB" w:rsidRPr="002B66AB" w:rsidTr="002737C4">
        <w:trPr>
          <w:trHeight w:val="189"/>
        </w:trPr>
        <w:tc>
          <w:tcPr>
            <w:tcW w:w="9055" w:type="dxa"/>
            <w:gridSpan w:val="4"/>
            <w:tcMar>
              <w:top w:w="0" w:type="dxa"/>
              <w:left w:w="28" w:type="dxa"/>
              <w:bottom w:w="0" w:type="dxa"/>
              <w:right w:w="28" w:type="dxa"/>
            </w:tcMar>
            <w:hideMark/>
          </w:tcPr>
          <w:p w:rsidR="001C71B3" w:rsidRPr="002B66AB" w:rsidRDefault="001C71B3" w:rsidP="001C71B3">
            <w:pPr>
              <w:rPr>
                <w:rFonts w:ascii="Arial Narrow" w:eastAsiaTheme="minorHAnsi" w:hAnsi="Arial Narrow"/>
                <w:b/>
                <w:iCs/>
                <w:sz w:val="20"/>
                <w:szCs w:val="20"/>
              </w:rPr>
            </w:pPr>
            <w:r w:rsidRPr="002B66AB">
              <w:rPr>
                <w:rFonts w:ascii="Arial Narrow" w:hAnsi="Arial Narrow"/>
                <w:b/>
                <w:iCs/>
                <w:sz w:val="20"/>
                <w:szCs w:val="20"/>
              </w:rPr>
              <w:t>Multivariate sensitivity analysis</w:t>
            </w:r>
          </w:p>
        </w:tc>
      </w:tr>
      <w:tr w:rsidR="002B66AB" w:rsidRPr="002B66AB" w:rsidTr="002737C4">
        <w:trPr>
          <w:trHeight w:val="300"/>
        </w:trPr>
        <w:tc>
          <w:tcPr>
            <w:tcW w:w="4678"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 xml:space="preserve">Remove the reduction in hospitalisations due to PE, remove the future price reductions (LOE and F1), and assume parallel FEV1 decline (100% of BSC) in the 2 arms. </w:t>
            </w:r>
          </w:p>
        </w:tc>
        <w:tc>
          <w:tcPr>
            <w:tcW w:w="1276" w:type="dxa"/>
            <w:tcMar>
              <w:top w:w="0" w:type="dxa"/>
              <w:left w:w="28" w:type="dxa"/>
              <w:bottom w:w="0" w:type="dxa"/>
              <w:right w:w="28" w:type="dxa"/>
            </w:tcMar>
            <w:hideMark/>
          </w:tcPr>
          <w:p w:rsidR="001C71B3" w:rsidRPr="002B66AB" w:rsidRDefault="001C71B3" w:rsidP="001C71B3">
            <w:pPr>
              <w:rPr>
                <w:rFonts w:ascii="Arial Narrow" w:eastAsiaTheme="minorHAnsi" w:hAnsi="Arial Narrow"/>
                <w:iCs/>
                <w:sz w:val="20"/>
                <w:szCs w:val="20"/>
              </w:rPr>
            </w:pPr>
            <w:r w:rsidRPr="002B66AB">
              <w:rPr>
                <w:rFonts w:ascii="Arial Narrow" w:hAnsi="Arial Narrow"/>
                <w:iCs/>
                <w:sz w:val="20"/>
                <w:szCs w:val="20"/>
              </w:rPr>
              <w:t>$</w:t>
            </w:r>
            <w:r w:rsidR="00D155AC">
              <w:rPr>
                <w:rFonts w:ascii="Arial Narrow" w:hAnsi="Arial Narrow"/>
                <w:iCs/>
                <w:noProof/>
                <w:color w:val="000000"/>
                <w:sz w:val="20"/>
                <w:szCs w:val="20"/>
                <w:highlight w:val="black"/>
              </w:rPr>
              <w:t>'''''''''''''''''''''</w:t>
            </w:r>
          </w:p>
        </w:tc>
        <w:tc>
          <w:tcPr>
            <w:tcW w:w="1348" w:type="dxa"/>
            <w:noWrap/>
            <w:tcMar>
              <w:top w:w="0" w:type="dxa"/>
              <w:left w:w="28" w:type="dxa"/>
              <w:bottom w:w="0" w:type="dxa"/>
              <w:right w:w="28" w:type="dxa"/>
            </w:tcMar>
            <w:hideMark/>
          </w:tcPr>
          <w:p w:rsidR="001C71B3" w:rsidRPr="002B66AB" w:rsidRDefault="001C71B3" w:rsidP="001C71B3">
            <w:pPr>
              <w:rPr>
                <w:rFonts w:ascii="Arial Narrow" w:eastAsiaTheme="minorHAnsi" w:hAnsi="Arial Narrow"/>
                <w:sz w:val="20"/>
                <w:szCs w:val="20"/>
              </w:rPr>
            </w:pPr>
            <w:r w:rsidRPr="002B66AB">
              <w:rPr>
                <w:rFonts w:ascii="Arial Narrow" w:hAnsi="Arial Narrow"/>
                <w:sz w:val="20"/>
                <w:szCs w:val="20"/>
              </w:rPr>
              <w:t>0.73</w:t>
            </w:r>
          </w:p>
        </w:tc>
        <w:tc>
          <w:tcPr>
            <w:tcW w:w="1753" w:type="dxa"/>
            <w:tcMar>
              <w:top w:w="0" w:type="dxa"/>
              <w:left w:w="28" w:type="dxa"/>
              <w:bottom w:w="0" w:type="dxa"/>
              <w:right w:w="28" w:type="dxa"/>
            </w:tcMar>
            <w:hideMark/>
          </w:tcPr>
          <w:p w:rsidR="001C71B3" w:rsidRPr="002B66AB" w:rsidRDefault="001C71B3" w:rsidP="001C71B3">
            <w:pPr>
              <w:rPr>
                <w:rFonts w:ascii="Arial Narrow" w:eastAsiaTheme="minorHAnsi" w:hAnsi="Arial Narrow"/>
                <w:b/>
                <w:bCs/>
                <w:iCs/>
                <w:sz w:val="20"/>
                <w:szCs w:val="20"/>
              </w:rPr>
            </w:pPr>
            <w:r w:rsidRPr="002B66AB">
              <w:rPr>
                <w:rFonts w:ascii="Arial Narrow" w:hAnsi="Arial Narrow"/>
                <w:b/>
                <w:bCs/>
                <w:iCs/>
                <w:sz w:val="20"/>
                <w:szCs w:val="20"/>
              </w:rPr>
              <w:t>$</w:t>
            </w:r>
            <w:r w:rsidR="00D155AC">
              <w:rPr>
                <w:rFonts w:ascii="Arial Narrow" w:hAnsi="Arial Narrow"/>
                <w:b/>
                <w:bCs/>
                <w:iCs/>
                <w:noProof/>
                <w:color w:val="000000"/>
                <w:sz w:val="20"/>
                <w:szCs w:val="20"/>
                <w:highlight w:val="black"/>
              </w:rPr>
              <w:t>''''''''''''''''''</w:t>
            </w:r>
          </w:p>
        </w:tc>
      </w:tr>
    </w:tbl>
    <w:p w:rsidR="001C71B3" w:rsidRPr="002B66AB" w:rsidRDefault="001C71B3" w:rsidP="001C71B3">
      <w:pPr>
        <w:rPr>
          <w:rFonts w:ascii="Arial Narrow" w:hAnsi="Arial Narrow"/>
          <w:sz w:val="18"/>
        </w:rPr>
      </w:pPr>
      <w:r w:rsidRPr="002B66AB">
        <w:rPr>
          <w:rFonts w:ascii="Arial Narrow" w:hAnsi="Arial Narrow"/>
          <w:sz w:val="18"/>
        </w:rPr>
        <w:t>Abbreviation: BSC=best supportive care; FEV</w:t>
      </w:r>
      <w:r w:rsidRPr="002B66AB">
        <w:rPr>
          <w:rFonts w:ascii="Arial Narrow" w:hAnsi="Arial Narrow"/>
          <w:sz w:val="18"/>
          <w:vertAlign w:val="subscript"/>
        </w:rPr>
        <w:t>1</w:t>
      </w:r>
      <w:r w:rsidRPr="002B66AB">
        <w:rPr>
          <w:rFonts w:ascii="Arial Narrow" w:hAnsi="Arial Narrow"/>
          <w:sz w:val="18"/>
        </w:rPr>
        <w:t>=forced expiratory volume in one second; LOE=loss of exclusivity</w:t>
      </w:r>
    </w:p>
    <w:p w:rsidR="008874D4" w:rsidRDefault="008874D4" w:rsidP="00FB549B">
      <w:pPr>
        <w:widowControl/>
        <w:ind w:left="709"/>
        <w:rPr>
          <w:rFonts w:asciiTheme="minorHAnsi" w:hAnsiTheme="minorHAnsi" w:cstheme="minorHAnsi"/>
        </w:rPr>
      </w:pPr>
      <w:bookmarkStart w:id="26" w:name="_Toc511665482"/>
    </w:p>
    <w:p w:rsidR="00301BAD" w:rsidRPr="002B66AB" w:rsidRDefault="00E02430" w:rsidP="00431133">
      <w:pPr>
        <w:pStyle w:val="ListParagraph"/>
        <w:numPr>
          <w:ilvl w:val="1"/>
          <w:numId w:val="45"/>
        </w:numPr>
        <w:ind w:hanging="720"/>
        <w:rPr>
          <w:rFonts w:asciiTheme="minorHAnsi" w:hAnsiTheme="minorHAnsi" w:cstheme="minorHAnsi"/>
        </w:rPr>
      </w:pPr>
      <w:r>
        <w:rPr>
          <w:rFonts w:asciiTheme="minorHAnsi" w:hAnsiTheme="minorHAnsi" w:cstheme="minorHAnsi"/>
        </w:rPr>
        <w:t>The p</w:t>
      </w:r>
      <w:r w:rsidR="00301BAD" w:rsidRPr="002B66AB">
        <w:rPr>
          <w:rFonts w:asciiTheme="minorHAnsi" w:hAnsiTheme="minorHAnsi" w:cstheme="minorHAnsi"/>
        </w:rPr>
        <w:t>re</w:t>
      </w:r>
      <w:r w:rsidR="006647CF" w:rsidRPr="002B66AB">
        <w:rPr>
          <w:rFonts w:asciiTheme="minorHAnsi" w:hAnsiTheme="minorHAnsi" w:cstheme="minorHAnsi"/>
        </w:rPr>
        <w:t>-</w:t>
      </w:r>
      <w:r w:rsidR="002737C4" w:rsidRPr="002B66AB">
        <w:rPr>
          <w:rFonts w:asciiTheme="minorHAnsi" w:hAnsiTheme="minorHAnsi" w:cstheme="minorHAnsi"/>
        </w:rPr>
        <w:t xml:space="preserve">PBAC response revised the overall </w:t>
      </w:r>
      <w:r w:rsidR="002737C4" w:rsidRPr="0039673A">
        <w:rPr>
          <w:rFonts w:asciiTheme="minorHAnsi" w:hAnsiTheme="minorHAnsi" w:cstheme="minorHAnsi"/>
        </w:rPr>
        <w:t xml:space="preserve">Financial </w:t>
      </w:r>
      <w:r w:rsidR="00844F7B" w:rsidRPr="0039673A">
        <w:rPr>
          <w:rFonts w:asciiTheme="minorHAnsi" w:hAnsiTheme="minorHAnsi" w:cstheme="minorHAnsi"/>
        </w:rPr>
        <w:t>Cap</w:t>
      </w:r>
      <w:r w:rsidR="002737C4" w:rsidRPr="0039673A">
        <w:rPr>
          <w:rFonts w:asciiTheme="minorHAnsi" w:hAnsiTheme="minorHAnsi" w:cstheme="minorHAnsi"/>
        </w:rPr>
        <w:t xml:space="preserve"> offer (covering the 2 – 5, 6 - 11 and 12+ age groups) to </w:t>
      </w:r>
      <w:r w:rsidR="00A60D67" w:rsidRPr="0039673A">
        <w:rPr>
          <w:rFonts w:asciiTheme="minorHAnsi" w:hAnsiTheme="minorHAnsi" w:cstheme="minorHAnsi"/>
        </w:rPr>
        <w:t xml:space="preserve">more than </w:t>
      </w:r>
      <w:r w:rsidR="002737C4" w:rsidRPr="0039673A">
        <w:rPr>
          <w:rFonts w:asciiTheme="minorHAnsi" w:hAnsiTheme="minorHAnsi" w:cstheme="minorHAnsi"/>
        </w:rPr>
        <w:t>$</w:t>
      </w:r>
      <w:r w:rsidR="00A60D67" w:rsidRPr="0039673A">
        <w:rPr>
          <w:rFonts w:asciiTheme="minorHAnsi" w:hAnsiTheme="minorHAnsi" w:cstheme="minorHAnsi"/>
        </w:rPr>
        <w:t>100 million</w:t>
      </w:r>
      <w:r w:rsidR="002737C4" w:rsidRPr="0039673A">
        <w:rPr>
          <w:rFonts w:asciiTheme="minorHAnsi" w:hAnsiTheme="minorHAnsi" w:cstheme="minorHAnsi"/>
        </w:rPr>
        <w:t xml:space="preserve"> (circa </w:t>
      </w:r>
      <w:r w:rsidR="003C17FD" w:rsidRPr="0039673A">
        <w:rPr>
          <w:rFonts w:asciiTheme="minorHAnsi" w:hAnsiTheme="minorHAnsi" w:cstheme="minorHAnsi"/>
        </w:rPr>
        <w:t>61.3</w:t>
      </w:r>
      <w:r w:rsidR="002737C4" w:rsidRPr="0039673A">
        <w:rPr>
          <w:rFonts w:asciiTheme="minorHAnsi" w:hAnsiTheme="minorHAnsi" w:cstheme="minorHAnsi"/>
        </w:rPr>
        <w:t>%</w:t>
      </w:r>
      <w:r w:rsidR="002737C4" w:rsidRPr="002B66AB">
        <w:rPr>
          <w:rFonts w:asciiTheme="minorHAnsi" w:hAnsiTheme="minorHAnsi" w:cstheme="minorHAnsi"/>
        </w:rPr>
        <w:t xml:space="preserve"> rebate)</w:t>
      </w:r>
      <w:r w:rsidR="003B6ED8" w:rsidRPr="002B66AB">
        <w:rPr>
          <w:rFonts w:asciiTheme="minorHAnsi" w:hAnsiTheme="minorHAnsi" w:cstheme="minorHAnsi"/>
        </w:rPr>
        <w:t xml:space="preserve"> from the</w:t>
      </w:r>
      <w:r w:rsidR="00A60D67">
        <w:rPr>
          <w:rFonts w:asciiTheme="minorHAnsi" w:hAnsiTheme="minorHAnsi" w:cstheme="minorHAnsi"/>
        </w:rPr>
        <w:t xml:space="preserve"> more than </w:t>
      </w:r>
      <w:r w:rsidR="003B6ED8" w:rsidRPr="002B66AB">
        <w:rPr>
          <w:rFonts w:asciiTheme="minorHAnsi" w:hAnsiTheme="minorHAnsi" w:cstheme="minorHAnsi"/>
        </w:rPr>
        <w:t xml:space="preserve"> $</w:t>
      </w:r>
      <w:r w:rsidR="00A60D67">
        <w:rPr>
          <w:rFonts w:asciiTheme="minorHAnsi" w:hAnsiTheme="minorHAnsi" w:cstheme="minorHAnsi"/>
        </w:rPr>
        <w:t>100 million</w:t>
      </w:r>
      <w:r w:rsidR="003B6ED8" w:rsidRPr="002B66AB">
        <w:rPr>
          <w:rFonts w:asciiTheme="minorHAnsi" w:hAnsiTheme="minorHAnsi" w:cstheme="minorHAnsi"/>
        </w:rPr>
        <w:t xml:space="preserve"> offered</w:t>
      </w:r>
      <w:r w:rsidR="006647CF" w:rsidRPr="002B66AB">
        <w:rPr>
          <w:rFonts w:asciiTheme="minorHAnsi" w:hAnsiTheme="minorHAnsi" w:cstheme="minorHAnsi"/>
        </w:rPr>
        <w:t xml:space="preserve"> in the July 2018 submission,</w:t>
      </w:r>
      <w:r w:rsidR="002737C4" w:rsidRPr="002B66AB">
        <w:rPr>
          <w:rFonts w:asciiTheme="minorHAnsi" w:hAnsiTheme="minorHAnsi" w:cstheme="minorHAnsi"/>
        </w:rPr>
        <w:t xml:space="preserve"> to achieve an effective price per treated patient of $</w:t>
      </w:r>
      <w:r w:rsidR="00D155AC">
        <w:rPr>
          <w:rFonts w:asciiTheme="minorHAnsi" w:hAnsiTheme="minorHAnsi" w:cstheme="minorHAnsi"/>
          <w:noProof/>
          <w:color w:val="000000"/>
          <w:highlight w:val="black"/>
        </w:rPr>
        <w:t>''''''''''''</w:t>
      </w:r>
      <w:r w:rsidR="002737C4" w:rsidRPr="002B66AB">
        <w:rPr>
          <w:rFonts w:asciiTheme="minorHAnsi" w:hAnsiTheme="minorHAnsi" w:cstheme="minorHAnsi"/>
        </w:rPr>
        <w:t xml:space="preserve"> per year</w:t>
      </w:r>
      <w:r w:rsidR="006647CF" w:rsidRPr="002B66AB">
        <w:rPr>
          <w:rFonts w:asciiTheme="minorHAnsi" w:hAnsiTheme="minorHAnsi" w:cstheme="minorHAnsi"/>
        </w:rPr>
        <w:t>.</w:t>
      </w:r>
    </w:p>
    <w:p w:rsidR="006647CF" w:rsidRPr="002B66AB" w:rsidRDefault="00FB549B" w:rsidP="00431133">
      <w:pPr>
        <w:pStyle w:val="ListParagraph"/>
        <w:numPr>
          <w:ilvl w:val="1"/>
          <w:numId w:val="45"/>
        </w:numPr>
        <w:ind w:hanging="720"/>
        <w:rPr>
          <w:rFonts w:asciiTheme="minorHAnsi" w:hAnsiTheme="minorHAnsi" w:cstheme="minorHAnsi"/>
          <w:b/>
          <w:sz w:val="20"/>
          <w:szCs w:val="20"/>
        </w:rPr>
      </w:pPr>
      <w:r>
        <w:rPr>
          <w:rFonts w:asciiTheme="minorHAnsi" w:hAnsiTheme="minorHAnsi" w:cstheme="minorHAnsi"/>
        </w:rPr>
        <w:t>The p</w:t>
      </w:r>
      <w:r w:rsidR="006647CF" w:rsidRPr="002B66AB">
        <w:rPr>
          <w:rFonts w:asciiTheme="minorHAnsi" w:hAnsiTheme="minorHAnsi" w:cstheme="minorHAnsi"/>
        </w:rPr>
        <w:t>re-PBAC response</w:t>
      </w:r>
      <w:r w:rsidR="003B6ED8" w:rsidRPr="002B66AB">
        <w:rPr>
          <w:rFonts w:asciiTheme="minorHAnsi" w:hAnsiTheme="minorHAnsi" w:cstheme="minorHAnsi"/>
          <w:szCs w:val="20"/>
          <w:lang w:val="en-US"/>
        </w:rPr>
        <w:t xml:space="preserve"> also</w:t>
      </w:r>
      <w:r w:rsidR="006647CF" w:rsidRPr="002B66AB">
        <w:rPr>
          <w:rFonts w:asciiTheme="minorHAnsi" w:hAnsiTheme="minorHAnsi" w:cstheme="minorHAnsi"/>
          <w:szCs w:val="20"/>
          <w:lang w:val="en-US"/>
        </w:rPr>
        <w:t xml:space="preserve"> revised the rate of decline for the on</w:t>
      </w:r>
      <w:r w:rsidR="003B6ED8" w:rsidRPr="002B66AB">
        <w:rPr>
          <w:rFonts w:asciiTheme="minorHAnsi" w:hAnsiTheme="minorHAnsi" w:cstheme="minorHAnsi"/>
          <w:szCs w:val="20"/>
          <w:lang w:val="en-US"/>
        </w:rPr>
        <w:t>-</w:t>
      </w:r>
      <w:r w:rsidR="006647CF" w:rsidRPr="002B66AB">
        <w:rPr>
          <w:rFonts w:asciiTheme="minorHAnsi" w:hAnsiTheme="minorHAnsi" w:cstheme="minorHAnsi"/>
          <w:szCs w:val="20"/>
          <w:lang w:val="en-US"/>
        </w:rPr>
        <w:t>treatment group in the economic model to 42%. These changes resulted in revised ICERs of $</w:t>
      </w:r>
      <w:r w:rsidR="00A60D67">
        <w:rPr>
          <w:rFonts w:asciiTheme="minorHAnsi" w:hAnsiTheme="minorHAnsi" w:cstheme="minorHAnsi"/>
          <w:szCs w:val="20"/>
          <w:lang w:val="en-US"/>
        </w:rPr>
        <w:t>105,000/QALY - $200,000/QALY</w:t>
      </w:r>
      <w:r w:rsidR="006647CF" w:rsidRPr="002B66AB">
        <w:rPr>
          <w:rFonts w:asciiTheme="minorHAnsi" w:hAnsiTheme="minorHAnsi" w:cstheme="minorHAnsi"/>
          <w:szCs w:val="20"/>
          <w:lang w:val="en-US"/>
        </w:rPr>
        <w:t xml:space="preserve"> (see Table 1</w:t>
      </w:r>
      <w:r w:rsidR="00CF7DD2">
        <w:rPr>
          <w:rFonts w:asciiTheme="minorHAnsi" w:hAnsiTheme="minorHAnsi" w:cstheme="minorHAnsi"/>
          <w:szCs w:val="20"/>
          <w:lang w:val="en-US"/>
        </w:rPr>
        <w:t>5</w:t>
      </w:r>
      <w:r w:rsidR="006647CF" w:rsidRPr="002B66AB">
        <w:rPr>
          <w:rFonts w:asciiTheme="minorHAnsi" w:hAnsiTheme="minorHAnsi" w:cstheme="minorHAnsi"/>
          <w:szCs w:val="20"/>
          <w:lang w:val="en-US"/>
        </w:rPr>
        <w:t>) for the 2+ population,</w:t>
      </w:r>
      <w:r w:rsidR="006647CF" w:rsidRPr="002B66AB">
        <w:rPr>
          <w:rFonts w:asciiTheme="minorHAnsi" w:hAnsiTheme="minorHAnsi" w:cstheme="minorHAnsi"/>
          <w:sz w:val="22"/>
          <w:szCs w:val="20"/>
        </w:rPr>
        <w:t xml:space="preserve"> </w:t>
      </w:r>
      <w:r w:rsidR="006647CF" w:rsidRPr="002B66AB">
        <w:rPr>
          <w:rFonts w:asciiTheme="minorHAnsi" w:hAnsiTheme="minorHAnsi" w:cstheme="minorHAnsi"/>
          <w:szCs w:val="20"/>
          <w:lang w:val="en-US"/>
        </w:rPr>
        <w:t>$</w:t>
      </w:r>
      <w:r w:rsidR="00AD0718">
        <w:rPr>
          <w:rFonts w:asciiTheme="minorHAnsi" w:hAnsiTheme="minorHAnsi" w:cstheme="minorHAnsi"/>
          <w:szCs w:val="20"/>
          <w:lang w:val="en-US"/>
        </w:rPr>
        <w:t>105,000/QALY - $200,000/QALY</w:t>
      </w:r>
      <w:r w:rsidR="006647CF" w:rsidRPr="002B66AB">
        <w:rPr>
          <w:rFonts w:asciiTheme="minorHAnsi" w:hAnsiTheme="minorHAnsi" w:cstheme="minorHAnsi"/>
          <w:szCs w:val="20"/>
          <w:lang w:val="en-US"/>
        </w:rPr>
        <w:t xml:space="preserve"> for the 6+ </w:t>
      </w:r>
      <w:proofErr w:type="gramStart"/>
      <w:r w:rsidR="006647CF" w:rsidRPr="002B66AB">
        <w:rPr>
          <w:rFonts w:asciiTheme="minorHAnsi" w:hAnsiTheme="minorHAnsi" w:cstheme="minorHAnsi"/>
          <w:szCs w:val="20"/>
          <w:lang w:val="en-US"/>
        </w:rPr>
        <w:t>population</w:t>
      </w:r>
      <w:proofErr w:type="gramEnd"/>
      <w:r w:rsidR="006647CF" w:rsidRPr="002B66AB">
        <w:rPr>
          <w:rFonts w:asciiTheme="minorHAnsi" w:hAnsiTheme="minorHAnsi" w:cstheme="minorHAnsi"/>
          <w:szCs w:val="20"/>
          <w:lang w:val="en-US"/>
        </w:rPr>
        <w:t>, and $</w:t>
      </w:r>
      <w:r w:rsidR="00AD0718">
        <w:rPr>
          <w:rFonts w:asciiTheme="minorHAnsi" w:hAnsiTheme="minorHAnsi" w:cstheme="minorHAnsi"/>
          <w:szCs w:val="20"/>
          <w:lang w:val="en-US"/>
        </w:rPr>
        <w:t>105,000/QALY - $200,000/QALY</w:t>
      </w:r>
      <w:r w:rsidR="006647CF" w:rsidRPr="002B66AB">
        <w:rPr>
          <w:rFonts w:asciiTheme="minorHAnsi" w:hAnsiTheme="minorHAnsi" w:cstheme="minorHAnsi"/>
          <w:szCs w:val="20"/>
          <w:lang w:val="en-US"/>
        </w:rPr>
        <w:t xml:space="preserve"> for the 12+ population. </w:t>
      </w:r>
    </w:p>
    <w:p w:rsidR="006647CF" w:rsidRPr="002B66AB" w:rsidRDefault="006647CF" w:rsidP="006647CF">
      <w:pPr>
        <w:widowControl/>
        <w:spacing w:before="120"/>
        <w:jc w:val="left"/>
        <w:rPr>
          <w:rFonts w:ascii="Arial Narrow" w:hAnsi="Arial Narrow" w:cs="Times New Roman"/>
          <w:b/>
          <w:snapToGrid/>
          <w:sz w:val="20"/>
          <w:szCs w:val="24"/>
          <w:lang w:eastAsia="en-AU"/>
        </w:rPr>
      </w:pPr>
      <w:r w:rsidRPr="002B66AB">
        <w:rPr>
          <w:rFonts w:ascii="Arial Narrow" w:hAnsi="Arial Narrow" w:cs="Times New Roman"/>
          <w:b/>
          <w:snapToGrid/>
          <w:sz w:val="20"/>
          <w:szCs w:val="24"/>
          <w:lang w:eastAsia="en-AU"/>
        </w:rPr>
        <w:t xml:space="preserve">Table </w:t>
      </w:r>
      <w:r w:rsidR="00CF7DD2">
        <w:rPr>
          <w:rFonts w:ascii="Arial Narrow" w:hAnsi="Arial Narrow" w:cs="Times New Roman"/>
          <w:b/>
          <w:snapToGrid/>
          <w:sz w:val="20"/>
          <w:szCs w:val="24"/>
          <w:lang w:eastAsia="en-AU"/>
        </w:rPr>
        <w:t>15</w:t>
      </w:r>
      <w:r w:rsidRPr="002B66AB">
        <w:rPr>
          <w:rFonts w:ascii="Arial Narrow" w:hAnsi="Arial Narrow" w:cs="Times New Roman"/>
          <w:b/>
          <w:snapToGrid/>
          <w:sz w:val="20"/>
          <w:szCs w:val="24"/>
          <w:lang w:eastAsia="en-AU"/>
        </w:rPr>
        <w:t>:</w:t>
      </w:r>
      <w:r w:rsidRPr="002B66AB">
        <w:rPr>
          <w:rFonts w:ascii="Arial Narrow" w:hAnsi="Arial Narrow" w:cs="Times New Roman"/>
          <w:b/>
          <w:snapToGrid/>
          <w:sz w:val="20"/>
          <w:szCs w:val="24"/>
          <w:lang w:eastAsia="en-AU"/>
        </w:rPr>
        <w:tab/>
        <w:t xml:space="preserve"> Estimated ICER at effective price of $</w:t>
      </w:r>
      <w:r w:rsidR="00D155AC">
        <w:rPr>
          <w:rFonts w:ascii="Arial Narrow" w:hAnsi="Arial Narrow" w:cs="Times New Roman"/>
          <w:b/>
          <w:noProof/>
          <w:snapToGrid/>
          <w:color w:val="000000"/>
          <w:sz w:val="20"/>
          <w:szCs w:val="24"/>
          <w:highlight w:val="black"/>
          <w:lang w:eastAsia="en-AU"/>
        </w:rPr>
        <w:t>'''''''''''''</w:t>
      </w:r>
      <w:r w:rsidRPr="002B66AB">
        <w:rPr>
          <w:rFonts w:ascii="Arial Narrow" w:hAnsi="Arial Narrow" w:cs="Times New Roman"/>
          <w:b/>
          <w:snapToGrid/>
          <w:sz w:val="20"/>
          <w:szCs w:val="24"/>
          <w:lang w:eastAsia="en-AU"/>
        </w:rPr>
        <w:t xml:space="preserve"> per patient per year and with rate of decline 42% of BSC</w:t>
      </w:r>
    </w:p>
    <w:tbl>
      <w:tblPr>
        <w:tblStyle w:val="OPTUMTableNormal"/>
        <w:tblW w:w="5000" w:type="pct"/>
        <w:tblLook w:val="04A0" w:firstRow="1" w:lastRow="0" w:firstColumn="1" w:lastColumn="0" w:noHBand="0" w:noVBand="1"/>
        <w:tblCaption w:val="Table 15:  Estimated ICER at effective price of $''''''''''''' per patient per year and with rate of decline 42% of BSC"/>
      </w:tblPr>
      <w:tblGrid>
        <w:gridCol w:w="3388"/>
        <w:gridCol w:w="5855"/>
      </w:tblGrid>
      <w:tr w:rsidR="002B66AB" w:rsidRPr="002B66AB" w:rsidTr="00D92CD4">
        <w:trPr>
          <w:cnfStyle w:val="100000000000" w:firstRow="1" w:lastRow="0" w:firstColumn="0" w:lastColumn="0" w:oddVBand="0" w:evenVBand="0" w:oddHBand="0" w:evenHBand="0" w:firstRowFirstColumn="0" w:firstRowLastColumn="0" w:lastRowFirstColumn="0" w:lastRowLastColumn="0"/>
          <w:tblHeader/>
        </w:trPr>
        <w:tc>
          <w:tcPr>
            <w:tcW w:w="1833" w:type="pct"/>
            <w:shd w:val="clear" w:color="auto" w:fill="auto"/>
          </w:tcPr>
          <w:p w:rsidR="006647CF" w:rsidRPr="002B66AB" w:rsidRDefault="006647CF" w:rsidP="001501F6">
            <w:pPr>
              <w:keepNext/>
              <w:widowControl/>
              <w:tabs>
                <w:tab w:val="left" w:pos="416"/>
                <w:tab w:val="left" w:pos="582"/>
                <w:tab w:val="left" w:pos="1134"/>
              </w:tabs>
              <w:spacing w:before="20"/>
              <w:jc w:val="center"/>
              <w:rPr>
                <w:rFonts w:ascii="Arial Narrow" w:eastAsiaTheme="minorHAnsi" w:hAnsi="Arial Narrow" w:cs="Tahoma"/>
                <w:b/>
                <w:spacing w:val="-1"/>
                <w:sz w:val="20"/>
                <w:szCs w:val="20"/>
                <w:highlight w:val="green"/>
                <w:lang w:val="en-US"/>
              </w:rPr>
            </w:pPr>
            <w:r w:rsidRPr="002B66AB">
              <w:rPr>
                <w:rFonts w:ascii="Arial Narrow" w:eastAsiaTheme="minorHAnsi" w:hAnsi="Arial Narrow" w:cs="Tahoma"/>
                <w:b/>
                <w:spacing w:val="-1"/>
                <w:sz w:val="20"/>
                <w:szCs w:val="20"/>
                <w:lang w:val="en-US"/>
              </w:rPr>
              <w:t>Patient cohort (years)</w:t>
            </w:r>
          </w:p>
        </w:tc>
        <w:tc>
          <w:tcPr>
            <w:tcW w:w="3167" w:type="pct"/>
            <w:shd w:val="clear" w:color="auto" w:fill="auto"/>
          </w:tcPr>
          <w:p w:rsidR="006647CF" w:rsidRPr="002B66AB" w:rsidRDefault="006647CF" w:rsidP="001501F6">
            <w:pPr>
              <w:keepNext/>
              <w:widowControl/>
              <w:tabs>
                <w:tab w:val="left" w:pos="416"/>
                <w:tab w:val="left" w:pos="582"/>
                <w:tab w:val="left" w:pos="1134"/>
              </w:tabs>
              <w:spacing w:before="20"/>
              <w:jc w:val="center"/>
              <w:rPr>
                <w:rFonts w:ascii="Arial Narrow" w:eastAsiaTheme="minorHAnsi" w:hAnsi="Arial Narrow" w:cs="Tahoma"/>
                <w:b/>
                <w:spacing w:val="-1"/>
                <w:sz w:val="20"/>
                <w:szCs w:val="20"/>
                <w:lang w:val="en-US"/>
              </w:rPr>
            </w:pPr>
            <w:r w:rsidRPr="002B66AB">
              <w:rPr>
                <w:rFonts w:ascii="Arial Narrow" w:eastAsiaTheme="minorHAnsi" w:hAnsi="Arial Narrow" w:cs="Tahoma"/>
                <w:b/>
                <w:spacing w:val="-1"/>
                <w:sz w:val="20"/>
                <w:szCs w:val="20"/>
                <w:lang w:val="en-US"/>
              </w:rPr>
              <w:t xml:space="preserve">ICER </w:t>
            </w:r>
          </w:p>
        </w:tc>
      </w:tr>
      <w:tr w:rsidR="002B66AB" w:rsidRPr="002B66AB" w:rsidTr="005D6D93">
        <w:tc>
          <w:tcPr>
            <w:tcW w:w="1833" w:type="pct"/>
          </w:tcPr>
          <w:p w:rsidR="006647CF" w:rsidRPr="002B66AB" w:rsidRDefault="006647CF" w:rsidP="001501F6">
            <w:pPr>
              <w:widowControl/>
              <w:spacing w:before="20"/>
              <w:jc w:val="center"/>
              <w:rPr>
                <w:rFonts w:ascii="Arial Narrow" w:hAnsi="Arial Narrow" w:cs="Times New Roman"/>
                <w:sz w:val="20"/>
                <w:szCs w:val="20"/>
              </w:rPr>
            </w:pPr>
            <w:r w:rsidRPr="002B66AB">
              <w:rPr>
                <w:rFonts w:ascii="Arial Narrow" w:hAnsi="Arial Narrow" w:cs="Times New Roman"/>
                <w:sz w:val="20"/>
                <w:szCs w:val="20"/>
              </w:rPr>
              <w:t>≥ 2</w:t>
            </w:r>
          </w:p>
        </w:tc>
        <w:tc>
          <w:tcPr>
            <w:tcW w:w="3167" w:type="pct"/>
          </w:tcPr>
          <w:p w:rsidR="006647CF" w:rsidRPr="002B66AB" w:rsidRDefault="006647CF" w:rsidP="001501F6">
            <w:pPr>
              <w:widowControl/>
              <w:spacing w:before="20"/>
              <w:jc w:val="center"/>
              <w:rPr>
                <w:rFonts w:ascii="Arial Narrow" w:hAnsi="Arial Narrow" w:cs="Times New Roman"/>
                <w:sz w:val="20"/>
                <w:szCs w:val="20"/>
              </w:rPr>
            </w:pPr>
            <w:r w:rsidRPr="002B66AB">
              <w:rPr>
                <w:rFonts w:ascii="Arial Narrow" w:hAnsi="Arial Narrow" w:cs="Times New Roman"/>
                <w:sz w:val="20"/>
                <w:szCs w:val="20"/>
              </w:rPr>
              <w:t>$</w:t>
            </w:r>
            <w:r w:rsidR="00D155AC">
              <w:rPr>
                <w:rFonts w:ascii="Arial Narrow" w:hAnsi="Arial Narrow" w:cs="Times New Roman"/>
                <w:noProof/>
                <w:color w:val="000000"/>
                <w:sz w:val="20"/>
                <w:szCs w:val="20"/>
                <w:highlight w:val="black"/>
              </w:rPr>
              <w:t>''''''''''''''''''</w:t>
            </w:r>
          </w:p>
        </w:tc>
      </w:tr>
      <w:tr w:rsidR="002B66AB" w:rsidRPr="002B66AB" w:rsidTr="005D6D93">
        <w:tc>
          <w:tcPr>
            <w:tcW w:w="1833" w:type="pct"/>
          </w:tcPr>
          <w:p w:rsidR="006647CF" w:rsidRPr="002B66AB" w:rsidRDefault="006647CF" w:rsidP="001501F6">
            <w:pPr>
              <w:widowControl/>
              <w:spacing w:before="20"/>
              <w:jc w:val="center"/>
              <w:rPr>
                <w:rFonts w:ascii="Arial Narrow" w:hAnsi="Arial Narrow" w:cs="Times New Roman"/>
                <w:sz w:val="20"/>
                <w:szCs w:val="20"/>
              </w:rPr>
            </w:pPr>
            <w:r w:rsidRPr="002B66AB">
              <w:rPr>
                <w:rFonts w:ascii="Arial Narrow" w:hAnsi="Arial Narrow" w:cs="Times New Roman"/>
                <w:sz w:val="20"/>
                <w:szCs w:val="20"/>
              </w:rPr>
              <w:t>≥ 6</w:t>
            </w:r>
          </w:p>
        </w:tc>
        <w:tc>
          <w:tcPr>
            <w:tcW w:w="3167" w:type="pct"/>
          </w:tcPr>
          <w:p w:rsidR="006647CF" w:rsidRPr="002B66AB" w:rsidRDefault="006647CF" w:rsidP="001501F6">
            <w:pPr>
              <w:widowControl/>
              <w:spacing w:before="20"/>
              <w:jc w:val="center"/>
              <w:rPr>
                <w:rFonts w:ascii="Arial Narrow" w:hAnsi="Arial Narrow" w:cs="Times New Roman"/>
                <w:sz w:val="20"/>
                <w:szCs w:val="20"/>
              </w:rPr>
            </w:pPr>
            <w:r w:rsidRPr="002B66AB">
              <w:rPr>
                <w:rFonts w:ascii="Arial Narrow" w:hAnsi="Arial Narrow" w:cs="Times New Roman"/>
                <w:sz w:val="20"/>
                <w:szCs w:val="20"/>
              </w:rPr>
              <w:t>$</w:t>
            </w:r>
            <w:r w:rsidR="00D155AC">
              <w:rPr>
                <w:rFonts w:ascii="Arial Narrow" w:hAnsi="Arial Narrow" w:cs="Times New Roman"/>
                <w:noProof/>
                <w:color w:val="000000"/>
                <w:sz w:val="20"/>
                <w:szCs w:val="20"/>
                <w:highlight w:val="black"/>
              </w:rPr>
              <w:t>''''''''''''''''''</w:t>
            </w:r>
          </w:p>
        </w:tc>
      </w:tr>
      <w:tr w:rsidR="002B66AB" w:rsidRPr="002B66AB" w:rsidTr="005D6D93">
        <w:tc>
          <w:tcPr>
            <w:tcW w:w="1833" w:type="pct"/>
          </w:tcPr>
          <w:p w:rsidR="006647CF" w:rsidRPr="002B66AB" w:rsidRDefault="006647CF" w:rsidP="001501F6">
            <w:pPr>
              <w:widowControl/>
              <w:spacing w:before="20"/>
              <w:jc w:val="center"/>
              <w:rPr>
                <w:rFonts w:ascii="Arial Narrow" w:hAnsi="Arial Narrow" w:cs="Times New Roman"/>
                <w:sz w:val="20"/>
                <w:szCs w:val="20"/>
              </w:rPr>
            </w:pPr>
            <w:r w:rsidRPr="002B66AB">
              <w:rPr>
                <w:rFonts w:ascii="Arial Narrow" w:hAnsi="Arial Narrow" w:cs="Times New Roman"/>
                <w:sz w:val="20"/>
                <w:szCs w:val="20"/>
              </w:rPr>
              <w:t>≥ 12</w:t>
            </w:r>
          </w:p>
        </w:tc>
        <w:tc>
          <w:tcPr>
            <w:tcW w:w="3167" w:type="pct"/>
          </w:tcPr>
          <w:p w:rsidR="006647CF" w:rsidRPr="002B66AB" w:rsidRDefault="006647CF" w:rsidP="001501F6">
            <w:pPr>
              <w:widowControl/>
              <w:spacing w:before="20"/>
              <w:jc w:val="center"/>
              <w:rPr>
                <w:rFonts w:ascii="Arial Narrow" w:hAnsi="Arial Narrow" w:cs="Times New Roman"/>
                <w:sz w:val="20"/>
                <w:szCs w:val="20"/>
              </w:rPr>
            </w:pPr>
            <w:r w:rsidRPr="002B66AB">
              <w:rPr>
                <w:rFonts w:ascii="Arial Narrow" w:hAnsi="Arial Narrow" w:cs="Times New Roman"/>
                <w:sz w:val="20"/>
                <w:szCs w:val="20"/>
              </w:rPr>
              <w:t>$</w:t>
            </w:r>
            <w:r w:rsidR="00D155AC">
              <w:rPr>
                <w:rFonts w:ascii="Arial Narrow" w:hAnsi="Arial Narrow" w:cs="Times New Roman"/>
                <w:noProof/>
                <w:color w:val="000000"/>
                <w:sz w:val="20"/>
                <w:szCs w:val="20"/>
                <w:highlight w:val="black"/>
              </w:rPr>
              <w:t>''''''''''''''''''''''</w:t>
            </w:r>
          </w:p>
        </w:tc>
      </w:tr>
    </w:tbl>
    <w:p w:rsidR="004F261F" w:rsidRPr="004F261F" w:rsidRDefault="004F261F" w:rsidP="004F261F">
      <w:pPr>
        <w:keepNext/>
        <w:keepLines/>
        <w:widowControl/>
        <w:jc w:val="left"/>
        <w:rPr>
          <w:rFonts w:ascii="Arial Narrow" w:hAnsi="Arial Narrow" w:cs="Tahoma"/>
          <w:snapToGrid/>
          <w:sz w:val="18"/>
          <w:szCs w:val="18"/>
          <w:lang w:eastAsia="en-AU"/>
        </w:rPr>
      </w:pPr>
      <w:r w:rsidRPr="00C507EE">
        <w:rPr>
          <w:rFonts w:ascii="Arial Narrow" w:hAnsi="Arial Narrow" w:cs="Tahoma"/>
          <w:snapToGrid/>
          <w:sz w:val="18"/>
          <w:szCs w:val="18"/>
          <w:lang w:eastAsia="en-AU"/>
        </w:rPr>
        <w:t xml:space="preserve">Source: </w:t>
      </w:r>
      <w:r w:rsidR="003023C8" w:rsidRPr="00C507EE">
        <w:rPr>
          <w:rFonts w:ascii="Arial Narrow" w:hAnsi="Arial Narrow" w:cs="Tahoma"/>
          <w:snapToGrid/>
          <w:sz w:val="18"/>
          <w:szCs w:val="18"/>
          <w:lang w:eastAsia="en-AU"/>
        </w:rPr>
        <w:t>pre-PBAC response</w:t>
      </w:r>
      <w:r w:rsidR="00E241CC">
        <w:rPr>
          <w:rFonts w:ascii="Arial Narrow" w:hAnsi="Arial Narrow" w:cs="Tahoma"/>
          <w:snapToGrid/>
          <w:sz w:val="18"/>
          <w:szCs w:val="18"/>
          <w:lang w:eastAsia="en-AU"/>
        </w:rPr>
        <w:t xml:space="preserve"> – </w:t>
      </w:r>
      <w:proofErr w:type="spellStart"/>
      <w:r w:rsidR="00E241CC">
        <w:rPr>
          <w:rFonts w:ascii="Arial Narrow" w:hAnsi="Arial Narrow" w:cs="Tahoma"/>
          <w:snapToGrid/>
          <w:sz w:val="18"/>
          <w:szCs w:val="18"/>
          <w:lang w:eastAsia="en-AU"/>
        </w:rPr>
        <w:t>lumacaftor</w:t>
      </w:r>
      <w:proofErr w:type="spellEnd"/>
      <w:r w:rsidR="00E241CC">
        <w:rPr>
          <w:rFonts w:ascii="Arial Narrow" w:hAnsi="Arial Narrow" w:cs="Tahoma"/>
          <w:snapToGrid/>
          <w:sz w:val="18"/>
          <w:szCs w:val="18"/>
          <w:lang w:eastAsia="en-AU"/>
        </w:rPr>
        <w:t xml:space="preserve"> with </w:t>
      </w:r>
      <w:proofErr w:type="spellStart"/>
      <w:r w:rsidR="00E241CC">
        <w:rPr>
          <w:rFonts w:ascii="Arial Narrow" w:hAnsi="Arial Narrow" w:cs="Tahoma"/>
          <w:snapToGrid/>
          <w:sz w:val="18"/>
          <w:szCs w:val="18"/>
          <w:lang w:eastAsia="en-AU"/>
        </w:rPr>
        <w:t>ivacaftor</w:t>
      </w:r>
      <w:proofErr w:type="spellEnd"/>
      <w:r w:rsidR="00E241CC">
        <w:rPr>
          <w:rFonts w:ascii="Arial Narrow" w:hAnsi="Arial Narrow" w:cs="Tahoma"/>
          <w:snapToGrid/>
          <w:sz w:val="18"/>
          <w:szCs w:val="18"/>
          <w:lang w:eastAsia="en-AU"/>
        </w:rPr>
        <w:t xml:space="preserve"> patients 12 years and older</w:t>
      </w:r>
      <w:r w:rsidR="003023C8" w:rsidRPr="00C507EE">
        <w:rPr>
          <w:rFonts w:ascii="Arial Narrow" w:hAnsi="Arial Narrow" w:cs="Tahoma"/>
          <w:snapToGrid/>
          <w:sz w:val="18"/>
          <w:szCs w:val="18"/>
          <w:lang w:eastAsia="en-AU"/>
        </w:rPr>
        <w:t xml:space="preserve"> (p.3) and </w:t>
      </w:r>
      <w:r w:rsidR="00C507EE" w:rsidRPr="00C507EE">
        <w:rPr>
          <w:rFonts w:ascii="Arial Narrow" w:hAnsi="Arial Narrow" w:cs="Tahoma"/>
          <w:snapToGrid/>
          <w:sz w:val="18"/>
          <w:szCs w:val="18"/>
          <w:lang w:eastAsia="en-AU"/>
        </w:rPr>
        <w:t>compiled</w:t>
      </w:r>
      <w:r w:rsidR="000C47BB" w:rsidRPr="00C507EE">
        <w:rPr>
          <w:rFonts w:ascii="Arial Narrow" w:hAnsi="Arial Narrow" w:cs="Tahoma"/>
          <w:snapToGrid/>
          <w:sz w:val="18"/>
          <w:szCs w:val="18"/>
          <w:lang w:eastAsia="en-AU"/>
        </w:rPr>
        <w:t xml:space="preserve"> during </w:t>
      </w:r>
      <w:r w:rsidR="00F02408" w:rsidRPr="00C507EE">
        <w:rPr>
          <w:rFonts w:ascii="Arial Narrow" w:hAnsi="Arial Narrow" w:cs="Tahoma"/>
          <w:snapToGrid/>
          <w:sz w:val="18"/>
          <w:szCs w:val="18"/>
          <w:lang w:eastAsia="en-AU"/>
        </w:rPr>
        <w:t xml:space="preserve">the </w:t>
      </w:r>
      <w:r w:rsidR="000C47BB" w:rsidRPr="00C507EE">
        <w:rPr>
          <w:rFonts w:ascii="Arial Narrow" w:hAnsi="Arial Narrow" w:cs="Tahoma"/>
          <w:snapToGrid/>
          <w:sz w:val="18"/>
          <w:szCs w:val="18"/>
          <w:lang w:eastAsia="en-AU"/>
        </w:rPr>
        <w:t>evaluation</w:t>
      </w:r>
    </w:p>
    <w:p w:rsidR="00C25D9C" w:rsidRPr="002B66AB" w:rsidRDefault="005434D0" w:rsidP="000563BF">
      <w:pPr>
        <w:pStyle w:val="Heading2"/>
        <w:spacing w:before="240" w:after="120"/>
      </w:pPr>
      <w:r w:rsidRPr="002B66AB">
        <w:t>Drug cost/patient/</w:t>
      </w:r>
      <w:r w:rsidR="00F72D72" w:rsidRPr="002B66AB">
        <w:t>year</w:t>
      </w:r>
      <w:r w:rsidRPr="002B66AB">
        <w:t>: $</w:t>
      </w:r>
      <w:bookmarkEnd w:id="26"/>
      <w:r w:rsidR="00D155AC">
        <w:rPr>
          <w:noProof/>
          <w:color w:val="000000"/>
          <w:highlight w:val="black"/>
        </w:rPr>
        <w:t>''''''''''''</w:t>
      </w:r>
    </w:p>
    <w:p w:rsidR="006647CF" w:rsidRPr="002B66AB" w:rsidRDefault="006647CF" w:rsidP="00431133">
      <w:pPr>
        <w:pStyle w:val="ListParagraph"/>
        <w:numPr>
          <w:ilvl w:val="1"/>
          <w:numId w:val="45"/>
        </w:numPr>
        <w:ind w:hanging="720"/>
      </w:pPr>
      <w:r w:rsidRPr="002B66AB">
        <w:t>The pre-PBAC response offers a total expenditure cap which it states will deliver a cost per patient of $</w:t>
      </w:r>
      <w:r w:rsidR="00D155AC">
        <w:rPr>
          <w:noProof/>
          <w:color w:val="000000"/>
          <w:highlight w:val="black"/>
        </w:rPr>
        <w:t>''''''''''''''</w:t>
      </w:r>
      <w:r w:rsidRPr="002B66AB">
        <w:t xml:space="preserve"> per year vis-à-vis a list price of $</w:t>
      </w:r>
      <w:r w:rsidRPr="00FB2C49">
        <w:t>18,750</w:t>
      </w:r>
      <w:r w:rsidRPr="002B66AB">
        <w:t xml:space="preserve"> per 28 days treatment (</w:t>
      </w:r>
      <w:proofErr w:type="spellStart"/>
      <w:r w:rsidRPr="002B66AB">
        <w:t>approx</w:t>
      </w:r>
      <w:proofErr w:type="spellEnd"/>
      <w:r w:rsidRPr="002B66AB">
        <w:t xml:space="preserve"> $</w:t>
      </w:r>
      <w:r w:rsidRPr="00FB2C49">
        <w:t>244,000</w:t>
      </w:r>
      <w:r w:rsidRPr="002B66AB">
        <w:t xml:space="preserve"> per year).</w:t>
      </w:r>
    </w:p>
    <w:p w:rsidR="00B60939" w:rsidRPr="002B66AB" w:rsidRDefault="00B60939" w:rsidP="000563BF">
      <w:pPr>
        <w:pStyle w:val="Heading2"/>
        <w:spacing w:before="240" w:after="120"/>
      </w:pPr>
      <w:bookmarkStart w:id="27" w:name="_Toc511665483"/>
      <w:r w:rsidRPr="002B66AB">
        <w:t>Estimated PBS usage &amp; financial implications</w:t>
      </w:r>
      <w:bookmarkEnd w:id="27"/>
    </w:p>
    <w:p w:rsidR="00F72D72" w:rsidRPr="002B66AB" w:rsidRDefault="00F72D72" w:rsidP="00431133">
      <w:pPr>
        <w:pStyle w:val="ListParagraph"/>
        <w:numPr>
          <w:ilvl w:val="1"/>
          <w:numId w:val="45"/>
        </w:numPr>
        <w:ind w:hanging="720"/>
        <w:rPr>
          <w:rFonts w:asciiTheme="minorHAnsi" w:hAnsiTheme="minorHAnsi"/>
          <w:szCs w:val="20"/>
          <w:lang w:val="en-US"/>
        </w:rPr>
      </w:pPr>
      <w:r w:rsidRPr="00431133">
        <w:t>The</w:t>
      </w:r>
      <w:r w:rsidRPr="002B66AB">
        <w:rPr>
          <w:rFonts w:asciiTheme="minorHAnsi" w:hAnsiTheme="minorHAnsi"/>
          <w:szCs w:val="20"/>
          <w:lang w:val="en-US"/>
        </w:rPr>
        <w:t xml:space="preserve"> </w:t>
      </w:r>
      <w:proofErr w:type="gramStart"/>
      <w:r w:rsidRPr="002B66AB">
        <w:rPr>
          <w:rFonts w:asciiTheme="minorHAnsi" w:hAnsiTheme="minorHAnsi"/>
          <w:szCs w:val="20"/>
          <w:lang w:val="en-US"/>
        </w:rPr>
        <w:t>sponsors</w:t>
      </w:r>
      <w:proofErr w:type="gramEnd"/>
      <w:r w:rsidRPr="002B66AB">
        <w:rPr>
          <w:rFonts w:asciiTheme="minorHAnsi" w:hAnsiTheme="minorHAnsi"/>
          <w:szCs w:val="20"/>
          <w:lang w:val="en-US"/>
        </w:rPr>
        <w:t xml:space="preserve"> pre-PBAC revised estimates for patients 2+ and</w:t>
      </w:r>
      <w:r w:rsidR="000C2BF4">
        <w:rPr>
          <w:rFonts w:asciiTheme="minorHAnsi" w:hAnsiTheme="minorHAnsi"/>
          <w:szCs w:val="20"/>
          <w:lang w:val="en-US"/>
        </w:rPr>
        <w:t xml:space="preserve"> older are presented in Table 16</w:t>
      </w:r>
      <w:r w:rsidRPr="002B66AB">
        <w:rPr>
          <w:rFonts w:asciiTheme="minorHAnsi" w:hAnsiTheme="minorHAnsi"/>
          <w:szCs w:val="20"/>
          <w:lang w:val="en-US"/>
        </w:rPr>
        <w:t>.</w:t>
      </w:r>
    </w:p>
    <w:p w:rsidR="00F22C48" w:rsidRDefault="00F22C48">
      <w:pPr>
        <w:widowControl/>
        <w:jc w:val="left"/>
        <w:rPr>
          <w:rFonts w:ascii="Arial Narrow" w:hAnsi="Arial Narrow"/>
          <w:b/>
          <w:bCs/>
          <w:sz w:val="20"/>
          <w:szCs w:val="20"/>
          <w:lang w:eastAsia="en-AU"/>
        </w:rPr>
      </w:pPr>
      <w:bookmarkStart w:id="28" w:name="_Ref511208023"/>
      <w:r>
        <w:rPr>
          <w:rFonts w:ascii="Arial Narrow" w:hAnsi="Arial Narrow"/>
          <w:b/>
          <w:bCs/>
          <w:sz w:val="20"/>
          <w:szCs w:val="20"/>
          <w:lang w:eastAsia="en-AU"/>
        </w:rPr>
        <w:br w:type="page"/>
      </w:r>
    </w:p>
    <w:p w:rsidR="00F72D72" w:rsidRPr="000563BF" w:rsidRDefault="00F72D72" w:rsidP="00F72D72">
      <w:pPr>
        <w:widowControl/>
        <w:jc w:val="left"/>
        <w:rPr>
          <w:rFonts w:ascii="Arial Narrow" w:hAnsi="Arial Narrow"/>
          <w:b/>
          <w:bCs/>
          <w:sz w:val="20"/>
          <w:szCs w:val="20"/>
          <w:lang w:eastAsia="en-AU"/>
        </w:rPr>
      </w:pPr>
      <w:r w:rsidRPr="000563BF">
        <w:rPr>
          <w:rFonts w:ascii="Arial Narrow" w:hAnsi="Arial Narrow"/>
          <w:b/>
          <w:bCs/>
          <w:sz w:val="20"/>
          <w:szCs w:val="20"/>
          <w:lang w:eastAsia="en-AU"/>
        </w:rPr>
        <w:lastRenderedPageBreak/>
        <w:t>Table 1</w:t>
      </w:r>
      <w:bookmarkEnd w:id="28"/>
      <w:r w:rsidR="000C2BF4">
        <w:rPr>
          <w:rFonts w:ascii="Arial Narrow" w:hAnsi="Arial Narrow"/>
          <w:b/>
          <w:bCs/>
          <w:sz w:val="20"/>
          <w:szCs w:val="20"/>
          <w:lang w:eastAsia="en-AU"/>
        </w:rPr>
        <w:t>6</w:t>
      </w:r>
      <w:r w:rsidRPr="000563BF">
        <w:rPr>
          <w:rFonts w:ascii="Arial Narrow" w:hAnsi="Arial Narrow"/>
          <w:b/>
          <w:bCs/>
          <w:sz w:val="20"/>
          <w:szCs w:val="20"/>
          <w:lang w:eastAsia="en-AU"/>
        </w:rPr>
        <w:t>: Submission’s pre</w:t>
      </w:r>
      <w:r w:rsidR="00D5742B" w:rsidRPr="000563BF">
        <w:rPr>
          <w:rFonts w:ascii="Arial Narrow" w:hAnsi="Arial Narrow"/>
          <w:b/>
          <w:bCs/>
          <w:sz w:val="20"/>
          <w:szCs w:val="20"/>
          <w:lang w:eastAsia="en-AU"/>
        </w:rPr>
        <w:t>-</w:t>
      </w:r>
      <w:r w:rsidRPr="000563BF">
        <w:rPr>
          <w:rFonts w:ascii="Arial Narrow" w:hAnsi="Arial Narrow"/>
          <w:b/>
          <w:bCs/>
          <w:sz w:val="20"/>
          <w:szCs w:val="20"/>
          <w:lang w:eastAsia="en-AU"/>
        </w:rPr>
        <w:t>PBAC estimated use and financial implications, patients aged 2 years and older</w:t>
      </w:r>
    </w:p>
    <w:tbl>
      <w:tblPr>
        <w:tblStyle w:val="OPTUMTableNormal1"/>
        <w:tblW w:w="9464" w:type="dxa"/>
        <w:tblLayout w:type="fixed"/>
        <w:tblLook w:val="04A0" w:firstRow="1" w:lastRow="0" w:firstColumn="1" w:lastColumn="0" w:noHBand="0" w:noVBand="1"/>
        <w:tblCaption w:val="Table 16: Submission’s pre-PBAC estimated use and financial implications, patients aged 2 years and older"/>
      </w:tblPr>
      <w:tblGrid>
        <w:gridCol w:w="959"/>
        <w:gridCol w:w="1417"/>
        <w:gridCol w:w="1418"/>
        <w:gridCol w:w="1417"/>
        <w:gridCol w:w="1418"/>
        <w:gridCol w:w="1417"/>
        <w:gridCol w:w="1418"/>
      </w:tblGrid>
      <w:tr w:rsidR="002B66AB" w:rsidRPr="000563BF" w:rsidTr="00D92CD4">
        <w:trPr>
          <w:cnfStyle w:val="100000000000" w:firstRow="1" w:lastRow="0" w:firstColumn="0" w:lastColumn="0" w:oddVBand="0" w:evenVBand="0" w:oddHBand="0" w:evenHBand="0" w:firstRowFirstColumn="0" w:firstRowLastColumn="0" w:lastRowFirstColumn="0" w:lastRowLastColumn="0"/>
          <w:tblHeader/>
        </w:trPr>
        <w:tc>
          <w:tcPr>
            <w:tcW w:w="959" w:type="dxa"/>
            <w:shd w:val="clear" w:color="auto" w:fill="auto"/>
          </w:tcPr>
          <w:p w:rsidR="002250CE" w:rsidRPr="000563BF" w:rsidRDefault="002250CE" w:rsidP="002250CE">
            <w:pPr>
              <w:keepNext/>
              <w:widowControl/>
              <w:tabs>
                <w:tab w:val="left" w:pos="416"/>
                <w:tab w:val="left" w:pos="582"/>
                <w:tab w:val="left" w:pos="1134"/>
              </w:tabs>
              <w:jc w:val="center"/>
              <w:rPr>
                <w:rFonts w:ascii="Arial Narrow" w:hAnsi="Arial Narrow" w:cs="Times New Roman"/>
                <w:b/>
                <w:snapToGrid/>
                <w:sz w:val="20"/>
                <w:szCs w:val="20"/>
                <w:lang w:val="en-US" w:eastAsia="en-AU"/>
              </w:rPr>
            </w:pPr>
          </w:p>
        </w:tc>
        <w:tc>
          <w:tcPr>
            <w:tcW w:w="1417" w:type="dxa"/>
            <w:shd w:val="clear" w:color="auto" w:fill="auto"/>
          </w:tcPr>
          <w:p w:rsidR="002250CE" w:rsidRPr="000563BF" w:rsidRDefault="002250CE" w:rsidP="002250CE">
            <w:pPr>
              <w:keepNext/>
              <w:widowControl/>
              <w:tabs>
                <w:tab w:val="left" w:pos="416"/>
                <w:tab w:val="left" w:pos="582"/>
                <w:tab w:val="left" w:pos="1134"/>
              </w:tabs>
              <w:jc w:val="left"/>
              <w:rPr>
                <w:rFonts w:ascii="Arial Narrow" w:hAnsi="Arial Narrow" w:cs="Times New Roman"/>
                <w:b/>
                <w:snapToGrid/>
                <w:sz w:val="20"/>
                <w:szCs w:val="20"/>
                <w:lang w:val="en-US" w:eastAsia="en-AU"/>
              </w:rPr>
            </w:pPr>
            <w:r w:rsidRPr="000563BF">
              <w:rPr>
                <w:rFonts w:ascii="Arial Narrow" w:hAnsi="Arial Narrow" w:cs="Times New Roman"/>
                <w:b/>
                <w:snapToGrid/>
                <w:sz w:val="20"/>
                <w:szCs w:val="20"/>
                <w:lang w:val="en-US" w:eastAsia="en-AU"/>
              </w:rPr>
              <w:t>Source</w:t>
            </w:r>
          </w:p>
        </w:tc>
        <w:tc>
          <w:tcPr>
            <w:tcW w:w="1418" w:type="dxa"/>
            <w:shd w:val="clear" w:color="auto" w:fill="auto"/>
          </w:tcPr>
          <w:p w:rsidR="002250CE" w:rsidRPr="000563BF" w:rsidRDefault="002250CE" w:rsidP="002250CE">
            <w:pPr>
              <w:keepNext/>
              <w:widowControl/>
              <w:tabs>
                <w:tab w:val="left" w:pos="416"/>
                <w:tab w:val="left" w:pos="582"/>
                <w:tab w:val="left" w:pos="1134"/>
              </w:tabs>
              <w:jc w:val="center"/>
              <w:rPr>
                <w:rFonts w:ascii="Arial Narrow" w:hAnsi="Arial Narrow" w:cs="Times New Roman"/>
                <w:b/>
                <w:snapToGrid/>
                <w:sz w:val="20"/>
                <w:szCs w:val="20"/>
                <w:lang w:val="en-US" w:eastAsia="en-AU"/>
              </w:rPr>
            </w:pPr>
            <w:r w:rsidRPr="000563BF">
              <w:rPr>
                <w:rFonts w:ascii="Arial Narrow" w:hAnsi="Arial Narrow" w:cs="Times New Roman"/>
                <w:b/>
                <w:snapToGrid/>
                <w:sz w:val="20"/>
                <w:szCs w:val="20"/>
                <w:lang w:val="en-US" w:eastAsia="en-AU"/>
              </w:rPr>
              <w:t>Year 1</w:t>
            </w:r>
          </w:p>
        </w:tc>
        <w:tc>
          <w:tcPr>
            <w:tcW w:w="1417" w:type="dxa"/>
            <w:shd w:val="clear" w:color="auto" w:fill="auto"/>
          </w:tcPr>
          <w:p w:rsidR="002250CE" w:rsidRPr="000563BF" w:rsidRDefault="002250CE" w:rsidP="002250CE">
            <w:pPr>
              <w:keepNext/>
              <w:widowControl/>
              <w:tabs>
                <w:tab w:val="left" w:pos="416"/>
                <w:tab w:val="left" w:pos="582"/>
                <w:tab w:val="left" w:pos="1134"/>
              </w:tabs>
              <w:jc w:val="center"/>
              <w:rPr>
                <w:rFonts w:ascii="Arial Narrow" w:hAnsi="Arial Narrow" w:cs="Times New Roman"/>
                <w:b/>
                <w:snapToGrid/>
                <w:sz w:val="20"/>
                <w:szCs w:val="20"/>
                <w:lang w:val="en-US" w:eastAsia="en-AU"/>
              </w:rPr>
            </w:pPr>
            <w:r w:rsidRPr="000563BF">
              <w:rPr>
                <w:rFonts w:ascii="Arial Narrow" w:hAnsi="Arial Narrow" w:cs="Times New Roman"/>
                <w:b/>
                <w:snapToGrid/>
                <w:sz w:val="20"/>
                <w:szCs w:val="20"/>
                <w:lang w:val="en-US" w:eastAsia="en-AU"/>
              </w:rPr>
              <w:t>Year 2</w:t>
            </w:r>
          </w:p>
        </w:tc>
        <w:tc>
          <w:tcPr>
            <w:tcW w:w="1418" w:type="dxa"/>
            <w:shd w:val="clear" w:color="auto" w:fill="auto"/>
          </w:tcPr>
          <w:p w:rsidR="002250CE" w:rsidRPr="000563BF" w:rsidRDefault="002250CE" w:rsidP="002250CE">
            <w:pPr>
              <w:keepNext/>
              <w:widowControl/>
              <w:tabs>
                <w:tab w:val="left" w:pos="416"/>
                <w:tab w:val="left" w:pos="582"/>
                <w:tab w:val="left" w:pos="1134"/>
              </w:tabs>
              <w:jc w:val="center"/>
              <w:rPr>
                <w:rFonts w:ascii="Arial Narrow" w:hAnsi="Arial Narrow" w:cs="Times New Roman"/>
                <w:b/>
                <w:snapToGrid/>
                <w:sz w:val="20"/>
                <w:szCs w:val="20"/>
                <w:lang w:val="en-US" w:eastAsia="en-AU"/>
              </w:rPr>
            </w:pPr>
            <w:r w:rsidRPr="000563BF">
              <w:rPr>
                <w:rFonts w:ascii="Arial Narrow" w:hAnsi="Arial Narrow" w:cs="Times New Roman"/>
                <w:b/>
                <w:snapToGrid/>
                <w:sz w:val="20"/>
                <w:szCs w:val="20"/>
                <w:lang w:val="en-US" w:eastAsia="en-AU"/>
              </w:rPr>
              <w:t>Year 3</w:t>
            </w:r>
          </w:p>
        </w:tc>
        <w:tc>
          <w:tcPr>
            <w:tcW w:w="1417" w:type="dxa"/>
            <w:shd w:val="clear" w:color="auto" w:fill="auto"/>
          </w:tcPr>
          <w:p w:rsidR="002250CE" w:rsidRPr="000563BF" w:rsidRDefault="002250CE" w:rsidP="002250CE">
            <w:pPr>
              <w:keepNext/>
              <w:widowControl/>
              <w:tabs>
                <w:tab w:val="left" w:pos="416"/>
                <w:tab w:val="left" w:pos="582"/>
                <w:tab w:val="left" w:pos="1134"/>
              </w:tabs>
              <w:jc w:val="center"/>
              <w:rPr>
                <w:rFonts w:ascii="Arial Narrow" w:hAnsi="Arial Narrow" w:cs="Times New Roman"/>
                <w:b/>
                <w:snapToGrid/>
                <w:sz w:val="20"/>
                <w:szCs w:val="20"/>
                <w:lang w:val="en-US" w:eastAsia="en-AU"/>
              </w:rPr>
            </w:pPr>
            <w:r w:rsidRPr="000563BF">
              <w:rPr>
                <w:rFonts w:ascii="Arial Narrow" w:hAnsi="Arial Narrow" w:cs="Times New Roman"/>
                <w:b/>
                <w:snapToGrid/>
                <w:sz w:val="20"/>
                <w:szCs w:val="20"/>
                <w:lang w:val="en-US" w:eastAsia="en-AU"/>
              </w:rPr>
              <w:t>Year 4</w:t>
            </w:r>
          </w:p>
        </w:tc>
        <w:tc>
          <w:tcPr>
            <w:tcW w:w="1418" w:type="dxa"/>
            <w:shd w:val="clear" w:color="auto" w:fill="auto"/>
          </w:tcPr>
          <w:p w:rsidR="002250CE" w:rsidRPr="000563BF" w:rsidRDefault="002250CE" w:rsidP="002250CE">
            <w:pPr>
              <w:keepNext/>
              <w:widowControl/>
              <w:tabs>
                <w:tab w:val="left" w:pos="416"/>
                <w:tab w:val="left" w:pos="582"/>
                <w:tab w:val="left" w:pos="1134"/>
              </w:tabs>
              <w:jc w:val="center"/>
              <w:rPr>
                <w:rFonts w:ascii="Arial Narrow" w:hAnsi="Arial Narrow" w:cs="Times New Roman"/>
                <w:b/>
                <w:snapToGrid/>
                <w:sz w:val="20"/>
                <w:szCs w:val="20"/>
                <w:lang w:val="en-US" w:eastAsia="en-AU"/>
              </w:rPr>
            </w:pPr>
            <w:r w:rsidRPr="000563BF">
              <w:rPr>
                <w:rFonts w:ascii="Arial Narrow" w:hAnsi="Arial Narrow" w:cs="Times New Roman"/>
                <w:b/>
                <w:snapToGrid/>
                <w:sz w:val="20"/>
                <w:szCs w:val="20"/>
                <w:lang w:val="en-US" w:eastAsia="en-AU"/>
              </w:rPr>
              <w:t>Average/ Total</w:t>
            </w:r>
          </w:p>
        </w:tc>
      </w:tr>
      <w:tr w:rsidR="002B66AB" w:rsidRPr="000563BF" w:rsidTr="00263CDE">
        <w:tc>
          <w:tcPr>
            <w:tcW w:w="959"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lang w:eastAsia="en-AU"/>
              </w:rPr>
            </w:pPr>
            <w:r w:rsidRPr="000563BF">
              <w:rPr>
                <w:rFonts w:ascii="Arial Narrow" w:hAnsi="Arial Narrow" w:cs="Times New Roman"/>
                <w:snapToGrid/>
                <w:sz w:val="20"/>
                <w:szCs w:val="20"/>
                <w:lang w:eastAsia="en-AU"/>
              </w:rPr>
              <w:t>Treated patients</w:t>
            </w:r>
          </w:p>
        </w:tc>
        <w:tc>
          <w:tcPr>
            <w:tcW w:w="1417"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lang w:eastAsia="en-AU"/>
              </w:rPr>
            </w:pPr>
            <w:r w:rsidRPr="000563BF">
              <w:rPr>
                <w:rFonts w:ascii="Arial Narrow" w:hAnsi="Arial Narrow" w:cs="Times New Roman"/>
                <w:snapToGrid/>
                <w:sz w:val="20"/>
                <w:szCs w:val="20"/>
                <w:lang w:eastAsia="en-AU"/>
              </w:rPr>
              <w:t xml:space="preserve">Section 4 spreadsheet, </w:t>
            </w:r>
            <w:r w:rsidRPr="000563BF">
              <w:rPr>
                <w:rFonts w:ascii="Arial Narrow" w:hAnsi="Arial Narrow" w:cs="Times New Roman"/>
                <w:snapToGrid/>
                <w:sz w:val="20"/>
                <w:szCs w:val="20"/>
                <w:lang w:eastAsia="en-AU"/>
              </w:rPr>
              <w:br/>
              <w:t xml:space="preserve">Cost to </w:t>
            </w:r>
            <w:proofErr w:type="spellStart"/>
            <w:r w:rsidRPr="000563BF">
              <w:rPr>
                <w:rFonts w:ascii="Arial Narrow" w:hAnsi="Arial Narrow" w:cs="Times New Roman"/>
                <w:snapToGrid/>
                <w:sz w:val="20"/>
                <w:szCs w:val="20"/>
                <w:lang w:eastAsia="en-AU"/>
              </w:rPr>
              <w:t>Govt</w:t>
            </w:r>
            <w:proofErr w:type="spellEnd"/>
            <w:r w:rsidRPr="000563BF">
              <w:rPr>
                <w:rFonts w:ascii="Arial Narrow" w:hAnsi="Arial Narrow" w:cs="Times New Roman"/>
                <w:snapToGrid/>
                <w:sz w:val="20"/>
                <w:szCs w:val="20"/>
                <w:lang w:eastAsia="en-AU"/>
              </w:rPr>
              <w:t xml:space="preserve"> PBS, row 5</w:t>
            </w:r>
          </w:p>
        </w:tc>
        <w:tc>
          <w:tcPr>
            <w:tcW w:w="1418" w:type="dxa"/>
          </w:tcPr>
          <w:p w:rsidR="002250CE" w:rsidRPr="00D155AC" w:rsidRDefault="00D155AC" w:rsidP="004F261F">
            <w:pPr>
              <w:widowControl/>
              <w:tabs>
                <w:tab w:val="left" w:pos="416"/>
                <w:tab w:val="left" w:pos="582"/>
              </w:tabs>
              <w:spacing w:before="20"/>
              <w:jc w:val="left"/>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1417" w:type="dxa"/>
          </w:tcPr>
          <w:p w:rsidR="002250CE" w:rsidRPr="00D155AC" w:rsidRDefault="00D155AC" w:rsidP="004F261F">
            <w:pPr>
              <w:widowControl/>
              <w:tabs>
                <w:tab w:val="left" w:pos="416"/>
                <w:tab w:val="left" w:pos="582"/>
              </w:tabs>
              <w:spacing w:before="20"/>
              <w:jc w:val="left"/>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1418" w:type="dxa"/>
          </w:tcPr>
          <w:p w:rsidR="002250CE" w:rsidRPr="00D155AC" w:rsidRDefault="00D155AC" w:rsidP="004F261F">
            <w:pPr>
              <w:widowControl/>
              <w:tabs>
                <w:tab w:val="left" w:pos="416"/>
                <w:tab w:val="left" w:pos="582"/>
              </w:tabs>
              <w:spacing w:before="20"/>
              <w:jc w:val="left"/>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1417" w:type="dxa"/>
          </w:tcPr>
          <w:p w:rsidR="002250CE" w:rsidRPr="00D155AC" w:rsidRDefault="00D155AC" w:rsidP="004F261F">
            <w:pPr>
              <w:widowControl/>
              <w:tabs>
                <w:tab w:val="left" w:pos="416"/>
                <w:tab w:val="left" w:pos="582"/>
              </w:tabs>
              <w:spacing w:before="20"/>
              <w:jc w:val="left"/>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1418"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lang w:eastAsia="en-AU"/>
              </w:rPr>
            </w:pPr>
            <w:r w:rsidRPr="000563BF">
              <w:rPr>
                <w:rFonts w:ascii="Arial Narrow" w:hAnsi="Arial Narrow" w:cs="Times New Roman"/>
                <w:snapToGrid/>
                <w:sz w:val="20"/>
                <w:szCs w:val="20"/>
                <w:lang w:eastAsia="en-AU"/>
              </w:rPr>
              <w:t xml:space="preserve">Average: </w:t>
            </w:r>
            <w:r w:rsidR="00D155AC">
              <w:rPr>
                <w:rFonts w:ascii="Arial Narrow" w:hAnsi="Arial Narrow" w:cs="Times New Roman"/>
                <w:noProof/>
                <w:snapToGrid/>
                <w:color w:val="000000"/>
                <w:sz w:val="20"/>
                <w:szCs w:val="20"/>
                <w:highlight w:val="black"/>
                <w:lang w:eastAsia="en-AU"/>
              </w:rPr>
              <w:t>'''''''''''</w:t>
            </w:r>
          </w:p>
        </w:tc>
      </w:tr>
      <w:tr w:rsidR="002B66AB" w:rsidRPr="000563BF" w:rsidTr="00263CDE">
        <w:tc>
          <w:tcPr>
            <w:tcW w:w="959"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green"/>
                <w:lang w:eastAsia="en-AU"/>
              </w:rPr>
            </w:pPr>
            <w:r w:rsidRPr="000563BF">
              <w:rPr>
                <w:rFonts w:ascii="Arial Narrow" w:hAnsi="Arial Narrow" w:cs="Times New Roman"/>
                <w:snapToGrid/>
                <w:sz w:val="20"/>
                <w:szCs w:val="20"/>
                <w:lang w:eastAsia="en-AU"/>
              </w:rPr>
              <w:t>Proposed Financial Cap</w:t>
            </w:r>
          </w:p>
        </w:tc>
        <w:tc>
          <w:tcPr>
            <w:tcW w:w="1417"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green"/>
                <w:lang w:eastAsia="en-AU"/>
              </w:rPr>
            </w:pPr>
            <w:r w:rsidRPr="000563BF">
              <w:rPr>
                <w:rFonts w:ascii="Arial Narrow" w:hAnsi="Arial Narrow" w:cs="Times New Roman"/>
                <w:snapToGrid/>
                <w:sz w:val="20"/>
                <w:szCs w:val="20"/>
                <w:lang w:eastAsia="en-AU"/>
              </w:rPr>
              <w:t>Suggested distribution</w:t>
            </w:r>
          </w:p>
        </w:tc>
        <w:tc>
          <w:tcPr>
            <w:tcW w:w="1418"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yellow"/>
                <w:lang w:eastAsia="en-AU"/>
              </w:rPr>
            </w:pPr>
            <w:r w:rsidRPr="000563BF">
              <w:rPr>
                <w:rFonts w:ascii="Arial Narrow" w:hAnsi="Arial Narrow" w:cs="Times New Roman"/>
                <w:snapToGrid/>
                <w:sz w:val="20"/>
                <w:szCs w:val="20"/>
                <w:lang w:eastAsia="en-AU"/>
              </w:rPr>
              <w:t>$</w:t>
            </w:r>
            <w:r w:rsidR="00D155AC">
              <w:rPr>
                <w:rFonts w:ascii="Arial Narrow" w:hAnsi="Arial Narrow" w:cs="Times New Roman"/>
                <w:noProof/>
                <w:snapToGrid/>
                <w:color w:val="000000"/>
                <w:sz w:val="20"/>
                <w:szCs w:val="20"/>
                <w:highlight w:val="black"/>
                <w:lang w:eastAsia="en-AU"/>
              </w:rPr>
              <w:t>''''''''''''''''''''''''</w:t>
            </w:r>
          </w:p>
        </w:tc>
        <w:tc>
          <w:tcPr>
            <w:tcW w:w="1417"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yellow"/>
                <w:lang w:eastAsia="en-AU"/>
              </w:rPr>
            </w:pPr>
            <w:r w:rsidRPr="000563BF">
              <w:rPr>
                <w:rFonts w:ascii="Arial Narrow" w:hAnsi="Arial Narrow" w:cs="Times New Roman"/>
                <w:snapToGrid/>
                <w:sz w:val="20"/>
                <w:szCs w:val="20"/>
                <w:lang w:eastAsia="en-AU"/>
              </w:rPr>
              <w:t>$</w:t>
            </w:r>
            <w:r w:rsidR="00D155AC">
              <w:rPr>
                <w:rFonts w:ascii="Arial Narrow" w:hAnsi="Arial Narrow" w:cs="Times New Roman"/>
                <w:noProof/>
                <w:snapToGrid/>
                <w:color w:val="000000"/>
                <w:sz w:val="20"/>
                <w:szCs w:val="20"/>
                <w:highlight w:val="black"/>
                <w:lang w:eastAsia="en-AU"/>
              </w:rPr>
              <w:t>''''''''''''''''''''''''''''</w:t>
            </w:r>
          </w:p>
        </w:tc>
        <w:tc>
          <w:tcPr>
            <w:tcW w:w="1418"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yellow"/>
                <w:lang w:eastAsia="en-AU"/>
              </w:rPr>
            </w:pPr>
            <w:r w:rsidRPr="000563BF">
              <w:rPr>
                <w:rFonts w:ascii="Arial Narrow" w:hAnsi="Arial Narrow" w:cs="Times New Roman"/>
                <w:snapToGrid/>
                <w:sz w:val="20"/>
                <w:szCs w:val="20"/>
                <w:lang w:eastAsia="en-AU"/>
              </w:rPr>
              <w:t>$</w:t>
            </w:r>
            <w:r w:rsidR="00D155AC">
              <w:rPr>
                <w:rFonts w:ascii="Arial Narrow" w:hAnsi="Arial Narrow" w:cs="Times New Roman"/>
                <w:noProof/>
                <w:snapToGrid/>
                <w:color w:val="000000"/>
                <w:sz w:val="20"/>
                <w:szCs w:val="20"/>
                <w:highlight w:val="black"/>
                <w:lang w:eastAsia="en-AU"/>
              </w:rPr>
              <w:t>'''''''''''''''''''''''''''''</w:t>
            </w:r>
          </w:p>
        </w:tc>
        <w:tc>
          <w:tcPr>
            <w:tcW w:w="1417"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yellow"/>
                <w:lang w:eastAsia="en-AU"/>
              </w:rPr>
            </w:pPr>
            <w:r w:rsidRPr="000563BF">
              <w:rPr>
                <w:rFonts w:ascii="Arial Narrow" w:hAnsi="Arial Narrow" w:cs="Times New Roman"/>
                <w:snapToGrid/>
                <w:sz w:val="20"/>
                <w:szCs w:val="20"/>
                <w:lang w:eastAsia="en-AU"/>
              </w:rPr>
              <w:t>$</w:t>
            </w:r>
            <w:r w:rsidR="00D155AC">
              <w:rPr>
                <w:rFonts w:ascii="Arial Narrow" w:hAnsi="Arial Narrow" w:cs="Times New Roman"/>
                <w:noProof/>
                <w:snapToGrid/>
                <w:color w:val="000000"/>
                <w:sz w:val="20"/>
                <w:szCs w:val="20"/>
                <w:highlight w:val="black"/>
                <w:lang w:eastAsia="en-AU"/>
              </w:rPr>
              <w:t>'''''''''''''''''''''''''''''''</w:t>
            </w:r>
          </w:p>
        </w:tc>
        <w:tc>
          <w:tcPr>
            <w:tcW w:w="1418" w:type="dxa"/>
          </w:tcPr>
          <w:p w:rsidR="002250CE" w:rsidRPr="000563BF" w:rsidRDefault="002250CE" w:rsidP="004F261F">
            <w:pPr>
              <w:widowControl/>
              <w:tabs>
                <w:tab w:val="left" w:pos="416"/>
                <w:tab w:val="left" w:pos="582"/>
              </w:tabs>
              <w:spacing w:before="20"/>
              <w:jc w:val="left"/>
              <w:rPr>
                <w:rFonts w:ascii="Arial Narrow" w:hAnsi="Arial Narrow" w:cs="Times New Roman"/>
                <w:snapToGrid/>
                <w:sz w:val="20"/>
                <w:szCs w:val="20"/>
                <w:highlight w:val="green"/>
                <w:lang w:eastAsia="en-AU"/>
              </w:rPr>
            </w:pPr>
            <w:r w:rsidRPr="000563BF">
              <w:rPr>
                <w:rFonts w:ascii="Arial Narrow" w:hAnsi="Arial Narrow" w:cs="Times New Roman"/>
                <w:snapToGrid/>
                <w:sz w:val="20"/>
                <w:szCs w:val="20"/>
                <w:lang w:eastAsia="en-AU"/>
              </w:rPr>
              <w:t>Total: $</w:t>
            </w:r>
            <w:r w:rsidR="00D155AC">
              <w:rPr>
                <w:rFonts w:ascii="Arial Narrow" w:hAnsi="Arial Narrow" w:cs="Times New Roman"/>
                <w:noProof/>
                <w:snapToGrid/>
                <w:color w:val="000000"/>
                <w:sz w:val="20"/>
                <w:szCs w:val="20"/>
                <w:highlight w:val="black"/>
                <w:lang w:eastAsia="en-AU"/>
              </w:rPr>
              <w:t>''''''''''''''''''''''''''''''''</w:t>
            </w:r>
          </w:p>
        </w:tc>
      </w:tr>
    </w:tbl>
    <w:p w:rsidR="002250CE" w:rsidRPr="000563BF" w:rsidRDefault="002250CE" w:rsidP="002250CE">
      <w:pPr>
        <w:keepNext/>
        <w:keepLines/>
        <w:widowControl/>
        <w:jc w:val="left"/>
        <w:rPr>
          <w:rFonts w:ascii="Arial Narrow" w:hAnsi="Arial Narrow" w:cs="Tahoma"/>
          <w:snapToGrid/>
          <w:sz w:val="18"/>
          <w:szCs w:val="18"/>
          <w:lang w:eastAsia="en-AU"/>
        </w:rPr>
      </w:pPr>
      <w:r w:rsidRPr="000563BF">
        <w:rPr>
          <w:rFonts w:ascii="Arial Narrow" w:hAnsi="Arial Narrow" w:cs="Tahoma"/>
          <w:snapToGrid/>
          <w:sz w:val="18"/>
          <w:szCs w:val="18"/>
          <w:lang w:eastAsia="en-AU"/>
        </w:rPr>
        <w:t>Source: Table 3 of pre</w:t>
      </w:r>
      <w:r w:rsidR="00D5742B" w:rsidRPr="000563BF">
        <w:rPr>
          <w:rFonts w:ascii="Arial Narrow" w:hAnsi="Arial Narrow" w:cs="Tahoma"/>
          <w:snapToGrid/>
          <w:sz w:val="18"/>
          <w:szCs w:val="18"/>
          <w:lang w:eastAsia="en-AU"/>
        </w:rPr>
        <w:t>-</w:t>
      </w:r>
      <w:r w:rsidRPr="000563BF">
        <w:rPr>
          <w:rFonts w:ascii="Arial Narrow" w:hAnsi="Arial Narrow" w:cs="Tahoma"/>
          <w:snapToGrid/>
          <w:sz w:val="18"/>
          <w:szCs w:val="18"/>
          <w:lang w:eastAsia="en-AU"/>
        </w:rPr>
        <w:t xml:space="preserve">PBAC response, item 7.10 July 2018 </w:t>
      </w:r>
    </w:p>
    <w:p w:rsidR="00F76BA0" w:rsidRPr="002B66AB" w:rsidRDefault="00F76BA0" w:rsidP="00F76BA0">
      <w:pPr>
        <w:widowControl/>
      </w:pPr>
    </w:p>
    <w:p w:rsidR="0011682C" w:rsidRDefault="00E879F9" w:rsidP="0011682C">
      <w:r>
        <w:t xml:space="preserve">The redacted table shows that the total estimated number of patients over 4 years was less than 10,000 and the net cost to the PBS would be </w:t>
      </w:r>
      <w:r w:rsidR="0031117A">
        <w:t xml:space="preserve">more than $100 million. </w:t>
      </w:r>
    </w:p>
    <w:p w:rsidR="0011682C" w:rsidRDefault="0011682C" w:rsidP="0011682C"/>
    <w:p w:rsidR="005536B4" w:rsidRPr="002B66AB" w:rsidRDefault="00D97591" w:rsidP="00431133">
      <w:pPr>
        <w:pStyle w:val="ListParagraph"/>
        <w:numPr>
          <w:ilvl w:val="1"/>
          <w:numId w:val="45"/>
        </w:numPr>
        <w:ind w:hanging="720"/>
      </w:pPr>
      <w:r w:rsidRPr="002B66AB">
        <w:t>The PBAC</w:t>
      </w:r>
      <w:r w:rsidR="005536B4" w:rsidRPr="002B66AB">
        <w:t xml:space="preserve"> considered the submission’s estimates for the </w:t>
      </w:r>
      <w:r w:rsidRPr="002B66AB">
        <w:t>6-11</w:t>
      </w:r>
      <w:r w:rsidR="005536B4" w:rsidRPr="002B66AB">
        <w:t xml:space="preserve"> </w:t>
      </w:r>
      <w:r w:rsidR="00620793">
        <w:t xml:space="preserve">age </w:t>
      </w:r>
      <w:r w:rsidR="005536B4" w:rsidRPr="002B66AB">
        <w:t xml:space="preserve">group to be too high for the following reasons as documented in the </w:t>
      </w:r>
      <w:r w:rsidR="00222E42" w:rsidRPr="002B66AB">
        <w:t>ESC advice</w:t>
      </w:r>
      <w:r w:rsidR="005536B4" w:rsidRPr="002B66AB">
        <w:t>:</w:t>
      </w:r>
    </w:p>
    <w:p w:rsidR="005536B4" w:rsidRPr="002B66AB" w:rsidRDefault="005536B4" w:rsidP="000A577F">
      <w:pPr>
        <w:pStyle w:val="ListParagraph"/>
        <w:numPr>
          <w:ilvl w:val="1"/>
          <w:numId w:val="46"/>
        </w:numPr>
      </w:pPr>
      <w:r w:rsidRPr="002B66AB">
        <w:t xml:space="preserve">The estimate of the prevalent pool of 6 – 11 year olds is </w:t>
      </w:r>
      <w:r w:rsidR="00222E42" w:rsidRPr="002B66AB">
        <w:t xml:space="preserve">higher than would be expected </w:t>
      </w:r>
      <w:r w:rsidRPr="002B66AB">
        <w:t>based on the estimate of 40 incident patients homozygous for the F508 del mutation each year</w:t>
      </w:r>
      <w:r w:rsidR="00222E42" w:rsidRPr="002B66AB">
        <w:t>. On the basis of this incidence figure,</w:t>
      </w:r>
      <w:r w:rsidRPr="002B66AB">
        <w:t xml:space="preserve"> it would be expected that the prevalent pool of 6 – 11 year olds would be closer to 240 (</w:t>
      </w:r>
      <w:proofErr w:type="spellStart"/>
      <w:r w:rsidRPr="002B66AB">
        <w:t>ie</w:t>
      </w:r>
      <w:proofErr w:type="spellEnd"/>
      <w:r w:rsidRPr="002B66AB">
        <w:t xml:space="preserve"> 6 x 40). </w:t>
      </w:r>
    </w:p>
    <w:p w:rsidR="00222E42" w:rsidRPr="002B66AB" w:rsidRDefault="00222E42" w:rsidP="000A577F">
      <w:pPr>
        <w:pStyle w:val="ListParagraph"/>
        <w:numPr>
          <w:ilvl w:val="1"/>
          <w:numId w:val="46"/>
        </w:numPr>
      </w:pPr>
      <w:r w:rsidRPr="002B66AB">
        <w:t>The submission assumed that patients could only discontinue therapy in the first year. This is based on the pooled discontinuation rates from TRAFFIC and TRANSPORT (6.8% applied to patients aged 6 years and older).</w:t>
      </w:r>
      <w:r w:rsidR="00D97591" w:rsidRPr="002B66AB">
        <w:t xml:space="preserve"> </w:t>
      </w:r>
      <w:r w:rsidRPr="002B66AB">
        <w:t>The final PROGRESS study report indicates that 14.9% of the Final Analysis Set for this study discontinued study treatment because of an “adverse event” or “subject refused further dosing” (PROGRESS study report Version 1.0, 25 October 2016, pp 78).</w:t>
      </w:r>
    </w:p>
    <w:p w:rsidR="000A577F" w:rsidRPr="002B66AB" w:rsidRDefault="00D97591" w:rsidP="00F22C48">
      <w:pPr>
        <w:spacing w:after="160"/>
        <w:ind w:left="1440"/>
      </w:pPr>
      <w:r w:rsidRPr="002B66AB">
        <w:t>In addition, a</w:t>
      </w:r>
      <w:r w:rsidR="00222E42" w:rsidRPr="002B66AB">
        <w:t xml:space="preserve"> reasonable assumption is that discontinuing patients will discontinue treatment throughout the year, so that on average each patient receives the equivalent of half of a year’s supply in the year in which they discontinue treatment.</w:t>
      </w:r>
    </w:p>
    <w:p w:rsidR="00222E42" w:rsidRPr="002B66AB" w:rsidRDefault="00222E42" w:rsidP="00F22C48">
      <w:pPr>
        <w:spacing w:after="160"/>
        <w:ind w:left="1440"/>
      </w:pPr>
      <w:r w:rsidRPr="002B66AB">
        <w:t>Note: The final PROGRESS study report indicates “Other” was the most frequent reason for treatment discontinuation (36.1% of overall subjects), and the vast majority of these discontinuations were because subjects transitioned from study drug to the commercially available supply of drug (PROGRESS study report Versio</w:t>
      </w:r>
      <w:r w:rsidR="00D97591" w:rsidRPr="002B66AB">
        <w:t>n 1.0, 25 October 2016, pp 77).</w:t>
      </w:r>
      <w:r w:rsidRPr="002B66AB">
        <w:t xml:space="preserve"> The PBAC does not propose that the discontinuations</w:t>
      </w:r>
      <w:r w:rsidR="00D97591" w:rsidRPr="002B66AB">
        <w:t xml:space="preserve"> reported as</w:t>
      </w:r>
      <w:r w:rsidRPr="002B66AB">
        <w:t xml:space="preserve"> resulting from patients moving to commercially available drug be taken account for in adjusting the submission’s estimates.</w:t>
      </w:r>
    </w:p>
    <w:p w:rsidR="00222E42" w:rsidRPr="002B66AB" w:rsidRDefault="00222E42" w:rsidP="000A577F">
      <w:pPr>
        <w:pStyle w:val="ListParagraph"/>
        <w:numPr>
          <w:ilvl w:val="1"/>
          <w:numId w:val="46"/>
        </w:numPr>
      </w:pPr>
      <w:r w:rsidRPr="002B66AB">
        <w:t xml:space="preserve">The submission assumed that patients who become eligible for treatment each year receive a full year of treatment. A more reasonable assumption is that initiating patients will commence treatment throughout the year, so that </w:t>
      </w:r>
      <w:r w:rsidRPr="002B66AB">
        <w:lastRenderedPageBreak/>
        <w:t>on average each patient receives the equivalent of half of a year’s supply in the year in which they commence treatment.</w:t>
      </w:r>
    </w:p>
    <w:p w:rsidR="002250CE" w:rsidRPr="003C3ACC" w:rsidRDefault="00222E42" w:rsidP="003C3ACC">
      <w:pPr>
        <w:pStyle w:val="ListParagraph"/>
        <w:numPr>
          <w:ilvl w:val="1"/>
          <w:numId w:val="45"/>
        </w:numPr>
        <w:ind w:hanging="720"/>
      </w:pPr>
      <w:r w:rsidRPr="002B66AB">
        <w:t xml:space="preserve">The PBAC noted the revised financial impact of listing </w:t>
      </w:r>
      <w:proofErr w:type="spellStart"/>
      <w:r w:rsidRPr="002B66AB">
        <w:t>lumacaftor</w:t>
      </w:r>
      <w:proofErr w:type="spellEnd"/>
      <w:r w:rsidRPr="002B66AB">
        <w:t>/</w:t>
      </w:r>
      <w:proofErr w:type="spellStart"/>
      <w:r w:rsidRPr="002B66AB">
        <w:t>ivacaftor</w:t>
      </w:r>
      <w:proofErr w:type="spellEnd"/>
      <w:r w:rsidRPr="002B66AB">
        <w:t xml:space="preserve"> in the 6</w:t>
      </w:r>
      <w:r w:rsidR="00D97591" w:rsidRPr="002B66AB">
        <w:t>+</w:t>
      </w:r>
      <w:r w:rsidRPr="002B66AB">
        <w:t xml:space="preserve"> </w:t>
      </w:r>
      <w:r w:rsidR="00D97591" w:rsidRPr="002B66AB">
        <w:t>pop</w:t>
      </w:r>
      <w:r w:rsidRPr="002B66AB">
        <w:t>ulation</w:t>
      </w:r>
      <w:r w:rsidR="00D97591" w:rsidRPr="002B66AB">
        <w:t xml:space="preserve"> (</w:t>
      </w:r>
      <w:proofErr w:type="spellStart"/>
      <w:r w:rsidR="00D97591" w:rsidRPr="002B66AB">
        <w:t>ie</w:t>
      </w:r>
      <w:proofErr w:type="spellEnd"/>
      <w:r w:rsidR="00D97591" w:rsidRPr="002B66AB">
        <w:t xml:space="preserve"> 6-11 and 12+)</w:t>
      </w:r>
      <w:r w:rsidRPr="002B66AB">
        <w:t xml:space="preserve"> taking into account these issues as reported in Table 1</w:t>
      </w:r>
      <w:r w:rsidR="004004C9">
        <w:t>7</w:t>
      </w:r>
      <w:r w:rsidRPr="002B66AB">
        <w:t>.</w:t>
      </w:r>
    </w:p>
    <w:p w:rsidR="002250CE" w:rsidRPr="002B66AB" w:rsidRDefault="002250CE" w:rsidP="002250CE">
      <w:pPr>
        <w:widowControl/>
        <w:spacing w:beforeLines="20" w:before="48" w:afterLines="20" w:after="48"/>
        <w:contextualSpacing/>
        <w:jc w:val="left"/>
        <w:rPr>
          <w:rFonts w:ascii="Arial Narrow" w:hAnsi="Arial Narrow" w:cs="Times New Roman"/>
          <w:b/>
          <w:snapToGrid/>
          <w:sz w:val="20"/>
          <w:szCs w:val="20"/>
        </w:rPr>
      </w:pPr>
      <w:r w:rsidRPr="002B66AB">
        <w:rPr>
          <w:rFonts w:ascii="Arial Narrow" w:hAnsi="Arial Narrow" w:cs="Times New Roman"/>
          <w:b/>
          <w:snapToGrid/>
          <w:sz w:val="20"/>
          <w:szCs w:val="20"/>
        </w:rPr>
        <w:t>Table 1</w:t>
      </w:r>
      <w:r w:rsidR="004004C9">
        <w:rPr>
          <w:rFonts w:ascii="Arial Narrow" w:hAnsi="Arial Narrow" w:cs="Times New Roman"/>
          <w:b/>
          <w:snapToGrid/>
          <w:sz w:val="20"/>
          <w:szCs w:val="20"/>
        </w:rPr>
        <w:t>7</w:t>
      </w:r>
      <w:r w:rsidRPr="002B66AB">
        <w:rPr>
          <w:rFonts w:ascii="Arial Narrow" w:hAnsi="Arial Narrow" w:cs="Times New Roman"/>
          <w:b/>
          <w:snapToGrid/>
          <w:sz w:val="20"/>
          <w:szCs w:val="20"/>
        </w:rPr>
        <w:t>: Estimated use and financial implications, patients aged 6 years and older</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3"/>
        <w:gridCol w:w="1391"/>
        <w:gridCol w:w="1391"/>
        <w:gridCol w:w="1391"/>
        <w:gridCol w:w="1391"/>
        <w:gridCol w:w="1389"/>
      </w:tblGrid>
      <w:tr w:rsidR="002B66AB" w:rsidRPr="002B66AB" w:rsidTr="00263CDE">
        <w:trPr>
          <w:tblHeader/>
        </w:trPr>
        <w:tc>
          <w:tcPr>
            <w:tcW w:w="1161" w:type="pct"/>
            <w:shd w:val="clear" w:color="auto" w:fill="auto"/>
            <w:vAlign w:val="center"/>
          </w:tcPr>
          <w:p w:rsidR="002250CE" w:rsidRPr="002B66AB" w:rsidRDefault="002250CE" w:rsidP="002250CE">
            <w:pPr>
              <w:widowControl/>
              <w:spacing w:beforeLines="20" w:before="48" w:afterLines="20" w:after="48"/>
              <w:jc w:val="left"/>
              <w:rPr>
                <w:rFonts w:ascii="Arial Narrow" w:hAnsi="Arial Narrow" w:cs="Times New Roman"/>
                <w:i/>
                <w:snapToGrid/>
                <w:sz w:val="20"/>
                <w:szCs w:val="20"/>
              </w:rPr>
            </w:pPr>
          </w:p>
        </w:tc>
        <w:tc>
          <w:tcPr>
            <w:tcW w:w="768" w:type="pct"/>
            <w:shd w:val="clear" w:color="auto" w:fill="auto"/>
            <w:vAlign w:val="center"/>
          </w:tcPr>
          <w:p w:rsidR="002250CE" w:rsidRPr="002B66AB" w:rsidRDefault="002250CE" w:rsidP="002250CE">
            <w:pPr>
              <w:widowControl/>
              <w:spacing w:beforeLines="20" w:before="48" w:afterLines="20" w:after="48"/>
              <w:jc w:val="center"/>
              <w:rPr>
                <w:rFonts w:ascii="Arial Narrow" w:hAnsi="Arial Narrow" w:cs="Times New Roman"/>
                <w:b/>
                <w:snapToGrid/>
                <w:sz w:val="20"/>
                <w:szCs w:val="20"/>
              </w:rPr>
            </w:pPr>
            <w:r w:rsidRPr="002B66AB">
              <w:rPr>
                <w:rFonts w:ascii="Arial Narrow" w:hAnsi="Arial Narrow" w:cs="Times New Roman"/>
                <w:b/>
                <w:snapToGrid/>
                <w:sz w:val="20"/>
                <w:szCs w:val="20"/>
              </w:rPr>
              <w:t>Year 1</w:t>
            </w:r>
          </w:p>
        </w:tc>
        <w:tc>
          <w:tcPr>
            <w:tcW w:w="768" w:type="pct"/>
            <w:shd w:val="clear" w:color="auto" w:fill="auto"/>
            <w:vAlign w:val="center"/>
          </w:tcPr>
          <w:p w:rsidR="002250CE" w:rsidRPr="002B66AB" w:rsidRDefault="002250CE" w:rsidP="002250CE">
            <w:pPr>
              <w:widowControl/>
              <w:spacing w:beforeLines="20" w:before="48" w:afterLines="20" w:after="48"/>
              <w:jc w:val="center"/>
              <w:rPr>
                <w:rFonts w:ascii="Arial Narrow" w:hAnsi="Arial Narrow" w:cs="Times New Roman"/>
                <w:b/>
                <w:snapToGrid/>
                <w:sz w:val="20"/>
                <w:szCs w:val="20"/>
              </w:rPr>
            </w:pPr>
            <w:r w:rsidRPr="002B66AB">
              <w:rPr>
                <w:rFonts w:ascii="Arial Narrow" w:hAnsi="Arial Narrow" w:cs="Times New Roman"/>
                <w:b/>
                <w:snapToGrid/>
                <w:sz w:val="20"/>
                <w:szCs w:val="20"/>
              </w:rPr>
              <w:t>Year 2</w:t>
            </w:r>
          </w:p>
        </w:tc>
        <w:tc>
          <w:tcPr>
            <w:tcW w:w="768" w:type="pct"/>
            <w:shd w:val="clear" w:color="auto" w:fill="auto"/>
            <w:vAlign w:val="center"/>
          </w:tcPr>
          <w:p w:rsidR="002250CE" w:rsidRPr="002B66AB" w:rsidRDefault="002250CE" w:rsidP="002250CE">
            <w:pPr>
              <w:widowControl/>
              <w:spacing w:beforeLines="20" w:before="48" w:afterLines="20" w:after="48"/>
              <w:jc w:val="center"/>
              <w:rPr>
                <w:rFonts w:ascii="Arial Narrow" w:hAnsi="Arial Narrow" w:cs="Times New Roman"/>
                <w:b/>
                <w:snapToGrid/>
                <w:sz w:val="20"/>
                <w:szCs w:val="20"/>
              </w:rPr>
            </w:pPr>
            <w:r w:rsidRPr="002B66AB">
              <w:rPr>
                <w:rFonts w:ascii="Arial Narrow" w:hAnsi="Arial Narrow" w:cs="Times New Roman"/>
                <w:b/>
                <w:snapToGrid/>
                <w:sz w:val="20"/>
                <w:szCs w:val="20"/>
              </w:rPr>
              <w:t>Year 3</w:t>
            </w:r>
          </w:p>
        </w:tc>
        <w:tc>
          <w:tcPr>
            <w:tcW w:w="768" w:type="pct"/>
            <w:shd w:val="clear" w:color="auto" w:fill="auto"/>
            <w:vAlign w:val="center"/>
          </w:tcPr>
          <w:p w:rsidR="002250CE" w:rsidRPr="002B66AB" w:rsidRDefault="002250CE" w:rsidP="002250CE">
            <w:pPr>
              <w:widowControl/>
              <w:spacing w:beforeLines="20" w:before="48" w:afterLines="20" w:after="48"/>
              <w:jc w:val="center"/>
              <w:rPr>
                <w:rFonts w:ascii="Arial Narrow" w:hAnsi="Arial Narrow" w:cs="Times New Roman"/>
                <w:b/>
                <w:snapToGrid/>
                <w:sz w:val="20"/>
                <w:szCs w:val="20"/>
              </w:rPr>
            </w:pPr>
            <w:r w:rsidRPr="002B66AB">
              <w:rPr>
                <w:rFonts w:ascii="Arial Narrow" w:hAnsi="Arial Narrow" w:cs="Times New Roman"/>
                <w:b/>
                <w:snapToGrid/>
                <w:sz w:val="20"/>
                <w:szCs w:val="20"/>
              </w:rPr>
              <w:t>Year 4</w:t>
            </w:r>
          </w:p>
        </w:tc>
        <w:tc>
          <w:tcPr>
            <w:tcW w:w="767" w:type="pct"/>
            <w:shd w:val="clear" w:color="auto" w:fill="auto"/>
            <w:vAlign w:val="center"/>
          </w:tcPr>
          <w:p w:rsidR="002250CE" w:rsidRPr="002B66AB" w:rsidRDefault="002250CE" w:rsidP="002250CE">
            <w:pPr>
              <w:widowControl/>
              <w:spacing w:beforeLines="20" w:before="48" w:afterLines="20" w:after="48"/>
              <w:jc w:val="center"/>
              <w:rPr>
                <w:rFonts w:ascii="Arial Narrow" w:hAnsi="Arial Narrow" w:cs="Times New Roman"/>
                <w:b/>
                <w:snapToGrid/>
                <w:sz w:val="20"/>
                <w:szCs w:val="20"/>
              </w:rPr>
            </w:pPr>
            <w:r w:rsidRPr="002B66AB">
              <w:rPr>
                <w:rFonts w:ascii="Arial Narrow" w:hAnsi="Arial Narrow" w:cs="Times New Roman"/>
                <w:b/>
                <w:snapToGrid/>
                <w:sz w:val="20"/>
                <w:szCs w:val="20"/>
              </w:rPr>
              <w:t>Year 5</w:t>
            </w:r>
          </w:p>
        </w:tc>
      </w:tr>
      <w:tr w:rsidR="002B66AB" w:rsidRPr="002B66AB" w:rsidTr="00263CDE">
        <w:tc>
          <w:tcPr>
            <w:tcW w:w="1161" w:type="pct"/>
            <w:shd w:val="clear" w:color="auto" w:fill="auto"/>
            <w:vAlign w:val="center"/>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Times New Roman"/>
                <w:snapToGrid/>
                <w:sz w:val="20"/>
                <w:szCs w:val="20"/>
              </w:rPr>
              <w:t>Number of patients treated*</w:t>
            </w:r>
          </w:p>
        </w:tc>
        <w:tc>
          <w:tcPr>
            <w:tcW w:w="768" w:type="pct"/>
            <w:shd w:val="clear" w:color="auto" w:fill="auto"/>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768" w:type="pct"/>
            <w:shd w:val="clear" w:color="auto" w:fill="auto"/>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768" w:type="pct"/>
            <w:shd w:val="clear" w:color="auto" w:fill="auto"/>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768" w:type="pct"/>
            <w:shd w:val="clear" w:color="auto" w:fill="auto"/>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767" w:type="pct"/>
            <w:shd w:val="clear" w:color="auto" w:fill="auto"/>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r>
      <w:tr w:rsidR="002B66AB" w:rsidRPr="002B66AB" w:rsidTr="00263CDE">
        <w:tc>
          <w:tcPr>
            <w:tcW w:w="1161" w:type="pct"/>
            <w:shd w:val="clear" w:color="auto" w:fill="auto"/>
            <w:vAlign w:val="center"/>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Times New Roman"/>
                <w:snapToGrid/>
                <w:sz w:val="20"/>
                <w:szCs w:val="20"/>
              </w:rPr>
              <w:t>Number of scripts dispensed</w:t>
            </w:r>
          </w:p>
        </w:tc>
        <w:tc>
          <w:tcPr>
            <w:tcW w:w="768" w:type="pct"/>
            <w:shd w:val="clear" w:color="auto" w:fill="auto"/>
            <w:vAlign w:val="bottom"/>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cs="Calibri"/>
                <w:bCs/>
                <w:noProof/>
                <w:color w:val="000000"/>
                <w:sz w:val="20"/>
                <w:szCs w:val="20"/>
                <w:highlight w:val="black"/>
              </w:rPr>
              <w:t>''''''''''''''''</w:t>
            </w:r>
          </w:p>
        </w:tc>
        <w:tc>
          <w:tcPr>
            <w:tcW w:w="768" w:type="pct"/>
            <w:shd w:val="clear" w:color="auto" w:fill="auto"/>
            <w:vAlign w:val="bottom"/>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cs="Calibri"/>
                <w:bCs/>
                <w:noProof/>
                <w:color w:val="000000"/>
                <w:sz w:val="20"/>
                <w:szCs w:val="20"/>
                <w:highlight w:val="black"/>
              </w:rPr>
              <w:t>''''''''''''''''</w:t>
            </w:r>
          </w:p>
        </w:tc>
        <w:tc>
          <w:tcPr>
            <w:tcW w:w="768" w:type="pct"/>
            <w:shd w:val="clear" w:color="auto" w:fill="auto"/>
            <w:vAlign w:val="bottom"/>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cs="Calibri"/>
                <w:bCs/>
                <w:noProof/>
                <w:color w:val="000000"/>
                <w:sz w:val="20"/>
                <w:szCs w:val="20"/>
                <w:highlight w:val="black"/>
              </w:rPr>
              <w:t>''''''''''''''''</w:t>
            </w:r>
          </w:p>
        </w:tc>
        <w:tc>
          <w:tcPr>
            <w:tcW w:w="768" w:type="pct"/>
            <w:shd w:val="clear" w:color="auto" w:fill="auto"/>
            <w:vAlign w:val="bottom"/>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cs="Calibri"/>
                <w:bCs/>
                <w:noProof/>
                <w:color w:val="000000"/>
                <w:sz w:val="20"/>
                <w:szCs w:val="20"/>
                <w:highlight w:val="black"/>
              </w:rPr>
              <w:t>''''''''''''''''</w:t>
            </w:r>
          </w:p>
        </w:tc>
        <w:tc>
          <w:tcPr>
            <w:tcW w:w="767" w:type="pct"/>
            <w:shd w:val="clear" w:color="auto" w:fill="auto"/>
            <w:vAlign w:val="bottom"/>
          </w:tcPr>
          <w:p w:rsidR="002250CE" w:rsidRPr="00D155AC" w:rsidRDefault="00D155AC" w:rsidP="002250CE">
            <w:pPr>
              <w:widowControl/>
              <w:spacing w:beforeLines="20" w:before="48" w:afterLines="20" w:after="48"/>
              <w:jc w:val="left"/>
              <w:rPr>
                <w:rFonts w:ascii="Arial Narrow" w:hAnsi="Arial Narrow" w:cs="Times New Roman"/>
                <w:snapToGrid/>
                <w:sz w:val="20"/>
                <w:szCs w:val="20"/>
                <w:highlight w:val="black"/>
              </w:rPr>
            </w:pPr>
            <w:r>
              <w:rPr>
                <w:rFonts w:ascii="Arial Narrow" w:hAnsi="Arial Narrow" w:cs="Calibri"/>
                <w:bCs/>
                <w:noProof/>
                <w:color w:val="000000"/>
                <w:sz w:val="20"/>
                <w:szCs w:val="20"/>
                <w:highlight w:val="black"/>
              </w:rPr>
              <w:t>''''''''''''''</w:t>
            </w:r>
          </w:p>
        </w:tc>
      </w:tr>
      <w:tr w:rsidR="002B66AB" w:rsidRPr="002B66AB" w:rsidTr="00263CDE">
        <w:tc>
          <w:tcPr>
            <w:tcW w:w="1161" w:type="pct"/>
            <w:shd w:val="clear" w:color="auto" w:fill="auto"/>
            <w:vAlign w:val="center"/>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Times New Roman"/>
                <w:snapToGrid/>
                <w:sz w:val="20"/>
                <w:szCs w:val="20"/>
              </w:rPr>
              <w:t>Gross cost to PBS/RPBS</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w:t>
            </w:r>
            <w:r w:rsidR="00D155AC">
              <w:rPr>
                <w:rFonts w:ascii="Arial Narrow" w:hAnsi="Arial Narrow" w:cs="Calibri"/>
                <w:noProof/>
                <w:color w:val="000000"/>
                <w:sz w:val="20"/>
                <w:szCs w:val="20"/>
                <w:highlight w:val="black"/>
              </w:rPr>
              <w:t>'''''''''''''''''''''''''''''</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w:t>
            </w:r>
            <w:r w:rsidR="00D155AC">
              <w:rPr>
                <w:rFonts w:ascii="Arial Narrow" w:hAnsi="Arial Narrow" w:cs="Calibri"/>
                <w:noProof/>
                <w:color w:val="000000"/>
                <w:sz w:val="20"/>
                <w:szCs w:val="20"/>
                <w:highlight w:val="black"/>
              </w:rPr>
              <w:t>'''''''''''''''''''''''''''''</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w:t>
            </w:r>
            <w:r w:rsidR="00D155AC">
              <w:rPr>
                <w:rFonts w:ascii="Arial Narrow" w:hAnsi="Arial Narrow" w:cs="Calibri"/>
                <w:noProof/>
                <w:color w:val="000000"/>
                <w:sz w:val="20"/>
                <w:szCs w:val="20"/>
                <w:highlight w:val="black"/>
              </w:rPr>
              <w:t>''''''''''''''''''''''''''''''</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w:t>
            </w:r>
            <w:r w:rsidR="00D155AC">
              <w:rPr>
                <w:rFonts w:ascii="Arial Narrow" w:hAnsi="Arial Narrow" w:cs="Calibri"/>
                <w:noProof/>
                <w:color w:val="000000"/>
                <w:sz w:val="20"/>
                <w:szCs w:val="20"/>
                <w:highlight w:val="black"/>
              </w:rPr>
              <w:t>''''''''''''''''''''''''''''''''</w:t>
            </w:r>
          </w:p>
        </w:tc>
        <w:tc>
          <w:tcPr>
            <w:tcW w:w="767"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w:t>
            </w:r>
            <w:r w:rsidR="00D155AC">
              <w:rPr>
                <w:rFonts w:ascii="Arial Narrow" w:hAnsi="Arial Narrow" w:cs="Calibri"/>
                <w:noProof/>
                <w:color w:val="000000"/>
                <w:sz w:val="20"/>
                <w:szCs w:val="20"/>
                <w:highlight w:val="black"/>
              </w:rPr>
              <w:t>'''''''''''''''''''''''''''''''</w:t>
            </w:r>
          </w:p>
        </w:tc>
      </w:tr>
      <w:tr w:rsidR="002B66AB" w:rsidRPr="002B66AB" w:rsidTr="00263CDE">
        <w:tc>
          <w:tcPr>
            <w:tcW w:w="5000" w:type="pct"/>
            <w:gridSpan w:val="6"/>
            <w:shd w:val="clear" w:color="auto" w:fill="auto"/>
            <w:vAlign w:val="center"/>
          </w:tcPr>
          <w:p w:rsidR="002250CE" w:rsidRPr="002B66AB" w:rsidRDefault="002250CE" w:rsidP="002250CE">
            <w:pPr>
              <w:widowControl/>
              <w:spacing w:beforeLines="20" w:before="48" w:afterLines="20" w:after="48"/>
              <w:jc w:val="left"/>
              <w:rPr>
                <w:rFonts w:ascii="Arial Narrow" w:hAnsi="Arial Narrow" w:cs="Times New Roman"/>
                <w:bCs/>
                <w:snapToGrid/>
                <w:sz w:val="20"/>
                <w:szCs w:val="20"/>
              </w:rPr>
            </w:pPr>
            <w:r w:rsidRPr="002B66AB">
              <w:rPr>
                <w:rFonts w:ascii="Arial Narrow" w:hAnsi="Arial Narrow" w:cs="Times New Roman"/>
                <w:snapToGrid/>
                <w:sz w:val="20"/>
                <w:szCs w:val="20"/>
              </w:rPr>
              <w:t>With rebate applied</w:t>
            </w:r>
          </w:p>
        </w:tc>
      </w:tr>
      <w:tr w:rsidR="002B66AB" w:rsidRPr="002B66AB" w:rsidTr="00263CDE">
        <w:tc>
          <w:tcPr>
            <w:tcW w:w="1161" w:type="pct"/>
            <w:shd w:val="clear" w:color="auto" w:fill="auto"/>
            <w:vAlign w:val="center"/>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Times New Roman"/>
                <w:snapToGrid/>
                <w:sz w:val="20"/>
                <w:szCs w:val="20"/>
              </w:rPr>
              <w:t xml:space="preserve">With </w:t>
            </w:r>
            <w:r w:rsidR="00D155AC">
              <w:rPr>
                <w:rFonts w:ascii="Arial Narrow" w:hAnsi="Arial Narrow" w:cs="Times New Roman"/>
                <w:noProof/>
                <w:snapToGrid/>
                <w:color w:val="000000"/>
                <w:sz w:val="20"/>
                <w:szCs w:val="20"/>
                <w:highlight w:val="black"/>
              </w:rPr>
              <w:t>''''''' '''''</w:t>
            </w:r>
            <w:r w:rsidRPr="002B66AB">
              <w:rPr>
                <w:rFonts w:ascii="Arial Narrow" w:hAnsi="Arial Narrow" w:cs="Times New Roman"/>
                <w:snapToGrid/>
                <w:sz w:val="20"/>
                <w:szCs w:val="20"/>
              </w:rPr>
              <w:t>% rebate ($</w:t>
            </w:r>
            <w:r w:rsidR="00D155AC">
              <w:rPr>
                <w:rFonts w:ascii="Arial Narrow" w:hAnsi="Arial Narrow" w:cs="Times New Roman"/>
                <w:noProof/>
                <w:snapToGrid/>
                <w:color w:val="000000"/>
                <w:sz w:val="20"/>
                <w:szCs w:val="20"/>
                <w:highlight w:val="black"/>
              </w:rPr>
              <w:t>''''''''''''''''''</w:t>
            </w:r>
            <w:r w:rsidRPr="002B66AB">
              <w:rPr>
                <w:rFonts w:ascii="Arial Narrow" w:hAnsi="Arial Narrow" w:cs="Times New Roman"/>
                <w:snapToGrid/>
                <w:sz w:val="20"/>
                <w:szCs w:val="20"/>
              </w:rPr>
              <w:t xml:space="preserve"> per patient per year)</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 xml:space="preserve"> $</w:t>
            </w:r>
            <w:r w:rsidR="00D155AC">
              <w:rPr>
                <w:rFonts w:ascii="Arial Narrow" w:hAnsi="Arial Narrow" w:cs="Calibri"/>
                <w:noProof/>
                <w:color w:val="000000"/>
                <w:sz w:val="20"/>
                <w:szCs w:val="20"/>
                <w:highlight w:val="black"/>
              </w:rPr>
              <w:t>''''''''''''''''''''''''''</w:t>
            </w:r>
            <w:r w:rsidRPr="002B66AB">
              <w:rPr>
                <w:rFonts w:ascii="Arial Narrow" w:hAnsi="Arial Narrow" w:cs="Calibri"/>
                <w:sz w:val="20"/>
                <w:szCs w:val="20"/>
              </w:rPr>
              <w:t xml:space="preserve"> </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 xml:space="preserve"> $ </w:t>
            </w:r>
            <w:r w:rsidR="00D155AC">
              <w:rPr>
                <w:rFonts w:ascii="Arial Narrow" w:hAnsi="Arial Narrow" w:cs="Calibri"/>
                <w:noProof/>
                <w:color w:val="000000"/>
                <w:sz w:val="20"/>
                <w:szCs w:val="20"/>
                <w:highlight w:val="black"/>
              </w:rPr>
              <w:t>''''''''''''''''''''''''''''</w:t>
            </w:r>
            <w:r w:rsidRPr="002B66AB">
              <w:rPr>
                <w:rFonts w:ascii="Arial Narrow" w:hAnsi="Arial Narrow" w:cs="Calibri"/>
                <w:sz w:val="20"/>
                <w:szCs w:val="20"/>
              </w:rPr>
              <w:t xml:space="preserve"> </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 xml:space="preserve"> $ </w:t>
            </w:r>
            <w:r w:rsidR="00D155AC">
              <w:rPr>
                <w:rFonts w:ascii="Arial Narrow" w:hAnsi="Arial Narrow" w:cs="Calibri"/>
                <w:noProof/>
                <w:color w:val="000000"/>
                <w:sz w:val="20"/>
                <w:szCs w:val="20"/>
                <w:highlight w:val="black"/>
              </w:rPr>
              <w:t>'''''''''''''''''''''''''''''</w:t>
            </w:r>
            <w:r w:rsidRPr="002B66AB">
              <w:rPr>
                <w:rFonts w:ascii="Arial Narrow" w:hAnsi="Arial Narrow" w:cs="Calibri"/>
                <w:sz w:val="20"/>
                <w:szCs w:val="20"/>
              </w:rPr>
              <w:t xml:space="preserve"> </w:t>
            </w:r>
          </w:p>
        </w:tc>
        <w:tc>
          <w:tcPr>
            <w:tcW w:w="768"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 xml:space="preserve"> $ </w:t>
            </w:r>
            <w:r w:rsidR="00D155AC">
              <w:rPr>
                <w:rFonts w:ascii="Arial Narrow" w:hAnsi="Arial Narrow" w:cs="Calibri"/>
                <w:noProof/>
                <w:color w:val="000000"/>
                <w:sz w:val="20"/>
                <w:szCs w:val="20"/>
                <w:highlight w:val="black"/>
              </w:rPr>
              <w:t>''''''''''''''''''''''''''</w:t>
            </w:r>
            <w:r w:rsidRPr="002B66AB">
              <w:rPr>
                <w:rFonts w:ascii="Arial Narrow" w:hAnsi="Arial Narrow" w:cs="Calibri"/>
                <w:sz w:val="20"/>
                <w:szCs w:val="20"/>
              </w:rPr>
              <w:t xml:space="preserve"> </w:t>
            </w:r>
          </w:p>
        </w:tc>
        <w:tc>
          <w:tcPr>
            <w:tcW w:w="767" w:type="pct"/>
            <w:shd w:val="clear" w:color="auto" w:fill="auto"/>
            <w:vAlign w:val="bottom"/>
          </w:tcPr>
          <w:p w:rsidR="002250CE" w:rsidRPr="002B66AB" w:rsidRDefault="002250CE" w:rsidP="002250CE">
            <w:pPr>
              <w:widowControl/>
              <w:spacing w:beforeLines="20" w:before="48" w:afterLines="20" w:after="48"/>
              <w:jc w:val="left"/>
              <w:rPr>
                <w:rFonts w:ascii="Arial Narrow" w:hAnsi="Arial Narrow" w:cs="Times New Roman"/>
                <w:snapToGrid/>
                <w:sz w:val="20"/>
                <w:szCs w:val="20"/>
              </w:rPr>
            </w:pPr>
            <w:r w:rsidRPr="002B66AB">
              <w:rPr>
                <w:rFonts w:ascii="Arial Narrow" w:hAnsi="Arial Narrow" w:cs="Calibri"/>
                <w:sz w:val="20"/>
                <w:szCs w:val="20"/>
              </w:rPr>
              <w:t xml:space="preserve"> $ </w:t>
            </w:r>
            <w:r w:rsidR="00D155AC">
              <w:rPr>
                <w:rFonts w:ascii="Arial Narrow" w:hAnsi="Arial Narrow" w:cs="Calibri"/>
                <w:noProof/>
                <w:color w:val="000000"/>
                <w:sz w:val="20"/>
                <w:szCs w:val="20"/>
                <w:highlight w:val="black"/>
              </w:rPr>
              <w:t>'''''''''''''''''''''''''''</w:t>
            </w:r>
            <w:r w:rsidRPr="002B66AB">
              <w:rPr>
                <w:rFonts w:ascii="Arial Narrow" w:hAnsi="Arial Narrow" w:cs="Calibri"/>
                <w:sz w:val="20"/>
                <w:szCs w:val="20"/>
              </w:rPr>
              <w:t xml:space="preserve"> </w:t>
            </w:r>
          </w:p>
        </w:tc>
      </w:tr>
    </w:tbl>
    <w:p w:rsidR="002250CE" w:rsidRPr="005D6FFC" w:rsidRDefault="002250CE" w:rsidP="002250CE">
      <w:pPr>
        <w:widowControl/>
        <w:jc w:val="left"/>
        <w:rPr>
          <w:rFonts w:ascii="Arial Narrow" w:hAnsi="Arial Narrow" w:cs="Times New Roman"/>
          <w:snapToGrid/>
          <w:sz w:val="18"/>
          <w:szCs w:val="18"/>
          <w:lang w:eastAsia="en-AU"/>
        </w:rPr>
      </w:pPr>
      <w:r w:rsidRPr="005D6FFC">
        <w:rPr>
          <w:rFonts w:ascii="Arial Narrow" w:hAnsi="Arial Narrow" w:cs="Times New Roman"/>
          <w:snapToGrid/>
          <w:sz w:val="18"/>
          <w:szCs w:val="18"/>
          <w:lang w:eastAsia="en-AU"/>
        </w:rPr>
        <w:t xml:space="preserve">* This number includes and adjustment to all for patients initiating and discontinuing treatment throughout the year (i.e. the patient number is expressed as the number treated for a full year equivalents) </w:t>
      </w:r>
    </w:p>
    <w:p w:rsidR="002250CE" w:rsidRPr="005D6FFC" w:rsidRDefault="002250CE" w:rsidP="00C057AD">
      <w:pPr>
        <w:widowControl/>
        <w:jc w:val="left"/>
        <w:rPr>
          <w:rFonts w:ascii="Arial Narrow" w:eastAsiaTheme="minorHAnsi" w:hAnsi="Arial Narrow" w:cstheme="minorBidi"/>
          <w:snapToGrid/>
          <w:sz w:val="18"/>
          <w:szCs w:val="18"/>
          <w:lang w:eastAsia="en-AU"/>
        </w:rPr>
      </w:pPr>
      <w:r w:rsidRPr="005D6FFC">
        <w:rPr>
          <w:rFonts w:ascii="Arial Narrow" w:hAnsi="Arial Narrow" w:cs="Times New Roman"/>
          <w:snapToGrid/>
          <w:sz w:val="18"/>
          <w:szCs w:val="18"/>
          <w:lang w:eastAsia="en-AU"/>
        </w:rPr>
        <w:t>Source: Compiled by the secretariat based on submission section 4 spreadsheet with adjustments to remove patients &lt;12 years, to allow discontinuations in year 2 in line with outcomes of PROGRESS study, and with initiating patients in year 3 onwards receiving the equivalent of half of a year’s supply in the year in which they commence treatment</w:t>
      </w:r>
    </w:p>
    <w:p w:rsidR="002250CE" w:rsidRDefault="002250CE" w:rsidP="00C057AD"/>
    <w:p w:rsidR="00E54D3D" w:rsidRDefault="00E54D3D" w:rsidP="00E54D3D">
      <w:r>
        <w:t xml:space="preserve">The redacted table shows that the total estimated number of patients over 5 years was less than 10,000 and the net cost to the PBS would be more than $100 million. </w:t>
      </w:r>
    </w:p>
    <w:p w:rsidR="00E54D3D" w:rsidRPr="002B66AB" w:rsidRDefault="00E54D3D" w:rsidP="00C057AD"/>
    <w:p w:rsidR="002250CE" w:rsidRPr="002B66AB" w:rsidRDefault="002250CE" w:rsidP="00431133">
      <w:pPr>
        <w:pStyle w:val="ListParagraph"/>
        <w:numPr>
          <w:ilvl w:val="1"/>
          <w:numId w:val="45"/>
        </w:numPr>
        <w:ind w:hanging="720"/>
      </w:pPr>
      <w:r w:rsidRPr="002B66AB">
        <w:t xml:space="preserve">The PBAC noted that the sponsor </w:t>
      </w:r>
      <w:r w:rsidR="00D155AC">
        <w:rPr>
          <w:noProof/>
          <w:color w:val="000000"/>
          <w:highlight w:val="black"/>
        </w:rPr>
        <w:t>'''''''''''''''''' '''''' '''''''''''''''' ''''''''' ''''''' ''''''''''''' ''''' ''''''''''''''''''' ''''''''''''''' ''' ''''''''''''''''' '''''''' '''''''''''' '''''''''''''' ''''''''''''' ''''''''' ''''''''''''''''' ''' '''''''''''''''''''' '''''''''''' ''''''''''''''' '''''''''''' ''''''''''''''''''''''</w:t>
      </w:r>
      <w:r w:rsidRPr="0039673A">
        <w:t>. In</w:t>
      </w:r>
      <w:r w:rsidRPr="002B66AB">
        <w:t xml:space="preserve"> its pre-PBAC Response, the sponsor reiterated its willingness to be </w:t>
      </w:r>
      <w:r w:rsidR="00D155AC">
        <w:rPr>
          <w:noProof/>
          <w:color w:val="000000"/>
          <w:highlight w:val="black"/>
        </w:rPr>
        <w:t>''''''''''''''' ''''''''''''''''''' '''''' ''''''''''''''''''''''' '''' '''''' '''''''''''''' ''''''''' '''''''' ''''''''''''''''''' ''' '''''' ''''''''''''' '''''''''''''''''</w:t>
      </w:r>
      <w:r w:rsidRPr="002B66AB">
        <w:t xml:space="preserve"> (see Table 1</w:t>
      </w:r>
      <w:r w:rsidR="00DD2364">
        <w:t>6</w:t>
      </w:r>
      <w:r w:rsidRPr="002B66AB">
        <w:t>).</w:t>
      </w:r>
    </w:p>
    <w:p w:rsidR="00222E42" w:rsidRPr="00D155AC" w:rsidRDefault="00FB7D7F" w:rsidP="00222E42">
      <w:pPr>
        <w:pStyle w:val="ListParagraph"/>
        <w:numPr>
          <w:ilvl w:val="1"/>
          <w:numId w:val="45"/>
        </w:numPr>
        <w:ind w:hanging="720"/>
      </w:pPr>
      <w:r w:rsidRPr="0039673A">
        <w:t>The</w:t>
      </w:r>
      <w:r w:rsidR="002250CE" w:rsidRPr="0039673A">
        <w:t xml:space="preserve"> PBAC considered this approach</w:t>
      </w:r>
      <w:r w:rsidR="002250CE" w:rsidRPr="002B66AB">
        <w:t xml:space="preserve"> to be associated with a significant risk </w:t>
      </w:r>
      <w:r w:rsidR="00D155AC">
        <w:rPr>
          <w:noProof/>
          <w:color w:val="000000"/>
          <w:highlight w:val="black"/>
        </w:rPr>
        <w:t>'''''''' '''''' ''''''''''''''''''''''' '''''''''''' '''''''' ''' ''''''''''''' ''''''''''''''' ''''''''' '''''''''''''' ''''''' ''''''''''''' ''''''' '''''''' ''''' '''''' '''''''''''''''''' '''' '''''''' ''''''''' ''' '''''''''''''''''''''' ''''' ''''''' '''''''''''''' '''''''''''''''' ''''''''' '''''''''''' ''''''''''''''''  '''''''' '''''''''' ''''''''''''''''''''''' ''''''' '''''''''' ''''''''''' ''''''''''''''''''' ''''' '''''''''''''''''' ''' ''''''''''''''''' ''''''''''''' ''''''''''''''' '''''''''''''''''''''''''' ''''' '''''''''''''' '''''' '''''''''''''''''''''''''''' '''''' ''''''''''''''' '''''''''' ''''''' ''''' ''''''''''' ''''''''''''''''' ''''''' '''' '''''''''''''' '''''' '''''''''' '''''' ''''' '''''''''''''''''''''''''' ''''''''''' ''''''''''' ''''''''''''''''''''''''''' ''''''''''''''''' ''''''' ''''''''</w:t>
      </w:r>
    </w:p>
    <w:p w:rsidR="00F76BA0" w:rsidRPr="002B66AB" w:rsidRDefault="002250CE" w:rsidP="005C4A7A">
      <w:pPr>
        <w:pStyle w:val="Heading2"/>
        <w:spacing w:before="240" w:after="120"/>
      </w:pPr>
      <w:r w:rsidRPr="002B66AB">
        <w:t>Managed Access Program</w:t>
      </w:r>
    </w:p>
    <w:p w:rsidR="00F76BA0" w:rsidRPr="002B66AB" w:rsidRDefault="002250CE" w:rsidP="005E7B11">
      <w:pPr>
        <w:pStyle w:val="ListParagraph"/>
        <w:numPr>
          <w:ilvl w:val="1"/>
          <w:numId w:val="45"/>
        </w:numPr>
        <w:ind w:hanging="720"/>
      </w:pPr>
      <w:r w:rsidRPr="002B66AB">
        <w:t xml:space="preserve">The PBAC considered that, in the event it decides to recommend the listing of </w:t>
      </w:r>
      <w:proofErr w:type="spellStart"/>
      <w:r w:rsidRPr="002B66AB">
        <w:t>ivacaftor</w:t>
      </w:r>
      <w:proofErr w:type="spellEnd"/>
      <w:r w:rsidRPr="002B66AB">
        <w:t>/</w:t>
      </w:r>
      <w:proofErr w:type="spellStart"/>
      <w:r w:rsidRPr="002B66AB">
        <w:t>lumacaftor</w:t>
      </w:r>
      <w:proofErr w:type="spellEnd"/>
      <w:r w:rsidRPr="002B66AB">
        <w:t xml:space="preserve"> be extended to include the 6 – 11 age </w:t>
      </w:r>
      <w:proofErr w:type="gramStart"/>
      <w:r w:rsidRPr="002B66AB">
        <w:t>group</w:t>
      </w:r>
      <w:proofErr w:type="gramEnd"/>
      <w:r w:rsidRPr="002B66AB">
        <w:t>, it would like</w:t>
      </w:r>
      <w:r w:rsidR="00132559" w:rsidRPr="002B66AB">
        <w:t>ly</w:t>
      </w:r>
      <w:r w:rsidRPr="002B66AB">
        <w:t xml:space="preserve"> </w:t>
      </w:r>
      <w:r w:rsidR="00132559" w:rsidRPr="002B66AB">
        <w:t xml:space="preserve">also </w:t>
      </w:r>
      <w:r w:rsidRPr="002B66AB">
        <w:t>reco</w:t>
      </w:r>
      <w:r w:rsidR="00132559" w:rsidRPr="002B66AB">
        <w:t>mmend a</w:t>
      </w:r>
      <w:r w:rsidRPr="002B66AB">
        <w:t xml:space="preserve"> Managed Access Progr</w:t>
      </w:r>
      <w:r w:rsidR="00132559" w:rsidRPr="002B66AB">
        <w:t>a</w:t>
      </w:r>
      <w:r w:rsidRPr="002B66AB">
        <w:t>m</w:t>
      </w:r>
      <w:r w:rsidR="00132559" w:rsidRPr="002B66AB">
        <w:t xml:space="preserve"> (MAP) of the type described in the </w:t>
      </w:r>
      <w:r w:rsidR="00562AF4">
        <w:t>PSD</w:t>
      </w:r>
      <w:r w:rsidR="00132559" w:rsidRPr="002B66AB">
        <w:t xml:space="preserve"> for item 7.10</w:t>
      </w:r>
      <w:r w:rsidR="00562AF4">
        <w:t xml:space="preserve"> from July 2018</w:t>
      </w:r>
      <w:r w:rsidR="00132559" w:rsidRPr="002B66AB">
        <w:t>.</w:t>
      </w:r>
    </w:p>
    <w:p w:rsidR="005D162C" w:rsidRPr="002B66AB" w:rsidRDefault="005D162C" w:rsidP="005D162C">
      <w:pPr>
        <w:rPr>
          <w:i/>
        </w:rPr>
      </w:pPr>
      <w:r w:rsidRPr="002B66AB">
        <w:rPr>
          <w:i/>
        </w:rPr>
        <w:t>For more detail on PBAC’s view, see section 7 PBAC outcome.</w:t>
      </w:r>
    </w:p>
    <w:p w:rsidR="008874D4" w:rsidRPr="005E7B11" w:rsidRDefault="005D162C" w:rsidP="005C4A7A">
      <w:pPr>
        <w:pStyle w:val="ListParagraph"/>
        <w:widowControl/>
        <w:numPr>
          <w:ilvl w:val="0"/>
          <w:numId w:val="45"/>
        </w:numPr>
        <w:spacing w:before="240" w:after="120"/>
        <w:ind w:hanging="720"/>
        <w:jc w:val="left"/>
        <w:outlineLvl w:val="0"/>
        <w:rPr>
          <w:rFonts w:asciiTheme="minorHAnsi" w:hAnsiTheme="minorHAnsi"/>
          <w:b/>
          <w:sz w:val="32"/>
          <w:szCs w:val="32"/>
        </w:rPr>
      </w:pPr>
      <w:r w:rsidRPr="003F465C">
        <w:rPr>
          <w:rFonts w:asciiTheme="minorHAnsi" w:hAnsiTheme="minorHAnsi"/>
          <w:b/>
          <w:sz w:val="32"/>
          <w:szCs w:val="32"/>
        </w:rPr>
        <w:lastRenderedPageBreak/>
        <w:t>PBAC Outcome</w:t>
      </w:r>
    </w:p>
    <w:p w:rsidR="005B62E7" w:rsidRPr="002B66AB" w:rsidRDefault="00DC51C6" w:rsidP="00431133">
      <w:pPr>
        <w:pStyle w:val="ListParagraph"/>
        <w:numPr>
          <w:ilvl w:val="1"/>
          <w:numId w:val="45"/>
        </w:numPr>
        <w:ind w:hanging="720"/>
      </w:pPr>
      <w:r w:rsidRPr="002B66AB">
        <w:t xml:space="preserve">The PBAC deferred making a recommendation to list </w:t>
      </w:r>
      <w:proofErr w:type="spellStart"/>
      <w:r w:rsidR="00132559" w:rsidRPr="002B66AB">
        <w:t>ivacaftor</w:t>
      </w:r>
      <w:proofErr w:type="spellEnd"/>
      <w:r w:rsidR="00132559" w:rsidRPr="002B66AB">
        <w:t>/</w:t>
      </w:r>
      <w:proofErr w:type="spellStart"/>
      <w:r w:rsidR="00132559" w:rsidRPr="002B66AB">
        <w:t>lumacaftor</w:t>
      </w:r>
      <w:proofErr w:type="spellEnd"/>
      <w:r w:rsidR="00132559" w:rsidRPr="002B66AB">
        <w:t xml:space="preserve"> on the PBS for patients aged 6–11 years who are homozygous for the F508</w:t>
      </w:r>
      <w:r w:rsidR="00132559" w:rsidRPr="002B66AB">
        <w:rPr>
          <w:i/>
        </w:rPr>
        <w:t>del</w:t>
      </w:r>
      <w:r w:rsidR="00132559" w:rsidRPr="002B66AB">
        <w:t xml:space="preserve"> mutation in the CFTR gene to enable the TGA to finalise its negotiations with the sponsor with respect to the provision of long term efficacy</w:t>
      </w:r>
      <w:r w:rsidR="00BC4549">
        <w:t xml:space="preserve"> and safety data</w:t>
      </w:r>
      <w:r w:rsidR="00132559" w:rsidRPr="002B66AB">
        <w:t xml:space="preserve"> from use in the Australian Health Care setting.</w:t>
      </w:r>
    </w:p>
    <w:p w:rsidR="005B62E7" w:rsidRPr="002B66AB" w:rsidRDefault="005B62E7" w:rsidP="00431133">
      <w:pPr>
        <w:pStyle w:val="ListParagraph"/>
        <w:numPr>
          <w:ilvl w:val="1"/>
          <w:numId w:val="45"/>
        </w:numPr>
        <w:ind w:hanging="720"/>
      </w:pPr>
      <w:r w:rsidRPr="002B66AB">
        <w:t>The PBAC was reassured by the data from the</w:t>
      </w:r>
      <w:r w:rsidR="000174A2" w:rsidRPr="002B66AB">
        <w:t xml:space="preserve"> 24 week</w:t>
      </w:r>
      <w:r w:rsidRPr="002B66AB">
        <w:t xml:space="preserve"> randomised</w:t>
      </w:r>
      <w:r w:rsidR="00D97591" w:rsidRPr="002B66AB">
        <w:t>,</w:t>
      </w:r>
      <w:r w:rsidRPr="002B66AB">
        <w:t xml:space="preserve"> placebo controlled study, </w:t>
      </w:r>
      <w:r w:rsidR="00D97591" w:rsidRPr="002B66AB">
        <w:t>S</w:t>
      </w:r>
      <w:r w:rsidRPr="002B66AB">
        <w:t>tudy 109, which showed a similar improvement in ppFEV1 in the 6 – 11 year age cohort</w:t>
      </w:r>
      <w:r w:rsidR="0088734E" w:rsidRPr="002B66AB">
        <w:t xml:space="preserve"> as that observed in the 12+ year cohort</w:t>
      </w:r>
      <w:r w:rsidR="00D97591" w:rsidRPr="002B66AB">
        <w:t>,</w:t>
      </w:r>
      <w:r w:rsidRPr="002B66AB">
        <w:t xml:space="preserve"> despite th</w:t>
      </w:r>
      <w:r w:rsidR="0088734E" w:rsidRPr="002B66AB">
        <w:t>e</w:t>
      </w:r>
      <w:r w:rsidRPr="002B66AB">
        <w:t xml:space="preserve"> group having less potential to improve ppFEV1 than older patient cohorts.</w:t>
      </w:r>
    </w:p>
    <w:p w:rsidR="00BA2337" w:rsidRPr="002B66AB" w:rsidRDefault="005B62E7" w:rsidP="00431133">
      <w:pPr>
        <w:pStyle w:val="ListParagraph"/>
        <w:numPr>
          <w:ilvl w:val="1"/>
          <w:numId w:val="45"/>
        </w:numPr>
        <w:ind w:hanging="720"/>
      </w:pPr>
      <w:r w:rsidRPr="002B66AB">
        <w:t xml:space="preserve">The PBAC agreed with the rationale for commencing treatments that slow the progression of </w:t>
      </w:r>
      <w:r w:rsidR="00BA2337" w:rsidRPr="002B66AB">
        <w:t>damage early in the course of a di</w:t>
      </w:r>
      <w:r w:rsidR="000174A2" w:rsidRPr="002B66AB">
        <w:t>s</w:t>
      </w:r>
      <w:r w:rsidR="00BA2337" w:rsidRPr="002B66AB">
        <w:t>ease</w:t>
      </w:r>
      <w:r w:rsidRPr="002B66AB">
        <w:t>.</w:t>
      </w:r>
      <w:r w:rsidR="00D97591" w:rsidRPr="002B66AB">
        <w:t xml:space="preserve"> </w:t>
      </w:r>
      <w:r w:rsidRPr="002B66AB">
        <w:t>However</w:t>
      </w:r>
      <w:r w:rsidR="00BA2337" w:rsidRPr="002B66AB">
        <w:t xml:space="preserve"> the PBAC considered</w:t>
      </w:r>
      <w:r w:rsidRPr="002B66AB">
        <w:t xml:space="preserve"> the evidence that </w:t>
      </w:r>
      <w:proofErr w:type="spellStart"/>
      <w:r w:rsidRPr="002B66AB">
        <w:t>ivacaftor</w:t>
      </w:r>
      <w:proofErr w:type="spellEnd"/>
      <w:r w:rsidRPr="002B66AB">
        <w:t>/</w:t>
      </w:r>
      <w:proofErr w:type="spellStart"/>
      <w:r w:rsidRPr="002B66AB">
        <w:t>lumacaftor</w:t>
      </w:r>
      <w:proofErr w:type="spellEnd"/>
      <w:r w:rsidR="00D97591" w:rsidRPr="002B66AB">
        <w:t xml:space="preserve"> is a disease modifying treatment that</w:t>
      </w:r>
      <w:r w:rsidRPr="002B66AB">
        <w:t xml:space="preserve"> </w:t>
      </w:r>
      <w:r w:rsidR="00D97591" w:rsidRPr="002B66AB">
        <w:t xml:space="preserve">prevents </w:t>
      </w:r>
      <w:r w:rsidR="00BA2337" w:rsidRPr="002B66AB">
        <w:t>decline</w:t>
      </w:r>
      <w:r w:rsidR="00D97591" w:rsidRPr="002B66AB">
        <w:t>s</w:t>
      </w:r>
      <w:r w:rsidR="00BA2337" w:rsidRPr="002B66AB">
        <w:t xml:space="preserve"> in lung function in patients with Cystic Fibrosis in the long term and improves survival </w:t>
      </w:r>
      <w:r w:rsidR="00D97591" w:rsidRPr="002B66AB">
        <w:t>is not yet available</w:t>
      </w:r>
      <w:r w:rsidR="00BA2337" w:rsidRPr="002B66AB">
        <w:t>.</w:t>
      </w:r>
    </w:p>
    <w:p w:rsidR="00BA2337" w:rsidRPr="002B66AB" w:rsidRDefault="00BA2337" w:rsidP="00431133">
      <w:pPr>
        <w:pStyle w:val="ListParagraph"/>
        <w:numPr>
          <w:ilvl w:val="1"/>
          <w:numId w:val="45"/>
        </w:numPr>
        <w:ind w:hanging="720"/>
      </w:pPr>
      <w:r w:rsidRPr="002B66AB">
        <w:t xml:space="preserve">The PBAC considered it appropriate for the sponsor to provide further outcome data for </w:t>
      </w:r>
      <w:proofErr w:type="spellStart"/>
      <w:r w:rsidRPr="002B66AB">
        <w:t>ivacaftor</w:t>
      </w:r>
      <w:proofErr w:type="spellEnd"/>
      <w:r w:rsidRPr="002B66AB">
        <w:t>/</w:t>
      </w:r>
      <w:proofErr w:type="spellStart"/>
      <w:r w:rsidRPr="002B66AB">
        <w:t>lumacaftor</w:t>
      </w:r>
      <w:proofErr w:type="spellEnd"/>
      <w:r w:rsidRPr="002B66AB">
        <w:t xml:space="preserve"> in the 6 – 11 age </w:t>
      </w:r>
      <w:proofErr w:type="gramStart"/>
      <w:r w:rsidRPr="002B66AB">
        <w:t>group</w:t>
      </w:r>
      <w:proofErr w:type="gramEnd"/>
      <w:r w:rsidRPr="002B66AB">
        <w:t xml:space="preserve"> for the PBAC’s consideration</w:t>
      </w:r>
      <w:r w:rsidR="00101203" w:rsidRPr="002B66AB">
        <w:t>, particularly in the context of a long term treatment for young children which has the potential to cause adverse events.</w:t>
      </w:r>
      <w:r w:rsidRPr="002B66AB">
        <w:t xml:space="preserve">  </w:t>
      </w:r>
      <w:r w:rsidR="00101203" w:rsidRPr="002B66AB">
        <w:t>T</w:t>
      </w:r>
      <w:r w:rsidRPr="002B66AB">
        <w:t xml:space="preserve">he PBAC noted that a full report of the planned interim analysis of Study 110 (as referred to in </w:t>
      </w:r>
      <w:proofErr w:type="spellStart"/>
      <w:r w:rsidRPr="002B66AB">
        <w:t>Chilvers</w:t>
      </w:r>
      <w:proofErr w:type="spellEnd"/>
      <w:r w:rsidRPr="002B66AB">
        <w:t xml:space="preserve"> M, 2017) should now be available and that data for the full study period should be available in the near future.</w:t>
      </w:r>
    </w:p>
    <w:p w:rsidR="005B62E7" w:rsidRPr="002B66AB" w:rsidRDefault="005B62E7" w:rsidP="00BA2337">
      <w:pPr>
        <w:widowControl/>
        <w:contextualSpacing/>
      </w:pPr>
    </w:p>
    <w:p w:rsidR="005D162C" w:rsidRPr="002B66AB" w:rsidRDefault="005D162C" w:rsidP="005D162C">
      <w:pPr>
        <w:widowControl/>
        <w:contextualSpacing/>
        <w:rPr>
          <w:b/>
        </w:rPr>
      </w:pPr>
      <w:r w:rsidRPr="002B66AB">
        <w:rPr>
          <w:b/>
        </w:rPr>
        <w:t>Outcome:</w:t>
      </w:r>
    </w:p>
    <w:p w:rsidR="00B917E9" w:rsidRDefault="005D162C" w:rsidP="005D162C">
      <w:pPr>
        <w:widowControl/>
        <w:contextualSpacing/>
      </w:pPr>
      <w:r w:rsidRPr="002B66AB">
        <w:t>Deferred</w:t>
      </w:r>
      <w:r w:rsidR="00B917E9">
        <w:br w:type="page"/>
      </w:r>
    </w:p>
    <w:p w:rsidR="00B917E9" w:rsidRDefault="00B917E9" w:rsidP="00B917E9">
      <w:pPr>
        <w:outlineLvl w:val="0"/>
        <w:rPr>
          <w:rFonts w:eastAsia="Calibri"/>
          <w:b/>
          <w:color w:val="FF0000"/>
          <w:sz w:val="28"/>
          <w:szCs w:val="28"/>
        </w:rPr>
      </w:pPr>
      <w:r w:rsidRPr="00737D54">
        <w:rPr>
          <w:rFonts w:eastAsia="Calibri"/>
          <w:b/>
          <w:color w:val="FF0000"/>
          <w:sz w:val="28"/>
          <w:szCs w:val="28"/>
        </w:rPr>
        <w:lastRenderedPageBreak/>
        <w:t xml:space="preserve">Addendum to the </w:t>
      </w:r>
      <w:r>
        <w:rPr>
          <w:rFonts w:eastAsia="Calibri"/>
          <w:b/>
          <w:color w:val="FF0000"/>
          <w:sz w:val="28"/>
          <w:szCs w:val="28"/>
        </w:rPr>
        <w:t>July 2018</w:t>
      </w:r>
      <w:r w:rsidRPr="00737D54">
        <w:rPr>
          <w:rFonts w:eastAsia="Calibri"/>
          <w:b/>
          <w:color w:val="FF0000"/>
          <w:sz w:val="28"/>
          <w:szCs w:val="28"/>
        </w:rPr>
        <w:t xml:space="preserve"> PBAC Minutes:</w:t>
      </w:r>
    </w:p>
    <w:p w:rsidR="00B917E9" w:rsidRDefault="00B917E9" w:rsidP="00B917E9">
      <w:pPr>
        <w:rPr>
          <w:rFonts w:eastAsia="Calibri"/>
          <w:b/>
          <w:color w:val="FF0000"/>
          <w:sz w:val="28"/>
          <w:szCs w:val="28"/>
        </w:rPr>
      </w:pPr>
    </w:p>
    <w:p w:rsidR="00B917E9" w:rsidRPr="002B66AB" w:rsidRDefault="00B917E9" w:rsidP="00B917E9">
      <w:pPr>
        <w:jc w:val="left"/>
        <w:rPr>
          <w:b/>
          <w:sz w:val="36"/>
          <w:szCs w:val="36"/>
        </w:rPr>
      </w:pPr>
      <w:r w:rsidRPr="002B66AB">
        <w:rPr>
          <w:b/>
          <w:sz w:val="36"/>
          <w:szCs w:val="36"/>
        </w:rPr>
        <w:t>5.08</w:t>
      </w:r>
      <w:r w:rsidRPr="002B66AB">
        <w:rPr>
          <w:b/>
          <w:sz w:val="36"/>
          <w:szCs w:val="36"/>
        </w:rPr>
        <w:tab/>
        <w:t xml:space="preserve">LUMACAFTOR with IVACAFTOR, </w:t>
      </w:r>
    </w:p>
    <w:p w:rsidR="00B917E9" w:rsidRPr="002B66AB" w:rsidRDefault="00B917E9" w:rsidP="00B917E9">
      <w:pPr>
        <w:ind w:left="720"/>
        <w:jc w:val="left"/>
        <w:rPr>
          <w:b/>
          <w:sz w:val="36"/>
          <w:szCs w:val="36"/>
        </w:rPr>
      </w:pPr>
      <w:r w:rsidRPr="002B66AB">
        <w:rPr>
          <w:b/>
          <w:sz w:val="36"/>
          <w:szCs w:val="36"/>
        </w:rPr>
        <w:t xml:space="preserve">Tablet containing </w:t>
      </w:r>
      <w:proofErr w:type="spellStart"/>
      <w:r w:rsidRPr="002B66AB">
        <w:rPr>
          <w:b/>
          <w:sz w:val="36"/>
          <w:szCs w:val="36"/>
        </w:rPr>
        <w:t>lumacaftor</w:t>
      </w:r>
      <w:proofErr w:type="spellEnd"/>
      <w:r w:rsidRPr="002B66AB">
        <w:rPr>
          <w:b/>
          <w:sz w:val="36"/>
          <w:szCs w:val="36"/>
        </w:rPr>
        <w:t xml:space="preserve"> 100 mg with </w:t>
      </w:r>
      <w:proofErr w:type="spellStart"/>
      <w:r w:rsidRPr="002B66AB">
        <w:rPr>
          <w:b/>
          <w:sz w:val="36"/>
          <w:szCs w:val="36"/>
        </w:rPr>
        <w:t>ivacaftor</w:t>
      </w:r>
      <w:proofErr w:type="spellEnd"/>
      <w:r w:rsidRPr="002B66AB">
        <w:rPr>
          <w:b/>
          <w:sz w:val="36"/>
          <w:szCs w:val="36"/>
        </w:rPr>
        <w:t xml:space="preserve"> </w:t>
      </w:r>
      <w:r>
        <w:rPr>
          <w:b/>
          <w:sz w:val="36"/>
          <w:szCs w:val="36"/>
        </w:rPr>
        <w:br/>
      </w:r>
      <w:r w:rsidRPr="002B66AB">
        <w:rPr>
          <w:b/>
          <w:sz w:val="36"/>
          <w:szCs w:val="36"/>
        </w:rPr>
        <w:t xml:space="preserve">125 mg, </w:t>
      </w:r>
    </w:p>
    <w:p w:rsidR="00B917E9" w:rsidRPr="002B66AB" w:rsidRDefault="00B917E9" w:rsidP="00B917E9">
      <w:pPr>
        <w:ind w:firstLine="720"/>
        <w:jc w:val="left"/>
        <w:rPr>
          <w:b/>
          <w:sz w:val="36"/>
          <w:szCs w:val="36"/>
        </w:rPr>
      </w:pPr>
      <w:proofErr w:type="spellStart"/>
      <w:r w:rsidRPr="002B66AB">
        <w:rPr>
          <w:b/>
          <w:sz w:val="36"/>
          <w:szCs w:val="36"/>
        </w:rPr>
        <w:t>Orkambi</w:t>
      </w:r>
      <w:proofErr w:type="spellEnd"/>
      <w:r w:rsidRPr="002B66AB">
        <w:rPr>
          <w:b/>
          <w:sz w:val="36"/>
          <w:szCs w:val="36"/>
        </w:rPr>
        <w:t xml:space="preserve">®, </w:t>
      </w:r>
    </w:p>
    <w:p w:rsidR="00B917E9" w:rsidRPr="00D92CD4" w:rsidRDefault="00B917E9" w:rsidP="00D92CD4">
      <w:pPr>
        <w:ind w:firstLine="720"/>
        <w:rPr>
          <w:b/>
          <w:sz w:val="36"/>
          <w:szCs w:val="36"/>
        </w:rPr>
      </w:pPr>
      <w:r w:rsidRPr="002B66AB">
        <w:rPr>
          <w:b/>
          <w:sz w:val="36"/>
          <w:szCs w:val="36"/>
        </w:rPr>
        <w:t>Vertex Pharmaceuticals (Australia) Pty Ltd</w:t>
      </w:r>
    </w:p>
    <w:p w:rsidR="00F65902" w:rsidRPr="00F65902" w:rsidRDefault="00F65902" w:rsidP="00F65902">
      <w:pPr>
        <w:pStyle w:val="ListParagraph"/>
        <w:widowControl/>
        <w:numPr>
          <w:ilvl w:val="0"/>
          <w:numId w:val="45"/>
        </w:numPr>
        <w:spacing w:before="240" w:after="120"/>
        <w:ind w:hanging="720"/>
        <w:jc w:val="left"/>
        <w:outlineLvl w:val="0"/>
        <w:rPr>
          <w:rFonts w:asciiTheme="minorHAnsi" w:hAnsiTheme="minorHAnsi"/>
          <w:b/>
          <w:sz w:val="32"/>
          <w:szCs w:val="32"/>
        </w:rPr>
      </w:pPr>
      <w:r w:rsidRPr="00F65902">
        <w:rPr>
          <w:rFonts w:asciiTheme="minorHAnsi" w:hAnsiTheme="minorHAnsi"/>
          <w:b/>
          <w:sz w:val="32"/>
          <w:szCs w:val="32"/>
        </w:rPr>
        <w:t>Background</w:t>
      </w:r>
    </w:p>
    <w:p w:rsidR="00677424" w:rsidRDefault="00677424" w:rsidP="00677424">
      <w:pPr>
        <w:pStyle w:val="ListParagraph"/>
        <w:numPr>
          <w:ilvl w:val="1"/>
          <w:numId w:val="45"/>
        </w:numPr>
        <w:ind w:hanging="720"/>
      </w:pPr>
      <w:r>
        <w:t>At its July 2018 meeting, t</w:t>
      </w:r>
      <w:r w:rsidRPr="002B66AB">
        <w:t xml:space="preserve">he PBAC deferred making a recommendation to list </w:t>
      </w:r>
      <w:proofErr w:type="spellStart"/>
      <w:r>
        <w:t>lumcaftor</w:t>
      </w:r>
      <w:proofErr w:type="spellEnd"/>
      <w:r>
        <w:t>/</w:t>
      </w:r>
      <w:proofErr w:type="spellStart"/>
      <w:r>
        <w:t>ivacaftor</w:t>
      </w:r>
      <w:proofErr w:type="spellEnd"/>
      <w:r w:rsidRPr="002B66AB">
        <w:t xml:space="preserve"> on the PBS for patients </w:t>
      </w:r>
      <w:r w:rsidR="00F3274E">
        <w:t>with C</w:t>
      </w:r>
      <w:r w:rsidR="00240B98">
        <w:t xml:space="preserve">ystic </w:t>
      </w:r>
      <w:r w:rsidR="00F3274E">
        <w:t>F</w:t>
      </w:r>
      <w:r w:rsidR="00240B98">
        <w:t>ibrosis (CF)</w:t>
      </w:r>
      <w:r w:rsidR="00F3274E">
        <w:t xml:space="preserve"> </w:t>
      </w:r>
      <w:r w:rsidRPr="002B66AB">
        <w:t>aged 6–11 years who are homozygous for the F508</w:t>
      </w:r>
      <w:r w:rsidRPr="002B66AB">
        <w:rPr>
          <w:i/>
        </w:rPr>
        <w:t>del</w:t>
      </w:r>
      <w:r w:rsidRPr="002B66AB">
        <w:t xml:space="preserve"> mutation in the </w:t>
      </w:r>
      <w:r w:rsidR="006840B0" w:rsidRPr="002B66AB">
        <w:t xml:space="preserve">CF transmembrane conductance regulator </w:t>
      </w:r>
      <w:r w:rsidR="006840B0">
        <w:t>(</w:t>
      </w:r>
      <w:r w:rsidRPr="002B66AB">
        <w:t>CFTR</w:t>
      </w:r>
      <w:r w:rsidR="006840B0">
        <w:t>)</w:t>
      </w:r>
      <w:r w:rsidRPr="002B66AB">
        <w:t xml:space="preserve"> gene to enable the T</w:t>
      </w:r>
      <w:r w:rsidR="00240B98">
        <w:t xml:space="preserve">herapeutic </w:t>
      </w:r>
      <w:r w:rsidRPr="002B66AB">
        <w:t>G</w:t>
      </w:r>
      <w:r w:rsidR="00240B98">
        <w:t xml:space="preserve">oods </w:t>
      </w:r>
      <w:r w:rsidRPr="002B66AB">
        <w:t>A</w:t>
      </w:r>
      <w:r w:rsidR="00240B98">
        <w:t>dministration (TGA)</w:t>
      </w:r>
      <w:r w:rsidRPr="002B66AB">
        <w:t xml:space="preserve"> to finalise its negotiations with the sponsor with respect to the provision of long term efficacy</w:t>
      </w:r>
      <w:r>
        <w:t xml:space="preserve"> and safety data</w:t>
      </w:r>
      <w:r w:rsidRPr="002B66AB">
        <w:t xml:space="preserve"> from use in the Australian Health Care setting.</w:t>
      </w:r>
      <w:r>
        <w:t xml:space="preserve"> </w:t>
      </w:r>
    </w:p>
    <w:p w:rsidR="00F64C9F" w:rsidRDefault="00F64C9F" w:rsidP="00651407">
      <w:pPr>
        <w:spacing w:after="160"/>
        <w:rPr>
          <w:rFonts w:asciiTheme="minorHAnsi" w:eastAsiaTheme="minorHAnsi" w:hAnsiTheme="minorHAnsi" w:cstheme="minorBidi"/>
          <w:b/>
          <w:i/>
        </w:rPr>
      </w:pPr>
      <w:r>
        <w:rPr>
          <w:rFonts w:asciiTheme="minorHAnsi" w:eastAsiaTheme="minorHAnsi" w:hAnsiTheme="minorHAnsi" w:cstheme="minorBidi"/>
          <w:b/>
          <w:i/>
        </w:rPr>
        <w:t>TGA Status</w:t>
      </w:r>
    </w:p>
    <w:p w:rsidR="00677424" w:rsidRPr="00677424" w:rsidRDefault="00651407" w:rsidP="005D162C">
      <w:pPr>
        <w:pStyle w:val="ListParagraph"/>
        <w:widowControl/>
        <w:numPr>
          <w:ilvl w:val="1"/>
          <w:numId w:val="45"/>
        </w:numPr>
        <w:ind w:hanging="720"/>
        <w:contextualSpacing/>
      </w:pPr>
      <w:r>
        <w:t>S</w:t>
      </w:r>
      <w:r w:rsidR="00677424">
        <w:t xml:space="preserve">ubsequent to the July 2018 meeting, on 10 August 2018, the </w:t>
      </w:r>
      <w:r w:rsidR="00677424" w:rsidRPr="00AF6C80">
        <w:rPr>
          <w:rFonts w:asciiTheme="minorHAnsi" w:eastAsiaTheme="minorHAnsi" w:hAnsiTheme="minorHAnsi" w:cstheme="minorBidi"/>
          <w:snapToGrid/>
          <w:lang w:eastAsia="en-AU"/>
        </w:rPr>
        <w:t xml:space="preserve">TGA delegate approved </w:t>
      </w:r>
      <w:proofErr w:type="spellStart"/>
      <w:r w:rsidR="00677424" w:rsidRPr="00AF6C80">
        <w:rPr>
          <w:rFonts w:asciiTheme="minorHAnsi" w:eastAsiaTheme="minorHAnsi" w:hAnsiTheme="minorHAnsi" w:cstheme="minorBidi"/>
          <w:snapToGrid/>
          <w:lang w:eastAsia="en-AU"/>
        </w:rPr>
        <w:t>lumacaftor</w:t>
      </w:r>
      <w:proofErr w:type="spellEnd"/>
      <w:r w:rsidR="00677424" w:rsidRPr="00AF6C80">
        <w:rPr>
          <w:rFonts w:asciiTheme="minorHAnsi" w:eastAsiaTheme="minorHAnsi" w:hAnsiTheme="minorHAnsi" w:cstheme="minorBidi"/>
          <w:snapToGrid/>
          <w:lang w:eastAsia="en-AU"/>
        </w:rPr>
        <w:t>/</w:t>
      </w:r>
      <w:proofErr w:type="spellStart"/>
      <w:r w:rsidR="00677424" w:rsidRPr="00AF6C80">
        <w:rPr>
          <w:rFonts w:asciiTheme="minorHAnsi" w:eastAsiaTheme="minorHAnsi" w:hAnsiTheme="minorHAnsi" w:cstheme="minorBidi"/>
          <w:snapToGrid/>
          <w:lang w:eastAsia="en-AU"/>
        </w:rPr>
        <w:t>ivacaftor</w:t>
      </w:r>
      <w:proofErr w:type="spellEnd"/>
      <w:r w:rsidR="00677424" w:rsidRPr="00AF6C80">
        <w:rPr>
          <w:rFonts w:asciiTheme="minorHAnsi" w:eastAsiaTheme="minorHAnsi" w:hAnsiTheme="minorHAnsi" w:cstheme="minorBidi"/>
          <w:snapToGrid/>
          <w:lang w:eastAsia="en-AU"/>
        </w:rPr>
        <w:t xml:space="preserve"> for registration for use in children aged 6 – 11 years</w:t>
      </w:r>
      <w:r w:rsidR="00677424">
        <w:rPr>
          <w:rFonts w:asciiTheme="minorHAnsi" w:eastAsiaTheme="minorHAnsi" w:hAnsiTheme="minorHAnsi" w:cstheme="minorBidi"/>
          <w:snapToGrid/>
          <w:lang w:eastAsia="en-AU"/>
        </w:rPr>
        <w:t xml:space="preserve"> with the following conditions:</w:t>
      </w:r>
    </w:p>
    <w:p w:rsidR="00677424" w:rsidRPr="003375A2" w:rsidRDefault="00677424" w:rsidP="00D92CD4">
      <w:pPr>
        <w:pStyle w:val="ListParagraph"/>
        <w:numPr>
          <w:ilvl w:val="0"/>
          <w:numId w:val="48"/>
        </w:numPr>
        <w:spacing w:before="120" w:after="120"/>
        <w:ind w:left="1134" w:hanging="425"/>
        <w:contextualSpacing/>
        <w:rPr>
          <w:rFonts w:asciiTheme="minorHAnsi" w:eastAsiaTheme="minorHAnsi" w:hAnsiTheme="minorHAnsi" w:cstheme="minorBidi"/>
          <w:snapToGrid/>
          <w:lang w:eastAsia="en-AU"/>
        </w:rPr>
      </w:pPr>
      <w:r w:rsidRPr="003375A2">
        <w:rPr>
          <w:rFonts w:asciiTheme="minorHAnsi" w:eastAsiaTheme="minorHAnsi" w:hAnsiTheme="minorHAnsi" w:cstheme="minorBidi"/>
          <w:snapToGrid/>
          <w:lang w:eastAsia="en-AU"/>
        </w:rPr>
        <w:t>For the purpose of collecting post-market data, [Vertex] should encourage (where feasible) prescribers to notify the Australian CF registry when patients commence treatment with ORKAMBI so that this is entered as a descriptive factor.</w:t>
      </w:r>
    </w:p>
    <w:p w:rsidR="00677424" w:rsidRDefault="00D92CD4" w:rsidP="00D92CD4">
      <w:pPr>
        <w:pStyle w:val="ListParagraph"/>
        <w:numPr>
          <w:ilvl w:val="0"/>
          <w:numId w:val="48"/>
        </w:numPr>
        <w:spacing w:before="120" w:after="120"/>
        <w:ind w:left="1134" w:hanging="425"/>
        <w:contextualSpacing/>
        <w:rPr>
          <w:rFonts w:asciiTheme="minorHAnsi" w:eastAsiaTheme="minorHAnsi" w:hAnsiTheme="minorHAnsi" w:cstheme="minorBidi"/>
          <w:snapToGrid/>
          <w:lang w:eastAsia="en-AU"/>
        </w:rPr>
      </w:pPr>
      <w:r>
        <w:rPr>
          <w:rFonts w:asciiTheme="minorHAnsi" w:eastAsiaTheme="minorHAnsi" w:hAnsiTheme="minorHAnsi" w:cstheme="minorBidi"/>
          <w:snapToGrid/>
          <w:lang w:eastAsia="en-AU"/>
        </w:rPr>
        <w:t>[Vertex is]</w:t>
      </w:r>
      <w:r w:rsidR="00677424" w:rsidRPr="003375A2">
        <w:rPr>
          <w:rFonts w:asciiTheme="minorHAnsi" w:eastAsiaTheme="minorHAnsi" w:hAnsiTheme="minorHAnsi" w:cstheme="minorBidi"/>
          <w:snapToGrid/>
          <w:lang w:eastAsia="en-AU"/>
        </w:rPr>
        <w:t xml:space="preserve"> required to provide the TGA </w:t>
      </w:r>
      <w:r w:rsidR="00240B98">
        <w:rPr>
          <w:rFonts w:asciiTheme="minorHAnsi" w:eastAsiaTheme="minorHAnsi" w:hAnsiTheme="minorHAnsi" w:cstheme="minorBidi"/>
          <w:snapToGrid/>
          <w:lang w:eastAsia="en-AU"/>
        </w:rPr>
        <w:t xml:space="preserve">with evidence of the long term </w:t>
      </w:r>
      <w:r w:rsidR="00677424" w:rsidRPr="003375A2">
        <w:rPr>
          <w:rFonts w:asciiTheme="minorHAnsi" w:eastAsiaTheme="minorHAnsi" w:hAnsiTheme="minorHAnsi" w:cstheme="minorBidi"/>
          <w:snapToGrid/>
          <w:lang w:eastAsia="en-AU"/>
        </w:rPr>
        <w:t>efficacy and safety of ORKAMBI when initiated in patients aged 6-11 years in the form of an ongoing post market observational study. The data should include data from both Australian and International CF registries. It should include the impact of ORKAMBI on FEV</w:t>
      </w:r>
      <w:r w:rsidR="00677424" w:rsidRPr="00240B98">
        <w:rPr>
          <w:rFonts w:asciiTheme="minorHAnsi" w:eastAsiaTheme="minorHAnsi" w:hAnsiTheme="minorHAnsi" w:cstheme="minorBidi"/>
          <w:snapToGrid/>
          <w:vertAlign w:val="subscript"/>
          <w:lang w:eastAsia="en-AU"/>
        </w:rPr>
        <w:t>1</w:t>
      </w:r>
      <w:r w:rsidR="00677424" w:rsidRPr="003375A2">
        <w:rPr>
          <w:rFonts w:asciiTheme="minorHAnsi" w:eastAsiaTheme="minorHAnsi" w:hAnsiTheme="minorHAnsi" w:cstheme="minorBidi"/>
          <w:snapToGrid/>
          <w:lang w:eastAsia="en-AU"/>
        </w:rPr>
        <w:t>, rate of decline in FEV</w:t>
      </w:r>
      <w:r w:rsidR="00677424" w:rsidRPr="00240B98">
        <w:rPr>
          <w:rFonts w:asciiTheme="minorHAnsi" w:eastAsiaTheme="minorHAnsi" w:hAnsiTheme="minorHAnsi" w:cstheme="minorBidi"/>
          <w:snapToGrid/>
          <w:vertAlign w:val="subscript"/>
          <w:lang w:eastAsia="en-AU"/>
        </w:rPr>
        <w:t>1</w:t>
      </w:r>
      <w:r w:rsidR="00677424" w:rsidRPr="003375A2">
        <w:rPr>
          <w:rFonts w:asciiTheme="minorHAnsi" w:eastAsiaTheme="minorHAnsi" w:hAnsiTheme="minorHAnsi" w:cstheme="minorBidi"/>
          <w:snapToGrid/>
          <w:lang w:eastAsia="en-AU"/>
        </w:rPr>
        <w:t>, exacerbations, BMI, diabetes, time to lung transplant, mortality and if possible time off work/school, as well as safety. It should include a comparison of patients not treated with ORKAMBI, preferably controlled for age. It should also include data about safety. Reports should be provided every 5 years for the next 20 years.</w:t>
      </w:r>
    </w:p>
    <w:p w:rsidR="00651407" w:rsidRPr="00D92CD4" w:rsidRDefault="00677424" w:rsidP="00D92CD4">
      <w:pPr>
        <w:pStyle w:val="ListParagraph"/>
        <w:numPr>
          <w:ilvl w:val="0"/>
          <w:numId w:val="48"/>
        </w:numPr>
        <w:spacing w:after="120"/>
        <w:ind w:left="1134" w:hanging="425"/>
        <w:contextualSpacing/>
        <w:rPr>
          <w:rFonts w:asciiTheme="minorHAnsi" w:eastAsiaTheme="minorHAnsi" w:hAnsiTheme="minorHAnsi" w:cstheme="minorBidi"/>
          <w:snapToGrid/>
          <w:lang w:eastAsia="en-AU"/>
        </w:rPr>
      </w:pPr>
      <w:r w:rsidRPr="00677424">
        <w:rPr>
          <w:rFonts w:asciiTheme="minorHAnsi" w:eastAsiaTheme="minorHAnsi" w:hAnsiTheme="minorHAnsi" w:cstheme="minorBidi"/>
          <w:snapToGrid/>
          <w:lang w:eastAsia="en-AU"/>
        </w:rPr>
        <w:t xml:space="preserve">[Vertex] should include details of this post-market study in an updated Australian Specific Annex (ASA) to the EU Risk Management Plan (RMP) and submit it to the TGA for review </w:t>
      </w:r>
      <w:r w:rsidRPr="00677424">
        <w:t>within</w:t>
      </w:r>
      <w:r w:rsidRPr="00677424">
        <w:rPr>
          <w:rFonts w:asciiTheme="minorHAnsi" w:eastAsiaTheme="minorHAnsi" w:hAnsiTheme="minorHAnsi" w:cstheme="minorBidi"/>
          <w:snapToGrid/>
          <w:lang w:eastAsia="en-AU"/>
        </w:rPr>
        <w:t xml:space="preserve"> three months of the date of this approval </w:t>
      </w:r>
      <w:r w:rsidRPr="00677424">
        <w:t>letter.</w:t>
      </w:r>
    </w:p>
    <w:p w:rsidR="00F64C9F" w:rsidRPr="00F64C9F" w:rsidRDefault="00F3274E" w:rsidP="00651407">
      <w:pPr>
        <w:pStyle w:val="ListParagraph"/>
        <w:numPr>
          <w:ilvl w:val="1"/>
          <w:numId w:val="45"/>
        </w:numPr>
        <w:spacing w:before="160"/>
        <w:ind w:hanging="720"/>
      </w:pPr>
      <w:r>
        <w:rPr>
          <w:rFonts w:asciiTheme="minorHAnsi" w:hAnsiTheme="minorHAnsi" w:cstheme="minorHAnsi"/>
          <w:color w:val="000000"/>
          <w:szCs w:val="24"/>
        </w:rPr>
        <w:t xml:space="preserve">Following the resolution of the TGA registration, the PBAC was requested by the Minister’s delegate to reconsider the </w:t>
      </w:r>
      <w:r w:rsidRPr="00E81C71">
        <w:rPr>
          <w:rFonts w:asciiTheme="minorHAnsi" w:eastAsiaTheme="minorHAnsi" w:hAnsiTheme="minorHAnsi" w:cstheme="minorHAnsi"/>
          <w:snapToGrid/>
          <w:szCs w:val="24"/>
          <w:lang w:eastAsia="en-AU"/>
        </w:rPr>
        <w:t xml:space="preserve">listing of </w:t>
      </w:r>
      <w:proofErr w:type="spellStart"/>
      <w:r>
        <w:rPr>
          <w:rFonts w:asciiTheme="minorHAnsi" w:eastAsiaTheme="minorHAnsi" w:hAnsiTheme="minorHAnsi" w:cstheme="minorHAnsi"/>
          <w:snapToGrid/>
          <w:szCs w:val="24"/>
          <w:lang w:eastAsia="en-AU"/>
        </w:rPr>
        <w:t>lumacaftor</w:t>
      </w:r>
      <w:proofErr w:type="spellEnd"/>
      <w:r>
        <w:rPr>
          <w:rFonts w:asciiTheme="minorHAnsi" w:eastAsiaTheme="minorHAnsi" w:hAnsiTheme="minorHAnsi" w:cstheme="minorHAnsi"/>
          <w:snapToGrid/>
          <w:szCs w:val="24"/>
          <w:lang w:eastAsia="en-AU"/>
        </w:rPr>
        <w:t>/</w:t>
      </w:r>
      <w:proofErr w:type="spellStart"/>
      <w:r>
        <w:rPr>
          <w:rFonts w:asciiTheme="minorHAnsi" w:eastAsiaTheme="minorHAnsi" w:hAnsiTheme="minorHAnsi" w:cstheme="minorHAnsi"/>
          <w:snapToGrid/>
          <w:szCs w:val="24"/>
          <w:lang w:eastAsia="en-AU"/>
        </w:rPr>
        <w:t>ivacaftor</w:t>
      </w:r>
      <w:proofErr w:type="spellEnd"/>
      <w:r w:rsidRPr="00E81C71">
        <w:rPr>
          <w:rFonts w:asciiTheme="minorHAnsi" w:eastAsiaTheme="minorHAnsi" w:hAnsiTheme="minorHAnsi" w:cstheme="minorHAnsi"/>
          <w:snapToGrid/>
          <w:szCs w:val="24"/>
          <w:lang w:eastAsia="en-AU"/>
        </w:rPr>
        <w:t xml:space="preserve"> for the treatment of patients with cystic fibrosis (CF) aged 6–11 years</w:t>
      </w:r>
      <w:r>
        <w:rPr>
          <w:rFonts w:asciiTheme="minorHAnsi" w:eastAsiaTheme="minorHAnsi" w:hAnsiTheme="minorHAnsi" w:cstheme="minorHAnsi"/>
          <w:snapToGrid/>
          <w:szCs w:val="24"/>
          <w:lang w:eastAsia="en-AU"/>
        </w:rPr>
        <w:t xml:space="preserve">. </w:t>
      </w:r>
    </w:p>
    <w:p w:rsidR="00F64C9F" w:rsidRPr="003375A2" w:rsidRDefault="00F64C9F" w:rsidP="00F64C9F">
      <w:pPr>
        <w:spacing w:before="120" w:after="160"/>
        <w:rPr>
          <w:rFonts w:asciiTheme="minorHAnsi" w:eastAsiaTheme="minorHAnsi" w:hAnsiTheme="minorHAnsi" w:cstheme="minorBidi"/>
          <w:b/>
          <w:i/>
        </w:rPr>
      </w:pPr>
      <w:r w:rsidRPr="003375A2">
        <w:rPr>
          <w:rFonts w:asciiTheme="minorHAnsi" w:eastAsiaTheme="minorHAnsi" w:hAnsiTheme="minorHAnsi" w:cstheme="minorBidi"/>
          <w:b/>
          <w:i/>
        </w:rPr>
        <w:lastRenderedPageBreak/>
        <w:t>Estimated PBS usage and financial implications</w:t>
      </w:r>
    </w:p>
    <w:p w:rsidR="00F64C9F" w:rsidRPr="00F64C9F" w:rsidRDefault="00F64C9F" w:rsidP="00F64C9F">
      <w:pPr>
        <w:pStyle w:val="ListParagraph"/>
        <w:numPr>
          <w:ilvl w:val="1"/>
          <w:numId w:val="45"/>
        </w:numPr>
        <w:ind w:hanging="720"/>
        <w:rPr>
          <w:rFonts w:asciiTheme="minorHAnsi" w:hAnsiTheme="minorHAnsi" w:cstheme="minorHAnsi"/>
          <w:color w:val="000000"/>
          <w:szCs w:val="24"/>
        </w:rPr>
      </w:pPr>
      <w:r w:rsidRPr="00F64C9F">
        <w:rPr>
          <w:rFonts w:asciiTheme="minorHAnsi" w:hAnsiTheme="minorHAnsi" w:cstheme="minorHAnsi"/>
          <w:color w:val="000000"/>
          <w:szCs w:val="24"/>
        </w:rPr>
        <w:t>The estimated financial impact of extending the listing to include the 6 – 11 year age group was estimated in July 2018 as follows:</w:t>
      </w:r>
    </w:p>
    <w:p w:rsidR="00F64C9F" w:rsidRPr="003375A2" w:rsidRDefault="00F64C9F" w:rsidP="00F64C9F">
      <w:pPr>
        <w:spacing w:before="120"/>
        <w:rPr>
          <w:rFonts w:ascii="Arial Narrow" w:eastAsiaTheme="minorHAnsi" w:hAnsi="Arial Narrow" w:cstheme="minorBidi"/>
          <w:b/>
          <w:sz w:val="20"/>
          <w:szCs w:val="20"/>
        </w:rPr>
      </w:pPr>
      <w:r>
        <w:rPr>
          <w:rFonts w:ascii="Arial Narrow" w:eastAsiaTheme="minorHAnsi" w:hAnsi="Arial Narrow" w:cstheme="minorBidi"/>
          <w:b/>
          <w:sz w:val="20"/>
          <w:szCs w:val="20"/>
        </w:rPr>
        <w:t>Table 1</w:t>
      </w:r>
      <w:r w:rsidR="00E700F7">
        <w:rPr>
          <w:rFonts w:ascii="Arial Narrow" w:eastAsiaTheme="minorHAnsi" w:hAnsi="Arial Narrow" w:cstheme="minorBidi"/>
          <w:b/>
          <w:sz w:val="20"/>
          <w:szCs w:val="20"/>
        </w:rPr>
        <w:t>8</w:t>
      </w:r>
      <w:r w:rsidRPr="003375A2">
        <w:rPr>
          <w:rFonts w:ascii="Arial Narrow" w:eastAsiaTheme="minorHAnsi" w:hAnsi="Arial Narrow" w:cstheme="minorBidi"/>
          <w:b/>
          <w:sz w:val="20"/>
          <w:szCs w:val="20"/>
        </w:rPr>
        <w:t>: Estimated use and financial implications, patients aged 6 years and older at $</w:t>
      </w:r>
      <w:r w:rsidR="00D155AC">
        <w:rPr>
          <w:rFonts w:ascii="Arial Narrow" w:eastAsiaTheme="minorHAnsi" w:hAnsi="Arial Narrow" w:cstheme="minorBidi"/>
          <w:b/>
          <w:noProof/>
          <w:color w:val="000000"/>
          <w:sz w:val="20"/>
          <w:szCs w:val="20"/>
          <w:highlight w:val="black"/>
        </w:rPr>
        <w:t>''''''''''''''</w:t>
      </w:r>
      <w:r w:rsidRPr="003375A2">
        <w:rPr>
          <w:rFonts w:ascii="Arial Narrow" w:eastAsiaTheme="minorHAnsi" w:hAnsi="Arial Narrow" w:cstheme="minorBidi"/>
          <w:b/>
          <w:sz w:val="20"/>
          <w:szCs w:val="20"/>
        </w:rPr>
        <w:t xml:space="preserve"> per patient per year</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3"/>
        <w:gridCol w:w="1391"/>
        <w:gridCol w:w="1391"/>
        <w:gridCol w:w="1391"/>
        <w:gridCol w:w="1391"/>
        <w:gridCol w:w="1389"/>
      </w:tblGrid>
      <w:tr w:rsidR="00F64C9F" w:rsidRPr="000A3E15" w:rsidTr="00A93DA9">
        <w:trPr>
          <w:tblHeader/>
        </w:trPr>
        <w:tc>
          <w:tcPr>
            <w:tcW w:w="1161" w:type="pct"/>
            <w:shd w:val="clear" w:color="auto" w:fill="auto"/>
            <w:vAlign w:val="center"/>
          </w:tcPr>
          <w:p w:rsidR="00F64C9F" w:rsidRPr="000A3E15" w:rsidRDefault="00F64C9F" w:rsidP="00A93DA9">
            <w:pPr>
              <w:pStyle w:val="ListParagraph"/>
              <w:spacing w:before="120"/>
              <w:rPr>
                <w:rFonts w:ascii="Arial Narrow" w:eastAsiaTheme="minorHAnsi" w:hAnsi="Arial Narrow" w:cstheme="minorBidi"/>
                <w:snapToGrid/>
                <w:sz w:val="20"/>
                <w:lang w:eastAsia="en-AU"/>
              </w:rPr>
            </w:pP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Year 1</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Year 2</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Year 3</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Year 4</w:t>
            </w:r>
          </w:p>
        </w:tc>
        <w:tc>
          <w:tcPr>
            <w:tcW w:w="767"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Year 5</w:t>
            </w:r>
          </w:p>
        </w:tc>
      </w:tr>
      <w:tr w:rsidR="00F64C9F" w:rsidRPr="000A3E15" w:rsidTr="00A93DA9">
        <w:tc>
          <w:tcPr>
            <w:tcW w:w="1161" w:type="pct"/>
            <w:shd w:val="clear" w:color="auto" w:fill="auto"/>
            <w:vAlign w:val="center"/>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Number of patients treated*</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7"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r>
      <w:tr w:rsidR="00F64C9F" w:rsidRPr="000A3E15" w:rsidTr="00A93DA9">
        <w:tc>
          <w:tcPr>
            <w:tcW w:w="1161" w:type="pct"/>
            <w:shd w:val="clear" w:color="auto" w:fill="auto"/>
            <w:vAlign w:val="center"/>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Number of scripts dispensed</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c>
          <w:tcPr>
            <w:tcW w:w="767" w:type="pct"/>
            <w:shd w:val="clear" w:color="auto" w:fill="auto"/>
            <w:vAlign w:val="bottom"/>
          </w:tcPr>
          <w:p w:rsidR="00F64C9F" w:rsidRPr="00D155AC" w:rsidRDefault="00D155AC" w:rsidP="00A93DA9">
            <w:pPr>
              <w:rPr>
                <w:rFonts w:ascii="Arial Narrow" w:eastAsiaTheme="minorHAnsi" w:hAnsi="Arial Narrow" w:cstheme="minorBidi"/>
                <w:sz w:val="20"/>
                <w:highlight w:val="black"/>
              </w:rPr>
            </w:pPr>
            <w:r>
              <w:rPr>
                <w:rFonts w:ascii="Arial Narrow" w:eastAsiaTheme="minorHAnsi" w:hAnsi="Arial Narrow" w:cstheme="minorBidi"/>
                <w:noProof/>
                <w:color w:val="000000"/>
                <w:sz w:val="20"/>
                <w:highlight w:val="black"/>
              </w:rPr>
              <w:t>''''''''''''''''</w:t>
            </w:r>
          </w:p>
        </w:tc>
      </w:tr>
      <w:tr w:rsidR="00F64C9F" w:rsidRPr="000A3E15" w:rsidTr="00A93DA9">
        <w:tc>
          <w:tcPr>
            <w:tcW w:w="1161" w:type="pct"/>
            <w:shd w:val="clear" w:color="auto" w:fill="auto"/>
            <w:vAlign w:val="center"/>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Gross cost to PBS/RPBS</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p>
        </w:tc>
        <w:tc>
          <w:tcPr>
            <w:tcW w:w="767"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p>
        </w:tc>
      </w:tr>
      <w:tr w:rsidR="00F64C9F" w:rsidRPr="000A3E15" w:rsidTr="00A93DA9">
        <w:tc>
          <w:tcPr>
            <w:tcW w:w="5000" w:type="pct"/>
            <w:gridSpan w:val="6"/>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With rebate applied</w:t>
            </w:r>
          </w:p>
        </w:tc>
      </w:tr>
      <w:tr w:rsidR="00F64C9F" w:rsidRPr="000A3E15" w:rsidTr="00A93DA9">
        <w:tc>
          <w:tcPr>
            <w:tcW w:w="1161" w:type="pct"/>
            <w:shd w:val="clear" w:color="auto" w:fill="auto"/>
            <w:vAlign w:val="center"/>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 xml:space="preserve">With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rebate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per patient per year)</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 xml:space="preserve">$ </w:t>
            </w:r>
            <w:r w:rsidR="00D155AC">
              <w:rPr>
                <w:rFonts w:ascii="Arial Narrow" w:eastAsiaTheme="minorHAnsi" w:hAnsi="Arial Narrow" w:cstheme="minorBidi"/>
                <w:noProof/>
                <w:color w:val="000000"/>
                <w:sz w:val="20"/>
                <w:highlight w:val="black"/>
              </w:rPr>
              <w:t>'''''''''''''''''''''''''''''</w:t>
            </w:r>
            <w:r w:rsidRPr="003375A2">
              <w:rPr>
                <w:rFonts w:ascii="Arial Narrow" w:eastAsiaTheme="minorHAnsi" w:hAnsi="Arial Narrow" w:cstheme="minorBidi"/>
                <w:sz w:val="20"/>
              </w:rPr>
              <w:t xml:space="preserve"> </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 xml:space="preserve">$ </w:t>
            </w:r>
            <w:r w:rsidR="00D155AC">
              <w:rPr>
                <w:rFonts w:ascii="Arial Narrow" w:eastAsiaTheme="minorHAnsi" w:hAnsi="Arial Narrow" w:cstheme="minorBidi"/>
                <w:noProof/>
                <w:color w:val="000000"/>
                <w:sz w:val="20"/>
                <w:highlight w:val="black"/>
              </w:rPr>
              <w:t>'''''''''''''''''''''''''</w:t>
            </w:r>
            <w:r w:rsidRPr="003375A2">
              <w:rPr>
                <w:rFonts w:ascii="Arial Narrow" w:eastAsiaTheme="minorHAnsi" w:hAnsi="Arial Narrow" w:cstheme="minorBidi"/>
                <w:sz w:val="20"/>
              </w:rPr>
              <w:t xml:space="preserve"> </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 xml:space="preserve">$ </w:t>
            </w:r>
            <w:r w:rsidR="00D155AC">
              <w:rPr>
                <w:rFonts w:ascii="Arial Narrow" w:eastAsiaTheme="minorHAnsi" w:hAnsi="Arial Narrow" w:cstheme="minorBidi"/>
                <w:noProof/>
                <w:color w:val="000000"/>
                <w:sz w:val="20"/>
                <w:highlight w:val="black"/>
              </w:rPr>
              <w:t>''''''''''''''''''''''''''</w:t>
            </w:r>
            <w:r w:rsidRPr="003375A2">
              <w:rPr>
                <w:rFonts w:ascii="Arial Narrow" w:eastAsiaTheme="minorHAnsi" w:hAnsi="Arial Narrow" w:cstheme="minorBidi"/>
                <w:sz w:val="20"/>
              </w:rPr>
              <w:t xml:space="preserve"> </w:t>
            </w:r>
          </w:p>
        </w:tc>
        <w:tc>
          <w:tcPr>
            <w:tcW w:w="767" w:type="pct"/>
            <w:shd w:val="clear" w:color="auto" w:fill="auto"/>
            <w:vAlign w:val="bottom"/>
          </w:tcPr>
          <w:p w:rsidR="00F64C9F" w:rsidRPr="003375A2" w:rsidRDefault="00F64C9F" w:rsidP="00A93DA9">
            <w:pPr>
              <w:rPr>
                <w:rFonts w:ascii="Arial Narrow" w:eastAsiaTheme="minorHAnsi" w:hAnsi="Arial Narrow" w:cstheme="minorBidi"/>
                <w:sz w:val="20"/>
              </w:rPr>
            </w:pPr>
            <w:r w:rsidRPr="003375A2">
              <w:rPr>
                <w:rFonts w:ascii="Arial Narrow" w:eastAsiaTheme="minorHAnsi" w:hAnsi="Arial Narrow" w:cstheme="minorBidi"/>
                <w:sz w:val="20"/>
              </w:rPr>
              <w:t xml:space="preserve">$ </w:t>
            </w:r>
            <w:r w:rsidR="00D155AC">
              <w:rPr>
                <w:rFonts w:ascii="Arial Narrow" w:eastAsiaTheme="minorHAnsi" w:hAnsi="Arial Narrow" w:cstheme="minorBidi"/>
                <w:noProof/>
                <w:color w:val="000000"/>
                <w:sz w:val="20"/>
                <w:highlight w:val="black"/>
              </w:rPr>
              <w:t>''''''''''''''''''''''''''''</w:t>
            </w:r>
            <w:r w:rsidRPr="003375A2">
              <w:rPr>
                <w:rFonts w:ascii="Arial Narrow" w:eastAsiaTheme="minorHAnsi" w:hAnsi="Arial Narrow" w:cstheme="minorBidi"/>
                <w:sz w:val="20"/>
              </w:rPr>
              <w:t xml:space="preserve"> </w:t>
            </w:r>
          </w:p>
        </w:tc>
      </w:tr>
      <w:tr w:rsidR="00F64C9F" w:rsidRPr="003375A2" w:rsidTr="00A93DA9">
        <w:tc>
          <w:tcPr>
            <w:tcW w:w="1161" w:type="pct"/>
            <w:shd w:val="clear" w:color="auto" w:fill="auto"/>
            <w:vAlign w:val="center"/>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 xml:space="preserve">Cost for 12+ group with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rebate applied</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767"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r>
      <w:tr w:rsidR="00F64C9F" w:rsidRPr="003375A2" w:rsidTr="00A93DA9">
        <w:tc>
          <w:tcPr>
            <w:tcW w:w="1161" w:type="pct"/>
            <w:shd w:val="clear" w:color="auto" w:fill="auto"/>
            <w:vAlign w:val="center"/>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Additional cost for 6 – 11 year group</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c>
          <w:tcPr>
            <w:tcW w:w="768"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c>
          <w:tcPr>
            <w:tcW w:w="767" w:type="pct"/>
            <w:shd w:val="clear" w:color="auto" w:fill="auto"/>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r>
    </w:tbl>
    <w:p w:rsidR="00F64C9F" w:rsidRPr="003375A2" w:rsidRDefault="00F64C9F" w:rsidP="00F64C9F">
      <w:pPr>
        <w:pStyle w:val="ListParagraph"/>
        <w:ind w:hanging="720"/>
        <w:rPr>
          <w:rFonts w:ascii="Arial Narrow" w:eastAsiaTheme="minorHAnsi" w:hAnsi="Arial Narrow" w:cstheme="minorBidi"/>
          <w:snapToGrid/>
          <w:sz w:val="20"/>
          <w:lang w:eastAsia="en-AU"/>
        </w:rPr>
      </w:pPr>
      <w:r w:rsidRPr="003375A2">
        <w:rPr>
          <w:rFonts w:ascii="Arial Narrow" w:eastAsiaTheme="minorHAnsi" w:hAnsi="Arial Narrow" w:cstheme="minorBidi"/>
          <w:snapToGrid/>
          <w:sz w:val="20"/>
          <w:lang w:eastAsia="en-AU"/>
        </w:rPr>
        <w:t xml:space="preserve">Source: Table 17, PBAC </w:t>
      </w:r>
      <w:r w:rsidR="00E83A30">
        <w:rPr>
          <w:rFonts w:ascii="Arial Narrow" w:eastAsiaTheme="minorHAnsi" w:hAnsi="Arial Narrow" w:cstheme="minorBidi"/>
          <w:snapToGrid/>
          <w:sz w:val="20"/>
          <w:lang w:eastAsia="en-AU"/>
        </w:rPr>
        <w:t>PSD</w:t>
      </w:r>
      <w:r w:rsidRPr="003375A2">
        <w:rPr>
          <w:rFonts w:ascii="Arial Narrow" w:eastAsiaTheme="minorHAnsi" w:hAnsi="Arial Narrow" w:cstheme="minorBidi"/>
          <w:snapToGrid/>
          <w:sz w:val="20"/>
          <w:lang w:eastAsia="en-AU"/>
        </w:rPr>
        <w:t xml:space="preserve"> item 5.08 July 2018 &amp; Table 17, PBAC </w:t>
      </w:r>
      <w:r w:rsidR="00E83A30">
        <w:rPr>
          <w:rFonts w:ascii="Arial Narrow" w:eastAsiaTheme="minorHAnsi" w:hAnsi="Arial Narrow" w:cstheme="minorBidi"/>
          <w:snapToGrid/>
          <w:sz w:val="20"/>
          <w:lang w:eastAsia="en-AU"/>
        </w:rPr>
        <w:t xml:space="preserve">PSD </w:t>
      </w:r>
      <w:r w:rsidRPr="003375A2">
        <w:rPr>
          <w:rFonts w:ascii="Arial Narrow" w:eastAsiaTheme="minorHAnsi" w:hAnsi="Arial Narrow" w:cstheme="minorBidi"/>
          <w:snapToGrid/>
          <w:sz w:val="20"/>
          <w:lang w:eastAsia="en-AU"/>
        </w:rPr>
        <w:t>item 7.10 July 2018</w:t>
      </w:r>
    </w:p>
    <w:p w:rsidR="005B7E06" w:rsidRDefault="005B7E06" w:rsidP="005B7E06">
      <w:r>
        <w:t xml:space="preserve">The redacted table shows that the total estimated number of patients over 5 years was less than 10,000 and the net cost to the PBS would be more than $100 million. </w:t>
      </w:r>
    </w:p>
    <w:p w:rsidR="005B7E06" w:rsidRPr="005B7E06" w:rsidRDefault="005B7E06" w:rsidP="005B7E06"/>
    <w:p w:rsidR="00F64C9F" w:rsidRPr="003375A2" w:rsidRDefault="00F64C9F" w:rsidP="00F64C9F">
      <w:pPr>
        <w:spacing w:before="120" w:after="160"/>
        <w:rPr>
          <w:rFonts w:asciiTheme="minorHAnsi" w:eastAsiaTheme="minorHAnsi" w:hAnsiTheme="minorHAnsi" w:cstheme="minorBidi"/>
          <w:b/>
          <w:i/>
        </w:rPr>
      </w:pPr>
      <w:r w:rsidRPr="003375A2">
        <w:rPr>
          <w:rFonts w:asciiTheme="minorHAnsi" w:eastAsiaTheme="minorHAnsi" w:hAnsiTheme="minorHAnsi" w:cstheme="minorBidi"/>
          <w:b/>
          <w:i/>
        </w:rPr>
        <w:t>Managed Access Program and risk share arrangements</w:t>
      </w:r>
    </w:p>
    <w:p w:rsidR="00F64C9F" w:rsidRPr="00F64C9F" w:rsidRDefault="00F64C9F" w:rsidP="00F64C9F">
      <w:pPr>
        <w:pStyle w:val="ListParagraph"/>
        <w:numPr>
          <w:ilvl w:val="1"/>
          <w:numId w:val="45"/>
        </w:numPr>
        <w:ind w:hanging="720"/>
        <w:rPr>
          <w:rFonts w:asciiTheme="minorHAnsi" w:hAnsiTheme="minorHAnsi" w:cstheme="minorHAnsi"/>
          <w:color w:val="000000"/>
          <w:szCs w:val="24"/>
        </w:rPr>
      </w:pPr>
      <w:r w:rsidRPr="00F64C9F">
        <w:rPr>
          <w:rFonts w:asciiTheme="minorHAnsi" w:hAnsiTheme="minorHAnsi" w:cstheme="minorHAnsi"/>
          <w:color w:val="000000"/>
          <w:szCs w:val="24"/>
        </w:rPr>
        <w:t xml:space="preserve">In July 2018, the PBAC considered that, in the event it decides to recommend the listing of </w:t>
      </w:r>
      <w:proofErr w:type="spellStart"/>
      <w:r w:rsidRPr="00F64C9F">
        <w:rPr>
          <w:rFonts w:asciiTheme="minorHAnsi" w:hAnsiTheme="minorHAnsi" w:cstheme="minorHAnsi"/>
          <w:color w:val="000000"/>
          <w:szCs w:val="24"/>
        </w:rPr>
        <w:t>ivacaftor</w:t>
      </w:r>
      <w:proofErr w:type="spellEnd"/>
      <w:r w:rsidRPr="00F64C9F">
        <w:rPr>
          <w:rFonts w:asciiTheme="minorHAnsi" w:hAnsiTheme="minorHAnsi" w:cstheme="minorHAnsi"/>
          <w:color w:val="000000"/>
          <w:szCs w:val="24"/>
        </w:rPr>
        <w:t>/</w:t>
      </w:r>
      <w:proofErr w:type="spellStart"/>
      <w:r w:rsidRPr="00F64C9F">
        <w:rPr>
          <w:rFonts w:asciiTheme="minorHAnsi" w:hAnsiTheme="minorHAnsi" w:cstheme="minorHAnsi"/>
          <w:color w:val="000000"/>
          <w:szCs w:val="24"/>
        </w:rPr>
        <w:t>lumacaftor</w:t>
      </w:r>
      <w:proofErr w:type="spellEnd"/>
      <w:r w:rsidRPr="00F64C9F">
        <w:rPr>
          <w:rFonts w:asciiTheme="minorHAnsi" w:hAnsiTheme="minorHAnsi" w:cstheme="minorHAnsi"/>
          <w:color w:val="000000"/>
          <w:szCs w:val="24"/>
        </w:rPr>
        <w:t xml:space="preserve"> be extended to include the 6 – 11 age group, it would likely also recommend a Managed Access Program (MAP) of the type described in the </w:t>
      </w:r>
      <w:r w:rsidR="00E83A30">
        <w:rPr>
          <w:rFonts w:asciiTheme="minorHAnsi" w:hAnsiTheme="minorHAnsi" w:cstheme="minorHAnsi"/>
          <w:color w:val="000000"/>
          <w:szCs w:val="24"/>
        </w:rPr>
        <w:t>PSD</w:t>
      </w:r>
      <w:r w:rsidRPr="00F64C9F">
        <w:rPr>
          <w:rFonts w:asciiTheme="minorHAnsi" w:hAnsiTheme="minorHAnsi" w:cstheme="minorHAnsi"/>
          <w:color w:val="000000"/>
          <w:szCs w:val="24"/>
        </w:rPr>
        <w:t xml:space="preserve"> for item 7.10 (paragraph 6.60 </w:t>
      </w:r>
      <w:r w:rsidR="00651407">
        <w:rPr>
          <w:rFonts w:asciiTheme="minorHAnsi" w:hAnsiTheme="minorHAnsi" w:cstheme="minorHAnsi"/>
          <w:color w:val="000000"/>
          <w:szCs w:val="24"/>
        </w:rPr>
        <w:t>above</w:t>
      </w:r>
      <w:r w:rsidRPr="00F64C9F">
        <w:rPr>
          <w:rFonts w:asciiTheme="minorHAnsi" w:hAnsiTheme="minorHAnsi" w:cstheme="minorHAnsi"/>
          <w:color w:val="000000"/>
          <w:szCs w:val="24"/>
        </w:rPr>
        <w:t>)</w:t>
      </w:r>
    </w:p>
    <w:p w:rsidR="00F64C9F" w:rsidRPr="00F64C9F" w:rsidRDefault="00F64C9F" w:rsidP="00F64C9F">
      <w:pPr>
        <w:pStyle w:val="ListParagraph"/>
        <w:numPr>
          <w:ilvl w:val="1"/>
          <w:numId w:val="45"/>
        </w:numPr>
        <w:ind w:hanging="720"/>
        <w:rPr>
          <w:rFonts w:asciiTheme="minorHAnsi" w:hAnsiTheme="minorHAnsi" w:cstheme="minorHAnsi"/>
          <w:color w:val="000000"/>
          <w:szCs w:val="24"/>
        </w:rPr>
      </w:pPr>
      <w:r w:rsidRPr="00F64C9F">
        <w:rPr>
          <w:rFonts w:asciiTheme="minorHAnsi" w:hAnsiTheme="minorHAnsi" w:cstheme="minorHAnsi"/>
          <w:color w:val="000000"/>
          <w:szCs w:val="24"/>
        </w:rPr>
        <w:t xml:space="preserve">In July 2018, the PBAC considered that a MAP for </w:t>
      </w:r>
      <w:proofErr w:type="spellStart"/>
      <w:r w:rsidRPr="00F64C9F">
        <w:rPr>
          <w:rFonts w:asciiTheme="minorHAnsi" w:hAnsiTheme="minorHAnsi" w:cstheme="minorHAnsi"/>
          <w:color w:val="000000"/>
          <w:szCs w:val="24"/>
        </w:rPr>
        <w:t>lumacaftor</w:t>
      </w:r>
      <w:proofErr w:type="spellEnd"/>
      <w:r w:rsidRPr="00F64C9F">
        <w:rPr>
          <w:rFonts w:asciiTheme="minorHAnsi" w:hAnsiTheme="minorHAnsi" w:cstheme="minorHAnsi"/>
          <w:color w:val="000000"/>
          <w:szCs w:val="24"/>
        </w:rPr>
        <w:t>/</w:t>
      </w:r>
      <w:proofErr w:type="spellStart"/>
      <w:r w:rsidRPr="00F64C9F">
        <w:rPr>
          <w:rFonts w:asciiTheme="minorHAnsi" w:hAnsiTheme="minorHAnsi" w:cstheme="minorHAnsi"/>
          <w:color w:val="000000"/>
          <w:szCs w:val="24"/>
        </w:rPr>
        <w:t>ivacaftor</w:t>
      </w:r>
      <w:proofErr w:type="spellEnd"/>
      <w:r w:rsidRPr="00F64C9F">
        <w:rPr>
          <w:rFonts w:asciiTheme="minorHAnsi" w:hAnsiTheme="minorHAnsi" w:cstheme="minorHAnsi"/>
          <w:color w:val="000000"/>
          <w:szCs w:val="24"/>
        </w:rPr>
        <w:t xml:space="preserve"> would allow patients </w:t>
      </w:r>
      <w:r>
        <w:rPr>
          <w:rFonts w:asciiTheme="minorHAnsi" w:hAnsiTheme="minorHAnsi" w:cstheme="minorHAnsi"/>
          <w:color w:val="000000"/>
          <w:szCs w:val="24"/>
        </w:rPr>
        <w:t>in the 12 years and older age</w:t>
      </w:r>
      <w:r w:rsidRPr="00F64C9F">
        <w:rPr>
          <w:rFonts w:asciiTheme="minorHAnsi" w:hAnsiTheme="minorHAnsi" w:cstheme="minorHAnsi"/>
          <w:color w:val="000000"/>
          <w:szCs w:val="24"/>
        </w:rPr>
        <w:t xml:space="preserve"> group to access treatment through the PBS whilst providing the sponsor with an extended period to provide further data to satisfy the PBAC that the benefits of treatment are sustained over a longer period (paragraphs 6.73 – 6.79 of the July 2018 PBAC </w:t>
      </w:r>
      <w:r w:rsidR="00E83A30">
        <w:rPr>
          <w:rFonts w:asciiTheme="minorHAnsi" w:hAnsiTheme="minorHAnsi" w:cstheme="minorHAnsi"/>
          <w:color w:val="000000"/>
          <w:szCs w:val="24"/>
        </w:rPr>
        <w:t>PSD</w:t>
      </w:r>
      <w:r w:rsidRPr="00F64C9F">
        <w:rPr>
          <w:rFonts w:asciiTheme="minorHAnsi" w:hAnsiTheme="minorHAnsi" w:cstheme="minorHAnsi"/>
          <w:color w:val="000000"/>
          <w:szCs w:val="24"/>
        </w:rPr>
        <w:t>,</w:t>
      </w:r>
      <w:r>
        <w:rPr>
          <w:rFonts w:asciiTheme="minorHAnsi" w:hAnsiTheme="minorHAnsi" w:cstheme="minorHAnsi"/>
          <w:color w:val="000000"/>
          <w:szCs w:val="24"/>
        </w:rPr>
        <w:t xml:space="preserve"> item 7.10</w:t>
      </w:r>
      <w:r w:rsidRPr="00F64C9F">
        <w:rPr>
          <w:rFonts w:asciiTheme="minorHAnsi" w:hAnsiTheme="minorHAnsi" w:cstheme="minorHAnsi"/>
          <w:color w:val="000000"/>
          <w:szCs w:val="24"/>
        </w:rPr>
        <w:t xml:space="preserve">). </w:t>
      </w:r>
    </w:p>
    <w:p w:rsidR="00F64C9F" w:rsidRPr="00F64C9F" w:rsidRDefault="00F64C9F" w:rsidP="00F64C9F">
      <w:pPr>
        <w:pStyle w:val="ListParagraph"/>
        <w:numPr>
          <w:ilvl w:val="1"/>
          <w:numId w:val="45"/>
        </w:numPr>
        <w:ind w:hanging="720"/>
        <w:rPr>
          <w:rFonts w:asciiTheme="minorHAnsi" w:hAnsiTheme="minorHAnsi" w:cstheme="minorHAnsi"/>
          <w:color w:val="000000"/>
          <w:szCs w:val="24"/>
        </w:rPr>
      </w:pPr>
      <w:r w:rsidRPr="00F64C9F">
        <w:rPr>
          <w:rFonts w:asciiTheme="minorHAnsi" w:hAnsiTheme="minorHAnsi" w:cstheme="minorHAnsi"/>
          <w:color w:val="000000"/>
          <w:szCs w:val="24"/>
        </w:rPr>
        <w:t>Under such an MAP, subsidy could be paid at the sponsor’s asking price of $</w:t>
      </w:r>
      <w:r w:rsidR="00D155AC">
        <w:rPr>
          <w:rFonts w:asciiTheme="minorHAnsi" w:hAnsiTheme="minorHAnsi" w:cstheme="minorHAnsi"/>
          <w:noProof/>
          <w:color w:val="000000"/>
          <w:szCs w:val="24"/>
          <w:highlight w:val="black"/>
        </w:rPr>
        <w:t>''''''''''''''</w:t>
      </w:r>
      <w:r w:rsidRPr="00F64C9F">
        <w:rPr>
          <w:rFonts w:asciiTheme="minorHAnsi" w:hAnsiTheme="minorHAnsi" w:cstheme="minorHAnsi"/>
          <w:color w:val="000000"/>
          <w:szCs w:val="24"/>
        </w:rPr>
        <w:t xml:space="preserve"> per patient per year for a period of two and a half years to allow the sponsor to provide further data to satisfy the PBAC that the differences in the rates of decline in lung function (ppFEV</w:t>
      </w:r>
      <w:r w:rsidRPr="00240B98">
        <w:rPr>
          <w:rFonts w:asciiTheme="minorHAnsi" w:hAnsiTheme="minorHAnsi" w:cstheme="minorHAnsi"/>
          <w:color w:val="000000"/>
          <w:szCs w:val="24"/>
          <w:vertAlign w:val="subscript"/>
        </w:rPr>
        <w:t>1</w:t>
      </w:r>
      <w:r w:rsidRPr="00F64C9F">
        <w:rPr>
          <w:rFonts w:asciiTheme="minorHAnsi" w:hAnsiTheme="minorHAnsi" w:cstheme="minorHAnsi"/>
          <w:color w:val="000000"/>
          <w:szCs w:val="24"/>
        </w:rPr>
        <w:t xml:space="preserve">) and pulmonary exacerbations observed in the PROGRESS study are sustained over a longer time period of at least 4 years in real clinical practice. </w:t>
      </w:r>
    </w:p>
    <w:p w:rsidR="00F64C9F" w:rsidRPr="00F64C9F" w:rsidRDefault="00F64C9F" w:rsidP="00F64C9F">
      <w:pPr>
        <w:pStyle w:val="ListParagraph"/>
        <w:numPr>
          <w:ilvl w:val="1"/>
          <w:numId w:val="45"/>
        </w:numPr>
        <w:ind w:hanging="720"/>
        <w:rPr>
          <w:rFonts w:asciiTheme="minorHAnsi" w:hAnsiTheme="minorHAnsi" w:cstheme="minorHAnsi"/>
          <w:color w:val="000000"/>
          <w:szCs w:val="24"/>
        </w:rPr>
      </w:pPr>
      <w:r w:rsidRPr="00F64C9F">
        <w:rPr>
          <w:rFonts w:asciiTheme="minorHAnsi" w:hAnsiTheme="minorHAnsi" w:cstheme="minorHAnsi"/>
          <w:color w:val="000000"/>
          <w:szCs w:val="24"/>
        </w:rPr>
        <w:t>If, by the end of the two and a half year initial period of the MAP, the sponsor’s assumptions on rate of decline have not been substantiated or have only been partially substantiated, through a submission to the PBAC and the PBAC affirming the cost-effectiveness of the medicine, the PBAC considered that the</w:t>
      </w:r>
      <w:r>
        <w:rPr>
          <w:rFonts w:asciiTheme="minorHAnsi" w:hAnsiTheme="minorHAnsi" w:cstheme="minorHAnsi"/>
          <w:color w:val="000000"/>
          <w:szCs w:val="24"/>
        </w:rPr>
        <w:t xml:space="preserve"> price paid for </w:t>
      </w:r>
      <w:proofErr w:type="spellStart"/>
      <w:r>
        <w:rPr>
          <w:rFonts w:asciiTheme="minorHAnsi" w:hAnsiTheme="minorHAnsi" w:cstheme="minorHAnsi"/>
          <w:color w:val="000000"/>
          <w:szCs w:val="24"/>
        </w:rPr>
        <w:t>lumacaftor</w:t>
      </w:r>
      <w:proofErr w:type="spellEnd"/>
      <w:r>
        <w:rPr>
          <w:rFonts w:asciiTheme="minorHAnsi" w:hAnsiTheme="minorHAnsi" w:cstheme="minorHAnsi"/>
          <w:color w:val="000000"/>
          <w:szCs w:val="24"/>
        </w:rPr>
        <w:t>/</w:t>
      </w:r>
      <w:proofErr w:type="spellStart"/>
      <w:r w:rsidRPr="00F64C9F">
        <w:rPr>
          <w:rFonts w:asciiTheme="minorHAnsi" w:hAnsiTheme="minorHAnsi" w:cstheme="minorHAnsi"/>
          <w:color w:val="000000"/>
          <w:szCs w:val="24"/>
        </w:rPr>
        <w:t>ivacaftor</w:t>
      </w:r>
      <w:proofErr w:type="spellEnd"/>
      <w:r w:rsidRPr="00F64C9F">
        <w:rPr>
          <w:rFonts w:asciiTheme="minorHAnsi" w:hAnsiTheme="minorHAnsi" w:cstheme="minorHAnsi"/>
          <w:color w:val="000000"/>
          <w:szCs w:val="24"/>
        </w:rPr>
        <w:t xml:space="preserve"> should reduce to a level consistent with the evidence provided.  </w:t>
      </w:r>
      <w:r w:rsidRPr="00F64C9F">
        <w:rPr>
          <w:rFonts w:asciiTheme="minorHAnsi" w:hAnsiTheme="minorHAnsi" w:cstheme="minorHAnsi"/>
          <w:color w:val="000000"/>
          <w:szCs w:val="24"/>
        </w:rPr>
        <w:lastRenderedPageBreak/>
        <w:t>If that were the case, the minimum price paid in the second half of the MAP would be $</w:t>
      </w:r>
      <w:r w:rsidR="00D155AC">
        <w:rPr>
          <w:rFonts w:asciiTheme="minorHAnsi" w:hAnsiTheme="minorHAnsi" w:cstheme="minorHAnsi"/>
          <w:noProof/>
          <w:color w:val="000000"/>
          <w:szCs w:val="24"/>
          <w:highlight w:val="black"/>
        </w:rPr>
        <w:t>'''''''''''''</w:t>
      </w:r>
      <w:r w:rsidRPr="00F64C9F">
        <w:rPr>
          <w:rFonts w:asciiTheme="minorHAnsi" w:hAnsiTheme="minorHAnsi" w:cstheme="minorHAnsi"/>
          <w:color w:val="000000"/>
          <w:szCs w:val="24"/>
        </w:rPr>
        <w:t xml:space="preserve"> per patient per year consistent with the assumption that patients treated with </w:t>
      </w:r>
      <w:proofErr w:type="spellStart"/>
      <w:r w:rsidRPr="00F64C9F">
        <w:rPr>
          <w:rFonts w:asciiTheme="minorHAnsi" w:hAnsiTheme="minorHAnsi" w:cstheme="minorHAnsi"/>
          <w:color w:val="000000"/>
          <w:szCs w:val="24"/>
        </w:rPr>
        <w:t>lumacaftor</w:t>
      </w:r>
      <w:proofErr w:type="spellEnd"/>
      <w:r w:rsidRPr="00F64C9F">
        <w:rPr>
          <w:rFonts w:asciiTheme="minorHAnsi" w:hAnsiTheme="minorHAnsi" w:cstheme="minorHAnsi"/>
          <w:color w:val="000000"/>
          <w:szCs w:val="24"/>
        </w:rPr>
        <w:t>/</w:t>
      </w:r>
      <w:proofErr w:type="spellStart"/>
      <w:r w:rsidRPr="00F64C9F">
        <w:rPr>
          <w:rFonts w:asciiTheme="minorHAnsi" w:hAnsiTheme="minorHAnsi" w:cstheme="minorHAnsi"/>
          <w:color w:val="000000"/>
          <w:szCs w:val="24"/>
        </w:rPr>
        <w:t>ivacaftor</w:t>
      </w:r>
      <w:proofErr w:type="spellEnd"/>
      <w:r w:rsidRPr="00F64C9F">
        <w:rPr>
          <w:rFonts w:asciiTheme="minorHAnsi" w:hAnsiTheme="minorHAnsi" w:cstheme="minorHAnsi"/>
          <w:color w:val="000000"/>
          <w:szCs w:val="24"/>
        </w:rPr>
        <w:t xml:space="preserve"> maintain an advantage over untreated patients after 96 weeks, but that treated patients decline at a similar rate to untreated patients.</w:t>
      </w:r>
      <w:r>
        <w:rPr>
          <w:rFonts w:asciiTheme="minorHAnsi" w:hAnsiTheme="minorHAnsi" w:cstheme="minorHAnsi"/>
          <w:color w:val="000000"/>
          <w:szCs w:val="24"/>
        </w:rPr>
        <w:t xml:space="preserve"> Indicative costs of including patients aged 6 – 11 years in a MAP consistent with that recommended for patients aged 12 years an</w:t>
      </w:r>
      <w:r w:rsidR="00E700F7">
        <w:rPr>
          <w:rFonts w:asciiTheme="minorHAnsi" w:hAnsiTheme="minorHAnsi" w:cstheme="minorHAnsi"/>
          <w:color w:val="000000"/>
          <w:szCs w:val="24"/>
        </w:rPr>
        <w:t>d older are presented in Table 19</w:t>
      </w:r>
      <w:r w:rsidR="00D92CD4">
        <w:rPr>
          <w:rFonts w:asciiTheme="minorHAnsi" w:hAnsiTheme="minorHAnsi" w:cstheme="minorHAnsi"/>
          <w:color w:val="000000"/>
          <w:szCs w:val="24"/>
        </w:rPr>
        <w:t>.</w:t>
      </w:r>
    </w:p>
    <w:p w:rsidR="00F64C9F" w:rsidRPr="003375A2" w:rsidRDefault="00E700F7" w:rsidP="00F64C9F">
      <w:pPr>
        <w:spacing w:before="120"/>
        <w:rPr>
          <w:rFonts w:ascii="Arial Narrow" w:eastAsiaTheme="minorHAnsi" w:hAnsi="Arial Narrow" w:cstheme="minorBidi"/>
          <w:b/>
          <w:sz w:val="20"/>
        </w:rPr>
      </w:pPr>
      <w:r>
        <w:rPr>
          <w:rFonts w:ascii="Arial Narrow" w:eastAsiaTheme="minorHAnsi" w:hAnsi="Arial Narrow" w:cstheme="minorBidi"/>
          <w:b/>
          <w:sz w:val="20"/>
        </w:rPr>
        <w:t>Table 19</w:t>
      </w:r>
      <w:r w:rsidR="00F64C9F" w:rsidRPr="003375A2">
        <w:rPr>
          <w:rFonts w:ascii="Arial Narrow" w:eastAsiaTheme="minorHAnsi" w:hAnsi="Arial Narrow" w:cstheme="minorBidi"/>
          <w:b/>
          <w:sz w:val="20"/>
        </w:rPr>
        <w:t xml:space="preserve">: Indicative cost to Commonwealth of listing </w:t>
      </w:r>
      <w:proofErr w:type="spellStart"/>
      <w:r w:rsidR="00F64C9F" w:rsidRPr="003375A2">
        <w:rPr>
          <w:rFonts w:ascii="Arial Narrow" w:eastAsiaTheme="minorHAnsi" w:hAnsi="Arial Narrow" w:cstheme="minorBidi"/>
          <w:b/>
          <w:sz w:val="20"/>
        </w:rPr>
        <w:t>lumacaftor</w:t>
      </w:r>
      <w:proofErr w:type="spellEnd"/>
      <w:r w:rsidR="00F64C9F" w:rsidRPr="003375A2">
        <w:rPr>
          <w:rFonts w:ascii="Arial Narrow" w:eastAsiaTheme="minorHAnsi" w:hAnsi="Arial Narrow" w:cstheme="minorBidi"/>
          <w:b/>
          <w:sz w:val="20"/>
        </w:rPr>
        <w:t>/</w:t>
      </w:r>
      <w:proofErr w:type="spellStart"/>
      <w:r w:rsidR="00F64C9F" w:rsidRPr="003375A2">
        <w:rPr>
          <w:rFonts w:ascii="Arial Narrow" w:eastAsiaTheme="minorHAnsi" w:hAnsi="Arial Narrow" w:cstheme="minorBidi"/>
          <w:b/>
          <w:sz w:val="20"/>
        </w:rPr>
        <w:t>ivacaftor</w:t>
      </w:r>
      <w:proofErr w:type="spellEnd"/>
      <w:r w:rsidR="00F64C9F" w:rsidRPr="003375A2">
        <w:rPr>
          <w:rFonts w:ascii="Arial Narrow" w:eastAsiaTheme="minorHAnsi" w:hAnsi="Arial Narrow" w:cstheme="minorBidi"/>
          <w:b/>
          <w:sz w:val="20"/>
        </w:rPr>
        <w:t xml:space="preserve"> for patients aged 6 years and over</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8"/>
        <w:gridCol w:w="1327"/>
        <w:gridCol w:w="1326"/>
        <w:gridCol w:w="1327"/>
        <w:gridCol w:w="1326"/>
        <w:gridCol w:w="1327"/>
        <w:gridCol w:w="1327"/>
      </w:tblGrid>
      <w:tr w:rsidR="00F64C9F" w:rsidRPr="003375A2" w:rsidTr="00F64C9F">
        <w:trPr>
          <w:trHeight w:val="296"/>
        </w:trPr>
        <w:tc>
          <w:tcPr>
            <w:tcW w:w="1218" w:type="dxa"/>
            <w:tcMar>
              <w:top w:w="0" w:type="dxa"/>
              <w:left w:w="108" w:type="dxa"/>
              <w:bottom w:w="0" w:type="dxa"/>
              <w:right w:w="108" w:type="dxa"/>
            </w:tcMar>
            <w:vAlign w:val="bottom"/>
          </w:tcPr>
          <w:p w:rsidR="00F64C9F" w:rsidRPr="003375A2" w:rsidRDefault="00F64C9F" w:rsidP="00A93DA9">
            <w:pPr>
              <w:pStyle w:val="ListParagraph"/>
              <w:jc w:val="left"/>
              <w:rPr>
                <w:rFonts w:ascii="Arial Narrow" w:eastAsiaTheme="minorHAnsi" w:hAnsi="Arial Narrow" w:cstheme="minorBidi"/>
                <w:snapToGrid/>
                <w:sz w:val="20"/>
                <w:lang w:eastAsia="en-AU"/>
              </w:rPr>
            </w:pPr>
          </w:p>
        </w:tc>
        <w:tc>
          <w:tcPr>
            <w:tcW w:w="1327" w:type="dxa"/>
            <w:tcMar>
              <w:top w:w="0" w:type="dxa"/>
              <w:left w:w="108" w:type="dxa"/>
              <w:bottom w:w="0" w:type="dxa"/>
              <w:right w:w="108" w:type="dxa"/>
            </w:tcMar>
            <w:vAlign w:val="bottom"/>
            <w:hideMark/>
          </w:tcPr>
          <w:p w:rsidR="00F64C9F" w:rsidRPr="00BF5DDD" w:rsidRDefault="00F64C9F" w:rsidP="00A93DA9">
            <w:pPr>
              <w:rPr>
                <w:rFonts w:ascii="Arial Narrow" w:eastAsiaTheme="minorHAnsi" w:hAnsi="Arial Narrow" w:cstheme="minorBidi"/>
                <w:sz w:val="20"/>
              </w:rPr>
            </w:pPr>
            <w:r w:rsidRPr="00BF5DDD">
              <w:rPr>
                <w:rFonts w:ascii="Arial Narrow" w:eastAsiaTheme="minorHAnsi" w:hAnsi="Arial Narrow" w:cstheme="minorBidi"/>
                <w:sz w:val="20"/>
              </w:rPr>
              <w:t>Year 1</w:t>
            </w:r>
          </w:p>
        </w:tc>
        <w:tc>
          <w:tcPr>
            <w:tcW w:w="1326"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Year 2</w:t>
            </w:r>
          </w:p>
        </w:tc>
        <w:tc>
          <w:tcPr>
            <w:tcW w:w="1327"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Year 3</w:t>
            </w:r>
          </w:p>
        </w:tc>
        <w:tc>
          <w:tcPr>
            <w:tcW w:w="1326"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Year 4</w:t>
            </w:r>
          </w:p>
        </w:tc>
        <w:tc>
          <w:tcPr>
            <w:tcW w:w="1327"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Year 5</w:t>
            </w:r>
          </w:p>
        </w:tc>
        <w:tc>
          <w:tcPr>
            <w:tcW w:w="1327"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Total</w:t>
            </w:r>
          </w:p>
        </w:tc>
      </w:tr>
      <w:tr w:rsidR="00F64C9F" w:rsidRPr="003375A2" w:rsidTr="00F64C9F">
        <w:trPr>
          <w:trHeight w:val="887"/>
        </w:trPr>
        <w:tc>
          <w:tcPr>
            <w:tcW w:w="1218" w:type="dxa"/>
            <w:tcMar>
              <w:top w:w="0" w:type="dxa"/>
              <w:left w:w="108" w:type="dxa"/>
              <w:bottom w:w="0" w:type="dxa"/>
              <w:right w:w="108" w:type="dxa"/>
            </w:tcMar>
            <w:vAlign w:val="bottom"/>
            <w:hideMark/>
          </w:tcPr>
          <w:p w:rsidR="0009361C" w:rsidRDefault="0009361C" w:rsidP="00A93DA9">
            <w:pPr>
              <w:rPr>
                <w:rFonts w:ascii="Arial Narrow" w:eastAsiaTheme="minorHAnsi" w:hAnsi="Arial Narrow" w:cstheme="minorBidi"/>
                <w:sz w:val="20"/>
                <w:szCs w:val="20"/>
              </w:rPr>
            </w:pPr>
            <w:r w:rsidRPr="00BF5DDD">
              <w:rPr>
                <w:rFonts w:ascii="Arial Narrow" w:eastAsiaTheme="minorHAnsi" w:hAnsi="Arial Narrow" w:cstheme="minorBidi"/>
                <w:sz w:val="20"/>
              </w:rPr>
              <w:t>MAP conditions met</w:t>
            </w:r>
          </w:p>
          <w:p w:rsidR="00F64C9F" w:rsidRPr="003375A2" w:rsidRDefault="00F64C9F" w:rsidP="00A93DA9">
            <w:pPr>
              <w:rPr>
                <w:rFonts w:ascii="Arial Narrow" w:eastAsiaTheme="minorHAnsi" w:hAnsi="Arial Narrow" w:cstheme="minorBidi"/>
                <w:sz w:val="20"/>
                <w:szCs w:val="20"/>
              </w:rPr>
            </w:pPr>
          </w:p>
        </w:tc>
        <w:tc>
          <w:tcPr>
            <w:tcW w:w="1327"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1326"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 xml:space="preserve">$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1327" w:type="dxa"/>
            <w:tcMar>
              <w:top w:w="0" w:type="dxa"/>
              <w:left w:w="108" w:type="dxa"/>
              <w:bottom w:w="0" w:type="dxa"/>
              <w:right w:w="108" w:type="dxa"/>
            </w:tcMar>
            <w:vAlign w:val="bottom"/>
            <w:hideMark/>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 xml:space="preserve">$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1326" w:type="dxa"/>
            <w:tcMar>
              <w:top w:w="0" w:type="dxa"/>
              <w:left w:w="108" w:type="dxa"/>
              <w:bottom w:w="0" w:type="dxa"/>
              <w:right w:w="108" w:type="dxa"/>
            </w:tcMar>
            <w:vAlign w:val="bottom"/>
            <w:hideMark/>
          </w:tcPr>
          <w:p w:rsidR="00F64C9F" w:rsidRPr="00BF5DDD" w:rsidRDefault="00F64C9F" w:rsidP="00A93DA9">
            <w:pPr>
              <w:rPr>
                <w:rFonts w:ascii="Arial Narrow" w:eastAsiaTheme="minorHAnsi" w:hAnsi="Arial Narrow" w:cstheme="minorBidi"/>
                <w:sz w:val="20"/>
              </w:rPr>
            </w:pPr>
            <w:r w:rsidRPr="00BF5DDD">
              <w:rPr>
                <w:rFonts w:ascii="Arial Narrow" w:eastAsiaTheme="minorHAnsi" w:hAnsi="Arial Narrow" w:cstheme="minorBidi"/>
                <w:sz w:val="20"/>
              </w:rPr>
              <w:t xml:space="preserve">$ </w:t>
            </w:r>
            <w:r w:rsidR="00D155AC">
              <w:rPr>
                <w:rFonts w:ascii="Arial Narrow" w:eastAsiaTheme="minorHAnsi" w:hAnsi="Arial Narrow" w:cstheme="minorBidi"/>
                <w:noProof/>
                <w:color w:val="000000"/>
                <w:sz w:val="20"/>
                <w:highlight w:val="black"/>
              </w:rPr>
              <w:t>''''''''''''''''''''''''''</w:t>
            </w:r>
            <w:r w:rsidRPr="00BF5DDD">
              <w:rPr>
                <w:rFonts w:ascii="Arial Narrow" w:eastAsiaTheme="minorHAnsi" w:hAnsi="Arial Narrow" w:cstheme="minorBidi"/>
                <w:sz w:val="20"/>
              </w:rPr>
              <w:t xml:space="preserve"> </w:t>
            </w:r>
          </w:p>
        </w:tc>
        <w:tc>
          <w:tcPr>
            <w:tcW w:w="1327" w:type="dxa"/>
            <w:tcMar>
              <w:top w:w="0" w:type="dxa"/>
              <w:left w:w="108" w:type="dxa"/>
              <w:bottom w:w="0" w:type="dxa"/>
              <w:right w:w="108" w:type="dxa"/>
            </w:tcMar>
            <w:vAlign w:val="bottom"/>
            <w:hideMark/>
          </w:tcPr>
          <w:p w:rsidR="00F64C9F" w:rsidRPr="00BF5DDD" w:rsidRDefault="00F64C9F" w:rsidP="00A93DA9">
            <w:pPr>
              <w:rPr>
                <w:rFonts w:ascii="Arial Narrow" w:eastAsiaTheme="minorHAnsi" w:hAnsi="Arial Narrow" w:cstheme="minorBidi"/>
                <w:sz w:val="20"/>
              </w:rPr>
            </w:pPr>
            <w:r w:rsidRPr="00BF5DDD">
              <w:rPr>
                <w:rFonts w:ascii="Arial Narrow" w:eastAsiaTheme="minorHAnsi" w:hAnsi="Arial Narrow" w:cstheme="minorBidi"/>
                <w:sz w:val="20"/>
              </w:rPr>
              <w:t xml:space="preserve">$ </w:t>
            </w:r>
            <w:r w:rsidR="00D155AC">
              <w:rPr>
                <w:rFonts w:ascii="Arial Narrow" w:eastAsiaTheme="minorHAnsi" w:hAnsi="Arial Narrow" w:cstheme="minorBidi"/>
                <w:noProof/>
                <w:color w:val="000000"/>
                <w:sz w:val="20"/>
                <w:highlight w:val="black"/>
              </w:rPr>
              <w:t>'''''''''''''''''''''''''''''</w:t>
            </w:r>
            <w:r w:rsidRPr="00BF5DDD">
              <w:rPr>
                <w:rFonts w:ascii="Arial Narrow" w:eastAsiaTheme="minorHAnsi" w:hAnsi="Arial Narrow" w:cstheme="minorBidi"/>
                <w:sz w:val="20"/>
              </w:rPr>
              <w:t xml:space="preserve"> </w:t>
            </w:r>
          </w:p>
        </w:tc>
        <w:tc>
          <w:tcPr>
            <w:tcW w:w="1327" w:type="dxa"/>
            <w:tcMar>
              <w:top w:w="0" w:type="dxa"/>
              <w:left w:w="108" w:type="dxa"/>
              <w:bottom w:w="0" w:type="dxa"/>
              <w:right w:w="108" w:type="dxa"/>
            </w:tcMar>
            <w:vAlign w:val="bottom"/>
          </w:tcPr>
          <w:p w:rsidR="00F64C9F" w:rsidRPr="00BF5DDD" w:rsidRDefault="00F64C9F" w:rsidP="00A93DA9">
            <w:pPr>
              <w:rPr>
                <w:rFonts w:ascii="Arial Narrow" w:eastAsiaTheme="minorHAnsi" w:hAnsi="Arial Narrow" w:cstheme="minorBidi"/>
                <w:sz w:val="20"/>
              </w:rPr>
            </w:pPr>
            <w:r w:rsidRPr="00BF5DDD">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p>
        </w:tc>
      </w:tr>
      <w:tr w:rsidR="00F64C9F" w:rsidRPr="003375A2" w:rsidTr="008E0338">
        <w:trPr>
          <w:trHeight w:val="838"/>
        </w:trPr>
        <w:tc>
          <w:tcPr>
            <w:tcW w:w="1218" w:type="dxa"/>
            <w:tcMar>
              <w:top w:w="0" w:type="dxa"/>
              <w:left w:w="108" w:type="dxa"/>
              <w:bottom w:w="0" w:type="dxa"/>
              <w:right w:w="108" w:type="dxa"/>
            </w:tcMar>
            <w:vAlign w:val="bottom"/>
            <w:hideMark/>
          </w:tcPr>
          <w:p w:rsidR="0009361C" w:rsidRDefault="0009361C" w:rsidP="00A93DA9">
            <w:pPr>
              <w:rPr>
                <w:rFonts w:ascii="Arial Narrow" w:eastAsiaTheme="minorHAnsi" w:hAnsi="Arial Narrow" w:cstheme="minorBidi"/>
                <w:sz w:val="20"/>
              </w:rPr>
            </w:pPr>
            <w:r w:rsidRPr="003375A2">
              <w:rPr>
                <w:rFonts w:ascii="Arial Narrow" w:eastAsiaTheme="minorHAnsi" w:hAnsi="Arial Narrow" w:cstheme="minorBidi"/>
                <w:sz w:val="20"/>
                <w:szCs w:val="20"/>
              </w:rPr>
              <w:t>MAP conditions not met</w:t>
            </w:r>
            <w:r w:rsidRPr="00BF5DDD">
              <w:rPr>
                <w:rFonts w:ascii="Arial Narrow" w:eastAsiaTheme="minorHAnsi" w:hAnsi="Arial Narrow" w:cstheme="minorBidi"/>
                <w:sz w:val="20"/>
              </w:rPr>
              <w:t xml:space="preserve"> </w:t>
            </w:r>
          </w:p>
          <w:p w:rsidR="00F64C9F" w:rsidRPr="00BF5DDD" w:rsidRDefault="00F64C9F" w:rsidP="00A93DA9">
            <w:pPr>
              <w:rPr>
                <w:rFonts w:ascii="Arial Narrow" w:eastAsiaTheme="minorHAnsi" w:hAnsi="Arial Narrow" w:cstheme="minorBidi"/>
                <w:sz w:val="20"/>
              </w:rPr>
            </w:pPr>
          </w:p>
        </w:tc>
        <w:tc>
          <w:tcPr>
            <w:tcW w:w="1327" w:type="dxa"/>
            <w:tcMar>
              <w:top w:w="0" w:type="dxa"/>
              <w:left w:w="108" w:type="dxa"/>
              <w:bottom w:w="0" w:type="dxa"/>
              <w:right w:w="108" w:type="dxa"/>
            </w:tcMar>
            <w:vAlign w:val="bottom"/>
          </w:tcPr>
          <w:p w:rsidR="00F64C9F" w:rsidRPr="00BF5DDD" w:rsidRDefault="00F64C9F" w:rsidP="00A93DA9">
            <w:pPr>
              <w:rPr>
                <w:rFonts w:ascii="Arial Narrow" w:eastAsiaTheme="minorHAnsi" w:hAnsi="Arial Narrow" w:cstheme="minorBidi"/>
                <w:sz w:val="20"/>
              </w:rPr>
            </w:pPr>
            <w:r w:rsidRPr="00BF5DDD">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r w:rsidRPr="00BF5DDD">
              <w:rPr>
                <w:rFonts w:ascii="Arial Narrow" w:eastAsiaTheme="minorHAnsi" w:hAnsi="Arial Narrow" w:cstheme="minorBidi"/>
                <w:sz w:val="20"/>
              </w:rPr>
              <w:t xml:space="preserve"> </w:t>
            </w:r>
          </w:p>
        </w:tc>
        <w:tc>
          <w:tcPr>
            <w:tcW w:w="1326" w:type="dxa"/>
            <w:tcMar>
              <w:top w:w="0" w:type="dxa"/>
              <w:left w:w="108" w:type="dxa"/>
              <w:bottom w:w="0" w:type="dxa"/>
              <w:right w:w="108" w:type="dxa"/>
            </w:tcMar>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 xml:space="preserve">$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1327" w:type="dxa"/>
            <w:tcMar>
              <w:top w:w="0" w:type="dxa"/>
              <w:left w:w="108" w:type="dxa"/>
              <w:bottom w:w="0" w:type="dxa"/>
              <w:right w:w="108" w:type="dxa"/>
            </w:tcMar>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c>
          <w:tcPr>
            <w:tcW w:w="1326" w:type="dxa"/>
            <w:tcMar>
              <w:top w:w="0" w:type="dxa"/>
              <w:left w:w="108" w:type="dxa"/>
              <w:bottom w:w="0" w:type="dxa"/>
              <w:right w:w="108" w:type="dxa"/>
            </w:tcMar>
            <w:vAlign w:val="bottom"/>
          </w:tcPr>
          <w:p w:rsidR="00F64C9F" w:rsidRPr="00BF5DDD" w:rsidRDefault="00F64C9F" w:rsidP="00A93DA9">
            <w:pPr>
              <w:rPr>
                <w:rFonts w:ascii="Arial Narrow" w:eastAsiaTheme="minorHAnsi" w:hAnsi="Arial Narrow" w:cstheme="minorBidi"/>
                <w:sz w:val="20"/>
              </w:rPr>
            </w:pPr>
            <w:r w:rsidRPr="00BF5DDD">
              <w:rPr>
                <w:rFonts w:ascii="Arial Narrow" w:eastAsiaTheme="minorHAnsi" w:hAnsi="Arial Narrow" w:cstheme="minorBidi"/>
                <w:sz w:val="20"/>
              </w:rPr>
              <w:t>$</w:t>
            </w:r>
            <w:r w:rsidR="00D155AC">
              <w:rPr>
                <w:rFonts w:ascii="Arial Narrow" w:eastAsiaTheme="minorHAnsi" w:hAnsi="Arial Narrow" w:cstheme="minorBidi"/>
                <w:noProof/>
                <w:color w:val="000000"/>
                <w:sz w:val="20"/>
                <w:highlight w:val="black"/>
              </w:rPr>
              <w:t>''''''''''''''''''''''''</w:t>
            </w:r>
            <w:r w:rsidRPr="00BF5DDD">
              <w:rPr>
                <w:rFonts w:ascii="Arial Narrow" w:eastAsiaTheme="minorHAnsi" w:hAnsi="Arial Narrow" w:cstheme="minorBidi"/>
                <w:sz w:val="20"/>
              </w:rPr>
              <w:t xml:space="preserve"> </w:t>
            </w:r>
          </w:p>
        </w:tc>
        <w:tc>
          <w:tcPr>
            <w:tcW w:w="1327" w:type="dxa"/>
            <w:tcMar>
              <w:top w:w="0" w:type="dxa"/>
              <w:left w:w="108" w:type="dxa"/>
              <w:bottom w:w="0" w:type="dxa"/>
              <w:right w:w="108" w:type="dxa"/>
            </w:tcMar>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 xml:space="preserve"> $</w:t>
            </w:r>
            <w:r w:rsidR="00D155AC">
              <w:rPr>
                <w:rFonts w:ascii="Arial Narrow" w:eastAsiaTheme="minorHAnsi" w:hAnsi="Arial Narrow" w:cstheme="minorBidi"/>
                <w:noProof/>
                <w:color w:val="000000"/>
                <w:sz w:val="20"/>
                <w:szCs w:val="20"/>
                <w:highlight w:val="black"/>
              </w:rPr>
              <w:t>''''''''''''''''''''''''''</w:t>
            </w:r>
            <w:r w:rsidRPr="003375A2">
              <w:rPr>
                <w:rFonts w:ascii="Arial Narrow" w:eastAsiaTheme="minorHAnsi" w:hAnsi="Arial Narrow" w:cstheme="minorBidi"/>
                <w:sz w:val="20"/>
                <w:szCs w:val="20"/>
              </w:rPr>
              <w:t xml:space="preserve"> </w:t>
            </w:r>
          </w:p>
        </w:tc>
        <w:tc>
          <w:tcPr>
            <w:tcW w:w="1327" w:type="dxa"/>
            <w:tcMar>
              <w:top w:w="0" w:type="dxa"/>
              <w:left w:w="108" w:type="dxa"/>
              <w:bottom w:w="0" w:type="dxa"/>
              <w:right w:w="108" w:type="dxa"/>
            </w:tcMar>
            <w:vAlign w:val="bottom"/>
          </w:tcPr>
          <w:p w:rsidR="00F64C9F" w:rsidRPr="003375A2" w:rsidRDefault="00F64C9F" w:rsidP="00A93DA9">
            <w:pPr>
              <w:rPr>
                <w:rFonts w:ascii="Arial Narrow" w:eastAsiaTheme="minorHAnsi" w:hAnsi="Arial Narrow" w:cstheme="minorBidi"/>
                <w:sz w:val="20"/>
                <w:szCs w:val="20"/>
              </w:rPr>
            </w:pPr>
            <w:r w:rsidRPr="003375A2">
              <w:rPr>
                <w:rFonts w:ascii="Arial Narrow" w:eastAsiaTheme="minorHAnsi" w:hAnsi="Arial Narrow" w:cstheme="minorBidi"/>
                <w:sz w:val="20"/>
                <w:szCs w:val="20"/>
              </w:rPr>
              <w:t>$</w:t>
            </w:r>
            <w:r w:rsidR="00D155AC">
              <w:rPr>
                <w:rFonts w:ascii="Arial Narrow" w:eastAsiaTheme="minorHAnsi" w:hAnsi="Arial Narrow" w:cstheme="minorBidi"/>
                <w:noProof/>
                <w:color w:val="000000"/>
                <w:sz w:val="20"/>
                <w:szCs w:val="20"/>
                <w:highlight w:val="black"/>
              </w:rPr>
              <w:t>'''''''''''''''''''''''''''''</w:t>
            </w:r>
          </w:p>
        </w:tc>
      </w:tr>
    </w:tbl>
    <w:p w:rsidR="00651407" w:rsidRPr="00E700F7" w:rsidRDefault="00651407" w:rsidP="00E700F7">
      <w:pPr>
        <w:rPr>
          <w:rFonts w:asciiTheme="minorHAnsi" w:hAnsiTheme="minorHAnsi" w:cstheme="minorHAnsi"/>
          <w:color w:val="000000"/>
          <w:szCs w:val="24"/>
        </w:rPr>
      </w:pPr>
    </w:p>
    <w:p w:rsidR="00F64C9F" w:rsidRPr="008E0338" w:rsidRDefault="00F64C9F" w:rsidP="008E0338">
      <w:pPr>
        <w:pStyle w:val="ListParagraph"/>
        <w:numPr>
          <w:ilvl w:val="1"/>
          <w:numId w:val="45"/>
        </w:numPr>
        <w:ind w:hanging="720"/>
        <w:rPr>
          <w:rFonts w:asciiTheme="minorHAnsi" w:hAnsiTheme="minorHAnsi" w:cstheme="minorHAnsi"/>
          <w:color w:val="000000"/>
          <w:szCs w:val="24"/>
        </w:rPr>
      </w:pPr>
      <w:r w:rsidRPr="008E0338">
        <w:rPr>
          <w:rFonts w:asciiTheme="minorHAnsi" w:hAnsiTheme="minorHAnsi" w:cstheme="minorHAnsi"/>
          <w:color w:val="000000"/>
          <w:szCs w:val="24"/>
        </w:rPr>
        <w:t xml:space="preserve">In July 2018, the PBAC also noted that the sponsor plans to bring forward new treatments for patients who are homozygous for the f508del mutation in the CFTR gene, with </w:t>
      </w:r>
      <w:proofErr w:type="spellStart"/>
      <w:r w:rsidRPr="008E0338">
        <w:rPr>
          <w:rFonts w:asciiTheme="minorHAnsi" w:hAnsiTheme="minorHAnsi" w:cstheme="minorHAnsi"/>
          <w:color w:val="000000"/>
          <w:szCs w:val="24"/>
        </w:rPr>
        <w:t>tezacaftor</w:t>
      </w:r>
      <w:proofErr w:type="spellEnd"/>
      <w:r w:rsidRPr="008E0338">
        <w:rPr>
          <w:rFonts w:asciiTheme="minorHAnsi" w:hAnsiTheme="minorHAnsi" w:cstheme="minorHAnsi"/>
          <w:color w:val="000000"/>
          <w:szCs w:val="24"/>
        </w:rPr>
        <w:t xml:space="preserve"> with </w:t>
      </w:r>
      <w:proofErr w:type="spellStart"/>
      <w:r w:rsidRPr="008E0338">
        <w:rPr>
          <w:rFonts w:asciiTheme="minorHAnsi" w:hAnsiTheme="minorHAnsi" w:cstheme="minorHAnsi"/>
          <w:color w:val="000000"/>
          <w:szCs w:val="24"/>
        </w:rPr>
        <w:t>ivacaftor</w:t>
      </w:r>
      <w:proofErr w:type="spellEnd"/>
      <w:r w:rsidRPr="008E0338">
        <w:rPr>
          <w:rFonts w:asciiTheme="minorHAnsi" w:hAnsiTheme="minorHAnsi" w:cstheme="minorHAnsi"/>
          <w:color w:val="000000"/>
          <w:szCs w:val="24"/>
        </w:rPr>
        <w:t xml:space="preserve"> currently undergoing regulatory review and a triple therapy combination treatment in cli</w:t>
      </w:r>
      <w:r w:rsidR="00240B98">
        <w:rPr>
          <w:rFonts w:asciiTheme="minorHAnsi" w:hAnsiTheme="minorHAnsi" w:cstheme="minorHAnsi"/>
          <w:color w:val="000000"/>
          <w:szCs w:val="24"/>
        </w:rPr>
        <w:t>nical trials.  The PBAC recognis</w:t>
      </w:r>
      <w:r w:rsidRPr="008E0338">
        <w:rPr>
          <w:rFonts w:asciiTheme="minorHAnsi" w:hAnsiTheme="minorHAnsi" w:cstheme="minorHAnsi"/>
          <w:color w:val="000000"/>
          <w:szCs w:val="24"/>
        </w:rPr>
        <w:t xml:space="preserve">ed that this might limit the availability of longer term data for </w:t>
      </w:r>
      <w:proofErr w:type="spellStart"/>
      <w:r w:rsidRPr="008E0338">
        <w:rPr>
          <w:rFonts w:asciiTheme="minorHAnsi" w:hAnsiTheme="minorHAnsi" w:cstheme="minorHAnsi"/>
          <w:color w:val="000000"/>
          <w:szCs w:val="24"/>
        </w:rPr>
        <w:t>lumacaftor</w:t>
      </w:r>
      <w:proofErr w:type="spellEnd"/>
      <w:r w:rsidRPr="008E0338">
        <w:rPr>
          <w:rFonts w:asciiTheme="minorHAnsi" w:hAnsiTheme="minorHAnsi" w:cstheme="minorHAnsi"/>
          <w:color w:val="000000"/>
          <w:szCs w:val="24"/>
        </w:rPr>
        <w:t xml:space="preserve"> with </w:t>
      </w:r>
      <w:proofErr w:type="spellStart"/>
      <w:r w:rsidRPr="008E0338">
        <w:rPr>
          <w:rFonts w:asciiTheme="minorHAnsi" w:hAnsiTheme="minorHAnsi" w:cstheme="minorHAnsi"/>
          <w:color w:val="000000"/>
          <w:szCs w:val="24"/>
        </w:rPr>
        <w:t>ivacaftor</w:t>
      </w:r>
      <w:proofErr w:type="spellEnd"/>
      <w:r w:rsidRPr="008E0338">
        <w:rPr>
          <w:rFonts w:asciiTheme="minorHAnsi" w:hAnsiTheme="minorHAnsi" w:cstheme="minorHAnsi"/>
          <w:color w:val="000000"/>
          <w:szCs w:val="24"/>
        </w:rPr>
        <w:t xml:space="preserve"> but considered that the MAP could allow the PBAC to be provided with longer term data for patients treated continuously with </w:t>
      </w:r>
      <w:proofErr w:type="spellStart"/>
      <w:r w:rsidRPr="008E0338">
        <w:rPr>
          <w:rFonts w:asciiTheme="minorHAnsi" w:hAnsiTheme="minorHAnsi" w:cstheme="minorHAnsi"/>
          <w:color w:val="000000"/>
          <w:szCs w:val="24"/>
        </w:rPr>
        <w:t>lumacaftor</w:t>
      </w:r>
      <w:proofErr w:type="spellEnd"/>
      <w:r w:rsidRPr="008E0338">
        <w:rPr>
          <w:rFonts w:asciiTheme="minorHAnsi" w:hAnsiTheme="minorHAnsi" w:cstheme="minorHAnsi"/>
          <w:color w:val="000000"/>
          <w:szCs w:val="24"/>
        </w:rPr>
        <w:t xml:space="preserve"> with </w:t>
      </w:r>
      <w:proofErr w:type="spellStart"/>
      <w:r w:rsidRPr="008E0338">
        <w:rPr>
          <w:rFonts w:asciiTheme="minorHAnsi" w:hAnsiTheme="minorHAnsi" w:cstheme="minorHAnsi"/>
          <w:color w:val="000000"/>
          <w:szCs w:val="24"/>
        </w:rPr>
        <w:t>ivacaftor</w:t>
      </w:r>
      <w:proofErr w:type="spellEnd"/>
      <w:r w:rsidRPr="008E0338">
        <w:rPr>
          <w:rFonts w:asciiTheme="minorHAnsi" w:hAnsiTheme="minorHAnsi" w:cstheme="minorHAnsi"/>
          <w:color w:val="000000"/>
          <w:szCs w:val="24"/>
        </w:rPr>
        <w:t xml:space="preserve">, as well as treatment with </w:t>
      </w:r>
      <w:proofErr w:type="spellStart"/>
      <w:r w:rsidRPr="008E0338">
        <w:rPr>
          <w:rFonts w:asciiTheme="minorHAnsi" w:hAnsiTheme="minorHAnsi" w:cstheme="minorHAnsi"/>
          <w:color w:val="000000"/>
          <w:szCs w:val="24"/>
        </w:rPr>
        <w:t>tezacaftor</w:t>
      </w:r>
      <w:proofErr w:type="spellEnd"/>
      <w:r w:rsidRPr="008E0338">
        <w:rPr>
          <w:rFonts w:asciiTheme="minorHAnsi" w:hAnsiTheme="minorHAnsi" w:cstheme="minorHAnsi"/>
          <w:color w:val="000000"/>
          <w:szCs w:val="24"/>
        </w:rPr>
        <w:t xml:space="preserve"> with </w:t>
      </w:r>
      <w:proofErr w:type="spellStart"/>
      <w:r w:rsidRPr="008E0338">
        <w:rPr>
          <w:rFonts w:asciiTheme="minorHAnsi" w:hAnsiTheme="minorHAnsi" w:cstheme="minorHAnsi"/>
          <w:color w:val="000000"/>
          <w:szCs w:val="24"/>
        </w:rPr>
        <w:t>ivacaftor</w:t>
      </w:r>
      <w:proofErr w:type="spellEnd"/>
      <w:r w:rsidRPr="008E0338">
        <w:rPr>
          <w:rFonts w:asciiTheme="minorHAnsi" w:hAnsiTheme="minorHAnsi" w:cstheme="minorHAnsi"/>
          <w:color w:val="000000"/>
          <w:szCs w:val="24"/>
        </w:rPr>
        <w:t xml:space="preserve"> or triple therapy, or through consecutive periods of treatment with more than one of these regimens.</w:t>
      </w:r>
    </w:p>
    <w:p w:rsidR="00F64C9F" w:rsidRPr="008E0338" w:rsidRDefault="00F64C9F" w:rsidP="008E0338">
      <w:pPr>
        <w:pStyle w:val="ListParagraph"/>
        <w:numPr>
          <w:ilvl w:val="1"/>
          <w:numId w:val="45"/>
        </w:numPr>
        <w:ind w:hanging="720"/>
        <w:rPr>
          <w:rFonts w:asciiTheme="minorHAnsi" w:hAnsiTheme="minorHAnsi" w:cstheme="minorHAnsi"/>
          <w:color w:val="000000"/>
          <w:szCs w:val="24"/>
        </w:rPr>
      </w:pPr>
      <w:r w:rsidRPr="008E0338">
        <w:rPr>
          <w:rFonts w:asciiTheme="minorHAnsi" w:hAnsiTheme="minorHAnsi" w:cstheme="minorHAnsi"/>
          <w:color w:val="000000"/>
          <w:szCs w:val="24"/>
        </w:rPr>
        <w:t>At that time the PBAC also considered that it would be appropriate for the Minister to enter into a deed with the sponsor to specify the annual patient cost, overall financial caps and terms of the MAP.</w:t>
      </w:r>
    </w:p>
    <w:p w:rsidR="00E81C71" w:rsidRPr="00393DB4" w:rsidRDefault="00E81C71" w:rsidP="00E81C71">
      <w:pPr>
        <w:pStyle w:val="ListParagraph"/>
        <w:widowControl/>
        <w:numPr>
          <w:ilvl w:val="0"/>
          <w:numId w:val="45"/>
        </w:numPr>
        <w:spacing w:before="240" w:after="120"/>
        <w:ind w:hanging="720"/>
        <w:jc w:val="left"/>
        <w:outlineLvl w:val="0"/>
        <w:rPr>
          <w:rFonts w:asciiTheme="minorHAnsi" w:hAnsiTheme="minorHAnsi"/>
          <w:b/>
          <w:sz w:val="32"/>
          <w:szCs w:val="32"/>
        </w:rPr>
      </w:pPr>
      <w:r w:rsidRPr="00393DB4">
        <w:rPr>
          <w:rFonts w:asciiTheme="minorHAnsi" w:hAnsiTheme="minorHAnsi"/>
          <w:b/>
          <w:sz w:val="32"/>
          <w:szCs w:val="32"/>
        </w:rPr>
        <w:t>PBAC Outcome</w:t>
      </w:r>
    </w:p>
    <w:p w:rsidR="00E81C71" w:rsidRPr="00393DB4" w:rsidRDefault="00F3274E" w:rsidP="00E81C71">
      <w:pPr>
        <w:pStyle w:val="ListParagraph"/>
        <w:numPr>
          <w:ilvl w:val="1"/>
          <w:numId w:val="45"/>
        </w:numPr>
        <w:ind w:hanging="720"/>
      </w:pPr>
      <w:r w:rsidRPr="00393DB4">
        <w:t xml:space="preserve">The PBAC recommended, out of session, the listing of </w:t>
      </w:r>
      <w:proofErr w:type="spellStart"/>
      <w:r w:rsidRPr="00393DB4">
        <w:t>lumacaftor</w:t>
      </w:r>
      <w:proofErr w:type="spellEnd"/>
      <w:r w:rsidRPr="00393DB4">
        <w:t xml:space="preserve"> with </w:t>
      </w:r>
      <w:proofErr w:type="spellStart"/>
      <w:r w:rsidRPr="00393DB4">
        <w:t>ivacaftor</w:t>
      </w:r>
      <w:proofErr w:type="spellEnd"/>
      <w:r w:rsidR="007C0756" w:rsidRPr="00393DB4">
        <w:t xml:space="preserve"> for patients with CF aged 6–11 years who are homozygous for the F508</w:t>
      </w:r>
      <w:r w:rsidR="007C0756" w:rsidRPr="00393DB4">
        <w:rPr>
          <w:i/>
        </w:rPr>
        <w:t>del</w:t>
      </w:r>
      <w:r w:rsidR="007C0756" w:rsidRPr="00393DB4">
        <w:t xml:space="preserve"> mutation in the CFTR gene</w:t>
      </w:r>
      <w:r w:rsidR="00384D99" w:rsidRPr="00393DB4">
        <w:t xml:space="preserve"> </w:t>
      </w:r>
      <w:r w:rsidR="00384D99" w:rsidRPr="00393DB4">
        <w:rPr>
          <w:rFonts w:asciiTheme="minorHAnsi" w:hAnsiTheme="minorHAnsi"/>
          <w:bCs/>
          <w:szCs w:val="24"/>
          <w:lang w:val="en-GB"/>
        </w:rPr>
        <w:t>on the basis that it should be available only under special arrangements under section 100 (Highly Specialised Drugs Program)</w:t>
      </w:r>
      <w:r w:rsidR="00706C0A" w:rsidRPr="00393DB4">
        <w:rPr>
          <w:rFonts w:asciiTheme="minorHAnsi" w:hAnsiTheme="minorHAnsi"/>
          <w:bCs/>
          <w:szCs w:val="24"/>
          <w:lang w:val="en-GB"/>
        </w:rPr>
        <w:t xml:space="preserve"> and only in the circumstances: for the treatment of patients with CF aged 6 - 11 years who are homozygous for the F508del mutation in the CFTR gene.</w:t>
      </w:r>
      <w:r w:rsidR="00706C0A" w:rsidRPr="00393DB4">
        <w:rPr>
          <w:szCs w:val="24"/>
        </w:rPr>
        <w:t xml:space="preserve"> </w:t>
      </w:r>
      <w:r w:rsidR="00384D99" w:rsidRPr="00393DB4">
        <w:rPr>
          <w:rFonts w:asciiTheme="minorHAnsi" w:hAnsiTheme="minorHAnsi"/>
          <w:bCs/>
          <w:szCs w:val="24"/>
          <w:lang w:val="en-GB"/>
        </w:rPr>
        <w:t xml:space="preserve"> </w:t>
      </w:r>
      <w:r w:rsidR="00706C0A" w:rsidRPr="00393DB4">
        <w:rPr>
          <w:rFonts w:asciiTheme="minorHAnsi" w:hAnsiTheme="minorHAnsi"/>
          <w:bCs/>
          <w:szCs w:val="24"/>
          <w:lang w:val="en-GB" w:eastAsia="en-AU"/>
        </w:rPr>
        <w:t xml:space="preserve">The PBAC recommended the special arrangements and circumstances described </w:t>
      </w:r>
      <w:r w:rsidR="00393DB4" w:rsidRPr="00393DB4">
        <w:rPr>
          <w:rFonts w:asciiTheme="minorHAnsi" w:hAnsiTheme="minorHAnsi"/>
          <w:bCs/>
          <w:szCs w:val="24"/>
          <w:lang w:val="en-GB" w:eastAsia="en-AU"/>
        </w:rPr>
        <w:t>Section 10</w:t>
      </w:r>
      <w:r w:rsidR="00706C0A" w:rsidRPr="00393DB4">
        <w:rPr>
          <w:rFonts w:asciiTheme="minorHAnsi" w:hAnsiTheme="minorHAnsi"/>
          <w:bCs/>
          <w:szCs w:val="24"/>
          <w:lang w:val="en-GB" w:eastAsia="en-AU"/>
        </w:rPr>
        <w:t xml:space="preserve"> below. </w:t>
      </w:r>
    </w:p>
    <w:p w:rsidR="00A93DA9" w:rsidRPr="00A93DA9" w:rsidRDefault="00A93DA9" w:rsidP="00A93DA9">
      <w:pPr>
        <w:pStyle w:val="ListParagraph"/>
        <w:numPr>
          <w:ilvl w:val="1"/>
          <w:numId w:val="45"/>
        </w:numPr>
        <w:ind w:hanging="720"/>
      </w:pPr>
      <w:r w:rsidRPr="00393DB4">
        <w:t xml:space="preserve">The PBAC is satisfied that </w:t>
      </w:r>
      <w:proofErr w:type="spellStart"/>
      <w:r w:rsidRPr="00393DB4">
        <w:t>lumacaftor</w:t>
      </w:r>
      <w:proofErr w:type="spellEnd"/>
      <w:r w:rsidRPr="00393DB4">
        <w:t xml:space="preserve"> with </w:t>
      </w:r>
      <w:proofErr w:type="spellStart"/>
      <w:r w:rsidRPr="00393DB4">
        <w:t>ivacaftor</w:t>
      </w:r>
      <w:proofErr w:type="spellEnd"/>
      <w:r w:rsidRPr="00393DB4">
        <w:t xml:space="preserve"> provides, for some patients, a</w:t>
      </w:r>
      <w:r w:rsidRPr="00A93DA9">
        <w:t xml:space="preserve"> significant improvement in efficacy over best supportive care.  </w:t>
      </w:r>
    </w:p>
    <w:p w:rsidR="0009361C" w:rsidRPr="0009361C" w:rsidRDefault="00A93DA9" w:rsidP="0009361C">
      <w:pPr>
        <w:pStyle w:val="ListParagraph"/>
        <w:numPr>
          <w:ilvl w:val="1"/>
          <w:numId w:val="45"/>
        </w:numPr>
        <w:ind w:hanging="720"/>
      </w:pPr>
      <w:r>
        <w:t xml:space="preserve">Consistent with its recommendation </w:t>
      </w:r>
      <w:r w:rsidR="00897D9E">
        <w:rPr>
          <w:rFonts w:asciiTheme="minorHAnsi" w:hAnsiTheme="minorHAnsi"/>
          <w:bCs/>
          <w:lang w:val="en-GB"/>
        </w:rPr>
        <w:t xml:space="preserve">for </w:t>
      </w:r>
      <w:proofErr w:type="spellStart"/>
      <w:r w:rsidR="00897D9E">
        <w:rPr>
          <w:rFonts w:asciiTheme="minorHAnsi" w:hAnsiTheme="minorHAnsi"/>
          <w:bCs/>
          <w:lang w:val="en-GB"/>
        </w:rPr>
        <w:t>lumacaftor</w:t>
      </w:r>
      <w:proofErr w:type="spellEnd"/>
      <w:r w:rsidR="00897D9E">
        <w:rPr>
          <w:rFonts w:asciiTheme="minorHAnsi" w:hAnsiTheme="minorHAnsi"/>
          <w:bCs/>
          <w:lang w:val="en-GB"/>
        </w:rPr>
        <w:t>/</w:t>
      </w:r>
      <w:proofErr w:type="spellStart"/>
      <w:r w:rsidR="00706C0A">
        <w:rPr>
          <w:rFonts w:asciiTheme="minorHAnsi" w:hAnsiTheme="minorHAnsi"/>
          <w:bCs/>
          <w:lang w:val="en-GB"/>
        </w:rPr>
        <w:t>ivacaftor</w:t>
      </w:r>
      <w:proofErr w:type="spellEnd"/>
      <w:r w:rsidR="00706C0A">
        <w:rPr>
          <w:rFonts w:asciiTheme="minorHAnsi" w:hAnsiTheme="minorHAnsi"/>
          <w:bCs/>
          <w:lang w:val="en-GB"/>
        </w:rPr>
        <w:t xml:space="preserve"> in patients with CF aged 12 years and older, </w:t>
      </w:r>
      <w:r>
        <w:rPr>
          <w:rFonts w:asciiTheme="minorHAnsi" w:hAnsiTheme="minorHAnsi"/>
          <w:bCs/>
          <w:lang w:val="en-GB"/>
        </w:rPr>
        <w:t>the PBAC</w:t>
      </w:r>
      <w:r w:rsidR="0009361C" w:rsidRPr="0009361C">
        <w:rPr>
          <w:rFonts w:asciiTheme="minorHAnsi" w:hAnsiTheme="minorHAnsi"/>
          <w:bCs/>
          <w:lang w:val="en-GB"/>
        </w:rPr>
        <w:t xml:space="preserve"> recommendation for listing</w:t>
      </w:r>
      <w:r w:rsidR="006840B0">
        <w:rPr>
          <w:rFonts w:asciiTheme="minorHAnsi" w:hAnsiTheme="minorHAnsi"/>
          <w:bCs/>
          <w:lang w:val="en-GB"/>
        </w:rPr>
        <w:t xml:space="preserve"> in patients aged 6 - </w:t>
      </w:r>
      <w:r w:rsidR="00706C0A">
        <w:rPr>
          <w:rFonts w:asciiTheme="minorHAnsi" w:hAnsiTheme="minorHAnsi"/>
          <w:bCs/>
          <w:lang w:val="en-GB"/>
        </w:rPr>
        <w:t xml:space="preserve">11 </w:t>
      </w:r>
      <w:r w:rsidR="00706C0A">
        <w:rPr>
          <w:rFonts w:asciiTheme="minorHAnsi" w:hAnsiTheme="minorHAnsi"/>
          <w:bCs/>
          <w:lang w:val="en-GB"/>
        </w:rPr>
        <w:lastRenderedPageBreak/>
        <w:t>years</w:t>
      </w:r>
      <w:r w:rsidR="0009361C" w:rsidRPr="0009361C">
        <w:rPr>
          <w:rFonts w:asciiTheme="minorHAnsi" w:hAnsiTheme="minorHAnsi"/>
          <w:bCs/>
          <w:lang w:val="en-GB"/>
        </w:rPr>
        <w:t xml:space="preserve"> was based on, among other matters, its assessment that the cost-e</w:t>
      </w:r>
      <w:r w:rsidR="00897D9E">
        <w:rPr>
          <w:rFonts w:asciiTheme="minorHAnsi" w:hAnsiTheme="minorHAnsi"/>
          <w:bCs/>
          <w:lang w:val="en-GB"/>
        </w:rPr>
        <w:t xml:space="preserve">ffectiveness of </w:t>
      </w:r>
      <w:proofErr w:type="spellStart"/>
      <w:r w:rsidR="00897D9E">
        <w:rPr>
          <w:rFonts w:asciiTheme="minorHAnsi" w:hAnsiTheme="minorHAnsi"/>
          <w:bCs/>
          <w:lang w:val="en-GB"/>
        </w:rPr>
        <w:t>lumacaftor</w:t>
      </w:r>
      <w:proofErr w:type="spellEnd"/>
      <w:r w:rsidR="00897D9E">
        <w:rPr>
          <w:rFonts w:asciiTheme="minorHAnsi" w:hAnsiTheme="minorHAnsi"/>
          <w:bCs/>
          <w:lang w:val="en-GB"/>
        </w:rPr>
        <w:t>/</w:t>
      </w:r>
      <w:proofErr w:type="spellStart"/>
      <w:r w:rsidR="0009361C" w:rsidRPr="0009361C">
        <w:rPr>
          <w:rFonts w:asciiTheme="minorHAnsi" w:hAnsiTheme="minorHAnsi"/>
          <w:bCs/>
          <w:lang w:val="en-GB"/>
        </w:rPr>
        <w:t>ivacaftor</w:t>
      </w:r>
      <w:proofErr w:type="spellEnd"/>
      <w:r w:rsidR="0009361C" w:rsidRPr="0009361C">
        <w:rPr>
          <w:rFonts w:asciiTheme="minorHAnsi" w:hAnsiTheme="minorHAnsi"/>
          <w:bCs/>
          <w:lang w:val="en-GB"/>
        </w:rPr>
        <w:t xml:space="preserve"> would be acceptable</w:t>
      </w:r>
      <w:r w:rsidR="0009361C" w:rsidRPr="0088666D">
        <w:t xml:space="preserve"> </w:t>
      </w:r>
      <w:r w:rsidR="0009361C" w:rsidRPr="0009361C">
        <w:rPr>
          <w:rFonts w:asciiTheme="minorHAnsi" w:hAnsiTheme="minorHAnsi"/>
          <w:bCs/>
          <w:lang w:val="en-GB"/>
        </w:rPr>
        <w:t>if the following measures were implemented to contain risks associated with the cost-effectiveness and overall cost of the drug to the PBS.</w:t>
      </w:r>
    </w:p>
    <w:p w:rsidR="0009361C" w:rsidRPr="00B03214" w:rsidRDefault="0009361C" w:rsidP="00706C0A">
      <w:pPr>
        <w:pStyle w:val="ListParagraph"/>
        <w:numPr>
          <w:ilvl w:val="1"/>
          <w:numId w:val="50"/>
        </w:numPr>
        <w:spacing w:after="120"/>
        <w:contextualSpacing/>
        <w:rPr>
          <w:rFonts w:asciiTheme="minorHAnsi" w:hAnsiTheme="minorHAnsi"/>
          <w:bCs/>
          <w:lang w:val="en-GB"/>
        </w:rPr>
      </w:pPr>
      <w:r w:rsidRPr="00C4077F">
        <w:rPr>
          <w:rFonts w:asciiTheme="minorHAnsi" w:hAnsiTheme="minorHAnsi"/>
          <w:bCs/>
          <w:szCs w:val="24"/>
          <w:lang w:val="en-GB"/>
        </w:rPr>
        <w:t xml:space="preserve">A Managed </w:t>
      </w:r>
      <w:r>
        <w:rPr>
          <w:rFonts w:asciiTheme="minorHAnsi" w:hAnsiTheme="minorHAnsi"/>
          <w:bCs/>
          <w:szCs w:val="24"/>
          <w:lang w:val="en-GB"/>
        </w:rPr>
        <w:t>Access</w:t>
      </w:r>
      <w:r w:rsidRPr="00C4077F">
        <w:rPr>
          <w:rFonts w:asciiTheme="minorHAnsi" w:hAnsiTheme="minorHAnsi"/>
          <w:bCs/>
          <w:szCs w:val="24"/>
          <w:lang w:val="en-GB"/>
        </w:rPr>
        <w:t xml:space="preserve"> Program as described in paragraphs </w:t>
      </w:r>
      <w:r w:rsidR="006840B0">
        <w:rPr>
          <w:rFonts w:asciiTheme="minorHAnsi" w:hAnsiTheme="minorHAnsi"/>
          <w:bCs/>
          <w:szCs w:val="24"/>
          <w:lang w:val="en-GB"/>
        </w:rPr>
        <w:t>8.5 – 8.10</w:t>
      </w:r>
      <w:r>
        <w:rPr>
          <w:rFonts w:asciiTheme="minorHAnsi" w:hAnsiTheme="minorHAnsi"/>
          <w:bCs/>
          <w:szCs w:val="24"/>
          <w:lang w:val="en-GB"/>
        </w:rPr>
        <w:t xml:space="preserve"> </w:t>
      </w:r>
      <w:r w:rsidRPr="00C4077F">
        <w:rPr>
          <w:rFonts w:asciiTheme="minorHAnsi" w:hAnsiTheme="minorHAnsi"/>
          <w:bCs/>
          <w:szCs w:val="24"/>
          <w:lang w:val="en-GB"/>
        </w:rPr>
        <w:t>above;</w:t>
      </w:r>
    </w:p>
    <w:p w:rsidR="0009361C" w:rsidRPr="0009361C" w:rsidRDefault="0009361C" w:rsidP="00706C0A">
      <w:pPr>
        <w:pStyle w:val="ListParagraph"/>
        <w:numPr>
          <w:ilvl w:val="1"/>
          <w:numId w:val="50"/>
        </w:numPr>
        <w:spacing w:after="120"/>
        <w:contextualSpacing/>
        <w:rPr>
          <w:rFonts w:asciiTheme="minorHAnsi" w:hAnsiTheme="minorHAnsi"/>
          <w:bCs/>
          <w:lang w:val="en-GB"/>
        </w:rPr>
      </w:pPr>
      <w:r w:rsidRPr="00C4077F">
        <w:rPr>
          <w:rFonts w:asciiTheme="minorHAnsi" w:hAnsiTheme="minorHAnsi"/>
          <w:bCs/>
          <w:szCs w:val="24"/>
          <w:lang w:val="en-GB"/>
        </w:rPr>
        <w:t>A Special Pricing Arrangement to give effect to the offered price of $</w:t>
      </w:r>
      <w:r w:rsidR="00D155AC">
        <w:rPr>
          <w:rFonts w:asciiTheme="minorHAnsi" w:hAnsiTheme="minorHAnsi"/>
          <w:bCs/>
          <w:noProof/>
          <w:color w:val="000000"/>
          <w:szCs w:val="24"/>
          <w:highlight w:val="black"/>
          <w:lang w:val="en-GB"/>
        </w:rPr>
        <w:t>'''''''''''''</w:t>
      </w:r>
      <w:r>
        <w:rPr>
          <w:rFonts w:asciiTheme="minorHAnsi" w:hAnsiTheme="minorHAnsi"/>
          <w:bCs/>
          <w:szCs w:val="24"/>
          <w:lang w:val="en-GB"/>
        </w:rPr>
        <w:t xml:space="preserve"> per patient per year; </w:t>
      </w:r>
      <w:r w:rsidR="006840B0">
        <w:rPr>
          <w:rFonts w:asciiTheme="minorHAnsi" w:hAnsiTheme="minorHAnsi"/>
          <w:bCs/>
          <w:szCs w:val="24"/>
          <w:lang w:val="en-GB"/>
        </w:rPr>
        <w:t>and</w:t>
      </w:r>
    </w:p>
    <w:p w:rsidR="0009361C" w:rsidRPr="0009361C" w:rsidRDefault="0009361C" w:rsidP="00706C0A">
      <w:pPr>
        <w:pStyle w:val="ListParagraph"/>
        <w:numPr>
          <w:ilvl w:val="1"/>
          <w:numId w:val="50"/>
        </w:numPr>
        <w:spacing w:after="120"/>
        <w:contextualSpacing/>
        <w:rPr>
          <w:rFonts w:asciiTheme="minorHAnsi" w:hAnsiTheme="minorHAnsi"/>
          <w:bCs/>
          <w:lang w:val="en-GB"/>
        </w:rPr>
      </w:pPr>
      <w:r w:rsidRPr="0009361C">
        <w:rPr>
          <w:rFonts w:asciiTheme="minorHAnsi" w:hAnsiTheme="minorHAnsi"/>
          <w:bCs/>
          <w:szCs w:val="24"/>
          <w:lang w:val="en-GB"/>
        </w:rPr>
        <w:t xml:space="preserve">Caps on </w:t>
      </w:r>
      <w:r w:rsidR="00D155AC">
        <w:rPr>
          <w:rFonts w:asciiTheme="minorHAnsi" w:hAnsiTheme="minorHAnsi"/>
          <w:bCs/>
          <w:noProof/>
          <w:color w:val="000000"/>
          <w:szCs w:val="24"/>
          <w:highlight w:val="black"/>
          <w:lang w:val="en-GB"/>
        </w:rPr>
        <w:t>''''''''' '''''''''''''''''''''''</w:t>
      </w:r>
      <w:r w:rsidRPr="0009361C">
        <w:rPr>
          <w:rFonts w:asciiTheme="minorHAnsi" w:hAnsiTheme="minorHAnsi"/>
          <w:bCs/>
          <w:szCs w:val="24"/>
          <w:lang w:val="en-GB"/>
        </w:rPr>
        <w:t xml:space="preserve"> in li</w:t>
      </w:r>
      <w:r w:rsidR="00E700F7">
        <w:rPr>
          <w:rFonts w:asciiTheme="minorHAnsi" w:hAnsiTheme="minorHAnsi"/>
          <w:bCs/>
          <w:szCs w:val="24"/>
          <w:lang w:val="en-GB"/>
        </w:rPr>
        <w:t>ne with the estimates in Table 19</w:t>
      </w:r>
      <w:r w:rsidRPr="0009361C">
        <w:rPr>
          <w:rFonts w:asciiTheme="minorHAnsi" w:hAnsiTheme="minorHAnsi"/>
          <w:bCs/>
          <w:szCs w:val="24"/>
          <w:lang w:val="en-GB"/>
        </w:rPr>
        <w:t xml:space="preserve"> above</w:t>
      </w:r>
      <w:r w:rsidR="006840B0">
        <w:rPr>
          <w:rFonts w:asciiTheme="minorHAnsi" w:hAnsiTheme="minorHAnsi"/>
          <w:bCs/>
          <w:szCs w:val="24"/>
          <w:lang w:val="en-GB"/>
        </w:rPr>
        <w:t>.</w:t>
      </w:r>
    </w:p>
    <w:p w:rsidR="0009361C" w:rsidRPr="0009361C" w:rsidRDefault="0009361C" w:rsidP="0009361C">
      <w:pPr>
        <w:pStyle w:val="ListParagraph"/>
        <w:spacing w:after="120"/>
        <w:ind w:left="1440"/>
        <w:contextualSpacing/>
        <w:rPr>
          <w:rFonts w:asciiTheme="minorHAnsi" w:hAnsiTheme="minorHAnsi"/>
          <w:bCs/>
          <w:lang w:val="en-GB"/>
        </w:rPr>
      </w:pPr>
    </w:p>
    <w:p w:rsidR="00706C0A" w:rsidRDefault="00706C0A" w:rsidP="00E81C71">
      <w:pPr>
        <w:pStyle w:val="ListParagraph"/>
        <w:numPr>
          <w:ilvl w:val="1"/>
          <w:numId w:val="45"/>
        </w:numPr>
        <w:ind w:hanging="720"/>
      </w:pPr>
      <w:r>
        <w:t xml:space="preserve">In addition, the PBAC recalled that at its July meeting it </w:t>
      </w:r>
      <w:r w:rsidRPr="002B66AB">
        <w:t xml:space="preserve">considered it appropriate for the sponsor to provide further outcome data for </w:t>
      </w:r>
      <w:proofErr w:type="spellStart"/>
      <w:r w:rsidRPr="002B66AB">
        <w:t>ivacaftor</w:t>
      </w:r>
      <w:proofErr w:type="spellEnd"/>
      <w:r w:rsidRPr="002B66AB">
        <w:t>/</w:t>
      </w:r>
      <w:proofErr w:type="spellStart"/>
      <w:r w:rsidRPr="002B66AB">
        <w:t>lumacaftor</w:t>
      </w:r>
      <w:proofErr w:type="spellEnd"/>
      <w:r w:rsidRPr="002B66AB">
        <w:t xml:space="preserve"> in the 6 – 11 age group for the PBAC’s consideration, particularly in the context of a long term treatment for young children which has the potential to cause adverse events.</w:t>
      </w:r>
      <w:r>
        <w:t xml:space="preserve"> </w:t>
      </w:r>
      <w:r w:rsidR="009532D4">
        <w:t xml:space="preserve">On that basis, </w:t>
      </w:r>
      <w:r>
        <w:t>the PBAC</w:t>
      </w:r>
      <w:r w:rsidR="009532D4">
        <w:t xml:space="preserve"> also </w:t>
      </w:r>
      <w:r>
        <w:t>recommend</w:t>
      </w:r>
      <w:r w:rsidR="009532D4">
        <w:t>ed</w:t>
      </w:r>
      <w:r w:rsidR="00312849">
        <w:t xml:space="preserve"> that</w:t>
      </w:r>
      <w:r w:rsidR="009532D4">
        <w:t>:</w:t>
      </w:r>
    </w:p>
    <w:p w:rsidR="00706C0A" w:rsidRPr="00312849" w:rsidRDefault="00706C0A" w:rsidP="00706C0A">
      <w:pPr>
        <w:pStyle w:val="ListParagraph"/>
        <w:numPr>
          <w:ilvl w:val="1"/>
          <w:numId w:val="50"/>
        </w:numPr>
        <w:spacing w:after="120"/>
        <w:contextualSpacing/>
        <w:rPr>
          <w:rFonts w:asciiTheme="minorHAnsi" w:hAnsiTheme="minorHAnsi"/>
          <w:bCs/>
          <w:szCs w:val="24"/>
          <w:lang w:val="en-GB"/>
        </w:rPr>
      </w:pPr>
      <w:r w:rsidRPr="00312849">
        <w:rPr>
          <w:bCs/>
          <w:color w:val="000000"/>
          <w:szCs w:val="24"/>
          <w:lang w:val="en-GB"/>
        </w:rPr>
        <w:t>Vertex provide PBAC with an interim report of the post-market study it is undertaking for the TGA, at the same time as it submits to data to the PBAC to satisfy the MAP (</w:t>
      </w:r>
      <w:r w:rsidR="009532D4" w:rsidRPr="00312849">
        <w:rPr>
          <w:bCs/>
          <w:color w:val="000000"/>
          <w:szCs w:val="24"/>
          <w:lang w:val="en-GB"/>
        </w:rPr>
        <w:t>on or before the first quarter of the third year of listing</w:t>
      </w:r>
      <w:r w:rsidRPr="00312849">
        <w:rPr>
          <w:bCs/>
          <w:color w:val="000000"/>
          <w:szCs w:val="24"/>
          <w:lang w:val="en-GB"/>
        </w:rPr>
        <w:t>)</w:t>
      </w:r>
      <w:r w:rsidRPr="00312849">
        <w:rPr>
          <w:rFonts w:asciiTheme="minorHAnsi" w:hAnsiTheme="minorHAnsi"/>
          <w:bCs/>
          <w:szCs w:val="24"/>
          <w:lang w:val="en-GB"/>
        </w:rPr>
        <w:t>;</w:t>
      </w:r>
      <w:r w:rsidR="00312849" w:rsidRPr="00312849">
        <w:rPr>
          <w:rFonts w:asciiTheme="minorHAnsi" w:hAnsiTheme="minorHAnsi"/>
          <w:bCs/>
          <w:szCs w:val="24"/>
          <w:lang w:val="en-GB"/>
        </w:rPr>
        <w:t xml:space="preserve"> and</w:t>
      </w:r>
    </w:p>
    <w:p w:rsidR="00706C0A" w:rsidRPr="00897D9E" w:rsidRDefault="00706C0A" w:rsidP="00D90DF5">
      <w:pPr>
        <w:pStyle w:val="ListParagraph"/>
        <w:numPr>
          <w:ilvl w:val="1"/>
          <w:numId w:val="50"/>
        </w:numPr>
        <w:spacing w:after="120"/>
        <w:contextualSpacing/>
        <w:rPr>
          <w:rFonts w:asciiTheme="minorHAnsi" w:hAnsiTheme="minorHAnsi"/>
          <w:bCs/>
          <w:szCs w:val="24"/>
          <w:lang w:val="en-GB"/>
        </w:rPr>
      </w:pPr>
      <w:r w:rsidRPr="00706C0A">
        <w:rPr>
          <w:bCs/>
          <w:color w:val="000000"/>
          <w:szCs w:val="24"/>
          <w:lang w:val="en-GB"/>
        </w:rPr>
        <w:t xml:space="preserve">the </w:t>
      </w:r>
      <w:r w:rsidR="00D90DF5">
        <w:rPr>
          <w:bCs/>
          <w:color w:val="000000"/>
          <w:szCs w:val="24"/>
          <w:lang w:val="en-GB"/>
        </w:rPr>
        <w:t xml:space="preserve">interim and </w:t>
      </w:r>
      <w:r w:rsidRPr="00706C0A">
        <w:rPr>
          <w:bCs/>
          <w:color w:val="000000"/>
          <w:szCs w:val="24"/>
          <w:lang w:val="en-GB"/>
        </w:rPr>
        <w:t>final results from stud</w:t>
      </w:r>
      <w:r w:rsidR="00897D9E">
        <w:rPr>
          <w:bCs/>
          <w:color w:val="000000"/>
          <w:szCs w:val="24"/>
          <w:lang w:val="en-GB"/>
        </w:rPr>
        <w:t xml:space="preserve">y 110 (96 weeks open use in 6 </w:t>
      </w:r>
      <w:r w:rsidR="00897D9E">
        <w:rPr>
          <w:bCs/>
          <w:color w:val="000000"/>
          <w:szCs w:val="24"/>
          <w:lang w:val="en-GB"/>
        </w:rPr>
        <w:noBreakHyphen/>
        <w:t xml:space="preserve"> </w:t>
      </w:r>
      <w:r w:rsidRPr="00706C0A">
        <w:rPr>
          <w:bCs/>
          <w:color w:val="000000"/>
          <w:szCs w:val="24"/>
          <w:lang w:val="en-GB"/>
        </w:rPr>
        <w:t>11 year olds) be submitted to the PBAC within 1 mont</w:t>
      </w:r>
      <w:r w:rsidR="00897D9E">
        <w:rPr>
          <w:bCs/>
          <w:color w:val="000000"/>
          <w:szCs w:val="24"/>
          <w:lang w:val="en-GB"/>
        </w:rPr>
        <w:t>h of the report</w:t>
      </w:r>
      <w:r w:rsidR="00D90DF5">
        <w:rPr>
          <w:bCs/>
          <w:color w:val="000000"/>
          <w:szCs w:val="24"/>
          <w:lang w:val="en-GB"/>
        </w:rPr>
        <w:t>s</w:t>
      </w:r>
      <w:r w:rsidR="00897D9E">
        <w:rPr>
          <w:bCs/>
          <w:color w:val="000000"/>
          <w:szCs w:val="24"/>
          <w:lang w:val="en-GB"/>
        </w:rPr>
        <w:t xml:space="preserve"> being finalised</w:t>
      </w:r>
      <w:r w:rsidR="00D90DF5" w:rsidRPr="00D90DF5">
        <w:t xml:space="preserve"> </w:t>
      </w:r>
      <w:r w:rsidR="00D90DF5" w:rsidRPr="00D90DF5">
        <w:rPr>
          <w:bCs/>
          <w:color w:val="000000"/>
          <w:szCs w:val="24"/>
          <w:lang w:val="en-GB"/>
        </w:rPr>
        <w:t xml:space="preserve">unless one or both reports has already been finalised, in which case the relevant report must be provided to the PBAC within one month of the commencement of </w:t>
      </w:r>
      <w:r w:rsidR="00D90DF5">
        <w:rPr>
          <w:bCs/>
          <w:color w:val="000000"/>
          <w:szCs w:val="24"/>
          <w:lang w:val="en-GB"/>
        </w:rPr>
        <w:t>subsidy</w:t>
      </w:r>
      <w:r w:rsidR="00897D9E">
        <w:rPr>
          <w:bCs/>
          <w:color w:val="000000"/>
          <w:szCs w:val="24"/>
          <w:lang w:val="en-GB"/>
        </w:rPr>
        <w:t>.</w:t>
      </w:r>
    </w:p>
    <w:p w:rsidR="00897D9E" w:rsidRPr="00897D9E" w:rsidRDefault="00897D9E" w:rsidP="00897D9E">
      <w:pPr>
        <w:pStyle w:val="ListParagraph"/>
        <w:spacing w:after="120"/>
        <w:ind w:left="1440"/>
        <w:contextualSpacing/>
        <w:rPr>
          <w:rFonts w:asciiTheme="minorHAnsi" w:hAnsiTheme="minorHAnsi"/>
          <w:bCs/>
          <w:szCs w:val="24"/>
          <w:lang w:val="en-GB"/>
        </w:rPr>
      </w:pPr>
    </w:p>
    <w:p w:rsidR="0009361C" w:rsidRDefault="00E81C71" w:rsidP="00E81C71">
      <w:pPr>
        <w:pStyle w:val="ListParagraph"/>
        <w:numPr>
          <w:ilvl w:val="1"/>
          <w:numId w:val="45"/>
        </w:numPr>
        <w:ind w:hanging="720"/>
      </w:pPr>
      <w:r w:rsidRPr="002B66AB">
        <w:t xml:space="preserve">The </w:t>
      </w:r>
      <w:r w:rsidR="0009361C" w:rsidRPr="00C4077F">
        <w:rPr>
          <w:rFonts w:asciiTheme="minorHAnsi" w:hAnsiTheme="minorHAnsi"/>
        </w:rPr>
        <w:t xml:space="preserve">PBAC recognised the potential clinical value of </w:t>
      </w:r>
      <w:proofErr w:type="spellStart"/>
      <w:r w:rsidR="0009361C" w:rsidRPr="00C4077F">
        <w:rPr>
          <w:rFonts w:asciiTheme="minorHAnsi" w:hAnsiTheme="minorHAnsi"/>
        </w:rPr>
        <w:t>lumacaftor</w:t>
      </w:r>
      <w:proofErr w:type="spellEnd"/>
      <w:r w:rsidR="0009361C" w:rsidRPr="00C4077F">
        <w:rPr>
          <w:rFonts w:asciiTheme="minorHAnsi" w:hAnsiTheme="minorHAnsi"/>
        </w:rPr>
        <w:t>/</w:t>
      </w:r>
      <w:proofErr w:type="spellStart"/>
      <w:r w:rsidR="0009361C" w:rsidRPr="00C4077F">
        <w:rPr>
          <w:rFonts w:asciiTheme="minorHAnsi" w:hAnsiTheme="minorHAnsi"/>
        </w:rPr>
        <w:t>ivacaftor</w:t>
      </w:r>
      <w:proofErr w:type="spellEnd"/>
      <w:r w:rsidR="0009361C" w:rsidRPr="00C4077F">
        <w:rPr>
          <w:rFonts w:asciiTheme="minorHAnsi" w:hAnsiTheme="minorHAnsi"/>
        </w:rPr>
        <w:t xml:space="preserve"> in the treatment of cystic fibrosis in patients aged </w:t>
      </w:r>
      <w:r w:rsidR="0009361C">
        <w:rPr>
          <w:rFonts w:asciiTheme="minorHAnsi" w:hAnsiTheme="minorHAnsi"/>
        </w:rPr>
        <w:t xml:space="preserve">6 </w:t>
      </w:r>
      <w:r w:rsidR="006840B0">
        <w:rPr>
          <w:rFonts w:asciiTheme="minorHAnsi" w:hAnsiTheme="minorHAnsi"/>
        </w:rPr>
        <w:t>–</w:t>
      </w:r>
      <w:r w:rsidR="0009361C">
        <w:rPr>
          <w:rFonts w:asciiTheme="minorHAnsi" w:hAnsiTheme="minorHAnsi"/>
        </w:rPr>
        <w:t xml:space="preserve"> 11</w:t>
      </w:r>
      <w:r w:rsidR="006840B0">
        <w:rPr>
          <w:rFonts w:asciiTheme="minorHAnsi" w:hAnsiTheme="minorHAnsi"/>
        </w:rPr>
        <w:t xml:space="preserve"> </w:t>
      </w:r>
      <w:r w:rsidR="0009361C" w:rsidRPr="00C4077F">
        <w:rPr>
          <w:rFonts w:asciiTheme="minorHAnsi" w:hAnsiTheme="minorHAnsi"/>
        </w:rPr>
        <w:t>years who are homozygous for the F508del mutation and recognised the strong support for subsidised access to this medicine and acknowledged the many consumer comments and the correspondence from the Cystic Fibro</w:t>
      </w:r>
      <w:r w:rsidR="009E6B06">
        <w:rPr>
          <w:rFonts w:asciiTheme="minorHAnsi" w:hAnsiTheme="minorHAnsi"/>
        </w:rPr>
        <w:t xml:space="preserve">sis Centre Directors, </w:t>
      </w:r>
      <w:r w:rsidR="0009361C" w:rsidRPr="00C4077F">
        <w:rPr>
          <w:rFonts w:asciiTheme="minorHAnsi" w:hAnsiTheme="minorHAnsi"/>
        </w:rPr>
        <w:t xml:space="preserve">Cystic Fibrosis </w:t>
      </w:r>
      <w:r w:rsidR="009E6B06">
        <w:rPr>
          <w:rFonts w:asciiTheme="minorHAnsi" w:hAnsiTheme="minorHAnsi"/>
        </w:rPr>
        <w:t xml:space="preserve">Australia and Cystic Fibrosis </w:t>
      </w:r>
      <w:r w:rsidR="00897D9E">
        <w:rPr>
          <w:rFonts w:asciiTheme="minorHAnsi" w:hAnsiTheme="minorHAnsi"/>
        </w:rPr>
        <w:t xml:space="preserve">SA relating to this </w:t>
      </w:r>
      <w:r w:rsidR="0009361C" w:rsidRPr="00C4077F">
        <w:rPr>
          <w:rFonts w:asciiTheme="minorHAnsi" w:hAnsiTheme="minorHAnsi"/>
        </w:rPr>
        <w:t>submission</w:t>
      </w:r>
      <w:r w:rsidR="009E6B06">
        <w:rPr>
          <w:rFonts w:asciiTheme="minorHAnsi" w:hAnsiTheme="minorHAnsi"/>
        </w:rPr>
        <w:t>.</w:t>
      </w:r>
    </w:p>
    <w:p w:rsidR="009E6B06" w:rsidRPr="009E6B06" w:rsidRDefault="009E6B06" w:rsidP="009E6B06">
      <w:pPr>
        <w:pStyle w:val="ListParagraph"/>
        <w:numPr>
          <w:ilvl w:val="1"/>
          <w:numId w:val="45"/>
        </w:numPr>
        <w:ind w:hanging="720"/>
      </w:pPr>
      <w:r w:rsidRPr="009E6B06">
        <w:t xml:space="preserve">The PBAC did not consider that </w:t>
      </w:r>
      <w:proofErr w:type="spellStart"/>
      <w:r w:rsidRPr="009E6B06">
        <w:t>lumacaftor</w:t>
      </w:r>
      <w:proofErr w:type="spellEnd"/>
      <w:r w:rsidRPr="009E6B06">
        <w:t>/</w:t>
      </w:r>
      <w:proofErr w:type="spellStart"/>
      <w:r w:rsidRPr="009E6B06">
        <w:t>ivacaftor</w:t>
      </w:r>
      <w:proofErr w:type="spellEnd"/>
      <w:r w:rsidRPr="009E6B06">
        <w:t xml:space="preserve"> should be treated as interchangeable with any other drugs.</w:t>
      </w:r>
    </w:p>
    <w:p w:rsidR="009E6B06" w:rsidRPr="009E6B06" w:rsidRDefault="009E6B06" w:rsidP="009E6B06">
      <w:pPr>
        <w:pStyle w:val="ListParagraph"/>
        <w:numPr>
          <w:ilvl w:val="1"/>
          <w:numId w:val="45"/>
        </w:numPr>
        <w:ind w:hanging="720"/>
      </w:pPr>
      <w:r w:rsidRPr="009E6B06">
        <w:t xml:space="preserve">The PBAC advised that </w:t>
      </w:r>
      <w:proofErr w:type="spellStart"/>
      <w:r w:rsidRPr="009E6B06">
        <w:t>lumacaftor</w:t>
      </w:r>
      <w:proofErr w:type="spellEnd"/>
      <w:r w:rsidRPr="009E6B06">
        <w:t>/</w:t>
      </w:r>
      <w:proofErr w:type="spellStart"/>
      <w:r w:rsidRPr="009E6B06">
        <w:t>ivacaftor</w:t>
      </w:r>
      <w:proofErr w:type="spellEnd"/>
      <w:r w:rsidRPr="009E6B06">
        <w:t xml:space="preserve"> is not suitable for prescribing by nurse practitioners.  </w:t>
      </w:r>
    </w:p>
    <w:p w:rsidR="009E6B06" w:rsidRPr="009E6B06" w:rsidRDefault="009E6B06" w:rsidP="009E6B06">
      <w:pPr>
        <w:pStyle w:val="ListParagraph"/>
        <w:numPr>
          <w:ilvl w:val="1"/>
          <w:numId w:val="45"/>
        </w:numPr>
        <w:ind w:hanging="720"/>
      </w:pPr>
      <w:r w:rsidRPr="009E6B06">
        <w:t xml:space="preserve">The PBAC recommended that the Early Supply Rule should not apply. </w:t>
      </w:r>
    </w:p>
    <w:p w:rsidR="009E6B06" w:rsidRPr="009E6B06" w:rsidRDefault="009E6B06" w:rsidP="009E6B06">
      <w:pPr>
        <w:spacing w:before="240"/>
        <w:rPr>
          <w:rFonts w:asciiTheme="minorHAnsi" w:hAnsiTheme="minorHAnsi"/>
          <w:b/>
          <w:bCs/>
          <w:lang w:val="en-GB"/>
        </w:rPr>
      </w:pPr>
      <w:r w:rsidRPr="009E6B06">
        <w:rPr>
          <w:rFonts w:asciiTheme="minorHAnsi" w:hAnsiTheme="minorHAnsi"/>
          <w:b/>
          <w:bCs/>
          <w:lang w:val="en-GB"/>
        </w:rPr>
        <w:t>Outcome:</w:t>
      </w:r>
    </w:p>
    <w:p w:rsidR="009F2127" w:rsidRDefault="009E6B06" w:rsidP="009E6B06">
      <w:pPr>
        <w:rPr>
          <w:rFonts w:asciiTheme="minorHAnsi" w:hAnsiTheme="minorHAnsi"/>
          <w:bCs/>
          <w:lang w:val="en-GB"/>
        </w:rPr>
      </w:pPr>
      <w:r w:rsidRPr="009E6B06">
        <w:rPr>
          <w:rFonts w:asciiTheme="minorHAnsi" w:hAnsiTheme="minorHAnsi"/>
          <w:bCs/>
          <w:lang w:val="en-GB"/>
        </w:rPr>
        <w:t xml:space="preserve">Recommended </w:t>
      </w:r>
    </w:p>
    <w:p w:rsidR="009F2127" w:rsidRDefault="009F2127">
      <w:pPr>
        <w:widowControl/>
        <w:jc w:val="left"/>
        <w:rPr>
          <w:rFonts w:asciiTheme="minorHAnsi" w:hAnsiTheme="minorHAnsi"/>
          <w:bCs/>
          <w:lang w:val="en-GB"/>
        </w:rPr>
      </w:pPr>
      <w:r>
        <w:rPr>
          <w:rFonts w:asciiTheme="minorHAnsi" w:hAnsiTheme="minorHAnsi"/>
          <w:bCs/>
          <w:lang w:val="en-GB"/>
        </w:rPr>
        <w:br w:type="page"/>
      </w:r>
    </w:p>
    <w:p w:rsidR="009E6B06" w:rsidRPr="009E6B06" w:rsidRDefault="009E6B06" w:rsidP="009E6B06">
      <w:pPr>
        <w:pStyle w:val="ListParagraph"/>
        <w:widowControl/>
        <w:numPr>
          <w:ilvl w:val="0"/>
          <w:numId w:val="45"/>
        </w:numPr>
        <w:spacing w:before="240" w:after="120"/>
        <w:ind w:hanging="720"/>
        <w:jc w:val="left"/>
        <w:outlineLvl w:val="0"/>
        <w:rPr>
          <w:rFonts w:asciiTheme="minorHAnsi" w:hAnsiTheme="minorHAnsi"/>
          <w:b/>
          <w:sz w:val="32"/>
          <w:szCs w:val="32"/>
        </w:rPr>
      </w:pPr>
      <w:r w:rsidRPr="009E6B06">
        <w:rPr>
          <w:rFonts w:asciiTheme="minorHAnsi" w:hAnsiTheme="minorHAnsi"/>
          <w:b/>
          <w:sz w:val="32"/>
          <w:szCs w:val="32"/>
        </w:rPr>
        <w:lastRenderedPageBreak/>
        <w:t>Recommended listing</w:t>
      </w:r>
    </w:p>
    <w:p w:rsidR="009E6B06" w:rsidRPr="005C5A18" w:rsidRDefault="009E6B06" w:rsidP="009E6B06">
      <w:pPr>
        <w:spacing w:after="120"/>
        <w:rPr>
          <w:rFonts w:asciiTheme="minorHAnsi" w:hAnsiTheme="minorHAnsi"/>
          <w:bCs/>
        </w:rPr>
      </w:pPr>
      <w:r w:rsidRPr="005C5A18">
        <w:rPr>
          <w:rFonts w:asciiTheme="minorHAnsi" w:hAnsiTheme="minorHAnsi"/>
          <w:bCs/>
        </w:rPr>
        <w:t>Add new item:</w:t>
      </w:r>
    </w:p>
    <w:p w:rsidR="009E6B06" w:rsidRDefault="009E6B06" w:rsidP="009E6B06">
      <w:pPr>
        <w:spacing w:before="120"/>
        <w:rPr>
          <w:rFonts w:ascii="Arial Narrow" w:eastAsiaTheme="minorHAnsi" w:hAnsi="Arial Narrow" w:cstheme="minorBidi"/>
          <w:b/>
          <w:sz w:val="20"/>
        </w:rPr>
      </w:pPr>
    </w:p>
    <w:tbl>
      <w:tblPr>
        <w:tblW w:w="5000" w:type="pct"/>
        <w:tblCellMar>
          <w:left w:w="28" w:type="dxa"/>
          <w:right w:w="28" w:type="dxa"/>
        </w:tblCellMar>
        <w:tblLook w:val="0000" w:firstRow="0" w:lastRow="0" w:firstColumn="0" w:lastColumn="0" w:noHBand="0" w:noVBand="0"/>
      </w:tblPr>
      <w:tblGrid>
        <w:gridCol w:w="1356"/>
        <w:gridCol w:w="4312"/>
        <w:gridCol w:w="804"/>
        <w:gridCol w:w="501"/>
        <w:gridCol w:w="840"/>
        <w:gridCol w:w="1270"/>
      </w:tblGrid>
      <w:tr w:rsidR="00D92CD4" w:rsidRPr="00CB0E2C" w:rsidTr="00D92CD4">
        <w:trPr>
          <w:cantSplit/>
          <w:trHeight w:val="463"/>
        </w:trPr>
        <w:tc>
          <w:tcPr>
            <w:tcW w:w="3120" w:type="pct"/>
            <w:gridSpan w:val="2"/>
            <w:tcBorders>
              <w:bottom w:val="single" w:sz="4" w:space="0" w:color="auto"/>
            </w:tcBorders>
            <w:vAlign w:val="center"/>
          </w:tcPr>
          <w:p w:rsidR="00D92CD4" w:rsidRPr="00CB0E2C" w:rsidRDefault="00D92CD4" w:rsidP="00A93DA9">
            <w:pPr>
              <w:keepNext/>
              <w:rPr>
                <w:rFonts w:ascii="Arial Narrow" w:hAnsi="Arial Narrow"/>
                <w:b/>
                <w:sz w:val="20"/>
              </w:rPr>
            </w:pPr>
            <w:r w:rsidRPr="00CB0E2C">
              <w:rPr>
                <w:rFonts w:ascii="Arial Narrow" w:hAnsi="Arial Narrow"/>
                <w:b/>
                <w:sz w:val="20"/>
              </w:rPr>
              <w:t>Name, Restriction,</w:t>
            </w:r>
          </w:p>
          <w:p w:rsidR="00D92CD4" w:rsidRPr="00CB0E2C" w:rsidRDefault="00D92CD4" w:rsidP="00A93DA9">
            <w:pPr>
              <w:keepNext/>
              <w:rPr>
                <w:rFonts w:ascii="Arial Narrow" w:hAnsi="Arial Narrow"/>
                <w:b/>
                <w:sz w:val="20"/>
              </w:rPr>
            </w:pPr>
            <w:r w:rsidRPr="00CB0E2C">
              <w:rPr>
                <w:rFonts w:ascii="Arial Narrow" w:hAnsi="Arial Narrow"/>
                <w:b/>
                <w:sz w:val="20"/>
              </w:rPr>
              <w:t>Manner of administration and form</w:t>
            </w:r>
          </w:p>
        </w:tc>
        <w:tc>
          <w:tcPr>
            <w:tcW w:w="443" w:type="pct"/>
            <w:tcBorders>
              <w:bottom w:val="single" w:sz="4" w:space="0" w:color="auto"/>
            </w:tcBorders>
            <w:vAlign w:val="center"/>
          </w:tcPr>
          <w:p w:rsidR="00D92CD4" w:rsidRPr="00CB0E2C" w:rsidRDefault="00D92CD4" w:rsidP="00A93DA9">
            <w:pPr>
              <w:keepNext/>
              <w:jc w:val="center"/>
              <w:rPr>
                <w:rFonts w:ascii="Arial Narrow" w:hAnsi="Arial Narrow"/>
                <w:b/>
                <w:sz w:val="20"/>
              </w:rPr>
            </w:pPr>
            <w:r w:rsidRPr="00CB0E2C">
              <w:rPr>
                <w:rFonts w:ascii="Arial Narrow" w:hAnsi="Arial Narrow"/>
                <w:b/>
                <w:sz w:val="20"/>
              </w:rPr>
              <w:t>Max.</w:t>
            </w:r>
          </w:p>
          <w:p w:rsidR="00D92CD4" w:rsidRPr="00CB0E2C" w:rsidRDefault="00D92CD4" w:rsidP="00A93DA9">
            <w:pPr>
              <w:keepNext/>
              <w:jc w:val="center"/>
              <w:rPr>
                <w:rFonts w:ascii="Arial Narrow" w:hAnsi="Arial Narrow"/>
                <w:b/>
                <w:sz w:val="20"/>
              </w:rPr>
            </w:pPr>
            <w:r w:rsidRPr="00CB0E2C">
              <w:rPr>
                <w:rFonts w:ascii="Arial Narrow" w:hAnsi="Arial Narrow"/>
                <w:b/>
                <w:sz w:val="20"/>
              </w:rPr>
              <w:t xml:space="preserve">Qty </w:t>
            </w:r>
          </w:p>
        </w:tc>
        <w:tc>
          <w:tcPr>
            <w:tcW w:w="276" w:type="pct"/>
            <w:tcBorders>
              <w:bottom w:val="single" w:sz="4" w:space="0" w:color="auto"/>
            </w:tcBorders>
            <w:vAlign w:val="center"/>
          </w:tcPr>
          <w:p w:rsidR="00D92CD4" w:rsidRPr="00CB0E2C" w:rsidRDefault="00D92CD4" w:rsidP="00A93DA9">
            <w:pPr>
              <w:keepNext/>
              <w:jc w:val="center"/>
              <w:rPr>
                <w:rFonts w:ascii="Arial Narrow" w:hAnsi="Arial Narrow"/>
                <w:b/>
                <w:sz w:val="20"/>
              </w:rPr>
            </w:pPr>
            <w:r w:rsidRPr="00CB0E2C">
              <w:rPr>
                <w:rFonts w:ascii="Arial Narrow" w:hAnsi="Arial Narrow"/>
                <w:b/>
                <w:sz w:val="20"/>
              </w:rPr>
              <w:t>№.of</w:t>
            </w:r>
          </w:p>
          <w:p w:rsidR="00D92CD4" w:rsidRPr="00CB0E2C" w:rsidRDefault="00D92CD4" w:rsidP="00A93DA9">
            <w:pPr>
              <w:keepNext/>
              <w:jc w:val="center"/>
              <w:rPr>
                <w:rFonts w:ascii="Arial Narrow" w:hAnsi="Arial Narrow"/>
                <w:b/>
                <w:sz w:val="20"/>
              </w:rPr>
            </w:pPr>
            <w:r w:rsidRPr="00CB0E2C">
              <w:rPr>
                <w:rFonts w:ascii="Arial Narrow" w:hAnsi="Arial Narrow"/>
                <w:b/>
                <w:sz w:val="20"/>
              </w:rPr>
              <w:t>Rpts</w:t>
            </w:r>
          </w:p>
        </w:tc>
        <w:tc>
          <w:tcPr>
            <w:tcW w:w="1162" w:type="pct"/>
            <w:gridSpan w:val="2"/>
            <w:tcBorders>
              <w:bottom w:val="single" w:sz="4" w:space="0" w:color="auto"/>
            </w:tcBorders>
            <w:vAlign w:val="center"/>
          </w:tcPr>
          <w:p w:rsidR="00D92CD4" w:rsidRPr="00CB0E2C" w:rsidRDefault="00D92CD4" w:rsidP="00A93DA9">
            <w:pPr>
              <w:keepNext/>
              <w:jc w:val="center"/>
              <w:rPr>
                <w:rFonts w:ascii="Arial Narrow" w:hAnsi="Arial Narrow"/>
                <w:b/>
                <w:sz w:val="20"/>
                <w:lang w:val="fr-FR"/>
              </w:rPr>
            </w:pPr>
            <w:r w:rsidRPr="00CB0E2C">
              <w:rPr>
                <w:rFonts w:ascii="Arial Narrow" w:hAnsi="Arial Narrow"/>
                <w:b/>
                <w:sz w:val="20"/>
              </w:rPr>
              <w:t>Proprietary Name and Manufacturer</w:t>
            </w:r>
          </w:p>
        </w:tc>
      </w:tr>
      <w:tr w:rsidR="00D92CD4" w:rsidRPr="00CB0E2C" w:rsidTr="00D92CD4">
        <w:trPr>
          <w:cantSplit/>
          <w:trHeight w:val="567"/>
        </w:trPr>
        <w:tc>
          <w:tcPr>
            <w:tcW w:w="3120" w:type="pct"/>
            <w:gridSpan w:val="2"/>
            <w:tcBorders>
              <w:top w:val="single" w:sz="4" w:space="0" w:color="auto"/>
            </w:tcBorders>
            <w:vAlign w:val="center"/>
          </w:tcPr>
          <w:p w:rsidR="00D92CD4" w:rsidRPr="00CB0E2C" w:rsidRDefault="00D92CD4" w:rsidP="00A93DA9">
            <w:pPr>
              <w:keepNext/>
              <w:rPr>
                <w:rFonts w:ascii="Arial Narrow" w:hAnsi="Arial Narrow"/>
                <w:sz w:val="20"/>
                <w:lang w:val="nn-NO"/>
              </w:rPr>
            </w:pPr>
            <w:r w:rsidRPr="00CB0E2C">
              <w:rPr>
                <w:rFonts w:ascii="Arial Narrow" w:hAnsi="Arial Narrow"/>
                <w:sz w:val="20"/>
                <w:lang w:val="nn-NO"/>
              </w:rPr>
              <w:t xml:space="preserve">lumacaftor 100 mg/ ivacaftor 125 mg </w:t>
            </w:r>
          </w:p>
          <w:p w:rsidR="00D92CD4" w:rsidRPr="00CB0E2C" w:rsidRDefault="00D92CD4" w:rsidP="00A93DA9">
            <w:pPr>
              <w:keepNext/>
              <w:rPr>
                <w:rFonts w:ascii="Arial Narrow" w:hAnsi="Arial Narrow"/>
                <w:sz w:val="20"/>
                <w:lang w:val="nn-NO"/>
              </w:rPr>
            </w:pPr>
            <w:r w:rsidRPr="00CB0E2C">
              <w:rPr>
                <w:rFonts w:ascii="Arial Narrow" w:hAnsi="Arial Narrow"/>
                <w:sz w:val="20"/>
                <w:lang w:val="nn-NO"/>
              </w:rPr>
              <w:t>tablets</w:t>
            </w:r>
          </w:p>
        </w:tc>
        <w:tc>
          <w:tcPr>
            <w:tcW w:w="443" w:type="pct"/>
            <w:tcBorders>
              <w:top w:val="single" w:sz="4" w:space="0" w:color="auto"/>
            </w:tcBorders>
            <w:vAlign w:val="center"/>
          </w:tcPr>
          <w:p w:rsidR="00D92CD4" w:rsidRPr="00CB0E2C" w:rsidRDefault="00D92CD4" w:rsidP="00A93DA9">
            <w:pPr>
              <w:keepNext/>
              <w:jc w:val="center"/>
              <w:rPr>
                <w:rFonts w:ascii="Arial Narrow" w:hAnsi="Arial Narrow"/>
                <w:sz w:val="20"/>
              </w:rPr>
            </w:pPr>
            <w:r w:rsidRPr="00CB0E2C">
              <w:rPr>
                <w:rFonts w:ascii="Arial Narrow" w:hAnsi="Arial Narrow"/>
                <w:sz w:val="20"/>
              </w:rPr>
              <w:t>Pack containing 112 tablets</w:t>
            </w:r>
          </w:p>
        </w:tc>
        <w:tc>
          <w:tcPr>
            <w:tcW w:w="276" w:type="pct"/>
            <w:tcBorders>
              <w:top w:val="single" w:sz="4" w:space="0" w:color="auto"/>
            </w:tcBorders>
            <w:vAlign w:val="center"/>
          </w:tcPr>
          <w:p w:rsidR="00D92CD4" w:rsidRPr="00CB0E2C" w:rsidRDefault="00D92CD4" w:rsidP="00A93DA9">
            <w:pPr>
              <w:keepNext/>
              <w:jc w:val="center"/>
              <w:rPr>
                <w:rFonts w:ascii="Arial Narrow" w:hAnsi="Arial Narrow"/>
                <w:sz w:val="20"/>
              </w:rPr>
            </w:pPr>
            <w:r w:rsidRPr="00CB0E2C">
              <w:rPr>
                <w:rFonts w:ascii="Arial Narrow" w:hAnsi="Arial Narrow"/>
                <w:sz w:val="20"/>
              </w:rPr>
              <w:t>5</w:t>
            </w:r>
          </w:p>
        </w:tc>
        <w:tc>
          <w:tcPr>
            <w:tcW w:w="462" w:type="pct"/>
            <w:tcBorders>
              <w:top w:val="single" w:sz="4" w:space="0" w:color="auto"/>
            </w:tcBorders>
            <w:vAlign w:val="center"/>
          </w:tcPr>
          <w:p w:rsidR="00D92CD4" w:rsidRPr="00CB0E2C" w:rsidRDefault="00D92CD4" w:rsidP="00A93DA9">
            <w:pPr>
              <w:keepNext/>
              <w:jc w:val="center"/>
              <w:rPr>
                <w:rFonts w:ascii="Arial Narrow" w:hAnsi="Arial Narrow"/>
                <w:sz w:val="20"/>
              </w:rPr>
            </w:pPr>
            <w:proofErr w:type="spellStart"/>
            <w:r w:rsidRPr="00CB0E2C">
              <w:rPr>
                <w:rFonts w:ascii="Arial Narrow" w:hAnsi="Arial Narrow"/>
                <w:sz w:val="20"/>
              </w:rPr>
              <w:t>Orkambi</w:t>
            </w:r>
            <w:proofErr w:type="spellEnd"/>
            <w:r w:rsidRPr="00CB0E2C">
              <w:rPr>
                <w:rFonts w:ascii="Arial Narrow" w:hAnsi="Arial Narrow"/>
                <w:sz w:val="20"/>
              </w:rPr>
              <w:t>™</w:t>
            </w:r>
          </w:p>
        </w:tc>
        <w:tc>
          <w:tcPr>
            <w:tcW w:w="699" w:type="pct"/>
            <w:tcBorders>
              <w:top w:val="single" w:sz="4" w:space="0" w:color="auto"/>
            </w:tcBorders>
            <w:vAlign w:val="center"/>
          </w:tcPr>
          <w:p w:rsidR="00D92CD4" w:rsidRPr="00CB0E2C" w:rsidRDefault="00D92CD4" w:rsidP="00A93DA9">
            <w:pPr>
              <w:keepNext/>
              <w:jc w:val="center"/>
              <w:rPr>
                <w:rFonts w:ascii="Arial Narrow" w:hAnsi="Arial Narrow"/>
                <w:sz w:val="20"/>
              </w:rPr>
            </w:pPr>
            <w:r w:rsidRPr="00CB0E2C">
              <w:rPr>
                <w:rFonts w:ascii="Arial Narrow" w:hAnsi="Arial Narrow"/>
                <w:sz w:val="20"/>
              </w:rPr>
              <w:t>Vertex Pharmaceuticals (Australia) Pty Ltd</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 xml:space="preserve">Category / </w:t>
            </w:r>
          </w:p>
          <w:p w:rsidR="00D92CD4" w:rsidRPr="00EA3F71" w:rsidRDefault="00D92CD4" w:rsidP="00A93DA9">
            <w:pPr>
              <w:rPr>
                <w:rFonts w:ascii="Arial Narrow" w:hAnsi="Arial Narrow"/>
                <w:b/>
                <w:sz w:val="20"/>
              </w:rPr>
            </w:pPr>
            <w:r w:rsidRPr="00EA3F71">
              <w:rPr>
                <w:rFonts w:ascii="Arial Narrow" w:hAnsi="Arial Narrow"/>
                <w:b/>
                <w:sz w:val="20"/>
              </w:rPr>
              <w:t>Program</w:t>
            </w:r>
          </w:p>
        </w:tc>
        <w:tc>
          <w:tcPr>
            <w:tcW w:w="4254" w:type="pct"/>
            <w:gridSpan w:val="5"/>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sz w:val="20"/>
              </w:rPr>
            </w:pPr>
            <w:r w:rsidRPr="00EA3F71">
              <w:rPr>
                <w:rFonts w:ascii="Arial Narrow" w:hAnsi="Arial Narrow"/>
                <w:sz w:val="20"/>
              </w:rPr>
              <w:t>Section 100 – Highly Specialised Drugs Program</w:t>
            </w:r>
          </w:p>
          <w:p w:rsidR="00D92CD4" w:rsidRPr="00EA3F71" w:rsidRDefault="00D92CD4" w:rsidP="00A93DA9">
            <w:pPr>
              <w:rPr>
                <w:rFonts w:ascii="Arial Narrow" w:hAnsi="Arial Narrow"/>
                <w:sz w:val="20"/>
              </w:rPr>
            </w:pP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Prescriber type:</w:t>
            </w:r>
          </w:p>
          <w:p w:rsidR="00D92CD4" w:rsidRPr="00EA3F71" w:rsidRDefault="00D92CD4" w:rsidP="00A93DA9">
            <w:pPr>
              <w:rPr>
                <w:rFonts w:ascii="Arial Narrow" w:hAnsi="Arial Narrow"/>
                <w:b/>
                <w:sz w:val="20"/>
              </w:rPr>
            </w:pPr>
          </w:p>
        </w:tc>
        <w:tc>
          <w:tcPr>
            <w:tcW w:w="4254" w:type="pct"/>
            <w:gridSpan w:val="5"/>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sz w:val="20"/>
              </w:rPr>
            </w:pPr>
            <w:r w:rsidRPr="00EA3F71">
              <w:rPr>
                <w:rFonts w:ascii="Arial Narrow" w:hAnsi="Arial Narrow"/>
                <w:sz w:val="20"/>
              </w:rPr>
              <w:fldChar w:fldCharType="begin">
                <w:ffData>
                  <w:name w:val="Check1"/>
                  <w:enabled/>
                  <w:calcOnExit w:val="0"/>
                  <w:checkBox>
                    <w:sizeAuto/>
                    <w:default w:val="0"/>
                  </w:checkBox>
                </w:ffData>
              </w:fldChar>
            </w:r>
            <w:r w:rsidRPr="00EA3F71">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 xml:space="preserve">Dental  </w:t>
            </w:r>
            <w:r w:rsidRPr="00EA3F71">
              <w:rPr>
                <w:rFonts w:ascii="Arial Narrow" w:hAnsi="Arial Narrow"/>
                <w:sz w:val="20"/>
              </w:rPr>
              <w:fldChar w:fldCharType="begin">
                <w:ffData>
                  <w:name w:val=""/>
                  <w:enabled/>
                  <w:calcOnExit w:val="0"/>
                  <w:checkBox>
                    <w:sizeAuto/>
                    <w:default w:val="1"/>
                  </w:checkBox>
                </w:ffData>
              </w:fldChar>
            </w:r>
            <w:r w:rsidRPr="00EA3F71">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 xml:space="preserve">Medical Practitioners  </w:t>
            </w:r>
            <w:r w:rsidRPr="00EA3F71">
              <w:rPr>
                <w:rFonts w:ascii="Arial Narrow" w:hAnsi="Arial Narrow"/>
                <w:sz w:val="20"/>
              </w:rPr>
              <w:fldChar w:fldCharType="begin">
                <w:ffData>
                  <w:name w:val="Check3"/>
                  <w:enabled/>
                  <w:calcOnExit w:val="0"/>
                  <w:checkBox>
                    <w:sizeAuto/>
                    <w:default w:val="0"/>
                  </w:checkBox>
                </w:ffData>
              </w:fldChar>
            </w:r>
            <w:r w:rsidRPr="00EA3F71">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 xml:space="preserve">Nurse practitioners  </w:t>
            </w:r>
            <w:r w:rsidRPr="00EA3F71">
              <w:rPr>
                <w:rFonts w:ascii="Arial Narrow" w:hAnsi="Arial Narrow"/>
                <w:sz w:val="20"/>
              </w:rPr>
              <w:fldChar w:fldCharType="begin">
                <w:ffData>
                  <w:name w:val=""/>
                  <w:enabled/>
                  <w:calcOnExit w:val="0"/>
                  <w:checkBox>
                    <w:sizeAuto/>
                    <w:default w:val="0"/>
                  </w:checkBox>
                </w:ffData>
              </w:fldChar>
            </w:r>
            <w:r w:rsidRPr="00EA3F71">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Optometrists</w:t>
            </w:r>
          </w:p>
          <w:p w:rsidR="00D92CD4" w:rsidRPr="00EA3F71" w:rsidRDefault="00D92CD4" w:rsidP="00A93DA9">
            <w:pPr>
              <w:rPr>
                <w:rFonts w:ascii="Arial Narrow" w:hAnsi="Arial Narrow"/>
                <w:sz w:val="20"/>
              </w:rPr>
            </w:pPr>
            <w:r w:rsidRPr="00EA3F71">
              <w:rPr>
                <w:rFonts w:ascii="Arial Narrow" w:hAnsi="Arial Narrow"/>
                <w:sz w:val="20"/>
              </w:rPr>
              <w:fldChar w:fldCharType="begin">
                <w:ffData>
                  <w:name w:val="Check5"/>
                  <w:enabled/>
                  <w:calcOnExit w:val="0"/>
                  <w:checkBox>
                    <w:sizeAuto/>
                    <w:default w:val="0"/>
                  </w:checkBox>
                </w:ffData>
              </w:fldChar>
            </w:r>
            <w:r w:rsidRPr="00EA3F71">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Midwives</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PBS Indication:</w:t>
            </w:r>
          </w:p>
        </w:tc>
        <w:tc>
          <w:tcPr>
            <w:tcW w:w="4254" w:type="pct"/>
            <w:gridSpan w:val="5"/>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strike/>
                <w:sz w:val="20"/>
              </w:rPr>
            </w:pPr>
            <w:r w:rsidRPr="00EA3F71">
              <w:rPr>
                <w:rFonts w:ascii="Arial Narrow" w:hAnsi="Arial Narrow"/>
                <w:sz w:val="20"/>
              </w:rPr>
              <w:t>Cystic Fibrosis</w:t>
            </w:r>
          </w:p>
        </w:tc>
      </w:tr>
      <w:tr w:rsidR="00D92CD4" w:rsidRPr="00EA3F71" w:rsidTr="00D92CD4">
        <w:tblPrEx>
          <w:tblCellMar>
            <w:left w:w="108" w:type="dxa"/>
            <w:right w:w="108" w:type="dxa"/>
          </w:tblCellMar>
        </w:tblPrEx>
        <w:trPr>
          <w:cantSplit/>
          <w:trHeight w:val="157"/>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Treatment phase:</w:t>
            </w:r>
          </w:p>
        </w:tc>
        <w:tc>
          <w:tcPr>
            <w:tcW w:w="4254" w:type="pct"/>
            <w:gridSpan w:val="5"/>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sz w:val="20"/>
              </w:rPr>
            </w:pPr>
            <w:r w:rsidRPr="00EA3F71">
              <w:rPr>
                <w:rFonts w:ascii="Arial Narrow" w:hAnsi="Arial Narrow"/>
                <w:sz w:val="20"/>
              </w:rPr>
              <w:t>Initial</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Restriction:</w:t>
            </w:r>
          </w:p>
          <w:p w:rsidR="00D92CD4" w:rsidRPr="00EA3F71" w:rsidRDefault="00D92CD4" w:rsidP="00A93DA9">
            <w:pPr>
              <w:rPr>
                <w:rFonts w:ascii="Arial Narrow" w:hAnsi="Arial Narrow"/>
                <w:i/>
                <w:sz w:val="20"/>
              </w:rPr>
            </w:pPr>
          </w:p>
        </w:tc>
        <w:tc>
          <w:tcPr>
            <w:tcW w:w="4254" w:type="pct"/>
            <w:gridSpan w:val="5"/>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sz w:val="20"/>
              </w:rPr>
            </w:pPr>
            <w:r w:rsidRPr="00EA3F71">
              <w:rPr>
                <w:rFonts w:ascii="Arial Narrow" w:hAnsi="Arial Narrow"/>
                <w:sz w:val="20"/>
              </w:rPr>
              <w:fldChar w:fldCharType="begin">
                <w:ffData>
                  <w:name w:val=""/>
                  <w:enabled/>
                  <w:calcOnExit w:val="0"/>
                  <w:checkBox>
                    <w:sizeAuto/>
                    <w:default w:val="1"/>
                  </w:checkBox>
                </w:ffData>
              </w:fldChar>
            </w:r>
            <w:r w:rsidRPr="00EA3F71">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Authority Required - In Writing</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Treatment criteria:</w:t>
            </w:r>
          </w:p>
          <w:p w:rsidR="00D92CD4" w:rsidRPr="00EA3F71" w:rsidRDefault="00D92CD4" w:rsidP="00A93DA9">
            <w:pPr>
              <w:rPr>
                <w:rFonts w:ascii="Arial Narrow" w:hAnsi="Arial Narrow"/>
                <w:i/>
                <w:sz w:val="20"/>
              </w:rPr>
            </w:pPr>
          </w:p>
        </w:tc>
        <w:tc>
          <w:tcPr>
            <w:tcW w:w="4254" w:type="pct"/>
            <w:gridSpan w:val="5"/>
            <w:tcBorders>
              <w:top w:val="single" w:sz="4" w:space="0" w:color="auto"/>
              <w:left w:val="single" w:sz="4" w:space="0" w:color="auto"/>
              <w:bottom w:val="single" w:sz="4" w:space="0" w:color="auto"/>
              <w:right w:val="single" w:sz="4" w:space="0" w:color="auto"/>
            </w:tcBorders>
          </w:tcPr>
          <w:p w:rsidR="00D92CD4" w:rsidRPr="00C4077F" w:rsidRDefault="00D92CD4" w:rsidP="00A93DA9">
            <w:pPr>
              <w:rPr>
                <w:rFonts w:ascii="Arial Narrow" w:hAnsi="Arial Narrow"/>
                <w:sz w:val="20"/>
              </w:rPr>
            </w:pPr>
            <w:r w:rsidRPr="00C4077F">
              <w:rPr>
                <w:rFonts w:ascii="Arial Narrow" w:hAnsi="Arial Narrow"/>
                <w:sz w:val="20"/>
              </w:rPr>
              <w:t>Must be treated by a specialist respiratory physician with expertise in cystic fibrosis, OR</w:t>
            </w:r>
          </w:p>
          <w:p w:rsidR="00D92CD4" w:rsidRPr="00C4077F" w:rsidRDefault="00D92CD4" w:rsidP="00A93DA9">
            <w:pPr>
              <w:rPr>
                <w:rFonts w:ascii="Arial Narrow" w:hAnsi="Arial Narrow"/>
                <w:sz w:val="20"/>
              </w:rPr>
            </w:pPr>
            <w:r w:rsidRPr="00C4077F">
              <w:rPr>
                <w:rFonts w:ascii="Arial Narrow" w:hAnsi="Arial Narrow"/>
                <w:sz w:val="20"/>
              </w:rPr>
              <w:t>Must be treated in consultation with a specialist respiratory physician with expertise in cystic fibrosis if attendance is not possible due to geographic isolation;</w:t>
            </w:r>
          </w:p>
          <w:p w:rsidR="00D92CD4" w:rsidRPr="00C4077F" w:rsidRDefault="00D92CD4" w:rsidP="00A93DA9">
            <w:pPr>
              <w:rPr>
                <w:rFonts w:ascii="Arial Narrow" w:hAnsi="Arial Narrow"/>
                <w:sz w:val="20"/>
              </w:rPr>
            </w:pPr>
            <w:r w:rsidRPr="00C4077F">
              <w:rPr>
                <w:rFonts w:ascii="Arial Narrow" w:hAnsi="Arial Narrow"/>
                <w:sz w:val="20"/>
              </w:rPr>
              <w:t>AND</w:t>
            </w:r>
          </w:p>
          <w:p w:rsidR="00D92CD4" w:rsidRPr="00C4077F" w:rsidRDefault="00D92CD4" w:rsidP="00A93DA9">
            <w:pPr>
              <w:rPr>
                <w:rFonts w:ascii="Arial Narrow" w:hAnsi="Arial Narrow"/>
                <w:sz w:val="20"/>
              </w:rPr>
            </w:pPr>
            <w:r w:rsidRPr="00C4077F">
              <w:rPr>
                <w:rFonts w:ascii="Arial Narrow" w:hAnsi="Arial Narrow"/>
                <w:sz w:val="20"/>
              </w:rPr>
              <w:t>Must be treated in a centre with expertise in cystic fibrosis, OR</w:t>
            </w:r>
          </w:p>
          <w:p w:rsidR="00D92CD4" w:rsidRPr="00EA3F71" w:rsidRDefault="00D92CD4" w:rsidP="00A93DA9">
            <w:pPr>
              <w:rPr>
                <w:rFonts w:ascii="Arial Narrow" w:hAnsi="Arial Narrow"/>
                <w:sz w:val="20"/>
              </w:rPr>
            </w:pPr>
            <w:r w:rsidRPr="00C4077F">
              <w:rPr>
                <w:rFonts w:ascii="Arial Narrow" w:hAnsi="Arial Narrow"/>
                <w:sz w:val="20"/>
              </w:rPr>
              <w:t>Must be treated in consultation with a centre with expertise in cystic fibrosis if attendance is not possible due to geographic isolation.</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Clinical criteria:</w:t>
            </w:r>
          </w:p>
          <w:p w:rsidR="00D92CD4" w:rsidRPr="00EA3F71" w:rsidRDefault="00D92CD4" w:rsidP="00A93DA9">
            <w:pPr>
              <w:rPr>
                <w:rFonts w:ascii="Arial Narrow" w:hAnsi="Arial Narrow"/>
                <w:i/>
                <w:sz w:val="20"/>
              </w:rPr>
            </w:pPr>
          </w:p>
        </w:tc>
        <w:tc>
          <w:tcPr>
            <w:tcW w:w="4254" w:type="pct"/>
            <w:gridSpan w:val="5"/>
            <w:tcBorders>
              <w:top w:val="single" w:sz="4" w:space="0" w:color="auto"/>
              <w:left w:val="single" w:sz="4" w:space="0" w:color="auto"/>
              <w:bottom w:val="single" w:sz="4" w:space="0" w:color="auto"/>
              <w:right w:val="single" w:sz="4" w:space="0" w:color="auto"/>
            </w:tcBorders>
          </w:tcPr>
          <w:p w:rsidR="00D92CD4" w:rsidRPr="00C4077F" w:rsidRDefault="00D92CD4" w:rsidP="00A93DA9">
            <w:pPr>
              <w:rPr>
                <w:rFonts w:ascii="Arial Narrow" w:hAnsi="Arial Narrow"/>
                <w:sz w:val="20"/>
              </w:rPr>
            </w:pPr>
            <w:r w:rsidRPr="00C4077F">
              <w:rPr>
                <w:rFonts w:ascii="Arial Narrow" w:hAnsi="Arial Narrow"/>
                <w:sz w:val="20"/>
              </w:rPr>
              <w:t>Patient must be homozygous for the F508del mutation in the cystic fibrosis transmembrane conductance regulator (CFTR) gene;</w:t>
            </w:r>
          </w:p>
          <w:p w:rsidR="00D92CD4" w:rsidRPr="00C4077F" w:rsidRDefault="00D92CD4" w:rsidP="00A93DA9">
            <w:pPr>
              <w:rPr>
                <w:rFonts w:ascii="Arial Narrow" w:hAnsi="Arial Narrow"/>
                <w:sz w:val="20"/>
              </w:rPr>
            </w:pPr>
            <w:r w:rsidRPr="00C4077F">
              <w:rPr>
                <w:rFonts w:ascii="Arial Narrow" w:hAnsi="Arial Narrow"/>
                <w:sz w:val="20"/>
              </w:rPr>
              <w:t xml:space="preserve">AND </w:t>
            </w:r>
          </w:p>
          <w:p w:rsidR="00D92CD4" w:rsidRPr="00EA3F71" w:rsidRDefault="00D92CD4" w:rsidP="00A93DA9">
            <w:pPr>
              <w:rPr>
                <w:rFonts w:ascii="Arial Narrow" w:hAnsi="Arial Narrow"/>
                <w:strike/>
                <w:sz w:val="20"/>
              </w:rPr>
            </w:pPr>
            <w:r w:rsidRPr="00C4077F">
              <w:rPr>
                <w:rFonts w:ascii="Arial Narrow" w:hAnsi="Arial Narrow"/>
                <w:sz w:val="20"/>
              </w:rPr>
              <w:t>The treatment must be given concomitantly with standard therapy for this condition.</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i/>
                <w:sz w:val="20"/>
              </w:rPr>
            </w:pPr>
            <w:r w:rsidRPr="00EA3F71">
              <w:rPr>
                <w:rFonts w:ascii="Arial Narrow" w:hAnsi="Arial Narrow"/>
                <w:b/>
                <w:sz w:val="20"/>
              </w:rPr>
              <w:t>Population criteria:</w:t>
            </w:r>
          </w:p>
        </w:tc>
        <w:tc>
          <w:tcPr>
            <w:tcW w:w="4254" w:type="pct"/>
            <w:gridSpan w:val="5"/>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sz w:val="20"/>
              </w:rPr>
            </w:pPr>
            <w:r w:rsidRPr="00EA3F71">
              <w:rPr>
                <w:rFonts w:ascii="Arial Narrow" w:hAnsi="Arial Narrow"/>
                <w:sz w:val="20"/>
              </w:rPr>
              <w:t xml:space="preserve">Patient must be </w:t>
            </w:r>
            <w:r>
              <w:rPr>
                <w:rFonts w:ascii="Arial Narrow" w:hAnsi="Arial Narrow"/>
                <w:sz w:val="20"/>
              </w:rPr>
              <w:t xml:space="preserve">aged between 6 and 11 </w:t>
            </w:r>
            <w:r w:rsidRPr="00EA3F71">
              <w:rPr>
                <w:rFonts w:ascii="Arial Narrow" w:hAnsi="Arial Narrow"/>
                <w:sz w:val="20"/>
              </w:rPr>
              <w:t>years</w:t>
            </w:r>
            <w:r>
              <w:rPr>
                <w:rFonts w:ascii="Arial Narrow" w:hAnsi="Arial Narrow"/>
                <w:sz w:val="20"/>
              </w:rPr>
              <w:t xml:space="preserve"> inclusive.</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t>Prescriber Instructions:</w:t>
            </w:r>
          </w:p>
        </w:tc>
        <w:tc>
          <w:tcPr>
            <w:tcW w:w="4254" w:type="pct"/>
            <w:gridSpan w:val="5"/>
            <w:tcBorders>
              <w:top w:val="single" w:sz="4" w:space="0" w:color="auto"/>
              <w:left w:val="single" w:sz="4" w:space="0" w:color="auto"/>
              <w:bottom w:val="single" w:sz="4" w:space="0" w:color="auto"/>
              <w:right w:val="single" w:sz="4" w:space="0" w:color="auto"/>
            </w:tcBorders>
          </w:tcPr>
          <w:p w:rsidR="00D92CD4" w:rsidRPr="00C4077F" w:rsidRDefault="00D92CD4" w:rsidP="00A93DA9">
            <w:pPr>
              <w:rPr>
                <w:rFonts w:ascii="Arial Narrow" w:hAnsi="Arial Narrow"/>
                <w:sz w:val="20"/>
              </w:rPr>
            </w:pPr>
            <w:r>
              <w:rPr>
                <w:rFonts w:ascii="Arial Narrow" w:hAnsi="Arial Narrow"/>
                <w:sz w:val="20"/>
              </w:rPr>
              <w:t>The p</w:t>
            </w:r>
            <w:r w:rsidRPr="00C4077F">
              <w:rPr>
                <w:rFonts w:ascii="Arial Narrow" w:hAnsi="Arial Narrow"/>
                <w:sz w:val="20"/>
              </w:rPr>
              <w:t>atient must be registered in the Australian Cystic Fibrosis Database Registry. Treatment must not be given to a patient who has an acute upper or lower respiratory infection, pulmonary exacerbation, or changes in therapy (including antibiotics) for pulmonary disease in the last 4 weeks prior to commencing this drug.</w:t>
            </w:r>
          </w:p>
          <w:p w:rsidR="00D92CD4" w:rsidRPr="00AE3628" w:rsidRDefault="00D92CD4" w:rsidP="00A93DA9">
            <w:pPr>
              <w:rPr>
                <w:rFonts w:ascii="Arial Narrow" w:hAnsi="Arial Narrow"/>
                <w:sz w:val="20"/>
              </w:rPr>
            </w:pPr>
          </w:p>
          <w:p w:rsidR="00D92CD4" w:rsidRPr="00EA3F71" w:rsidRDefault="00D92CD4" w:rsidP="00A93DA9">
            <w:pPr>
              <w:rPr>
                <w:rFonts w:ascii="Arial Narrow" w:hAnsi="Arial Narrow"/>
                <w:sz w:val="20"/>
              </w:rPr>
            </w:pPr>
            <w:r w:rsidRPr="00EA3F71">
              <w:rPr>
                <w:rFonts w:ascii="Arial Narrow" w:hAnsi="Arial Narrow"/>
                <w:sz w:val="20"/>
              </w:rPr>
              <w:t>The authority application must be in writing and must include:</w:t>
            </w:r>
          </w:p>
          <w:p w:rsidR="00D92CD4" w:rsidRPr="00EA3F71" w:rsidRDefault="00D92CD4" w:rsidP="00A93DA9">
            <w:pPr>
              <w:rPr>
                <w:rFonts w:ascii="Arial Narrow" w:hAnsi="Arial Narrow"/>
                <w:sz w:val="20"/>
              </w:rPr>
            </w:pPr>
            <w:r w:rsidRPr="00EA3F71">
              <w:rPr>
                <w:rFonts w:ascii="Arial Narrow" w:hAnsi="Arial Narrow"/>
                <w:sz w:val="20"/>
              </w:rPr>
              <w:t>(1) a completed authority prescription form; and</w:t>
            </w:r>
          </w:p>
          <w:p w:rsidR="00D92CD4" w:rsidRPr="00F82CD8" w:rsidRDefault="00D92CD4" w:rsidP="00A93DA9">
            <w:pPr>
              <w:rPr>
                <w:rFonts w:ascii="Arial Narrow" w:hAnsi="Arial Narrow"/>
                <w:sz w:val="20"/>
              </w:rPr>
            </w:pPr>
            <w:r w:rsidRPr="00EA3F71">
              <w:rPr>
                <w:rFonts w:ascii="Arial Narrow" w:hAnsi="Arial Narrow"/>
                <w:sz w:val="20"/>
              </w:rPr>
              <w:t xml:space="preserve">(2) a completed Cystic Fibrosis </w:t>
            </w:r>
            <w:proofErr w:type="spellStart"/>
            <w:r w:rsidRPr="00EA3F71">
              <w:rPr>
                <w:rFonts w:ascii="Arial Narrow" w:hAnsi="Arial Narrow"/>
                <w:sz w:val="20"/>
              </w:rPr>
              <w:t>Lumacaftor</w:t>
            </w:r>
            <w:proofErr w:type="spellEnd"/>
            <w:r w:rsidRPr="00EA3F71">
              <w:rPr>
                <w:rFonts w:ascii="Arial Narrow" w:hAnsi="Arial Narrow"/>
                <w:sz w:val="20"/>
              </w:rPr>
              <w:t xml:space="preserve"> with </w:t>
            </w:r>
            <w:proofErr w:type="spellStart"/>
            <w:r w:rsidRPr="00EA3F71">
              <w:rPr>
                <w:rFonts w:ascii="Arial Narrow" w:hAnsi="Arial Narrow"/>
                <w:sz w:val="20"/>
              </w:rPr>
              <w:t>Ivacaftor</w:t>
            </w:r>
            <w:proofErr w:type="spellEnd"/>
            <w:r w:rsidRPr="00EA3F71">
              <w:rPr>
                <w:rFonts w:ascii="Arial Narrow" w:hAnsi="Arial Narrow"/>
                <w:sz w:val="20"/>
              </w:rPr>
              <w:t xml:space="preserve"> Authority Application </w:t>
            </w:r>
            <w:r w:rsidRPr="00F82CD8">
              <w:rPr>
                <w:rFonts w:ascii="Arial Narrow" w:hAnsi="Arial Narrow"/>
                <w:sz w:val="20"/>
              </w:rPr>
              <w:t>Supporting Information Form; and</w:t>
            </w:r>
          </w:p>
          <w:p w:rsidR="00D92CD4" w:rsidRPr="00F82CD8" w:rsidRDefault="00D92CD4" w:rsidP="00A93DA9">
            <w:pPr>
              <w:rPr>
                <w:rFonts w:ascii="Arial Narrow" w:hAnsi="Arial Narrow"/>
                <w:sz w:val="20"/>
              </w:rPr>
            </w:pPr>
            <w:r w:rsidRPr="00F82CD8">
              <w:rPr>
                <w:rFonts w:ascii="Arial Narrow" w:hAnsi="Arial Narrow"/>
                <w:sz w:val="20"/>
              </w:rPr>
              <w:t>and</w:t>
            </w:r>
          </w:p>
          <w:p w:rsidR="00D92CD4" w:rsidRPr="00F82CD8" w:rsidRDefault="00D92CD4" w:rsidP="00A93DA9">
            <w:pPr>
              <w:rPr>
                <w:rFonts w:ascii="Arial Narrow" w:hAnsi="Arial Narrow"/>
                <w:sz w:val="20"/>
              </w:rPr>
            </w:pPr>
            <w:r w:rsidRPr="00F82CD8">
              <w:rPr>
                <w:rFonts w:ascii="Arial Narrow" w:hAnsi="Arial Narrow"/>
                <w:sz w:val="20"/>
              </w:rPr>
              <w:t>(3) a copy of the pathology report detailing the molecular testing for the patient being homozygous for the F508del mutation on the CFTR gene; and</w:t>
            </w:r>
          </w:p>
          <w:p w:rsidR="00D92CD4" w:rsidRPr="00F82CD8" w:rsidRDefault="00D92CD4" w:rsidP="00A93DA9">
            <w:pPr>
              <w:rPr>
                <w:rFonts w:ascii="Arial Narrow" w:hAnsi="Arial Narrow"/>
                <w:sz w:val="20"/>
              </w:rPr>
            </w:pPr>
            <w:r w:rsidRPr="00F82CD8">
              <w:rPr>
                <w:rFonts w:ascii="Arial Narrow" w:hAnsi="Arial Narrow"/>
                <w:sz w:val="20"/>
              </w:rPr>
              <w:t xml:space="preserve">(4) </w:t>
            </w:r>
            <w:proofErr w:type="gramStart"/>
            <w:r w:rsidRPr="00F82CD8">
              <w:rPr>
                <w:rFonts w:ascii="Arial Narrow" w:hAnsi="Arial Narrow"/>
                <w:sz w:val="20"/>
              </w:rPr>
              <w:t>the</w:t>
            </w:r>
            <w:proofErr w:type="gramEnd"/>
            <w:r w:rsidRPr="00F82CD8">
              <w:rPr>
                <w:rFonts w:ascii="Arial Narrow" w:hAnsi="Arial Narrow"/>
                <w:sz w:val="20"/>
              </w:rPr>
              <w:t xml:space="preserve"> result of a FEV</w:t>
            </w:r>
            <w:r w:rsidRPr="00F82CD8">
              <w:rPr>
                <w:rFonts w:ascii="Arial Narrow" w:hAnsi="Arial Narrow"/>
                <w:sz w:val="20"/>
                <w:vertAlign w:val="subscript"/>
              </w:rPr>
              <w:t>1</w:t>
            </w:r>
            <w:r w:rsidRPr="00F82CD8">
              <w:rPr>
                <w:rFonts w:ascii="Arial Narrow" w:hAnsi="Arial Narrow"/>
                <w:sz w:val="20"/>
              </w:rPr>
              <w:t xml:space="preserve"> measurement performed within a month prior to the date of application. Note: FEV</w:t>
            </w:r>
            <w:r w:rsidRPr="00F82CD8">
              <w:rPr>
                <w:rFonts w:ascii="Arial Narrow" w:hAnsi="Arial Narrow"/>
                <w:sz w:val="20"/>
                <w:vertAlign w:val="subscript"/>
              </w:rPr>
              <w:t>1</w:t>
            </w:r>
            <w:r w:rsidRPr="00F82CD8">
              <w:rPr>
                <w:rFonts w:ascii="Arial Narrow" w:hAnsi="Arial Narrow"/>
                <w:sz w:val="20"/>
              </w:rPr>
              <w:t>, must be measured in an accredited pulmonary function laboratory, with documented no acute infective exacerbation at the time FEV</w:t>
            </w:r>
            <w:r w:rsidRPr="00F82CD8">
              <w:rPr>
                <w:rFonts w:ascii="Arial Narrow" w:hAnsi="Arial Narrow"/>
                <w:sz w:val="20"/>
                <w:vertAlign w:val="subscript"/>
              </w:rPr>
              <w:t>1</w:t>
            </w:r>
            <w:r w:rsidRPr="00F82CD8">
              <w:rPr>
                <w:rFonts w:ascii="Arial Narrow" w:hAnsi="Arial Narrow"/>
                <w:sz w:val="20"/>
              </w:rPr>
              <w:t xml:space="preserve"> is measured; and</w:t>
            </w:r>
          </w:p>
          <w:p w:rsidR="00D92CD4" w:rsidRPr="00F82CD8" w:rsidRDefault="00D92CD4" w:rsidP="00A93DA9">
            <w:pPr>
              <w:rPr>
                <w:rFonts w:ascii="Arial Narrow" w:hAnsi="Arial Narrow"/>
                <w:sz w:val="20"/>
              </w:rPr>
            </w:pPr>
            <w:r w:rsidRPr="00F82CD8">
              <w:rPr>
                <w:rFonts w:ascii="Arial Narrow" w:hAnsi="Arial Narrow"/>
                <w:sz w:val="20"/>
              </w:rPr>
              <w:t xml:space="preserve">(5) evidence that the patient has either chronic </w:t>
            </w:r>
            <w:proofErr w:type="spellStart"/>
            <w:r w:rsidRPr="00F82CD8">
              <w:rPr>
                <w:rFonts w:ascii="Arial Narrow" w:hAnsi="Arial Narrow"/>
                <w:sz w:val="20"/>
              </w:rPr>
              <w:t>sinopulmonary</w:t>
            </w:r>
            <w:proofErr w:type="spellEnd"/>
            <w:r w:rsidRPr="00F82CD8">
              <w:rPr>
                <w:rFonts w:ascii="Arial Narrow" w:hAnsi="Arial Narrow"/>
                <w:sz w:val="20"/>
              </w:rPr>
              <w:t xml:space="preserve"> disease or gastrointestinal and nutritional abnormalities; and</w:t>
            </w:r>
          </w:p>
          <w:p w:rsidR="00D92CD4" w:rsidRPr="00F82CD8" w:rsidRDefault="00D92CD4" w:rsidP="00A93DA9">
            <w:pPr>
              <w:rPr>
                <w:rFonts w:ascii="Arial Narrow" w:hAnsi="Arial Narrow"/>
                <w:sz w:val="20"/>
              </w:rPr>
            </w:pPr>
            <w:r w:rsidRPr="00F82CD8">
              <w:rPr>
                <w:rFonts w:ascii="Arial Narrow" w:hAnsi="Arial Narrow"/>
                <w:sz w:val="20"/>
              </w:rPr>
              <w:t xml:space="preserve">(6) a copy of a current medication history; and </w:t>
            </w:r>
          </w:p>
          <w:p w:rsidR="00D92CD4" w:rsidRPr="00F82CD8" w:rsidRDefault="00D92CD4" w:rsidP="00A93DA9">
            <w:pPr>
              <w:rPr>
                <w:rFonts w:ascii="Arial Narrow" w:hAnsi="Arial Narrow"/>
                <w:sz w:val="20"/>
              </w:rPr>
            </w:pPr>
            <w:r w:rsidRPr="00F82CD8">
              <w:rPr>
                <w:rFonts w:ascii="Arial Narrow" w:hAnsi="Arial Narrow"/>
                <w:sz w:val="20"/>
              </w:rPr>
              <w:t>(7) height and weight measurements at the time of application; and</w:t>
            </w:r>
          </w:p>
          <w:p w:rsidR="00D92CD4" w:rsidRPr="00EA3F71" w:rsidRDefault="00D92CD4" w:rsidP="00A93DA9">
            <w:pPr>
              <w:rPr>
                <w:rFonts w:ascii="Arial Narrow" w:hAnsi="Arial Narrow"/>
                <w:sz w:val="20"/>
              </w:rPr>
            </w:pPr>
            <w:r w:rsidRPr="00F82CD8">
              <w:rPr>
                <w:rFonts w:ascii="Arial Narrow" w:hAnsi="Arial Narrow"/>
                <w:sz w:val="20"/>
              </w:rPr>
              <w:t xml:space="preserve">(8) </w:t>
            </w:r>
            <w:proofErr w:type="gramStart"/>
            <w:r w:rsidRPr="00F82CD8">
              <w:rPr>
                <w:rFonts w:ascii="Arial Narrow" w:hAnsi="Arial Narrow"/>
                <w:sz w:val="20"/>
              </w:rPr>
              <w:t>a</w:t>
            </w:r>
            <w:proofErr w:type="gramEnd"/>
            <w:r w:rsidRPr="00F82CD8">
              <w:rPr>
                <w:rFonts w:ascii="Arial Narrow" w:hAnsi="Arial Narrow"/>
                <w:sz w:val="20"/>
              </w:rPr>
              <w:t xml:space="preserve"> baseline measurement of the number of days of CF-related hospitalisation (including hospital-in-the home) in the previous 12 months.</w:t>
            </w:r>
          </w:p>
        </w:tc>
      </w:tr>
      <w:tr w:rsidR="00D92CD4" w:rsidRPr="00EA3F71" w:rsidTr="00D92CD4">
        <w:tblPrEx>
          <w:tblCellMar>
            <w:left w:w="108" w:type="dxa"/>
            <w:right w:w="108" w:type="dxa"/>
          </w:tblCellMar>
        </w:tblPrEx>
        <w:trPr>
          <w:cantSplit/>
        </w:trPr>
        <w:tc>
          <w:tcPr>
            <w:tcW w:w="746" w:type="pct"/>
            <w:tcBorders>
              <w:top w:val="single" w:sz="4" w:space="0" w:color="auto"/>
              <w:left w:val="single" w:sz="4" w:space="0" w:color="auto"/>
              <w:bottom w:val="single" w:sz="4" w:space="0" w:color="auto"/>
              <w:right w:val="single" w:sz="4" w:space="0" w:color="auto"/>
            </w:tcBorders>
          </w:tcPr>
          <w:p w:rsidR="00D92CD4" w:rsidRPr="00EA3F71" w:rsidRDefault="00D92CD4" w:rsidP="00A93DA9">
            <w:pPr>
              <w:rPr>
                <w:rFonts w:ascii="Arial Narrow" w:hAnsi="Arial Narrow"/>
                <w:b/>
                <w:sz w:val="20"/>
              </w:rPr>
            </w:pPr>
            <w:r w:rsidRPr="00EA3F71">
              <w:rPr>
                <w:rFonts w:ascii="Arial Narrow" w:hAnsi="Arial Narrow"/>
                <w:b/>
                <w:sz w:val="20"/>
              </w:rPr>
              <w:lastRenderedPageBreak/>
              <w:t>Administrative Advice:</w:t>
            </w:r>
          </w:p>
        </w:tc>
        <w:tc>
          <w:tcPr>
            <w:tcW w:w="4254" w:type="pct"/>
            <w:gridSpan w:val="5"/>
            <w:tcBorders>
              <w:top w:val="single" w:sz="4" w:space="0" w:color="auto"/>
              <w:left w:val="single" w:sz="4" w:space="0" w:color="auto"/>
              <w:bottom w:val="single" w:sz="4" w:space="0" w:color="auto"/>
              <w:right w:val="single" w:sz="4" w:space="0" w:color="auto"/>
            </w:tcBorders>
          </w:tcPr>
          <w:p w:rsidR="00D92CD4" w:rsidRPr="00C4077F" w:rsidRDefault="00D92CD4" w:rsidP="00A93DA9">
            <w:pPr>
              <w:rPr>
                <w:rFonts w:ascii="Arial Narrow" w:hAnsi="Arial Narrow"/>
                <w:sz w:val="20"/>
              </w:rPr>
            </w:pPr>
            <w:r w:rsidRPr="00C4077F">
              <w:rPr>
                <w:rFonts w:ascii="Arial Narrow" w:hAnsi="Arial Narrow"/>
                <w:sz w:val="20"/>
              </w:rPr>
              <w:t>Special pricing arrangements apply</w:t>
            </w:r>
          </w:p>
          <w:p w:rsidR="00D92CD4" w:rsidRPr="00C4077F" w:rsidRDefault="00D92CD4" w:rsidP="00A93DA9">
            <w:pPr>
              <w:rPr>
                <w:rFonts w:ascii="Arial Narrow" w:hAnsi="Arial Narrow"/>
                <w:sz w:val="20"/>
              </w:rPr>
            </w:pPr>
          </w:p>
          <w:p w:rsidR="00D92CD4" w:rsidRPr="00C4077F" w:rsidRDefault="00D92CD4" w:rsidP="00A93DA9">
            <w:pPr>
              <w:keepNext/>
              <w:rPr>
                <w:rFonts w:ascii="Arial Narrow" w:hAnsi="Arial Narrow"/>
                <w:sz w:val="20"/>
                <w:lang w:val="en-US"/>
              </w:rPr>
            </w:pPr>
            <w:r w:rsidRPr="00C4077F">
              <w:rPr>
                <w:rFonts w:ascii="Arial Narrow" w:hAnsi="Arial Narrow"/>
                <w:sz w:val="20"/>
                <w:lang w:val="en-US"/>
              </w:rPr>
              <w:t xml:space="preserve">No increase in the maximum number of repeats may be </w:t>
            </w:r>
            <w:proofErr w:type="spellStart"/>
            <w:r w:rsidRPr="00C4077F">
              <w:rPr>
                <w:rFonts w:ascii="Arial Narrow" w:hAnsi="Arial Narrow"/>
                <w:sz w:val="20"/>
                <w:lang w:val="en-US"/>
              </w:rPr>
              <w:t>authorised</w:t>
            </w:r>
            <w:proofErr w:type="spellEnd"/>
            <w:r w:rsidRPr="00C4077F">
              <w:rPr>
                <w:rFonts w:ascii="Arial Narrow" w:hAnsi="Arial Narrow"/>
                <w:sz w:val="20"/>
                <w:lang w:val="en-US"/>
              </w:rPr>
              <w:t>.</w:t>
            </w:r>
          </w:p>
          <w:p w:rsidR="00D92CD4" w:rsidRPr="00C4077F" w:rsidRDefault="00D92CD4" w:rsidP="00A93DA9">
            <w:pPr>
              <w:keepNext/>
              <w:rPr>
                <w:rFonts w:ascii="Arial Narrow" w:hAnsi="Arial Narrow"/>
                <w:sz w:val="20"/>
                <w:lang w:val="en-US"/>
              </w:rPr>
            </w:pPr>
          </w:p>
          <w:p w:rsidR="00D92CD4" w:rsidRPr="00C4077F" w:rsidRDefault="00D92CD4" w:rsidP="00A93DA9">
            <w:pPr>
              <w:rPr>
                <w:rFonts w:ascii="Arial Narrow" w:hAnsi="Arial Narrow"/>
                <w:sz w:val="20"/>
                <w:lang w:val="en-US"/>
              </w:rPr>
            </w:pPr>
            <w:r w:rsidRPr="00C4077F">
              <w:rPr>
                <w:rFonts w:ascii="Arial Narrow" w:hAnsi="Arial Narrow"/>
                <w:sz w:val="20"/>
                <w:lang w:val="en-US"/>
              </w:rPr>
              <w:t xml:space="preserve">No increase in the maximum quantity or number of units may be </w:t>
            </w:r>
            <w:proofErr w:type="spellStart"/>
            <w:r w:rsidRPr="00C4077F">
              <w:rPr>
                <w:rFonts w:ascii="Arial Narrow" w:hAnsi="Arial Narrow"/>
                <w:sz w:val="20"/>
                <w:lang w:val="en-US"/>
              </w:rPr>
              <w:t>authorised</w:t>
            </w:r>
            <w:proofErr w:type="spellEnd"/>
            <w:r w:rsidRPr="00C4077F">
              <w:rPr>
                <w:rFonts w:ascii="Arial Narrow" w:hAnsi="Arial Narrow"/>
                <w:sz w:val="20"/>
                <w:lang w:val="en-US"/>
              </w:rPr>
              <w:t>.</w:t>
            </w:r>
          </w:p>
          <w:p w:rsidR="00D92CD4" w:rsidRPr="00C4077F" w:rsidRDefault="00D92CD4" w:rsidP="00A93DA9">
            <w:pPr>
              <w:rPr>
                <w:rFonts w:ascii="Arial Narrow" w:hAnsi="Arial Narrow"/>
                <w:sz w:val="20"/>
              </w:rPr>
            </w:pPr>
          </w:p>
          <w:p w:rsidR="00D92CD4" w:rsidRPr="00C4077F" w:rsidRDefault="00D92CD4" w:rsidP="00A93DA9">
            <w:pPr>
              <w:rPr>
                <w:rFonts w:ascii="Arial Narrow" w:hAnsi="Arial Narrow"/>
                <w:sz w:val="20"/>
              </w:rPr>
            </w:pPr>
            <w:r w:rsidRPr="00C4077F">
              <w:rPr>
                <w:rFonts w:ascii="Arial Narrow" w:hAnsi="Arial Narrow"/>
                <w:sz w:val="20"/>
              </w:rPr>
              <w:t>Any queries concerning the arrangements to prescribe may be directed to the Department of Human Services on 1800 700 270 (hours of operation 8 a.m. to 5 p.m. EST Monday to Friday).</w:t>
            </w:r>
          </w:p>
          <w:p w:rsidR="00D92CD4" w:rsidRPr="00C4077F" w:rsidRDefault="00D92CD4" w:rsidP="00A93DA9">
            <w:pPr>
              <w:rPr>
                <w:rFonts w:ascii="Arial Narrow" w:hAnsi="Arial Narrow"/>
                <w:sz w:val="20"/>
              </w:rPr>
            </w:pPr>
          </w:p>
          <w:p w:rsidR="00D92CD4" w:rsidRPr="00C4077F" w:rsidRDefault="00D92CD4" w:rsidP="00A93DA9">
            <w:pPr>
              <w:rPr>
                <w:rFonts w:ascii="Arial Narrow" w:hAnsi="Arial Narrow"/>
                <w:sz w:val="20"/>
              </w:rPr>
            </w:pPr>
            <w:r w:rsidRPr="00C4077F">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D92CD4" w:rsidRPr="00C4077F" w:rsidRDefault="00D92CD4" w:rsidP="00A93DA9">
            <w:pPr>
              <w:rPr>
                <w:rFonts w:ascii="Arial Narrow" w:hAnsi="Arial Narrow"/>
                <w:sz w:val="20"/>
              </w:rPr>
            </w:pPr>
          </w:p>
          <w:p w:rsidR="00D92CD4" w:rsidRPr="00C4077F" w:rsidRDefault="00D92CD4" w:rsidP="00A93DA9">
            <w:pPr>
              <w:rPr>
                <w:rFonts w:ascii="Arial Narrow" w:hAnsi="Arial Narrow"/>
                <w:sz w:val="20"/>
              </w:rPr>
            </w:pPr>
            <w:r w:rsidRPr="00C4077F">
              <w:rPr>
                <w:rFonts w:ascii="Arial Narrow" w:hAnsi="Arial Narrow"/>
                <w:sz w:val="20"/>
              </w:rPr>
              <w:t>Applications for authority to prescribe should be forwarded to:</w:t>
            </w:r>
          </w:p>
          <w:p w:rsidR="00D92CD4" w:rsidRPr="00C4077F" w:rsidRDefault="00D92CD4" w:rsidP="00A93DA9">
            <w:pPr>
              <w:rPr>
                <w:rFonts w:ascii="Arial Narrow" w:hAnsi="Arial Narrow"/>
                <w:sz w:val="20"/>
              </w:rPr>
            </w:pPr>
            <w:r w:rsidRPr="00C4077F">
              <w:rPr>
                <w:rFonts w:ascii="Arial Narrow" w:hAnsi="Arial Narrow"/>
                <w:sz w:val="20"/>
              </w:rPr>
              <w:t>Department of Human Services</w:t>
            </w:r>
          </w:p>
          <w:p w:rsidR="00D92CD4" w:rsidRPr="00C4077F" w:rsidRDefault="00D92CD4" w:rsidP="00A93DA9">
            <w:pPr>
              <w:rPr>
                <w:rFonts w:ascii="Arial Narrow" w:hAnsi="Arial Narrow"/>
                <w:sz w:val="20"/>
              </w:rPr>
            </w:pPr>
            <w:r w:rsidRPr="00C4077F">
              <w:rPr>
                <w:rFonts w:ascii="Arial Narrow" w:hAnsi="Arial Narrow"/>
                <w:sz w:val="20"/>
              </w:rPr>
              <w:t>Complex Drugs</w:t>
            </w:r>
          </w:p>
          <w:p w:rsidR="00D92CD4" w:rsidRPr="00C4077F" w:rsidRDefault="00D92CD4" w:rsidP="00A93DA9">
            <w:pPr>
              <w:rPr>
                <w:rFonts w:ascii="Arial Narrow" w:hAnsi="Arial Narrow"/>
                <w:sz w:val="20"/>
              </w:rPr>
            </w:pPr>
            <w:r w:rsidRPr="00C4077F">
              <w:rPr>
                <w:rFonts w:ascii="Arial Narrow" w:hAnsi="Arial Narrow"/>
                <w:sz w:val="20"/>
              </w:rPr>
              <w:t>Reply Paid 9826</w:t>
            </w:r>
          </w:p>
          <w:p w:rsidR="00D92CD4" w:rsidRPr="00EA3F71" w:rsidRDefault="00D92CD4" w:rsidP="00A93DA9">
            <w:pPr>
              <w:rPr>
                <w:rFonts w:ascii="Arial Narrow" w:hAnsi="Arial Narrow"/>
                <w:sz w:val="20"/>
              </w:rPr>
            </w:pPr>
            <w:r w:rsidRPr="00C4077F">
              <w:rPr>
                <w:rFonts w:ascii="Arial Narrow" w:hAnsi="Arial Narrow"/>
                <w:sz w:val="20"/>
              </w:rPr>
              <w:t>HOBART TAS 7001</w:t>
            </w:r>
          </w:p>
        </w:tc>
      </w:tr>
    </w:tbl>
    <w:p w:rsidR="009E6B06" w:rsidRDefault="009E6B06" w:rsidP="009E6B06">
      <w:pPr>
        <w:pStyle w:val="NoSpacing"/>
        <w:rPr>
          <w:lang w:val="en-GB"/>
        </w:rPr>
      </w:pPr>
    </w:p>
    <w:p w:rsidR="003748DE" w:rsidRDefault="003748DE" w:rsidP="009E6B06">
      <w:pPr>
        <w:pStyle w:val="NoSpacing"/>
        <w:rPr>
          <w:lang w:val="en-GB"/>
        </w:rPr>
      </w:pPr>
    </w:p>
    <w:tbl>
      <w:tblPr>
        <w:tblW w:w="5000" w:type="pct"/>
        <w:tblLook w:val="0000" w:firstRow="0" w:lastRow="0" w:firstColumn="0" w:lastColumn="0" w:noHBand="0" w:noVBand="0"/>
      </w:tblPr>
      <w:tblGrid>
        <w:gridCol w:w="2167"/>
        <w:gridCol w:w="7076"/>
      </w:tblGrid>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 xml:space="preserve">Category / </w:t>
            </w:r>
          </w:p>
          <w:p w:rsidR="009E6B06" w:rsidRPr="00EA3F71" w:rsidRDefault="009E6B06" w:rsidP="00A93DA9">
            <w:pPr>
              <w:rPr>
                <w:rFonts w:ascii="Arial Narrow" w:hAnsi="Arial Narrow"/>
                <w:b/>
                <w:sz w:val="20"/>
              </w:rPr>
            </w:pPr>
            <w:r w:rsidRPr="00EA3F71">
              <w:rPr>
                <w:rFonts w:ascii="Arial Narrow" w:hAnsi="Arial Narrow"/>
                <w:b/>
                <w:sz w:val="20"/>
              </w:rPr>
              <w:t>Program</w:t>
            </w:r>
          </w:p>
        </w:tc>
        <w:tc>
          <w:tcPr>
            <w:tcW w:w="3828"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sz w:val="20"/>
              </w:rPr>
            </w:pPr>
            <w:r w:rsidRPr="00EA3F71">
              <w:rPr>
                <w:rFonts w:ascii="Arial Narrow" w:hAnsi="Arial Narrow"/>
                <w:sz w:val="20"/>
              </w:rPr>
              <w:t>Section 100 – Highly Specialised Drugs Program</w:t>
            </w:r>
          </w:p>
          <w:p w:rsidR="009E6B06" w:rsidRPr="00EA3F71" w:rsidRDefault="009E6B06" w:rsidP="00A93DA9">
            <w:pPr>
              <w:rPr>
                <w:rFonts w:ascii="Arial Narrow" w:hAnsi="Arial Narrow"/>
                <w:sz w:val="20"/>
              </w:rPr>
            </w:pP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Prescriber type:</w:t>
            </w:r>
          </w:p>
          <w:p w:rsidR="009E6B06" w:rsidRPr="00EA3F71" w:rsidRDefault="009E6B06" w:rsidP="00A93DA9">
            <w:pPr>
              <w:rPr>
                <w:rFonts w:ascii="Arial Narrow" w:hAnsi="Arial Narrow"/>
                <w:b/>
                <w:sz w:val="20"/>
              </w:rPr>
            </w:pPr>
          </w:p>
        </w:tc>
        <w:tc>
          <w:tcPr>
            <w:tcW w:w="3828"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sz w:val="20"/>
              </w:rPr>
            </w:pPr>
            <w:r w:rsidRPr="00EA3F71">
              <w:rPr>
                <w:rFonts w:ascii="Arial Narrow" w:hAnsi="Arial Narrow"/>
                <w:sz w:val="20"/>
              </w:rPr>
              <w:fldChar w:fldCharType="begin">
                <w:ffData>
                  <w:name w:val="Check1"/>
                  <w:enabled/>
                  <w:calcOnExit w:val="0"/>
                  <w:checkBox>
                    <w:sizeAuto/>
                    <w:default w:val="0"/>
                  </w:checkBox>
                </w:ffData>
              </w:fldChar>
            </w:r>
            <w:r w:rsidRPr="00EA3F71">
              <w:rPr>
                <w:rFonts w:ascii="Arial Narrow" w:hAnsi="Arial Narrow"/>
                <w:sz w:val="20"/>
              </w:rPr>
              <w:instrText xml:space="preserve"> FORMCHECKBOX </w:instrText>
            </w:r>
            <w:r w:rsidR="00D92CD4">
              <w:rPr>
                <w:rFonts w:ascii="Arial Narrow" w:hAnsi="Arial Narrow"/>
                <w:sz w:val="20"/>
              </w:rPr>
            </w:r>
            <w:r w:rsidR="00D92CD4">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 xml:space="preserve">Dental  </w:t>
            </w:r>
            <w:r w:rsidRPr="00EA3F71">
              <w:rPr>
                <w:rFonts w:ascii="Arial Narrow" w:hAnsi="Arial Narrow"/>
                <w:sz w:val="20"/>
              </w:rPr>
              <w:fldChar w:fldCharType="begin">
                <w:ffData>
                  <w:name w:val=""/>
                  <w:enabled/>
                  <w:calcOnExit w:val="0"/>
                  <w:checkBox>
                    <w:sizeAuto/>
                    <w:default w:val="1"/>
                  </w:checkBox>
                </w:ffData>
              </w:fldChar>
            </w:r>
            <w:r w:rsidRPr="00EA3F71">
              <w:rPr>
                <w:rFonts w:ascii="Arial Narrow" w:hAnsi="Arial Narrow"/>
                <w:sz w:val="20"/>
              </w:rPr>
              <w:instrText xml:space="preserve"> FORMCHECKBOX </w:instrText>
            </w:r>
            <w:r w:rsidR="00D92CD4">
              <w:rPr>
                <w:rFonts w:ascii="Arial Narrow" w:hAnsi="Arial Narrow"/>
                <w:sz w:val="20"/>
              </w:rPr>
            </w:r>
            <w:r w:rsidR="00D92CD4">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 xml:space="preserve">Medical Practitioners  </w:t>
            </w:r>
            <w:r w:rsidRPr="00EA3F71">
              <w:rPr>
                <w:rFonts w:ascii="Arial Narrow" w:hAnsi="Arial Narrow"/>
                <w:sz w:val="20"/>
              </w:rPr>
              <w:fldChar w:fldCharType="begin">
                <w:ffData>
                  <w:name w:val="Check3"/>
                  <w:enabled/>
                  <w:calcOnExit w:val="0"/>
                  <w:checkBox>
                    <w:sizeAuto/>
                    <w:default w:val="0"/>
                  </w:checkBox>
                </w:ffData>
              </w:fldChar>
            </w:r>
            <w:r w:rsidRPr="00EA3F71">
              <w:rPr>
                <w:rFonts w:ascii="Arial Narrow" w:hAnsi="Arial Narrow"/>
                <w:sz w:val="20"/>
              </w:rPr>
              <w:instrText xml:space="preserve"> FORMCHECKBOX </w:instrText>
            </w:r>
            <w:r w:rsidR="00D92CD4">
              <w:rPr>
                <w:rFonts w:ascii="Arial Narrow" w:hAnsi="Arial Narrow"/>
                <w:sz w:val="20"/>
              </w:rPr>
            </w:r>
            <w:r w:rsidR="00D92CD4">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 xml:space="preserve">Nurse practitioners  </w:t>
            </w:r>
            <w:r w:rsidRPr="00EA3F71">
              <w:rPr>
                <w:rFonts w:ascii="Arial Narrow" w:hAnsi="Arial Narrow"/>
                <w:sz w:val="20"/>
              </w:rPr>
              <w:fldChar w:fldCharType="begin">
                <w:ffData>
                  <w:name w:val=""/>
                  <w:enabled/>
                  <w:calcOnExit w:val="0"/>
                  <w:checkBox>
                    <w:sizeAuto/>
                    <w:default w:val="0"/>
                  </w:checkBox>
                </w:ffData>
              </w:fldChar>
            </w:r>
            <w:r w:rsidRPr="00EA3F71">
              <w:rPr>
                <w:rFonts w:ascii="Arial Narrow" w:hAnsi="Arial Narrow"/>
                <w:sz w:val="20"/>
              </w:rPr>
              <w:instrText xml:space="preserve"> FORMCHECKBOX </w:instrText>
            </w:r>
            <w:r w:rsidR="00D92CD4">
              <w:rPr>
                <w:rFonts w:ascii="Arial Narrow" w:hAnsi="Arial Narrow"/>
                <w:sz w:val="20"/>
              </w:rPr>
            </w:r>
            <w:r w:rsidR="00D92CD4">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Optometrists</w:t>
            </w:r>
          </w:p>
          <w:p w:rsidR="009E6B06" w:rsidRPr="00EA3F71" w:rsidRDefault="009E6B06" w:rsidP="00A93DA9">
            <w:pPr>
              <w:rPr>
                <w:rFonts w:ascii="Arial Narrow" w:hAnsi="Arial Narrow"/>
                <w:sz w:val="20"/>
              </w:rPr>
            </w:pPr>
            <w:r w:rsidRPr="00EA3F71">
              <w:rPr>
                <w:rFonts w:ascii="Arial Narrow" w:hAnsi="Arial Narrow"/>
                <w:sz w:val="20"/>
              </w:rPr>
              <w:fldChar w:fldCharType="begin">
                <w:ffData>
                  <w:name w:val="Check5"/>
                  <w:enabled/>
                  <w:calcOnExit w:val="0"/>
                  <w:checkBox>
                    <w:sizeAuto/>
                    <w:default w:val="0"/>
                  </w:checkBox>
                </w:ffData>
              </w:fldChar>
            </w:r>
            <w:r w:rsidRPr="00EA3F71">
              <w:rPr>
                <w:rFonts w:ascii="Arial Narrow" w:hAnsi="Arial Narrow"/>
                <w:sz w:val="20"/>
              </w:rPr>
              <w:instrText xml:space="preserve"> FORMCHECKBOX </w:instrText>
            </w:r>
            <w:r w:rsidR="00D92CD4">
              <w:rPr>
                <w:rFonts w:ascii="Arial Narrow" w:hAnsi="Arial Narrow"/>
                <w:sz w:val="20"/>
              </w:rPr>
            </w:r>
            <w:r w:rsidR="00D92CD4">
              <w:rPr>
                <w:rFonts w:ascii="Arial Narrow" w:hAnsi="Arial Narrow"/>
                <w:sz w:val="20"/>
              </w:rPr>
              <w:fldChar w:fldCharType="separate"/>
            </w:r>
            <w:r w:rsidRPr="00EA3F71">
              <w:rPr>
                <w:rFonts w:ascii="Arial Narrow" w:hAnsi="Arial Narrow"/>
                <w:sz w:val="20"/>
              </w:rPr>
              <w:fldChar w:fldCharType="end"/>
            </w:r>
            <w:r w:rsidRPr="00EA3F71">
              <w:rPr>
                <w:rFonts w:ascii="Arial Narrow" w:hAnsi="Arial Narrow"/>
                <w:sz w:val="20"/>
              </w:rPr>
              <w:t>Midwives</w:t>
            </w: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PBS Indication:</w:t>
            </w:r>
          </w:p>
        </w:tc>
        <w:tc>
          <w:tcPr>
            <w:tcW w:w="3828"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strike/>
                <w:sz w:val="20"/>
              </w:rPr>
            </w:pPr>
            <w:r w:rsidRPr="00EA3F71">
              <w:rPr>
                <w:rFonts w:ascii="Arial Narrow" w:hAnsi="Arial Narrow"/>
                <w:sz w:val="20"/>
              </w:rPr>
              <w:t>Cystic Fibrosis</w:t>
            </w:r>
          </w:p>
        </w:tc>
      </w:tr>
      <w:tr w:rsidR="009E6B06" w:rsidRPr="00EA3F71" w:rsidTr="00D92CD4">
        <w:trPr>
          <w:trHeight w:val="197"/>
        </w:trPr>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Treatment phase:</w:t>
            </w:r>
          </w:p>
        </w:tc>
        <w:tc>
          <w:tcPr>
            <w:tcW w:w="3828"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sz w:val="20"/>
              </w:rPr>
            </w:pPr>
            <w:r>
              <w:rPr>
                <w:rFonts w:ascii="Arial Narrow" w:hAnsi="Arial Narrow"/>
                <w:sz w:val="20"/>
              </w:rPr>
              <w:t>Continuing</w:t>
            </w: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Restriction:</w:t>
            </w:r>
          </w:p>
          <w:p w:rsidR="009E6B06" w:rsidRPr="00EA3F71" w:rsidRDefault="009E6B06" w:rsidP="00A93DA9">
            <w:pPr>
              <w:rPr>
                <w:rFonts w:ascii="Arial Narrow" w:hAnsi="Arial Narrow"/>
                <w:i/>
                <w:sz w:val="20"/>
              </w:rPr>
            </w:pPr>
          </w:p>
        </w:tc>
        <w:tc>
          <w:tcPr>
            <w:tcW w:w="3828"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92CD4">
              <w:rPr>
                <w:rFonts w:ascii="Arial Narrow" w:hAnsi="Arial Narrow"/>
                <w:sz w:val="20"/>
              </w:rPr>
            </w:r>
            <w:r w:rsidR="00D92CD4">
              <w:rPr>
                <w:rFonts w:ascii="Arial Narrow" w:hAnsi="Arial Narrow"/>
                <w:sz w:val="20"/>
              </w:rPr>
              <w:fldChar w:fldCharType="separate"/>
            </w:r>
            <w:r>
              <w:rPr>
                <w:rFonts w:ascii="Arial Narrow" w:hAnsi="Arial Narrow"/>
                <w:sz w:val="20"/>
              </w:rPr>
              <w:fldChar w:fldCharType="end"/>
            </w:r>
            <w:r w:rsidRPr="00EA3F71">
              <w:rPr>
                <w:rFonts w:ascii="Arial Narrow" w:hAnsi="Arial Narrow"/>
                <w:sz w:val="20"/>
              </w:rPr>
              <w:t>Authority Required - In Writing</w:t>
            </w:r>
          </w:p>
          <w:p w:rsidR="009E6B06" w:rsidRPr="00EA3F71" w:rsidRDefault="009E6B06" w:rsidP="00A93DA9">
            <w:pPr>
              <w:rPr>
                <w:rFonts w:ascii="Arial Narrow" w:hAnsi="Arial Narrow"/>
                <w:sz w:val="20"/>
              </w:rPr>
            </w:pP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Treatment criteria:</w:t>
            </w:r>
          </w:p>
          <w:p w:rsidR="009E6B06" w:rsidRPr="00EA3F71" w:rsidRDefault="009E6B06" w:rsidP="00A93DA9">
            <w:pPr>
              <w:rPr>
                <w:rFonts w:ascii="Arial Narrow" w:hAnsi="Arial Narrow"/>
                <w:i/>
                <w:sz w:val="20"/>
              </w:rPr>
            </w:pPr>
          </w:p>
        </w:tc>
        <w:tc>
          <w:tcPr>
            <w:tcW w:w="3828" w:type="pct"/>
            <w:tcBorders>
              <w:top w:val="single" w:sz="4" w:space="0" w:color="auto"/>
              <w:left w:val="single" w:sz="4" w:space="0" w:color="auto"/>
              <w:bottom w:val="single" w:sz="4" w:space="0" w:color="auto"/>
              <w:right w:val="single" w:sz="4" w:space="0" w:color="auto"/>
            </w:tcBorders>
          </w:tcPr>
          <w:p w:rsidR="009E6B06" w:rsidRPr="00751E56" w:rsidRDefault="009E6B06" w:rsidP="00A93DA9">
            <w:pPr>
              <w:rPr>
                <w:rFonts w:ascii="Arial Narrow" w:hAnsi="Arial Narrow"/>
                <w:sz w:val="20"/>
              </w:rPr>
            </w:pPr>
            <w:r w:rsidRPr="00751E56">
              <w:rPr>
                <w:rFonts w:ascii="Arial Narrow" w:hAnsi="Arial Narrow"/>
                <w:sz w:val="20"/>
              </w:rPr>
              <w:t>Must be treated by a specialist respiratory physician with expertise in cystic fibrosis, OR</w:t>
            </w:r>
          </w:p>
          <w:p w:rsidR="009E6B06" w:rsidRPr="00751E56" w:rsidRDefault="009E6B06" w:rsidP="00A93DA9">
            <w:pPr>
              <w:rPr>
                <w:rFonts w:ascii="Arial Narrow" w:hAnsi="Arial Narrow"/>
                <w:sz w:val="20"/>
              </w:rPr>
            </w:pPr>
            <w:r w:rsidRPr="00751E56">
              <w:rPr>
                <w:rFonts w:ascii="Arial Narrow" w:hAnsi="Arial Narrow"/>
                <w:sz w:val="20"/>
              </w:rPr>
              <w:t>Must be treated in consultation with a specialist respiratory physician with expertise in cystic fibrosis if attendance is not possible due to geographic isolation;</w:t>
            </w:r>
          </w:p>
          <w:p w:rsidR="009E6B06" w:rsidRPr="00751E56" w:rsidRDefault="009E6B06" w:rsidP="00A93DA9">
            <w:pPr>
              <w:rPr>
                <w:rFonts w:ascii="Arial Narrow" w:hAnsi="Arial Narrow"/>
                <w:sz w:val="20"/>
              </w:rPr>
            </w:pPr>
            <w:r w:rsidRPr="00751E56">
              <w:rPr>
                <w:rFonts w:ascii="Arial Narrow" w:hAnsi="Arial Narrow"/>
                <w:sz w:val="20"/>
              </w:rPr>
              <w:t>AND</w:t>
            </w:r>
          </w:p>
          <w:p w:rsidR="009E6B06" w:rsidRPr="00751E56" w:rsidRDefault="009E6B06" w:rsidP="00A93DA9">
            <w:pPr>
              <w:rPr>
                <w:rFonts w:ascii="Arial Narrow" w:hAnsi="Arial Narrow"/>
                <w:sz w:val="20"/>
              </w:rPr>
            </w:pPr>
            <w:r w:rsidRPr="00751E56">
              <w:rPr>
                <w:rFonts w:ascii="Arial Narrow" w:hAnsi="Arial Narrow"/>
                <w:sz w:val="20"/>
              </w:rPr>
              <w:t>Must be treated in a centre with expertise in cystic fibrosis, OR</w:t>
            </w:r>
          </w:p>
          <w:p w:rsidR="009E6B06" w:rsidRPr="00EA3F71" w:rsidRDefault="009E6B06" w:rsidP="00A93DA9">
            <w:pPr>
              <w:rPr>
                <w:rFonts w:ascii="Arial Narrow" w:hAnsi="Arial Narrow"/>
                <w:sz w:val="20"/>
              </w:rPr>
            </w:pPr>
            <w:r w:rsidRPr="00751E56">
              <w:rPr>
                <w:rFonts w:ascii="Arial Narrow" w:hAnsi="Arial Narrow"/>
                <w:sz w:val="20"/>
              </w:rPr>
              <w:t>Must be treated in consultation with a centre with expertise in cystic fibrosis if attendance is not possible due to geographic isolation.</w:t>
            </w: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t>Clinical criteria:</w:t>
            </w:r>
          </w:p>
          <w:p w:rsidR="009E6B06" w:rsidRPr="00EA3F71" w:rsidRDefault="009E6B06" w:rsidP="00A93DA9">
            <w:pPr>
              <w:rPr>
                <w:rFonts w:ascii="Arial Narrow" w:hAnsi="Arial Narrow"/>
                <w:i/>
                <w:sz w:val="20"/>
              </w:rPr>
            </w:pPr>
          </w:p>
        </w:tc>
        <w:tc>
          <w:tcPr>
            <w:tcW w:w="3828" w:type="pct"/>
            <w:tcBorders>
              <w:top w:val="single" w:sz="4" w:space="0" w:color="auto"/>
              <w:left w:val="single" w:sz="4" w:space="0" w:color="auto"/>
              <w:bottom w:val="single" w:sz="4" w:space="0" w:color="auto"/>
              <w:right w:val="single" w:sz="4" w:space="0" w:color="auto"/>
            </w:tcBorders>
          </w:tcPr>
          <w:p w:rsidR="009E6B06" w:rsidRDefault="009E6B06" w:rsidP="00A93DA9">
            <w:pPr>
              <w:rPr>
                <w:rFonts w:ascii="Arial Narrow" w:hAnsi="Arial Narrow"/>
                <w:sz w:val="20"/>
              </w:rPr>
            </w:pPr>
            <w:r w:rsidRPr="005C5A18">
              <w:rPr>
                <w:rFonts w:ascii="Arial Narrow" w:hAnsi="Arial Narrow"/>
                <w:sz w:val="20"/>
              </w:rPr>
              <w:t xml:space="preserve">Patient must have previously </w:t>
            </w:r>
            <w:r>
              <w:rPr>
                <w:rFonts w:ascii="Arial Narrow" w:hAnsi="Arial Narrow"/>
                <w:sz w:val="20"/>
              </w:rPr>
              <w:t>received PBS-subsidised treatment with</w:t>
            </w:r>
            <w:r w:rsidRPr="005C5A18">
              <w:rPr>
                <w:rFonts w:ascii="Arial Narrow" w:hAnsi="Arial Narrow"/>
                <w:sz w:val="20"/>
              </w:rPr>
              <w:t xml:space="preserve"> this drug for this condition</w:t>
            </w:r>
          </w:p>
          <w:p w:rsidR="009E6B06" w:rsidRPr="00751E56" w:rsidRDefault="009E6B06" w:rsidP="00A93DA9">
            <w:pPr>
              <w:rPr>
                <w:rFonts w:ascii="Arial Narrow" w:hAnsi="Arial Narrow"/>
                <w:sz w:val="20"/>
              </w:rPr>
            </w:pPr>
            <w:r w:rsidRPr="00751E56">
              <w:rPr>
                <w:rFonts w:ascii="Arial Narrow" w:hAnsi="Arial Narrow"/>
                <w:sz w:val="20"/>
              </w:rPr>
              <w:t xml:space="preserve">AND </w:t>
            </w:r>
          </w:p>
          <w:p w:rsidR="009E6B06" w:rsidRPr="00EA3F71" w:rsidRDefault="009E6B06" w:rsidP="00A93DA9">
            <w:pPr>
              <w:rPr>
                <w:rFonts w:ascii="Arial Narrow" w:hAnsi="Arial Narrow"/>
                <w:strike/>
                <w:sz w:val="20"/>
              </w:rPr>
            </w:pPr>
            <w:r w:rsidRPr="00751E56">
              <w:rPr>
                <w:rFonts w:ascii="Arial Narrow" w:hAnsi="Arial Narrow"/>
                <w:sz w:val="20"/>
              </w:rPr>
              <w:t>The treatment must be given concomitantly with standard therapy for this condition.</w:t>
            </w: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Pr>
                <w:rFonts w:ascii="Arial Narrow" w:hAnsi="Arial Narrow"/>
                <w:b/>
                <w:sz w:val="20"/>
              </w:rPr>
              <w:t>Population criteria</w:t>
            </w:r>
          </w:p>
        </w:tc>
        <w:tc>
          <w:tcPr>
            <w:tcW w:w="3828" w:type="pct"/>
            <w:tcBorders>
              <w:top w:val="single" w:sz="4" w:space="0" w:color="auto"/>
              <w:left w:val="single" w:sz="4" w:space="0" w:color="auto"/>
              <w:bottom w:val="single" w:sz="4" w:space="0" w:color="auto"/>
              <w:right w:val="single" w:sz="4" w:space="0" w:color="auto"/>
            </w:tcBorders>
          </w:tcPr>
          <w:p w:rsidR="009E6B06" w:rsidRPr="005C5A18" w:rsidRDefault="002369D6" w:rsidP="00A93DA9">
            <w:pPr>
              <w:rPr>
                <w:rFonts w:ascii="Arial Narrow" w:hAnsi="Arial Narrow"/>
                <w:sz w:val="20"/>
              </w:rPr>
            </w:pPr>
            <w:r w:rsidRPr="00EA3F71">
              <w:rPr>
                <w:rFonts w:ascii="Arial Narrow" w:hAnsi="Arial Narrow"/>
                <w:sz w:val="20"/>
              </w:rPr>
              <w:t xml:space="preserve">Patient must be </w:t>
            </w:r>
            <w:r>
              <w:rPr>
                <w:rFonts w:ascii="Arial Narrow" w:hAnsi="Arial Narrow"/>
                <w:sz w:val="20"/>
              </w:rPr>
              <w:t xml:space="preserve">aged between 6 and 11 </w:t>
            </w:r>
            <w:r w:rsidRPr="00EA3F71">
              <w:rPr>
                <w:rFonts w:ascii="Arial Narrow" w:hAnsi="Arial Narrow"/>
                <w:sz w:val="20"/>
              </w:rPr>
              <w:t>years</w:t>
            </w:r>
            <w:r>
              <w:rPr>
                <w:rFonts w:ascii="Arial Narrow" w:hAnsi="Arial Narrow"/>
                <w:sz w:val="20"/>
              </w:rPr>
              <w:t xml:space="preserve"> inclusive.</w:t>
            </w: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Default="009E6B06" w:rsidP="00A93DA9">
            <w:pPr>
              <w:rPr>
                <w:rFonts w:ascii="Arial Narrow" w:hAnsi="Arial Narrow"/>
                <w:b/>
                <w:sz w:val="20"/>
              </w:rPr>
            </w:pPr>
            <w:r w:rsidRPr="009B0E64">
              <w:rPr>
                <w:rFonts w:ascii="Arial Narrow" w:hAnsi="Arial Narrow"/>
                <w:b/>
                <w:sz w:val="20"/>
              </w:rPr>
              <w:t>Prescriber Instructions</w:t>
            </w:r>
          </w:p>
        </w:tc>
        <w:tc>
          <w:tcPr>
            <w:tcW w:w="3828" w:type="pct"/>
            <w:tcBorders>
              <w:top w:val="single" w:sz="4" w:space="0" w:color="auto"/>
              <w:left w:val="single" w:sz="4" w:space="0" w:color="auto"/>
              <w:bottom w:val="single" w:sz="4" w:space="0" w:color="auto"/>
              <w:right w:val="single" w:sz="4" w:space="0" w:color="auto"/>
            </w:tcBorders>
          </w:tcPr>
          <w:p w:rsidR="009E6B06" w:rsidRPr="009B0E64" w:rsidRDefault="009E6B06" w:rsidP="00A93DA9">
            <w:pPr>
              <w:rPr>
                <w:rFonts w:ascii="Arial Narrow" w:hAnsi="Arial Narrow"/>
                <w:sz w:val="20"/>
              </w:rPr>
            </w:pPr>
            <w:r w:rsidRPr="009B0E64">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9E6B06" w:rsidRPr="009B0E64" w:rsidRDefault="009E6B06" w:rsidP="00A93DA9">
            <w:pPr>
              <w:rPr>
                <w:rFonts w:ascii="Arial Narrow" w:hAnsi="Arial Narrow"/>
                <w:sz w:val="20"/>
              </w:rPr>
            </w:pPr>
          </w:p>
          <w:p w:rsidR="009E6B06" w:rsidRDefault="009E6B06" w:rsidP="00A93DA9">
            <w:pPr>
              <w:rPr>
                <w:rFonts w:ascii="Arial Narrow" w:hAnsi="Arial Narrow"/>
                <w:sz w:val="20"/>
              </w:rPr>
            </w:pPr>
            <w:r w:rsidRPr="009B0E64">
              <w:rPr>
                <w:rFonts w:ascii="Arial Narrow" w:hAnsi="Arial Narrow"/>
                <w:sz w:val="20"/>
              </w:rPr>
              <w:t>Patients who have an acute infective exacerbation at the time of assessment for continuing therapy may receive an additional one month's supply in order to enable the assessment to be repeated following resolution of the exacerbation.</w:t>
            </w:r>
          </w:p>
          <w:p w:rsidR="009E6B06" w:rsidRDefault="009E6B06" w:rsidP="00A93DA9">
            <w:pPr>
              <w:rPr>
                <w:rFonts w:ascii="Arial Narrow" w:hAnsi="Arial Narrow"/>
                <w:sz w:val="20"/>
              </w:rPr>
            </w:pPr>
          </w:p>
          <w:p w:rsidR="009E6B06" w:rsidRPr="009B0E64" w:rsidRDefault="009E6B06" w:rsidP="00A93DA9">
            <w:pPr>
              <w:rPr>
                <w:rFonts w:ascii="Arial Narrow" w:hAnsi="Arial Narrow"/>
                <w:sz w:val="20"/>
              </w:rPr>
            </w:pPr>
            <w:r w:rsidRPr="009B0E64">
              <w:rPr>
                <w:rFonts w:ascii="Arial Narrow" w:hAnsi="Arial Narrow"/>
                <w:sz w:val="20"/>
              </w:rPr>
              <w:t>The authority application must be in writing and must include:</w:t>
            </w:r>
          </w:p>
          <w:p w:rsidR="009E6B06" w:rsidRPr="009B0E64" w:rsidRDefault="009E6B06" w:rsidP="00A93DA9">
            <w:pPr>
              <w:rPr>
                <w:rFonts w:ascii="Arial Narrow" w:hAnsi="Arial Narrow"/>
                <w:sz w:val="20"/>
              </w:rPr>
            </w:pPr>
            <w:r w:rsidRPr="009B0E64">
              <w:rPr>
                <w:rFonts w:ascii="Arial Narrow" w:hAnsi="Arial Narrow"/>
                <w:sz w:val="20"/>
              </w:rPr>
              <w:t>(1) a completed authority prescription form; and</w:t>
            </w:r>
          </w:p>
          <w:p w:rsidR="009E6B06" w:rsidRPr="009B0E64" w:rsidRDefault="009E6B06" w:rsidP="00A93DA9">
            <w:pPr>
              <w:rPr>
                <w:rFonts w:ascii="Arial Narrow" w:hAnsi="Arial Narrow"/>
                <w:sz w:val="20"/>
              </w:rPr>
            </w:pPr>
            <w:r w:rsidRPr="009B0E64">
              <w:rPr>
                <w:rFonts w:ascii="Arial Narrow" w:hAnsi="Arial Narrow"/>
                <w:sz w:val="20"/>
              </w:rPr>
              <w:t xml:space="preserve">(2) a completed Cystic Fibrosis </w:t>
            </w:r>
            <w:proofErr w:type="spellStart"/>
            <w:r w:rsidRPr="009B0E64">
              <w:rPr>
                <w:rFonts w:ascii="Arial Narrow" w:hAnsi="Arial Narrow"/>
                <w:sz w:val="20"/>
              </w:rPr>
              <w:t>Lumacaftor</w:t>
            </w:r>
            <w:proofErr w:type="spellEnd"/>
            <w:r w:rsidRPr="009B0E64">
              <w:rPr>
                <w:rFonts w:ascii="Arial Narrow" w:hAnsi="Arial Narrow"/>
                <w:sz w:val="20"/>
              </w:rPr>
              <w:t xml:space="preserve"> with </w:t>
            </w:r>
            <w:proofErr w:type="spellStart"/>
            <w:r w:rsidRPr="009B0E64">
              <w:rPr>
                <w:rFonts w:ascii="Arial Narrow" w:hAnsi="Arial Narrow"/>
                <w:sz w:val="20"/>
              </w:rPr>
              <w:t>Ivacaftor</w:t>
            </w:r>
            <w:proofErr w:type="spellEnd"/>
            <w:r w:rsidRPr="009B0E64">
              <w:rPr>
                <w:rFonts w:ascii="Arial Narrow" w:hAnsi="Arial Narrow"/>
                <w:sz w:val="20"/>
              </w:rPr>
              <w:t xml:space="preserve"> Authority</w:t>
            </w:r>
            <w:r>
              <w:rPr>
                <w:rFonts w:ascii="Arial Narrow" w:hAnsi="Arial Narrow"/>
                <w:sz w:val="20"/>
              </w:rPr>
              <w:t xml:space="preserve"> Continuing</w:t>
            </w:r>
            <w:r w:rsidRPr="009B0E64">
              <w:rPr>
                <w:rFonts w:ascii="Arial Narrow" w:hAnsi="Arial Narrow"/>
                <w:sz w:val="20"/>
              </w:rPr>
              <w:t xml:space="preserve"> Application Supporting Information Form; and</w:t>
            </w:r>
          </w:p>
          <w:p w:rsidR="009E6B06" w:rsidRPr="009B0E64" w:rsidRDefault="009E6B06" w:rsidP="00A93DA9">
            <w:pPr>
              <w:rPr>
                <w:rFonts w:ascii="Arial Narrow" w:hAnsi="Arial Narrow"/>
                <w:sz w:val="20"/>
              </w:rPr>
            </w:pPr>
            <w:r w:rsidRPr="009B0E64">
              <w:rPr>
                <w:rFonts w:ascii="Arial Narrow" w:hAnsi="Arial Narrow"/>
                <w:sz w:val="20"/>
              </w:rPr>
              <w:t>(</w:t>
            </w:r>
            <w:r>
              <w:rPr>
                <w:rFonts w:ascii="Arial Narrow" w:hAnsi="Arial Narrow"/>
                <w:sz w:val="20"/>
              </w:rPr>
              <w:t>3</w:t>
            </w:r>
            <w:r w:rsidRPr="009B0E64">
              <w:rPr>
                <w:rFonts w:ascii="Arial Narrow" w:hAnsi="Arial Narrow"/>
                <w:sz w:val="20"/>
              </w:rPr>
              <w:t xml:space="preserve">) </w:t>
            </w:r>
            <w:proofErr w:type="gramStart"/>
            <w:r w:rsidRPr="009B0E64">
              <w:rPr>
                <w:rFonts w:ascii="Arial Narrow" w:hAnsi="Arial Narrow"/>
                <w:sz w:val="20"/>
              </w:rPr>
              <w:t>the</w:t>
            </w:r>
            <w:proofErr w:type="gramEnd"/>
            <w:r w:rsidRPr="009B0E64">
              <w:rPr>
                <w:rFonts w:ascii="Arial Narrow" w:hAnsi="Arial Narrow"/>
                <w:sz w:val="20"/>
              </w:rPr>
              <w:t xml:space="preserve"> result of a FEV1 measurement performed within a month prior to the date of application. Note: FEV1, must be measured in an accredited pulmonary function laboratory, with documented no acute infective exacerbation at the time FEV1 is measured; and</w:t>
            </w:r>
          </w:p>
          <w:p w:rsidR="009E6B06" w:rsidRPr="009B0E64" w:rsidRDefault="009E6B06" w:rsidP="00A93DA9">
            <w:pPr>
              <w:rPr>
                <w:rFonts w:ascii="Arial Narrow" w:hAnsi="Arial Narrow"/>
                <w:sz w:val="20"/>
              </w:rPr>
            </w:pPr>
            <w:r w:rsidRPr="009B0E64">
              <w:rPr>
                <w:rFonts w:ascii="Arial Narrow" w:hAnsi="Arial Narrow"/>
                <w:sz w:val="20"/>
              </w:rPr>
              <w:t>(</w:t>
            </w:r>
            <w:r>
              <w:rPr>
                <w:rFonts w:ascii="Arial Narrow" w:hAnsi="Arial Narrow"/>
                <w:sz w:val="20"/>
              </w:rPr>
              <w:t>4</w:t>
            </w:r>
            <w:r w:rsidRPr="009B0E64">
              <w:rPr>
                <w:rFonts w:ascii="Arial Narrow" w:hAnsi="Arial Narrow"/>
                <w:sz w:val="20"/>
              </w:rPr>
              <w:t xml:space="preserve">) a copy of a current medication history; and </w:t>
            </w:r>
          </w:p>
          <w:p w:rsidR="009E6B06" w:rsidRPr="009B0E64" w:rsidRDefault="009E6B06" w:rsidP="00A93DA9">
            <w:pPr>
              <w:rPr>
                <w:rFonts w:ascii="Arial Narrow" w:hAnsi="Arial Narrow"/>
                <w:sz w:val="20"/>
              </w:rPr>
            </w:pPr>
            <w:r w:rsidRPr="009B0E64">
              <w:rPr>
                <w:rFonts w:ascii="Arial Narrow" w:hAnsi="Arial Narrow"/>
                <w:sz w:val="20"/>
              </w:rPr>
              <w:t>(</w:t>
            </w:r>
            <w:r>
              <w:rPr>
                <w:rFonts w:ascii="Arial Narrow" w:hAnsi="Arial Narrow"/>
                <w:sz w:val="20"/>
              </w:rPr>
              <w:t>5</w:t>
            </w:r>
            <w:r w:rsidRPr="009B0E64">
              <w:rPr>
                <w:rFonts w:ascii="Arial Narrow" w:hAnsi="Arial Narrow"/>
                <w:sz w:val="20"/>
              </w:rPr>
              <w:t>) height and weight measurements at the time of application; and</w:t>
            </w:r>
          </w:p>
          <w:p w:rsidR="009E6B06" w:rsidRPr="009B0E64" w:rsidRDefault="009E6B06" w:rsidP="00A93DA9">
            <w:pPr>
              <w:rPr>
                <w:rFonts w:ascii="Arial Narrow" w:hAnsi="Arial Narrow"/>
                <w:sz w:val="20"/>
              </w:rPr>
            </w:pPr>
            <w:r w:rsidRPr="009B0E64">
              <w:rPr>
                <w:rFonts w:ascii="Arial Narrow" w:hAnsi="Arial Narrow"/>
                <w:sz w:val="20"/>
              </w:rPr>
              <w:lastRenderedPageBreak/>
              <w:t>(</w:t>
            </w:r>
            <w:r>
              <w:rPr>
                <w:rFonts w:ascii="Arial Narrow" w:hAnsi="Arial Narrow"/>
                <w:sz w:val="20"/>
              </w:rPr>
              <w:t>6</w:t>
            </w:r>
            <w:r w:rsidRPr="009B0E64">
              <w:rPr>
                <w:rFonts w:ascii="Arial Narrow" w:hAnsi="Arial Narrow"/>
                <w:sz w:val="20"/>
              </w:rPr>
              <w:t xml:space="preserve">) </w:t>
            </w:r>
            <w:proofErr w:type="gramStart"/>
            <w:r w:rsidRPr="009B0E64">
              <w:rPr>
                <w:rFonts w:ascii="Arial Narrow" w:hAnsi="Arial Narrow"/>
                <w:sz w:val="20"/>
              </w:rPr>
              <w:t>the</w:t>
            </w:r>
            <w:proofErr w:type="gramEnd"/>
            <w:r w:rsidRPr="009B0E64">
              <w:rPr>
                <w:rFonts w:ascii="Arial Narrow" w:hAnsi="Arial Narrow"/>
                <w:sz w:val="20"/>
              </w:rPr>
              <w:t xml:space="preserve"> number of days of CF-related hospitalisation (including hospital-in-the home) in the previous </w:t>
            </w:r>
            <w:r>
              <w:rPr>
                <w:rFonts w:ascii="Arial Narrow" w:hAnsi="Arial Narrow"/>
                <w:sz w:val="20"/>
              </w:rPr>
              <w:t>6</w:t>
            </w:r>
            <w:r w:rsidRPr="009B0E64">
              <w:rPr>
                <w:rFonts w:ascii="Arial Narrow" w:hAnsi="Arial Narrow"/>
                <w:sz w:val="20"/>
              </w:rPr>
              <w:t xml:space="preserve"> months.</w:t>
            </w:r>
          </w:p>
        </w:tc>
      </w:tr>
      <w:tr w:rsidR="009E6B06" w:rsidRPr="00EA3F71" w:rsidTr="00D92CD4">
        <w:tc>
          <w:tcPr>
            <w:tcW w:w="1172" w:type="pct"/>
            <w:tcBorders>
              <w:top w:val="single" w:sz="4" w:space="0" w:color="auto"/>
              <w:left w:val="single" w:sz="4" w:space="0" w:color="auto"/>
              <w:bottom w:val="single" w:sz="4" w:space="0" w:color="auto"/>
              <w:right w:val="single" w:sz="4" w:space="0" w:color="auto"/>
            </w:tcBorders>
          </w:tcPr>
          <w:p w:rsidR="009E6B06" w:rsidRPr="00EA3F71" w:rsidRDefault="009E6B06" w:rsidP="00A93DA9">
            <w:pPr>
              <w:rPr>
                <w:rFonts w:ascii="Arial Narrow" w:hAnsi="Arial Narrow"/>
                <w:b/>
                <w:sz w:val="20"/>
              </w:rPr>
            </w:pPr>
            <w:r w:rsidRPr="00EA3F71">
              <w:rPr>
                <w:rFonts w:ascii="Arial Narrow" w:hAnsi="Arial Narrow"/>
                <w:b/>
                <w:sz w:val="20"/>
              </w:rPr>
              <w:lastRenderedPageBreak/>
              <w:t>Administrative Advice:</w:t>
            </w:r>
          </w:p>
        </w:tc>
        <w:tc>
          <w:tcPr>
            <w:tcW w:w="3828" w:type="pct"/>
            <w:tcBorders>
              <w:top w:val="single" w:sz="4" w:space="0" w:color="auto"/>
              <w:left w:val="single" w:sz="4" w:space="0" w:color="auto"/>
              <w:bottom w:val="single" w:sz="4" w:space="0" w:color="auto"/>
              <w:right w:val="single" w:sz="4" w:space="0" w:color="auto"/>
            </w:tcBorders>
          </w:tcPr>
          <w:p w:rsidR="009E6B06" w:rsidRPr="00751E56" w:rsidRDefault="009E6B06" w:rsidP="00A93DA9">
            <w:pPr>
              <w:rPr>
                <w:rFonts w:ascii="Arial Narrow" w:hAnsi="Arial Narrow"/>
                <w:sz w:val="20"/>
              </w:rPr>
            </w:pPr>
            <w:r w:rsidRPr="00751E56">
              <w:rPr>
                <w:rFonts w:ascii="Arial Narrow" w:hAnsi="Arial Narrow"/>
                <w:sz w:val="20"/>
              </w:rPr>
              <w:t>Special pricing arrangements apply</w:t>
            </w:r>
          </w:p>
          <w:p w:rsidR="009E6B06" w:rsidRPr="00751E56" w:rsidRDefault="009E6B06" w:rsidP="00A93DA9">
            <w:pPr>
              <w:rPr>
                <w:rFonts w:ascii="Arial Narrow" w:hAnsi="Arial Narrow"/>
                <w:sz w:val="20"/>
              </w:rPr>
            </w:pPr>
          </w:p>
          <w:p w:rsidR="009E6B06" w:rsidRPr="00751E56" w:rsidRDefault="009E6B06" w:rsidP="00A93DA9">
            <w:pPr>
              <w:keepNext/>
              <w:rPr>
                <w:rFonts w:ascii="Arial Narrow" w:hAnsi="Arial Narrow"/>
                <w:sz w:val="20"/>
                <w:lang w:val="en-US"/>
              </w:rPr>
            </w:pPr>
            <w:r w:rsidRPr="00751E56">
              <w:rPr>
                <w:rFonts w:ascii="Arial Narrow" w:hAnsi="Arial Narrow"/>
                <w:sz w:val="20"/>
                <w:lang w:val="en-US"/>
              </w:rPr>
              <w:t xml:space="preserve">No increase in the maximum number of repeats may be </w:t>
            </w:r>
            <w:proofErr w:type="spellStart"/>
            <w:r w:rsidRPr="00751E56">
              <w:rPr>
                <w:rFonts w:ascii="Arial Narrow" w:hAnsi="Arial Narrow"/>
                <w:sz w:val="20"/>
                <w:lang w:val="en-US"/>
              </w:rPr>
              <w:t>authorised</w:t>
            </w:r>
            <w:proofErr w:type="spellEnd"/>
            <w:r w:rsidRPr="00751E56">
              <w:rPr>
                <w:rFonts w:ascii="Arial Narrow" w:hAnsi="Arial Narrow"/>
                <w:sz w:val="20"/>
                <w:lang w:val="en-US"/>
              </w:rPr>
              <w:t>.</w:t>
            </w:r>
          </w:p>
          <w:p w:rsidR="009E6B06" w:rsidRPr="00751E56" w:rsidRDefault="009E6B06" w:rsidP="00A93DA9">
            <w:pPr>
              <w:keepNext/>
              <w:rPr>
                <w:rFonts w:ascii="Arial Narrow" w:hAnsi="Arial Narrow"/>
                <w:sz w:val="20"/>
                <w:lang w:val="en-US"/>
              </w:rPr>
            </w:pPr>
          </w:p>
          <w:p w:rsidR="009E6B06" w:rsidRPr="00751E56" w:rsidRDefault="009E6B06" w:rsidP="00A93DA9">
            <w:pPr>
              <w:rPr>
                <w:rFonts w:ascii="Arial Narrow" w:hAnsi="Arial Narrow"/>
                <w:sz w:val="20"/>
                <w:lang w:val="en-US"/>
              </w:rPr>
            </w:pPr>
            <w:r w:rsidRPr="00751E56">
              <w:rPr>
                <w:rFonts w:ascii="Arial Narrow" w:hAnsi="Arial Narrow"/>
                <w:sz w:val="20"/>
                <w:lang w:val="en-US"/>
              </w:rPr>
              <w:t xml:space="preserve">No increase in the maximum quantity or number of units may be </w:t>
            </w:r>
            <w:proofErr w:type="spellStart"/>
            <w:r w:rsidRPr="00751E56">
              <w:rPr>
                <w:rFonts w:ascii="Arial Narrow" w:hAnsi="Arial Narrow"/>
                <w:sz w:val="20"/>
                <w:lang w:val="en-US"/>
              </w:rPr>
              <w:t>authorised</w:t>
            </w:r>
            <w:proofErr w:type="spellEnd"/>
            <w:r w:rsidRPr="00751E56">
              <w:rPr>
                <w:rFonts w:ascii="Arial Narrow" w:hAnsi="Arial Narrow"/>
                <w:sz w:val="20"/>
                <w:lang w:val="en-US"/>
              </w:rPr>
              <w:t>.</w:t>
            </w:r>
          </w:p>
          <w:p w:rsidR="009E6B06" w:rsidRPr="00751E56" w:rsidRDefault="009E6B06" w:rsidP="00A93DA9">
            <w:pPr>
              <w:rPr>
                <w:rFonts w:ascii="Arial Narrow" w:hAnsi="Arial Narrow"/>
                <w:sz w:val="20"/>
              </w:rPr>
            </w:pPr>
          </w:p>
          <w:p w:rsidR="009E6B06" w:rsidRDefault="009E6B06" w:rsidP="00A93DA9">
            <w:pPr>
              <w:rPr>
                <w:rFonts w:ascii="Arial Narrow" w:hAnsi="Arial Narrow"/>
                <w:sz w:val="20"/>
              </w:rPr>
            </w:pPr>
            <w:r w:rsidRPr="00751E56">
              <w:rPr>
                <w:rFonts w:ascii="Arial Narrow" w:hAnsi="Arial Narrow"/>
                <w:sz w:val="20"/>
              </w:rPr>
              <w:t>Any queries concerning the arrangements to prescribe may be directed to the Department of Human Services on 1800 700 270 (hours of operation 8 a.m. to 5 p.m. EST Monday to Friday).</w:t>
            </w:r>
          </w:p>
          <w:p w:rsidR="002369D6" w:rsidRDefault="002369D6" w:rsidP="00A93DA9">
            <w:pPr>
              <w:rPr>
                <w:rFonts w:ascii="Arial Narrow" w:hAnsi="Arial Narrow"/>
                <w:sz w:val="20"/>
              </w:rPr>
            </w:pPr>
          </w:p>
          <w:p w:rsidR="002369D6" w:rsidRPr="00C4077F" w:rsidRDefault="002369D6" w:rsidP="002369D6">
            <w:pPr>
              <w:rPr>
                <w:rFonts w:ascii="Arial Narrow" w:hAnsi="Arial Narrow"/>
                <w:sz w:val="20"/>
              </w:rPr>
            </w:pPr>
            <w:r w:rsidRPr="00C4077F">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2369D6" w:rsidRPr="00C4077F" w:rsidRDefault="002369D6" w:rsidP="002369D6">
            <w:pPr>
              <w:rPr>
                <w:rFonts w:ascii="Arial Narrow" w:hAnsi="Arial Narrow"/>
                <w:sz w:val="20"/>
              </w:rPr>
            </w:pPr>
          </w:p>
          <w:p w:rsidR="002369D6" w:rsidRPr="00C4077F" w:rsidRDefault="002369D6" w:rsidP="002369D6">
            <w:pPr>
              <w:rPr>
                <w:rFonts w:ascii="Arial Narrow" w:hAnsi="Arial Narrow"/>
                <w:sz w:val="20"/>
              </w:rPr>
            </w:pPr>
            <w:r w:rsidRPr="00C4077F">
              <w:rPr>
                <w:rFonts w:ascii="Arial Narrow" w:hAnsi="Arial Narrow"/>
                <w:sz w:val="20"/>
              </w:rPr>
              <w:t>Applications for authority to prescribe should be forwarded to:</w:t>
            </w:r>
          </w:p>
          <w:p w:rsidR="002369D6" w:rsidRPr="00C4077F" w:rsidRDefault="002369D6" w:rsidP="002369D6">
            <w:pPr>
              <w:rPr>
                <w:rFonts w:ascii="Arial Narrow" w:hAnsi="Arial Narrow"/>
                <w:sz w:val="20"/>
              </w:rPr>
            </w:pPr>
            <w:r w:rsidRPr="00C4077F">
              <w:rPr>
                <w:rFonts w:ascii="Arial Narrow" w:hAnsi="Arial Narrow"/>
                <w:sz w:val="20"/>
              </w:rPr>
              <w:t>Department of Human Services</w:t>
            </w:r>
          </w:p>
          <w:p w:rsidR="002369D6" w:rsidRPr="00C4077F" w:rsidRDefault="002369D6" w:rsidP="002369D6">
            <w:pPr>
              <w:rPr>
                <w:rFonts w:ascii="Arial Narrow" w:hAnsi="Arial Narrow"/>
                <w:sz w:val="20"/>
              </w:rPr>
            </w:pPr>
            <w:r w:rsidRPr="00C4077F">
              <w:rPr>
                <w:rFonts w:ascii="Arial Narrow" w:hAnsi="Arial Narrow"/>
                <w:sz w:val="20"/>
              </w:rPr>
              <w:t>Complex Drugs</w:t>
            </w:r>
          </w:p>
          <w:p w:rsidR="002369D6" w:rsidRPr="00C4077F" w:rsidRDefault="002369D6" w:rsidP="002369D6">
            <w:pPr>
              <w:rPr>
                <w:rFonts w:ascii="Arial Narrow" w:hAnsi="Arial Narrow"/>
                <w:sz w:val="20"/>
              </w:rPr>
            </w:pPr>
            <w:r w:rsidRPr="00C4077F">
              <w:rPr>
                <w:rFonts w:ascii="Arial Narrow" w:hAnsi="Arial Narrow"/>
                <w:sz w:val="20"/>
              </w:rPr>
              <w:t>Reply Paid 9826</w:t>
            </w:r>
          </w:p>
          <w:p w:rsidR="009E6B06" w:rsidRPr="00EA3F71" w:rsidRDefault="002369D6" w:rsidP="00A93DA9">
            <w:pPr>
              <w:rPr>
                <w:rFonts w:ascii="Arial Narrow" w:hAnsi="Arial Narrow"/>
                <w:sz w:val="20"/>
              </w:rPr>
            </w:pPr>
            <w:r w:rsidRPr="00C4077F">
              <w:rPr>
                <w:rFonts w:ascii="Arial Narrow" w:hAnsi="Arial Narrow"/>
                <w:sz w:val="20"/>
              </w:rPr>
              <w:t>HOBART TAS 7001</w:t>
            </w:r>
          </w:p>
        </w:tc>
      </w:tr>
    </w:tbl>
    <w:p w:rsidR="009E6B06" w:rsidRDefault="009E6B06" w:rsidP="003748DE"/>
    <w:p w:rsidR="003748DE" w:rsidRDefault="003748DE" w:rsidP="003748DE">
      <w:pPr>
        <w:pStyle w:val="ListParagraph"/>
        <w:widowControl/>
        <w:numPr>
          <w:ilvl w:val="0"/>
          <w:numId w:val="45"/>
        </w:numPr>
        <w:spacing w:before="240" w:after="120"/>
        <w:ind w:hanging="720"/>
        <w:jc w:val="left"/>
        <w:outlineLvl w:val="0"/>
        <w:rPr>
          <w:rFonts w:asciiTheme="minorHAnsi" w:hAnsiTheme="minorHAnsi"/>
          <w:b/>
          <w:sz w:val="32"/>
          <w:szCs w:val="32"/>
        </w:rPr>
      </w:pPr>
      <w:r>
        <w:rPr>
          <w:rFonts w:asciiTheme="minorHAnsi" w:hAnsiTheme="minorHAnsi"/>
          <w:b/>
          <w:sz w:val="32"/>
          <w:szCs w:val="32"/>
        </w:rPr>
        <w:t xml:space="preserve">Context for Decision </w:t>
      </w:r>
    </w:p>
    <w:p w:rsidR="003748DE" w:rsidRPr="003748DE" w:rsidRDefault="003748DE" w:rsidP="003748DE">
      <w:pPr>
        <w:rPr>
          <w:rFonts w:asciiTheme="minorHAnsi" w:hAnsiTheme="minorHAnsi"/>
        </w:rPr>
      </w:pPr>
      <w:r w:rsidRPr="003748DE">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748DE" w:rsidRDefault="003748DE" w:rsidP="003748DE">
      <w:pPr>
        <w:pStyle w:val="ListParagraph"/>
        <w:widowControl/>
        <w:numPr>
          <w:ilvl w:val="0"/>
          <w:numId w:val="45"/>
        </w:numPr>
        <w:spacing w:before="240" w:after="120"/>
        <w:ind w:hanging="720"/>
        <w:jc w:val="left"/>
        <w:outlineLvl w:val="0"/>
        <w:rPr>
          <w:rFonts w:asciiTheme="minorHAnsi" w:hAnsiTheme="minorHAnsi"/>
          <w:b/>
          <w:sz w:val="32"/>
          <w:szCs w:val="32"/>
        </w:rPr>
      </w:pPr>
      <w:r>
        <w:rPr>
          <w:rFonts w:asciiTheme="minorHAnsi" w:hAnsiTheme="minorHAnsi"/>
          <w:b/>
          <w:sz w:val="32"/>
          <w:szCs w:val="32"/>
        </w:rPr>
        <w:t xml:space="preserve">Sponsor’s Comment </w:t>
      </w:r>
    </w:p>
    <w:p w:rsidR="003748DE" w:rsidRPr="00D92CD4" w:rsidRDefault="003748DE" w:rsidP="00D92CD4">
      <w:pPr>
        <w:spacing w:after="120"/>
        <w:rPr>
          <w:rFonts w:asciiTheme="minorHAnsi" w:hAnsiTheme="minorHAnsi"/>
          <w:bCs/>
        </w:rPr>
      </w:pPr>
      <w:r w:rsidRPr="00C07617">
        <w:rPr>
          <w:rFonts w:asciiTheme="minorHAnsi" w:hAnsiTheme="minorHAnsi"/>
          <w:bCs/>
        </w:rPr>
        <w:t>The sponsor had no comment.</w:t>
      </w:r>
    </w:p>
    <w:sectPr w:rsidR="003748DE" w:rsidRPr="00D92CD4" w:rsidSect="009F212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1361" w:footer="123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D29007" w16cid:durableId="1F12D19E"/>
  <w16cid:commentId w16cid:paraId="559C68CE" w16cid:durableId="1F12D1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AC" w:rsidRDefault="00D155AC" w:rsidP="00124A51">
      <w:r>
        <w:separator/>
      </w:r>
    </w:p>
    <w:p w:rsidR="00D155AC" w:rsidRDefault="00D155AC"/>
  </w:endnote>
  <w:endnote w:type="continuationSeparator" w:id="0">
    <w:p w:rsidR="00D155AC" w:rsidRDefault="00D155AC" w:rsidP="00124A51">
      <w:r>
        <w:continuationSeparator/>
      </w:r>
    </w:p>
    <w:p w:rsidR="00D155AC" w:rsidRDefault="00D15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4" w:rsidRDefault="00745D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79227"/>
      <w:docPartObj>
        <w:docPartGallery w:val="Page Numbers (Bottom of Page)"/>
        <w:docPartUnique/>
      </w:docPartObj>
    </w:sdtPr>
    <w:sdtEndPr>
      <w:rPr>
        <w:noProof/>
      </w:rPr>
    </w:sdtEndPr>
    <w:sdtContent>
      <w:p w:rsidR="00B22D7C" w:rsidRDefault="00B22D7C">
        <w:pPr>
          <w:pStyle w:val="Footer"/>
          <w:jc w:val="center"/>
        </w:pPr>
      </w:p>
      <w:p w:rsidR="00B22D7C" w:rsidRPr="00041F74" w:rsidRDefault="00B22D7C" w:rsidP="007C6CD5">
        <w:pPr>
          <w:pStyle w:val="Footer"/>
          <w:jc w:val="center"/>
        </w:pPr>
        <w:r>
          <w:fldChar w:fldCharType="begin"/>
        </w:r>
        <w:r>
          <w:instrText xml:space="preserve"> PAGE   \* MERGEFORMAT </w:instrText>
        </w:r>
        <w:r>
          <w:fldChar w:fldCharType="separate"/>
        </w:r>
        <w:r w:rsidR="00D92CD4">
          <w:rPr>
            <w:noProof/>
          </w:rPr>
          <w:t>30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4" w:rsidRDefault="00745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AC" w:rsidRDefault="00D155AC" w:rsidP="00124A51">
      <w:r>
        <w:separator/>
      </w:r>
    </w:p>
  </w:footnote>
  <w:footnote w:type="continuationSeparator" w:id="0">
    <w:p w:rsidR="00D155AC" w:rsidRDefault="00D155AC" w:rsidP="00124A51">
      <w:r>
        <w:continuationSeparator/>
      </w:r>
    </w:p>
    <w:p w:rsidR="00D155AC" w:rsidRDefault="00D155AC"/>
  </w:footnote>
  <w:footnote w:id="1">
    <w:p w:rsidR="00B22D7C" w:rsidRPr="00F2021A" w:rsidRDefault="00B22D7C">
      <w:pPr>
        <w:pStyle w:val="FootnoteText"/>
        <w:rPr>
          <w:sz w:val="16"/>
          <w:szCs w:val="16"/>
        </w:rPr>
      </w:pPr>
      <w:r w:rsidRPr="00F2021A">
        <w:rPr>
          <w:rStyle w:val="FootnoteReference"/>
          <w:sz w:val="16"/>
          <w:szCs w:val="16"/>
        </w:rPr>
        <w:footnoteRef/>
      </w:r>
      <w:r w:rsidRPr="00F2021A">
        <w:rPr>
          <w:sz w:val="16"/>
          <w:szCs w:val="16"/>
        </w:rPr>
        <w:t xml:space="preserve"> </w:t>
      </w:r>
      <w:proofErr w:type="spellStart"/>
      <w:r w:rsidRPr="00F2021A">
        <w:rPr>
          <w:sz w:val="16"/>
          <w:szCs w:val="16"/>
        </w:rPr>
        <w:t>Chilvers</w:t>
      </w:r>
      <w:proofErr w:type="spellEnd"/>
      <w:r w:rsidRPr="00F2021A">
        <w:rPr>
          <w:sz w:val="16"/>
          <w:szCs w:val="16"/>
        </w:rPr>
        <w:t xml:space="preserve"> M</w:t>
      </w:r>
      <w:r>
        <w:rPr>
          <w:sz w:val="16"/>
          <w:szCs w:val="16"/>
        </w:rPr>
        <w:t>-</w:t>
      </w:r>
      <w:r w:rsidRPr="00F2021A">
        <w:rPr>
          <w:sz w:val="16"/>
          <w:szCs w:val="16"/>
        </w:rPr>
        <w:t>809_110_IA2_NACFC_2017_Poster278_Presented.pdf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4" w:rsidRDefault="00745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7C" w:rsidRPr="003748DE" w:rsidRDefault="00B22D7C" w:rsidP="009F2127">
    <w:pPr>
      <w:widowControl/>
      <w:tabs>
        <w:tab w:val="center" w:pos="4513"/>
        <w:tab w:val="right" w:pos="9026"/>
      </w:tabs>
      <w:jc w:val="center"/>
      <w:rPr>
        <w:rFonts w:asciiTheme="minorHAnsi" w:eastAsiaTheme="minorHAnsi" w:hAnsiTheme="minorHAnsi" w:cstheme="minorHAnsi"/>
        <w:i/>
        <w:snapToGrid/>
        <w:color w:val="808080"/>
        <w:sz w:val="22"/>
      </w:rPr>
    </w:pPr>
    <w:r w:rsidRPr="003748DE">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3748DE">
      <w:rPr>
        <w:rFonts w:asciiTheme="minorHAnsi" w:eastAsiaTheme="minorHAnsi" w:hAnsiTheme="minorHAnsi" w:cstheme="minorHAnsi"/>
        <w:i/>
        <w:snapToGrid/>
        <w:color w:val="808080"/>
        <w:sz w:val="22"/>
      </w:rPr>
      <w:t xml:space="preserve"> PBAC Meeting</w:t>
    </w:r>
  </w:p>
  <w:p w:rsidR="00B22D7C" w:rsidRDefault="00B22D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4" w:rsidRDefault="00745D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D6A"/>
    <w:multiLevelType w:val="hybridMultilevel"/>
    <w:tmpl w:val="110AF5A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20302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11C299D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7E06A3"/>
    <w:multiLevelType w:val="hybridMultilevel"/>
    <w:tmpl w:val="73AE4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E2C66F3"/>
    <w:multiLevelType w:val="hybridMultilevel"/>
    <w:tmpl w:val="A076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1F68A8"/>
    <w:multiLevelType w:val="hybridMultilevel"/>
    <w:tmpl w:val="A704B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BB6C05"/>
    <w:multiLevelType w:val="hybridMultilevel"/>
    <w:tmpl w:val="B3D44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490F8C"/>
    <w:multiLevelType w:val="multilevel"/>
    <w:tmpl w:val="1988F17C"/>
    <w:lvl w:ilvl="0">
      <w:start w:val="1"/>
      <w:numFmt w:val="decimal"/>
      <w:lvlText w:val="%1"/>
      <w:lvlJc w:val="left"/>
      <w:pPr>
        <w:ind w:left="432" w:hanging="432"/>
      </w:pPr>
      <w:rPr>
        <w:rFonts w:hint="default"/>
        <w:b/>
      </w:rPr>
    </w:lvl>
    <w:lvl w:ilvl="1">
      <w:start w:val="1"/>
      <w:numFmt w:val="upperLetter"/>
      <w:lvlText w:val="%1%2"/>
      <w:lvlJc w:val="left"/>
      <w:pPr>
        <w:ind w:left="576" w:hanging="576"/>
      </w:pPr>
      <w:rPr>
        <w:rFonts w:hint="default"/>
      </w:rPr>
    </w:lvl>
    <w:lvl w:ilvl="2">
      <w:start w:val="1"/>
      <w:numFmt w:val="decimal"/>
      <w:lvlText w:val="%1%2.%3"/>
      <w:lvlJc w:val="left"/>
      <w:pPr>
        <w:ind w:left="0" w:firstLine="0"/>
      </w:pPr>
      <w:rPr>
        <w:rFonts w:hint="default"/>
      </w:rPr>
    </w:lvl>
    <w:lvl w:ilvl="3">
      <w:start w:val="1"/>
      <w:numFmt w:val="decimal"/>
      <w:lvlRestart w:val="1"/>
      <w:lvlText w:val="%1.%4"/>
      <w:lvlJc w:val="left"/>
      <w:pPr>
        <w:ind w:left="1006" w:hanging="864"/>
      </w:pPr>
      <w:rPr>
        <w:rFonts w:hint="default"/>
      </w:rPr>
    </w:lvl>
    <w:lvl w:ilvl="4">
      <w:start w:val="1"/>
      <w:numFmt w:val="decimal"/>
      <w:lvlRestart w:val="3"/>
      <w:lvlText w:val="%1%2.%3.%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CC02B6B"/>
    <w:multiLevelType w:val="hybridMultilevel"/>
    <w:tmpl w:val="B098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1D1239"/>
    <w:multiLevelType w:val="hybridMultilevel"/>
    <w:tmpl w:val="C08C59E8"/>
    <w:lvl w:ilvl="0" w:tplc="75DA8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E0404A"/>
    <w:multiLevelType w:val="hybridMultilevel"/>
    <w:tmpl w:val="3716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C84877"/>
    <w:multiLevelType w:val="hybridMultilevel"/>
    <w:tmpl w:val="63CE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1C13DF"/>
    <w:multiLevelType w:val="hybridMultilevel"/>
    <w:tmpl w:val="12A22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7B4BE0"/>
    <w:multiLevelType w:val="multilevel"/>
    <w:tmpl w:val="389C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8940DB"/>
    <w:multiLevelType w:val="hybridMultilevel"/>
    <w:tmpl w:val="FC807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AE430E6"/>
    <w:multiLevelType w:val="hybridMultilevel"/>
    <w:tmpl w:val="2A960D14"/>
    <w:lvl w:ilvl="0" w:tplc="DBFA83DC">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021B99"/>
    <w:multiLevelType w:val="hybridMultilevel"/>
    <w:tmpl w:val="CC2AFE96"/>
    <w:lvl w:ilvl="0" w:tplc="53E4B80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7C34E2"/>
    <w:multiLevelType w:val="hybridMultilevel"/>
    <w:tmpl w:val="72A82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3F0C95"/>
    <w:multiLevelType w:val="hybridMultilevel"/>
    <w:tmpl w:val="8B7C82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D6983"/>
    <w:multiLevelType w:val="hybridMultilevel"/>
    <w:tmpl w:val="08D0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8B809F4"/>
    <w:multiLevelType w:val="hybridMultilevel"/>
    <w:tmpl w:val="E7BE2A5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8066C3"/>
    <w:multiLevelType w:val="multilevel"/>
    <w:tmpl w:val="2762256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D987F6F"/>
    <w:multiLevelType w:val="hybridMultilevel"/>
    <w:tmpl w:val="C1D6A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B27BCA"/>
    <w:multiLevelType w:val="hybridMultilevel"/>
    <w:tmpl w:val="469AD16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DE63ADB"/>
    <w:multiLevelType w:val="hybridMultilevel"/>
    <w:tmpl w:val="8F3EE88E"/>
    <w:lvl w:ilvl="0" w:tplc="3DB83A1E">
      <w:start w:val="1"/>
      <w:numFmt w:val="bullet"/>
      <w:pStyle w:val="TableBullet"/>
      <w:lvlText w:val=""/>
      <w:lvlJc w:val="left"/>
      <w:pPr>
        <w:ind w:left="720" w:hanging="360"/>
      </w:pPr>
      <w:rPr>
        <w:rFonts w:ascii="Symbol" w:hAnsi="Symbol" w:hint="default"/>
      </w:rPr>
    </w:lvl>
    <w:lvl w:ilvl="1" w:tplc="F99C98C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EF564DC"/>
    <w:multiLevelType w:val="hybridMultilevel"/>
    <w:tmpl w:val="16EC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F373E7A"/>
    <w:multiLevelType w:val="multilevel"/>
    <w:tmpl w:val="2A346AA4"/>
    <w:lvl w:ilvl="0">
      <w:start w:val="1"/>
      <w:numFmt w:val="decimal"/>
      <w:lvlText w:val="%1."/>
      <w:lvlJc w:val="left"/>
      <w:pPr>
        <w:tabs>
          <w:tab w:val="num" w:pos="731"/>
        </w:tabs>
        <w:ind w:left="731" w:hanging="360"/>
      </w:pPr>
    </w:lvl>
    <w:lvl w:ilvl="1" w:tentative="1">
      <w:start w:val="1"/>
      <w:numFmt w:val="decimal"/>
      <w:lvlText w:val="%2."/>
      <w:lvlJc w:val="left"/>
      <w:pPr>
        <w:tabs>
          <w:tab w:val="num" w:pos="1451"/>
        </w:tabs>
        <w:ind w:left="1451" w:hanging="360"/>
      </w:pPr>
    </w:lvl>
    <w:lvl w:ilvl="2" w:tentative="1">
      <w:start w:val="1"/>
      <w:numFmt w:val="decimal"/>
      <w:lvlText w:val="%3."/>
      <w:lvlJc w:val="left"/>
      <w:pPr>
        <w:tabs>
          <w:tab w:val="num" w:pos="2171"/>
        </w:tabs>
        <w:ind w:left="2171" w:hanging="360"/>
      </w:pPr>
    </w:lvl>
    <w:lvl w:ilvl="3" w:tentative="1">
      <w:start w:val="1"/>
      <w:numFmt w:val="decimal"/>
      <w:lvlText w:val="%4."/>
      <w:lvlJc w:val="left"/>
      <w:pPr>
        <w:tabs>
          <w:tab w:val="num" w:pos="2891"/>
        </w:tabs>
        <w:ind w:left="2891" w:hanging="360"/>
      </w:pPr>
    </w:lvl>
    <w:lvl w:ilvl="4" w:tentative="1">
      <w:start w:val="1"/>
      <w:numFmt w:val="decimal"/>
      <w:lvlText w:val="%5."/>
      <w:lvlJc w:val="left"/>
      <w:pPr>
        <w:tabs>
          <w:tab w:val="num" w:pos="3611"/>
        </w:tabs>
        <w:ind w:left="3611" w:hanging="360"/>
      </w:pPr>
    </w:lvl>
    <w:lvl w:ilvl="5" w:tentative="1">
      <w:start w:val="1"/>
      <w:numFmt w:val="decimal"/>
      <w:lvlText w:val="%6."/>
      <w:lvlJc w:val="left"/>
      <w:pPr>
        <w:tabs>
          <w:tab w:val="num" w:pos="4331"/>
        </w:tabs>
        <w:ind w:left="4331" w:hanging="360"/>
      </w:pPr>
    </w:lvl>
    <w:lvl w:ilvl="6" w:tentative="1">
      <w:start w:val="1"/>
      <w:numFmt w:val="decimal"/>
      <w:lvlText w:val="%7."/>
      <w:lvlJc w:val="left"/>
      <w:pPr>
        <w:tabs>
          <w:tab w:val="num" w:pos="5051"/>
        </w:tabs>
        <w:ind w:left="5051" w:hanging="360"/>
      </w:pPr>
    </w:lvl>
    <w:lvl w:ilvl="7" w:tentative="1">
      <w:start w:val="1"/>
      <w:numFmt w:val="decimal"/>
      <w:lvlText w:val="%8."/>
      <w:lvlJc w:val="left"/>
      <w:pPr>
        <w:tabs>
          <w:tab w:val="num" w:pos="5771"/>
        </w:tabs>
        <w:ind w:left="5771" w:hanging="360"/>
      </w:pPr>
    </w:lvl>
    <w:lvl w:ilvl="8" w:tentative="1">
      <w:start w:val="1"/>
      <w:numFmt w:val="decimal"/>
      <w:lvlText w:val="%9."/>
      <w:lvlJc w:val="left"/>
      <w:pPr>
        <w:tabs>
          <w:tab w:val="num" w:pos="6491"/>
        </w:tabs>
        <w:ind w:left="6491" w:hanging="360"/>
      </w:pPr>
    </w:lvl>
  </w:abstractNum>
  <w:abstractNum w:abstractNumId="27">
    <w:nsid w:val="53D97D58"/>
    <w:multiLevelType w:val="hybridMultilevel"/>
    <w:tmpl w:val="B57A8F8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4807587"/>
    <w:multiLevelType w:val="hybridMultilevel"/>
    <w:tmpl w:val="2AA451B6"/>
    <w:lvl w:ilvl="0" w:tplc="16D4209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55FF6910"/>
    <w:multiLevelType w:val="hybridMultilevel"/>
    <w:tmpl w:val="B554EE14"/>
    <w:lvl w:ilvl="0" w:tplc="0C090001">
      <w:start w:val="1"/>
      <w:numFmt w:val="bullet"/>
      <w:lvlText w:val=""/>
      <w:lvlJc w:val="left"/>
      <w:pPr>
        <w:ind w:left="1495" w:hanging="360"/>
      </w:pPr>
      <w:rPr>
        <w:rFonts w:ascii="Symbol" w:hAnsi="Symbol" w:hint="default"/>
      </w:rPr>
    </w:lvl>
    <w:lvl w:ilvl="1" w:tplc="0C090003">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30">
    <w:nsid w:val="5ADE3ED8"/>
    <w:multiLevelType w:val="hybridMultilevel"/>
    <w:tmpl w:val="F9EA16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AEB3D9C"/>
    <w:multiLevelType w:val="hybridMultilevel"/>
    <w:tmpl w:val="8D6E2586"/>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32">
    <w:nsid w:val="5B756687"/>
    <w:multiLevelType w:val="hybridMultilevel"/>
    <w:tmpl w:val="2D44D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D81C76"/>
    <w:multiLevelType w:val="hybridMultilevel"/>
    <w:tmpl w:val="8E42F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3944D4"/>
    <w:multiLevelType w:val="hybridMultilevel"/>
    <w:tmpl w:val="78A4C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15F3E22"/>
    <w:multiLevelType w:val="hybridMultilevel"/>
    <w:tmpl w:val="AEE2B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61FF3E5C"/>
    <w:multiLevelType w:val="multilevel"/>
    <w:tmpl w:val="9DA2E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300696"/>
    <w:multiLevelType w:val="hybridMultilevel"/>
    <w:tmpl w:val="22FA48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4F01837"/>
    <w:multiLevelType w:val="hybridMultilevel"/>
    <w:tmpl w:val="6E121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AE92F10"/>
    <w:multiLevelType w:val="hybridMultilevel"/>
    <w:tmpl w:val="A9A0F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C4C55E6">
      <w:numFmt w:val="bullet"/>
      <w:lvlText w:val="•"/>
      <w:lvlJc w:val="left"/>
      <w:pPr>
        <w:ind w:left="2520" w:hanging="720"/>
      </w:pPr>
      <w:rPr>
        <w:rFonts w:ascii="Calibri" w:eastAsia="Times New Roman" w:hAnsi="Calibri"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913AB3"/>
    <w:multiLevelType w:val="hybridMultilevel"/>
    <w:tmpl w:val="AE544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191B9A"/>
    <w:multiLevelType w:val="hybridMultilevel"/>
    <w:tmpl w:val="0F98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5E8169D"/>
    <w:multiLevelType w:val="hybridMultilevel"/>
    <w:tmpl w:val="0B6448C2"/>
    <w:lvl w:ilvl="0" w:tplc="869A3EA6">
      <w:start w:val="1"/>
      <w:numFmt w:val="decimal"/>
      <w:lvlText w:val="%1."/>
      <w:lvlJc w:val="left"/>
      <w:pPr>
        <w:ind w:left="720" w:hanging="360"/>
      </w:pPr>
      <w:rPr>
        <w:rFonts w:ascii="Calibri" w:hAnsi="Calibri" w:cs="Arial" w:hint="default"/>
        <w:b w:val="0"/>
        <w:i/>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4D033C"/>
    <w:multiLevelType w:val="multilevel"/>
    <w:tmpl w:val="E4F4F3B8"/>
    <w:lvl w:ilvl="0">
      <w:start w:val="1"/>
      <w:numFmt w:val="decimal"/>
      <w:pStyle w:val="PBACHeading1"/>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5754D6"/>
    <w:multiLevelType w:val="hybridMultilevel"/>
    <w:tmpl w:val="B91A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861DF4"/>
    <w:multiLevelType w:val="hybridMultilevel"/>
    <w:tmpl w:val="8794D4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nsid w:val="7DCE2BCE"/>
    <w:multiLevelType w:val="hybridMultilevel"/>
    <w:tmpl w:val="D46237A8"/>
    <w:lvl w:ilvl="0" w:tplc="83A489F0">
      <w:start w:val="1"/>
      <w:numFmt w:val="decimal"/>
      <w:lvlText w:val="%1"/>
      <w:lvlJc w:val="left"/>
      <w:pPr>
        <w:ind w:left="720" w:hanging="360"/>
      </w:pPr>
      <w:rPr>
        <w:rFonts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
  </w:num>
  <w:num w:numId="3">
    <w:abstractNumId w:val="43"/>
  </w:num>
  <w:num w:numId="4">
    <w:abstractNumId w:val="18"/>
  </w:num>
  <w:num w:numId="5">
    <w:abstractNumId w:val="34"/>
  </w:num>
  <w:num w:numId="6">
    <w:abstractNumId w:val="22"/>
  </w:num>
  <w:num w:numId="7">
    <w:abstractNumId w:val="39"/>
  </w:num>
  <w:num w:numId="8">
    <w:abstractNumId w:val="37"/>
  </w:num>
  <w:num w:numId="9">
    <w:abstractNumId w:val="7"/>
  </w:num>
  <w:num w:numId="10">
    <w:abstractNumId w:val="3"/>
  </w:num>
  <w:num w:numId="11">
    <w:abstractNumId w:val="32"/>
  </w:num>
  <w:num w:numId="12">
    <w:abstractNumId w:val="4"/>
  </w:num>
  <w:num w:numId="13">
    <w:abstractNumId w:val="24"/>
  </w:num>
  <w:num w:numId="14">
    <w:abstractNumId w:val="8"/>
  </w:num>
  <w:num w:numId="15">
    <w:abstractNumId w:val="35"/>
  </w:num>
  <w:num w:numId="16">
    <w:abstractNumId w:val="45"/>
  </w:num>
  <w:num w:numId="17">
    <w:abstractNumId w:val="21"/>
  </w:num>
  <w:num w:numId="18">
    <w:abstractNumId w:val="15"/>
  </w:num>
  <w:num w:numId="19">
    <w:abstractNumId w:val="14"/>
  </w:num>
  <w:num w:numId="20">
    <w:abstractNumId w:val="28"/>
  </w:num>
  <w:num w:numId="21">
    <w:abstractNumId w:val="13"/>
  </w:num>
  <w:num w:numId="22">
    <w:abstractNumId w:val="19"/>
  </w:num>
  <w:num w:numId="23">
    <w:abstractNumId w:val="9"/>
  </w:num>
  <w:num w:numId="24">
    <w:abstractNumId w:val="27"/>
  </w:num>
  <w:num w:numId="25">
    <w:abstractNumId w:val="5"/>
  </w:num>
  <w:num w:numId="26">
    <w:abstractNumId w:val="11"/>
  </w:num>
  <w:num w:numId="27">
    <w:abstractNumId w:val="17"/>
  </w:num>
  <w:num w:numId="28">
    <w:abstractNumId w:val="0"/>
  </w:num>
  <w:num w:numId="29">
    <w:abstractNumId w:val="44"/>
  </w:num>
  <w:num w:numId="30">
    <w:abstractNumId w:val="10"/>
  </w:num>
  <w:num w:numId="31">
    <w:abstractNumId w:val="42"/>
  </w:num>
  <w:num w:numId="32">
    <w:abstractNumId w:val="6"/>
  </w:num>
  <w:num w:numId="33">
    <w:abstractNumId w:val="31"/>
  </w:num>
  <w:num w:numId="34">
    <w:abstractNumId w:val="18"/>
  </w:num>
  <w:num w:numId="35">
    <w:abstractNumId w:val="43"/>
  </w:num>
  <w:num w:numId="36">
    <w:abstractNumId w:val="25"/>
  </w:num>
  <w:num w:numId="37">
    <w:abstractNumId w:val="41"/>
  </w:num>
  <w:num w:numId="38">
    <w:abstractNumId w:val="46"/>
  </w:num>
  <w:num w:numId="39">
    <w:abstractNumId w:val="12"/>
  </w:num>
  <w:num w:numId="40">
    <w:abstractNumId w:val="26"/>
  </w:num>
  <w:num w:numId="41">
    <w:abstractNumId w:val="23"/>
  </w:num>
  <w:num w:numId="42">
    <w:abstractNumId w:val="2"/>
  </w:num>
  <w:num w:numId="43">
    <w:abstractNumId w:val="30"/>
  </w:num>
  <w:num w:numId="44">
    <w:abstractNumId w:val="33"/>
  </w:num>
  <w:num w:numId="45">
    <w:abstractNumId w:val="36"/>
  </w:num>
  <w:num w:numId="46">
    <w:abstractNumId w:val="38"/>
  </w:num>
  <w:num w:numId="47">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40"/>
  </w:num>
  <w:num w:numId="50">
    <w:abstractNumId w:val="2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rs Chambers Westgarth">
    <w15:presenceInfo w15:providerId="None" w15:userId="Corrs Chambers Westg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NZ"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NZ"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2axpfxlstspuea2t7xefxhrewp2ve20ax9&quot;&gt;EGFR Copy&lt;record-ids&gt;&lt;item&gt;1&lt;/item&gt;&lt;item&gt;531&lt;/item&gt;&lt;item&gt;532&lt;/item&gt;&lt;item&gt;533&lt;/item&gt;&lt;item&gt;554&lt;/item&gt;&lt;item&gt;566&lt;/item&gt;&lt;item&gt;568&lt;/item&gt;&lt;item&gt;575&lt;/item&gt;&lt;item&gt;603&lt;/item&gt;&lt;item&gt;604&lt;/item&gt;&lt;item&gt;605&lt;/item&gt;&lt;item&gt;606&lt;/item&gt;&lt;item&gt;607&lt;/item&gt;&lt;item&gt;608&lt;/item&gt;&lt;item&gt;609&lt;/item&gt;&lt;item&gt;610&lt;/item&gt;&lt;item&gt;611&lt;/item&gt;&lt;item&gt;612&lt;/item&gt;&lt;item&gt;613&lt;/item&gt;&lt;item&gt;615&lt;/item&gt;&lt;item&gt;616&lt;/item&gt;&lt;item&gt;617&lt;/item&gt;&lt;/record-ids&gt;&lt;/item&gt;&lt;/Libraries&gt;"/>
  </w:docVars>
  <w:rsids>
    <w:rsidRoot w:val="00E65E79"/>
    <w:rsid w:val="00000790"/>
    <w:rsid w:val="0000110B"/>
    <w:rsid w:val="00002990"/>
    <w:rsid w:val="000033F9"/>
    <w:rsid w:val="00003499"/>
    <w:rsid w:val="00003958"/>
    <w:rsid w:val="000039B7"/>
    <w:rsid w:val="000046D0"/>
    <w:rsid w:val="00006C96"/>
    <w:rsid w:val="00013247"/>
    <w:rsid w:val="00013A69"/>
    <w:rsid w:val="00015886"/>
    <w:rsid w:val="00015A5A"/>
    <w:rsid w:val="000162EF"/>
    <w:rsid w:val="00016929"/>
    <w:rsid w:val="000170EA"/>
    <w:rsid w:val="000173D3"/>
    <w:rsid w:val="000174A2"/>
    <w:rsid w:val="000179B9"/>
    <w:rsid w:val="0002225F"/>
    <w:rsid w:val="00023763"/>
    <w:rsid w:val="00024061"/>
    <w:rsid w:val="00026134"/>
    <w:rsid w:val="000301F3"/>
    <w:rsid w:val="00030446"/>
    <w:rsid w:val="00030750"/>
    <w:rsid w:val="00033863"/>
    <w:rsid w:val="00035464"/>
    <w:rsid w:val="00035DC0"/>
    <w:rsid w:val="00036829"/>
    <w:rsid w:val="00040895"/>
    <w:rsid w:val="00040DF1"/>
    <w:rsid w:val="00040F7E"/>
    <w:rsid w:val="00041A83"/>
    <w:rsid w:val="00041F74"/>
    <w:rsid w:val="00041FD7"/>
    <w:rsid w:val="00043B78"/>
    <w:rsid w:val="00043C37"/>
    <w:rsid w:val="00043E01"/>
    <w:rsid w:val="00045017"/>
    <w:rsid w:val="00045A2B"/>
    <w:rsid w:val="0004698F"/>
    <w:rsid w:val="00047682"/>
    <w:rsid w:val="000539D0"/>
    <w:rsid w:val="00054621"/>
    <w:rsid w:val="000546D7"/>
    <w:rsid w:val="00055D9D"/>
    <w:rsid w:val="000563BF"/>
    <w:rsid w:val="00056B90"/>
    <w:rsid w:val="000616A1"/>
    <w:rsid w:val="00064170"/>
    <w:rsid w:val="00065BAC"/>
    <w:rsid w:val="00066360"/>
    <w:rsid w:val="00067A29"/>
    <w:rsid w:val="000702EF"/>
    <w:rsid w:val="00071248"/>
    <w:rsid w:val="000720B9"/>
    <w:rsid w:val="000737F7"/>
    <w:rsid w:val="0007672F"/>
    <w:rsid w:val="000774F0"/>
    <w:rsid w:val="00077C64"/>
    <w:rsid w:val="00077D4E"/>
    <w:rsid w:val="0008037E"/>
    <w:rsid w:val="00080909"/>
    <w:rsid w:val="00080AA3"/>
    <w:rsid w:val="000812CA"/>
    <w:rsid w:val="0008258D"/>
    <w:rsid w:val="00082597"/>
    <w:rsid w:val="00083E99"/>
    <w:rsid w:val="000856C5"/>
    <w:rsid w:val="00085D77"/>
    <w:rsid w:val="00090C7E"/>
    <w:rsid w:val="00091064"/>
    <w:rsid w:val="000913C9"/>
    <w:rsid w:val="00091D02"/>
    <w:rsid w:val="00092600"/>
    <w:rsid w:val="0009262B"/>
    <w:rsid w:val="00093310"/>
    <w:rsid w:val="0009361C"/>
    <w:rsid w:val="0009445C"/>
    <w:rsid w:val="00095FE5"/>
    <w:rsid w:val="00096284"/>
    <w:rsid w:val="000978E4"/>
    <w:rsid w:val="000A15A3"/>
    <w:rsid w:val="000A4985"/>
    <w:rsid w:val="000A4D47"/>
    <w:rsid w:val="000A5191"/>
    <w:rsid w:val="000A551D"/>
    <w:rsid w:val="000A577F"/>
    <w:rsid w:val="000A6037"/>
    <w:rsid w:val="000A7D08"/>
    <w:rsid w:val="000B0670"/>
    <w:rsid w:val="000B0E75"/>
    <w:rsid w:val="000B362A"/>
    <w:rsid w:val="000B448F"/>
    <w:rsid w:val="000B5FFF"/>
    <w:rsid w:val="000B60C7"/>
    <w:rsid w:val="000B6CAC"/>
    <w:rsid w:val="000B7612"/>
    <w:rsid w:val="000C110D"/>
    <w:rsid w:val="000C147A"/>
    <w:rsid w:val="000C206C"/>
    <w:rsid w:val="000C2BF4"/>
    <w:rsid w:val="000C2C1E"/>
    <w:rsid w:val="000C3946"/>
    <w:rsid w:val="000C3DF9"/>
    <w:rsid w:val="000C47BB"/>
    <w:rsid w:val="000C5019"/>
    <w:rsid w:val="000C642E"/>
    <w:rsid w:val="000C6713"/>
    <w:rsid w:val="000C67BE"/>
    <w:rsid w:val="000D1BFC"/>
    <w:rsid w:val="000D281A"/>
    <w:rsid w:val="000D326A"/>
    <w:rsid w:val="000D3F8B"/>
    <w:rsid w:val="000D470D"/>
    <w:rsid w:val="000D51FB"/>
    <w:rsid w:val="000D58BF"/>
    <w:rsid w:val="000D7095"/>
    <w:rsid w:val="000D725E"/>
    <w:rsid w:val="000E0926"/>
    <w:rsid w:val="000E0968"/>
    <w:rsid w:val="000E0E9D"/>
    <w:rsid w:val="000E11BF"/>
    <w:rsid w:val="000E135D"/>
    <w:rsid w:val="000E3BDD"/>
    <w:rsid w:val="000E5437"/>
    <w:rsid w:val="000E5D6D"/>
    <w:rsid w:val="000E79FF"/>
    <w:rsid w:val="000F00BA"/>
    <w:rsid w:val="000F1A95"/>
    <w:rsid w:val="000F2EA3"/>
    <w:rsid w:val="000F316A"/>
    <w:rsid w:val="000F3C74"/>
    <w:rsid w:val="000F4BB8"/>
    <w:rsid w:val="000F5EFF"/>
    <w:rsid w:val="000F7127"/>
    <w:rsid w:val="001004F1"/>
    <w:rsid w:val="00100C07"/>
    <w:rsid w:val="00100F8A"/>
    <w:rsid w:val="00101203"/>
    <w:rsid w:val="00103924"/>
    <w:rsid w:val="001046DC"/>
    <w:rsid w:val="00105AE2"/>
    <w:rsid w:val="00105DA5"/>
    <w:rsid w:val="00106745"/>
    <w:rsid w:val="00106B80"/>
    <w:rsid w:val="00107402"/>
    <w:rsid w:val="0011032E"/>
    <w:rsid w:val="001115FD"/>
    <w:rsid w:val="001120DA"/>
    <w:rsid w:val="0011214A"/>
    <w:rsid w:val="0011348B"/>
    <w:rsid w:val="00115982"/>
    <w:rsid w:val="00115C6B"/>
    <w:rsid w:val="0011682C"/>
    <w:rsid w:val="00116C53"/>
    <w:rsid w:val="00117312"/>
    <w:rsid w:val="00121799"/>
    <w:rsid w:val="001222FC"/>
    <w:rsid w:val="00123722"/>
    <w:rsid w:val="0012470A"/>
    <w:rsid w:val="00124A51"/>
    <w:rsid w:val="0012584A"/>
    <w:rsid w:val="00126621"/>
    <w:rsid w:val="001301E9"/>
    <w:rsid w:val="001303FA"/>
    <w:rsid w:val="0013142A"/>
    <w:rsid w:val="00131D82"/>
    <w:rsid w:val="00132559"/>
    <w:rsid w:val="00133D36"/>
    <w:rsid w:val="00137645"/>
    <w:rsid w:val="0014015A"/>
    <w:rsid w:val="00140E99"/>
    <w:rsid w:val="0014130F"/>
    <w:rsid w:val="00143B15"/>
    <w:rsid w:val="00145540"/>
    <w:rsid w:val="001456B0"/>
    <w:rsid w:val="00147C7F"/>
    <w:rsid w:val="001501F6"/>
    <w:rsid w:val="001521D3"/>
    <w:rsid w:val="00157130"/>
    <w:rsid w:val="001576B1"/>
    <w:rsid w:val="00157ABE"/>
    <w:rsid w:val="00160A4C"/>
    <w:rsid w:val="00161159"/>
    <w:rsid w:val="00162913"/>
    <w:rsid w:val="00163EFF"/>
    <w:rsid w:val="001661FB"/>
    <w:rsid w:val="00171F63"/>
    <w:rsid w:val="00173565"/>
    <w:rsid w:val="00173B07"/>
    <w:rsid w:val="001755BF"/>
    <w:rsid w:val="00177B1D"/>
    <w:rsid w:val="00181D9C"/>
    <w:rsid w:val="0018346E"/>
    <w:rsid w:val="001852EA"/>
    <w:rsid w:val="00185F94"/>
    <w:rsid w:val="0018752F"/>
    <w:rsid w:val="001947CD"/>
    <w:rsid w:val="0019483C"/>
    <w:rsid w:val="00195222"/>
    <w:rsid w:val="00195377"/>
    <w:rsid w:val="001975D8"/>
    <w:rsid w:val="001A10F0"/>
    <w:rsid w:val="001A2443"/>
    <w:rsid w:val="001A34D9"/>
    <w:rsid w:val="001A43FA"/>
    <w:rsid w:val="001A54C0"/>
    <w:rsid w:val="001A59FB"/>
    <w:rsid w:val="001A6354"/>
    <w:rsid w:val="001A7314"/>
    <w:rsid w:val="001A7AE8"/>
    <w:rsid w:val="001B204E"/>
    <w:rsid w:val="001B2B71"/>
    <w:rsid w:val="001B3443"/>
    <w:rsid w:val="001B4C5B"/>
    <w:rsid w:val="001B4D20"/>
    <w:rsid w:val="001B71B0"/>
    <w:rsid w:val="001C1D60"/>
    <w:rsid w:val="001C2A9B"/>
    <w:rsid w:val="001C2BB6"/>
    <w:rsid w:val="001C33D5"/>
    <w:rsid w:val="001C4299"/>
    <w:rsid w:val="001C5F94"/>
    <w:rsid w:val="001C63D1"/>
    <w:rsid w:val="001C6E66"/>
    <w:rsid w:val="001C70A7"/>
    <w:rsid w:val="001C71B3"/>
    <w:rsid w:val="001D4697"/>
    <w:rsid w:val="001D6896"/>
    <w:rsid w:val="001D6A54"/>
    <w:rsid w:val="001D7D45"/>
    <w:rsid w:val="001E0FE5"/>
    <w:rsid w:val="001E238E"/>
    <w:rsid w:val="001E2483"/>
    <w:rsid w:val="001E2B1E"/>
    <w:rsid w:val="001E30D4"/>
    <w:rsid w:val="001E3678"/>
    <w:rsid w:val="001E3EE0"/>
    <w:rsid w:val="001E475E"/>
    <w:rsid w:val="001E4E0B"/>
    <w:rsid w:val="001E52EB"/>
    <w:rsid w:val="001E61D2"/>
    <w:rsid w:val="001E740C"/>
    <w:rsid w:val="001F1235"/>
    <w:rsid w:val="001F1A64"/>
    <w:rsid w:val="001F1CB3"/>
    <w:rsid w:val="001F38B5"/>
    <w:rsid w:val="001F7361"/>
    <w:rsid w:val="001F74B2"/>
    <w:rsid w:val="001F7D50"/>
    <w:rsid w:val="002011B0"/>
    <w:rsid w:val="00203181"/>
    <w:rsid w:val="00203783"/>
    <w:rsid w:val="0020385F"/>
    <w:rsid w:val="002040E5"/>
    <w:rsid w:val="00207021"/>
    <w:rsid w:val="0020732F"/>
    <w:rsid w:val="002075BC"/>
    <w:rsid w:val="00207AC2"/>
    <w:rsid w:val="00207D00"/>
    <w:rsid w:val="002105C1"/>
    <w:rsid w:val="00210691"/>
    <w:rsid w:val="00211BCA"/>
    <w:rsid w:val="002127D2"/>
    <w:rsid w:val="00212FAA"/>
    <w:rsid w:val="00215322"/>
    <w:rsid w:val="0021689B"/>
    <w:rsid w:val="002202A3"/>
    <w:rsid w:val="00222E42"/>
    <w:rsid w:val="00223B49"/>
    <w:rsid w:val="00224DD4"/>
    <w:rsid w:val="002250CE"/>
    <w:rsid w:val="002309CC"/>
    <w:rsid w:val="0023209F"/>
    <w:rsid w:val="002348A1"/>
    <w:rsid w:val="0023629D"/>
    <w:rsid w:val="002369D6"/>
    <w:rsid w:val="00237255"/>
    <w:rsid w:val="002407B6"/>
    <w:rsid w:val="00240B98"/>
    <w:rsid w:val="002424AF"/>
    <w:rsid w:val="00242914"/>
    <w:rsid w:val="00242C10"/>
    <w:rsid w:val="002439DC"/>
    <w:rsid w:val="00243B14"/>
    <w:rsid w:val="00244DC8"/>
    <w:rsid w:val="002458BA"/>
    <w:rsid w:val="0024636C"/>
    <w:rsid w:val="00247925"/>
    <w:rsid w:val="00254DCF"/>
    <w:rsid w:val="0025534B"/>
    <w:rsid w:val="00255BB7"/>
    <w:rsid w:val="00255E5C"/>
    <w:rsid w:val="00257304"/>
    <w:rsid w:val="00257541"/>
    <w:rsid w:val="002601D2"/>
    <w:rsid w:val="0026156F"/>
    <w:rsid w:val="00262A1A"/>
    <w:rsid w:val="00262A87"/>
    <w:rsid w:val="00263CDE"/>
    <w:rsid w:val="00263D85"/>
    <w:rsid w:val="00264D26"/>
    <w:rsid w:val="00267642"/>
    <w:rsid w:val="00267AEA"/>
    <w:rsid w:val="002700E6"/>
    <w:rsid w:val="002711AD"/>
    <w:rsid w:val="00271D8F"/>
    <w:rsid w:val="002725F0"/>
    <w:rsid w:val="0027294B"/>
    <w:rsid w:val="002737C4"/>
    <w:rsid w:val="002742B9"/>
    <w:rsid w:val="00275C5A"/>
    <w:rsid w:val="00281014"/>
    <w:rsid w:val="00283183"/>
    <w:rsid w:val="0028522D"/>
    <w:rsid w:val="00285B86"/>
    <w:rsid w:val="00285EEC"/>
    <w:rsid w:val="00286C57"/>
    <w:rsid w:val="00286EC7"/>
    <w:rsid w:val="00287E63"/>
    <w:rsid w:val="00290299"/>
    <w:rsid w:val="00290528"/>
    <w:rsid w:val="002907A4"/>
    <w:rsid w:val="002956DE"/>
    <w:rsid w:val="00296D3A"/>
    <w:rsid w:val="00297ADC"/>
    <w:rsid w:val="002A0BDB"/>
    <w:rsid w:val="002A14AB"/>
    <w:rsid w:val="002A2005"/>
    <w:rsid w:val="002A2876"/>
    <w:rsid w:val="002A2F50"/>
    <w:rsid w:val="002A3272"/>
    <w:rsid w:val="002A524E"/>
    <w:rsid w:val="002B09A4"/>
    <w:rsid w:val="002B1C1F"/>
    <w:rsid w:val="002B317E"/>
    <w:rsid w:val="002B3DED"/>
    <w:rsid w:val="002B432F"/>
    <w:rsid w:val="002B6174"/>
    <w:rsid w:val="002B62B3"/>
    <w:rsid w:val="002B64C0"/>
    <w:rsid w:val="002B66AB"/>
    <w:rsid w:val="002B6754"/>
    <w:rsid w:val="002B6A84"/>
    <w:rsid w:val="002B6CCE"/>
    <w:rsid w:val="002B7AA1"/>
    <w:rsid w:val="002C02AF"/>
    <w:rsid w:val="002C2510"/>
    <w:rsid w:val="002C2775"/>
    <w:rsid w:val="002C27C1"/>
    <w:rsid w:val="002C29F2"/>
    <w:rsid w:val="002C2AFF"/>
    <w:rsid w:val="002C421A"/>
    <w:rsid w:val="002C5099"/>
    <w:rsid w:val="002C5889"/>
    <w:rsid w:val="002C71CE"/>
    <w:rsid w:val="002D136A"/>
    <w:rsid w:val="002D577C"/>
    <w:rsid w:val="002D7736"/>
    <w:rsid w:val="002E080D"/>
    <w:rsid w:val="002E0B96"/>
    <w:rsid w:val="002E157A"/>
    <w:rsid w:val="002E15B9"/>
    <w:rsid w:val="002E1BA4"/>
    <w:rsid w:val="002E2158"/>
    <w:rsid w:val="002E3114"/>
    <w:rsid w:val="002E4475"/>
    <w:rsid w:val="002E62AE"/>
    <w:rsid w:val="002E699C"/>
    <w:rsid w:val="002E7620"/>
    <w:rsid w:val="002E7722"/>
    <w:rsid w:val="002F07BA"/>
    <w:rsid w:val="002F0C5A"/>
    <w:rsid w:val="002F0DA9"/>
    <w:rsid w:val="002F2BC5"/>
    <w:rsid w:val="002F32CD"/>
    <w:rsid w:val="002F3D61"/>
    <w:rsid w:val="002F5A2F"/>
    <w:rsid w:val="002F643C"/>
    <w:rsid w:val="002F6F6C"/>
    <w:rsid w:val="002F71C0"/>
    <w:rsid w:val="002F7254"/>
    <w:rsid w:val="00300AD6"/>
    <w:rsid w:val="00301017"/>
    <w:rsid w:val="0030155F"/>
    <w:rsid w:val="00301BAD"/>
    <w:rsid w:val="003023C8"/>
    <w:rsid w:val="003037B1"/>
    <w:rsid w:val="0030587B"/>
    <w:rsid w:val="00306D98"/>
    <w:rsid w:val="00307473"/>
    <w:rsid w:val="003076D7"/>
    <w:rsid w:val="0030786C"/>
    <w:rsid w:val="0031031A"/>
    <w:rsid w:val="00310981"/>
    <w:rsid w:val="0031117A"/>
    <w:rsid w:val="00311F3A"/>
    <w:rsid w:val="00312849"/>
    <w:rsid w:val="00313D5F"/>
    <w:rsid w:val="00314DFD"/>
    <w:rsid w:val="00315498"/>
    <w:rsid w:val="00315C3A"/>
    <w:rsid w:val="0031621A"/>
    <w:rsid w:val="00322107"/>
    <w:rsid w:val="00322846"/>
    <w:rsid w:val="00324D22"/>
    <w:rsid w:val="00326DA7"/>
    <w:rsid w:val="003270E4"/>
    <w:rsid w:val="0032744B"/>
    <w:rsid w:val="00330F5C"/>
    <w:rsid w:val="003320F4"/>
    <w:rsid w:val="0033215E"/>
    <w:rsid w:val="003340AD"/>
    <w:rsid w:val="003366C9"/>
    <w:rsid w:val="003371B0"/>
    <w:rsid w:val="003408C9"/>
    <w:rsid w:val="00340DF1"/>
    <w:rsid w:val="00341680"/>
    <w:rsid w:val="0034247E"/>
    <w:rsid w:val="003436F4"/>
    <w:rsid w:val="003438CB"/>
    <w:rsid w:val="00343EAA"/>
    <w:rsid w:val="003517F9"/>
    <w:rsid w:val="00351F53"/>
    <w:rsid w:val="00353C5B"/>
    <w:rsid w:val="0035620E"/>
    <w:rsid w:val="003624C4"/>
    <w:rsid w:val="003642F2"/>
    <w:rsid w:val="00364772"/>
    <w:rsid w:val="003654AC"/>
    <w:rsid w:val="003656EF"/>
    <w:rsid w:val="0036612F"/>
    <w:rsid w:val="003710CF"/>
    <w:rsid w:val="00371AE5"/>
    <w:rsid w:val="0037358A"/>
    <w:rsid w:val="003748DE"/>
    <w:rsid w:val="003750F6"/>
    <w:rsid w:val="003760FC"/>
    <w:rsid w:val="00381B1F"/>
    <w:rsid w:val="00383233"/>
    <w:rsid w:val="0038365C"/>
    <w:rsid w:val="0038369B"/>
    <w:rsid w:val="0038375C"/>
    <w:rsid w:val="00383B78"/>
    <w:rsid w:val="00384115"/>
    <w:rsid w:val="00384D99"/>
    <w:rsid w:val="00385A9D"/>
    <w:rsid w:val="00387BD0"/>
    <w:rsid w:val="003902B1"/>
    <w:rsid w:val="0039082F"/>
    <w:rsid w:val="00393DB4"/>
    <w:rsid w:val="0039673A"/>
    <w:rsid w:val="00396759"/>
    <w:rsid w:val="00396896"/>
    <w:rsid w:val="00396FD0"/>
    <w:rsid w:val="003A086B"/>
    <w:rsid w:val="003A1A7A"/>
    <w:rsid w:val="003A1C58"/>
    <w:rsid w:val="003A2392"/>
    <w:rsid w:val="003A2831"/>
    <w:rsid w:val="003A3ED1"/>
    <w:rsid w:val="003A4226"/>
    <w:rsid w:val="003A467A"/>
    <w:rsid w:val="003A6082"/>
    <w:rsid w:val="003A62E4"/>
    <w:rsid w:val="003A7A6D"/>
    <w:rsid w:val="003B0D18"/>
    <w:rsid w:val="003B1909"/>
    <w:rsid w:val="003B1C18"/>
    <w:rsid w:val="003B25C0"/>
    <w:rsid w:val="003B264A"/>
    <w:rsid w:val="003B3E6E"/>
    <w:rsid w:val="003B5223"/>
    <w:rsid w:val="003B5B61"/>
    <w:rsid w:val="003B66FF"/>
    <w:rsid w:val="003B6ED8"/>
    <w:rsid w:val="003C10A0"/>
    <w:rsid w:val="003C1654"/>
    <w:rsid w:val="003C17FD"/>
    <w:rsid w:val="003C3ACC"/>
    <w:rsid w:val="003C5F1A"/>
    <w:rsid w:val="003C7BD5"/>
    <w:rsid w:val="003C7C40"/>
    <w:rsid w:val="003C7D19"/>
    <w:rsid w:val="003D1828"/>
    <w:rsid w:val="003D1DE4"/>
    <w:rsid w:val="003D2422"/>
    <w:rsid w:val="003D39A1"/>
    <w:rsid w:val="003D3FBF"/>
    <w:rsid w:val="003D4A30"/>
    <w:rsid w:val="003D79BB"/>
    <w:rsid w:val="003D7C98"/>
    <w:rsid w:val="003E0543"/>
    <w:rsid w:val="003E15D0"/>
    <w:rsid w:val="003E2956"/>
    <w:rsid w:val="003E2AF8"/>
    <w:rsid w:val="003E42D0"/>
    <w:rsid w:val="003E5D4D"/>
    <w:rsid w:val="003E600A"/>
    <w:rsid w:val="003E6254"/>
    <w:rsid w:val="003F04F7"/>
    <w:rsid w:val="003F0F83"/>
    <w:rsid w:val="003F2C37"/>
    <w:rsid w:val="003F4156"/>
    <w:rsid w:val="003F465C"/>
    <w:rsid w:val="004004C9"/>
    <w:rsid w:val="00400AB6"/>
    <w:rsid w:val="00400B29"/>
    <w:rsid w:val="0040504B"/>
    <w:rsid w:val="00407AA0"/>
    <w:rsid w:val="004101E0"/>
    <w:rsid w:val="00410708"/>
    <w:rsid w:val="00410EC7"/>
    <w:rsid w:val="00411B39"/>
    <w:rsid w:val="0041236E"/>
    <w:rsid w:val="00413A1E"/>
    <w:rsid w:val="00414476"/>
    <w:rsid w:val="004144A5"/>
    <w:rsid w:val="00414C2E"/>
    <w:rsid w:val="004151CF"/>
    <w:rsid w:val="00416364"/>
    <w:rsid w:val="0041649E"/>
    <w:rsid w:val="00417133"/>
    <w:rsid w:val="004202E3"/>
    <w:rsid w:val="0042051F"/>
    <w:rsid w:val="00420AA6"/>
    <w:rsid w:val="00420B9F"/>
    <w:rsid w:val="004210B1"/>
    <w:rsid w:val="00422260"/>
    <w:rsid w:val="00422F09"/>
    <w:rsid w:val="0042413F"/>
    <w:rsid w:val="00424844"/>
    <w:rsid w:val="00424B4D"/>
    <w:rsid w:val="00427306"/>
    <w:rsid w:val="00431133"/>
    <w:rsid w:val="00431396"/>
    <w:rsid w:val="004319F8"/>
    <w:rsid w:val="00431E55"/>
    <w:rsid w:val="004321F6"/>
    <w:rsid w:val="00433044"/>
    <w:rsid w:val="0043347E"/>
    <w:rsid w:val="00433A2F"/>
    <w:rsid w:val="0043523D"/>
    <w:rsid w:val="00435A29"/>
    <w:rsid w:val="00436373"/>
    <w:rsid w:val="00436761"/>
    <w:rsid w:val="004375B9"/>
    <w:rsid w:val="00440893"/>
    <w:rsid w:val="00441B0D"/>
    <w:rsid w:val="004428D0"/>
    <w:rsid w:val="00444150"/>
    <w:rsid w:val="004443A7"/>
    <w:rsid w:val="0044442C"/>
    <w:rsid w:val="00445941"/>
    <w:rsid w:val="00445CBE"/>
    <w:rsid w:val="004464EB"/>
    <w:rsid w:val="004477F7"/>
    <w:rsid w:val="00447D26"/>
    <w:rsid w:val="00450F69"/>
    <w:rsid w:val="004518B3"/>
    <w:rsid w:val="004523D1"/>
    <w:rsid w:val="00453B15"/>
    <w:rsid w:val="004550C0"/>
    <w:rsid w:val="00455D45"/>
    <w:rsid w:val="004565C4"/>
    <w:rsid w:val="00456818"/>
    <w:rsid w:val="00457AE0"/>
    <w:rsid w:val="0046195B"/>
    <w:rsid w:val="00461A3B"/>
    <w:rsid w:val="004635A3"/>
    <w:rsid w:val="00464595"/>
    <w:rsid w:val="004653B5"/>
    <w:rsid w:val="0046634D"/>
    <w:rsid w:val="00467018"/>
    <w:rsid w:val="00467AD4"/>
    <w:rsid w:val="00472A79"/>
    <w:rsid w:val="00473F19"/>
    <w:rsid w:val="00475E22"/>
    <w:rsid w:val="004776FC"/>
    <w:rsid w:val="0048088E"/>
    <w:rsid w:val="00482720"/>
    <w:rsid w:val="00483088"/>
    <w:rsid w:val="004835E7"/>
    <w:rsid w:val="00484584"/>
    <w:rsid w:val="00484971"/>
    <w:rsid w:val="004867E2"/>
    <w:rsid w:val="004879B3"/>
    <w:rsid w:val="00491AC5"/>
    <w:rsid w:val="00491B3A"/>
    <w:rsid w:val="00492CFD"/>
    <w:rsid w:val="00494DD5"/>
    <w:rsid w:val="004959A5"/>
    <w:rsid w:val="004962D2"/>
    <w:rsid w:val="004A0552"/>
    <w:rsid w:val="004A0DA1"/>
    <w:rsid w:val="004A12A7"/>
    <w:rsid w:val="004A144F"/>
    <w:rsid w:val="004A4E3A"/>
    <w:rsid w:val="004A52E9"/>
    <w:rsid w:val="004A5995"/>
    <w:rsid w:val="004A6597"/>
    <w:rsid w:val="004A7848"/>
    <w:rsid w:val="004B056F"/>
    <w:rsid w:val="004B1CB4"/>
    <w:rsid w:val="004B241A"/>
    <w:rsid w:val="004B2F18"/>
    <w:rsid w:val="004B3DDB"/>
    <w:rsid w:val="004B44FD"/>
    <w:rsid w:val="004B47D3"/>
    <w:rsid w:val="004B48C1"/>
    <w:rsid w:val="004B53BC"/>
    <w:rsid w:val="004B5516"/>
    <w:rsid w:val="004B5CFC"/>
    <w:rsid w:val="004B774D"/>
    <w:rsid w:val="004B794D"/>
    <w:rsid w:val="004C0E35"/>
    <w:rsid w:val="004C316D"/>
    <w:rsid w:val="004C4AED"/>
    <w:rsid w:val="004C6BAD"/>
    <w:rsid w:val="004C77AC"/>
    <w:rsid w:val="004D0AEC"/>
    <w:rsid w:val="004D2A05"/>
    <w:rsid w:val="004D2C2D"/>
    <w:rsid w:val="004D5E63"/>
    <w:rsid w:val="004D7227"/>
    <w:rsid w:val="004E0E7F"/>
    <w:rsid w:val="004E0EB8"/>
    <w:rsid w:val="004E1AB6"/>
    <w:rsid w:val="004E2ADC"/>
    <w:rsid w:val="004E43B2"/>
    <w:rsid w:val="004E5B58"/>
    <w:rsid w:val="004E5BAB"/>
    <w:rsid w:val="004F0C7E"/>
    <w:rsid w:val="004F1C8A"/>
    <w:rsid w:val="004F1D02"/>
    <w:rsid w:val="004F261F"/>
    <w:rsid w:val="004F2679"/>
    <w:rsid w:val="004F2F21"/>
    <w:rsid w:val="004F6913"/>
    <w:rsid w:val="004F7865"/>
    <w:rsid w:val="005002E3"/>
    <w:rsid w:val="0050219B"/>
    <w:rsid w:val="0050348D"/>
    <w:rsid w:val="00503BCC"/>
    <w:rsid w:val="00503F17"/>
    <w:rsid w:val="00504A8E"/>
    <w:rsid w:val="00505D78"/>
    <w:rsid w:val="00506928"/>
    <w:rsid w:val="00506F6F"/>
    <w:rsid w:val="00510393"/>
    <w:rsid w:val="0051154D"/>
    <w:rsid w:val="00513193"/>
    <w:rsid w:val="00514009"/>
    <w:rsid w:val="005144ED"/>
    <w:rsid w:val="005152B5"/>
    <w:rsid w:val="00515350"/>
    <w:rsid w:val="00515F17"/>
    <w:rsid w:val="0052091F"/>
    <w:rsid w:val="00521319"/>
    <w:rsid w:val="00522873"/>
    <w:rsid w:val="005229E0"/>
    <w:rsid w:val="00522BC8"/>
    <w:rsid w:val="00522EBC"/>
    <w:rsid w:val="005230F0"/>
    <w:rsid w:val="00523C28"/>
    <w:rsid w:val="00525247"/>
    <w:rsid w:val="00526184"/>
    <w:rsid w:val="00536F42"/>
    <w:rsid w:val="00537182"/>
    <w:rsid w:val="00542743"/>
    <w:rsid w:val="00542B98"/>
    <w:rsid w:val="00542C2D"/>
    <w:rsid w:val="005434D0"/>
    <w:rsid w:val="00547B4F"/>
    <w:rsid w:val="00547F06"/>
    <w:rsid w:val="0055069F"/>
    <w:rsid w:val="00551985"/>
    <w:rsid w:val="00552BD3"/>
    <w:rsid w:val="005536B4"/>
    <w:rsid w:val="00555109"/>
    <w:rsid w:val="0055545B"/>
    <w:rsid w:val="005577B2"/>
    <w:rsid w:val="005609D8"/>
    <w:rsid w:val="005628BB"/>
    <w:rsid w:val="00562AF4"/>
    <w:rsid w:val="005633FF"/>
    <w:rsid w:val="0056696F"/>
    <w:rsid w:val="00571200"/>
    <w:rsid w:val="00571E59"/>
    <w:rsid w:val="00572269"/>
    <w:rsid w:val="0057244A"/>
    <w:rsid w:val="00575D8D"/>
    <w:rsid w:val="00576972"/>
    <w:rsid w:val="00577D73"/>
    <w:rsid w:val="00581358"/>
    <w:rsid w:val="00583699"/>
    <w:rsid w:val="00585CDD"/>
    <w:rsid w:val="00586BA2"/>
    <w:rsid w:val="00587058"/>
    <w:rsid w:val="005917C4"/>
    <w:rsid w:val="00591957"/>
    <w:rsid w:val="00592BEF"/>
    <w:rsid w:val="00594FBA"/>
    <w:rsid w:val="00595480"/>
    <w:rsid w:val="00595645"/>
    <w:rsid w:val="00597BF9"/>
    <w:rsid w:val="005A0018"/>
    <w:rsid w:val="005A036E"/>
    <w:rsid w:val="005A0AE1"/>
    <w:rsid w:val="005A1C56"/>
    <w:rsid w:val="005A26C9"/>
    <w:rsid w:val="005A2B29"/>
    <w:rsid w:val="005A3284"/>
    <w:rsid w:val="005A373D"/>
    <w:rsid w:val="005A39D5"/>
    <w:rsid w:val="005A55E3"/>
    <w:rsid w:val="005A5B49"/>
    <w:rsid w:val="005B340C"/>
    <w:rsid w:val="005B5857"/>
    <w:rsid w:val="005B62E7"/>
    <w:rsid w:val="005B7E06"/>
    <w:rsid w:val="005C11E2"/>
    <w:rsid w:val="005C1B83"/>
    <w:rsid w:val="005C2D55"/>
    <w:rsid w:val="005C346B"/>
    <w:rsid w:val="005C3A6E"/>
    <w:rsid w:val="005C4A7A"/>
    <w:rsid w:val="005C788A"/>
    <w:rsid w:val="005D044D"/>
    <w:rsid w:val="005D0ABD"/>
    <w:rsid w:val="005D0AD7"/>
    <w:rsid w:val="005D162C"/>
    <w:rsid w:val="005D18AD"/>
    <w:rsid w:val="005D2109"/>
    <w:rsid w:val="005D26B4"/>
    <w:rsid w:val="005D63D5"/>
    <w:rsid w:val="005D6D93"/>
    <w:rsid w:val="005D6EDE"/>
    <w:rsid w:val="005D6FFC"/>
    <w:rsid w:val="005E05FB"/>
    <w:rsid w:val="005E0921"/>
    <w:rsid w:val="005E14E8"/>
    <w:rsid w:val="005E2D08"/>
    <w:rsid w:val="005E425F"/>
    <w:rsid w:val="005E64A8"/>
    <w:rsid w:val="005E6CBC"/>
    <w:rsid w:val="005E73C0"/>
    <w:rsid w:val="005E776C"/>
    <w:rsid w:val="005E7B11"/>
    <w:rsid w:val="005F03F0"/>
    <w:rsid w:val="005F2706"/>
    <w:rsid w:val="005F37A0"/>
    <w:rsid w:val="005F6601"/>
    <w:rsid w:val="005F6A8F"/>
    <w:rsid w:val="005F7370"/>
    <w:rsid w:val="005F7AF0"/>
    <w:rsid w:val="0060174F"/>
    <w:rsid w:val="00603558"/>
    <w:rsid w:val="00603DB9"/>
    <w:rsid w:val="00607669"/>
    <w:rsid w:val="00607AFD"/>
    <w:rsid w:val="00610D34"/>
    <w:rsid w:val="00612F97"/>
    <w:rsid w:val="006133B1"/>
    <w:rsid w:val="0061345D"/>
    <w:rsid w:val="00614AAF"/>
    <w:rsid w:val="006161AE"/>
    <w:rsid w:val="006161DA"/>
    <w:rsid w:val="00616802"/>
    <w:rsid w:val="00617E12"/>
    <w:rsid w:val="00620793"/>
    <w:rsid w:val="00621477"/>
    <w:rsid w:val="006239E3"/>
    <w:rsid w:val="00624709"/>
    <w:rsid w:val="0063158F"/>
    <w:rsid w:val="00631D6B"/>
    <w:rsid w:val="00632223"/>
    <w:rsid w:val="00632937"/>
    <w:rsid w:val="006330A1"/>
    <w:rsid w:val="00633F3D"/>
    <w:rsid w:val="0063479F"/>
    <w:rsid w:val="006347A5"/>
    <w:rsid w:val="006353F0"/>
    <w:rsid w:val="006364A1"/>
    <w:rsid w:val="00637920"/>
    <w:rsid w:val="00637BFD"/>
    <w:rsid w:val="00640D04"/>
    <w:rsid w:val="00641C4E"/>
    <w:rsid w:val="006471CC"/>
    <w:rsid w:val="00647AB1"/>
    <w:rsid w:val="0065079F"/>
    <w:rsid w:val="00651407"/>
    <w:rsid w:val="00651475"/>
    <w:rsid w:val="00652A07"/>
    <w:rsid w:val="00652FDA"/>
    <w:rsid w:val="0065379F"/>
    <w:rsid w:val="00654280"/>
    <w:rsid w:val="0065564A"/>
    <w:rsid w:val="00661C6B"/>
    <w:rsid w:val="006624BF"/>
    <w:rsid w:val="00663852"/>
    <w:rsid w:val="006647CF"/>
    <w:rsid w:val="00665999"/>
    <w:rsid w:val="006704C5"/>
    <w:rsid w:val="00671B49"/>
    <w:rsid w:val="00671D2C"/>
    <w:rsid w:val="00673DAD"/>
    <w:rsid w:val="00674E42"/>
    <w:rsid w:val="00675670"/>
    <w:rsid w:val="00677424"/>
    <w:rsid w:val="00680B7F"/>
    <w:rsid w:val="00682112"/>
    <w:rsid w:val="00682304"/>
    <w:rsid w:val="00683824"/>
    <w:rsid w:val="006840B0"/>
    <w:rsid w:val="00685A94"/>
    <w:rsid w:val="00686824"/>
    <w:rsid w:val="00686957"/>
    <w:rsid w:val="006872BA"/>
    <w:rsid w:val="00691112"/>
    <w:rsid w:val="006912A6"/>
    <w:rsid w:val="00691648"/>
    <w:rsid w:val="006917D7"/>
    <w:rsid w:val="00691BF2"/>
    <w:rsid w:val="00694F44"/>
    <w:rsid w:val="00695F49"/>
    <w:rsid w:val="006A57EC"/>
    <w:rsid w:val="006A7E5F"/>
    <w:rsid w:val="006B0D09"/>
    <w:rsid w:val="006B1FF0"/>
    <w:rsid w:val="006B261B"/>
    <w:rsid w:val="006B2C90"/>
    <w:rsid w:val="006B6DD0"/>
    <w:rsid w:val="006B73FA"/>
    <w:rsid w:val="006C038E"/>
    <w:rsid w:val="006C084C"/>
    <w:rsid w:val="006C1A2A"/>
    <w:rsid w:val="006C2399"/>
    <w:rsid w:val="006C2A8E"/>
    <w:rsid w:val="006C5A13"/>
    <w:rsid w:val="006D005F"/>
    <w:rsid w:val="006D2E4A"/>
    <w:rsid w:val="006D3154"/>
    <w:rsid w:val="006D3C7D"/>
    <w:rsid w:val="006D5D5F"/>
    <w:rsid w:val="006D6F03"/>
    <w:rsid w:val="006D7E80"/>
    <w:rsid w:val="006E1B77"/>
    <w:rsid w:val="006E45ED"/>
    <w:rsid w:val="006E6C34"/>
    <w:rsid w:val="006E7377"/>
    <w:rsid w:val="006F2869"/>
    <w:rsid w:val="006F2CAA"/>
    <w:rsid w:val="006F306C"/>
    <w:rsid w:val="006F3F8D"/>
    <w:rsid w:val="006F480C"/>
    <w:rsid w:val="006F51A1"/>
    <w:rsid w:val="006F63A5"/>
    <w:rsid w:val="006F66DA"/>
    <w:rsid w:val="006F68A2"/>
    <w:rsid w:val="0070142B"/>
    <w:rsid w:val="0070276E"/>
    <w:rsid w:val="00702F8F"/>
    <w:rsid w:val="00706C0A"/>
    <w:rsid w:val="00711A36"/>
    <w:rsid w:val="00711AE5"/>
    <w:rsid w:val="00711DBB"/>
    <w:rsid w:val="007147CC"/>
    <w:rsid w:val="0071529C"/>
    <w:rsid w:val="007172AD"/>
    <w:rsid w:val="007200FC"/>
    <w:rsid w:val="00722B1B"/>
    <w:rsid w:val="007230EC"/>
    <w:rsid w:val="00723750"/>
    <w:rsid w:val="0072416F"/>
    <w:rsid w:val="0072465B"/>
    <w:rsid w:val="00724A7D"/>
    <w:rsid w:val="00727B1D"/>
    <w:rsid w:val="00727C94"/>
    <w:rsid w:val="0073153A"/>
    <w:rsid w:val="00731EAE"/>
    <w:rsid w:val="00732FFA"/>
    <w:rsid w:val="00733F81"/>
    <w:rsid w:val="00735033"/>
    <w:rsid w:val="00735328"/>
    <w:rsid w:val="0073685B"/>
    <w:rsid w:val="00736977"/>
    <w:rsid w:val="00736A07"/>
    <w:rsid w:val="007406C8"/>
    <w:rsid w:val="00740F54"/>
    <w:rsid w:val="00742E89"/>
    <w:rsid w:val="00743B04"/>
    <w:rsid w:val="0074577C"/>
    <w:rsid w:val="00745DE4"/>
    <w:rsid w:val="00745DEC"/>
    <w:rsid w:val="007465A1"/>
    <w:rsid w:val="00752142"/>
    <w:rsid w:val="007523F9"/>
    <w:rsid w:val="0075263E"/>
    <w:rsid w:val="00752755"/>
    <w:rsid w:val="0075291D"/>
    <w:rsid w:val="007537D6"/>
    <w:rsid w:val="007552E9"/>
    <w:rsid w:val="00755DDF"/>
    <w:rsid w:val="00756E00"/>
    <w:rsid w:val="007572B1"/>
    <w:rsid w:val="007573E8"/>
    <w:rsid w:val="00760C4E"/>
    <w:rsid w:val="00760CD0"/>
    <w:rsid w:val="00762C98"/>
    <w:rsid w:val="007643AC"/>
    <w:rsid w:val="007659B6"/>
    <w:rsid w:val="00765B1A"/>
    <w:rsid w:val="00765E03"/>
    <w:rsid w:val="00767EDC"/>
    <w:rsid w:val="0077292B"/>
    <w:rsid w:val="0077731C"/>
    <w:rsid w:val="00777522"/>
    <w:rsid w:val="00783F13"/>
    <w:rsid w:val="00784082"/>
    <w:rsid w:val="007843F2"/>
    <w:rsid w:val="00784862"/>
    <w:rsid w:val="00786572"/>
    <w:rsid w:val="00787D4D"/>
    <w:rsid w:val="007903F5"/>
    <w:rsid w:val="00790629"/>
    <w:rsid w:val="00790825"/>
    <w:rsid w:val="00793ED8"/>
    <w:rsid w:val="00794939"/>
    <w:rsid w:val="00794D11"/>
    <w:rsid w:val="007A0A12"/>
    <w:rsid w:val="007A0B28"/>
    <w:rsid w:val="007A132D"/>
    <w:rsid w:val="007A4827"/>
    <w:rsid w:val="007A5C6A"/>
    <w:rsid w:val="007A73D5"/>
    <w:rsid w:val="007B05E6"/>
    <w:rsid w:val="007B0D68"/>
    <w:rsid w:val="007B21E4"/>
    <w:rsid w:val="007B251D"/>
    <w:rsid w:val="007B2583"/>
    <w:rsid w:val="007B3674"/>
    <w:rsid w:val="007B4533"/>
    <w:rsid w:val="007B4F58"/>
    <w:rsid w:val="007B528D"/>
    <w:rsid w:val="007B5E20"/>
    <w:rsid w:val="007B77D1"/>
    <w:rsid w:val="007C0756"/>
    <w:rsid w:val="007C0A4F"/>
    <w:rsid w:val="007C1CD9"/>
    <w:rsid w:val="007C361D"/>
    <w:rsid w:val="007C4B84"/>
    <w:rsid w:val="007C56FC"/>
    <w:rsid w:val="007C6CD5"/>
    <w:rsid w:val="007D004F"/>
    <w:rsid w:val="007D0B38"/>
    <w:rsid w:val="007D1212"/>
    <w:rsid w:val="007D16ED"/>
    <w:rsid w:val="007D5440"/>
    <w:rsid w:val="007D5486"/>
    <w:rsid w:val="007D590D"/>
    <w:rsid w:val="007D6201"/>
    <w:rsid w:val="007E1956"/>
    <w:rsid w:val="007E4501"/>
    <w:rsid w:val="007F1017"/>
    <w:rsid w:val="007F26CB"/>
    <w:rsid w:val="007F368D"/>
    <w:rsid w:val="007F4A3F"/>
    <w:rsid w:val="007F4A61"/>
    <w:rsid w:val="007F526A"/>
    <w:rsid w:val="007F61C2"/>
    <w:rsid w:val="007F6F42"/>
    <w:rsid w:val="00805142"/>
    <w:rsid w:val="00807A8B"/>
    <w:rsid w:val="00811158"/>
    <w:rsid w:val="00811383"/>
    <w:rsid w:val="00811A6F"/>
    <w:rsid w:val="00812149"/>
    <w:rsid w:val="00812CAC"/>
    <w:rsid w:val="008162E5"/>
    <w:rsid w:val="008166EF"/>
    <w:rsid w:val="0082013D"/>
    <w:rsid w:val="00822DAB"/>
    <w:rsid w:val="00825751"/>
    <w:rsid w:val="00825B55"/>
    <w:rsid w:val="008264EB"/>
    <w:rsid w:val="0083046C"/>
    <w:rsid w:val="00830A08"/>
    <w:rsid w:val="00830B86"/>
    <w:rsid w:val="00831D6D"/>
    <w:rsid w:val="0083356F"/>
    <w:rsid w:val="00833B05"/>
    <w:rsid w:val="008340D1"/>
    <w:rsid w:val="0083432C"/>
    <w:rsid w:val="00834CB5"/>
    <w:rsid w:val="008362B4"/>
    <w:rsid w:val="008365F5"/>
    <w:rsid w:val="00840CA2"/>
    <w:rsid w:val="00842101"/>
    <w:rsid w:val="0084374F"/>
    <w:rsid w:val="00844F7B"/>
    <w:rsid w:val="008468C9"/>
    <w:rsid w:val="00847DF5"/>
    <w:rsid w:val="00851161"/>
    <w:rsid w:val="0085309D"/>
    <w:rsid w:val="00856897"/>
    <w:rsid w:val="00856E9A"/>
    <w:rsid w:val="0086072B"/>
    <w:rsid w:val="0086075D"/>
    <w:rsid w:val="008622FA"/>
    <w:rsid w:val="00862502"/>
    <w:rsid w:val="008660D4"/>
    <w:rsid w:val="00866F8A"/>
    <w:rsid w:val="00867FDE"/>
    <w:rsid w:val="008706F9"/>
    <w:rsid w:val="00870C45"/>
    <w:rsid w:val="0087159F"/>
    <w:rsid w:val="00871FA9"/>
    <w:rsid w:val="008728E9"/>
    <w:rsid w:val="00873455"/>
    <w:rsid w:val="008745BB"/>
    <w:rsid w:val="00875393"/>
    <w:rsid w:val="00880267"/>
    <w:rsid w:val="00882874"/>
    <w:rsid w:val="008836A1"/>
    <w:rsid w:val="0088372B"/>
    <w:rsid w:val="00883787"/>
    <w:rsid w:val="00886CD2"/>
    <w:rsid w:val="0088734E"/>
    <w:rsid w:val="008874D4"/>
    <w:rsid w:val="00887F68"/>
    <w:rsid w:val="008902E9"/>
    <w:rsid w:val="0089054A"/>
    <w:rsid w:val="00892A36"/>
    <w:rsid w:val="00893239"/>
    <w:rsid w:val="00893923"/>
    <w:rsid w:val="00894489"/>
    <w:rsid w:val="00894781"/>
    <w:rsid w:val="00894ADA"/>
    <w:rsid w:val="008963A5"/>
    <w:rsid w:val="00897D9E"/>
    <w:rsid w:val="008A020E"/>
    <w:rsid w:val="008A114D"/>
    <w:rsid w:val="008A181D"/>
    <w:rsid w:val="008A3363"/>
    <w:rsid w:val="008A3371"/>
    <w:rsid w:val="008A3C3E"/>
    <w:rsid w:val="008A4ABD"/>
    <w:rsid w:val="008A762B"/>
    <w:rsid w:val="008A79DE"/>
    <w:rsid w:val="008B1198"/>
    <w:rsid w:val="008B1757"/>
    <w:rsid w:val="008B2E46"/>
    <w:rsid w:val="008B5430"/>
    <w:rsid w:val="008B58DA"/>
    <w:rsid w:val="008B6C75"/>
    <w:rsid w:val="008B7D7E"/>
    <w:rsid w:val="008C1C47"/>
    <w:rsid w:val="008C7ECB"/>
    <w:rsid w:val="008D1AE2"/>
    <w:rsid w:val="008D31E2"/>
    <w:rsid w:val="008D4755"/>
    <w:rsid w:val="008D4C3D"/>
    <w:rsid w:val="008D5B36"/>
    <w:rsid w:val="008D6520"/>
    <w:rsid w:val="008E0338"/>
    <w:rsid w:val="008E0D3C"/>
    <w:rsid w:val="008E1B9E"/>
    <w:rsid w:val="008E32D2"/>
    <w:rsid w:val="008E349F"/>
    <w:rsid w:val="008E55AB"/>
    <w:rsid w:val="008E610A"/>
    <w:rsid w:val="008F120A"/>
    <w:rsid w:val="008F1F1C"/>
    <w:rsid w:val="008F2675"/>
    <w:rsid w:val="008F27E0"/>
    <w:rsid w:val="008F3B42"/>
    <w:rsid w:val="008F48EB"/>
    <w:rsid w:val="008F4F0B"/>
    <w:rsid w:val="00900665"/>
    <w:rsid w:val="00901025"/>
    <w:rsid w:val="00901EDD"/>
    <w:rsid w:val="0090314D"/>
    <w:rsid w:val="00903C68"/>
    <w:rsid w:val="009046C4"/>
    <w:rsid w:val="009062A5"/>
    <w:rsid w:val="009077DF"/>
    <w:rsid w:val="009079BE"/>
    <w:rsid w:val="0091003B"/>
    <w:rsid w:val="00910092"/>
    <w:rsid w:val="00910B81"/>
    <w:rsid w:val="00911272"/>
    <w:rsid w:val="00911DDE"/>
    <w:rsid w:val="00912083"/>
    <w:rsid w:val="009135D6"/>
    <w:rsid w:val="00914C77"/>
    <w:rsid w:val="0091683F"/>
    <w:rsid w:val="009176C8"/>
    <w:rsid w:val="00917F2D"/>
    <w:rsid w:val="009219FA"/>
    <w:rsid w:val="0092203D"/>
    <w:rsid w:val="00922935"/>
    <w:rsid w:val="0092369B"/>
    <w:rsid w:val="00927C58"/>
    <w:rsid w:val="00927EA9"/>
    <w:rsid w:val="009311E6"/>
    <w:rsid w:val="00931E61"/>
    <w:rsid w:val="009320C0"/>
    <w:rsid w:val="00936BDB"/>
    <w:rsid w:val="009371A9"/>
    <w:rsid w:val="00943D6B"/>
    <w:rsid w:val="00945EF6"/>
    <w:rsid w:val="00947B91"/>
    <w:rsid w:val="009510A2"/>
    <w:rsid w:val="00953257"/>
    <w:rsid w:val="009532D4"/>
    <w:rsid w:val="00955E15"/>
    <w:rsid w:val="0095627D"/>
    <w:rsid w:val="0095681D"/>
    <w:rsid w:val="00962CB9"/>
    <w:rsid w:val="00964312"/>
    <w:rsid w:val="00965B8A"/>
    <w:rsid w:val="00970FE0"/>
    <w:rsid w:val="00971348"/>
    <w:rsid w:val="009717AC"/>
    <w:rsid w:val="00973131"/>
    <w:rsid w:val="0097757D"/>
    <w:rsid w:val="00977A6A"/>
    <w:rsid w:val="009804C6"/>
    <w:rsid w:val="00982DC3"/>
    <w:rsid w:val="00982E6E"/>
    <w:rsid w:val="00983601"/>
    <w:rsid w:val="00983E57"/>
    <w:rsid w:val="00984871"/>
    <w:rsid w:val="00984D70"/>
    <w:rsid w:val="0098675D"/>
    <w:rsid w:val="009902A2"/>
    <w:rsid w:val="00991028"/>
    <w:rsid w:val="00994416"/>
    <w:rsid w:val="00994D92"/>
    <w:rsid w:val="009958CF"/>
    <w:rsid w:val="00996B1A"/>
    <w:rsid w:val="00996E45"/>
    <w:rsid w:val="009A0238"/>
    <w:rsid w:val="009A49C5"/>
    <w:rsid w:val="009A560E"/>
    <w:rsid w:val="009A7021"/>
    <w:rsid w:val="009A77E5"/>
    <w:rsid w:val="009A7F10"/>
    <w:rsid w:val="009B137D"/>
    <w:rsid w:val="009B14A2"/>
    <w:rsid w:val="009B1F1D"/>
    <w:rsid w:val="009B2F5F"/>
    <w:rsid w:val="009B3E26"/>
    <w:rsid w:val="009B5444"/>
    <w:rsid w:val="009B6769"/>
    <w:rsid w:val="009B79B3"/>
    <w:rsid w:val="009C03B4"/>
    <w:rsid w:val="009C0BE6"/>
    <w:rsid w:val="009C1B26"/>
    <w:rsid w:val="009C1FCA"/>
    <w:rsid w:val="009C21FC"/>
    <w:rsid w:val="009C4ED2"/>
    <w:rsid w:val="009C6CEA"/>
    <w:rsid w:val="009C75CF"/>
    <w:rsid w:val="009C7825"/>
    <w:rsid w:val="009C7B85"/>
    <w:rsid w:val="009D18DC"/>
    <w:rsid w:val="009D5B91"/>
    <w:rsid w:val="009D66D8"/>
    <w:rsid w:val="009D792E"/>
    <w:rsid w:val="009D7B72"/>
    <w:rsid w:val="009E0372"/>
    <w:rsid w:val="009E0DFE"/>
    <w:rsid w:val="009E1A77"/>
    <w:rsid w:val="009E1C3C"/>
    <w:rsid w:val="009E499B"/>
    <w:rsid w:val="009E4C07"/>
    <w:rsid w:val="009E6B06"/>
    <w:rsid w:val="009F08ED"/>
    <w:rsid w:val="009F0E5B"/>
    <w:rsid w:val="009F17CA"/>
    <w:rsid w:val="009F2127"/>
    <w:rsid w:val="009F457C"/>
    <w:rsid w:val="009F623F"/>
    <w:rsid w:val="009F6F4F"/>
    <w:rsid w:val="009F74B8"/>
    <w:rsid w:val="00A01184"/>
    <w:rsid w:val="00A01BA0"/>
    <w:rsid w:val="00A022C2"/>
    <w:rsid w:val="00A03D43"/>
    <w:rsid w:val="00A04380"/>
    <w:rsid w:val="00A06043"/>
    <w:rsid w:val="00A07E2D"/>
    <w:rsid w:val="00A1149B"/>
    <w:rsid w:val="00A11CD0"/>
    <w:rsid w:val="00A13948"/>
    <w:rsid w:val="00A14830"/>
    <w:rsid w:val="00A14AAF"/>
    <w:rsid w:val="00A1555B"/>
    <w:rsid w:val="00A155C5"/>
    <w:rsid w:val="00A16AD8"/>
    <w:rsid w:val="00A174AB"/>
    <w:rsid w:val="00A211A1"/>
    <w:rsid w:val="00A21ABC"/>
    <w:rsid w:val="00A21CF3"/>
    <w:rsid w:val="00A24CD9"/>
    <w:rsid w:val="00A2673D"/>
    <w:rsid w:val="00A27AEC"/>
    <w:rsid w:val="00A31B75"/>
    <w:rsid w:val="00A320DB"/>
    <w:rsid w:val="00A343C6"/>
    <w:rsid w:val="00A35D16"/>
    <w:rsid w:val="00A367F8"/>
    <w:rsid w:val="00A37BCD"/>
    <w:rsid w:val="00A43C59"/>
    <w:rsid w:val="00A455B3"/>
    <w:rsid w:val="00A4571D"/>
    <w:rsid w:val="00A475F4"/>
    <w:rsid w:val="00A507F5"/>
    <w:rsid w:val="00A50ECD"/>
    <w:rsid w:val="00A518F3"/>
    <w:rsid w:val="00A52729"/>
    <w:rsid w:val="00A52F5F"/>
    <w:rsid w:val="00A53675"/>
    <w:rsid w:val="00A53690"/>
    <w:rsid w:val="00A557C2"/>
    <w:rsid w:val="00A562D1"/>
    <w:rsid w:val="00A564D7"/>
    <w:rsid w:val="00A56B6A"/>
    <w:rsid w:val="00A575C5"/>
    <w:rsid w:val="00A578DC"/>
    <w:rsid w:val="00A60C16"/>
    <w:rsid w:val="00A60D67"/>
    <w:rsid w:val="00A617E9"/>
    <w:rsid w:val="00A63B4D"/>
    <w:rsid w:val="00A6725B"/>
    <w:rsid w:val="00A70605"/>
    <w:rsid w:val="00A73134"/>
    <w:rsid w:val="00A7323D"/>
    <w:rsid w:val="00A73A5C"/>
    <w:rsid w:val="00A756A2"/>
    <w:rsid w:val="00A756C8"/>
    <w:rsid w:val="00A763F5"/>
    <w:rsid w:val="00A77062"/>
    <w:rsid w:val="00A77471"/>
    <w:rsid w:val="00A777B2"/>
    <w:rsid w:val="00A8228C"/>
    <w:rsid w:val="00A8467F"/>
    <w:rsid w:val="00A850B4"/>
    <w:rsid w:val="00A86E8B"/>
    <w:rsid w:val="00A87164"/>
    <w:rsid w:val="00A93072"/>
    <w:rsid w:val="00A93953"/>
    <w:rsid w:val="00A93DA9"/>
    <w:rsid w:val="00A959D8"/>
    <w:rsid w:val="00A96234"/>
    <w:rsid w:val="00A9690B"/>
    <w:rsid w:val="00A97FA7"/>
    <w:rsid w:val="00AA113D"/>
    <w:rsid w:val="00AA5C91"/>
    <w:rsid w:val="00AA63BA"/>
    <w:rsid w:val="00AA6C7D"/>
    <w:rsid w:val="00AA70A7"/>
    <w:rsid w:val="00AA7FD6"/>
    <w:rsid w:val="00AB042A"/>
    <w:rsid w:val="00AB1DE1"/>
    <w:rsid w:val="00AB2D34"/>
    <w:rsid w:val="00AB2DD7"/>
    <w:rsid w:val="00AB3430"/>
    <w:rsid w:val="00AB4787"/>
    <w:rsid w:val="00AB4AD1"/>
    <w:rsid w:val="00AB4DDE"/>
    <w:rsid w:val="00AB7CFA"/>
    <w:rsid w:val="00AC530A"/>
    <w:rsid w:val="00AC5B48"/>
    <w:rsid w:val="00AC71C7"/>
    <w:rsid w:val="00AD01A9"/>
    <w:rsid w:val="00AD0718"/>
    <w:rsid w:val="00AD1324"/>
    <w:rsid w:val="00AD1C22"/>
    <w:rsid w:val="00AD323B"/>
    <w:rsid w:val="00AD3EB2"/>
    <w:rsid w:val="00AD6502"/>
    <w:rsid w:val="00AD6D88"/>
    <w:rsid w:val="00AD6EF8"/>
    <w:rsid w:val="00AD7219"/>
    <w:rsid w:val="00AE2CCA"/>
    <w:rsid w:val="00AE4A0D"/>
    <w:rsid w:val="00AE615B"/>
    <w:rsid w:val="00AE7C4B"/>
    <w:rsid w:val="00AF096C"/>
    <w:rsid w:val="00AF1315"/>
    <w:rsid w:val="00AF171A"/>
    <w:rsid w:val="00AF19BF"/>
    <w:rsid w:val="00AF2DC3"/>
    <w:rsid w:val="00AF3797"/>
    <w:rsid w:val="00AF3A7B"/>
    <w:rsid w:val="00B02BE9"/>
    <w:rsid w:val="00B033E5"/>
    <w:rsid w:val="00B03A63"/>
    <w:rsid w:val="00B06BE9"/>
    <w:rsid w:val="00B13CF2"/>
    <w:rsid w:val="00B13EB0"/>
    <w:rsid w:val="00B143E4"/>
    <w:rsid w:val="00B1485C"/>
    <w:rsid w:val="00B15059"/>
    <w:rsid w:val="00B201A4"/>
    <w:rsid w:val="00B203DA"/>
    <w:rsid w:val="00B213A6"/>
    <w:rsid w:val="00B22D7C"/>
    <w:rsid w:val="00B23C85"/>
    <w:rsid w:val="00B24DF6"/>
    <w:rsid w:val="00B24F22"/>
    <w:rsid w:val="00B253E0"/>
    <w:rsid w:val="00B31B7A"/>
    <w:rsid w:val="00B34FE2"/>
    <w:rsid w:val="00B357D8"/>
    <w:rsid w:val="00B37BFC"/>
    <w:rsid w:val="00B40358"/>
    <w:rsid w:val="00B41614"/>
    <w:rsid w:val="00B41947"/>
    <w:rsid w:val="00B42151"/>
    <w:rsid w:val="00B42851"/>
    <w:rsid w:val="00B42F80"/>
    <w:rsid w:val="00B431D0"/>
    <w:rsid w:val="00B432DB"/>
    <w:rsid w:val="00B435CB"/>
    <w:rsid w:val="00B4387A"/>
    <w:rsid w:val="00B43DBA"/>
    <w:rsid w:val="00B464BD"/>
    <w:rsid w:val="00B5093B"/>
    <w:rsid w:val="00B50DB8"/>
    <w:rsid w:val="00B510CF"/>
    <w:rsid w:val="00B52008"/>
    <w:rsid w:val="00B53654"/>
    <w:rsid w:val="00B53905"/>
    <w:rsid w:val="00B54B5B"/>
    <w:rsid w:val="00B551D1"/>
    <w:rsid w:val="00B5562E"/>
    <w:rsid w:val="00B55729"/>
    <w:rsid w:val="00B558F0"/>
    <w:rsid w:val="00B56518"/>
    <w:rsid w:val="00B57000"/>
    <w:rsid w:val="00B57305"/>
    <w:rsid w:val="00B605EA"/>
    <w:rsid w:val="00B60939"/>
    <w:rsid w:val="00B60AFD"/>
    <w:rsid w:val="00B60BD7"/>
    <w:rsid w:val="00B61EF8"/>
    <w:rsid w:val="00B62715"/>
    <w:rsid w:val="00B628E9"/>
    <w:rsid w:val="00B63FB5"/>
    <w:rsid w:val="00B64776"/>
    <w:rsid w:val="00B65EBA"/>
    <w:rsid w:val="00B665EA"/>
    <w:rsid w:val="00B669F3"/>
    <w:rsid w:val="00B71700"/>
    <w:rsid w:val="00B80497"/>
    <w:rsid w:val="00B818A4"/>
    <w:rsid w:val="00B84117"/>
    <w:rsid w:val="00B84EA7"/>
    <w:rsid w:val="00B85AA2"/>
    <w:rsid w:val="00B8649C"/>
    <w:rsid w:val="00B866C0"/>
    <w:rsid w:val="00B86F30"/>
    <w:rsid w:val="00B87F0A"/>
    <w:rsid w:val="00B87FE8"/>
    <w:rsid w:val="00B91210"/>
    <w:rsid w:val="00B915D7"/>
    <w:rsid w:val="00B917E9"/>
    <w:rsid w:val="00B9183E"/>
    <w:rsid w:val="00B920E5"/>
    <w:rsid w:val="00B92D0B"/>
    <w:rsid w:val="00B944B6"/>
    <w:rsid w:val="00B94945"/>
    <w:rsid w:val="00BA0D9C"/>
    <w:rsid w:val="00BA2337"/>
    <w:rsid w:val="00BA322D"/>
    <w:rsid w:val="00BA3749"/>
    <w:rsid w:val="00BA6FC4"/>
    <w:rsid w:val="00BB042A"/>
    <w:rsid w:val="00BB0BDD"/>
    <w:rsid w:val="00BB1770"/>
    <w:rsid w:val="00BB2A73"/>
    <w:rsid w:val="00BB3291"/>
    <w:rsid w:val="00BB452D"/>
    <w:rsid w:val="00BB4ACC"/>
    <w:rsid w:val="00BB703E"/>
    <w:rsid w:val="00BB7405"/>
    <w:rsid w:val="00BB7C84"/>
    <w:rsid w:val="00BC17DF"/>
    <w:rsid w:val="00BC2BBA"/>
    <w:rsid w:val="00BC3631"/>
    <w:rsid w:val="00BC42CD"/>
    <w:rsid w:val="00BC43BF"/>
    <w:rsid w:val="00BC4549"/>
    <w:rsid w:val="00BC7C90"/>
    <w:rsid w:val="00BC7E49"/>
    <w:rsid w:val="00BD057A"/>
    <w:rsid w:val="00BD3DDB"/>
    <w:rsid w:val="00BD68A3"/>
    <w:rsid w:val="00BD6938"/>
    <w:rsid w:val="00BD6CF3"/>
    <w:rsid w:val="00BE2180"/>
    <w:rsid w:val="00BE21F2"/>
    <w:rsid w:val="00BE3858"/>
    <w:rsid w:val="00BE4275"/>
    <w:rsid w:val="00BE4B9E"/>
    <w:rsid w:val="00BE70C9"/>
    <w:rsid w:val="00BE7631"/>
    <w:rsid w:val="00BE7632"/>
    <w:rsid w:val="00BE79CB"/>
    <w:rsid w:val="00BF0F95"/>
    <w:rsid w:val="00BF2433"/>
    <w:rsid w:val="00BF298D"/>
    <w:rsid w:val="00BF3A99"/>
    <w:rsid w:val="00BF4FF2"/>
    <w:rsid w:val="00BF5AD3"/>
    <w:rsid w:val="00BF61C9"/>
    <w:rsid w:val="00BF6C94"/>
    <w:rsid w:val="00BF7F6E"/>
    <w:rsid w:val="00C00424"/>
    <w:rsid w:val="00C00533"/>
    <w:rsid w:val="00C057AD"/>
    <w:rsid w:val="00C06A2A"/>
    <w:rsid w:val="00C07146"/>
    <w:rsid w:val="00C07317"/>
    <w:rsid w:val="00C07A06"/>
    <w:rsid w:val="00C11DF2"/>
    <w:rsid w:val="00C11F52"/>
    <w:rsid w:val="00C12C14"/>
    <w:rsid w:val="00C13317"/>
    <w:rsid w:val="00C161D4"/>
    <w:rsid w:val="00C16ABC"/>
    <w:rsid w:val="00C200AA"/>
    <w:rsid w:val="00C237ED"/>
    <w:rsid w:val="00C24632"/>
    <w:rsid w:val="00C25418"/>
    <w:rsid w:val="00C25915"/>
    <w:rsid w:val="00C25D9C"/>
    <w:rsid w:val="00C2778B"/>
    <w:rsid w:val="00C31649"/>
    <w:rsid w:val="00C34136"/>
    <w:rsid w:val="00C356F8"/>
    <w:rsid w:val="00C359D0"/>
    <w:rsid w:val="00C370BB"/>
    <w:rsid w:val="00C40385"/>
    <w:rsid w:val="00C40D14"/>
    <w:rsid w:val="00C43BC1"/>
    <w:rsid w:val="00C444BA"/>
    <w:rsid w:val="00C447D1"/>
    <w:rsid w:val="00C4566E"/>
    <w:rsid w:val="00C460D3"/>
    <w:rsid w:val="00C475AA"/>
    <w:rsid w:val="00C507EE"/>
    <w:rsid w:val="00C50E7B"/>
    <w:rsid w:val="00C51010"/>
    <w:rsid w:val="00C52687"/>
    <w:rsid w:val="00C55CAC"/>
    <w:rsid w:val="00C56D6C"/>
    <w:rsid w:val="00C56DAD"/>
    <w:rsid w:val="00C57FCC"/>
    <w:rsid w:val="00C601F5"/>
    <w:rsid w:val="00C6037F"/>
    <w:rsid w:val="00C60769"/>
    <w:rsid w:val="00C63F61"/>
    <w:rsid w:val="00C65576"/>
    <w:rsid w:val="00C657C4"/>
    <w:rsid w:val="00C65A3B"/>
    <w:rsid w:val="00C66165"/>
    <w:rsid w:val="00C711FD"/>
    <w:rsid w:val="00C7151A"/>
    <w:rsid w:val="00C71F60"/>
    <w:rsid w:val="00C721DB"/>
    <w:rsid w:val="00C72241"/>
    <w:rsid w:val="00C74FF7"/>
    <w:rsid w:val="00C750C8"/>
    <w:rsid w:val="00C7560F"/>
    <w:rsid w:val="00C762FE"/>
    <w:rsid w:val="00C77792"/>
    <w:rsid w:val="00C80A0E"/>
    <w:rsid w:val="00C81D52"/>
    <w:rsid w:val="00C820C8"/>
    <w:rsid w:val="00C8213F"/>
    <w:rsid w:val="00C8772D"/>
    <w:rsid w:val="00C8797A"/>
    <w:rsid w:val="00C87DA4"/>
    <w:rsid w:val="00C900B8"/>
    <w:rsid w:val="00C90C71"/>
    <w:rsid w:val="00C931CF"/>
    <w:rsid w:val="00C938CF"/>
    <w:rsid w:val="00C94768"/>
    <w:rsid w:val="00C9624D"/>
    <w:rsid w:val="00C969DA"/>
    <w:rsid w:val="00C97348"/>
    <w:rsid w:val="00CA21AF"/>
    <w:rsid w:val="00CA2C77"/>
    <w:rsid w:val="00CA444F"/>
    <w:rsid w:val="00CA5245"/>
    <w:rsid w:val="00CA5EFD"/>
    <w:rsid w:val="00CA71F4"/>
    <w:rsid w:val="00CA75F0"/>
    <w:rsid w:val="00CA7631"/>
    <w:rsid w:val="00CA7B09"/>
    <w:rsid w:val="00CA7D2F"/>
    <w:rsid w:val="00CB0423"/>
    <w:rsid w:val="00CB0826"/>
    <w:rsid w:val="00CB2B70"/>
    <w:rsid w:val="00CB2F2A"/>
    <w:rsid w:val="00CB5353"/>
    <w:rsid w:val="00CB5B1A"/>
    <w:rsid w:val="00CB6193"/>
    <w:rsid w:val="00CB6B22"/>
    <w:rsid w:val="00CB7F5F"/>
    <w:rsid w:val="00CC0A9A"/>
    <w:rsid w:val="00CC1B39"/>
    <w:rsid w:val="00CC44A2"/>
    <w:rsid w:val="00CD07DE"/>
    <w:rsid w:val="00CD0B08"/>
    <w:rsid w:val="00CD4292"/>
    <w:rsid w:val="00CD61F9"/>
    <w:rsid w:val="00CD6ADC"/>
    <w:rsid w:val="00CE13C9"/>
    <w:rsid w:val="00CE34E3"/>
    <w:rsid w:val="00CE44A4"/>
    <w:rsid w:val="00CE454F"/>
    <w:rsid w:val="00CE6274"/>
    <w:rsid w:val="00CF0BD6"/>
    <w:rsid w:val="00CF2B8D"/>
    <w:rsid w:val="00CF3FAD"/>
    <w:rsid w:val="00CF456B"/>
    <w:rsid w:val="00CF5A22"/>
    <w:rsid w:val="00CF7DD2"/>
    <w:rsid w:val="00D0262E"/>
    <w:rsid w:val="00D042CF"/>
    <w:rsid w:val="00D042F7"/>
    <w:rsid w:val="00D05ED7"/>
    <w:rsid w:val="00D060E2"/>
    <w:rsid w:val="00D06839"/>
    <w:rsid w:val="00D110BD"/>
    <w:rsid w:val="00D13675"/>
    <w:rsid w:val="00D13781"/>
    <w:rsid w:val="00D13FA0"/>
    <w:rsid w:val="00D141E1"/>
    <w:rsid w:val="00D14BC5"/>
    <w:rsid w:val="00D155AC"/>
    <w:rsid w:val="00D15886"/>
    <w:rsid w:val="00D17D6C"/>
    <w:rsid w:val="00D2365C"/>
    <w:rsid w:val="00D25721"/>
    <w:rsid w:val="00D259FB"/>
    <w:rsid w:val="00D2754D"/>
    <w:rsid w:val="00D27B27"/>
    <w:rsid w:val="00D27EE2"/>
    <w:rsid w:val="00D30BF6"/>
    <w:rsid w:val="00D33BE9"/>
    <w:rsid w:val="00D34D36"/>
    <w:rsid w:val="00D357FF"/>
    <w:rsid w:val="00D360BC"/>
    <w:rsid w:val="00D40602"/>
    <w:rsid w:val="00D424C7"/>
    <w:rsid w:val="00D43B2A"/>
    <w:rsid w:val="00D44C30"/>
    <w:rsid w:val="00D45751"/>
    <w:rsid w:val="00D4715D"/>
    <w:rsid w:val="00D47299"/>
    <w:rsid w:val="00D47575"/>
    <w:rsid w:val="00D5604D"/>
    <w:rsid w:val="00D5742B"/>
    <w:rsid w:val="00D578F0"/>
    <w:rsid w:val="00D60FC2"/>
    <w:rsid w:val="00D63FBC"/>
    <w:rsid w:val="00D65F2B"/>
    <w:rsid w:val="00D7025B"/>
    <w:rsid w:val="00D70628"/>
    <w:rsid w:val="00D707D0"/>
    <w:rsid w:val="00D70F16"/>
    <w:rsid w:val="00D70F6C"/>
    <w:rsid w:val="00D713BD"/>
    <w:rsid w:val="00D75BF9"/>
    <w:rsid w:val="00D76A44"/>
    <w:rsid w:val="00D815EF"/>
    <w:rsid w:val="00D85A5B"/>
    <w:rsid w:val="00D868C9"/>
    <w:rsid w:val="00D87AAD"/>
    <w:rsid w:val="00D90DF5"/>
    <w:rsid w:val="00D91923"/>
    <w:rsid w:val="00D92317"/>
    <w:rsid w:val="00D92CD4"/>
    <w:rsid w:val="00D92D6D"/>
    <w:rsid w:val="00D93753"/>
    <w:rsid w:val="00D943E5"/>
    <w:rsid w:val="00D95D90"/>
    <w:rsid w:val="00D964FF"/>
    <w:rsid w:val="00D97591"/>
    <w:rsid w:val="00D97FDE"/>
    <w:rsid w:val="00DA0656"/>
    <w:rsid w:val="00DA157E"/>
    <w:rsid w:val="00DA2C8C"/>
    <w:rsid w:val="00DA3167"/>
    <w:rsid w:val="00DA4DC3"/>
    <w:rsid w:val="00DA7347"/>
    <w:rsid w:val="00DA77A5"/>
    <w:rsid w:val="00DB1DAF"/>
    <w:rsid w:val="00DB3F49"/>
    <w:rsid w:val="00DB4387"/>
    <w:rsid w:val="00DB484F"/>
    <w:rsid w:val="00DC04F6"/>
    <w:rsid w:val="00DC16F7"/>
    <w:rsid w:val="00DC2A90"/>
    <w:rsid w:val="00DC3C57"/>
    <w:rsid w:val="00DC51C6"/>
    <w:rsid w:val="00DC5501"/>
    <w:rsid w:val="00DC5C08"/>
    <w:rsid w:val="00DC7BE4"/>
    <w:rsid w:val="00DD0F40"/>
    <w:rsid w:val="00DD1006"/>
    <w:rsid w:val="00DD151C"/>
    <w:rsid w:val="00DD2364"/>
    <w:rsid w:val="00DD273C"/>
    <w:rsid w:val="00DD3485"/>
    <w:rsid w:val="00DD3F28"/>
    <w:rsid w:val="00DD4537"/>
    <w:rsid w:val="00DD4E15"/>
    <w:rsid w:val="00DD6A32"/>
    <w:rsid w:val="00DD7C0A"/>
    <w:rsid w:val="00DE078E"/>
    <w:rsid w:val="00DE28E2"/>
    <w:rsid w:val="00DE28EF"/>
    <w:rsid w:val="00DE3138"/>
    <w:rsid w:val="00DE37F8"/>
    <w:rsid w:val="00DE4FCB"/>
    <w:rsid w:val="00DE7437"/>
    <w:rsid w:val="00DE7832"/>
    <w:rsid w:val="00DF1846"/>
    <w:rsid w:val="00DF18FC"/>
    <w:rsid w:val="00DF1BA6"/>
    <w:rsid w:val="00DF1CA3"/>
    <w:rsid w:val="00DF24C7"/>
    <w:rsid w:val="00DF2BA2"/>
    <w:rsid w:val="00DF3441"/>
    <w:rsid w:val="00DF4174"/>
    <w:rsid w:val="00DF5BBC"/>
    <w:rsid w:val="00DF5D2B"/>
    <w:rsid w:val="00DF7FE2"/>
    <w:rsid w:val="00E00E8E"/>
    <w:rsid w:val="00E02430"/>
    <w:rsid w:val="00E05630"/>
    <w:rsid w:val="00E06DBB"/>
    <w:rsid w:val="00E07D96"/>
    <w:rsid w:val="00E10149"/>
    <w:rsid w:val="00E130CE"/>
    <w:rsid w:val="00E139D7"/>
    <w:rsid w:val="00E1510E"/>
    <w:rsid w:val="00E16372"/>
    <w:rsid w:val="00E2023E"/>
    <w:rsid w:val="00E20E4D"/>
    <w:rsid w:val="00E20ED6"/>
    <w:rsid w:val="00E21358"/>
    <w:rsid w:val="00E2249B"/>
    <w:rsid w:val="00E224B4"/>
    <w:rsid w:val="00E22A0D"/>
    <w:rsid w:val="00E241CC"/>
    <w:rsid w:val="00E25A1B"/>
    <w:rsid w:val="00E25E89"/>
    <w:rsid w:val="00E265B8"/>
    <w:rsid w:val="00E26AB4"/>
    <w:rsid w:val="00E26AC5"/>
    <w:rsid w:val="00E2771E"/>
    <w:rsid w:val="00E34948"/>
    <w:rsid w:val="00E37569"/>
    <w:rsid w:val="00E3797F"/>
    <w:rsid w:val="00E400BA"/>
    <w:rsid w:val="00E41E30"/>
    <w:rsid w:val="00E41E88"/>
    <w:rsid w:val="00E420E1"/>
    <w:rsid w:val="00E42B93"/>
    <w:rsid w:val="00E42D18"/>
    <w:rsid w:val="00E43763"/>
    <w:rsid w:val="00E43915"/>
    <w:rsid w:val="00E43D70"/>
    <w:rsid w:val="00E440A1"/>
    <w:rsid w:val="00E442A3"/>
    <w:rsid w:val="00E444D3"/>
    <w:rsid w:val="00E466F3"/>
    <w:rsid w:val="00E46A09"/>
    <w:rsid w:val="00E46A80"/>
    <w:rsid w:val="00E47B2C"/>
    <w:rsid w:val="00E47C0E"/>
    <w:rsid w:val="00E51560"/>
    <w:rsid w:val="00E51DFD"/>
    <w:rsid w:val="00E523DA"/>
    <w:rsid w:val="00E54347"/>
    <w:rsid w:val="00E54B55"/>
    <w:rsid w:val="00E54B7F"/>
    <w:rsid w:val="00E54D3D"/>
    <w:rsid w:val="00E55424"/>
    <w:rsid w:val="00E557DE"/>
    <w:rsid w:val="00E55BB5"/>
    <w:rsid w:val="00E568B9"/>
    <w:rsid w:val="00E6083C"/>
    <w:rsid w:val="00E647F8"/>
    <w:rsid w:val="00E64993"/>
    <w:rsid w:val="00E65370"/>
    <w:rsid w:val="00E65E79"/>
    <w:rsid w:val="00E65F60"/>
    <w:rsid w:val="00E66BA2"/>
    <w:rsid w:val="00E67416"/>
    <w:rsid w:val="00E67CDC"/>
    <w:rsid w:val="00E7003F"/>
    <w:rsid w:val="00E700F7"/>
    <w:rsid w:val="00E705FC"/>
    <w:rsid w:val="00E718B6"/>
    <w:rsid w:val="00E71C36"/>
    <w:rsid w:val="00E71CCB"/>
    <w:rsid w:val="00E723BA"/>
    <w:rsid w:val="00E73581"/>
    <w:rsid w:val="00E74233"/>
    <w:rsid w:val="00E74920"/>
    <w:rsid w:val="00E7641D"/>
    <w:rsid w:val="00E81439"/>
    <w:rsid w:val="00E81C71"/>
    <w:rsid w:val="00E81D98"/>
    <w:rsid w:val="00E824C0"/>
    <w:rsid w:val="00E831B1"/>
    <w:rsid w:val="00E833F7"/>
    <w:rsid w:val="00E83A30"/>
    <w:rsid w:val="00E83BDF"/>
    <w:rsid w:val="00E84ED8"/>
    <w:rsid w:val="00E879F9"/>
    <w:rsid w:val="00E87A1D"/>
    <w:rsid w:val="00E90747"/>
    <w:rsid w:val="00E91311"/>
    <w:rsid w:val="00E926A5"/>
    <w:rsid w:val="00E95799"/>
    <w:rsid w:val="00E96E25"/>
    <w:rsid w:val="00E96E41"/>
    <w:rsid w:val="00E96F7D"/>
    <w:rsid w:val="00E97803"/>
    <w:rsid w:val="00EA17C3"/>
    <w:rsid w:val="00EA1FD5"/>
    <w:rsid w:val="00EA262B"/>
    <w:rsid w:val="00EA2CAA"/>
    <w:rsid w:val="00EA3864"/>
    <w:rsid w:val="00EA40FE"/>
    <w:rsid w:val="00EA7FDB"/>
    <w:rsid w:val="00EB03A1"/>
    <w:rsid w:val="00EB15B6"/>
    <w:rsid w:val="00EB27AF"/>
    <w:rsid w:val="00EB3CD5"/>
    <w:rsid w:val="00EB4916"/>
    <w:rsid w:val="00EB5FC3"/>
    <w:rsid w:val="00EB66AB"/>
    <w:rsid w:val="00EC00C9"/>
    <w:rsid w:val="00EC0E68"/>
    <w:rsid w:val="00EC2649"/>
    <w:rsid w:val="00EC56C0"/>
    <w:rsid w:val="00EC5FDD"/>
    <w:rsid w:val="00ED0C5A"/>
    <w:rsid w:val="00ED57EA"/>
    <w:rsid w:val="00ED5AD6"/>
    <w:rsid w:val="00EE07D3"/>
    <w:rsid w:val="00EE2034"/>
    <w:rsid w:val="00EE22AF"/>
    <w:rsid w:val="00EE4357"/>
    <w:rsid w:val="00EE48A9"/>
    <w:rsid w:val="00EF0171"/>
    <w:rsid w:val="00EF0930"/>
    <w:rsid w:val="00EF0AFB"/>
    <w:rsid w:val="00EF1B25"/>
    <w:rsid w:val="00EF2212"/>
    <w:rsid w:val="00EF379D"/>
    <w:rsid w:val="00EF395F"/>
    <w:rsid w:val="00EF4747"/>
    <w:rsid w:val="00EF4BF8"/>
    <w:rsid w:val="00F01CBC"/>
    <w:rsid w:val="00F02253"/>
    <w:rsid w:val="00F02408"/>
    <w:rsid w:val="00F039FA"/>
    <w:rsid w:val="00F03C2E"/>
    <w:rsid w:val="00F041E1"/>
    <w:rsid w:val="00F04A66"/>
    <w:rsid w:val="00F0516C"/>
    <w:rsid w:val="00F067A2"/>
    <w:rsid w:val="00F07269"/>
    <w:rsid w:val="00F072EA"/>
    <w:rsid w:val="00F077C7"/>
    <w:rsid w:val="00F10C4E"/>
    <w:rsid w:val="00F11C92"/>
    <w:rsid w:val="00F1263A"/>
    <w:rsid w:val="00F1575A"/>
    <w:rsid w:val="00F2021A"/>
    <w:rsid w:val="00F21495"/>
    <w:rsid w:val="00F22C48"/>
    <w:rsid w:val="00F24837"/>
    <w:rsid w:val="00F255D2"/>
    <w:rsid w:val="00F2575F"/>
    <w:rsid w:val="00F27565"/>
    <w:rsid w:val="00F27906"/>
    <w:rsid w:val="00F310D4"/>
    <w:rsid w:val="00F31D5A"/>
    <w:rsid w:val="00F3274E"/>
    <w:rsid w:val="00F33DE9"/>
    <w:rsid w:val="00F3512F"/>
    <w:rsid w:val="00F3619A"/>
    <w:rsid w:val="00F36BFE"/>
    <w:rsid w:val="00F40AAA"/>
    <w:rsid w:val="00F40BA7"/>
    <w:rsid w:val="00F413AB"/>
    <w:rsid w:val="00F46CB6"/>
    <w:rsid w:val="00F47DE8"/>
    <w:rsid w:val="00F50254"/>
    <w:rsid w:val="00F51C1F"/>
    <w:rsid w:val="00F5221F"/>
    <w:rsid w:val="00F52F02"/>
    <w:rsid w:val="00F537FF"/>
    <w:rsid w:val="00F542C1"/>
    <w:rsid w:val="00F55E73"/>
    <w:rsid w:val="00F55EDA"/>
    <w:rsid w:val="00F60092"/>
    <w:rsid w:val="00F60187"/>
    <w:rsid w:val="00F60620"/>
    <w:rsid w:val="00F616C2"/>
    <w:rsid w:val="00F64C9F"/>
    <w:rsid w:val="00F65902"/>
    <w:rsid w:val="00F65F4B"/>
    <w:rsid w:val="00F70C9D"/>
    <w:rsid w:val="00F72721"/>
    <w:rsid w:val="00F72D72"/>
    <w:rsid w:val="00F72F78"/>
    <w:rsid w:val="00F730BA"/>
    <w:rsid w:val="00F74C50"/>
    <w:rsid w:val="00F74CD9"/>
    <w:rsid w:val="00F7697C"/>
    <w:rsid w:val="00F76BA0"/>
    <w:rsid w:val="00F77E32"/>
    <w:rsid w:val="00F8023A"/>
    <w:rsid w:val="00F80A7B"/>
    <w:rsid w:val="00F80E5D"/>
    <w:rsid w:val="00F851CE"/>
    <w:rsid w:val="00F86FB8"/>
    <w:rsid w:val="00F9069D"/>
    <w:rsid w:val="00F91219"/>
    <w:rsid w:val="00F93D0A"/>
    <w:rsid w:val="00F9633C"/>
    <w:rsid w:val="00F96464"/>
    <w:rsid w:val="00F97A78"/>
    <w:rsid w:val="00FA0B20"/>
    <w:rsid w:val="00FA1488"/>
    <w:rsid w:val="00FA1CB6"/>
    <w:rsid w:val="00FA24E7"/>
    <w:rsid w:val="00FA43FD"/>
    <w:rsid w:val="00FA584A"/>
    <w:rsid w:val="00FA5CFF"/>
    <w:rsid w:val="00FA64CD"/>
    <w:rsid w:val="00FA7EFF"/>
    <w:rsid w:val="00FB1DBC"/>
    <w:rsid w:val="00FB23C5"/>
    <w:rsid w:val="00FB25E0"/>
    <w:rsid w:val="00FB2C49"/>
    <w:rsid w:val="00FB2FCB"/>
    <w:rsid w:val="00FB3020"/>
    <w:rsid w:val="00FB374B"/>
    <w:rsid w:val="00FB549B"/>
    <w:rsid w:val="00FB7B18"/>
    <w:rsid w:val="00FB7D7F"/>
    <w:rsid w:val="00FC03FA"/>
    <w:rsid w:val="00FC1074"/>
    <w:rsid w:val="00FC1884"/>
    <w:rsid w:val="00FC371D"/>
    <w:rsid w:val="00FC5F0B"/>
    <w:rsid w:val="00FC6F4D"/>
    <w:rsid w:val="00FD0EBC"/>
    <w:rsid w:val="00FD1CA0"/>
    <w:rsid w:val="00FD2100"/>
    <w:rsid w:val="00FD31AB"/>
    <w:rsid w:val="00FD436C"/>
    <w:rsid w:val="00FD446D"/>
    <w:rsid w:val="00FD6394"/>
    <w:rsid w:val="00FD6A73"/>
    <w:rsid w:val="00FD7B88"/>
    <w:rsid w:val="00FE01D3"/>
    <w:rsid w:val="00FE02A5"/>
    <w:rsid w:val="00FE0E6C"/>
    <w:rsid w:val="00FE532A"/>
    <w:rsid w:val="00FE6A85"/>
    <w:rsid w:val="00FE70C3"/>
    <w:rsid w:val="00FF1B6C"/>
    <w:rsid w:val="00FF1B89"/>
    <w:rsid w:val="00FF3DCF"/>
    <w:rsid w:val="00FF3DD0"/>
    <w:rsid w:val="00FF492C"/>
    <w:rsid w:val="00FF4A21"/>
    <w:rsid w:val="00FF5AA3"/>
    <w:rsid w:val="00FF5AD8"/>
    <w:rsid w:val="00FF74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PBAC">
    <w:name w:val="Table Footer PBAC"/>
    <w:basedOn w:val="Normal"/>
    <w:link w:val="TableFooterPBACChar"/>
    <w:qFormat/>
    <w:rsid w:val="00E2771E"/>
    <w:rPr>
      <w:rFonts w:ascii="Arial Narrow" w:hAnsi="Arial Narrow"/>
      <w:sz w:val="18"/>
    </w:rPr>
  </w:style>
  <w:style w:type="character" w:customStyle="1" w:styleId="TableFooterPBACChar">
    <w:name w:val="Table Footer PBAC Char"/>
    <w:link w:val="TableFooterPBAC"/>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12"/>
    <w:basedOn w:val="Normal"/>
    <w:next w:val="Normal"/>
    <w:link w:val="CaptionChar"/>
    <w:unhideWhenUsed/>
    <w:qFormat/>
    <w:rsid w:val="00931E61"/>
    <w:pPr>
      <w:keepNext/>
    </w:pPr>
    <w:rPr>
      <w:rFonts w:ascii="Arial Narrow" w:hAnsi="Arial Narrow"/>
      <w:b/>
      <w:bCs/>
      <w:sz w:val="20"/>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rsid w:val="00931E6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ES Paragraph,PBAC ES Paragraph,BulletPoints,List Paragraph1,Bullet point,List Paragraph11,Recommendation,Footnote,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ES Paragraph Char,PBAC ES Paragraph Char,BulletPoints Char,List Paragraph1 Char,Bullet point Char,List Paragraph11 Char,Recommendation Char,Footnote Char,PBAC normal 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HEADER PBAC,Table Title"/>
    <w:uiPriority w:val="99"/>
    <w:qFormat/>
    <w:rsid w:val="001E30D4"/>
    <w:rPr>
      <w:rFonts w:ascii="Arial Narrow" w:hAnsi="Arial Narrow"/>
      <w:b/>
      <w:sz w:val="20"/>
      <w:szCs w:val="16"/>
    </w:rPr>
  </w:style>
  <w:style w:type="paragraph" w:customStyle="1" w:styleId="TabletextPBAC">
    <w:name w:val="Table text PBAC"/>
    <w:basedOn w:val="Normal"/>
    <w:link w:val="TabletextPBACChar"/>
    <w:uiPriority w:val="2"/>
    <w:qFormat/>
    <w:rsid w:val="00A518F3"/>
    <w:pPr>
      <w:widowControl/>
      <w:jc w:val="left"/>
    </w:pPr>
    <w:rPr>
      <w:rFonts w:ascii="Arial Narrow" w:hAnsi="Arial Narrow" w:cs="Times New Roman"/>
      <w:snapToGrid/>
      <w:sz w:val="20"/>
    </w:rPr>
  </w:style>
  <w:style w:type="character" w:customStyle="1" w:styleId="TabletextPBACChar">
    <w:name w:val="Table text PBAC Char"/>
    <w:link w:val="TabletextPBAC"/>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D162C"/>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4E1AB6"/>
    <w:rPr>
      <w:sz w:val="20"/>
      <w:szCs w:val="20"/>
    </w:rPr>
  </w:style>
  <w:style w:type="character" w:customStyle="1" w:styleId="FootnoteTextChar">
    <w:name w:val="Footnote Text Char"/>
    <w:basedOn w:val="DefaultParagraphFont"/>
    <w:link w:val="FootnoteText"/>
    <w:uiPriority w:val="99"/>
    <w:rsid w:val="004E1AB6"/>
    <w:rPr>
      <w:rFonts w:ascii="Calibri" w:hAnsi="Calibri" w:cs="Arial"/>
      <w:snapToGrid w:val="0"/>
      <w:lang w:eastAsia="en-US"/>
    </w:rPr>
  </w:style>
  <w:style w:type="character" w:styleId="FootnoteReference">
    <w:name w:val="footnote reference"/>
    <w:basedOn w:val="DefaultParagraphFont"/>
    <w:uiPriority w:val="99"/>
    <w:unhideWhenUsed/>
    <w:rsid w:val="004E1AB6"/>
    <w:rPr>
      <w:vertAlign w:val="superscript"/>
    </w:rPr>
  </w:style>
  <w:style w:type="paragraph" w:customStyle="1" w:styleId="TableText">
    <w:name w:val="Table Text"/>
    <w:basedOn w:val="Normal"/>
    <w:link w:val="TableTextChar"/>
    <w:qFormat/>
    <w:rsid w:val="00B86F30"/>
    <w:rPr>
      <w:rFonts w:ascii="Arial Narrow" w:eastAsiaTheme="minorHAnsi" w:hAnsi="Arial Narrow" w:cstheme="minorBidi"/>
      <w:snapToGrid/>
      <w:sz w:val="20"/>
    </w:rPr>
  </w:style>
  <w:style w:type="paragraph" w:customStyle="1" w:styleId="TableFooter">
    <w:name w:val="Table Footer"/>
    <w:basedOn w:val="Normal"/>
    <w:link w:val="TableFooterChar"/>
    <w:qFormat/>
    <w:rsid w:val="00931E61"/>
    <w:pPr>
      <w:contextualSpacing/>
    </w:pPr>
    <w:rPr>
      <w:rFonts w:ascii="Arial Narrow" w:hAnsi="Arial Narrow"/>
      <w:sz w:val="18"/>
      <w:szCs w:val="20"/>
    </w:rPr>
  </w:style>
  <w:style w:type="character" w:customStyle="1" w:styleId="TableFooterChar">
    <w:name w:val="Table Footer Char"/>
    <w:link w:val="TableFooter"/>
    <w:rsid w:val="00931E61"/>
    <w:rPr>
      <w:rFonts w:ascii="Arial Narrow" w:hAnsi="Arial Narrow" w:cs="Arial"/>
      <w:snapToGrid w:val="0"/>
      <w:sz w:val="18"/>
      <w:lang w:eastAsia="en-US"/>
    </w:rPr>
  </w:style>
  <w:style w:type="character" w:customStyle="1" w:styleId="TableTextChar">
    <w:name w:val="Table Text Char"/>
    <w:link w:val="TableText"/>
    <w:rsid w:val="00B86F30"/>
    <w:rPr>
      <w:rFonts w:ascii="Arial Narrow" w:eastAsiaTheme="minorHAnsi" w:hAnsi="Arial Narrow" w:cstheme="minorBidi"/>
      <w:szCs w:val="22"/>
      <w:lang w:eastAsia="en-US"/>
    </w:rPr>
  </w:style>
  <w:style w:type="table" w:customStyle="1" w:styleId="AZTable">
    <w:name w:val="AZ Table"/>
    <w:basedOn w:val="TableNormal"/>
    <w:uiPriority w:val="99"/>
    <w:rsid w:val="00E51D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ESHeading1">
    <w:name w:val="ES Heading 1"/>
    <w:basedOn w:val="Heading1"/>
    <w:next w:val="Heading1"/>
    <w:uiPriority w:val="2"/>
    <w:qFormat/>
    <w:rsid w:val="00E51DFD"/>
    <w:pPr>
      <w:keepNext/>
      <w:keepLines/>
      <w:widowControl/>
      <w:spacing w:before="240" w:after="120"/>
      <w:jc w:val="left"/>
    </w:pPr>
    <w:rPr>
      <w:rFonts w:asciiTheme="minorHAnsi" w:hAnsiTheme="minorHAnsi"/>
      <w:caps w:val="0"/>
      <w:szCs w:val="32"/>
    </w:rPr>
  </w:style>
  <w:style w:type="paragraph" w:customStyle="1" w:styleId="ESHeading2">
    <w:name w:val="ES Heading 2"/>
    <w:basedOn w:val="Heading2"/>
    <w:uiPriority w:val="2"/>
    <w:qFormat/>
    <w:rsid w:val="00E51DFD"/>
    <w:pPr>
      <w:keepNext/>
      <w:keepLines/>
      <w:widowControl/>
      <w:spacing w:before="360" w:after="120"/>
      <w:ind w:left="720" w:hanging="720"/>
      <w:jc w:val="left"/>
    </w:pPr>
    <w:rPr>
      <w:rFonts w:asciiTheme="majorHAnsi" w:eastAsiaTheme="majorEastAsia" w:hAnsiTheme="majorHAnsi" w:cstheme="majorBidi"/>
      <w:szCs w:val="28"/>
    </w:rPr>
  </w:style>
  <w:style w:type="paragraph" w:customStyle="1" w:styleId="ESHeadingCAPS">
    <w:name w:val="ES Heading CAPS"/>
    <w:basedOn w:val="ESHeading2"/>
    <w:uiPriority w:val="2"/>
    <w:qFormat/>
    <w:rsid w:val="00E51DFD"/>
    <w:rPr>
      <w:i w:val="0"/>
      <w:smallCaps/>
      <w:sz w:val="32"/>
    </w:rPr>
  </w:style>
  <w:style w:type="paragraph" w:customStyle="1" w:styleId="ESHeading3">
    <w:name w:val="ES Heading 3"/>
    <w:basedOn w:val="ESHeading2"/>
    <w:uiPriority w:val="2"/>
    <w:qFormat/>
    <w:rsid w:val="00E51DFD"/>
    <w:pPr>
      <w:ind w:left="1080" w:hanging="1080"/>
    </w:pPr>
    <w:rPr>
      <w:i w:val="0"/>
      <w:sz w:val="24"/>
    </w:rPr>
  </w:style>
  <w:style w:type="paragraph" w:customStyle="1" w:styleId="MSACHeading1">
    <w:name w:val="MSAC Heading 1"/>
    <w:basedOn w:val="Heading1"/>
    <w:next w:val="Normal"/>
    <w:qFormat/>
    <w:rsid w:val="00E51DFD"/>
    <w:pPr>
      <w:keepNext/>
      <w:keepLines/>
      <w:widowControl/>
      <w:spacing w:before="160" w:after="240" w:line="259" w:lineRule="auto"/>
      <w:jc w:val="left"/>
    </w:pPr>
    <w:rPr>
      <w:rFonts w:ascii="Arial" w:eastAsiaTheme="majorEastAsia" w:hAnsi="Arial" w:cstheme="majorBidi"/>
      <w:caps w:val="0"/>
      <w:snapToGrid/>
      <w:sz w:val="24"/>
      <w:szCs w:val="28"/>
    </w:rPr>
  </w:style>
  <w:style w:type="paragraph" w:customStyle="1" w:styleId="MSACESHeading2">
    <w:name w:val="MSAC ES Heading 2"/>
    <w:basedOn w:val="Heading2"/>
    <w:next w:val="Normal"/>
    <w:qFormat/>
    <w:rsid w:val="00E51DFD"/>
    <w:pPr>
      <w:keepNext/>
      <w:keepLines/>
      <w:widowControl/>
      <w:spacing w:before="360" w:after="120"/>
      <w:jc w:val="left"/>
    </w:pPr>
    <w:rPr>
      <w:rFonts w:ascii="Cambria" w:eastAsiaTheme="majorEastAsia" w:hAnsi="Cambria" w:cstheme="majorBidi"/>
      <w:i w:val="0"/>
      <w:sz w:val="24"/>
      <w:szCs w:val="28"/>
    </w:rPr>
  </w:style>
  <w:style w:type="table" w:customStyle="1" w:styleId="PBACTableStyle">
    <w:name w:val="PBAC Table Style"/>
    <w:basedOn w:val="TableGrid1"/>
    <w:uiPriority w:val="99"/>
    <w:rsid w:val="005A0AE1"/>
    <w:pPr>
      <w:spacing w:before="120"/>
      <w:contextualSpacing/>
      <w:jc w:val="center"/>
    </w:pPr>
    <w:rPr>
      <w:rFonts w:ascii="Arial Narrow" w:eastAsiaTheme="minorHAnsi" w:hAnsi="Arial Narrow" w:cstheme="minorBidi"/>
      <w:color w:val="000000" w:themeColor="text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Summarybox1">
    <w:name w:val="Summary box1"/>
    <w:basedOn w:val="TableNormal"/>
    <w:next w:val="TableGrid"/>
    <w:uiPriority w:val="59"/>
    <w:rsid w:val="005A0AE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5A0AE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
    <w:name w:val="List Table 1 Light1"/>
    <w:basedOn w:val="TableNormal"/>
    <w:uiPriority w:val="46"/>
    <w:rsid w:val="004C316D"/>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ources">
    <w:name w:val="Sources"/>
    <w:basedOn w:val="Normal"/>
    <w:link w:val="SourcesChar"/>
    <w:qFormat/>
    <w:rsid w:val="007F526A"/>
    <w:pPr>
      <w:widowControl/>
      <w:spacing w:before="120" w:after="120"/>
      <w:ind w:left="284" w:hanging="284"/>
    </w:pPr>
    <w:rPr>
      <w:rFonts w:ascii="Arial" w:eastAsiaTheme="minorHAnsi" w:hAnsi="Arial" w:cstheme="minorBidi"/>
      <w:snapToGrid/>
      <w:sz w:val="16"/>
    </w:rPr>
  </w:style>
  <w:style w:type="paragraph" w:customStyle="1" w:styleId="TableHeading0">
    <w:name w:val="Table Heading"/>
    <w:basedOn w:val="TableText"/>
    <w:link w:val="TableHeadingChar"/>
    <w:qFormat/>
    <w:rsid w:val="00D713BD"/>
    <w:pPr>
      <w:keepNext/>
      <w:keepLines/>
      <w:widowControl/>
      <w:spacing w:line="276" w:lineRule="auto"/>
    </w:pPr>
    <w:rPr>
      <w:rFonts w:eastAsiaTheme="majorEastAsia" w:cs="Arial"/>
      <w:b/>
      <w:szCs w:val="20"/>
      <w:lang w:eastAsia="en-AU" w:bidi="en-US"/>
    </w:rPr>
  </w:style>
  <w:style w:type="paragraph" w:customStyle="1" w:styleId="TableBullet">
    <w:name w:val="Table Bullet"/>
    <w:basedOn w:val="TableText"/>
    <w:qFormat/>
    <w:rsid w:val="007F526A"/>
    <w:pPr>
      <w:widowControl/>
      <w:numPr>
        <w:numId w:val="13"/>
      </w:numPr>
      <w:spacing w:before="20" w:after="20" w:line="276" w:lineRule="auto"/>
    </w:pPr>
    <w:rPr>
      <w:rFonts w:eastAsiaTheme="majorEastAsia" w:cs="Arial"/>
      <w:szCs w:val="20"/>
      <w:lang w:eastAsia="en-AU" w:bidi="en-US"/>
    </w:rPr>
  </w:style>
  <w:style w:type="character" w:customStyle="1" w:styleId="TableHeadingChar">
    <w:name w:val="Table Heading Char"/>
    <w:basedOn w:val="DefaultParagraphFont"/>
    <w:link w:val="TableHeading0"/>
    <w:locked/>
    <w:rsid w:val="00D713BD"/>
    <w:rPr>
      <w:rFonts w:ascii="Arial Narrow" w:eastAsiaTheme="majorEastAsia" w:hAnsi="Arial Narrow" w:cs="Arial"/>
      <w:b/>
      <w:lang w:bidi="en-US"/>
    </w:rPr>
  </w:style>
  <w:style w:type="character" w:customStyle="1" w:styleId="SourcesChar">
    <w:name w:val="Sources Char"/>
    <w:basedOn w:val="DefaultParagraphFont"/>
    <w:link w:val="Sources"/>
    <w:rsid w:val="007F526A"/>
    <w:rPr>
      <w:rFonts w:ascii="Arial" w:eastAsiaTheme="minorHAnsi" w:hAnsi="Arial" w:cstheme="minorBidi"/>
      <w:sz w:val="16"/>
      <w:szCs w:val="22"/>
      <w:lang w:eastAsia="en-US"/>
    </w:rPr>
  </w:style>
  <w:style w:type="table" w:customStyle="1" w:styleId="Summarybox2">
    <w:name w:val="Summary box2"/>
    <w:basedOn w:val="TableNormal"/>
    <w:next w:val="TableGrid"/>
    <w:uiPriority w:val="59"/>
    <w:rsid w:val="00A617E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0"/>
    <w:uiPriority w:val="3"/>
    <w:qFormat/>
    <w:rsid w:val="00BE4B9E"/>
    <w:pPr>
      <w:widowControl/>
      <w:spacing w:before="40" w:after="40"/>
      <w:jc w:val="left"/>
    </w:pPr>
    <w:rPr>
      <w:rFonts w:cs="Times New Roman"/>
      <w:iCs/>
      <w:snapToGrid/>
      <w:sz w:val="20"/>
      <w:szCs w:val="18"/>
    </w:rPr>
  </w:style>
  <w:style w:type="character" w:customStyle="1" w:styleId="TableTextChar0">
    <w:name w:val="TableText Char"/>
    <w:link w:val="TableText0"/>
    <w:uiPriority w:val="3"/>
    <w:rsid w:val="00BE4B9E"/>
    <w:rPr>
      <w:rFonts w:ascii="Calibri" w:hAnsi="Calibri"/>
      <w:iCs/>
      <w:szCs w:val="18"/>
      <w:lang w:eastAsia="en-US"/>
    </w:rPr>
  </w:style>
  <w:style w:type="table" w:customStyle="1" w:styleId="TableGridbeth7">
    <w:name w:val="Table Gridbeth7"/>
    <w:basedOn w:val="TableNormal"/>
    <w:next w:val="TableGrid"/>
    <w:uiPriority w:val="59"/>
    <w:rsid w:val="00D5604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1"/>
    <w:uiPriority w:val="2"/>
    <w:qFormat/>
    <w:rsid w:val="00EA40FE"/>
    <w:pPr>
      <w:widowControl/>
      <w:jc w:val="left"/>
    </w:pPr>
    <w:rPr>
      <w:rFonts w:ascii="Arial Narrow" w:hAnsi="Arial Narrow" w:cs="Times New Roman"/>
      <w:snapToGrid/>
      <w:sz w:val="20"/>
    </w:rPr>
  </w:style>
  <w:style w:type="character" w:customStyle="1" w:styleId="TabletextChar1">
    <w:name w:val="Table text Char"/>
    <w:link w:val="Tabletext1"/>
    <w:uiPriority w:val="2"/>
    <w:rsid w:val="00EA40FE"/>
    <w:rPr>
      <w:rFonts w:ascii="Arial Narrow" w:hAnsi="Arial Narrow"/>
      <w:szCs w:val="22"/>
      <w:lang w:eastAsia="en-US"/>
    </w:rPr>
  </w:style>
  <w:style w:type="paragraph" w:styleId="BodyText2">
    <w:name w:val="Body Text 2"/>
    <w:basedOn w:val="Normal"/>
    <w:link w:val="BodyText2Char"/>
    <w:semiHidden/>
    <w:unhideWhenUsed/>
    <w:rsid w:val="00931E61"/>
    <w:pPr>
      <w:spacing w:after="120" w:line="480" w:lineRule="auto"/>
    </w:pPr>
  </w:style>
  <w:style w:type="character" w:customStyle="1" w:styleId="BodyText2Char">
    <w:name w:val="Body Text 2 Char"/>
    <w:basedOn w:val="DefaultParagraphFont"/>
    <w:link w:val="BodyText2"/>
    <w:semiHidden/>
    <w:rsid w:val="00931E61"/>
    <w:rPr>
      <w:rFonts w:ascii="Calibri" w:hAnsi="Calibri" w:cs="Arial"/>
      <w:snapToGrid w:val="0"/>
      <w:sz w:val="24"/>
      <w:szCs w:val="22"/>
      <w:lang w:eastAsia="en-US"/>
    </w:rPr>
  </w:style>
  <w:style w:type="paragraph" w:styleId="BodyText3">
    <w:name w:val="Body Text 3"/>
    <w:basedOn w:val="Normal"/>
    <w:link w:val="BodyText3Char"/>
    <w:semiHidden/>
    <w:unhideWhenUsed/>
    <w:rsid w:val="00931E61"/>
    <w:pPr>
      <w:spacing w:after="120"/>
    </w:pPr>
    <w:rPr>
      <w:sz w:val="16"/>
      <w:szCs w:val="16"/>
    </w:rPr>
  </w:style>
  <w:style w:type="character" w:customStyle="1" w:styleId="BodyText3Char">
    <w:name w:val="Body Text 3 Char"/>
    <w:basedOn w:val="DefaultParagraphFont"/>
    <w:link w:val="BodyText3"/>
    <w:semiHidden/>
    <w:rsid w:val="00931E61"/>
    <w:rPr>
      <w:rFonts w:ascii="Calibri" w:hAnsi="Calibri" w:cs="Arial"/>
      <w:snapToGrid w:val="0"/>
      <w:sz w:val="16"/>
      <w:szCs w:val="16"/>
      <w:lang w:eastAsia="en-US"/>
    </w:rPr>
  </w:style>
  <w:style w:type="paragraph" w:customStyle="1" w:styleId="TableCentred">
    <w:name w:val="Table Centred"/>
    <w:basedOn w:val="Normal"/>
    <w:link w:val="TableCentredChar"/>
    <w:uiPriority w:val="5"/>
    <w:qFormat/>
    <w:rsid w:val="00F76BA0"/>
    <w:pPr>
      <w:widowControl/>
      <w:spacing w:line="276" w:lineRule="auto"/>
      <w:jc w:val="center"/>
    </w:pPr>
    <w:rPr>
      <w:rFonts w:cs="Times New Roman"/>
      <w:snapToGrid/>
      <w:sz w:val="20"/>
    </w:rPr>
  </w:style>
  <w:style w:type="character" w:customStyle="1" w:styleId="TableCentredChar">
    <w:name w:val="Table Centred Char"/>
    <w:basedOn w:val="DefaultParagraphFont"/>
    <w:link w:val="TableCentred"/>
    <w:uiPriority w:val="5"/>
    <w:locked/>
    <w:rsid w:val="00F76BA0"/>
    <w:rPr>
      <w:rFonts w:ascii="Calibri" w:hAnsi="Calibri"/>
      <w:szCs w:val="22"/>
      <w:lang w:eastAsia="en-US"/>
    </w:rPr>
  </w:style>
  <w:style w:type="paragraph" w:customStyle="1" w:styleId="PBACheading10">
    <w:name w:val="PBAC heading 1"/>
    <w:uiPriority w:val="99"/>
    <w:qFormat/>
    <w:rsid w:val="00F76BA0"/>
    <w:pPr>
      <w:ind w:left="720" w:hanging="720"/>
    </w:pPr>
    <w:rPr>
      <w:rFonts w:ascii="Arial" w:hAnsi="Arial" w:cs="Arial"/>
      <w:snapToGrid w:val="0"/>
      <w:sz w:val="22"/>
      <w:szCs w:val="22"/>
      <w:lang w:eastAsia="en-US"/>
    </w:rPr>
  </w:style>
  <w:style w:type="paragraph" w:customStyle="1" w:styleId="EndNoteBibliographyTitle">
    <w:name w:val="EndNote Bibliography Title"/>
    <w:basedOn w:val="Normal"/>
    <w:link w:val="EndNoteBibliographyTitleChar"/>
    <w:rsid w:val="001115FD"/>
    <w:pPr>
      <w:jc w:val="center"/>
    </w:pPr>
    <w:rPr>
      <w:noProof/>
      <w:lang w:val="en-US"/>
    </w:rPr>
  </w:style>
  <w:style w:type="character" w:customStyle="1" w:styleId="EndNoteBibliographyTitleChar">
    <w:name w:val="EndNote Bibliography Title Char"/>
    <w:basedOn w:val="ListParagraphChar"/>
    <w:link w:val="EndNoteBibliographyTitle"/>
    <w:rsid w:val="001115FD"/>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1115FD"/>
    <w:rPr>
      <w:noProof/>
      <w:lang w:val="en-US"/>
    </w:rPr>
  </w:style>
  <w:style w:type="character" w:customStyle="1" w:styleId="EndNoteBibliographyChar">
    <w:name w:val="EndNote Bibliography Char"/>
    <w:basedOn w:val="ListParagraphChar"/>
    <w:link w:val="EndNoteBibliography"/>
    <w:rsid w:val="001115FD"/>
    <w:rPr>
      <w:rFonts w:ascii="Calibri" w:hAnsi="Calibri" w:cs="Arial"/>
      <w:noProof/>
      <w:snapToGrid w:val="0"/>
      <w:sz w:val="24"/>
      <w:szCs w:val="22"/>
      <w:lang w:val="en-US" w:eastAsia="en-US"/>
    </w:rPr>
  </w:style>
  <w:style w:type="paragraph" w:styleId="EndnoteText">
    <w:name w:val="endnote text"/>
    <w:basedOn w:val="Normal"/>
    <w:link w:val="EndnoteTextChar"/>
    <w:semiHidden/>
    <w:unhideWhenUsed/>
    <w:rsid w:val="003B1C18"/>
    <w:rPr>
      <w:sz w:val="20"/>
      <w:szCs w:val="20"/>
    </w:rPr>
  </w:style>
  <w:style w:type="character" w:customStyle="1" w:styleId="EndnoteTextChar">
    <w:name w:val="Endnote Text Char"/>
    <w:basedOn w:val="DefaultParagraphFont"/>
    <w:link w:val="EndnoteText"/>
    <w:semiHidden/>
    <w:rsid w:val="003B1C18"/>
    <w:rPr>
      <w:rFonts w:ascii="Calibri" w:hAnsi="Calibri" w:cs="Arial"/>
      <w:snapToGrid w:val="0"/>
      <w:lang w:eastAsia="en-US"/>
    </w:rPr>
  </w:style>
  <w:style w:type="character" w:styleId="EndnoteReference">
    <w:name w:val="endnote reference"/>
    <w:basedOn w:val="DefaultParagraphFont"/>
    <w:semiHidden/>
    <w:unhideWhenUsed/>
    <w:rsid w:val="003B1C18"/>
    <w:rPr>
      <w:vertAlign w:val="superscript"/>
    </w:rPr>
  </w:style>
  <w:style w:type="character" w:styleId="Strong">
    <w:name w:val="Strong"/>
    <w:basedOn w:val="DefaultParagraphFont"/>
    <w:uiPriority w:val="22"/>
    <w:qFormat/>
    <w:rsid w:val="00C8772D"/>
    <w:rPr>
      <w:b/>
      <w:bCs/>
    </w:rPr>
  </w:style>
  <w:style w:type="table" w:customStyle="1" w:styleId="HTATableshaded1">
    <w:name w:val="HTA Table shaded1"/>
    <w:basedOn w:val="TableNormal"/>
    <w:rsid w:val="00CA5EF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PTUMTableNormal">
    <w:name w:val="OPTUM Table Normal"/>
    <w:basedOn w:val="TableNormal"/>
    <w:rsid w:val="006647C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PTUMTableNormal1">
    <w:name w:val="OPTUM Table Normal1"/>
    <w:basedOn w:val="TableNormal"/>
    <w:rsid w:val="00F72D7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PBAC">
    <w:name w:val="Table Footer PBAC"/>
    <w:basedOn w:val="Normal"/>
    <w:link w:val="TableFooterPBACChar"/>
    <w:qFormat/>
    <w:rsid w:val="00E2771E"/>
    <w:rPr>
      <w:rFonts w:ascii="Arial Narrow" w:hAnsi="Arial Narrow"/>
      <w:sz w:val="18"/>
    </w:rPr>
  </w:style>
  <w:style w:type="character" w:customStyle="1" w:styleId="TableFooterPBACChar">
    <w:name w:val="Table Footer PBAC Char"/>
    <w:link w:val="TableFooterPBAC"/>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12"/>
    <w:basedOn w:val="Normal"/>
    <w:next w:val="Normal"/>
    <w:link w:val="CaptionChar"/>
    <w:unhideWhenUsed/>
    <w:qFormat/>
    <w:rsid w:val="00931E61"/>
    <w:pPr>
      <w:keepNext/>
    </w:pPr>
    <w:rPr>
      <w:rFonts w:ascii="Arial Narrow" w:hAnsi="Arial Narrow"/>
      <w:b/>
      <w:bCs/>
      <w:sz w:val="20"/>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rsid w:val="00931E6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ES Paragraph,PBAC ES Paragraph,BulletPoints,List Paragraph1,Bullet point,List Paragraph11,Recommendation,Footnote,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ES Paragraph Char,PBAC ES Paragraph Char,BulletPoints Char,List Paragraph1 Char,Bullet point Char,List Paragraph11 Char,Recommendation Char,Footnote Char,PBAC normal 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HEADER PBAC,Table Title"/>
    <w:uiPriority w:val="99"/>
    <w:qFormat/>
    <w:rsid w:val="001E30D4"/>
    <w:rPr>
      <w:rFonts w:ascii="Arial Narrow" w:hAnsi="Arial Narrow"/>
      <w:b/>
      <w:sz w:val="20"/>
      <w:szCs w:val="16"/>
    </w:rPr>
  </w:style>
  <w:style w:type="paragraph" w:customStyle="1" w:styleId="TabletextPBAC">
    <w:name w:val="Table text PBAC"/>
    <w:basedOn w:val="Normal"/>
    <w:link w:val="TabletextPBACChar"/>
    <w:uiPriority w:val="2"/>
    <w:qFormat/>
    <w:rsid w:val="00A518F3"/>
    <w:pPr>
      <w:widowControl/>
      <w:jc w:val="left"/>
    </w:pPr>
    <w:rPr>
      <w:rFonts w:ascii="Arial Narrow" w:hAnsi="Arial Narrow" w:cs="Times New Roman"/>
      <w:snapToGrid/>
      <w:sz w:val="20"/>
    </w:rPr>
  </w:style>
  <w:style w:type="character" w:customStyle="1" w:styleId="TabletextPBACChar">
    <w:name w:val="Table text PBAC Char"/>
    <w:link w:val="TabletextPBAC"/>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D162C"/>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4E1AB6"/>
    <w:rPr>
      <w:sz w:val="20"/>
      <w:szCs w:val="20"/>
    </w:rPr>
  </w:style>
  <w:style w:type="character" w:customStyle="1" w:styleId="FootnoteTextChar">
    <w:name w:val="Footnote Text Char"/>
    <w:basedOn w:val="DefaultParagraphFont"/>
    <w:link w:val="FootnoteText"/>
    <w:uiPriority w:val="99"/>
    <w:rsid w:val="004E1AB6"/>
    <w:rPr>
      <w:rFonts w:ascii="Calibri" w:hAnsi="Calibri" w:cs="Arial"/>
      <w:snapToGrid w:val="0"/>
      <w:lang w:eastAsia="en-US"/>
    </w:rPr>
  </w:style>
  <w:style w:type="character" w:styleId="FootnoteReference">
    <w:name w:val="footnote reference"/>
    <w:basedOn w:val="DefaultParagraphFont"/>
    <w:uiPriority w:val="99"/>
    <w:unhideWhenUsed/>
    <w:rsid w:val="004E1AB6"/>
    <w:rPr>
      <w:vertAlign w:val="superscript"/>
    </w:rPr>
  </w:style>
  <w:style w:type="paragraph" w:customStyle="1" w:styleId="TableText">
    <w:name w:val="Table Text"/>
    <w:basedOn w:val="Normal"/>
    <w:link w:val="TableTextChar"/>
    <w:qFormat/>
    <w:rsid w:val="00B86F30"/>
    <w:rPr>
      <w:rFonts w:ascii="Arial Narrow" w:eastAsiaTheme="minorHAnsi" w:hAnsi="Arial Narrow" w:cstheme="minorBidi"/>
      <w:snapToGrid/>
      <w:sz w:val="20"/>
    </w:rPr>
  </w:style>
  <w:style w:type="paragraph" w:customStyle="1" w:styleId="TableFooter">
    <w:name w:val="Table Footer"/>
    <w:basedOn w:val="Normal"/>
    <w:link w:val="TableFooterChar"/>
    <w:qFormat/>
    <w:rsid w:val="00931E61"/>
    <w:pPr>
      <w:contextualSpacing/>
    </w:pPr>
    <w:rPr>
      <w:rFonts w:ascii="Arial Narrow" w:hAnsi="Arial Narrow"/>
      <w:sz w:val="18"/>
      <w:szCs w:val="20"/>
    </w:rPr>
  </w:style>
  <w:style w:type="character" w:customStyle="1" w:styleId="TableFooterChar">
    <w:name w:val="Table Footer Char"/>
    <w:link w:val="TableFooter"/>
    <w:rsid w:val="00931E61"/>
    <w:rPr>
      <w:rFonts w:ascii="Arial Narrow" w:hAnsi="Arial Narrow" w:cs="Arial"/>
      <w:snapToGrid w:val="0"/>
      <w:sz w:val="18"/>
      <w:lang w:eastAsia="en-US"/>
    </w:rPr>
  </w:style>
  <w:style w:type="character" w:customStyle="1" w:styleId="TableTextChar">
    <w:name w:val="Table Text Char"/>
    <w:link w:val="TableText"/>
    <w:rsid w:val="00B86F30"/>
    <w:rPr>
      <w:rFonts w:ascii="Arial Narrow" w:eastAsiaTheme="minorHAnsi" w:hAnsi="Arial Narrow" w:cstheme="minorBidi"/>
      <w:szCs w:val="22"/>
      <w:lang w:eastAsia="en-US"/>
    </w:rPr>
  </w:style>
  <w:style w:type="table" w:customStyle="1" w:styleId="AZTable">
    <w:name w:val="AZ Table"/>
    <w:basedOn w:val="TableNormal"/>
    <w:uiPriority w:val="99"/>
    <w:rsid w:val="00E51D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ESHeading1">
    <w:name w:val="ES Heading 1"/>
    <w:basedOn w:val="Heading1"/>
    <w:next w:val="Heading1"/>
    <w:uiPriority w:val="2"/>
    <w:qFormat/>
    <w:rsid w:val="00E51DFD"/>
    <w:pPr>
      <w:keepNext/>
      <w:keepLines/>
      <w:widowControl/>
      <w:spacing w:before="240" w:after="120"/>
      <w:jc w:val="left"/>
    </w:pPr>
    <w:rPr>
      <w:rFonts w:asciiTheme="minorHAnsi" w:hAnsiTheme="minorHAnsi"/>
      <w:caps w:val="0"/>
      <w:szCs w:val="32"/>
    </w:rPr>
  </w:style>
  <w:style w:type="paragraph" w:customStyle="1" w:styleId="ESHeading2">
    <w:name w:val="ES Heading 2"/>
    <w:basedOn w:val="Heading2"/>
    <w:uiPriority w:val="2"/>
    <w:qFormat/>
    <w:rsid w:val="00E51DFD"/>
    <w:pPr>
      <w:keepNext/>
      <w:keepLines/>
      <w:widowControl/>
      <w:spacing w:before="360" w:after="120"/>
      <w:ind w:left="720" w:hanging="720"/>
      <w:jc w:val="left"/>
    </w:pPr>
    <w:rPr>
      <w:rFonts w:asciiTheme="majorHAnsi" w:eastAsiaTheme="majorEastAsia" w:hAnsiTheme="majorHAnsi" w:cstheme="majorBidi"/>
      <w:szCs w:val="28"/>
    </w:rPr>
  </w:style>
  <w:style w:type="paragraph" w:customStyle="1" w:styleId="ESHeadingCAPS">
    <w:name w:val="ES Heading CAPS"/>
    <w:basedOn w:val="ESHeading2"/>
    <w:uiPriority w:val="2"/>
    <w:qFormat/>
    <w:rsid w:val="00E51DFD"/>
    <w:rPr>
      <w:i w:val="0"/>
      <w:smallCaps/>
      <w:sz w:val="32"/>
    </w:rPr>
  </w:style>
  <w:style w:type="paragraph" w:customStyle="1" w:styleId="ESHeading3">
    <w:name w:val="ES Heading 3"/>
    <w:basedOn w:val="ESHeading2"/>
    <w:uiPriority w:val="2"/>
    <w:qFormat/>
    <w:rsid w:val="00E51DFD"/>
    <w:pPr>
      <w:ind w:left="1080" w:hanging="1080"/>
    </w:pPr>
    <w:rPr>
      <w:i w:val="0"/>
      <w:sz w:val="24"/>
    </w:rPr>
  </w:style>
  <w:style w:type="paragraph" w:customStyle="1" w:styleId="MSACHeading1">
    <w:name w:val="MSAC Heading 1"/>
    <w:basedOn w:val="Heading1"/>
    <w:next w:val="Normal"/>
    <w:qFormat/>
    <w:rsid w:val="00E51DFD"/>
    <w:pPr>
      <w:keepNext/>
      <w:keepLines/>
      <w:widowControl/>
      <w:spacing w:before="160" w:after="240" w:line="259" w:lineRule="auto"/>
      <w:jc w:val="left"/>
    </w:pPr>
    <w:rPr>
      <w:rFonts w:ascii="Arial" w:eastAsiaTheme="majorEastAsia" w:hAnsi="Arial" w:cstheme="majorBidi"/>
      <w:caps w:val="0"/>
      <w:snapToGrid/>
      <w:sz w:val="24"/>
      <w:szCs w:val="28"/>
    </w:rPr>
  </w:style>
  <w:style w:type="paragraph" w:customStyle="1" w:styleId="MSACESHeading2">
    <w:name w:val="MSAC ES Heading 2"/>
    <w:basedOn w:val="Heading2"/>
    <w:next w:val="Normal"/>
    <w:qFormat/>
    <w:rsid w:val="00E51DFD"/>
    <w:pPr>
      <w:keepNext/>
      <w:keepLines/>
      <w:widowControl/>
      <w:spacing w:before="360" w:after="120"/>
      <w:jc w:val="left"/>
    </w:pPr>
    <w:rPr>
      <w:rFonts w:ascii="Cambria" w:eastAsiaTheme="majorEastAsia" w:hAnsi="Cambria" w:cstheme="majorBidi"/>
      <w:i w:val="0"/>
      <w:sz w:val="24"/>
      <w:szCs w:val="28"/>
    </w:rPr>
  </w:style>
  <w:style w:type="table" w:customStyle="1" w:styleId="PBACTableStyle">
    <w:name w:val="PBAC Table Style"/>
    <w:basedOn w:val="TableGrid1"/>
    <w:uiPriority w:val="99"/>
    <w:rsid w:val="005A0AE1"/>
    <w:pPr>
      <w:spacing w:before="120"/>
      <w:contextualSpacing/>
      <w:jc w:val="center"/>
    </w:pPr>
    <w:rPr>
      <w:rFonts w:ascii="Arial Narrow" w:eastAsiaTheme="minorHAnsi" w:hAnsi="Arial Narrow" w:cstheme="minorBidi"/>
      <w:color w:val="000000" w:themeColor="text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Summarybox1">
    <w:name w:val="Summary box1"/>
    <w:basedOn w:val="TableNormal"/>
    <w:next w:val="TableGrid"/>
    <w:uiPriority w:val="59"/>
    <w:rsid w:val="005A0AE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5A0AE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
    <w:name w:val="List Table 1 Light1"/>
    <w:basedOn w:val="TableNormal"/>
    <w:uiPriority w:val="46"/>
    <w:rsid w:val="004C316D"/>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ources">
    <w:name w:val="Sources"/>
    <w:basedOn w:val="Normal"/>
    <w:link w:val="SourcesChar"/>
    <w:qFormat/>
    <w:rsid w:val="007F526A"/>
    <w:pPr>
      <w:widowControl/>
      <w:spacing w:before="120" w:after="120"/>
      <w:ind w:left="284" w:hanging="284"/>
    </w:pPr>
    <w:rPr>
      <w:rFonts w:ascii="Arial" w:eastAsiaTheme="minorHAnsi" w:hAnsi="Arial" w:cstheme="minorBidi"/>
      <w:snapToGrid/>
      <w:sz w:val="16"/>
    </w:rPr>
  </w:style>
  <w:style w:type="paragraph" w:customStyle="1" w:styleId="TableHeading0">
    <w:name w:val="Table Heading"/>
    <w:basedOn w:val="TableText"/>
    <w:link w:val="TableHeadingChar"/>
    <w:qFormat/>
    <w:rsid w:val="00D713BD"/>
    <w:pPr>
      <w:keepNext/>
      <w:keepLines/>
      <w:widowControl/>
      <w:spacing w:line="276" w:lineRule="auto"/>
    </w:pPr>
    <w:rPr>
      <w:rFonts w:eastAsiaTheme="majorEastAsia" w:cs="Arial"/>
      <w:b/>
      <w:szCs w:val="20"/>
      <w:lang w:eastAsia="en-AU" w:bidi="en-US"/>
    </w:rPr>
  </w:style>
  <w:style w:type="paragraph" w:customStyle="1" w:styleId="TableBullet">
    <w:name w:val="Table Bullet"/>
    <w:basedOn w:val="TableText"/>
    <w:qFormat/>
    <w:rsid w:val="007F526A"/>
    <w:pPr>
      <w:widowControl/>
      <w:numPr>
        <w:numId w:val="13"/>
      </w:numPr>
      <w:spacing w:before="20" w:after="20" w:line="276" w:lineRule="auto"/>
    </w:pPr>
    <w:rPr>
      <w:rFonts w:eastAsiaTheme="majorEastAsia" w:cs="Arial"/>
      <w:szCs w:val="20"/>
      <w:lang w:eastAsia="en-AU" w:bidi="en-US"/>
    </w:rPr>
  </w:style>
  <w:style w:type="character" w:customStyle="1" w:styleId="TableHeadingChar">
    <w:name w:val="Table Heading Char"/>
    <w:basedOn w:val="DefaultParagraphFont"/>
    <w:link w:val="TableHeading0"/>
    <w:locked/>
    <w:rsid w:val="00D713BD"/>
    <w:rPr>
      <w:rFonts w:ascii="Arial Narrow" w:eastAsiaTheme="majorEastAsia" w:hAnsi="Arial Narrow" w:cs="Arial"/>
      <w:b/>
      <w:lang w:bidi="en-US"/>
    </w:rPr>
  </w:style>
  <w:style w:type="character" w:customStyle="1" w:styleId="SourcesChar">
    <w:name w:val="Sources Char"/>
    <w:basedOn w:val="DefaultParagraphFont"/>
    <w:link w:val="Sources"/>
    <w:rsid w:val="007F526A"/>
    <w:rPr>
      <w:rFonts w:ascii="Arial" w:eastAsiaTheme="minorHAnsi" w:hAnsi="Arial" w:cstheme="minorBidi"/>
      <w:sz w:val="16"/>
      <w:szCs w:val="22"/>
      <w:lang w:eastAsia="en-US"/>
    </w:rPr>
  </w:style>
  <w:style w:type="table" w:customStyle="1" w:styleId="Summarybox2">
    <w:name w:val="Summary box2"/>
    <w:basedOn w:val="TableNormal"/>
    <w:next w:val="TableGrid"/>
    <w:uiPriority w:val="59"/>
    <w:rsid w:val="00A617E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0"/>
    <w:uiPriority w:val="3"/>
    <w:qFormat/>
    <w:rsid w:val="00BE4B9E"/>
    <w:pPr>
      <w:widowControl/>
      <w:spacing w:before="40" w:after="40"/>
      <w:jc w:val="left"/>
    </w:pPr>
    <w:rPr>
      <w:rFonts w:cs="Times New Roman"/>
      <w:iCs/>
      <w:snapToGrid/>
      <w:sz w:val="20"/>
      <w:szCs w:val="18"/>
    </w:rPr>
  </w:style>
  <w:style w:type="character" w:customStyle="1" w:styleId="TableTextChar0">
    <w:name w:val="TableText Char"/>
    <w:link w:val="TableText0"/>
    <w:uiPriority w:val="3"/>
    <w:rsid w:val="00BE4B9E"/>
    <w:rPr>
      <w:rFonts w:ascii="Calibri" w:hAnsi="Calibri"/>
      <w:iCs/>
      <w:szCs w:val="18"/>
      <w:lang w:eastAsia="en-US"/>
    </w:rPr>
  </w:style>
  <w:style w:type="table" w:customStyle="1" w:styleId="TableGridbeth7">
    <w:name w:val="Table Gridbeth7"/>
    <w:basedOn w:val="TableNormal"/>
    <w:next w:val="TableGrid"/>
    <w:uiPriority w:val="59"/>
    <w:rsid w:val="00D5604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1"/>
    <w:uiPriority w:val="2"/>
    <w:qFormat/>
    <w:rsid w:val="00EA40FE"/>
    <w:pPr>
      <w:widowControl/>
      <w:jc w:val="left"/>
    </w:pPr>
    <w:rPr>
      <w:rFonts w:ascii="Arial Narrow" w:hAnsi="Arial Narrow" w:cs="Times New Roman"/>
      <w:snapToGrid/>
      <w:sz w:val="20"/>
    </w:rPr>
  </w:style>
  <w:style w:type="character" w:customStyle="1" w:styleId="TabletextChar1">
    <w:name w:val="Table text Char"/>
    <w:link w:val="Tabletext1"/>
    <w:uiPriority w:val="2"/>
    <w:rsid w:val="00EA40FE"/>
    <w:rPr>
      <w:rFonts w:ascii="Arial Narrow" w:hAnsi="Arial Narrow"/>
      <w:szCs w:val="22"/>
      <w:lang w:eastAsia="en-US"/>
    </w:rPr>
  </w:style>
  <w:style w:type="paragraph" w:styleId="BodyText2">
    <w:name w:val="Body Text 2"/>
    <w:basedOn w:val="Normal"/>
    <w:link w:val="BodyText2Char"/>
    <w:semiHidden/>
    <w:unhideWhenUsed/>
    <w:rsid w:val="00931E61"/>
    <w:pPr>
      <w:spacing w:after="120" w:line="480" w:lineRule="auto"/>
    </w:pPr>
  </w:style>
  <w:style w:type="character" w:customStyle="1" w:styleId="BodyText2Char">
    <w:name w:val="Body Text 2 Char"/>
    <w:basedOn w:val="DefaultParagraphFont"/>
    <w:link w:val="BodyText2"/>
    <w:semiHidden/>
    <w:rsid w:val="00931E61"/>
    <w:rPr>
      <w:rFonts w:ascii="Calibri" w:hAnsi="Calibri" w:cs="Arial"/>
      <w:snapToGrid w:val="0"/>
      <w:sz w:val="24"/>
      <w:szCs w:val="22"/>
      <w:lang w:eastAsia="en-US"/>
    </w:rPr>
  </w:style>
  <w:style w:type="paragraph" w:styleId="BodyText3">
    <w:name w:val="Body Text 3"/>
    <w:basedOn w:val="Normal"/>
    <w:link w:val="BodyText3Char"/>
    <w:semiHidden/>
    <w:unhideWhenUsed/>
    <w:rsid w:val="00931E61"/>
    <w:pPr>
      <w:spacing w:after="120"/>
    </w:pPr>
    <w:rPr>
      <w:sz w:val="16"/>
      <w:szCs w:val="16"/>
    </w:rPr>
  </w:style>
  <w:style w:type="character" w:customStyle="1" w:styleId="BodyText3Char">
    <w:name w:val="Body Text 3 Char"/>
    <w:basedOn w:val="DefaultParagraphFont"/>
    <w:link w:val="BodyText3"/>
    <w:semiHidden/>
    <w:rsid w:val="00931E61"/>
    <w:rPr>
      <w:rFonts w:ascii="Calibri" w:hAnsi="Calibri" w:cs="Arial"/>
      <w:snapToGrid w:val="0"/>
      <w:sz w:val="16"/>
      <w:szCs w:val="16"/>
      <w:lang w:eastAsia="en-US"/>
    </w:rPr>
  </w:style>
  <w:style w:type="paragraph" w:customStyle="1" w:styleId="TableCentred">
    <w:name w:val="Table Centred"/>
    <w:basedOn w:val="Normal"/>
    <w:link w:val="TableCentredChar"/>
    <w:uiPriority w:val="5"/>
    <w:qFormat/>
    <w:rsid w:val="00F76BA0"/>
    <w:pPr>
      <w:widowControl/>
      <w:spacing w:line="276" w:lineRule="auto"/>
      <w:jc w:val="center"/>
    </w:pPr>
    <w:rPr>
      <w:rFonts w:cs="Times New Roman"/>
      <w:snapToGrid/>
      <w:sz w:val="20"/>
    </w:rPr>
  </w:style>
  <w:style w:type="character" w:customStyle="1" w:styleId="TableCentredChar">
    <w:name w:val="Table Centred Char"/>
    <w:basedOn w:val="DefaultParagraphFont"/>
    <w:link w:val="TableCentred"/>
    <w:uiPriority w:val="5"/>
    <w:locked/>
    <w:rsid w:val="00F76BA0"/>
    <w:rPr>
      <w:rFonts w:ascii="Calibri" w:hAnsi="Calibri"/>
      <w:szCs w:val="22"/>
      <w:lang w:eastAsia="en-US"/>
    </w:rPr>
  </w:style>
  <w:style w:type="paragraph" w:customStyle="1" w:styleId="PBACheading10">
    <w:name w:val="PBAC heading 1"/>
    <w:uiPriority w:val="99"/>
    <w:qFormat/>
    <w:rsid w:val="00F76BA0"/>
    <w:pPr>
      <w:ind w:left="720" w:hanging="720"/>
    </w:pPr>
    <w:rPr>
      <w:rFonts w:ascii="Arial" w:hAnsi="Arial" w:cs="Arial"/>
      <w:snapToGrid w:val="0"/>
      <w:sz w:val="22"/>
      <w:szCs w:val="22"/>
      <w:lang w:eastAsia="en-US"/>
    </w:rPr>
  </w:style>
  <w:style w:type="paragraph" w:customStyle="1" w:styleId="EndNoteBibliographyTitle">
    <w:name w:val="EndNote Bibliography Title"/>
    <w:basedOn w:val="Normal"/>
    <w:link w:val="EndNoteBibliographyTitleChar"/>
    <w:rsid w:val="001115FD"/>
    <w:pPr>
      <w:jc w:val="center"/>
    </w:pPr>
    <w:rPr>
      <w:noProof/>
      <w:lang w:val="en-US"/>
    </w:rPr>
  </w:style>
  <w:style w:type="character" w:customStyle="1" w:styleId="EndNoteBibliographyTitleChar">
    <w:name w:val="EndNote Bibliography Title Char"/>
    <w:basedOn w:val="ListParagraphChar"/>
    <w:link w:val="EndNoteBibliographyTitle"/>
    <w:rsid w:val="001115FD"/>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1115FD"/>
    <w:rPr>
      <w:noProof/>
      <w:lang w:val="en-US"/>
    </w:rPr>
  </w:style>
  <w:style w:type="character" w:customStyle="1" w:styleId="EndNoteBibliographyChar">
    <w:name w:val="EndNote Bibliography Char"/>
    <w:basedOn w:val="ListParagraphChar"/>
    <w:link w:val="EndNoteBibliography"/>
    <w:rsid w:val="001115FD"/>
    <w:rPr>
      <w:rFonts w:ascii="Calibri" w:hAnsi="Calibri" w:cs="Arial"/>
      <w:noProof/>
      <w:snapToGrid w:val="0"/>
      <w:sz w:val="24"/>
      <w:szCs w:val="22"/>
      <w:lang w:val="en-US" w:eastAsia="en-US"/>
    </w:rPr>
  </w:style>
  <w:style w:type="paragraph" w:styleId="EndnoteText">
    <w:name w:val="endnote text"/>
    <w:basedOn w:val="Normal"/>
    <w:link w:val="EndnoteTextChar"/>
    <w:semiHidden/>
    <w:unhideWhenUsed/>
    <w:rsid w:val="003B1C18"/>
    <w:rPr>
      <w:sz w:val="20"/>
      <w:szCs w:val="20"/>
    </w:rPr>
  </w:style>
  <w:style w:type="character" w:customStyle="1" w:styleId="EndnoteTextChar">
    <w:name w:val="Endnote Text Char"/>
    <w:basedOn w:val="DefaultParagraphFont"/>
    <w:link w:val="EndnoteText"/>
    <w:semiHidden/>
    <w:rsid w:val="003B1C18"/>
    <w:rPr>
      <w:rFonts w:ascii="Calibri" w:hAnsi="Calibri" w:cs="Arial"/>
      <w:snapToGrid w:val="0"/>
      <w:lang w:eastAsia="en-US"/>
    </w:rPr>
  </w:style>
  <w:style w:type="character" w:styleId="EndnoteReference">
    <w:name w:val="endnote reference"/>
    <w:basedOn w:val="DefaultParagraphFont"/>
    <w:semiHidden/>
    <w:unhideWhenUsed/>
    <w:rsid w:val="003B1C18"/>
    <w:rPr>
      <w:vertAlign w:val="superscript"/>
    </w:rPr>
  </w:style>
  <w:style w:type="character" w:styleId="Strong">
    <w:name w:val="Strong"/>
    <w:basedOn w:val="DefaultParagraphFont"/>
    <w:uiPriority w:val="22"/>
    <w:qFormat/>
    <w:rsid w:val="00C8772D"/>
    <w:rPr>
      <w:b/>
      <w:bCs/>
    </w:rPr>
  </w:style>
  <w:style w:type="table" w:customStyle="1" w:styleId="HTATableshaded1">
    <w:name w:val="HTA Table shaded1"/>
    <w:basedOn w:val="TableNormal"/>
    <w:rsid w:val="00CA5EF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PTUMTableNormal">
    <w:name w:val="OPTUM Table Normal"/>
    <w:basedOn w:val="TableNormal"/>
    <w:rsid w:val="006647C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PTUMTableNormal1">
    <w:name w:val="OPTUM Table Normal1"/>
    <w:basedOn w:val="TableNormal"/>
    <w:rsid w:val="00F72D7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51368">
      <w:bodyDiv w:val="1"/>
      <w:marLeft w:val="0"/>
      <w:marRight w:val="0"/>
      <w:marTop w:val="0"/>
      <w:marBottom w:val="0"/>
      <w:divBdr>
        <w:top w:val="none" w:sz="0" w:space="0" w:color="auto"/>
        <w:left w:val="none" w:sz="0" w:space="0" w:color="auto"/>
        <w:bottom w:val="none" w:sz="0" w:space="0" w:color="auto"/>
        <w:right w:val="none" w:sz="0" w:space="0" w:color="auto"/>
      </w:divBdr>
    </w:div>
    <w:div w:id="835193679">
      <w:bodyDiv w:val="1"/>
      <w:marLeft w:val="0"/>
      <w:marRight w:val="0"/>
      <w:marTop w:val="0"/>
      <w:marBottom w:val="0"/>
      <w:divBdr>
        <w:top w:val="none" w:sz="0" w:space="0" w:color="auto"/>
        <w:left w:val="none" w:sz="0" w:space="0" w:color="auto"/>
        <w:bottom w:val="none" w:sz="0" w:space="0" w:color="auto"/>
        <w:right w:val="none" w:sz="0" w:space="0" w:color="auto"/>
      </w:divBdr>
      <w:divsChild>
        <w:div w:id="279531130">
          <w:marLeft w:val="0"/>
          <w:marRight w:val="0"/>
          <w:marTop w:val="0"/>
          <w:marBottom w:val="0"/>
          <w:divBdr>
            <w:top w:val="none" w:sz="0" w:space="0" w:color="auto"/>
            <w:left w:val="none" w:sz="0" w:space="0" w:color="auto"/>
            <w:bottom w:val="none" w:sz="0" w:space="0" w:color="auto"/>
            <w:right w:val="none" w:sz="0" w:space="0" w:color="auto"/>
          </w:divBdr>
        </w:div>
        <w:div w:id="1087461143">
          <w:marLeft w:val="0"/>
          <w:marRight w:val="240"/>
          <w:marTop w:val="0"/>
          <w:marBottom w:val="0"/>
          <w:divBdr>
            <w:top w:val="none" w:sz="0" w:space="0" w:color="auto"/>
            <w:left w:val="none" w:sz="0" w:space="0" w:color="auto"/>
            <w:bottom w:val="none" w:sz="0" w:space="0" w:color="auto"/>
            <w:right w:val="none" w:sz="0" w:space="0" w:color="auto"/>
          </w:divBdr>
        </w:div>
      </w:divsChild>
    </w:div>
    <w:div w:id="10959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3CA2-1CBA-4EAB-8EF9-B4392D5D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11460</Words>
  <Characters>64876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2018-10-08T06:27:00Z</dcterms:created>
  <dcterms:modified xsi:type="dcterms:W3CDTF">2018-10-18T02:52:00Z</dcterms:modified>
</cp:coreProperties>
</file>